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F4212" w14:textId="77777777"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0E79DE70" wp14:editId="745720E3">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6E64CD6" w14:textId="77777777" w:rsidR="006B3847" w:rsidRPr="00303008" w:rsidRDefault="006B3847" w:rsidP="006B3847">
      <w:pPr>
        <w:rPr>
          <w:sz w:val="24"/>
          <w:szCs w:val="24"/>
          <w:lang w:val="en-GB"/>
        </w:rPr>
      </w:pPr>
    </w:p>
    <w:p w14:paraId="4C1E6C3B" w14:textId="3A10943F" w:rsidR="006B3847" w:rsidRPr="00174299" w:rsidRDefault="006B3847" w:rsidP="006B3847">
      <w:pPr>
        <w:tabs>
          <w:tab w:val="right" w:pos="9356"/>
        </w:tabs>
        <w:rPr>
          <w:b/>
          <w:sz w:val="24"/>
          <w:szCs w:val="24"/>
        </w:rPr>
      </w:pPr>
      <w:r w:rsidRPr="00303008">
        <w:rPr>
          <w:b/>
          <w:sz w:val="24"/>
          <w:szCs w:val="24"/>
          <w:lang w:val="en-GB"/>
        </w:rPr>
        <w:tab/>
      </w:r>
      <w:r w:rsidR="00F01791">
        <w:rPr>
          <w:b/>
          <w:sz w:val="24"/>
          <w:szCs w:val="24"/>
        </w:rPr>
        <w:t xml:space="preserve">15 </w:t>
      </w:r>
      <w:proofErr w:type="gramStart"/>
      <w:r w:rsidR="00F01791">
        <w:rPr>
          <w:b/>
          <w:sz w:val="24"/>
          <w:szCs w:val="24"/>
        </w:rPr>
        <w:t>December</w:t>
      </w:r>
      <w:proofErr w:type="gramEnd"/>
      <w:r w:rsidR="00F01791">
        <w:rPr>
          <w:b/>
          <w:sz w:val="24"/>
          <w:szCs w:val="24"/>
        </w:rPr>
        <w:t xml:space="preserve"> 2023</w:t>
      </w:r>
    </w:p>
    <w:p w14:paraId="462B0001" w14:textId="77777777" w:rsidR="006B3847" w:rsidRPr="00174299" w:rsidRDefault="006B3847" w:rsidP="006B3847">
      <w:pPr>
        <w:rPr>
          <w:sz w:val="24"/>
          <w:szCs w:val="24"/>
        </w:rPr>
      </w:pPr>
    </w:p>
    <w:p w14:paraId="4C862510" w14:textId="43BDF0BB" w:rsidR="00B12541" w:rsidRPr="00174299" w:rsidRDefault="00B12541" w:rsidP="007C5D2A">
      <w:pPr>
        <w:rPr>
          <w:sz w:val="24"/>
          <w:szCs w:val="24"/>
        </w:rPr>
      </w:pPr>
    </w:p>
    <w:p w14:paraId="34B2EF80" w14:textId="77777777" w:rsidR="007C5D2A" w:rsidRPr="00174299" w:rsidRDefault="007C5D2A" w:rsidP="007C5D2A">
      <w:pPr>
        <w:rPr>
          <w:sz w:val="24"/>
          <w:szCs w:val="24"/>
        </w:rPr>
      </w:pPr>
    </w:p>
    <w:p w14:paraId="4F9AE0BC" w14:textId="77777777" w:rsidR="007C5D2A" w:rsidRPr="00303008" w:rsidRDefault="007C5D2A" w:rsidP="003866AC">
      <w:pPr>
        <w:jc w:val="center"/>
        <w:rPr>
          <w:b/>
          <w:sz w:val="24"/>
          <w:szCs w:val="24"/>
          <w:lang w:val="en-GB"/>
        </w:rPr>
      </w:pPr>
      <w:bookmarkStart w:id="1" w:name="_Hlk49158549"/>
      <w:r w:rsidRPr="00303008">
        <w:rPr>
          <w:b/>
          <w:sz w:val="24"/>
          <w:szCs w:val="24"/>
          <w:lang w:val="en-GB"/>
        </w:rPr>
        <w:t>SUMMARY OF PRODUCT CHARACTERISTICS</w:t>
      </w:r>
    </w:p>
    <w:bookmarkEnd w:id="1"/>
    <w:p w14:paraId="03AC60F8" w14:textId="77777777" w:rsidR="007C5D2A" w:rsidRPr="00303008" w:rsidRDefault="007C5D2A" w:rsidP="003866AC">
      <w:pPr>
        <w:jc w:val="center"/>
        <w:rPr>
          <w:sz w:val="24"/>
          <w:szCs w:val="24"/>
          <w:lang w:val="en-GB"/>
        </w:rPr>
      </w:pPr>
    </w:p>
    <w:p w14:paraId="0710C750" w14:textId="77777777" w:rsidR="007C5D2A" w:rsidRPr="00303008" w:rsidRDefault="007C5D2A" w:rsidP="003866AC">
      <w:pPr>
        <w:jc w:val="center"/>
        <w:rPr>
          <w:b/>
          <w:sz w:val="24"/>
          <w:szCs w:val="24"/>
          <w:lang w:val="en-GB"/>
        </w:rPr>
      </w:pPr>
      <w:r w:rsidRPr="00303008">
        <w:rPr>
          <w:b/>
          <w:sz w:val="24"/>
          <w:szCs w:val="24"/>
          <w:lang w:val="en-GB"/>
        </w:rPr>
        <w:t>for</w:t>
      </w:r>
    </w:p>
    <w:p w14:paraId="29BB0AE6" w14:textId="77777777" w:rsidR="007C5D2A" w:rsidRPr="00303008" w:rsidRDefault="007C5D2A" w:rsidP="003866AC">
      <w:pPr>
        <w:jc w:val="center"/>
        <w:rPr>
          <w:sz w:val="24"/>
          <w:szCs w:val="24"/>
          <w:lang w:val="en-GB"/>
        </w:rPr>
      </w:pPr>
    </w:p>
    <w:p w14:paraId="079DF44C" w14:textId="6CECB5F6" w:rsidR="007C5D2A" w:rsidRPr="002F6A49" w:rsidRDefault="002F6A49" w:rsidP="003866AC">
      <w:pPr>
        <w:tabs>
          <w:tab w:val="left" w:pos="851"/>
        </w:tabs>
        <w:jc w:val="center"/>
        <w:rPr>
          <w:b/>
          <w:sz w:val="24"/>
          <w:szCs w:val="24"/>
          <w:lang w:val="en-US"/>
        </w:rPr>
      </w:pPr>
      <w:proofErr w:type="spellStart"/>
      <w:r w:rsidRPr="002F6A49">
        <w:rPr>
          <w:b/>
          <w:sz w:val="24"/>
          <w:szCs w:val="24"/>
          <w:lang w:val="en-GB"/>
        </w:rPr>
        <w:t>Ropinirol</w:t>
      </w:r>
      <w:proofErr w:type="spellEnd"/>
      <w:r w:rsidRPr="002F6A49">
        <w:rPr>
          <w:b/>
          <w:sz w:val="24"/>
          <w:szCs w:val="24"/>
          <w:lang w:val="en-GB"/>
        </w:rPr>
        <w:t xml:space="preserve"> "Actavis", </w:t>
      </w:r>
      <w:r>
        <w:rPr>
          <w:b/>
          <w:sz w:val="24"/>
          <w:szCs w:val="24"/>
          <w:lang w:val="en-US"/>
        </w:rPr>
        <w:t>p</w:t>
      </w:r>
      <w:r w:rsidRPr="002F6A49">
        <w:rPr>
          <w:b/>
          <w:sz w:val="24"/>
          <w:szCs w:val="24"/>
          <w:lang w:val="en-US"/>
        </w:rPr>
        <w:t>rolonged-release tablets</w:t>
      </w:r>
    </w:p>
    <w:p w14:paraId="51B1B9D0" w14:textId="77777777" w:rsidR="007C5D2A" w:rsidRPr="00303008" w:rsidRDefault="007C5D2A" w:rsidP="007C5D2A">
      <w:pPr>
        <w:jc w:val="both"/>
        <w:rPr>
          <w:sz w:val="24"/>
          <w:szCs w:val="24"/>
          <w:lang w:val="en-GB"/>
        </w:rPr>
      </w:pPr>
    </w:p>
    <w:p w14:paraId="2A322EDD" w14:textId="77777777" w:rsidR="0042292D" w:rsidRPr="00303008" w:rsidRDefault="0042292D" w:rsidP="007C5D2A">
      <w:pPr>
        <w:jc w:val="both"/>
        <w:rPr>
          <w:sz w:val="24"/>
          <w:szCs w:val="24"/>
          <w:lang w:val="en-GB"/>
        </w:rPr>
      </w:pPr>
    </w:p>
    <w:p w14:paraId="623CA701"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648E759F" w14:textId="77777777" w:rsidR="00DA51B9" w:rsidRPr="00DA51B9" w:rsidRDefault="00DA51B9" w:rsidP="00DA51B9">
      <w:pPr>
        <w:tabs>
          <w:tab w:val="left" w:pos="8222"/>
        </w:tabs>
        <w:ind w:left="851"/>
        <w:rPr>
          <w:sz w:val="24"/>
          <w:szCs w:val="24"/>
          <w:lang w:val="en-US"/>
        </w:rPr>
      </w:pPr>
      <w:r w:rsidRPr="00DA51B9">
        <w:rPr>
          <w:sz w:val="24"/>
          <w:szCs w:val="24"/>
          <w:lang w:val="en-US"/>
        </w:rPr>
        <w:t>25051</w:t>
      </w:r>
    </w:p>
    <w:p w14:paraId="61C59862" w14:textId="77777777" w:rsidR="007C5D2A" w:rsidRPr="00303008" w:rsidRDefault="007C5D2A" w:rsidP="007C5D2A">
      <w:pPr>
        <w:tabs>
          <w:tab w:val="left" w:pos="851"/>
        </w:tabs>
        <w:jc w:val="both"/>
        <w:rPr>
          <w:sz w:val="24"/>
          <w:szCs w:val="24"/>
          <w:lang w:val="en-GB"/>
        </w:rPr>
      </w:pPr>
    </w:p>
    <w:p w14:paraId="7473DEF6"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4730AD24" w14:textId="77777777" w:rsidR="00DA51B9" w:rsidRPr="00DA51B9" w:rsidRDefault="00DA51B9" w:rsidP="00DA51B9">
      <w:pPr>
        <w:tabs>
          <w:tab w:val="left" w:pos="851"/>
        </w:tabs>
        <w:ind w:left="851"/>
        <w:rPr>
          <w:sz w:val="24"/>
          <w:szCs w:val="24"/>
          <w:lang w:val="en-US"/>
        </w:rPr>
      </w:pPr>
      <w:proofErr w:type="spellStart"/>
      <w:r w:rsidRPr="00DA51B9">
        <w:rPr>
          <w:sz w:val="24"/>
          <w:szCs w:val="24"/>
          <w:lang w:val="en-US"/>
        </w:rPr>
        <w:t>Ropinirol</w:t>
      </w:r>
      <w:proofErr w:type="spellEnd"/>
      <w:r w:rsidRPr="00DA51B9">
        <w:rPr>
          <w:sz w:val="24"/>
          <w:szCs w:val="24"/>
          <w:lang w:val="en-US"/>
        </w:rPr>
        <w:t xml:space="preserve"> "Actavis"</w:t>
      </w:r>
    </w:p>
    <w:p w14:paraId="7B35D484" w14:textId="77777777" w:rsidR="007C5D2A" w:rsidRPr="00DA51B9" w:rsidRDefault="007C5D2A" w:rsidP="004A3BF4">
      <w:pPr>
        <w:tabs>
          <w:tab w:val="left" w:pos="851"/>
        </w:tabs>
        <w:ind w:left="851"/>
        <w:rPr>
          <w:sz w:val="24"/>
          <w:szCs w:val="24"/>
          <w:lang w:val="en-US"/>
        </w:rPr>
      </w:pPr>
    </w:p>
    <w:p w14:paraId="5B26BAB2"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28DE9CE9" w14:textId="77777777" w:rsidR="00DA51B9" w:rsidRPr="00DA51B9" w:rsidRDefault="00DA51B9" w:rsidP="00DA51B9">
      <w:pPr>
        <w:tabs>
          <w:tab w:val="left" w:pos="851"/>
        </w:tabs>
        <w:ind w:left="851"/>
        <w:rPr>
          <w:sz w:val="24"/>
          <w:szCs w:val="24"/>
          <w:lang w:val="en-US"/>
        </w:rPr>
      </w:pPr>
      <w:r w:rsidRPr="00DA51B9">
        <w:rPr>
          <w:sz w:val="24"/>
          <w:szCs w:val="24"/>
          <w:lang w:val="en-US"/>
        </w:rPr>
        <w:t>Each prolonged-release tablet contains 2 mg ropinirole (as hydrochloride).</w:t>
      </w:r>
    </w:p>
    <w:p w14:paraId="7F366EAF" w14:textId="77777777" w:rsidR="00DA51B9" w:rsidRPr="00DA51B9" w:rsidRDefault="00DA51B9" w:rsidP="00DA51B9">
      <w:pPr>
        <w:tabs>
          <w:tab w:val="left" w:pos="851"/>
        </w:tabs>
        <w:ind w:left="851"/>
        <w:rPr>
          <w:sz w:val="24"/>
          <w:szCs w:val="24"/>
          <w:lang w:val="en-US"/>
        </w:rPr>
      </w:pPr>
      <w:r w:rsidRPr="00DA51B9">
        <w:rPr>
          <w:sz w:val="24"/>
          <w:szCs w:val="24"/>
          <w:lang w:val="en-US"/>
        </w:rPr>
        <w:t>Each prolonged-release tablet contains 3 mg ropinirole (as hydrochloride).</w:t>
      </w:r>
    </w:p>
    <w:p w14:paraId="664119D2" w14:textId="77777777" w:rsidR="00DA51B9" w:rsidRPr="00DA51B9" w:rsidRDefault="00DA51B9" w:rsidP="00DA51B9">
      <w:pPr>
        <w:tabs>
          <w:tab w:val="left" w:pos="851"/>
        </w:tabs>
        <w:ind w:left="851"/>
        <w:rPr>
          <w:sz w:val="24"/>
          <w:szCs w:val="24"/>
          <w:lang w:val="en-US"/>
        </w:rPr>
      </w:pPr>
      <w:r w:rsidRPr="00DA51B9">
        <w:rPr>
          <w:sz w:val="24"/>
          <w:szCs w:val="24"/>
          <w:lang w:val="en-US"/>
        </w:rPr>
        <w:t>Each prolonged-release tablet contains 4 mg ropinirole (as hydrochloride).</w:t>
      </w:r>
    </w:p>
    <w:p w14:paraId="6A887D01" w14:textId="77777777" w:rsidR="00DA51B9" w:rsidRPr="00DA51B9" w:rsidRDefault="00DA51B9" w:rsidP="00DA51B9">
      <w:pPr>
        <w:tabs>
          <w:tab w:val="left" w:pos="851"/>
        </w:tabs>
        <w:ind w:left="851"/>
        <w:rPr>
          <w:sz w:val="24"/>
          <w:szCs w:val="24"/>
          <w:lang w:val="en-US"/>
        </w:rPr>
      </w:pPr>
      <w:r w:rsidRPr="00DA51B9">
        <w:rPr>
          <w:sz w:val="24"/>
          <w:szCs w:val="24"/>
          <w:lang w:val="en-US"/>
        </w:rPr>
        <w:t>Each prolonged-release tablet contains 6 mg ropinirole (as hydrochloride).</w:t>
      </w:r>
    </w:p>
    <w:p w14:paraId="113088E6" w14:textId="77777777" w:rsidR="00DA51B9" w:rsidRPr="00DA51B9" w:rsidRDefault="00DA51B9" w:rsidP="00DA51B9">
      <w:pPr>
        <w:tabs>
          <w:tab w:val="left" w:pos="851"/>
        </w:tabs>
        <w:ind w:left="851"/>
        <w:rPr>
          <w:sz w:val="24"/>
          <w:szCs w:val="24"/>
          <w:lang w:val="en-US"/>
        </w:rPr>
      </w:pPr>
      <w:r w:rsidRPr="00DA51B9">
        <w:rPr>
          <w:sz w:val="24"/>
          <w:szCs w:val="24"/>
          <w:lang w:val="en-US"/>
        </w:rPr>
        <w:t>Each prolonged-release tablet contains 8 mg ropinirole (as hydrochloride).</w:t>
      </w:r>
    </w:p>
    <w:p w14:paraId="0E00AADC" w14:textId="77777777" w:rsidR="00DA51B9" w:rsidRPr="00DA51B9" w:rsidRDefault="00DA51B9" w:rsidP="00DA51B9">
      <w:pPr>
        <w:tabs>
          <w:tab w:val="left" w:pos="851"/>
        </w:tabs>
        <w:ind w:left="851"/>
        <w:rPr>
          <w:sz w:val="24"/>
          <w:szCs w:val="24"/>
          <w:lang w:val="en-US"/>
        </w:rPr>
      </w:pPr>
    </w:p>
    <w:p w14:paraId="4AA78274"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Excipients with known effect</w:t>
      </w:r>
    </w:p>
    <w:p w14:paraId="17446F64" w14:textId="77777777" w:rsidR="00DA51B9" w:rsidRPr="00DA51B9" w:rsidRDefault="00DA51B9" w:rsidP="00DA51B9">
      <w:pPr>
        <w:tabs>
          <w:tab w:val="left" w:pos="851"/>
        </w:tabs>
        <w:ind w:left="851"/>
        <w:rPr>
          <w:sz w:val="24"/>
          <w:szCs w:val="24"/>
          <w:lang w:val="en-US"/>
        </w:rPr>
      </w:pPr>
      <w:r w:rsidRPr="00DA51B9">
        <w:rPr>
          <w:sz w:val="24"/>
          <w:szCs w:val="24"/>
          <w:lang w:val="en-US"/>
        </w:rPr>
        <w:t>Each 2 mg prolonged-release tablet contains 64.97 mg lactose monohydrate</w:t>
      </w:r>
    </w:p>
    <w:p w14:paraId="3771FB3D" w14:textId="77777777" w:rsidR="00DA51B9" w:rsidRPr="00DA51B9" w:rsidRDefault="00DA51B9" w:rsidP="00DA51B9">
      <w:pPr>
        <w:tabs>
          <w:tab w:val="left" w:pos="851"/>
        </w:tabs>
        <w:ind w:left="851"/>
        <w:rPr>
          <w:sz w:val="24"/>
          <w:szCs w:val="24"/>
          <w:lang w:val="en-US"/>
        </w:rPr>
      </w:pPr>
      <w:r w:rsidRPr="00DA51B9">
        <w:rPr>
          <w:sz w:val="24"/>
          <w:szCs w:val="24"/>
          <w:lang w:val="en-US"/>
        </w:rPr>
        <w:t>Each 3 mg prolonged-release tablet contains 61.83 mg lactose monohydrate</w:t>
      </w:r>
    </w:p>
    <w:p w14:paraId="2AC01792" w14:textId="77777777" w:rsidR="00DA51B9" w:rsidRPr="00DA51B9" w:rsidRDefault="00DA51B9" w:rsidP="00DA51B9">
      <w:pPr>
        <w:tabs>
          <w:tab w:val="left" w:pos="851"/>
        </w:tabs>
        <w:ind w:left="851"/>
        <w:rPr>
          <w:sz w:val="24"/>
          <w:szCs w:val="24"/>
          <w:lang w:val="en-US"/>
        </w:rPr>
      </w:pPr>
      <w:r w:rsidRPr="00DA51B9">
        <w:rPr>
          <w:sz w:val="24"/>
          <w:szCs w:val="24"/>
          <w:lang w:val="en-US"/>
        </w:rPr>
        <w:t>Each 4 mg prolonged-release tablet contains 59.12 mg lactose monohydrate.</w:t>
      </w:r>
    </w:p>
    <w:p w14:paraId="26550FA9" w14:textId="77777777" w:rsidR="00DA51B9" w:rsidRPr="00DA51B9" w:rsidRDefault="00DA51B9" w:rsidP="00DA51B9">
      <w:pPr>
        <w:tabs>
          <w:tab w:val="left" w:pos="851"/>
        </w:tabs>
        <w:ind w:left="851"/>
        <w:rPr>
          <w:sz w:val="24"/>
          <w:szCs w:val="24"/>
          <w:lang w:val="en-US"/>
        </w:rPr>
      </w:pPr>
      <w:r w:rsidRPr="00DA51B9">
        <w:rPr>
          <w:sz w:val="24"/>
          <w:szCs w:val="24"/>
          <w:lang w:val="en-US"/>
        </w:rPr>
        <w:t>Each 6 mg prolonged-release tablet contains 60.66 mg lactose monohydrate.</w:t>
      </w:r>
    </w:p>
    <w:p w14:paraId="28469525" w14:textId="77777777" w:rsidR="00DA51B9" w:rsidRPr="00DA51B9" w:rsidRDefault="00DA51B9" w:rsidP="00DA51B9">
      <w:pPr>
        <w:tabs>
          <w:tab w:val="left" w:pos="851"/>
        </w:tabs>
        <w:ind w:left="851"/>
        <w:rPr>
          <w:sz w:val="24"/>
          <w:szCs w:val="24"/>
          <w:lang w:val="en-US"/>
        </w:rPr>
      </w:pPr>
      <w:r w:rsidRPr="00DA51B9">
        <w:rPr>
          <w:sz w:val="24"/>
          <w:szCs w:val="24"/>
          <w:lang w:val="en-US"/>
        </w:rPr>
        <w:t>Each 8 mg prolonged-release tablet contains 55,88 mg lactose monohydrate.</w:t>
      </w:r>
    </w:p>
    <w:p w14:paraId="36D4829C" w14:textId="77777777" w:rsidR="00DA51B9" w:rsidRPr="00DA51B9" w:rsidRDefault="00DA51B9" w:rsidP="00DA51B9">
      <w:pPr>
        <w:tabs>
          <w:tab w:val="left" w:pos="851"/>
        </w:tabs>
        <w:ind w:left="851"/>
        <w:rPr>
          <w:sz w:val="24"/>
          <w:szCs w:val="24"/>
          <w:lang w:val="en-US"/>
        </w:rPr>
      </w:pPr>
    </w:p>
    <w:p w14:paraId="11A3702B"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Each </w:t>
      </w:r>
      <w:proofErr w:type="spellStart"/>
      <w:r w:rsidRPr="00DA51B9">
        <w:rPr>
          <w:sz w:val="24"/>
          <w:szCs w:val="24"/>
          <w:lang w:val="en-US"/>
        </w:rPr>
        <w:t>Ropinirol</w:t>
      </w:r>
      <w:proofErr w:type="spellEnd"/>
      <w:r w:rsidRPr="00DA51B9">
        <w:rPr>
          <w:sz w:val="24"/>
          <w:szCs w:val="24"/>
          <w:lang w:val="en-US"/>
        </w:rPr>
        <w:t xml:space="preserve"> "Actavis" prolonged-release tablet contains approximately 0.2 mg glucose (component of maltodextrin) and 50 mg hydrogenated castor oil.</w:t>
      </w:r>
    </w:p>
    <w:p w14:paraId="4612DEC3" w14:textId="77777777" w:rsidR="00DA51B9" w:rsidRPr="00DA51B9" w:rsidRDefault="00DA51B9" w:rsidP="00DA51B9">
      <w:pPr>
        <w:tabs>
          <w:tab w:val="left" w:pos="851"/>
        </w:tabs>
        <w:ind w:left="851"/>
        <w:rPr>
          <w:sz w:val="24"/>
          <w:szCs w:val="24"/>
          <w:lang w:val="en-US"/>
        </w:rPr>
      </w:pPr>
    </w:p>
    <w:p w14:paraId="47CBBF7F" w14:textId="2A13457A" w:rsidR="007C5D2A" w:rsidRDefault="00DA51B9" w:rsidP="00DA51B9">
      <w:pPr>
        <w:tabs>
          <w:tab w:val="left" w:pos="851"/>
        </w:tabs>
        <w:ind w:left="851"/>
        <w:rPr>
          <w:sz w:val="24"/>
          <w:szCs w:val="24"/>
          <w:lang w:val="en-US"/>
        </w:rPr>
      </w:pPr>
      <w:r w:rsidRPr="00DA51B9">
        <w:rPr>
          <w:sz w:val="24"/>
          <w:szCs w:val="24"/>
          <w:lang w:val="en-US"/>
        </w:rPr>
        <w:t>For the full list of excipients, see section 6.1.</w:t>
      </w:r>
    </w:p>
    <w:p w14:paraId="405D1869" w14:textId="77777777" w:rsidR="009F2E71" w:rsidRPr="00DA51B9" w:rsidRDefault="009F2E71" w:rsidP="00DA51B9">
      <w:pPr>
        <w:tabs>
          <w:tab w:val="left" w:pos="851"/>
        </w:tabs>
        <w:ind w:left="851"/>
        <w:rPr>
          <w:sz w:val="24"/>
          <w:szCs w:val="24"/>
          <w:lang w:val="en-US"/>
        </w:rPr>
      </w:pPr>
    </w:p>
    <w:p w14:paraId="6E7E4D11"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3150EDE4" w14:textId="77777777" w:rsidR="00DA51B9" w:rsidRPr="00DA51B9" w:rsidRDefault="00DA51B9" w:rsidP="00DA51B9">
      <w:pPr>
        <w:tabs>
          <w:tab w:val="left" w:pos="851"/>
        </w:tabs>
        <w:ind w:left="851"/>
        <w:rPr>
          <w:sz w:val="24"/>
          <w:szCs w:val="24"/>
          <w:lang w:val="en-US"/>
        </w:rPr>
      </w:pPr>
      <w:r w:rsidRPr="00DA51B9">
        <w:rPr>
          <w:sz w:val="24"/>
          <w:szCs w:val="24"/>
          <w:lang w:val="en-US"/>
        </w:rPr>
        <w:t>Prolonged-release tablets</w:t>
      </w:r>
    </w:p>
    <w:p w14:paraId="08C31C3F" w14:textId="77777777" w:rsidR="00DA51B9" w:rsidRPr="00DA51B9" w:rsidRDefault="00DA51B9" w:rsidP="00DA51B9">
      <w:pPr>
        <w:tabs>
          <w:tab w:val="left" w:pos="851"/>
        </w:tabs>
        <w:ind w:left="851"/>
        <w:rPr>
          <w:sz w:val="24"/>
          <w:szCs w:val="24"/>
          <w:lang w:val="en-US"/>
        </w:rPr>
      </w:pPr>
    </w:p>
    <w:p w14:paraId="401F5D40" w14:textId="77777777" w:rsidR="00DA51B9" w:rsidRPr="00DA51B9" w:rsidRDefault="00DA51B9" w:rsidP="00DA51B9">
      <w:pPr>
        <w:tabs>
          <w:tab w:val="left" w:pos="851"/>
        </w:tabs>
        <w:ind w:left="851"/>
        <w:rPr>
          <w:sz w:val="24"/>
          <w:szCs w:val="24"/>
          <w:u w:val="single"/>
          <w:lang w:val="en-US"/>
        </w:rPr>
      </w:pPr>
      <w:proofErr w:type="spellStart"/>
      <w:r w:rsidRPr="00DA51B9">
        <w:rPr>
          <w:sz w:val="24"/>
          <w:szCs w:val="24"/>
          <w:u w:val="single"/>
          <w:lang w:val="en-US"/>
        </w:rPr>
        <w:t>Ropinirol</w:t>
      </w:r>
      <w:proofErr w:type="spellEnd"/>
      <w:r w:rsidRPr="00DA51B9">
        <w:rPr>
          <w:sz w:val="24"/>
          <w:szCs w:val="24"/>
          <w:u w:val="single"/>
          <w:lang w:val="en-US"/>
        </w:rPr>
        <w:t xml:space="preserve"> "Actavis" 2 mg prolonged-release tablets</w:t>
      </w:r>
    </w:p>
    <w:p w14:paraId="0E493B37" w14:textId="77777777" w:rsidR="00DA51B9" w:rsidRPr="00DA51B9" w:rsidRDefault="00DA51B9" w:rsidP="00DA51B9">
      <w:pPr>
        <w:tabs>
          <w:tab w:val="left" w:pos="851"/>
        </w:tabs>
        <w:ind w:left="851"/>
        <w:rPr>
          <w:sz w:val="24"/>
          <w:szCs w:val="24"/>
          <w:lang w:val="en-US"/>
        </w:rPr>
      </w:pPr>
      <w:r w:rsidRPr="00DA51B9">
        <w:rPr>
          <w:sz w:val="24"/>
          <w:szCs w:val="24"/>
          <w:lang w:val="en-US"/>
        </w:rPr>
        <w:t>Pink, mottled, oval tablet, 16.0×8.20 mm, with 2× debossed on one side.</w:t>
      </w:r>
    </w:p>
    <w:p w14:paraId="2A717417" w14:textId="77777777" w:rsidR="00DA51B9" w:rsidRPr="00DA51B9" w:rsidRDefault="00DA51B9" w:rsidP="00DA51B9">
      <w:pPr>
        <w:tabs>
          <w:tab w:val="left" w:pos="851"/>
        </w:tabs>
        <w:ind w:left="851"/>
        <w:rPr>
          <w:sz w:val="24"/>
          <w:szCs w:val="24"/>
          <w:lang w:val="en-US"/>
        </w:rPr>
      </w:pPr>
    </w:p>
    <w:p w14:paraId="5D7F584A" w14:textId="77777777" w:rsidR="00DA51B9" w:rsidRPr="00DA51B9" w:rsidRDefault="00DA51B9" w:rsidP="00DA51B9">
      <w:pPr>
        <w:tabs>
          <w:tab w:val="left" w:pos="851"/>
        </w:tabs>
        <w:ind w:left="851"/>
        <w:rPr>
          <w:sz w:val="24"/>
          <w:szCs w:val="24"/>
          <w:u w:val="single"/>
          <w:lang w:val="en-US"/>
        </w:rPr>
      </w:pPr>
      <w:proofErr w:type="spellStart"/>
      <w:r w:rsidRPr="00DA51B9">
        <w:rPr>
          <w:sz w:val="24"/>
          <w:szCs w:val="24"/>
          <w:u w:val="single"/>
          <w:lang w:val="en-US"/>
        </w:rPr>
        <w:t>Ropinirol</w:t>
      </w:r>
      <w:proofErr w:type="spellEnd"/>
      <w:r w:rsidRPr="00DA51B9">
        <w:rPr>
          <w:sz w:val="24"/>
          <w:szCs w:val="24"/>
          <w:u w:val="single"/>
          <w:lang w:val="en-US"/>
        </w:rPr>
        <w:t xml:space="preserve"> "Actavis" 3 mg prolonged-release tablets</w:t>
      </w:r>
    </w:p>
    <w:p w14:paraId="796B0916" w14:textId="77777777" w:rsidR="00DA51B9" w:rsidRPr="00DA51B9" w:rsidRDefault="00DA51B9" w:rsidP="00DA51B9">
      <w:pPr>
        <w:tabs>
          <w:tab w:val="left" w:pos="851"/>
        </w:tabs>
        <w:ind w:left="851"/>
        <w:rPr>
          <w:sz w:val="24"/>
          <w:szCs w:val="24"/>
          <w:lang w:val="en-US"/>
        </w:rPr>
      </w:pPr>
      <w:r w:rsidRPr="00DA51B9">
        <w:rPr>
          <w:sz w:val="24"/>
          <w:szCs w:val="24"/>
          <w:lang w:val="en-US"/>
        </w:rPr>
        <w:t>Purple, mottled, oval tablet, 16.0×8.20 mm, with 3× debossed on one side.</w:t>
      </w:r>
    </w:p>
    <w:p w14:paraId="6E6F8C0B" w14:textId="3B4B3D94" w:rsidR="007F65C0" w:rsidRDefault="007F65C0">
      <w:pPr>
        <w:rPr>
          <w:sz w:val="24"/>
          <w:szCs w:val="24"/>
          <w:lang w:val="en-US"/>
        </w:rPr>
      </w:pPr>
      <w:r>
        <w:rPr>
          <w:sz w:val="24"/>
          <w:szCs w:val="24"/>
          <w:lang w:val="en-US"/>
        </w:rPr>
        <w:br w:type="page"/>
      </w:r>
    </w:p>
    <w:p w14:paraId="50862CEF" w14:textId="77777777" w:rsidR="00DA51B9" w:rsidRPr="00DA51B9" w:rsidRDefault="00DA51B9" w:rsidP="00DA51B9">
      <w:pPr>
        <w:tabs>
          <w:tab w:val="left" w:pos="851"/>
        </w:tabs>
        <w:ind w:left="851"/>
        <w:rPr>
          <w:sz w:val="24"/>
          <w:szCs w:val="24"/>
          <w:lang w:val="en-US"/>
        </w:rPr>
      </w:pPr>
    </w:p>
    <w:p w14:paraId="485C668D" w14:textId="77777777" w:rsidR="00DA51B9" w:rsidRPr="00DA51B9" w:rsidRDefault="00DA51B9" w:rsidP="00DA51B9">
      <w:pPr>
        <w:tabs>
          <w:tab w:val="left" w:pos="851"/>
        </w:tabs>
        <w:ind w:left="851"/>
        <w:rPr>
          <w:sz w:val="24"/>
          <w:szCs w:val="24"/>
          <w:u w:val="single"/>
          <w:lang w:val="en-US"/>
        </w:rPr>
      </w:pPr>
      <w:proofErr w:type="spellStart"/>
      <w:r w:rsidRPr="00DA51B9">
        <w:rPr>
          <w:sz w:val="24"/>
          <w:szCs w:val="24"/>
          <w:u w:val="single"/>
          <w:lang w:val="en-US"/>
        </w:rPr>
        <w:t>Ropinirol</w:t>
      </w:r>
      <w:proofErr w:type="spellEnd"/>
      <w:r w:rsidRPr="00DA51B9">
        <w:rPr>
          <w:sz w:val="24"/>
          <w:szCs w:val="24"/>
          <w:u w:val="single"/>
          <w:lang w:val="en-US"/>
        </w:rPr>
        <w:t xml:space="preserve"> "Actavis" 4 mg prolonged-release tablets</w:t>
      </w:r>
    </w:p>
    <w:p w14:paraId="1BD70013" w14:textId="77777777" w:rsidR="00DA51B9" w:rsidRPr="00DA51B9" w:rsidRDefault="00DA51B9" w:rsidP="00DA51B9">
      <w:pPr>
        <w:tabs>
          <w:tab w:val="left" w:pos="851"/>
        </w:tabs>
        <w:ind w:left="851"/>
        <w:rPr>
          <w:sz w:val="24"/>
          <w:szCs w:val="24"/>
          <w:lang w:val="en-US"/>
        </w:rPr>
      </w:pPr>
      <w:r w:rsidRPr="00DA51B9">
        <w:rPr>
          <w:sz w:val="24"/>
          <w:szCs w:val="24"/>
          <w:lang w:val="en-US"/>
        </w:rPr>
        <w:t>Brown, mottled, oval tablet, 16.0×8.20 mm, with 4× debossed on one side.</w:t>
      </w:r>
    </w:p>
    <w:p w14:paraId="222A8C01" w14:textId="77777777" w:rsidR="00DA51B9" w:rsidRPr="00DA51B9" w:rsidRDefault="00DA51B9" w:rsidP="00DA51B9">
      <w:pPr>
        <w:tabs>
          <w:tab w:val="left" w:pos="851"/>
        </w:tabs>
        <w:ind w:left="851"/>
        <w:rPr>
          <w:sz w:val="24"/>
          <w:szCs w:val="24"/>
          <w:lang w:val="en-US"/>
        </w:rPr>
      </w:pPr>
    </w:p>
    <w:p w14:paraId="5549D78E" w14:textId="77777777" w:rsidR="00DA51B9" w:rsidRPr="00DA51B9" w:rsidRDefault="00DA51B9" w:rsidP="00DA51B9">
      <w:pPr>
        <w:tabs>
          <w:tab w:val="left" w:pos="851"/>
        </w:tabs>
        <w:ind w:left="851"/>
        <w:rPr>
          <w:sz w:val="24"/>
          <w:szCs w:val="24"/>
          <w:u w:val="single"/>
          <w:lang w:val="en-US"/>
        </w:rPr>
      </w:pPr>
      <w:proofErr w:type="spellStart"/>
      <w:r w:rsidRPr="00DA51B9">
        <w:rPr>
          <w:sz w:val="24"/>
          <w:szCs w:val="24"/>
          <w:u w:val="single"/>
          <w:lang w:val="en-US"/>
        </w:rPr>
        <w:t>Ropinirol</w:t>
      </w:r>
      <w:proofErr w:type="spellEnd"/>
      <w:r w:rsidRPr="00DA51B9">
        <w:rPr>
          <w:sz w:val="24"/>
          <w:szCs w:val="24"/>
          <w:u w:val="single"/>
          <w:lang w:val="en-US"/>
        </w:rPr>
        <w:t xml:space="preserve"> "Actavis" 6 mg prolonged-release tablets</w:t>
      </w:r>
    </w:p>
    <w:p w14:paraId="0CDF5096" w14:textId="77777777" w:rsidR="00DA51B9" w:rsidRPr="00DA51B9" w:rsidRDefault="00DA51B9" w:rsidP="00DA51B9">
      <w:pPr>
        <w:tabs>
          <w:tab w:val="left" w:pos="851"/>
        </w:tabs>
        <w:ind w:left="851"/>
        <w:rPr>
          <w:sz w:val="24"/>
          <w:szCs w:val="24"/>
          <w:lang w:val="en-US"/>
        </w:rPr>
      </w:pPr>
      <w:r w:rsidRPr="00DA51B9">
        <w:rPr>
          <w:sz w:val="24"/>
          <w:szCs w:val="24"/>
          <w:lang w:val="en-US"/>
        </w:rPr>
        <w:t>White, oval tablet, 16.0×8.20 mm, with 6× debossed on one side.</w:t>
      </w:r>
    </w:p>
    <w:p w14:paraId="6E23307A" w14:textId="77777777" w:rsidR="00DA51B9" w:rsidRPr="00DA51B9" w:rsidRDefault="00DA51B9" w:rsidP="00DA51B9">
      <w:pPr>
        <w:tabs>
          <w:tab w:val="left" w:pos="851"/>
        </w:tabs>
        <w:ind w:left="851"/>
        <w:rPr>
          <w:sz w:val="24"/>
          <w:szCs w:val="24"/>
          <w:lang w:val="en-US"/>
        </w:rPr>
      </w:pPr>
    </w:p>
    <w:p w14:paraId="5707BC0B" w14:textId="77777777" w:rsidR="00DA51B9" w:rsidRPr="00DA51B9" w:rsidRDefault="00DA51B9" w:rsidP="00DA51B9">
      <w:pPr>
        <w:tabs>
          <w:tab w:val="left" w:pos="851"/>
        </w:tabs>
        <w:ind w:left="851"/>
        <w:rPr>
          <w:sz w:val="24"/>
          <w:szCs w:val="24"/>
          <w:u w:val="single"/>
          <w:lang w:val="en-US"/>
        </w:rPr>
      </w:pPr>
      <w:proofErr w:type="spellStart"/>
      <w:r w:rsidRPr="00DA51B9">
        <w:rPr>
          <w:sz w:val="24"/>
          <w:szCs w:val="24"/>
          <w:u w:val="single"/>
          <w:lang w:val="en-US"/>
        </w:rPr>
        <w:t>Ropinirol</w:t>
      </w:r>
      <w:proofErr w:type="spellEnd"/>
      <w:r w:rsidRPr="00DA51B9">
        <w:rPr>
          <w:sz w:val="24"/>
          <w:szCs w:val="24"/>
          <w:u w:val="single"/>
          <w:lang w:val="en-US"/>
        </w:rPr>
        <w:t xml:space="preserve"> "Actavis" 8 mg prolonged-release tablets</w:t>
      </w:r>
    </w:p>
    <w:p w14:paraId="5EC5D86C" w14:textId="77777777" w:rsidR="00DA51B9" w:rsidRPr="00DA51B9" w:rsidRDefault="00DA51B9" w:rsidP="00DA51B9">
      <w:pPr>
        <w:tabs>
          <w:tab w:val="left" w:pos="851"/>
        </w:tabs>
        <w:ind w:left="851"/>
        <w:rPr>
          <w:sz w:val="24"/>
          <w:szCs w:val="24"/>
          <w:lang w:val="en-US"/>
        </w:rPr>
      </w:pPr>
      <w:r w:rsidRPr="00DA51B9">
        <w:rPr>
          <w:sz w:val="24"/>
          <w:szCs w:val="24"/>
          <w:lang w:val="en-US"/>
        </w:rPr>
        <w:t>Dark pink, mottled, oval tablet, 16.0×8.20 mm, with 8× debossed on one side.</w:t>
      </w:r>
    </w:p>
    <w:p w14:paraId="2E1FF381" w14:textId="77777777" w:rsidR="007C5D2A" w:rsidRPr="00303008" w:rsidRDefault="007C5D2A" w:rsidP="004A3BF4">
      <w:pPr>
        <w:tabs>
          <w:tab w:val="left" w:pos="851"/>
        </w:tabs>
        <w:ind w:left="851"/>
        <w:rPr>
          <w:sz w:val="24"/>
          <w:szCs w:val="24"/>
          <w:lang w:val="en-GB"/>
        </w:rPr>
      </w:pPr>
    </w:p>
    <w:p w14:paraId="1ACD7A33" w14:textId="77777777" w:rsidR="007C5D2A" w:rsidRPr="00303008" w:rsidRDefault="007C5D2A" w:rsidP="004A3BF4">
      <w:pPr>
        <w:tabs>
          <w:tab w:val="left" w:pos="851"/>
        </w:tabs>
        <w:ind w:left="851"/>
        <w:rPr>
          <w:sz w:val="24"/>
          <w:szCs w:val="24"/>
          <w:lang w:val="en-GB"/>
        </w:rPr>
      </w:pPr>
    </w:p>
    <w:p w14:paraId="57D5C44D"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3ED8ACA4" w14:textId="77777777" w:rsidR="007C5D2A" w:rsidRPr="00303008" w:rsidRDefault="007C5D2A" w:rsidP="004A3BF4">
      <w:pPr>
        <w:tabs>
          <w:tab w:val="left" w:pos="851"/>
        </w:tabs>
        <w:ind w:left="851"/>
        <w:rPr>
          <w:sz w:val="24"/>
          <w:szCs w:val="24"/>
          <w:lang w:val="en-GB"/>
        </w:rPr>
      </w:pPr>
    </w:p>
    <w:p w14:paraId="1963F449"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36AA1C0A" w14:textId="77777777" w:rsidR="00DA51B9" w:rsidRPr="00DA51B9" w:rsidRDefault="00DA51B9" w:rsidP="00DA51B9">
      <w:pPr>
        <w:tabs>
          <w:tab w:val="left" w:pos="851"/>
        </w:tabs>
        <w:ind w:left="851"/>
        <w:rPr>
          <w:sz w:val="24"/>
          <w:szCs w:val="24"/>
          <w:lang w:val="en-US"/>
        </w:rPr>
      </w:pPr>
      <w:r w:rsidRPr="00DA51B9">
        <w:rPr>
          <w:sz w:val="24"/>
          <w:szCs w:val="24"/>
          <w:lang w:val="en-US"/>
        </w:rPr>
        <w:t>Treatment of Parkinson’s disease under the following conditions:</w:t>
      </w:r>
    </w:p>
    <w:p w14:paraId="370270A5" w14:textId="77777777" w:rsidR="00DA51B9" w:rsidRPr="00DA51B9" w:rsidRDefault="00DA51B9" w:rsidP="00DA51B9">
      <w:pPr>
        <w:ind w:left="1134" w:hanging="283"/>
        <w:rPr>
          <w:sz w:val="24"/>
          <w:szCs w:val="24"/>
          <w:lang w:val="en-US"/>
        </w:rPr>
      </w:pPr>
      <w:r w:rsidRPr="00DA51B9">
        <w:rPr>
          <w:sz w:val="24"/>
          <w:szCs w:val="24"/>
          <w:lang w:val="en-US"/>
        </w:rPr>
        <w:t>-</w:t>
      </w:r>
      <w:r w:rsidRPr="00DA51B9">
        <w:rPr>
          <w:sz w:val="24"/>
          <w:szCs w:val="24"/>
          <w:lang w:val="en-US"/>
        </w:rPr>
        <w:tab/>
        <w:t>Initial treatment as monotherapy, in order to delay the introduction of levodopa.</w:t>
      </w:r>
    </w:p>
    <w:p w14:paraId="73A82894" w14:textId="77777777" w:rsidR="00DA51B9" w:rsidRPr="00DA51B9" w:rsidRDefault="00DA51B9" w:rsidP="00DA51B9">
      <w:pPr>
        <w:ind w:left="1134" w:hanging="283"/>
        <w:rPr>
          <w:sz w:val="24"/>
          <w:szCs w:val="24"/>
          <w:lang w:val="en-US"/>
        </w:rPr>
      </w:pPr>
      <w:r w:rsidRPr="00DA51B9">
        <w:rPr>
          <w:sz w:val="24"/>
          <w:szCs w:val="24"/>
          <w:lang w:val="en-US"/>
        </w:rPr>
        <w:t>-</w:t>
      </w:r>
      <w:r w:rsidRPr="00DA51B9">
        <w:rPr>
          <w:sz w:val="24"/>
          <w:szCs w:val="24"/>
          <w:lang w:val="en-US"/>
        </w:rPr>
        <w:tab/>
        <w:t>In combination with levodopa, over the course of the disease, when the effect of levodopa wears off or becomes inconsistent and fluctuations in the therapeutic effect occur (“end of dose” or “on</w:t>
      </w:r>
      <w:r w:rsidRPr="00DA51B9">
        <w:rPr>
          <w:sz w:val="24"/>
          <w:szCs w:val="24"/>
          <w:lang w:val="en-US"/>
        </w:rPr>
        <w:noBreakHyphen/>
        <w:t>off” type fluctuations).</w:t>
      </w:r>
    </w:p>
    <w:p w14:paraId="3C51CB08" w14:textId="77777777" w:rsidR="007C5D2A" w:rsidRPr="00303008" w:rsidRDefault="007C5D2A" w:rsidP="00A85D26">
      <w:pPr>
        <w:tabs>
          <w:tab w:val="left" w:pos="851"/>
        </w:tabs>
        <w:ind w:left="851"/>
        <w:rPr>
          <w:sz w:val="24"/>
          <w:szCs w:val="24"/>
          <w:lang w:val="en-GB"/>
        </w:rPr>
      </w:pPr>
    </w:p>
    <w:p w14:paraId="28E6D018"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5E2C5219" w14:textId="77777777" w:rsidR="009F2E71" w:rsidRPr="009F2E71" w:rsidRDefault="009F2E71" w:rsidP="00DA51B9">
      <w:pPr>
        <w:tabs>
          <w:tab w:val="left" w:pos="851"/>
        </w:tabs>
        <w:ind w:left="851"/>
        <w:rPr>
          <w:sz w:val="24"/>
          <w:szCs w:val="24"/>
          <w:lang w:val="en-US"/>
        </w:rPr>
      </w:pPr>
    </w:p>
    <w:p w14:paraId="12CCA119" w14:textId="4E7E4BBC" w:rsidR="00DA51B9" w:rsidRPr="00DA51B9" w:rsidRDefault="00DA51B9" w:rsidP="00DA51B9">
      <w:pPr>
        <w:tabs>
          <w:tab w:val="left" w:pos="851"/>
        </w:tabs>
        <w:ind w:left="851"/>
        <w:rPr>
          <w:b/>
          <w:sz w:val="24"/>
          <w:szCs w:val="24"/>
          <w:lang w:val="en-US"/>
        </w:rPr>
      </w:pPr>
      <w:r w:rsidRPr="00DA51B9">
        <w:rPr>
          <w:b/>
          <w:sz w:val="24"/>
          <w:szCs w:val="24"/>
          <w:lang w:val="en-US"/>
        </w:rPr>
        <w:t>Posology</w:t>
      </w:r>
    </w:p>
    <w:p w14:paraId="4F4D0057" w14:textId="77777777" w:rsidR="00DA51B9" w:rsidRPr="00DA51B9" w:rsidRDefault="00DA51B9" w:rsidP="00DA51B9">
      <w:pPr>
        <w:tabs>
          <w:tab w:val="left" w:pos="851"/>
        </w:tabs>
        <w:ind w:left="851"/>
        <w:rPr>
          <w:sz w:val="24"/>
          <w:szCs w:val="24"/>
          <w:lang w:val="en-US"/>
        </w:rPr>
      </w:pPr>
    </w:p>
    <w:p w14:paraId="5812F5A7"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Adults</w:t>
      </w:r>
    </w:p>
    <w:p w14:paraId="6A66DEA8"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Individual dose titration against efficacy and tolerability is recommended. </w:t>
      </w:r>
      <w:proofErr w:type="spellStart"/>
      <w:r w:rsidRPr="00DA51B9">
        <w:rPr>
          <w:sz w:val="24"/>
          <w:szCs w:val="24"/>
          <w:lang w:val="en-US"/>
        </w:rPr>
        <w:t>Ropinirol</w:t>
      </w:r>
      <w:proofErr w:type="spellEnd"/>
      <w:r w:rsidRPr="00DA51B9">
        <w:rPr>
          <w:sz w:val="24"/>
          <w:szCs w:val="24"/>
          <w:lang w:val="en-US"/>
        </w:rPr>
        <w:t xml:space="preserve"> "Actavis" prolonged-release tablets should be taken once a day, at a similar time each day. The prolonged-release tablets may be taken with or without food (see section 5.2).</w:t>
      </w:r>
    </w:p>
    <w:p w14:paraId="0778CED1" w14:textId="77777777" w:rsidR="00DA51B9" w:rsidRPr="00DA51B9" w:rsidRDefault="00DA51B9" w:rsidP="00DA51B9">
      <w:pPr>
        <w:tabs>
          <w:tab w:val="left" w:pos="851"/>
        </w:tabs>
        <w:ind w:left="851"/>
        <w:rPr>
          <w:iCs/>
          <w:sz w:val="24"/>
          <w:szCs w:val="24"/>
          <w:lang w:val="en-US"/>
        </w:rPr>
      </w:pPr>
    </w:p>
    <w:p w14:paraId="40A2DE19" w14:textId="77777777" w:rsidR="00DA51B9" w:rsidRPr="00DA51B9" w:rsidRDefault="00DA51B9" w:rsidP="00DA51B9">
      <w:pPr>
        <w:tabs>
          <w:tab w:val="left" w:pos="851"/>
        </w:tabs>
        <w:ind w:left="851"/>
        <w:rPr>
          <w:i/>
          <w:iCs/>
          <w:sz w:val="24"/>
          <w:szCs w:val="24"/>
          <w:lang w:val="en-US"/>
        </w:rPr>
      </w:pPr>
      <w:r w:rsidRPr="00DA51B9">
        <w:rPr>
          <w:i/>
          <w:iCs/>
          <w:sz w:val="24"/>
          <w:szCs w:val="24"/>
          <w:lang w:val="en-US"/>
        </w:rPr>
        <w:t>Initial titration</w:t>
      </w:r>
    </w:p>
    <w:p w14:paraId="432F4B6F" w14:textId="77777777" w:rsidR="00DA51B9" w:rsidRPr="00DA51B9" w:rsidRDefault="00DA51B9" w:rsidP="00DA51B9">
      <w:pPr>
        <w:tabs>
          <w:tab w:val="left" w:pos="851"/>
        </w:tabs>
        <w:ind w:left="851"/>
        <w:rPr>
          <w:sz w:val="24"/>
          <w:szCs w:val="24"/>
          <w:lang w:val="en-US"/>
        </w:rPr>
      </w:pPr>
      <w:r w:rsidRPr="00DA51B9">
        <w:rPr>
          <w:sz w:val="24"/>
          <w:szCs w:val="24"/>
          <w:lang w:val="en-US"/>
        </w:rPr>
        <w:t>The starting dose of ropinirole prolonged-release tablets is 2 mg once daily for the first week; this should be increased to 4 mg once daily from the second week of treatment. A therapeutic response may be seen at a dose of 4 mg once daily of ropinirole prolonged-release tablets.</w:t>
      </w:r>
    </w:p>
    <w:p w14:paraId="086DBFD0" w14:textId="77777777" w:rsidR="00DA51B9" w:rsidRPr="00DA51B9" w:rsidRDefault="00DA51B9" w:rsidP="00DA51B9">
      <w:pPr>
        <w:tabs>
          <w:tab w:val="left" w:pos="851"/>
        </w:tabs>
        <w:ind w:left="851"/>
        <w:rPr>
          <w:sz w:val="24"/>
          <w:szCs w:val="24"/>
          <w:lang w:val="en-US"/>
        </w:rPr>
      </w:pPr>
    </w:p>
    <w:p w14:paraId="756443E9"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Patients who initiate treatment with a dose of 2 mg/day of ropinirole prolonged-release tablets and who experience </w:t>
      </w:r>
      <w:r>
        <w:rPr>
          <w:szCs w:val="22"/>
          <w:lang w:val="en-US"/>
        </w:rPr>
        <w:t>undesirable</w:t>
      </w:r>
      <w:r w:rsidRPr="00DA51B9">
        <w:rPr>
          <w:sz w:val="24"/>
          <w:szCs w:val="24"/>
          <w:lang w:val="en-US"/>
        </w:rPr>
        <w:t xml:space="preserve"> effects that they cannot tolerate, may benefit from switching to treatment with ropinirole film-coated (immediate release) tablets at a lower daily dose, divided into three equal doses.</w:t>
      </w:r>
    </w:p>
    <w:p w14:paraId="228E2813" w14:textId="77777777" w:rsidR="00DA51B9" w:rsidRPr="00DA51B9" w:rsidRDefault="00DA51B9" w:rsidP="00DA51B9">
      <w:pPr>
        <w:tabs>
          <w:tab w:val="left" w:pos="851"/>
        </w:tabs>
        <w:ind w:left="851"/>
        <w:rPr>
          <w:i/>
          <w:iCs/>
          <w:sz w:val="24"/>
          <w:szCs w:val="24"/>
          <w:lang w:val="en-US"/>
        </w:rPr>
      </w:pPr>
    </w:p>
    <w:p w14:paraId="42A42011" w14:textId="77777777" w:rsidR="00DA51B9" w:rsidRPr="00DA51B9" w:rsidRDefault="00DA51B9" w:rsidP="00DA51B9">
      <w:pPr>
        <w:tabs>
          <w:tab w:val="left" w:pos="851"/>
        </w:tabs>
        <w:ind w:left="851"/>
        <w:rPr>
          <w:i/>
          <w:iCs/>
          <w:sz w:val="24"/>
          <w:szCs w:val="24"/>
          <w:lang w:val="en-US"/>
        </w:rPr>
      </w:pPr>
      <w:r w:rsidRPr="00DA51B9">
        <w:rPr>
          <w:i/>
          <w:iCs/>
          <w:sz w:val="24"/>
          <w:szCs w:val="24"/>
          <w:lang w:val="en-US"/>
        </w:rPr>
        <w:t>Therapeutic regimen</w:t>
      </w:r>
    </w:p>
    <w:p w14:paraId="2D6F0ABD" w14:textId="77777777" w:rsidR="00DA51B9" w:rsidRPr="00DA51B9" w:rsidRDefault="00DA51B9" w:rsidP="00DA51B9">
      <w:pPr>
        <w:tabs>
          <w:tab w:val="left" w:pos="851"/>
        </w:tabs>
        <w:ind w:left="851"/>
        <w:rPr>
          <w:sz w:val="24"/>
          <w:szCs w:val="24"/>
          <w:lang w:val="en-US"/>
        </w:rPr>
      </w:pPr>
      <w:r w:rsidRPr="00DA51B9">
        <w:rPr>
          <w:sz w:val="24"/>
          <w:szCs w:val="24"/>
          <w:lang w:val="en-US"/>
        </w:rPr>
        <w:t>Patients should be maintained on the lowest dose of ropinirole prolonged-release tablets that achieve symptomatic control.</w:t>
      </w:r>
    </w:p>
    <w:p w14:paraId="17FBB0FB" w14:textId="77777777" w:rsidR="00DA51B9" w:rsidRPr="00DA51B9" w:rsidRDefault="00DA51B9" w:rsidP="00DA51B9">
      <w:pPr>
        <w:tabs>
          <w:tab w:val="left" w:pos="851"/>
        </w:tabs>
        <w:ind w:left="851"/>
        <w:rPr>
          <w:sz w:val="24"/>
          <w:szCs w:val="24"/>
          <w:lang w:val="en-US"/>
        </w:rPr>
      </w:pPr>
    </w:p>
    <w:p w14:paraId="2DC14921" w14:textId="77777777" w:rsidR="00DA51B9" w:rsidRPr="00DA51B9" w:rsidRDefault="00DA51B9" w:rsidP="00DA51B9">
      <w:pPr>
        <w:tabs>
          <w:tab w:val="left" w:pos="851"/>
        </w:tabs>
        <w:ind w:left="851"/>
        <w:rPr>
          <w:sz w:val="24"/>
          <w:szCs w:val="24"/>
          <w:lang w:val="en-US"/>
        </w:rPr>
      </w:pPr>
      <w:r w:rsidRPr="00DA51B9">
        <w:rPr>
          <w:sz w:val="24"/>
          <w:szCs w:val="24"/>
          <w:lang w:val="en-US"/>
        </w:rPr>
        <w:t>If sufficient symptomatic control is not achieved or maintained at a dose of 4 mg once daily of ropinirole prolonged-release tablets, the daily dose may be increased by 2 mg at weekly or longer intervals up to a dose of 8 mg once daily of ropinirole prolonged-release tablets.</w:t>
      </w:r>
    </w:p>
    <w:p w14:paraId="6B1F3673" w14:textId="77777777" w:rsidR="00DA51B9" w:rsidRPr="00DA51B9" w:rsidRDefault="00DA51B9" w:rsidP="00DA51B9">
      <w:pPr>
        <w:tabs>
          <w:tab w:val="left" w:pos="851"/>
        </w:tabs>
        <w:ind w:left="851"/>
        <w:rPr>
          <w:sz w:val="24"/>
          <w:szCs w:val="24"/>
          <w:lang w:val="en-US"/>
        </w:rPr>
      </w:pPr>
    </w:p>
    <w:p w14:paraId="2778D436"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If sufficient symptomatic control is still not achieved or maintained at a dose of 8 mg once daily of ropinirole prolonged-release tablets, the daily dose may be increased by 2 mg to </w:t>
      </w:r>
      <w:r w:rsidRPr="00DA51B9">
        <w:rPr>
          <w:sz w:val="24"/>
          <w:szCs w:val="24"/>
          <w:lang w:val="en-US"/>
        </w:rPr>
        <w:lastRenderedPageBreak/>
        <w:t>4 mg at two weekly or longer intervals. The maximum daily dose of ropinirole prolonged-release tablets is 24 mg.</w:t>
      </w:r>
    </w:p>
    <w:p w14:paraId="6171EDF6" w14:textId="77777777" w:rsidR="00DA51B9" w:rsidRPr="00DA51B9" w:rsidRDefault="00DA51B9" w:rsidP="00DA51B9">
      <w:pPr>
        <w:tabs>
          <w:tab w:val="left" w:pos="851"/>
        </w:tabs>
        <w:ind w:left="851"/>
        <w:rPr>
          <w:sz w:val="24"/>
          <w:szCs w:val="24"/>
          <w:lang w:val="en-US"/>
        </w:rPr>
      </w:pPr>
    </w:p>
    <w:p w14:paraId="6AC2E81B"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It is recommended that patients are prescribed the minimum number of ropinirole prolonged-release tablets that are necessary to achieve the required dose by </w:t>
      </w:r>
      <w:proofErr w:type="spellStart"/>
      <w:r w:rsidRPr="00DA51B9">
        <w:rPr>
          <w:sz w:val="24"/>
          <w:szCs w:val="24"/>
          <w:lang w:val="en-US"/>
        </w:rPr>
        <w:t>utilising</w:t>
      </w:r>
      <w:proofErr w:type="spellEnd"/>
      <w:r w:rsidRPr="00DA51B9">
        <w:rPr>
          <w:sz w:val="24"/>
          <w:szCs w:val="24"/>
          <w:lang w:val="en-US"/>
        </w:rPr>
        <w:t xml:space="preserve"> the highest available strengths of ropinirole prolonged-release tablets.</w:t>
      </w:r>
    </w:p>
    <w:p w14:paraId="524F49AC" w14:textId="77777777" w:rsidR="00DA51B9" w:rsidRPr="00DA51B9" w:rsidRDefault="00DA51B9" w:rsidP="00DA51B9">
      <w:pPr>
        <w:tabs>
          <w:tab w:val="left" w:pos="851"/>
        </w:tabs>
        <w:ind w:left="851"/>
        <w:rPr>
          <w:sz w:val="24"/>
          <w:szCs w:val="24"/>
          <w:lang w:val="en-US"/>
        </w:rPr>
      </w:pPr>
    </w:p>
    <w:p w14:paraId="46CA1A9C" w14:textId="77777777" w:rsidR="00DA51B9" w:rsidRPr="00DA51B9" w:rsidRDefault="00DA51B9" w:rsidP="00DA51B9">
      <w:pPr>
        <w:tabs>
          <w:tab w:val="left" w:pos="851"/>
        </w:tabs>
        <w:ind w:left="851"/>
        <w:rPr>
          <w:sz w:val="24"/>
          <w:szCs w:val="24"/>
          <w:lang w:val="en-US"/>
        </w:rPr>
      </w:pPr>
      <w:r w:rsidRPr="00DA51B9">
        <w:rPr>
          <w:sz w:val="24"/>
          <w:szCs w:val="24"/>
          <w:lang w:val="en-US"/>
        </w:rPr>
        <w:t>If treatment is interrupted for one day or more, re-initiation by dose titration should be considered (see above).</w:t>
      </w:r>
    </w:p>
    <w:p w14:paraId="526BA551" w14:textId="77777777" w:rsidR="00DA51B9" w:rsidRPr="00DA51B9" w:rsidRDefault="00DA51B9" w:rsidP="00DA51B9">
      <w:pPr>
        <w:tabs>
          <w:tab w:val="left" w:pos="851"/>
        </w:tabs>
        <w:ind w:left="851"/>
        <w:rPr>
          <w:sz w:val="24"/>
          <w:szCs w:val="24"/>
          <w:lang w:val="en-US"/>
        </w:rPr>
      </w:pPr>
    </w:p>
    <w:p w14:paraId="06B1FBAE"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When </w:t>
      </w:r>
      <w:proofErr w:type="spellStart"/>
      <w:r w:rsidRPr="00DA51B9">
        <w:rPr>
          <w:sz w:val="24"/>
          <w:szCs w:val="24"/>
          <w:lang w:val="en-US"/>
        </w:rPr>
        <w:t>Ropinirol</w:t>
      </w:r>
      <w:proofErr w:type="spellEnd"/>
      <w:r w:rsidRPr="00DA51B9">
        <w:rPr>
          <w:sz w:val="24"/>
          <w:szCs w:val="24"/>
          <w:lang w:val="en-US"/>
        </w:rPr>
        <w:t xml:space="preserve"> "Actavis" prolonged-release tablets are administered as adjunct therapy to levodopa, it may be possible to reduce gradually the levodopa dose, depending on the clinical response. In clinical trials, the levodopa dose was reduced gradually by approximately 30 % in patients receiving ropinirole prolonged-release tablets concurrently. </w:t>
      </w:r>
    </w:p>
    <w:p w14:paraId="75110139" w14:textId="77777777" w:rsidR="00DA51B9" w:rsidRPr="00DA51B9" w:rsidRDefault="00DA51B9" w:rsidP="00DA51B9">
      <w:pPr>
        <w:tabs>
          <w:tab w:val="left" w:pos="851"/>
        </w:tabs>
        <w:ind w:left="851"/>
        <w:rPr>
          <w:sz w:val="24"/>
          <w:szCs w:val="24"/>
          <w:u w:val="single"/>
          <w:lang w:val="en-US"/>
        </w:rPr>
      </w:pPr>
    </w:p>
    <w:p w14:paraId="2868DEB2" w14:textId="77777777" w:rsidR="00DA51B9" w:rsidRPr="00DA51B9" w:rsidRDefault="00DA51B9" w:rsidP="00DA51B9">
      <w:pPr>
        <w:tabs>
          <w:tab w:val="left" w:pos="851"/>
        </w:tabs>
        <w:ind w:left="851"/>
        <w:rPr>
          <w:sz w:val="24"/>
          <w:szCs w:val="24"/>
          <w:lang w:val="en-US"/>
        </w:rPr>
      </w:pPr>
      <w:r w:rsidRPr="00DA51B9">
        <w:rPr>
          <w:sz w:val="24"/>
          <w:szCs w:val="24"/>
          <w:lang w:val="en-US"/>
        </w:rPr>
        <w:t>In patients with advanced Parkinson’s disease receiving ropinirole prolonged-release tablets in combination with L</w:t>
      </w:r>
      <w:r w:rsidRPr="00DA51B9">
        <w:rPr>
          <w:sz w:val="24"/>
          <w:szCs w:val="24"/>
          <w:lang w:val="en-US"/>
        </w:rPr>
        <w:noBreakHyphen/>
        <w:t>dopa, dyskinesias can occur during the initial titration of ropinirole prolonged-release tablets. In clinical trials it was shown that a reduction of the L</w:t>
      </w:r>
      <w:r w:rsidRPr="00DA51B9">
        <w:rPr>
          <w:sz w:val="24"/>
          <w:szCs w:val="24"/>
          <w:lang w:val="en-US"/>
        </w:rPr>
        <w:noBreakHyphen/>
        <w:t>dopa dose may ameliorate dyskinesia (see section 4.8).</w:t>
      </w:r>
    </w:p>
    <w:p w14:paraId="5A341739" w14:textId="77777777" w:rsidR="00DA51B9" w:rsidRPr="00DA51B9" w:rsidRDefault="00DA51B9" w:rsidP="00DA51B9">
      <w:pPr>
        <w:tabs>
          <w:tab w:val="left" w:pos="851"/>
        </w:tabs>
        <w:ind w:left="851"/>
        <w:rPr>
          <w:sz w:val="24"/>
          <w:szCs w:val="24"/>
          <w:lang w:val="en-US"/>
        </w:rPr>
      </w:pPr>
    </w:p>
    <w:p w14:paraId="1B6BC744"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When switching treatment from another dopamine agonist to ropinirole, the marketing </w:t>
      </w:r>
      <w:proofErr w:type="spellStart"/>
      <w:r w:rsidRPr="00DA51B9">
        <w:rPr>
          <w:sz w:val="24"/>
          <w:szCs w:val="24"/>
          <w:lang w:val="en-US"/>
        </w:rPr>
        <w:t>authorisation</w:t>
      </w:r>
      <w:proofErr w:type="spellEnd"/>
      <w:r w:rsidRPr="00DA51B9">
        <w:rPr>
          <w:sz w:val="24"/>
          <w:szCs w:val="24"/>
          <w:lang w:val="en-US"/>
        </w:rPr>
        <w:t xml:space="preserve"> holder’s guidance on discontinuation should be followed before initiating ropinirole.</w:t>
      </w:r>
    </w:p>
    <w:p w14:paraId="10C84237" w14:textId="77777777" w:rsidR="00DA51B9" w:rsidRPr="00DA51B9" w:rsidRDefault="00DA51B9" w:rsidP="00DA51B9">
      <w:pPr>
        <w:tabs>
          <w:tab w:val="left" w:pos="851"/>
        </w:tabs>
        <w:ind w:left="851"/>
        <w:rPr>
          <w:sz w:val="24"/>
          <w:szCs w:val="24"/>
          <w:lang w:val="en-US"/>
        </w:rPr>
      </w:pPr>
    </w:p>
    <w:p w14:paraId="6DA0E888" w14:textId="77777777" w:rsidR="00DA51B9" w:rsidRPr="00DA51B9" w:rsidRDefault="00DA51B9" w:rsidP="00DA51B9">
      <w:pPr>
        <w:tabs>
          <w:tab w:val="left" w:pos="851"/>
        </w:tabs>
        <w:ind w:left="851"/>
        <w:rPr>
          <w:i/>
          <w:sz w:val="24"/>
          <w:szCs w:val="24"/>
          <w:lang w:val="en-US"/>
        </w:rPr>
      </w:pPr>
      <w:r w:rsidRPr="00DA51B9">
        <w:rPr>
          <w:i/>
          <w:sz w:val="24"/>
          <w:szCs w:val="24"/>
          <w:lang w:val="en-US"/>
        </w:rPr>
        <w:t>Treatment discontinuation</w:t>
      </w:r>
    </w:p>
    <w:p w14:paraId="51059E38" w14:textId="77777777" w:rsidR="00DA51B9" w:rsidRPr="00DA51B9" w:rsidRDefault="00DA51B9" w:rsidP="00DA51B9">
      <w:pPr>
        <w:tabs>
          <w:tab w:val="left" w:pos="851"/>
        </w:tabs>
        <w:ind w:left="851"/>
        <w:rPr>
          <w:sz w:val="24"/>
          <w:szCs w:val="24"/>
          <w:lang w:val="en-US"/>
        </w:rPr>
      </w:pPr>
      <w:r w:rsidRPr="00DA51B9">
        <w:rPr>
          <w:sz w:val="24"/>
          <w:szCs w:val="24"/>
          <w:lang w:val="en-US"/>
        </w:rPr>
        <w:t>As with other dopamine agonists, it is necessary to discontinue ropinirole treatment gradually by reducing the daily dose over the period of one week (see section 4.4).</w:t>
      </w:r>
    </w:p>
    <w:p w14:paraId="5F93AB13" w14:textId="77777777" w:rsidR="00DA51B9" w:rsidRPr="00DA51B9" w:rsidRDefault="00DA51B9" w:rsidP="00DA51B9">
      <w:pPr>
        <w:tabs>
          <w:tab w:val="left" w:pos="851"/>
        </w:tabs>
        <w:ind w:left="851"/>
        <w:rPr>
          <w:sz w:val="24"/>
          <w:szCs w:val="24"/>
          <w:lang w:val="en-US"/>
        </w:rPr>
      </w:pPr>
    </w:p>
    <w:p w14:paraId="3F16E4D9" w14:textId="77777777" w:rsidR="00DA51B9" w:rsidRPr="00DA51B9" w:rsidRDefault="00DA51B9" w:rsidP="00DA51B9">
      <w:pPr>
        <w:tabs>
          <w:tab w:val="left" w:pos="851"/>
        </w:tabs>
        <w:ind w:left="851"/>
        <w:rPr>
          <w:sz w:val="24"/>
          <w:szCs w:val="24"/>
          <w:lang w:val="en-US"/>
        </w:rPr>
      </w:pPr>
      <w:r w:rsidRPr="00DA51B9">
        <w:rPr>
          <w:i/>
          <w:iCs/>
          <w:sz w:val="24"/>
          <w:szCs w:val="24"/>
          <w:lang w:val="en-US"/>
        </w:rPr>
        <w:t xml:space="preserve">Switching from ropinirole film-coated (immediate-release) tablets to </w:t>
      </w:r>
      <w:proofErr w:type="spellStart"/>
      <w:r w:rsidRPr="00DA51B9">
        <w:rPr>
          <w:i/>
          <w:iCs/>
          <w:sz w:val="24"/>
          <w:szCs w:val="24"/>
          <w:lang w:val="en-US"/>
        </w:rPr>
        <w:t>Ropinirol</w:t>
      </w:r>
      <w:proofErr w:type="spellEnd"/>
      <w:r w:rsidRPr="00DA51B9">
        <w:rPr>
          <w:i/>
          <w:iCs/>
          <w:sz w:val="24"/>
          <w:szCs w:val="24"/>
          <w:lang w:val="en-US"/>
        </w:rPr>
        <w:t xml:space="preserve"> "Actavis" prolonged-release tablets </w:t>
      </w:r>
      <w:r w:rsidRPr="00DA51B9">
        <w:rPr>
          <w:sz w:val="24"/>
          <w:szCs w:val="24"/>
          <w:lang w:val="en-US"/>
        </w:rPr>
        <w:t xml:space="preserve">Patients may be switched overnight from ropinirole film-coated (immediate-release) tablets to </w:t>
      </w:r>
      <w:proofErr w:type="spellStart"/>
      <w:r w:rsidRPr="00DA51B9">
        <w:rPr>
          <w:sz w:val="24"/>
          <w:szCs w:val="24"/>
          <w:lang w:val="en-US"/>
        </w:rPr>
        <w:t>Ropinirol</w:t>
      </w:r>
      <w:proofErr w:type="spellEnd"/>
      <w:r w:rsidRPr="00DA51B9">
        <w:rPr>
          <w:sz w:val="24"/>
          <w:szCs w:val="24"/>
          <w:lang w:val="en-US"/>
        </w:rPr>
        <w:t xml:space="preserve"> "Actavis"</w:t>
      </w:r>
      <w:r w:rsidRPr="00DA51B9">
        <w:rPr>
          <w:i/>
          <w:iCs/>
          <w:sz w:val="24"/>
          <w:szCs w:val="24"/>
          <w:lang w:val="en-US"/>
        </w:rPr>
        <w:t xml:space="preserve"> </w:t>
      </w:r>
      <w:r w:rsidRPr="00DA51B9">
        <w:rPr>
          <w:sz w:val="24"/>
          <w:szCs w:val="24"/>
          <w:lang w:val="en-US"/>
        </w:rPr>
        <w:t xml:space="preserve">prolonged-release tablets. The dose of </w:t>
      </w:r>
      <w:proofErr w:type="spellStart"/>
      <w:r w:rsidRPr="00DA51B9">
        <w:rPr>
          <w:sz w:val="24"/>
          <w:szCs w:val="24"/>
          <w:lang w:val="en-US"/>
        </w:rPr>
        <w:t>Ropinirol</w:t>
      </w:r>
      <w:proofErr w:type="spellEnd"/>
      <w:r w:rsidRPr="00DA51B9">
        <w:rPr>
          <w:sz w:val="24"/>
          <w:szCs w:val="24"/>
          <w:lang w:val="en-US"/>
        </w:rPr>
        <w:t xml:space="preserve"> "Actavis" prolonged-release tablets should be based on the</w:t>
      </w:r>
      <w:r w:rsidRPr="00DA51B9">
        <w:rPr>
          <w:i/>
          <w:iCs/>
          <w:sz w:val="24"/>
          <w:szCs w:val="24"/>
          <w:lang w:val="en-US"/>
        </w:rPr>
        <w:t xml:space="preserve"> </w:t>
      </w:r>
      <w:r w:rsidRPr="00DA51B9">
        <w:rPr>
          <w:sz w:val="24"/>
          <w:szCs w:val="24"/>
          <w:lang w:val="en-US"/>
        </w:rPr>
        <w:t>total daily dose of ropinirole film-coated (immediate-release) tablets that the patient was taking. The table</w:t>
      </w:r>
      <w:r w:rsidRPr="00DA51B9">
        <w:rPr>
          <w:i/>
          <w:iCs/>
          <w:sz w:val="24"/>
          <w:szCs w:val="24"/>
          <w:lang w:val="en-US"/>
        </w:rPr>
        <w:t xml:space="preserve"> </w:t>
      </w:r>
      <w:r w:rsidRPr="00DA51B9">
        <w:rPr>
          <w:sz w:val="24"/>
          <w:szCs w:val="24"/>
          <w:lang w:val="en-US"/>
        </w:rPr>
        <w:t xml:space="preserve">below shows the recommended dose of </w:t>
      </w:r>
      <w:proofErr w:type="spellStart"/>
      <w:r w:rsidRPr="00DA51B9">
        <w:rPr>
          <w:sz w:val="24"/>
          <w:szCs w:val="24"/>
          <w:lang w:val="en-US"/>
        </w:rPr>
        <w:t>Ropinirol</w:t>
      </w:r>
      <w:proofErr w:type="spellEnd"/>
      <w:r w:rsidRPr="00DA51B9">
        <w:rPr>
          <w:sz w:val="24"/>
          <w:szCs w:val="24"/>
          <w:lang w:val="en-US"/>
        </w:rPr>
        <w:t xml:space="preserve"> "Actavis" prolonged-release tablets for patients switching</w:t>
      </w:r>
      <w:r w:rsidRPr="00DA51B9">
        <w:rPr>
          <w:i/>
          <w:iCs/>
          <w:sz w:val="24"/>
          <w:szCs w:val="24"/>
          <w:lang w:val="en-US"/>
        </w:rPr>
        <w:t xml:space="preserve"> </w:t>
      </w:r>
      <w:r w:rsidRPr="00DA51B9">
        <w:rPr>
          <w:sz w:val="24"/>
          <w:szCs w:val="24"/>
          <w:lang w:val="en-US"/>
        </w:rPr>
        <w:t>from ropinirole film-coated (immediate-release) tablets:</w:t>
      </w:r>
    </w:p>
    <w:p w14:paraId="6C5636B7" w14:textId="77777777" w:rsidR="00DA51B9" w:rsidRPr="00DA51B9" w:rsidRDefault="00DA51B9" w:rsidP="00DA51B9">
      <w:pPr>
        <w:tabs>
          <w:tab w:val="left" w:pos="851"/>
        </w:tabs>
        <w:ind w:left="851"/>
        <w:rPr>
          <w:i/>
          <w:iCs/>
          <w:sz w:val="24"/>
          <w:szCs w:val="24"/>
          <w:lang w:val="en-US"/>
        </w:rPr>
      </w:pPr>
    </w:p>
    <w:p w14:paraId="427DFB2C" w14:textId="77777777" w:rsidR="00DA51B9" w:rsidRPr="00DA51B9" w:rsidRDefault="00DA51B9" w:rsidP="00DA51B9">
      <w:pPr>
        <w:tabs>
          <w:tab w:val="left" w:pos="851"/>
        </w:tabs>
        <w:ind w:left="851"/>
        <w:rPr>
          <w:sz w:val="24"/>
          <w:szCs w:val="24"/>
          <w:lang w:val="en-US"/>
        </w:rPr>
      </w:pPr>
      <w:r w:rsidRPr="00DA51B9">
        <w:rPr>
          <w:i/>
          <w:iCs/>
          <w:sz w:val="24"/>
          <w:szCs w:val="24"/>
          <w:lang w:val="en-US"/>
        </w:rPr>
        <w:t xml:space="preserve">Switching from ropinirole film-coated (immediate-release) tablets to </w:t>
      </w:r>
      <w:proofErr w:type="spellStart"/>
      <w:r w:rsidRPr="00DA51B9">
        <w:rPr>
          <w:i/>
          <w:iCs/>
          <w:sz w:val="24"/>
          <w:szCs w:val="24"/>
          <w:lang w:val="en-US"/>
        </w:rPr>
        <w:t>Ropinirol</w:t>
      </w:r>
      <w:proofErr w:type="spellEnd"/>
      <w:r w:rsidRPr="00DA51B9">
        <w:rPr>
          <w:i/>
          <w:iCs/>
          <w:sz w:val="24"/>
          <w:szCs w:val="24"/>
          <w:lang w:val="en-US"/>
        </w:rPr>
        <w:t xml:space="preserve"> "Actavis" prolonged-release tablets</w:t>
      </w:r>
    </w:p>
    <w:p w14:paraId="7619A803" w14:textId="77777777" w:rsidR="00DA51B9" w:rsidRPr="00DA51B9" w:rsidRDefault="00DA51B9" w:rsidP="00DA51B9">
      <w:pPr>
        <w:tabs>
          <w:tab w:val="left" w:pos="851"/>
        </w:tabs>
        <w:ind w:left="851"/>
        <w:rPr>
          <w:sz w:val="24"/>
          <w:szCs w:val="24"/>
          <w:lang w:val="en-US"/>
        </w:rPr>
      </w:pPr>
    </w:p>
    <w:tbl>
      <w:tblPr>
        <w:tblW w:w="4051" w:type="pct"/>
        <w:tblInd w:w="843" w:type="dxa"/>
        <w:tblLook w:val="04A0" w:firstRow="1" w:lastRow="0" w:firstColumn="1" w:lastColumn="0" w:noHBand="0" w:noVBand="1"/>
      </w:tblPr>
      <w:tblGrid>
        <w:gridCol w:w="3402"/>
        <w:gridCol w:w="4394"/>
      </w:tblGrid>
      <w:tr w:rsidR="00DA51B9" w:rsidRPr="00174299" w14:paraId="4A34BE59" w14:textId="77777777" w:rsidTr="00DA51B9">
        <w:trPr>
          <w:trHeight w:hRule="exact" w:val="1021"/>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514F83E8" w14:textId="77777777" w:rsidR="00DA51B9" w:rsidRPr="00DA51B9" w:rsidRDefault="00DA51B9">
            <w:pPr>
              <w:ind w:left="33" w:right="175"/>
              <w:rPr>
                <w:bCs/>
                <w:sz w:val="24"/>
                <w:szCs w:val="24"/>
                <w:lang w:val="en-US"/>
              </w:rPr>
            </w:pPr>
            <w:r w:rsidRPr="00DA51B9">
              <w:rPr>
                <w:bCs/>
                <w:sz w:val="24"/>
                <w:szCs w:val="24"/>
                <w:lang w:val="en-US"/>
              </w:rPr>
              <w:t>Ropinirole film-coated</w:t>
            </w:r>
          </w:p>
          <w:p w14:paraId="72844F31" w14:textId="77777777" w:rsidR="00DA51B9" w:rsidRPr="00DA51B9" w:rsidRDefault="00DA51B9">
            <w:pPr>
              <w:ind w:left="33" w:right="175"/>
              <w:rPr>
                <w:bCs/>
                <w:sz w:val="24"/>
                <w:szCs w:val="24"/>
                <w:lang w:val="en-US"/>
              </w:rPr>
            </w:pPr>
            <w:r w:rsidRPr="00DA51B9">
              <w:rPr>
                <w:bCs/>
                <w:sz w:val="24"/>
                <w:szCs w:val="24"/>
                <w:lang w:val="en-US"/>
              </w:rPr>
              <w:t>(immediate-release) tablets</w:t>
            </w:r>
          </w:p>
          <w:p w14:paraId="58DF0AED" w14:textId="77777777" w:rsidR="00DA51B9" w:rsidRDefault="00DA51B9">
            <w:pPr>
              <w:ind w:left="33" w:right="175"/>
              <w:rPr>
                <w:sz w:val="24"/>
                <w:szCs w:val="24"/>
              </w:rPr>
            </w:pPr>
            <w:r>
              <w:rPr>
                <w:bCs/>
                <w:sz w:val="24"/>
                <w:szCs w:val="24"/>
              </w:rPr>
              <w:t xml:space="preserve">Total </w:t>
            </w:r>
            <w:proofErr w:type="spellStart"/>
            <w:r>
              <w:rPr>
                <w:bCs/>
                <w:sz w:val="24"/>
                <w:szCs w:val="24"/>
              </w:rPr>
              <w:t>daily</w:t>
            </w:r>
            <w:proofErr w:type="spellEnd"/>
            <w:r>
              <w:rPr>
                <w:bCs/>
                <w:sz w:val="24"/>
                <w:szCs w:val="24"/>
              </w:rPr>
              <w:t xml:space="preserve"> </w:t>
            </w:r>
            <w:proofErr w:type="spellStart"/>
            <w:r>
              <w:rPr>
                <w:bCs/>
                <w:sz w:val="24"/>
                <w:szCs w:val="24"/>
              </w:rPr>
              <w:t>dose</w:t>
            </w:r>
            <w:proofErr w:type="spellEnd"/>
            <w:r>
              <w:rPr>
                <w:bCs/>
                <w:sz w:val="24"/>
                <w:szCs w:val="24"/>
              </w:rPr>
              <w:t xml:space="preserve"> (mg)</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7FB31750" w14:textId="77777777" w:rsidR="00DA51B9" w:rsidRPr="00DA51B9" w:rsidRDefault="00DA51B9">
            <w:pPr>
              <w:ind w:left="35"/>
              <w:rPr>
                <w:bCs/>
                <w:sz w:val="24"/>
                <w:szCs w:val="24"/>
                <w:lang w:val="en-US"/>
              </w:rPr>
            </w:pPr>
            <w:proofErr w:type="spellStart"/>
            <w:r w:rsidRPr="00DA51B9">
              <w:rPr>
                <w:bCs/>
                <w:sz w:val="24"/>
                <w:szCs w:val="24"/>
                <w:lang w:val="en-US"/>
              </w:rPr>
              <w:t>Ropinirol</w:t>
            </w:r>
            <w:proofErr w:type="spellEnd"/>
            <w:r w:rsidRPr="00DA51B9">
              <w:rPr>
                <w:bCs/>
                <w:sz w:val="24"/>
                <w:szCs w:val="24"/>
                <w:lang w:val="en-US"/>
              </w:rPr>
              <w:t xml:space="preserve"> "Actavis" prolonged-release tablets</w:t>
            </w:r>
          </w:p>
          <w:p w14:paraId="14924383" w14:textId="77777777" w:rsidR="00DA51B9" w:rsidRPr="00DA51B9" w:rsidRDefault="00DA51B9">
            <w:pPr>
              <w:ind w:left="35"/>
              <w:rPr>
                <w:sz w:val="24"/>
                <w:szCs w:val="24"/>
                <w:lang w:val="en-US"/>
              </w:rPr>
            </w:pPr>
            <w:r w:rsidRPr="00DA51B9">
              <w:rPr>
                <w:bCs/>
                <w:sz w:val="24"/>
                <w:szCs w:val="24"/>
                <w:lang w:val="en-US"/>
              </w:rPr>
              <w:t>Total daily dose (mg)</w:t>
            </w:r>
          </w:p>
        </w:tc>
      </w:tr>
      <w:tr w:rsidR="00DA51B9" w14:paraId="32615169"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64773A4A" w14:textId="77777777" w:rsidR="00DA51B9" w:rsidRDefault="00DA51B9">
            <w:pPr>
              <w:ind w:left="33" w:right="175"/>
              <w:rPr>
                <w:sz w:val="24"/>
                <w:szCs w:val="24"/>
              </w:rPr>
            </w:pPr>
            <w:r>
              <w:rPr>
                <w:sz w:val="24"/>
                <w:szCs w:val="24"/>
              </w:rPr>
              <w:t>0.75 – 2.25</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4D04208B" w14:textId="77777777" w:rsidR="00DA51B9" w:rsidRDefault="00DA51B9">
            <w:pPr>
              <w:ind w:left="35"/>
              <w:rPr>
                <w:sz w:val="24"/>
                <w:szCs w:val="24"/>
              </w:rPr>
            </w:pPr>
            <w:r>
              <w:rPr>
                <w:sz w:val="24"/>
                <w:szCs w:val="24"/>
              </w:rPr>
              <w:t>2</w:t>
            </w:r>
          </w:p>
        </w:tc>
      </w:tr>
      <w:tr w:rsidR="00DA51B9" w14:paraId="7761CB97"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5A7CE59C" w14:textId="77777777" w:rsidR="00DA51B9" w:rsidRDefault="00DA51B9">
            <w:pPr>
              <w:ind w:left="33" w:right="175"/>
              <w:rPr>
                <w:sz w:val="24"/>
                <w:szCs w:val="24"/>
              </w:rPr>
            </w:pPr>
            <w:r>
              <w:rPr>
                <w:sz w:val="24"/>
                <w:szCs w:val="24"/>
              </w:rPr>
              <w:t>3 – 4.5</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048181EB" w14:textId="77777777" w:rsidR="00DA51B9" w:rsidRDefault="00DA51B9">
            <w:pPr>
              <w:ind w:left="35"/>
              <w:rPr>
                <w:sz w:val="24"/>
                <w:szCs w:val="24"/>
              </w:rPr>
            </w:pPr>
            <w:r>
              <w:rPr>
                <w:sz w:val="24"/>
                <w:szCs w:val="24"/>
              </w:rPr>
              <w:t>4</w:t>
            </w:r>
          </w:p>
        </w:tc>
      </w:tr>
      <w:tr w:rsidR="00DA51B9" w14:paraId="17FA550E"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7DCC5B09" w14:textId="77777777" w:rsidR="00DA51B9" w:rsidRDefault="00DA51B9">
            <w:pPr>
              <w:ind w:left="33" w:right="175"/>
              <w:rPr>
                <w:sz w:val="24"/>
                <w:szCs w:val="24"/>
              </w:rPr>
            </w:pPr>
            <w:r>
              <w:rPr>
                <w:sz w:val="24"/>
                <w:szCs w:val="24"/>
              </w:rPr>
              <w:t>6</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23CD59CA" w14:textId="77777777" w:rsidR="00DA51B9" w:rsidRDefault="00DA51B9">
            <w:pPr>
              <w:ind w:left="35"/>
              <w:rPr>
                <w:sz w:val="24"/>
                <w:szCs w:val="24"/>
              </w:rPr>
            </w:pPr>
            <w:r>
              <w:rPr>
                <w:sz w:val="24"/>
                <w:szCs w:val="24"/>
              </w:rPr>
              <w:t>6</w:t>
            </w:r>
          </w:p>
        </w:tc>
      </w:tr>
      <w:tr w:rsidR="00DA51B9" w14:paraId="13D6B471"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799DB62D" w14:textId="77777777" w:rsidR="00DA51B9" w:rsidRDefault="00DA51B9">
            <w:pPr>
              <w:ind w:left="33" w:right="175"/>
              <w:rPr>
                <w:sz w:val="24"/>
                <w:szCs w:val="24"/>
              </w:rPr>
            </w:pPr>
            <w:r>
              <w:rPr>
                <w:sz w:val="24"/>
                <w:szCs w:val="24"/>
              </w:rPr>
              <w:t>7.5 – 9</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3262D01D" w14:textId="77777777" w:rsidR="00DA51B9" w:rsidRDefault="00DA51B9">
            <w:pPr>
              <w:ind w:left="35"/>
              <w:rPr>
                <w:sz w:val="24"/>
                <w:szCs w:val="24"/>
              </w:rPr>
            </w:pPr>
            <w:r>
              <w:rPr>
                <w:sz w:val="24"/>
                <w:szCs w:val="24"/>
              </w:rPr>
              <w:t>8</w:t>
            </w:r>
          </w:p>
        </w:tc>
      </w:tr>
      <w:tr w:rsidR="00DA51B9" w14:paraId="50E7C1C3"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2ED5069A" w14:textId="77777777" w:rsidR="00DA51B9" w:rsidRDefault="00DA51B9">
            <w:pPr>
              <w:ind w:left="33" w:right="175"/>
              <w:rPr>
                <w:sz w:val="24"/>
                <w:szCs w:val="24"/>
              </w:rPr>
            </w:pPr>
            <w:r>
              <w:rPr>
                <w:sz w:val="24"/>
                <w:szCs w:val="24"/>
              </w:rPr>
              <w:t>12</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3D6B1A96" w14:textId="77777777" w:rsidR="00DA51B9" w:rsidRDefault="00DA51B9">
            <w:pPr>
              <w:ind w:left="35"/>
              <w:rPr>
                <w:sz w:val="24"/>
                <w:szCs w:val="24"/>
              </w:rPr>
            </w:pPr>
            <w:r>
              <w:rPr>
                <w:sz w:val="24"/>
                <w:szCs w:val="24"/>
              </w:rPr>
              <w:t>12</w:t>
            </w:r>
          </w:p>
        </w:tc>
      </w:tr>
      <w:tr w:rsidR="00DA51B9" w14:paraId="288666E5"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66012470" w14:textId="77777777" w:rsidR="00DA51B9" w:rsidRDefault="00DA51B9">
            <w:pPr>
              <w:ind w:left="33" w:right="175"/>
              <w:rPr>
                <w:sz w:val="24"/>
                <w:szCs w:val="24"/>
              </w:rPr>
            </w:pPr>
            <w:r>
              <w:rPr>
                <w:sz w:val="24"/>
                <w:szCs w:val="24"/>
              </w:rPr>
              <w:t>15 – 18</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54DFCB48" w14:textId="77777777" w:rsidR="00DA51B9" w:rsidRDefault="00DA51B9">
            <w:pPr>
              <w:ind w:left="35"/>
              <w:rPr>
                <w:sz w:val="24"/>
                <w:szCs w:val="24"/>
              </w:rPr>
            </w:pPr>
            <w:r>
              <w:rPr>
                <w:sz w:val="24"/>
                <w:szCs w:val="24"/>
              </w:rPr>
              <w:t>16</w:t>
            </w:r>
          </w:p>
        </w:tc>
      </w:tr>
      <w:tr w:rsidR="00DA51B9" w14:paraId="55D1AD20"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47261B95" w14:textId="77777777" w:rsidR="00DA51B9" w:rsidRDefault="00DA51B9">
            <w:pPr>
              <w:ind w:left="33" w:right="175"/>
              <w:rPr>
                <w:sz w:val="24"/>
                <w:szCs w:val="24"/>
              </w:rPr>
            </w:pPr>
            <w:r>
              <w:rPr>
                <w:sz w:val="24"/>
                <w:szCs w:val="24"/>
              </w:rPr>
              <w:t>21</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1BFD0C68" w14:textId="77777777" w:rsidR="00DA51B9" w:rsidRDefault="00DA51B9">
            <w:pPr>
              <w:ind w:left="35"/>
              <w:rPr>
                <w:sz w:val="24"/>
                <w:szCs w:val="24"/>
              </w:rPr>
            </w:pPr>
            <w:r>
              <w:rPr>
                <w:sz w:val="24"/>
                <w:szCs w:val="24"/>
              </w:rPr>
              <w:t>20</w:t>
            </w:r>
          </w:p>
        </w:tc>
      </w:tr>
      <w:tr w:rsidR="00DA51B9" w14:paraId="7413EB2D" w14:textId="77777777" w:rsidTr="00DA51B9">
        <w:trPr>
          <w:trHeight w:hRule="exact" w:val="340"/>
        </w:trPr>
        <w:tc>
          <w:tcPr>
            <w:tcW w:w="2182" w:type="pct"/>
            <w:tcBorders>
              <w:top w:val="single" w:sz="6" w:space="0" w:color="000000"/>
              <w:left w:val="single" w:sz="6" w:space="0" w:color="000000"/>
              <w:bottom w:val="single" w:sz="6" w:space="0" w:color="000000"/>
              <w:right w:val="single" w:sz="6" w:space="0" w:color="000000"/>
            </w:tcBorders>
            <w:vAlign w:val="center"/>
            <w:hideMark/>
          </w:tcPr>
          <w:p w14:paraId="67EB7911" w14:textId="77777777" w:rsidR="00DA51B9" w:rsidRDefault="00DA51B9">
            <w:pPr>
              <w:ind w:left="33" w:right="175"/>
              <w:rPr>
                <w:sz w:val="24"/>
                <w:szCs w:val="24"/>
              </w:rPr>
            </w:pPr>
            <w:r>
              <w:rPr>
                <w:sz w:val="24"/>
                <w:szCs w:val="24"/>
              </w:rPr>
              <w:t>24</w:t>
            </w:r>
          </w:p>
        </w:tc>
        <w:tc>
          <w:tcPr>
            <w:tcW w:w="2818" w:type="pct"/>
            <w:tcBorders>
              <w:top w:val="single" w:sz="6" w:space="0" w:color="000000"/>
              <w:left w:val="single" w:sz="6" w:space="0" w:color="000000"/>
              <w:bottom w:val="single" w:sz="6" w:space="0" w:color="000000"/>
              <w:right w:val="single" w:sz="6" w:space="0" w:color="000000"/>
            </w:tcBorders>
            <w:vAlign w:val="center"/>
            <w:hideMark/>
          </w:tcPr>
          <w:p w14:paraId="4F907637" w14:textId="77777777" w:rsidR="00DA51B9" w:rsidRDefault="00DA51B9">
            <w:pPr>
              <w:ind w:left="35"/>
              <w:rPr>
                <w:sz w:val="24"/>
                <w:szCs w:val="24"/>
              </w:rPr>
            </w:pPr>
            <w:r>
              <w:rPr>
                <w:sz w:val="24"/>
                <w:szCs w:val="24"/>
              </w:rPr>
              <w:t>24</w:t>
            </w:r>
          </w:p>
        </w:tc>
      </w:tr>
    </w:tbl>
    <w:p w14:paraId="3B321D53" w14:textId="77777777" w:rsidR="00DA51B9" w:rsidRDefault="00DA51B9" w:rsidP="00DA51B9">
      <w:pPr>
        <w:tabs>
          <w:tab w:val="left" w:pos="851"/>
        </w:tabs>
        <w:ind w:left="851"/>
        <w:rPr>
          <w:sz w:val="24"/>
          <w:szCs w:val="24"/>
          <w:lang w:val="en-GB" w:eastAsia="en-US"/>
        </w:rPr>
      </w:pPr>
    </w:p>
    <w:p w14:paraId="0C9BDC49"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After switching to </w:t>
      </w:r>
      <w:proofErr w:type="spellStart"/>
      <w:r w:rsidRPr="00DA51B9">
        <w:rPr>
          <w:sz w:val="24"/>
          <w:szCs w:val="24"/>
          <w:lang w:val="en-US"/>
        </w:rPr>
        <w:t>Ropinirol</w:t>
      </w:r>
      <w:proofErr w:type="spellEnd"/>
      <w:r w:rsidRPr="00DA51B9">
        <w:rPr>
          <w:sz w:val="24"/>
          <w:szCs w:val="24"/>
          <w:lang w:val="en-US"/>
        </w:rPr>
        <w:t xml:space="preserve"> "Actavis" prolonged-release tablets, the dose may be adjusted depending on the therapeutic response (see “Initial titration” and “Therapeutic regimen” above).</w:t>
      </w:r>
    </w:p>
    <w:p w14:paraId="525E9BE8" w14:textId="77777777" w:rsidR="00DA51B9" w:rsidRPr="00DA51B9" w:rsidRDefault="00DA51B9" w:rsidP="00DA51B9">
      <w:pPr>
        <w:tabs>
          <w:tab w:val="left" w:pos="851"/>
        </w:tabs>
        <w:ind w:left="851"/>
        <w:rPr>
          <w:i/>
          <w:sz w:val="24"/>
          <w:szCs w:val="24"/>
          <w:lang w:val="en-US"/>
        </w:rPr>
      </w:pPr>
    </w:p>
    <w:p w14:paraId="129006C0" w14:textId="77777777" w:rsidR="00DA51B9" w:rsidRPr="00DA51B9" w:rsidRDefault="00DA51B9" w:rsidP="00DA51B9">
      <w:pPr>
        <w:tabs>
          <w:tab w:val="left" w:pos="851"/>
        </w:tabs>
        <w:ind w:left="851"/>
        <w:rPr>
          <w:i/>
          <w:sz w:val="24"/>
          <w:szCs w:val="24"/>
          <w:lang w:val="en-US"/>
        </w:rPr>
      </w:pPr>
      <w:r w:rsidRPr="00DA51B9">
        <w:rPr>
          <w:i/>
          <w:sz w:val="24"/>
          <w:szCs w:val="24"/>
          <w:lang w:val="en-US"/>
        </w:rPr>
        <w:t>Paediatric population</w:t>
      </w:r>
    </w:p>
    <w:p w14:paraId="3A5FA3B4" w14:textId="77777777" w:rsidR="00DA51B9" w:rsidRPr="00DA51B9" w:rsidRDefault="00DA51B9" w:rsidP="00DA51B9">
      <w:pPr>
        <w:tabs>
          <w:tab w:val="left" w:pos="851"/>
        </w:tabs>
        <w:ind w:left="851"/>
        <w:rPr>
          <w:sz w:val="24"/>
          <w:szCs w:val="24"/>
          <w:lang w:val="en-US"/>
        </w:rPr>
      </w:pPr>
      <w:proofErr w:type="spellStart"/>
      <w:r w:rsidRPr="00DA51B9">
        <w:rPr>
          <w:sz w:val="24"/>
          <w:szCs w:val="24"/>
          <w:lang w:val="en-US"/>
        </w:rPr>
        <w:t>Ropinirol</w:t>
      </w:r>
      <w:proofErr w:type="spellEnd"/>
      <w:r w:rsidRPr="00DA51B9">
        <w:rPr>
          <w:sz w:val="24"/>
          <w:szCs w:val="24"/>
          <w:lang w:val="en-US"/>
        </w:rPr>
        <w:t xml:space="preserve"> "Actavis" prolonged-release tablets are not recommended for use in children and adolescents below 18 years of age due to a lack of data on safety and efficacy.</w:t>
      </w:r>
    </w:p>
    <w:p w14:paraId="021813D3" w14:textId="77777777" w:rsidR="00DA51B9" w:rsidRPr="00DA51B9" w:rsidRDefault="00DA51B9" w:rsidP="00DA51B9">
      <w:pPr>
        <w:tabs>
          <w:tab w:val="left" w:pos="851"/>
        </w:tabs>
        <w:ind w:left="851"/>
        <w:rPr>
          <w:sz w:val="24"/>
          <w:szCs w:val="24"/>
          <w:lang w:val="en-US"/>
        </w:rPr>
      </w:pPr>
    </w:p>
    <w:p w14:paraId="70BD3A8D" w14:textId="77777777" w:rsidR="00DA51B9" w:rsidRPr="00DA51B9" w:rsidRDefault="00DA51B9" w:rsidP="00DA51B9">
      <w:pPr>
        <w:tabs>
          <w:tab w:val="left" w:pos="851"/>
        </w:tabs>
        <w:ind w:left="851"/>
        <w:rPr>
          <w:i/>
          <w:sz w:val="24"/>
          <w:szCs w:val="24"/>
          <w:lang w:val="en-US"/>
        </w:rPr>
      </w:pPr>
      <w:r w:rsidRPr="00DA51B9">
        <w:rPr>
          <w:i/>
          <w:sz w:val="24"/>
          <w:szCs w:val="24"/>
          <w:lang w:val="en-US"/>
        </w:rPr>
        <w:t>Elderly</w:t>
      </w:r>
    </w:p>
    <w:p w14:paraId="267C1635" w14:textId="77777777" w:rsidR="00DA51B9" w:rsidRPr="00DA51B9" w:rsidRDefault="00DA51B9" w:rsidP="00DA51B9">
      <w:pPr>
        <w:tabs>
          <w:tab w:val="left" w:pos="851"/>
        </w:tabs>
        <w:ind w:left="851"/>
        <w:rPr>
          <w:sz w:val="24"/>
          <w:szCs w:val="24"/>
          <w:lang w:val="en-US"/>
        </w:rPr>
      </w:pPr>
      <w:r w:rsidRPr="00DA51B9">
        <w:rPr>
          <w:sz w:val="24"/>
          <w:szCs w:val="24"/>
          <w:lang w:val="en-US"/>
        </w:rPr>
        <w:t>The clearance of ropinirole is decreased by approximately 15 % in patients aged 65 years or above. Although a dose adjustment is not required, ropinirole dose should be individually titrated, with careful monitoring of tolerability, to the optimal clinical response. In patients aged 75 years and above, slower titration during treatment initiation may be considered.</w:t>
      </w:r>
    </w:p>
    <w:p w14:paraId="016CB7B7" w14:textId="77777777" w:rsidR="00DA51B9" w:rsidRPr="00DA51B9" w:rsidRDefault="00DA51B9" w:rsidP="00DA51B9">
      <w:pPr>
        <w:tabs>
          <w:tab w:val="left" w:pos="851"/>
        </w:tabs>
        <w:ind w:left="851"/>
        <w:rPr>
          <w:sz w:val="24"/>
          <w:szCs w:val="24"/>
          <w:lang w:val="en-US"/>
        </w:rPr>
      </w:pPr>
    </w:p>
    <w:p w14:paraId="42D08D65" w14:textId="77777777" w:rsidR="00DA51B9" w:rsidRPr="00DA51B9" w:rsidRDefault="00DA51B9" w:rsidP="00DA51B9">
      <w:pPr>
        <w:tabs>
          <w:tab w:val="left" w:pos="851"/>
        </w:tabs>
        <w:ind w:left="851"/>
        <w:rPr>
          <w:i/>
          <w:sz w:val="24"/>
          <w:szCs w:val="24"/>
          <w:lang w:val="en-US"/>
        </w:rPr>
      </w:pPr>
      <w:r w:rsidRPr="00DA51B9">
        <w:rPr>
          <w:i/>
          <w:sz w:val="24"/>
          <w:szCs w:val="24"/>
          <w:lang w:val="en-US"/>
        </w:rPr>
        <w:t>Renal impairment</w:t>
      </w:r>
    </w:p>
    <w:p w14:paraId="55CD3215" w14:textId="77777777" w:rsidR="00DA51B9" w:rsidRPr="00DA51B9" w:rsidRDefault="00DA51B9" w:rsidP="00DA51B9">
      <w:pPr>
        <w:tabs>
          <w:tab w:val="left" w:pos="851"/>
        </w:tabs>
        <w:ind w:left="851"/>
        <w:rPr>
          <w:sz w:val="24"/>
          <w:szCs w:val="24"/>
          <w:lang w:val="en-US"/>
        </w:rPr>
      </w:pPr>
      <w:r w:rsidRPr="00DA51B9">
        <w:rPr>
          <w:sz w:val="24"/>
          <w:szCs w:val="24"/>
          <w:lang w:val="en-US"/>
        </w:rPr>
        <w:t>In patients with mild to moderate renal impairment (creatinine clearance between 30 and 50 ml/min) no change in the clearance of ropinirole was observed, indicating that no dosage adjustment is necessary in this population.</w:t>
      </w:r>
    </w:p>
    <w:p w14:paraId="3C07457E" w14:textId="77777777" w:rsidR="00DA51B9" w:rsidRPr="00DA51B9" w:rsidRDefault="00DA51B9" w:rsidP="00DA51B9">
      <w:pPr>
        <w:tabs>
          <w:tab w:val="left" w:pos="1304"/>
        </w:tabs>
        <w:ind w:left="851"/>
        <w:rPr>
          <w:sz w:val="24"/>
          <w:szCs w:val="24"/>
          <w:lang w:val="en-US"/>
        </w:rPr>
      </w:pPr>
    </w:p>
    <w:p w14:paraId="7E01C1E5" w14:textId="77777777" w:rsidR="00DA51B9" w:rsidRDefault="00DA51B9" w:rsidP="00DA51B9">
      <w:pPr>
        <w:tabs>
          <w:tab w:val="left" w:pos="1304"/>
        </w:tabs>
        <w:ind w:left="851"/>
        <w:rPr>
          <w:sz w:val="24"/>
          <w:szCs w:val="24"/>
          <w:lang w:val="is-IS"/>
        </w:rPr>
      </w:pPr>
      <w:r w:rsidRPr="009F2E71">
        <w:rPr>
          <w:sz w:val="24"/>
          <w:szCs w:val="24"/>
          <w:lang w:val="is-IS"/>
        </w:rPr>
        <w:t>The use of ropinirole in patients with severe renal impairment (creatinine clearance less than 30 ml/min) without regular haemodialysis has not been studied.</w:t>
      </w:r>
    </w:p>
    <w:p w14:paraId="24786734" w14:textId="77777777" w:rsidR="00DA51B9" w:rsidRDefault="00DA51B9" w:rsidP="00DA51B9">
      <w:pPr>
        <w:tabs>
          <w:tab w:val="left" w:pos="1304"/>
        </w:tabs>
        <w:ind w:left="851"/>
        <w:rPr>
          <w:sz w:val="24"/>
          <w:szCs w:val="24"/>
          <w:lang w:val="en-GB"/>
        </w:rPr>
      </w:pPr>
    </w:p>
    <w:p w14:paraId="3A1BF6DB"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A study into the use of ropinirole in patients with end stage renal disease (patients on </w:t>
      </w:r>
      <w:proofErr w:type="spellStart"/>
      <w:r w:rsidRPr="00DA51B9">
        <w:rPr>
          <w:sz w:val="24"/>
          <w:szCs w:val="24"/>
          <w:lang w:val="en-US"/>
        </w:rPr>
        <w:t>haemodialysis</w:t>
      </w:r>
      <w:proofErr w:type="spellEnd"/>
      <w:r w:rsidRPr="00DA51B9">
        <w:rPr>
          <w:sz w:val="24"/>
          <w:szCs w:val="24"/>
          <w:lang w:val="en-US"/>
        </w:rPr>
        <w:t xml:space="preserve">) has shown that a dose adjustment in these patients is required as follows: the recommended initial dose of ropinirole is 2 mg once daily. Further dose escalations should be based on tolerability and efficacy. The recommended maximum dose of ropinirole is 18 mg/day in patients receiving regular </w:t>
      </w:r>
      <w:proofErr w:type="spellStart"/>
      <w:r w:rsidRPr="00DA51B9">
        <w:rPr>
          <w:sz w:val="24"/>
          <w:szCs w:val="24"/>
          <w:lang w:val="en-US"/>
        </w:rPr>
        <w:t>haemodialysis</w:t>
      </w:r>
      <w:proofErr w:type="spellEnd"/>
      <w:r w:rsidRPr="00DA51B9">
        <w:rPr>
          <w:sz w:val="24"/>
          <w:szCs w:val="24"/>
          <w:lang w:val="en-US"/>
        </w:rPr>
        <w:t xml:space="preserve">. Supplemental doses after </w:t>
      </w:r>
      <w:proofErr w:type="spellStart"/>
      <w:r w:rsidRPr="00DA51B9">
        <w:rPr>
          <w:sz w:val="24"/>
          <w:szCs w:val="24"/>
          <w:lang w:val="en-US"/>
        </w:rPr>
        <w:t>haemodialysis</w:t>
      </w:r>
      <w:proofErr w:type="spellEnd"/>
      <w:r w:rsidRPr="00DA51B9">
        <w:rPr>
          <w:sz w:val="24"/>
          <w:szCs w:val="24"/>
          <w:lang w:val="en-US"/>
        </w:rPr>
        <w:t xml:space="preserve"> are not required (see section 5.2).</w:t>
      </w:r>
    </w:p>
    <w:p w14:paraId="5DD9F58A" w14:textId="77777777" w:rsidR="00DA51B9" w:rsidRPr="00DA51B9" w:rsidRDefault="00DA51B9" w:rsidP="00DA51B9">
      <w:pPr>
        <w:tabs>
          <w:tab w:val="left" w:pos="851"/>
        </w:tabs>
        <w:ind w:left="851"/>
        <w:rPr>
          <w:sz w:val="24"/>
          <w:szCs w:val="24"/>
          <w:lang w:val="en-US"/>
        </w:rPr>
      </w:pPr>
    </w:p>
    <w:p w14:paraId="0DADA200" w14:textId="77777777" w:rsidR="00DA51B9" w:rsidRDefault="00DA51B9" w:rsidP="00DA51B9">
      <w:pPr>
        <w:tabs>
          <w:tab w:val="left" w:pos="851"/>
        </w:tabs>
        <w:ind w:left="851"/>
        <w:rPr>
          <w:b/>
          <w:sz w:val="24"/>
          <w:szCs w:val="24"/>
          <w:lang w:val="is-IS"/>
        </w:rPr>
      </w:pPr>
      <w:r>
        <w:rPr>
          <w:b/>
          <w:sz w:val="24"/>
          <w:szCs w:val="24"/>
          <w:lang w:val="is-IS"/>
        </w:rPr>
        <w:t>Method of administration</w:t>
      </w:r>
    </w:p>
    <w:p w14:paraId="592C9EEF" w14:textId="77777777" w:rsidR="00DA51B9" w:rsidRDefault="00DA51B9" w:rsidP="00DA51B9">
      <w:pPr>
        <w:tabs>
          <w:tab w:val="left" w:pos="851"/>
        </w:tabs>
        <w:ind w:left="851"/>
        <w:rPr>
          <w:sz w:val="24"/>
          <w:szCs w:val="24"/>
          <w:lang w:val="en-GB"/>
        </w:rPr>
      </w:pPr>
      <w:r w:rsidRPr="00DA51B9">
        <w:rPr>
          <w:sz w:val="24"/>
          <w:szCs w:val="24"/>
          <w:lang w:val="en-US"/>
        </w:rPr>
        <w:t>Oral use.</w:t>
      </w:r>
    </w:p>
    <w:p w14:paraId="1FDA14DD" w14:textId="77777777" w:rsidR="00DA51B9" w:rsidRPr="00DA51B9" w:rsidRDefault="00DA51B9" w:rsidP="00DA51B9">
      <w:pPr>
        <w:tabs>
          <w:tab w:val="left" w:pos="851"/>
        </w:tabs>
        <w:ind w:left="851"/>
        <w:rPr>
          <w:sz w:val="24"/>
          <w:szCs w:val="24"/>
          <w:lang w:val="en-US"/>
        </w:rPr>
      </w:pPr>
    </w:p>
    <w:p w14:paraId="0C5F1431" w14:textId="77777777" w:rsidR="00DA51B9" w:rsidRPr="00DA51B9" w:rsidRDefault="00DA51B9" w:rsidP="00DA51B9">
      <w:pPr>
        <w:tabs>
          <w:tab w:val="left" w:pos="851"/>
        </w:tabs>
        <w:ind w:left="851"/>
        <w:rPr>
          <w:sz w:val="24"/>
          <w:szCs w:val="24"/>
          <w:lang w:val="en-US"/>
        </w:rPr>
      </w:pPr>
      <w:proofErr w:type="spellStart"/>
      <w:r w:rsidRPr="00DA51B9">
        <w:rPr>
          <w:sz w:val="24"/>
          <w:szCs w:val="24"/>
          <w:lang w:val="en-US"/>
        </w:rPr>
        <w:t>Ropinirol</w:t>
      </w:r>
      <w:proofErr w:type="spellEnd"/>
      <w:r w:rsidRPr="00DA51B9">
        <w:rPr>
          <w:sz w:val="24"/>
          <w:szCs w:val="24"/>
          <w:lang w:val="en-US"/>
        </w:rPr>
        <w:t xml:space="preserve"> "Actavis" prolonged-release tablets must be swallowed whole and must not be chewed, crushed or divided.</w:t>
      </w:r>
    </w:p>
    <w:p w14:paraId="11EB8680" w14:textId="77777777" w:rsidR="007C5D2A" w:rsidRPr="00303008" w:rsidRDefault="007C5D2A" w:rsidP="00A85D26">
      <w:pPr>
        <w:tabs>
          <w:tab w:val="left" w:pos="851"/>
        </w:tabs>
        <w:ind w:left="851"/>
        <w:rPr>
          <w:sz w:val="24"/>
          <w:szCs w:val="24"/>
          <w:lang w:val="en-GB"/>
        </w:rPr>
      </w:pPr>
    </w:p>
    <w:p w14:paraId="13939A1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6C836F34" w14:textId="77777777" w:rsidR="00DA51B9" w:rsidRPr="00DA51B9" w:rsidRDefault="00DA51B9" w:rsidP="00DA51B9">
      <w:pPr>
        <w:tabs>
          <w:tab w:val="left" w:pos="1134"/>
        </w:tabs>
        <w:ind w:left="1134" w:hanging="283"/>
        <w:rPr>
          <w:sz w:val="24"/>
          <w:szCs w:val="24"/>
          <w:lang w:val="en-US"/>
        </w:rPr>
      </w:pPr>
      <w:r w:rsidRPr="00DA51B9">
        <w:rPr>
          <w:sz w:val="24"/>
          <w:szCs w:val="24"/>
          <w:lang w:val="en-US"/>
        </w:rPr>
        <w:t>-</w:t>
      </w:r>
      <w:r w:rsidRPr="00DA51B9">
        <w:rPr>
          <w:sz w:val="24"/>
          <w:szCs w:val="24"/>
          <w:lang w:val="en-US"/>
        </w:rPr>
        <w:tab/>
        <w:t>Hypersensitivity to the active substance or to any of the excipients listed in section</w:t>
      </w:r>
      <w:r w:rsidRPr="00DA51B9">
        <w:rPr>
          <w:sz w:val="24"/>
          <w:szCs w:val="24"/>
          <w:lang w:val="en-US"/>
        </w:rPr>
        <w:tab/>
        <w:t>6.1.</w:t>
      </w:r>
    </w:p>
    <w:p w14:paraId="094E0020" w14:textId="77777777" w:rsidR="00DA51B9" w:rsidRPr="00DA51B9" w:rsidRDefault="00DA51B9" w:rsidP="00DA51B9">
      <w:pPr>
        <w:tabs>
          <w:tab w:val="left" w:pos="1134"/>
        </w:tabs>
        <w:ind w:left="1134" w:hanging="283"/>
        <w:rPr>
          <w:sz w:val="24"/>
          <w:szCs w:val="24"/>
          <w:lang w:val="en-US"/>
        </w:rPr>
      </w:pPr>
      <w:r w:rsidRPr="00DA51B9">
        <w:rPr>
          <w:sz w:val="24"/>
          <w:szCs w:val="24"/>
          <w:lang w:val="en-US"/>
        </w:rPr>
        <w:t>-</w:t>
      </w:r>
      <w:r w:rsidRPr="00DA51B9">
        <w:rPr>
          <w:sz w:val="24"/>
          <w:szCs w:val="24"/>
          <w:lang w:val="en-US"/>
        </w:rPr>
        <w:tab/>
        <w:t>Severe renal impairment (creatinine clearance &lt;30 ml/min)</w:t>
      </w:r>
      <w:r>
        <w:rPr>
          <w:sz w:val="24"/>
          <w:szCs w:val="24"/>
          <w:lang w:val="is-IS"/>
        </w:rPr>
        <w:t xml:space="preserve"> without regular haemodialysis</w:t>
      </w:r>
      <w:r w:rsidRPr="00DA51B9">
        <w:rPr>
          <w:sz w:val="24"/>
          <w:szCs w:val="24"/>
          <w:lang w:val="en-US"/>
        </w:rPr>
        <w:t>.</w:t>
      </w:r>
    </w:p>
    <w:p w14:paraId="10678433" w14:textId="77777777" w:rsidR="00DA51B9" w:rsidRPr="009F2E71" w:rsidRDefault="00DA51B9" w:rsidP="00DA51B9">
      <w:pPr>
        <w:tabs>
          <w:tab w:val="left" w:pos="1134"/>
        </w:tabs>
        <w:ind w:left="1134" w:hanging="283"/>
        <w:rPr>
          <w:sz w:val="24"/>
          <w:szCs w:val="24"/>
          <w:lang w:val="en-US"/>
        </w:rPr>
      </w:pPr>
      <w:r w:rsidRPr="009F2E71">
        <w:rPr>
          <w:sz w:val="24"/>
          <w:szCs w:val="24"/>
          <w:lang w:val="en-US"/>
        </w:rPr>
        <w:t>-</w:t>
      </w:r>
      <w:r w:rsidRPr="009F2E71">
        <w:rPr>
          <w:sz w:val="24"/>
          <w:szCs w:val="24"/>
          <w:lang w:val="en-US"/>
        </w:rPr>
        <w:tab/>
        <w:t>Hepatic impairment.</w:t>
      </w:r>
    </w:p>
    <w:p w14:paraId="1AA40168" w14:textId="77777777" w:rsidR="007C5D2A" w:rsidRPr="00303008" w:rsidRDefault="007C5D2A" w:rsidP="003E0341">
      <w:pPr>
        <w:tabs>
          <w:tab w:val="left" w:pos="851"/>
        </w:tabs>
        <w:ind w:left="851"/>
        <w:rPr>
          <w:sz w:val="24"/>
          <w:szCs w:val="24"/>
          <w:lang w:val="en-GB"/>
        </w:rPr>
      </w:pPr>
    </w:p>
    <w:p w14:paraId="20D6A6DC"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23BA8E73" w14:textId="77777777" w:rsidR="009F2E71" w:rsidRDefault="009F2E71" w:rsidP="009F2E71">
      <w:pPr>
        <w:ind w:left="851"/>
        <w:rPr>
          <w:szCs w:val="22"/>
          <w:u w:val="single"/>
          <w:lang w:val="en-US"/>
        </w:rPr>
      </w:pPr>
    </w:p>
    <w:p w14:paraId="571B5C89" w14:textId="1B3A3972" w:rsidR="00DA51B9" w:rsidRPr="00DA51B9" w:rsidRDefault="00DA51B9" w:rsidP="009F2E71">
      <w:pPr>
        <w:ind w:left="851"/>
        <w:rPr>
          <w:sz w:val="22"/>
          <w:szCs w:val="22"/>
          <w:u w:val="single"/>
          <w:lang w:val="en-US"/>
        </w:rPr>
      </w:pPr>
      <w:r w:rsidRPr="00DA51B9">
        <w:rPr>
          <w:szCs w:val="22"/>
          <w:u w:val="single"/>
          <w:lang w:val="en-US"/>
        </w:rPr>
        <w:t xml:space="preserve">Somnolence and episodes of sudden sleep onset </w:t>
      </w:r>
    </w:p>
    <w:p w14:paraId="4FB9D939" w14:textId="77777777" w:rsidR="00DA51B9" w:rsidRPr="00DA51B9" w:rsidRDefault="00DA51B9" w:rsidP="00DA51B9">
      <w:pPr>
        <w:tabs>
          <w:tab w:val="left" w:pos="851"/>
        </w:tabs>
        <w:ind w:left="851"/>
        <w:rPr>
          <w:sz w:val="24"/>
          <w:szCs w:val="24"/>
          <w:lang w:val="en-US"/>
        </w:rPr>
      </w:pPr>
      <w:r w:rsidRPr="00DA51B9">
        <w:rPr>
          <w:sz w:val="24"/>
          <w:szCs w:val="24"/>
          <w:lang w:val="en-US"/>
        </w:rPr>
        <w:t>Ropinirole has been associated with somnolence and episodes of sudden sleep onset, particularly in patients with Parkinson’s disease. Sudden onset of sleep during daily activities, in some cases without awareness or warning signs, has been reported (see section 4.8). Patients must be informed of this and advised to exercise caution while driving or operating machines during treatment with ropinirole. Patients who have experienced somnolence and/or an episode of sudden sleep onset must refrain from driving or operating machines. A reduction of dosage or termination of therapy may be considered.</w:t>
      </w:r>
    </w:p>
    <w:p w14:paraId="27CF374D" w14:textId="77777777" w:rsidR="00DA51B9" w:rsidRPr="00DA51B9" w:rsidRDefault="00DA51B9" w:rsidP="00DA51B9">
      <w:pPr>
        <w:tabs>
          <w:tab w:val="left" w:pos="851"/>
        </w:tabs>
        <w:ind w:left="851"/>
        <w:rPr>
          <w:sz w:val="24"/>
          <w:szCs w:val="24"/>
          <w:lang w:val="en-US"/>
        </w:rPr>
      </w:pPr>
    </w:p>
    <w:p w14:paraId="53894569" w14:textId="77777777" w:rsidR="00DA51B9" w:rsidRPr="009F2E71" w:rsidRDefault="00DA51B9" w:rsidP="009F2E71">
      <w:pPr>
        <w:ind w:left="851"/>
        <w:rPr>
          <w:sz w:val="24"/>
          <w:szCs w:val="24"/>
          <w:u w:val="single"/>
          <w:lang w:val="en-US"/>
        </w:rPr>
      </w:pPr>
      <w:r w:rsidRPr="009F2E71">
        <w:rPr>
          <w:sz w:val="24"/>
          <w:szCs w:val="24"/>
          <w:u w:val="single"/>
          <w:lang w:val="en-US"/>
        </w:rPr>
        <w:t>Psychiatric or psychotic disorders</w:t>
      </w:r>
    </w:p>
    <w:p w14:paraId="5438AF13" w14:textId="77777777" w:rsidR="00DA51B9" w:rsidRPr="009F2E71" w:rsidRDefault="00DA51B9" w:rsidP="009F2E71">
      <w:pPr>
        <w:tabs>
          <w:tab w:val="left" w:pos="851"/>
        </w:tabs>
        <w:ind w:left="851"/>
        <w:rPr>
          <w:sz w:val="24"/>
          <w:szCs w:val="24"/>
          <w:lang w:val="en-US"/>
        </w:rPr>
      </w:pPr>
      <w:r w:rsidRPr="009F2E71">
        <w:rPr>
          <w:sz w:val="24"/>
          <w:szCs w:val="24"/>
          <w:lang w:val="en-US"/>
        </w:rPr>
        <w:t>Patients with major psychiatric or psychotic disorders, or a history of these disorders, should not be treated with dopamine agonists unless the potential benefits outweigh the risks.</w:t>
      </w:r>
    </w:p>
    <w:p w14:paraId="1DA15541" w14:textId="77777777" w:rsidR="00DA51B9" w:rsidRPr="009F2E71" w:rsidRDefault="00DA51B9" w:rsidP="009F2E71">
      <w:pPr>
        <w:tabs>
          <w:tab w:val="left" w:pos="851"/>
        </w:tabs>
        <w:ind w:left="851"/>
        <w:rPr>
          <w:sz w:val="24"/>
          <w:szCs w:val="24"/>
          <w:lang w:val="en-US"/>
        </w:rPr>
      </w:pPr>
    </w:p>
    <w:p w14:paraId="515060ED" w14:textId="77777777" w:rsidR="00DA51B9" w:rsidRPr="009F2E71" w:rsidRDefault="00DA51B9" w:rsidP="009F2E71">
      <w:pPr>
        <w:ind w:left="851"/>
        <w:rPr>
          <w:sz w:val="24"/>
          <w:szCs w:val="24"/>
          <w:u w:val="single"/>
          <w:lang w:val="en-US"/>
        </w:rPr>
      </w:pPr>
      <w:r w:rsidRPr="009F2E71">
        <w:rPr>
          <w:sz w:val="24"/>
          <w:szCs w:val="24"/>
          <w:u w:val="single"/>
          <w:lang w:val="en-US"/>
        </w:rPr>
        <w:t>Impulse control disorders</w:t>
      </w:r>
    </w:p>
    <w:p w14:paraId="13A3346C" w14:textId="45FFAFA1" w:rsidR="00DA51B9" w:rsidRPr="009F2E71" w:rsidRDefault="00DA51B9" w:rsidP="009F2E71">
      <w:pPr>
        <w:ind w:left="851"/>
        <w:rPr>
          <w:sz w:val="24"/>
          <w:szCs w:val="24"/>
          <w:lang w:val="en-US"/>
        </w:rPr>
      </w:pPr>
      <w:r w:rsidRPr="009F2E71">
        <w:rPr>
          <w:color w:val="000000"/>
          <w:sz w:val="24"/>
          <w:szCs w:val="24"/>
          <w:lang w:val="en-US"/>
        </w:rPr>
        <w:t xml:space="preserve">Patients should be regularly monitored for the development of impulse control disorders. Patients and </w:t>
      </w:r>
      <w:proofErr w:type="spellStart"/>
      <w:r w:rsidRPr="009F2E71">
        <w:rPr>
          <w:color w:val="000000"/>
          <w:sz w:val="24"/>
          <w:szCs w:val="24"/>
          <w:lang w:val="en-US"/>
        </w:rPr>
        <w:t>carers</w:t>
      </w:r>
      <w:proofErr w:type="spellEnd"/>
      <w:r w:rsidRPr="009F2E71">
        <w:rPr>
          <w:color w:val="000000"/>
          <w:sz w:val="24"/>
          <w:szCs w:val="24"/>
          <w:lang w:val="en-US"/>
        </w:rPr>
        <w:t xml:space="preserve"> should be made aware that </w:t>
      </w:r>
      <w:proofErr w:type="spellStart"/>
      <w:r w:rsidRPr="009F2E71">
        <w:rPr>
          <w:color w:val="000000"/>
          <w:sz w:val="24"/>
          <w:szCs w:val="24"/>
          <w:lang w:val="en-US"/>
        </w:rPr>
        <w:t>behavioural</w:t>
      </w:r>
      <w:proofErr w:type="spellEnd"/>
      <w:r w:rsidRPr="009F2E71">
        <w:rPr>
          <w:color w:val="000000"/>
          <w:sz w:val="24"/>
          <w:szCs w:val="24"/>
          <w:lang w:val="en-US"/>
        </w:rPr>
        <w:t xml:space="preserve"> symptoms of impulse control disorders including pathological gambling, increased libido, hypersexuality, compulsive spending or buying, binge eating and compulsive eating can occur in patients treated with dopamine agonists, including </w:t>
      </w:r>
      <w:proofErr w:type="spellStart"/>
      <w:r w:rsidR="007F65C0">
        <w:rPr>
          <w:color w:val="000000"/>
          <w:sz w:val="24"/>
          <w:szCs w:val="24"/>
          <w:lang w:val="en-US"/>
        </w:rPr>
        <w:t>Ropinirol</w:t>
      </w:r>
      <w:proofErr w:type="spellEnd"/>
      <w:r w:rsidR="007F65C0">
        <w:rPr>
          <w:color w:val="000000"/>
          <w:sz w:val="24"/>
          <w:szCs w:val="24"/>
          <w:lang w:val="en-US"/>
        </w:rPr>
        <w:t xml:space="preserve"> "Actavis"</w:t>
      </w:r>
      <w:r w:rsidRPr="009F2E71">
        <w:rPr>
          <w:color w:val="000000"/>
          <w:sz w:val="24"/>
          <w:szCs w:val="24"/>
          <w:lang w:val="en-US"/>
        </w:rPr>
        <w:t xml:space="preserve"> (see section 4.8). Dose reduction/tapered discontinuation should be considered if such symptoms develop.</w:t>
      </w:r>
    </w:p>
    <w:p w14:paraId="771EE248" w14:textId="77777777" w:rsidR="00DA51B9" w:rsidRPr="009F2E71" w:rsidRDefault="00DA51B9" w:rsidP="009F2E71">
      <w:pPr>
        <w:ind w:left="851"/>
        <w:rPr>
          <w:sz w:val="24"/>
          <w:szCs w:val="24"/>
          <w:u w:val="single"/>
          <w:lang w:val="en-US"/>
        </w:rPr>
      </w:pPr>
    </w:p>
    <w:p w14:paraId="76DBD632" w14:textId="77777777" w:rsidR="00DA51B9" w:rsidRPr="009F2E71" w:rsidRDefault="00DA51B9" w:rsidP="009F2E71">
      <w:pPr>
        <w:ind w:left="851"/>
        <w:rPr>
          <w:sz w:val="24"/>
          <w:szCs w:val="24"/>
          <w:u w:val="single"/>
          <w:lang w:val="en-US"/>
        </w:rPr>
      </w:pPr>
      <w:r w:rsidRPr="009F2E71">
        <w:rPr>
          <w:sz w:val="24"/>
          <w:szCs w:val="24"/>
          <w:u w:val="single"/>
          <w:lang w:val="en-US"/>
        </w:rPr>
        <w:t>Mania</w:t>
      </w:r>
    </w:p>
    <w:p w14:paraId="6AB527AF" w14:textId="77777777" w:rsidR="00DA51B9" w:rsidRPr="009F2E71" w:rsidRDefault="00DA51B9" w:rsidP="009F2E71">
      <w:pPr>
        <w:ind w:left="851"/>
        <w:rPr>
          <w:sz w:val="24"/>
          <w:szCs w:val="24"/>
          <w:lang w:val="en-US"/>
        </w:rPr>
      </w:pPr>
      <w:r w:rsidRPr="009F2E71">
        <w:rPr>
          <w:sz w:val="24"/>
          <w:szCs w:val="24"/>
          <w:lang w:val="en-US"/>
        </w:rPr>
        <w:t xml:space="preserve">Patients should be regularly monitored for the development of mania. Patients and </w:t>
      </w:r>
      <w:proofErr w:type="spellStart"/>
      <w:r w:rsidRPr="009F2E71">
        <w:rPr>
          <w:sz w:val="24"/>
          <w:szCs w:val="24"/>
          <w:lang w:val="en-US"/>
        </w:rPr>
        <w:t>carers</w:t>
      </w:r>
      <w:proofErr w:type="spellEnd"/>
      <w:r w:rsidRPr="009F2E71">
        <w:rPr>
          <w:sz w:val="24"/>
          <w:szCs w:val="24"/>
          <w:lang w:val="en-US"/>
        </w:rPr>
        <w:t xml:space="preserve"> should be made aware that symptoms of mania can occur with or without the symptoms of impulse control disorders in patients treated with ropinirole. Dose reduction/tapered discontinuation should be considered if such symptoms develop.</w:t>
      </w:r>
    </w:p>
    <w:p w14:paraId="42C05797" w14:textId="77777777" w:rsidR="00DA51B9" w:rsidRPr="009F2E71" w:rsidRDefault="00DA51B9" w:rsidP="009F2E71">
      <w:pPr>
        <w:autoSpaceDE w:val="0"/>
        <w:autoSpaceDN w:val="0"/>
        <w:adjustRightInd w:val="0"/>
        <w:ind w:left="851"/>
        <w:rPr>
          <w:sz w:val="24"/>
          <w:szCs w:val="24"/>
          <w:u w:val="single"/>
          <w:lang w:val="en-US"/>
        </w:rPr>
      </w:pPr>
    </w:p>
    <w:p w14:paraId="67ED0EB9" w14:textId="77777777" w:rsidR="00DA51B9" w:rsidRPr="009F2E71" w:rsidRDefault="00DA51B9" w:rsidP="009F2E71">
      <w:pPr>
        <w:autoSpaceDE w:val="0"/>
        <w:autoSpaceDN w:val="0"/>
        <w:adjustRightInd w:val="0"/>
        <w:ind w:left="851"/>
        <w:rPr>
          <w:sz w:val="24"/>
          <w:szCs w:val="24"/>
          <w:u w:val="single"/>
          <w:lang w:val="en-US"/>
        </w:rPr>
      </w:pPr>
      <w:r w:rsidRPr="009F2E71">
        <w:rPr>
          <w:sz w:val="24"/>
          <w:szCs w:val="24"/>
          <w:u w:val="single"/>
          <w:lang w:val="en-US"/>
        </w:rPr>
        <w:t>Neuroleptic malignant syndrome</w:t>
      </w:r>
    </w:p>
    <w:p w14:paraId="0C5ACB5E" w14:textId="266B26DC" w:rsidR="00DA51B9" w:rsidRPr="009F2E71" w:rsidRDefault="00DA51B9" w:rsidP="009F2E71">
      <w:pPr>
        <w:autoSpaceDE w:val="0"/>
        <w:autoSpaceDN w:val="0"/>
        <w:adjustRightInd w:val="0"/>
        <w:ind w:left="851"/>
        <w:rPr>
          <w:sz w:val="24"/>
          <w:szCs w:val="24"/>
          <w:lang w:val="en-US"/>
        </w:rPr>
      </w:pPr>
      <w:r w:rsidRPr="009F2E71">
        <w:rPr>
          <w:sz w:val="24"/>
          <w:szCs w:val="24"/>
          <w:lang w:val="en-US"/>
        </w:rPr>
        <w:t>Symptoms suggestive of neuroleptic malignant syndrome have been reported with abrupt withdrawal of dopaminergic therapy. Therefore</w:t>
      </w:r>
      <w:r w:rsidR="009F2E71">
        <w:rPr>
          <w:sz w:val="24"/>
          <w:szCs w:val="24"/>
          <w:lang w:val="en-US"/>
        </w:rPr>
        <w:t>,</w:t>
      </w:r>
      <w:r w:rsidRPr="009F2E71">
        <w:rPr>
          <w:sz w:val="24"/>
          <w:szCs w:val="24"/>
          <w:lang w:val="en-US"/>
        </w:rPr>
        <w:t xml:space="preserve"> it is recommended to taper treatment (see section 4.2).</w:t>
      </w:r>
    </w:p>
    <w:p w14:paraId="123887CE" w14:textId="77777777" w:rsidR="00DA51B9" w:rsidRPr="009F2E71" w:rsidRDefault="00DA51B9" w:rsidP="009F2E71">
      <w:pPr>
        <w:ind w:left="851"/>
        <w:rPr>
          <w:sz w:val="24"/>
          <w:szCs w:val="24"/>
          <w:lang w:val="en-US"/>
        </w:rPr>
      </w:pPr>
    </w:p>
    <w:p w14:paraId="1DBE9539" w14:textId="77777777" w:rsidR="00DA51B9" w:rsidRPr="009F2E71" w:rsidRDefault="00DA51B9" w:rsidP="009F2E71">
      <w:pPr>
        <w:tabs>
          <w:tab w:val="left" w:pos="1304"/>
        </w:tabs>
        <w:autoSpaceDE w:val="0"/>
        <w:autoSpaceDN w:val="0"/>
        <w:ind w:left="851"/>
        <w:rPr>
          <w:rFonts w:eastAsia="Calibri"/>
          <w:sz w:val="24"/>
          <w:szCs w:val="24"/>
          <w:lang w:val="en-US"/>
        </w:rPr>
      </w:pPr>
      <w:r w:rsidRPr="009F2E71">
        <w:rPr>
          <w:sz w:val="24"/>
          <w:szCs w:val="24"/>
          <w:u w:val="single"/>
          <w:lang w:val="en-US"/>
        </w:rPr>
        <w:t>Rapid gastrointestinal transit</w:t>
      </w:r>
      <w:r w:rsidRPr="009F2E71">
        <w:rPr>
          <w:rFonts w:eastAsia="Calibri"/>
          <w:sz w:val="24"/>
          <w:szCs w:val="24"/>
          <w:lang w:val="en-US"/>
        </w:rPr>
        <w:t xml:space="preserve"> </w:t>
      </w:r>
    </w:p>
    <w:p w14:paraId="336F65B4" w14:textId="06C3BF3D" w:rsidR="00DA51B9" w:rsidRPr="009F2E71" w:rsidRDefault="007F65C0" w:rsidP="009F2E71">
      <w:pPr>
        <w:tabs>
          <w:tab w:val="left" w:pos="1304"/>
        </w:tabs>
        <w:autoSpaceDE w:val="0"/>
        <w:autoSpaceDN w:val="0"/>
        <w:ind w:left="851"/>
        <w:rPr>
          <w:rFonts w:eastAsia="Calibri"/>
          <w:sz w:val="24"/>
          <w:szCs w:val="24"/>
          <w:lang w:val="en-US"/>
        </w:rPr>
      </w:pPr>
      <w:proofErr w:type="spellStart"/>
      <w:r>
        <w:rPr>
          <w:rFonts w:eastAsia="Calibri"/>
          <w:sz w:val="24"/>
          <w:szCs w:val="24"/>
          <w:lang w:val="en-US"/>
        </w:rPr>
        <w:t>Ropinirol</w:t>
      </w:r>
      <w:proofErr w:type="spellEnd"/>
      <w:r>
        <w:rPr>
          <w:rFonts w:eastAsia="Calibri"/>
          <w:sz w:val="24"/>
          <w:szCs w:val="24"/>
          <w:lang w:val="en-US"/>
        </w:rPr>
        <w:t xml:space="preserve"> "Actavis"</w:t>
      </w:r>
      <w:r w:rsidR="00DA51B9" w:rsidRPr="009F2E71">
        <w:rPr>
          <w:rFonts w:eastAsia="Calibri"/>
          <w:sz w:val="24"/>
          <w:szCs w:val="24"/>
          <w:lang w:val="en-US"/>
        </w:rPr>
        <w:t xml:space="preserve"> tablets are designed to release medication over a </w:t>
      </w:r>
      <w:proofErr w:type="gramStart"/>
      <w:r w:rsidR="00DA51B9" w:rsidRPr="009F2E71">
        <w:rPr>
          <w:rFonts w:eastAsia="Calibri"/>
          <w:sz w:val="24"/>
          <w:szCs w:val="24"/>
          <w:lang w:val="en-US"/>
        </w:rPr>
        <w:t>24 hour</w:t>
      </w:r>
      <w:proofErr w:type="gramEnd"/>
      <w:r w:rsidR="00DA51B9" w:rsidRPr="009F2E71">
        <w:rPr>
          <w:rFonts w:eastAsia="Calibri"/>
          <w:sz w:val="24"/>
          <w:szCs w:val="24"/>
          <w:lang w:val="en-US"/>
        </w:rPr>
        <w:t xml:space="preserve"> period. If rapid gastrointestinal transit occurs, there may be risk of incomplete release of medication, and of medication residue being passed in the stool.</w:t>
      </w:r>
    </w:p>
    <w:p w14:paraId="539D747E" w14:textId="77777777" w:rsidR="00DA51B9" w:rsidRPr="009F2E71" w:rsidRDefault="00DA51B9" w:rsidP="009F2E71">
      <w:pPr>
        <w:autoSpaceDE w:val="0"/>
        <w:autoSpaceDN w:val="0"/>
        <w:adjustRightInd w:val="0"/>
        <w:ind w:left="851"/>
        <w:rPr>
          <w:sz w:val="24"/>
          <w:szCs w:val="24"/>
          <w:lang w:val="en-GB"/>
        </w:rPr>
      </w:pPr>
    </w:p>
    <w:p w14:paraId="5A8AF843" w14:textId="77777777" w:rsidR="00DA51B9" w:rsidRPr="009F2E71" w:rsidRDefault="00DA51B9" w:rsidP="009F2E71">
      <w:pPr>
        <w:ind w:left="851"/>
        <w:rPr>
          <w:sz w:val="24"/>
          <w:szCs w:val="24"/>
          <w:u w:val="single"/>
          <w:lang w:val="en-US"/>
        </w:rPr>
      </w:pPr>
      <w:r w:rsidRPr="009F2E71">
        <w:rPr>
          <w:sz w:val="24"/>
          <w:szCs w:val="24"/>
          <w:u w:val="single"/>
          <w:lang w:val="en-US"/>
        </w:rPr>
        <w:t>Hypotension</w:t>
      </w:r>
    </w:p>
    <w:p w14:paraId="20631129" w14:textId="77777777" w:rsidR="00DA51B9" w:rsidRPr="009F2E71" w:rsidRDefault="00DA51B9" w:rsidP="009F2E71">
      <w:pPr>
        <w:ind w:left="851"/>
        <w:rPr>
          <w:sz w:val="24"/>
          <w:szCs w:val="24"/>
          <w:lang w:val="en-US"/>
        </w:rPr>
      </w:pPr>
      <w:r w:rsidRPr="009F2E71">
        <w:rPr>
          <w:sz w:val="24"/>
          <w:szCs w:val="24"/>
          <w:lang w:val="en-US"/>
        </w:rPr>
        <w:t>Due to the risk of hypotension, blood pressure monitoring is recommended, particularly at the start of treatment, in patients with severe cardiovascular disease (in particular coronary insufficiency).</w:t>
      </w:r>
    </w:p>
    <w:p w14:paraId="13961E2D" w14:textId="77777777" w:rsidR="00DA51B9" w:rsidRPr="00DA51B9" w:rsidRDefault="00DA51B9" w:rsidP="00DA51B9">
      <w:pPr>
        <w:autoSpaceDE w:val="0"/>
        <w:autoSpaceDN w:val="0"/>
        <w:adjustRightInd w:val="0"/>
        <w:rPr>
          <w:szCs w:val="22"/>
          <w:lang w:val="en-US"/>
        </w:rPr>
      </w:pPr>
    </w:p>
    <w:p w14:paraId="01105462"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Dopamine agonist withdrawal syndrome (DAWS)</w:t>
      </w:r>
    </w:p>
    <w:p w14:paraId="6A81D145" w14:textId="77777777" w:rsidR="00DA51B9" w:rsidRPr="00DA51B9" w:rsidRDefault="00DA51B9" w:rsidP="00DA51B9">
      <w:pPr>
        <w:tabs>
          <w:tab w:val="left" w:pos="851"/>
        </w:tabs>
        <w:ind w:left="851"/>
        <w:rPr>
          <w:sz w:val="24"/>
          <w:szCs w:val="24"/>
          <w:lang w:val="en-US"/>
        </w:rPr>
      </w:pPr>
      <w:r>
        <w:rPr>
          <w:sz w:val="24"/>
          <w:szCs w:val="24"/>
          <w:lang w:val="en-US"/>
        </w:rPr>
        <w:t>DAWS has been reported with dopamine agonists, including ropinirole (see section 4.8). To discontinue treatment in patients with Parkinson’s disease, ropinirole should be tapered off (see section 4.2). Limited data suggests that patients with impulse control disorders and those receiving high daily dose and/or high cumulative doses of dopamine agonists may be at higher risk for developing DAWS. Withdrawal symptoms may include apathy, anxiety, depression, fatigue, sweating and pain and do not respond to levodopa. Prior to tapering off and discontinuing ropinirole, patients should be informed about potential withdrawal symptoms. Patients should be closely monitored during tapering and discontinuation. In case of severe and/or persistent withdrawal symptoms, temporary re-administration of ropinirole at the lowest effective dose may be considered.</w:t>
      </w:r>
    </w:p>
    <w:p w14:paraId="11464193" w14:textId="77777777" w:rsidR="00DA51B9" w:rsidRPr="00DA51B9" w:rsidRDefault="00DA51B9" w:rsidP="00DA51B9">
      <w:pPr>
        <w:tabs>
          <w:tab w:val="left" w:pos="851"/>
        </w:tabs>
        <w:ind w:left="851"/>
        <w:rPr>
          <w:b/>
          <w:sz w:val="24"/>
          <w:szCs w:val="24"/>
          <w:u w:val="single"/>
          <w:lang w:val="en-US"/>
        </w:rPr>
      </w:pPr>
    </w:p>
    <w:p w14:paraId="4F4E6CDB"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Hallucinations</w:t>
      </w:r>
    </w:p>
    <w:p w14:paraId="0EB30034" w14:textId="77777777" w:rsidR="00DA51B9" w:rsidRPr="00DA51B9" w:rsidRDefault="00DA51B9" w:rsidP="00DA51B9">
      <w:pPr>
        <w:tabs>
          <w:tab w:val="left" w:pos="851"/>
        </w:tabs>
        <w:ind w:left="851"/>
        <w:rPr>
          <w:sz w:val="24"/>
          <w:szCs w:val="24"/>
          <w:lang w:val="en-US"/>
        </w:rPr>
      </w:pPr>
      <w:r w:rsidRPr="00DA51B9">
        <w:rPr>
          <w:sz w:val="24"/>
          <w:szCs w:val="24"/>
          <w:lang w:val="en-US"/>
        </w:rPr>
        <w:t>Hallucinations are known as a side effect of treatment with dopamine agonists and levodopa. Patients should be informed that hallucinations can occur.</w:t>
      </w:r>
    </w:p>
    <w:p w14:paraId="041B7AEC" w14:textId="77777777" w:rsidR="00DA51B9" w:rsidRPr="00DA51B9" w:rsidRDefault="00DA51B9" w:rsidP="00DA51B9">
      <w:pPr>
        <w:tabs>
          <w:tab w:val="left" w:pos="851"/>
        </w:tabs>
        <w:ind w:left="851"/>
        <w:rPr>
          <w:sz w:val="24"/>
          <w:szCs w:val="24"/>
          <w:lang w:val="en-US"/>
        </w:rPr>
      </w:pPr>
    </w:p>
    <w:p w14:paraId="2D4773C5"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Excipients</w:t>
      </w:r>
    </w:p>
    <w:p w14:paraId="293123B6" w14:textId="77777777" w:rsidR="00DA51B9" w:rsidRPr="00DA51B9" w:rsidRDefault="00DA51B9" w:rsidP="00DA51B9">
      <w:pPr>
        <w:tabs>
          <w:tab w:val="left" w:pos="851"/>
        </w:tabs>
        <w:ind w:left="851"/>
        <w:rPr>
          <w:sz w:val="24"/>
          <w:szCs w:val="24"/>
          <w:lang w:val="en-US"/>
        </w:rPr>
      </w:pPr>
    </w:p>
    <w:p w14:paraId="5D33BA1B" w14:textId="77777777" w:rsidR="00DA51B9" w:rsidRPr="009F2E71" w:rsidRDefault="00DA51B9" w:rsidP="009F2E71">
      <w:pPr>
        <w:ind w:left="851"/>
        <w:rPr>
          <w:i/>
          <w:sz w:val="24"/>
          <w:szCs w:val="24"/>
          <w:lang w:val="en-US"/>
        </w:rPr>
      </w:pPr>
      <w:r w:rsidRPr="009F2E71">
        <w:rPr>
          <w:i/>
          <w:sz w:val="24"/>
          <w:szCs w:val="24"/>
          <w:lang w:val="en-US"/>
        </w:rPr>
        <w:t xml:space="preserve">Lactose </w:t>
      </w:r>
    </w:p>
    <w:p w14:paraId="24779878" w14:textId="77777777" w:rsidR="00DA51B9" w:rsidRPr="009F2E71" w:rsidRDefault="00DA51B9" w:rsidP="009F2E71">
      <w:pPr>
        <w:ind w:left="851"/>
        <w:rPr>
          <w:sz w:val="24"/>
          <w:szCs w:val="24"/>
          <w:lang w:val="en-US"/>
        </w:rPr>
      </w:pPr>
      <w:r w:rsidRPr="009F2E71">
        <w:rPr>
          <w:sz w:val="24"/>
          <w:szCs w:val="24"/>
          <w:lang w:val="en-US"/>
        </w:rPr>
        <w:t>This medicinal product contains lactose. Patients with rare hereditary problems of galactose intolerance, total lactase deficiency or glucose-galactose malabsorption should not take this medicine.</w:t>
      </w:r>
    </w:p>
    <w:p w14:paraId="1B20F456" w14:textId="77777777" w:rsidR="00DA51B9" w:rsidRPr="009F2E71" w:rsidRDefault="00DA51B9" w:rsidP="009F2E71">
      <w:pPr>
        <w:ind w:left="851"/>
        <w:rPr>
          <w:sz w:val="24"/>
          <w:szCs w:val="24"/>
          <w:lang w:val="en-US"/>
        </w:rPr>
      </w:pPr>
    </w:p>
    <w:p w14:paraId="5A4A3852" w14:textId="77777777" w:rsidR="00DA51B9" w:rsidRPr="009F2E71" w:rsidRDefault="00DA51B9" w:rsidP="009F2E71">
      <w:pPr>
        <w:ind w:left="851"/>
        <w:rPr>
          <w:i/>
          <w:sz w:val="24"/>
          <w:szCs w:val="24"/>
          <w:lang w:val="en-US"/>
        </w:rPr>
      </w:pPr>
      <w:r w:rsidRPr="009F2E71">
        <w:rPr>
          <w:i/>
          <w:sz w:val="24"/>
          <w:szCs w:val="24"/>
          <w:lang w:val="en-US"/>
        </w:rPr>
        <w:t>Glucose (component of maltodextrin)</w:t>
      </w:r>
    </w:p>
    <w:p w14:paraId="6C5F7AA7" w14:textId="77777777" w:rsidR="00DA51B9" w:rsidRPr="009F2E71" w:rsidRDefault="00DA51B9" w:rsidP="009F2E71">
      <w:pPr>
        <w:tabs>
          <w:tab w:val="left" w:pos="1304"/>
        </w:tabs>
        <w:autoSpaceDE w:val="0"/>
        <w:autoSpaceDN w:val="0"/>
        <w:adjustRightInd w:val="0"/>
        <w:ind w:left="851"/>
        <w:rPr>
          <w:sz w:val="24"/>
          <w:szCs w:val="24"/>
          <w:lang w:val="en-US"/>
        </w:rPr>
      </w:pPr>
      <w:r w:rsidRPr="009F2E71">
        <w:rPr>
          <w:sz w:val="24"/>
          <w:szCs w:val="24"/>
          <w:lang w:val="en-US"/>
        </w:rPr>
        <w:t>This medicinal product contains glucose. Patients with rare glucose-galactose malabsorption should not take this medicine.</w:t>
      </w:r>
    </w:p>
    <w:p w14:paraId="25F142D8" w14:textId="77777777" w:rsidR="00DA51B9" w:rsidRPr="009F2E71" w:rsidRDefault="00DA51B9" w:rsidP="009F2E71">
      <w:pPr>
        <w:ind w:left="851"/>
        <w:rPr>
          <w:sz w:val="24"/>
          <w:szCs w:val="24"/>
          <w:lang w:val="en-US"/>
        </w:rPr>
      </w:pPr>
    </w:p>
    <w:p w14:paraId="339E1AC8" w14:textId="77777777" w:rsidR="00DA51B9" w:rsidRPr="009F2E71" w:rsidRDefault="00DA51B9" w:rsidP="009F2E71">
      <w:pPr>
        <w:ind w:left="851"/>
        <w:rPr>
          <w:i/>
          <w:sz w:val="24"/>
          <w:szCs w:val="24"/>
          <w:lang w:val="en-GB"/>
        </w:rPr>
      </w:pPr>
      <w:r w:rsidRPr="009F2E71">
        <w:rPr>
          <w:i/>
          <w:sz w:val="24"/>
          <w:szCs w:val="24"/>
          <w:lang w:val="en-US"/>
        </w:rPr>
        <w:t>Castor oil</w:t>
      </w:r>
    </w:p>
    <w:p w14:paraId="53763AFB" w14:textId="77777777" w:rsidR="00DA51B9" w:rsidRPr="009F2E71" w:rsidRDefault="00DA51B9" w:rsidP="009F2E71">
      <w:pPr>
        <w:ind w:left="851"/>
        <w:rPr>
          <w:sz w:val="24"/>
          <w:szCs w:val="24"/>
          <w:lang w:val="en-US"/>
        </w:rPr>
      </w:pPr>
      <w:r w:rsidRPr="009F2E71">
        <w:rPr>
          <w:sz w:val="24"/>
          <w:szCs w:val="24"/>
          <w:lang w:val="en-US"/>
        </w:rPr>
        <w:t xml:space="preserve">This medicinal product contains castor oil. This may cause stomach upset and </w:t>
      </w:r>
      <w:proofErr w:type="spellStart"/>
      <w:r w:rsidRPr="009F2E71">
        <w:rPr>
          <w:sz w:val="24"/>
          <w:szCs w:val="24"/>
          <w:lang w:val="en-US"/>
        </w:rPr>
        <w:t>diarrhoea</w:t>
      </w:r>
      <w:proofErr w:type="spellEnd"/>
      <w:r w:rsidRPr="009F2E71">
        <w:rPr>
          <w:sz w:val="24"/>
          <w:szCs w:val="24"/>
          <w:lang w:val="en-US"/>
        </w:rPr>
        <w:t>.</w:t>
      </w:r>
    </w:p>
    <w:p w14:paraId="0F148F7A" w14:textId="77777777" w:rsidR="00DA51B9" w:rsidRPr="009F2E71" w:rsidRDefault="00DA51B9" w:rsidP="009F2E71">
      <w:pPr>
        <w:tabs>
          <w:tab w:val="left" w:pos="851"/>
        </w:tabs>
        <w:ind w:left="851"/>
        <w:rPr>
          <w:sz w:val="24"/>
          <w:szCs w:val="24"/>
          <w:lang w:val="en-US"/>
        </w:rPr>
      </w:pPr>
    </w:p>
    <w:p w14:paraId="22D1007B" w14:textId="77777777" w:rsidR="00DA51B9" w:rsidRPr="00DA51B9" w:rsidRDefault="00DA51B9" w:rsidP="00DA51B9">
      <w:pPr>
        <w:tabs>
          <w:tab w:val="left" w:pos="851"/>
        </w:tabs>
        <w:ind w:left="851"/>
        <w:rPr>
          <w:i/>
          <w:sz w:val="24"/>
          <w:szCs w:val="24"/>
          <w:lang w:val="en-US"/>
        </w:rPr>
      </w:pPr>
      <w:r w:rsidRPr="00DA51B9">
        <w:rPr>
          <w:i/>
          <w:sz w:val="24"/>
          <w:szCs w:val="24"/>
          <w:lang w:val="en-US"/>
        </w:rPr>
        <w:t>Sodium</w:t>
      </w:r>
    </w:p>
    <w:p w14:paraId="470C3B43" w14:textId="77777777" w:rsidR="00DA51B9" w:rsidRPr="00DA51B9" w:rsidRDefault="00DA51B9" w:rsidP="00DA51B9">
      <w:pPr>
        <w:tabs>
          <w:tab w:val="left" w:pos="851"/>
        </w:tabs>
        <w:ind w:left="851"/>
        <w:rPr>
          <w:sz w:val="24"/>
          <w:szCs w:val="24"/>
          <w:lang w:val="en-US"/>
        </w:rPr>
      </w:pPr>
      <w:r w:rsidRPr="00DA51B9">
        <w:rPr>
          <w:sz w:val="24"/>
          <w:szCs w:val="24"/>
          <w:lang w:val="en-US"/>
        </w:rPr>
        <w:t>This medicinal product contains less than 1 mmol sodium (23 mg) per prolonged-release tablet, that is to say essentially “sodium-free”.</w:t>
      </w:r>
    </w:p>
    <w:p w14:paraId="5E8D1FD1" w14:textId="77777777" w:rsidR="007C5D2A" w:rsidRPr="00303008" w:rsidRDefault="007C5D2A" w:rsidP="003E0341">
      <w:pPr>
        <w:tabs>
          <w:tab w:val="left" w:pos="851"/>
        </w:tabs>
        <w:ind w:left="851"/>
        <w:rPr>
          <w:sz w:val="24"/>
          <w:szCs w:val="24"/>
          <w:lang w:val="en-GB"/>
        </w:rPr>
      </w:pPr>
    </w:p>
    <w:p w14:paraId="670A8C82"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416CF0D5" w14:textId="77777777" w:rsidR="009F2E71" w:rsidRPr="009F2E71" w:rsidRDefault="009F2E71" w:rsidP="009F2E71">
      <w:pPr>
        <w:ind w:left="851"/>
        <w:rPr>
          <w:szCs w:val="22"/>
          <w:u w:val="single"/>
          <w:lang w:val="en-GB"/>
        </w:rPr>
      </w:pPr>
    </w:p>
    <w:p w14:paraId="048BAECB" w14:textId="46E7B08D" w:rsidR="00DA51B9" w:rsidRPr="009F2E71" w:rsidRDefault="00DA51B9" w:rsidP="009F2E71">
      <w:pPr>
        <w:ind w:left="851"/>
        <w:rPr>
          <w:sz w:val="24"/>
          <w:szCs w:val="24"/>
          <w:u w:val="single"/>
          <w:lang w:val="en-US"/>
        </w:rPr>
      </w:pPr>
      <w:r w:rsidRPr="009F2E71">
        <w:rPr>
          <w:sz w:val="24"/>
          <w:szCs w:val="24"/>
          <w:u w:val="single"/>
          <w:lang w:val="en-US"/>
        </w:rPr>
        <w:t>Levodopa and domperidone</w:t>
      </w:r>
    </w:p>
    <w:p w14:paraId="7DBD524C" w14:textId="77777777" w:rsidR="00DA51B9" w:rsidRPr="009F2E71" w:rsidRDefault="00DA51B9" w:rsidP="009F2E71">
      <w:pPr>
        <w:tabs>
          <w:tab w:val="left" w:pos="851"/>
        </w:tabs>
        <w:ind w:left="851"/>
        <w:rPr>
          <w:sz w:val="24"/>
          <w:szCs w:val="24"/>
          <w:lang w:val="en-US"/>
        </w:rPr>
      </w:pPr>
      <w:r w:rsidRPr="009F2E71">
        <w:rPr>
          <w:sz w:val="24"/>
          <w:szCs w:val="24"/>
          <w:lang w:val="en-US"/>
        </w:rPr>
        <w:t>There is no pharmacokinetic interaction between ropinirole and levodopa or domperidone which would necessitate dosage adjustment of these medicinal products.</w:t>
      </w:r>
    </w:p>
    <w:p w14:paraId="3D3469F8" w14:textId="77777777" w:rsidR="00DA51B9" w:rsidRPr="009F2E71" w:rsidRDefault="00DA51B9" w:rsidP="009F2E71">
      <w:pPr>
        <w:tabs>
          <w:tab w:val="left" w:pos="851"/>
        </w:tabs>
        <w:ind w:left="851"/>
        <w:rPr>
          <w:sz w:val="24"/>
          <w:szCs w:val="24"/>
          <w:lang w:val="en-US"/>
        </w:rPr>
      </w:pPr>
    </w:p>
    <w:p w14:paraId="1ED215AE" w14:textId="77777777" w:rsidR="00DA51B9" w:rsidRPr="009F2E71" w:rsidRDefault="00DA51B9" w:rsidP="009F2E71">
      <w:pPr>
        <w:ind w:left="851"/>
        <w:rPr>
          <w:sz w:val="24"/>
          <w:szCs w:val="24"/>
          <w:u w:val="single"/>
          <w:lang w:val="en-US"/>
        </w:rPr>
      </w:pPr>
      <w:r w:rsidRPr="009F2E71">
        <w:rPr>
          <w:sz w:val="24"/>
          <w:szCs w:val="24"/>
          <w:u w:val="single"/>
          <w:lang w:val="en-US"/>
        </w:rPr>
        <w:t xml:space="preserve">Neuroleptics and other centrally active dopamine antagonists </w:t>
      </w:r>
    </w:p>
    <w:p w14:paraId="7C966BBB" w14:textId="77777777" w:rsidR="00DA51B9" w:rsidRPr="009F2E71" w:rsidRDefault="00DA51B9" w:rsidP="009F2E71">
      <w:pPr>
        <w:tabs>
          <w:tab w:val="left" w:pos="851"/>
        </w:tabs>
        <w:ind w:left="851"/>
        <w:rPr>
          <w:sz w:val="24"/>
          <w:szCs w:val="24"/>
          <w:lang w:val="en-US"/>
        </w:rPr>
      </w:pPr>
      <w:r w:rsidRPr="009F2E71">
        <w:rPr>
          <w:sz w:val="24"/>
          <w:szCs w:val="24"/>
          <w:lang w:val="en-US"/>
        </w:rPr>
        <w:t xml:space="preserve">Neuroleptics and other centrally active dopamine antagonists, such as </w:t>
      </w:r>
      <w:proofErr w:type="spellStart"/>
      <w:r w:rsidRPr="009F2E71">
        <w:rPr>
          <w:sz w:val="24"/>
          <w:szCs w:val="24"/>
          <w:lang w:val="en-US"/>
        </w:rPr>
        <w:t>sulpiride</w:t>
      </w:r>
      <w:proofErr w:type="spellEnd"/>
      <w:r w:rsidRPr="009F2E71">
        <w:rPr>
          <w:sz w:val="24"/>
          <w:szCs w:val="24"/>
          <w:lang w:val="en-US"/>
        </w:rPr>
        <w:t xml:space="preserve"> or metoclopramide, may diminish the effectiveness of ropinirole and therefore, concomitant use of these medicinal products should be avoided.</w:t>
      </w:r>
    </w:p>
    <w:p w14:paraId="31AFD5A0" w14:textId="77777777" w:rsidR="00DA51B9" w:rsidRPr="009F2E71" w:rsidRDefault="00DA51B9" w:rsidP="009F2E71">
      <w:pPr>
        <w:tabs>
          <w:tab w:val="left" w:pos="851"/>
        </w:tabs>
        <w:ind w:left="851"/>
        <w:rPr>
          <w:sz w:val="24"/>
          <w:szCs w:val="24"/>
          <w:lang w:val="en-US"/>
        </w:rPr>
      </w:pPr>
    </w:p>
    <w:p w14:paraId="41A33C28" w14:textId="77777777" w:rsidR="00DA51B9" w:rsidRPr="009F2E71" w:rsidRDefault="00DA51B9" w:rsidP="009F2E71">
      <w:pPr>
        <w:ind w:left="851"/>
        <w:rPr>
          <w:sz w:val="24"/>
          <w:szCs w:val="24"/>
          <w:u w:val="single"/>
          <w:lang w:val="en-US"/>
        </w:rPr>
      </w:pPr>
      <w:proofErr w:type="spellStart"/>
      <w:r w:rsidRPr="009F2E71">
        <w:rPr>
          <w:sz w:val="24"/>
          <w:szCs w:val="24"/>
          <w:u w:val="single"/>
          <w:lang w:val="en-US"/>
        </w:rPr>
        <w:t>Oestrogens</w:t>
      </w:r>
      <w:proofErr w:type="spellEnd"/>
      <w:r w:rsidRPr="009F2E71">
        <w:rPr>
          <w:sz w:val="24"/>
          <w:szCs w:val="24"/>
          <w:u w:val="single"/>
          <w:lang w:val="en-US"/>
        </w:rPr>
        <w:t xml:space="preserve"> </w:t>
      </w:r>
    </w:p>
    <w:p w14:paraId="2E47ACFD" w14:textId="77777777" w:rsidR="00DA51B9" w:rsidRPr="009F2E71" w:rsidRDefault="00DA51B9" w:rsidP="009F2E71">
      <w:pPr>
        <w:tabs>
          <w:tab w:val="left" w:pos="851"/>
        </w:tabs>
        <w:ind w:left="851"/>
        <w:rPr>
          <w:sz w:val="24"/>
          <w:szCs w:val="24"/>
          <w:lang w:val="en-US"/>
        </w:rPr>
      </w:pPr>
      <w:r w:rsidRPr="009F2E71">
        <w:rPr>
          <w:sz w:val="24"/>
          <w:szCs w:val="24"/>
          <w:lang w:val="en-US"/>
        </w:rPr>
        <w:t xml:space="preserve">Increased plasma concentrations of ropinirole have been observed in patients treated with high doses of </w:t>
      </w:r>
      <w:proofErr w:type="spellStart"/>
      <w:r w:rsidRPr="009F2E71">
        <w:rPr>
          <w:sz w:val="24"/>
          <w:szCs w:val="24"/>
          <w:lang w:val="en-US"/>
        </w:rPr>
        <w:t>oestrogens</w:t>
      </w:r>
      <w:proofErr w:type="spellEnd"/>
      <w:r w:rsidRPr="009F2E71">
        <w:rPr>
          <w:sz w:val="24"/>
          <w:szCs w:val="24"/>
          <w:lang w:val="en-US"/>
        </w:rPr>
        <w:t>. In patients already receiving hormone replacement therapy (HRT), ropinirole treatment may be initiated in the normal manner. However, it may be necessary to adjust the ropinirole dose, in accordance with clinical response, if HRT is stopped or introduced during treatment with ropinirole.</w:t>
      </w:r>
    </w:p>
    <w:p w14:paraId="0EC43350" w14:textId="77777777" w:rsidR="00DA51B9" w:rsidRPr="009F2E71" w:rsidRDefault="00DA51B9" w:rsidP="009F2E71">
      <w:pPr>
        <w:tabs>
          <w:tab w:val="left" w:pos="851"/>
        </w:tabs>
        <w:ind w:left="851"/>
        <w:rPr>
          <w:sz w:val="24"/>
          <w:szCs w:val="24"/>
          <w:lang w:val="en-US"/>
        </w:rPr>
      </w:pPr>
    </w:p>
    <w:p w14:paraId="17F14FE5" w14:textId="77777777" w:rsidR="00DA51B9" w:rsidRPr="009F2E71" w:rsidRDefault="00DA51B9" w:rsidP="009F2E71">
      <w:pPr>
        <w:ind w:left="851"/>
        <w:rPr>
          <w:sz w:val="24"/>
          <w:szCs w:val="24"/>
          <w:u w:val="single"/>
          <w:lang w:val="en-US"/>
        </w:rPr>
      </w:pPr>
      <w:r w:rsidRPr="009F2E71">
        <w:rPr>
          <w:sz w:val="24"/>
          <w:szCs w:val="24"/>
          <w:u w:val="single"/>
          <w:lang w:val="en-US"/>
        </w:rPr>
        <w:t>CYP1A2-inhibitors</w:t>
      </w:r>
    </w:p>
    <w:p w14:paraId="1F92B0C7" w14:textId="77777777" w:rsidR="00DA51B9" w:rsidRPr="009F2E71" w:rsidRDefault="00DA51B9" w:rsidP="009F2E71">
      <w:pPr>
        <w:tabs>
          <w:tab w:val="left" w:pos="851"/>
        </w:tabs>
        <w:ind w:left="851"/>
        <w:rPr>
          <w:sz w:val="24"/>
          <w:szCs w:val="24"/>
          <w:lang w:val="en-US"/>
        </w:rPr>
      </w:pPr>
      <w:r w:rsidRPr="009F2E71">
        <w:rPr>
          <w:sz w:val="24"/>
          <w:szCs w:val="24"/>
          <w:lang w:val="en-US"/>
        </w:rPr>
        <w:t xml:space="preserve">Ropinirole is principally </w:t>
      </w:r>
      <w:proofErr w:type="spellStart"/>
      <w:r w:rsidRPr="009F2E71">
        <w:rPr>
          <w:sz w:val="24"/>
          <w:szCs w:val="24"/>
          <w:lang w:val="en-US"/>
        </w:rPr>
        <w:t>metabolised</w:t>
      </w:r>
      <w:proofErr w:type="spellEnd"/>
      <w:r w:rsidRPr="009F2E71">
        <w:rPr>
          <w:sz w:val="24"/>
          <w:szCs w:val="24"/>
          <w:lang w:val="en-US"/>
        </w:rPr>
        <w:t xml:space="preserve"> by the cytochrome P450 isoenzyme CYP1A2. A pharmacokinetic study (with a ropinirole film-coated (immediate-release) tablet dose of 2 mg, three times a day) in Parkinson’s disease patients, revealed that ciprofloxacin increased the </w:t>
      </w:r>
      <w:proofErr w:type="spellStart"/>
      <w:r w:rsidRPr="009F2E71">
        <w:rPr>
          <w:sz w:val="24"/>
          <w:szCs w:val="24"/>
          <w:lang w:val="en-US"/>
        </w:rPr>
        <w:t>C</w:t>
      </w:r>
      <w:r w:rsidRPr="009F2E71">
        <w:rPr>
          <w:sz w:val="24"/>
          <w:szCs w:val="24"/>
          <w:vertAlign w:val="subscript"/>
          <w:lang w:val="en-US"/>
        </w:rPr>
        <w:t>max</w:t>
      </w:r>
      <w:proofErr w:type="spellEnd"/>
      <w:r w:rsidRPr="009F2E71">
        <w:rPr>
          <w:sz w:val="24"/>
          <w:szCs w:val="24"/>
          <w:vertAlign w:val="subscript"/>
          <w:lang w:val="en-US"/>
        </w:rPr>
        <w:t xml:space="preserve"> </w:t>
      </w:r>
      <w:r w:rsidRPr="009F2E71">
        <w:rPr>
          <w:sz w:val="24"/>
          <w:szCs w:val="24"/>
          <w:lang w:val="en-US"/>
        </w:rPr>
        <w:t xml:space="preserve">and AUC of ropinirole by 60 % and 84 % respectively, with a potential risk of adverse events. Hence, in patients already receiving ropinirole, the dose of ropinirole may need to be adjusted when medicinal products known to inhibit CYP1A2, e.g. ciprofloxacin, </w:t>
      </w:r>
      <w:proofErr w:type="spellStart"/>
      <w:r w:rsidRPr="009F2E71">
        <w:rPr>
          <w:sz w:val="24"/>
          <w:szCs w:val="24"/>
          <w:lang w:val="en-US"/>
        </w:rPr>
        <w:t>enoxacin</w:t>
      </w:r>
      <w:proofErr w:type="spellEnd"/>
      <w:r w:rsidRPr="009F2E71">
        <w:rPr>
          <w:sz w:val="24"/>
          <w:szCs w:val="24"/>
          <w:lang w:val="en-US"/>
        </w:rPr>
        <w:t xml:space="preserve"> or fluvoxamine, are introduced or withdrawn.</w:t>
      </w:r>
    </w:p>
    <w:p w14:paraId="599478B1" w14:textId="77777777" w:rsidR="00DA51B9" w:rsidRPr="009F2E71" w:rsidRDefault="00DA51B9" w:rsidP="009F2E71">
      <w:pPr>
        <w:tabs>
          <w:tab w:val="left" w:pos="851"/>
        </w:tabs>
        <w:ind w:left="851"/>
        <w:rPr>
          <w:sz w:val="24"/>
          <w:szCs w:val="24"/>
          <w:lang w:val="en-US"/>
        </w:rPr>
      </w:pPr>
    </w:p>
    <w:p w14:paraId="2FE6F332" w14:textId="77777777" w:rsidR="00DA51B9" w:rsidRPr="009F2E71" w:rsidRDefault="00DA51B9" w:rsidP="009F2E71">
      <w:pPr>
        <w:tabs>
          <w:tab w:val="left" w:pos="851"/>
        </w:tabs>
        <w:ind w:left="851"/>
        <w:rPr>
          <w:sz w:val="24"/>
          <w:szCs w:val="24"/>
          <w:lang w:val="en-US"/>
        </w:rPr>
      </w:pPr>
      <w:r w:rsidRPr="009F2E71">
        <w:rPr>
          <w:sz w:val="24"/>
          <w:szCs w:val="24"/>
          <w:lang w:val="en-US"/>
        </w:rPr>
        <w:t>A pharmacokinetic interaction study in patients with Parkinson’s disease between ropinirole (with a ropinirole film-coated (immediate-release) tablet dose of 2 mg, three times a day) and theophylline, a substrate of CYP1A2, revealed no change in the pharmacokinetics of either ropinirole or theophylline.</w:t>
      </w:r>
    </w:p>
    <w:p w14:paraId="6014A85B" w14:textId="77777777" w:rsidR="00DA51B9" w:rsidRPr="009F2E71" w:rsidRDefault="00DA51B9" w:rsidP="009F2E71">
      <w:pPr>
        <w:ind w:left="851"/>
        <w:rPr>
          <w:sz w:val="24"/>
          <w:szCs w:val="24"/>
          <w:lang w:val="en-US"/>
        </w:rPr>
      </w:pPr>
    </w:p>
    <w:p w14:paraId="138B86EC" w14:textId="77777777" w:rsidR="00DA51B9" w:rsidRPr="009F2E71" w:rsidRDefault="00DA51B9" w:rsidP="009F2E71">
      <w:pPr>
        <w:ind w:left="851"/>
        <w:rPr>
          <w:sz w:val="24"/>
          <w:szCs w:val="24"/>
          <w:u w:val="single"/>
          <w:lang w:val="en-US"/>
        </w:rPr>
      </w:pPr>
      <w:r w:rsidRPr="009F2E71">
        <w:rPr>
          <w:sz w:val="24"/>
          <w:szCs w:val="24"/>
          <w:u w:val="single"/>
          <w:lang w:val="en-US"/>
        </w:rPr>
        <w:t xml:space="preserve">Vitamin K antagonists </w:t>
      </w:r>
    </w:p>
    <w:p w14:paraId="6AC3D9BC" w14:textId="77777777" w:rsidR="00DA51B9" w:rsidRPr="009F2E71" w:rsidRDefault="00DA51B9" w:rsidP="009F2E71">
      <w:pPr>
        <w:ind w:left="851"/>
        <w:rPr>
          <w:sz w:val="24"/>
          <w:szCs w:val="24"/>
          <w:lang w:val="en-US"/>
        </w:rPr>
      </w:pPr>
      <w:r w:rsidRPr="009F2E71">
        <w:rPr>
          <w:sz w:val="24"/>
          <w:szCs w:val="24"/>
          <w:lang w:val="en-US"/>
        </w:rPr>
        <w:t>In patients receiving the combination of vitamin K antagonists and ropinirole, cases of unbalanced INR have been reported. Increased clinical and biological surveillance (INR) is warranted.</w:t>
      </w:r>
    </w:p>
    <w:p w14:paraId="7684DE81" w14:textId="77777777" w:rsidR="00DA51B9" w:rsidRPr="009F2E71" w:rsidRDefault="00DA51B9" w:rsidP="009F2E71">
      <w:pPr>
        <w:ind w:left="851"/>
        <w:rPr>
          <w:sz w:val="24"/>
          <w:szCs w:val="24"/>
          <w:lang w:val="en-US"/>
        </w:rPr>
      </w:pPr>
    </w:p>
    <w:p w14:paraId="6258F991" w14:textId="77777777" w:rsidR="00DA51B9" w:rsidRPr="009F2E71" w:rsidRDefault="00DA51B9" w:rsidP="009F2E71">
      <w:pPr>
        <w:ind w:left="851"/>
        <w:rPr>
          <w:sz w:val="24"/>
          <w:szCs w:val="24"/>
          <w:u w:val="single"/>
          <w:lang w:val="en-US"/>
        </w:rPr>
      </w:pPr>
      <w:r w:rsidRPr="009F2E71">
        <w:rPr>
          <w:sz w:val="24"/>
          <w:szCs w:val="24"/>
          <w:u w:val="single"/>
          <w:lang w:val="en-US"/>
        </w:rPr>
        <w:t>Smoking</w:t>
      </w:r>
    </w:p>
    <w:p w14:paraId="0A6B0F83" w14:textId="77777777" w:rsidR="00DA51B9" w:rsidRPr="009F2E71" w:rsidRDefault="00DA51B9" w:rsidP="009F2E71">
      <w:pPr>
        <w:ind w:left="851"/>
        <w:rPr>
          <w:sz w:val="24"/>
          <w:szCs w:val="24"/>
          <w:lang w:val="en-US"/>
        </w:rPr>
      </w:pPr>
      <w:r w:rsidRPr="009F2E71">
        <w:rPr>
          <w:sz w:val="24"/>
          <w:szCs w:val="24"/>
          <w:lang w:val="en-US"/>
        </w:rPr>
        <w:t>Smoking is known to induce CYP1A2 metabolism, therefore if patients stop or start smoking during treatment with ropinirole, dose adjustment may be required.</w:t>
      </w:r>
    </w:p>
    <w:p w14:paraId="6C3A6F5B" w14:textId="77777777" w:rsidR="007C5D2A" w:rsidRPr="009F2E71" w:rsidRDefault="007C5D2A" w:rsidP="009F2E71">
      <w:pPr>
        <w:tabs>
          <w:tab w:val="left" w:pos="851"/>
        </w:tabs>
        <w:ind w:left="851"/>
        <w:rPr>
          <w:sz w:val="24"/>
          <w:szCs w:val="24"/>
          <w:lang w:val="en-GB"/>
        </w:rPr>
      </w:pPr>
    </w:p>
    <w:p w14:paraId="18CEE5EE"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1DCEDB6" w14:textId="77777777" w:rsidR="009F2E71" w:rsidRDefault="009F2E71" w:rsidP="00DA51B9">
      <w:pPr>
        <w:tabs>
          <w:tab w:val="left" w:pos="851"/>
        </w:tabs>
        <w:ind w:left="851"/>
        <w:rPr>
          <w:sz w:val="24"/>
          <w:szCs w:val="24"/>
          <w:u w:val="single"/>
          <w:lang w:val="en-US"/>
        </w:rPr>
      </w:pPr>
    </w:p>
    <w:p w14:paraId="56A4F385" w14:textId="30CA7450" w:rsidR="00DA51B9" w:rsidRPr="00DA51B9" w:rsidRDefault="00DA51B9" w:rsidP="00DA51B9">
      <w:pPr>
        <w:tabs>
          <w:tab w:val="left" w:pos="851"/>
        </w:tabs>
        <w:ind w:left="851"/>
        <w:rPr>
          <w:sz w:val="24"/>
          <w:szCs w:val="24"/>
          <w:lang w:val="en-US"/>
        </w:rPr>
      </w:pPr>
      <w:r w:rsidRPr="00DA51B9">
        <w:rPr>
          <w:sz w:val="24"/>
          <w:szCs w:val="24"/>
          <w:u w:val="single"/>
          <w:lang w:val="en-US"/>
        </w:rPr>
        <w:t>Pregnancy</w:t>
      </w:r>
      <w:r w:rsidRPr="00DA51B9">
        <w:rPr>
          <w:sz w:val="24"/>
          <w:szCs w:val="24"/>
          <w:lang w:val="en-US"/>
        </w:rPr>
        <w:t xml:space="preserve"> </w:t>
      </w:r>
    </w:p>
    <w:p w14:paraId="111F0B1D" w14:textId="77777777" w:rsidR="00DA51B9" w:rsidRPr="00DA51B9" w:rsidRDefault="00DA51B9" w:rsidP="00DA51B9">
      <w:pPr>
        <w:tabs>
          <w:tab w:val="left" w:pos="851"/>
        </w:tabs>
        <w:ind w:left="851"/>
        <w:rPr>
          <w:sz w:val="24"/>
          <w:szCs w:val="24"/>
          <w:lang w:val="en-US"/>
        </w:rPr>
      </w:pPr>
      <w:r w:rsidRPr="00DA51B9">
        <w:rPr>
          <w:sz w:val="24"/>
          <w:szCs w:val="24"/>
          <w:lang w:val="en-US"/>
        </w:rPr>
        <w:t>There are no adequate data from the use of ropinirole in pregnant women. Ropinirole concentrations may gradually increase during pregnancy (see section 5.2).</w:t>
      </w:r>
    </w:p>
    <w:p w14:paraId="6EFA0A2F" w14:textId="77777777" w:rsidR="00DA51B9" w:rsidRPr="00DA51B9" w:rsidRDefault="00DA51B9" w:rsidP="00DA51B9">
      <w:pPr>
        <w:tabs>
          <w:tab w:val="left" w:pos="851"/>
        </w:tabs>
        <w:ind w:left="851"/>
        <w:rPr>
          <w:sz w:val="24"/>
          <w:szCs w:val="24"/>
          <w:lang w:val="en-US"/>
        </w:rPr>
      </w:pPr>
    </w:p>
    <w:p w14:paraId="0965A530"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Studies in animals have shown reproductive toxicity (see section 5.3). As the potential risk for humans is unknown, it is recommended that ropinirole is not used during pregnancy unless the potential benefit to the patient outweighs the potential risk to the </w:t>
      </w:r>
      <w:proofErr w:type="spellStart"/>
      <w:r w:rsidRPr="00DA51B9">
        <w:rPr>
          <w:sz w:val="24"/>
          <w:szCs w:val="24"/>
          <w:lang w:val="en-US"/>
        </w:rPr>
        <w:t>foetus</w:t>
      </w:r>
      <w:proofErr w:type="spellEnd"/>
      <w:r w:rsidRPr="00DA51B9">
        <w:rPr>
          <w:sz w:val="24"/>
          <w:szCs w:val="24"/>
          <w:lang w:val="en-US"/>
        </w:rPr>
        <w:t>.</w:t>
      </w:r>
    </w:p>
    <w:p w14:paraId="1B7EDC82" w14:textId="77777777" w:rsidR="00DA51B9" w:rsidRPr="00DA51B9" w:rsidRDefault="00DA51B9" w:rsidP="00DA51B9">
      <w:pPr>
        <w:tabs>
          <w:tab w:val="left" w:pos="851"/>
        </w:tabs>
        <w:ind w:left="851"/>
        <w:rPr>
          <w:sz w:val="24"/>
          <w:szCs w:val="24"/>
          <w:lang w:val="en-US"/>
        </w:rPr>
      </w:pPr>
    </w:p>
    <w:p w14:paraId="6CDE384C" w14:textId="77777777" w:rsidR="00DA51B9" w:rsidRPr="009F2E71" w:rsidRDefault="00DA51B9" w:rsidP="009F2E71">
      <w:pPr>
        <w:autoSpaceDE w:val="0"/>
        <w:autoSpaceDN w:val="0"/>
        <w:adjustRightInd w:val="0"/>
        <w:ind w:left="851"/>
        <w:rPr>
          <w:sz w:val="24"/>
          <w:szCs w:val="24"/>
          <w:lang w:val="en-US" w:eastAsia="en-GB"/>
        </w:rPr>
      </w:pPr>
      <w:r w:rsidRPr="009F2E71">
        <w:rPr>
          <w:noProof/>
          <w:sz w:val="24"/>
          <w:szCs w:val="24"/>
          <w:u w:val="single"/>
          <w:lang w:val="en-US"/>
        </w:rPr>
        <w:t>Breast-feeding</w:t>
      </w:r>
      <w:r w:rsidRPr="009F2E71">
        <w:rPr>
          <w:sz w:val="24"/>
          <w:szCs w:val="24"/>
          <w:lang w:val="en-US" w:eastAsia="en-GB"/>
        </w:rPr>
        <w:t xml:space="preserve"> </w:t>
      </w:r>
    </w:p>
    <w:p w14:paraId="2422A9FB" w14:textId="77777777" w:rsidR="00DA51B9" w:rsidRPr="009F2E71" w:rsidRDefault="00DA51B9" w:rsidP="009F2E71">
      <w:pPr>
        <w:autoSpaceDE w:val="0"/>
        <w:autoSpaceDN w:val="0"/>
        <w:adjustRightInd w:val="0"/>
        <w:ind w:left="851"/>
        <w:rPr>
          <w:sz w:val="24"/>
          <w:szCs w:val="24"/>
          <w:lang w:val="en-US" w:eastAsia="en-GB"/>
        </w:rPr>
      </w:pPr>
      <w:r w:rsidRPr="009F2E71">
        <w:rPr>
          <w:sz w:val="24"/>
          <w:szCs w:val="24"/>
          <w:lang w:val="en-US"/>
        </w:rPr>
        <w:t xml:space="preserve">Ropinirole-related material was shown to transfer into the milk of lactating rats. It is unknown whether ropinirole and its metabolites are excreted in human milk. A risk to the suckling child cannot be excluded. </w:t>
      </w:r>
      <w:r w:rsidRPr="009F2E71">
        <w:rPr>
          <w:sz w:val="24"/>
          <w:szCs w:val="24"/>
          <w:lang w:val="en-US" w:eastAsia="en-GB"/>
        </w:rPr>
        <w:t>Ropinirole should not be used in nursing mothers as it may inhibit lactation.</w:t>
      </w:r>
    </w:p>
    <w:p w14:paraId="60DFCB16" w14:textId="77777777" w:rsidR="00DA51B9" w:rsidRPr="009F2E71" w:rsidRDefault="00DA51B9" w:rsidP="009F2E71">
      <w:pPr>
        <w:autoSpaceDE w:val="0"/>
        <w:autoSpaceDN w:val="0"/>
        <w:adjustRightInd w:val="0"/>
        <w:ind w:left="851"/>
        <w:rPr>
          <w:sz w:val="24"/>
          <w:szCs w:val="24"/>
          <w:lang w:val="en-US" w:eastAsia="en-GB"/>
        </w:rPr>
      </w:pPr>
    </w:p>
    <w:p w14:paraId="047F0115" w14:textId="77777777" w:rsidR="00DA51B9" w:rsidRPr="009F2E71" w:rsidRDefault="00DA51B9" w:rsidP="009F2E71">
      <w:pPr>
        <w:autoSpaceDE w:val="0"/>
        <w:autoSpaceDN w:val="0"/>
        <w:adjustRightInd w:val="0"/>
        <w:ind w:left="851"/>
        <w:rPr>
          <w:sz w:val="24"/>
          <w:szCs w:val="24"/>
          <w:lang w:val="en-US" w:eastAsia="en-US"/>
        </w:rPr>
      </w:pPr>
      <w:r w:rsidRPr="009F2E71">
        <w:rPr>
          <w:noProof/>
          <w:sz w:val="24"/>
          <w:szCs w:val="24"/>
          <w:u w:val="single"/>
          <w:lang w:val="en-US"/>
        </w:rPr>
        <w:t>Fertility</w:t>
      </w:r>
      <w:r w:rsidRPr="009F2E71">
        <w:rPr>
          <w:sz w:val="24"/>
          <w:szCs w:val="24"/>
          <w:lang w:val="en-US"/>
        </w:rPr>
        <w:t xml:space="preserve"> </w:t>
      </w:r>
    </w:p>
    <w:p w14:paraId="1759404C" w14:textId="77777777" w:rsidR="00DA51B9" w:rsidRPr="009F2E71" w:rsidRDefault="00DA51B9" w:rsidP="009F2E71">
      <w:pPr>
        <w:ind w:left="851"/>
        <w:rPr>
          <w:sz w:val="24"/>
          <w:szCs w:val="24"/>
          <w:lang w:val="en-US"/>
        </w:rPr>
      </w:pPr>
      <w:r w:rsidRPr="009F2E71">
        <w:rPr>
          <w:sz w:val="24"/>
          <w:szCs w:val="24"/>
          <w:lang w:val="en-US"/>
        </w:rPr>
        <w:t>There are no data on the effects of ropinirole on human fertility. In female fertility studies in rats, effects were seen on implantation but no effects were seen on male fertility (see section 5.3).</w:t>
      </w:r>
    </w:p>
    <w:p w14:paraId="3F2D1230" w14:textId="77777777" w:rsidR="007C5D2A" w:rsidRPr="00303008" w:rsidRDefault="007C5D2A" w:rsidP="003E0341">
      <w:pPr>
        <w:tabs>
          <w:tab w:val="left" w:pos="851"/>
        </w:tabs>
        <w:ind w:left="851"/>
        <w:rPr>
          <w:sz w:val="24"/>
          <w:szCs w:val="24"/>
          <w:lang w:val="en-GB"/>
        </w:rPr>
      </w:pPr>
    </w:p>
    <w:p w14:paraId="3F1F8099"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2038CB99" w14:textId="77777777" w:rsidR="009F2E71" w:rsidRDefault="009F2E71" w:rsidP="00DA51B9">
      <w:pPr>
        <w:tabs>
          <w:tab w:val="left" w:pos="851"/>
        </w:tabs>
        <w:ind w:left="851"/>
        <w:rPr>
          <w:sz w:val="24"/>
          <w:szCs w:val="24"/>
          <w:lang w:val="en-GB"/>
        </w:rPr>
      </w:pPr>
      <w:r>
        <w:rPr>
          <w:sz w:val="24"/>
          <w:szCs w:val="24"/>
          <w:lang w:val="en-GB"/>
        </w:rPr>
        <w:t>Traffic warning.</w:t>
      </w:r>
    </w:p>
    <w:p w14:paraId="4B3BAC77" w14:textId="29E062BE" w:rsidR="00DA51B9" w:rsidRPr="00DA51B9" w:rsidRDefault="00DA51B9" w:rsidP="00DA51B9">
      <w:pPr>
        <w:tabs>
          <w:tab w:val="left" w:pos="851"/>
        </w:tabs>
        <w:ind w:left="851"/>
        <w:rPr>
          <w:sz w:val="24"/>
          <w:szCs w:val="24"/>
          <w:lang w:val="en-US"/>
        </w:rPr>
      </w:pPr>
      <w:r w:rsidRPr="00DA51B9">
        <w:rPr>
          <w:sz w:val="24"/>
          <w:szCs w:val="24"/>
          <w:lang w:val="en-US"/>
        </w:rPr>
        <w:t xml:space="preserve">Patients being treated with ropinirole and presenting with </w:t>
      </w:r>
      <w:r w:rsidRPr="00DA51B9">
        <w:rPr>
          <w:szCs w:val="22"/>
          <w:lang w:val="en-US"/>
        </w:rPr>
        <w:t>hallucinations,</w:t>
      </w:r>
      <w:r w:rsidRPr="00DA51B9">
        <w:rPr>
          <w:lang w:val="en-US"/>
        </w:rPr>
        <w:t xml:space="preserve"> </w:t>
      </w:r>
      <w:r w:rsidRPr="00DA51B9">
        <w:rPr>
          <w:sz w:val="24"/>
          <w:szCs w:val="24"/>
          <w:lang w:val="en-US"/>
        </w:rPr>
        <w:t>somnolence and/or sudden sleep episodes must be informed to refrain from driving or engaging in activities where impaired alertness may put themselves or others at risk of serious injury or death (e.g. operating machines) until such recurrent episodes and somnolence have resolved (see section 4.4).</w:t>
      </w:r>
    </w:p>
    <w:p w14:paraId="15E502CD" w14:textId="77777777" w:rsidR="007C5D2A" w:rsidRPr="00303008" w:rsidRDefault="007C5D2A" w:rsidP="003E0341">
      <w:pPr>
        <w:tabs>
          <w:tab w:val="left" w:pos="851"/>
        </w:tabs>
        <w:ind w:left="851"/>
        <w:rPr>
          <w:sz w:val="24"/>
          <w:szCs w:val="24"/>
          <w:lang w:val="en-GB"/>
        </w:rPr>
      </w:pPr>
    </w:p>
    <w:p w14:paraId="0DA92607"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14:paraId="3D56986F" w14:textId="77777777" w:rsidR="00DA51B9" w:rsidRDefault="00DA51B9" w:rsidP="00DA51B9">
      <w:pPr>
        <w:pStyle w:val="Sidehoved"/>
        <w:tabs>
          <w:tab w:val="left" w:pos="851"/>
        </w:tabs>
        <w:ind w:left="851"/>
        <w:rPr>
          <w:szCs w:val="24"/>
          <w:lang w:val="en-GB"/>
        </w:rPr>
      </w:pPr>
      <w:r>
        <w:rPr>
          <w:szCs w:val="24"/>
          <w:lang w:val="en-GB"/>
        </w:rPr>
        <w:t>Undesirable effects reported are listed below by system organ class and frequency. It is noted if these undesirable effects were reported in clinical trials as monotherapy or adjunct therapy to levodopa.</w:t>
      </w:r>
    </w:p>
    <w:p w14:paraId="3E22BD74" w14:textId="77777777" w:rsidR="00DA51B9" w:rsidRDefault="00DA51B9" w:rsidP="00DA51B9">
      <w:pPr>
        <w:pStyle w:val="Sidehoved"/>
        <w:tabs>
          <w:tab w:val="left" w:pos="851"/>
        </w:tabs>
        <w:ind w:left="851"/>
        <w:rPr>
          <w:szCs w:val="24"/>
          <w:lang w:val="en-GB"/>
        </w:rPr>
      </w:pPr>
    </w:p>
    <w:p w14:paraId="55CAF0E4" w14:textId="77777777" w:rsidR="00DA51B9" w:rsidRPr="009F2E71" w:rsidRDefault="00DA51B9" w:rsidP="009F2E71">
      <w:pPr>
        <w:autoSpaceDE w:val="0"/>
        <w:autoSpaceDN w:val="0"/>
        <w:adjustRightInd w:val="0"/>
        <w:ind w:left="851"/>
        <w:rPr>
          <w:sz w:val="24"/>
          <w:szCs w:val="24"/>
          <w:lang w:val="en-GB" w:eastAsia="en-GB"/>
        </w:rPr>
      </w:pPr>
      <w:r w:rsidRPr="009F2E71">
        <w:rPr>
          <w:sz w:val="24"/>
          <w:szCs w:val="24"/>
          <w:lang w:val="en-US"/>
        </w:rPr>
        <w:t xml:space="preserve">Frequencies are defined as: Very common (≥1/10), common (≥1/100 to &lt;1/10), uncommon (≥1/1,000 to &lt;1/100), rare (≥1/10,000 to &lt;1/1,000), very rare (&lt;1/10,000), </w:t>
      </w:r>
      <w:r w:rsidRPr="009F2E71">
        <w:rPr>
          <w:sz w:val="24"/>
          <w:szCs w:val="24"/>
          <w:lang w:val="en-US" w:eastAsia="en-GB"/>
        </w:rPr>
        <w:t>not known (frequency cannot be estimated from the available data).</w:t>
      </w:r>
    </w:p>
    <w:p w14:paraId="65884E4A" w14:textId="77777777" w:rsidR="00DA51B9" w:rsidRDefault="00DA51B9" w:rsidP="00DA51B9">
      <w:pPr>
        <w:pStyle w:val="Sidehoved"/>
        <w:tabs>
          <w:tab w:val="left" w:pos="851"/>
        </w:tabs>
        <w:ind w:left="851"/>
        <w:rPr>
          <w:szCs w:val="24"/>
          <w:lang w:val="en-GB"/>
        </w:rPr>
      </w:pPr>
    </w:p>
    <w:p w14:paraId="39306990" w14:textId="77777777" w:rsidR="00DA51B9" w:rsidRDefault="00DA51B9" w:rsidP="00DA51B9">
      <w:pPr>
        <w:pStyle w:val="Sidehoved"/>
        <w:tabs>
          <w:tab w:val="left" w:pos="851"/>
        </w:tabs>
        <w:ind w:left="851"/>
        <w:rPr>
          <w:szCs w:val="24"/>
          <w:lang w:val="en-GB"/>
        </w:rPr>
      </w:pPr>
      <w:r>
        <w:rPr>
          <w:szCs w:val="24"/>
          <w:lang w:val="en-GB"/>
        </w:rPr>
        <w:t>Within each frequency grouping, undesirable effects are presented in order of decreasing seriousness.</w:t>
      </w:r>
    </w:p>
    <w:p w14:paraId="114E9CBF" w14:textId="77777777" w:rsidR="00DA51B9" w:rsidRDefault="00DA51B9" w:rsidP="00DA51B9">
      <w:pPr>
        <w:pStyle w:val="Sidehoved"/>
        <w:tabs>
          <w:tab w:val="left" w:pos="851"/>
        </w:tabs>
        <w:ind w:left="851"/>
        <w:rPr>
          <w:szCs w:val="24"/>
          <w:lang w:val="en-GB"/>
        </w:rPr>
      </w:pPr>
    </w:p>
    <w:p w14:paraId="0FE0004A" w14:textId="77777777" w:rsidR="00DA51B9" w:rsidRDefault="00DA51B9" w:rsidP="00DA51B9">
      <w:pPr>
        <w:pStyle w:val="Sidehoved"/>
        <w:tabs>
          <w:tab w:val="left" w:pos="851"/>
        </w:tabs>
        <w:ind w:left="851"/>
        <w:rPr>
          <w:szCs w:val="24"/>
          <w:u w:val="single"/>
          <w:lang w:val="en-GB"/>
        </w:rPr>
      </w:pPr>
      <w:r>
        <w:rPr>
          <w:szCs w:val="24"/>
          <w:u w:val="single"/>
          <w:lang w:val="en-GB"/>
        </w:rPr>
        <w:t>The following adverse drug reactions have been reported in either Parkinson’s disease clinical trials with ropinirole prolonged</w:t>
      </w:r>
      <w:r>
        <w:rPr>
          <w:szCs w:val="24"/>
          <w:u w:val="single"/>
          <w:lang w:val="en-GB"/>
        </w:rPr>
        <w:noBreakHyphen/>
        <w:t>release or film-coated (immediate-release) tablets at doses up to 24 mg/day, or from post-marketing reports:</w:t>
      </w:r>
    </w:p>
    <w:p w14:paraId="1F77D381" w14:textId="77777777" w:rsidR="00DA51B9" w:rsidRDefault="00DA51B9" w:rsidP="00DA51B9">
      <w:pPr>
        <w:pStyle w:val="Sidehoved"/>
        <w:tabs>
          <w:tab w:val="left" w:pos="851"/>
        </w:tabs>
        <w:ind w:left="851"/>
        <w:rPr>
          <w:szCs w:val="24"/>
          <w:lang w:val="en-GB"/>
        </w:rPr>
      </w:pPr>
    </w:p>
    <w:tbl>
      <w:tblPr>
        <w:tblW w:w="5000" w:type="pct"/>
        <w:tblLook w:val="04A0" w:firstRow="1" w:lastRow="0" w:firstColumn="1" w:lastColumn="0" w:noHBand="0" w:noVBand="1"/>
      </w:tblPr>
      <w:tblGrid>
        <w:gridCol w:w="2814"/>
        <w:gridCol w:w="3391"/>
        <w:gridCol w:w="13"/>
        <w:gridCol w:w="3404"/>
      </w:tblGrid>
      <w:tr w:rsidR="00DA51B9" w14:paraId="45B22AD3" w14:textId="77777777" w:rsidTr="009F2E71">
        <w:trPr>
          <w:trHeight w:val="458"/>
        </w:trPr>
        <w:tc>
          <w:tcPr>
            <w:tcW w:w="1462" w:type="pct"/>
            <w:tcBorders>
              <w:top w:val="single" w:sz="6" w:space="0" w:color="000000"/>
              <w:left w:val="single" w:sz="6" w:space="0" w:color="000000"/>
              <w:bottom w:val="single" w:sz="6" w:space="0" w:color="000000"/>
              <w:right w:val="single" w:sz="6" w:space="0" w:color="000000"/>
            </w:tcBorders>
            <w:vAlign w:val="center"/>
          </w:tcPr>
          <w:p w14:paraId="52F9AD51" w14:textId="77777777" w:rsidR="00DA51B9" w:rsidRDefault="00DA51B9">
            <w:pPr>
              <w:pStyle w:val="Sidehoved"/>
              <w:ind w:left="22"/>
              <w:rPr>
                <w:szCs w:val="24"/>
                <w:lang w:val="en-GB"/>
              </w:rPr>
            </w:pPr>
          </w:p>
        </w:tc>
        <w:tc>
          <w:tcPr>
            <w:tcW w:w="1762" w:type="pct"/>
            <w:tcBorders>
              <w:top w:val="single" w:sz="6" w:space="0" w:color="000000"/>
              <w:left w:val="single" w:sz="6" w:space="0" w:color="000000"/>
              <w:bottom w:val="single" w:sz="6" w:space="0" w:color="000000"/>
              <w:right w:val="single" w:sz="6" w:space="0" w:color="000000"/>
            </w:tcBorders>
            <w:vAlign w:val="center"/>
            <w:hideMark/>
          </w:tcPr>
          <w:p w14:paraId="4F7AD1C5" w14:textId="77777777" w:rsidR="00DA51B9" w:rsidRDefault="00DA51B9">
            <w:pPr>
              <w:pStyle w:val="Sidehoved"/>
              <w:ind w:left="35"/>
              <w:rPr>
                <w:b/>
                <w:szCs w:val="24"/>
                <w:lang w:val="en-GB"/>
              </w:rPr>
            </w:pPr>
            <w:r>
              <w:rPr>
                <w:b/>
                <w:szCs w:val="24"/>
                <w:lang w:val="en-GB"/>
              </w:rPr>
              <w:t xml:space="preserve">In monotherapy </w:t>
            </w:r>
          </w:p>
        </w:tc>
        <w:tc>
          <w:tcPr>
            <w:tcW w:w="1776" w:type="pct"/>
            <w:gridSpan w:val="2"/>
            <w:tcBorders>
              <w:top w:val="single" w:sz="6" w:space="0" w:color="000000"/>
              <w:left w:val="single" w:sz="6" w:space="0" w:color="000000"/>
              <w:bottom w:val="single" w:sz="6" w:space="0" w:color="000000"/>
              <w:right w:val="single" w:sz="6" w:space="0" w:color="000000"/>
            </w:tcBorders>
            <w:vAlign w:val="center"/>
            <w:hideMark/>
          </w:tcPr>
          <w:p w14:paraId="35CE4823" w14:textId="77777777" w:rsidR="00DA51B9" w:rsidRDefault="00DA51B9">
            <w:pPr>
              <w:pStyle w:val="Sidehoved"/>
              <w:tabs>
                <w:tab w:val="left" w:pos="851"/>
              </w:tabs>
              <w:ind w:left="851"/>
              <w:rPr>
                <w:b/>
                <w:szCs w:val="24"/>
                <w:lang w:val="en-GB"/>
              </w:rPr>
            </w:pPr>
            <w:r>
              <w:rPr>
                <w:b/>
                <w:szCs w:val="24"/>
                <w:lang w:val="en-GB"/>
              </w:rPr>
              <w:t xml:space="preserve">In adjunct therapy </w:t>
            </w:r>
          </w:p>
        </w:tc>
      </w:tr>
      <w:tr w:rsidR="00DA51B9" w14:paraId="2CA01E13" w14:textId="77777777" w:rsidTr="009F2E71">
        <w:trPr>
          <w:trHeight w:val="458"/>
        </w:trPr>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14:paraId="5F21BEC3" w14:textId="77777777" w:rsidR="00DA51B9" w:rsidRDefault="00DA51B9">
            <w:pPr>
              <w:pStyle w:val="Sidehoved"/>
              <w:ind w:left="35"/>
              <w:rPr>
                <w:szCs w:val="24"/>
                <w:lang w:val="en-GB"/>
              </w:rPr>
            </w:pPr>
            <w:r>
              <w:rPr>
                <w:i/>
                <w:iCs/>
                <w:szCs w:val="24"/>
                <w:lang w:val="en-GB"/>
              </w:rPr>
              <w:t>Immune system disorders</w:t>
            </w:r>
          </w:p>
        </w:tc>
      </w:tr>
      <w:tr w:rsidR="00DA51B9" w:rsidRPr="00174299" w14:paraId="35763599" w14:textId="77777777" w:rsidTr="009F2E71">
        <w:trPr>
          <w:trHeight w:val="458"/>
        </w:trPr>
        <w:tc>
          <w:tcPr>
            <w:tcW w:w="1462" w:type="pct"/>
            <w:tcBorders>
              <w:top w:val="single" w:sz="6" w:space="0" w:color="000000"/>
              <w:left w:val="single" w:sz="6" w:space="0" w:color="000000"/>
              <w:bottom w:val="single" w:sz="6" w:space="0" w:color="000000"/>
              <w:right w:val="single" w:sz="6" w:space="0" w:color="000000"/>
            </w:tcBorders>
            <w:vAlign w:val="center"/>
            <w:hideMark/>
          </w:tcPr>
          <w:p w14:paraId="15AE9393" w14:textId="77777777" w:rsidR="00DA51B9" w:rsidRDefault="00DA51B9">
            <w:pPr>
              <w:pStyle w:val="Sidehoved"/>
              <w:ind w:left="22"/>
              <w:rPr>
                <w:szCs w:val="24"/>
                <w:lang w:val="en-GB"/>
              </w:rPr>
            </w:pPr>
            <w:r>
              <w:rPr>
                <w:szCs w:val="24"/>
                <w:lang w:val="en-GB"/>
              </w:rPr>
              <w:t>Not known</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65602B9E" w14:textId="77777777" w:rsidR="00DA51B9" w:rsidRDefault="00DA51B9">
            <w:pPr>
              <w:pStyle w:val="Sidehoved"/>
              <w:ind w:left="35"/>
              <w:rPr>
                <w:b/>
                <w:szCs w:val="24"/>
                <w:lang w:val="en-GB"/>
              </w:rPr>
            </w:pPr>
            <w:r>
              <w:rPr>
                <w:iCs/>
                <w:szCs w:val="24"/>
                <w:lang w:val="en-GB"/>
              </w:rPr>
              <w:t xml:space="preserve">Hypersensitivity reactions (including urticaria, </w:t>
            </w:r>
            <w:proofErr w:type="spellStart"/>
            <w:r>
              <w:rPr>
                <w:iCs/>
                <w:szCs w:val="24"/>
                <w:lang w:val="en-GB"/>
              </w:rPr>
              <w:t>angiooedema</w:t>
            </w:r>
            <w:proofErr w:type="spellEnd"/>
            <w:r>
              <w:rPr>
                <w:iCs/>
                <w:szCs w:val="24"/>
                <w:lang w:val="en-GB"/>
              </w:rPr>
              <w:t>, rash, pruritus)</w:t>
            </w:r>
          </w:p>
        </w:tc>
      </w:tr>
      <w:tr w:rsidR="00DA51B9" w14:paraId="10B9675C" w14:textId="77777777" w:rsidTr="009F2E71">
        <w:trPr>
          <w:trHeight w:val="443"/>
        </w:trPr>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14:paraId="12F30953" w14:textId="77777777" w:rsidR="00DA51B9" w:rsidRDefault="00DA51B9">
            <w:pPr>
              <w:pStyle w:val="Sidehoved"/>
              <w:ind w:left="35"/>
              <w:rPr>
                <w:szCs w:val="24"/>
                <w:lang w:val="en-GB"/>
              </w:rPr>
            </w:pPr>
            <w:r>
              <w:rPr>
                <w:i/>
                <w:iCs/>
                <w:szCs w:val="24"/>
                <w:lang w:val="en-GB"/>
              </w:rPr>
              <w:t xml:space="preserve">Psychiatric disorders </w:t>
            </w:r>
          </w:p>
        </w:tc>
      </w:tr>
      <w:tr w:rsidR="00DA51B9" w14:paraId="6CBD33DD" w14:textId="77777777" w:rsidTr="009F2E71">
        <w:trPr>
          <w:trHeight w:val="443"/>
        </w:trPr>
        <w:tc>
          <w:tcPr>
            <w:tcW w:w="1462" w:type="pct"/>
            <w:vMerge w:val="restart"/>
            <w:tcBorders>
              <w:top w:val="single" w:sz="6" w:space="0" w:color="000000"/>
              <w:left w:val="single" w:sz="6" w:space="0" w:color="000000"/>
              <w:bottom w:val="single" w:sz="6" w:space="0" w:color="000000"/>
              <w:right w:val="single" w:sz="6" w:space="0" w:color="000000"/>
            </w:tcBorders>
            <w:vAlign w:val="center"/>
          </w:tcPr>
          <w:p w14:paraId="3C188825" w14:textId="64B3857D" w:rsidR="00DA51B9" w:rsidRDefault="00DA51B9" w:rsidP="009F2E71">
            <w:pPr>
              <w:pStyle w:val="Sidehoved"/>
              <w:ind w:left="22"/>
              <w:rPr>
                <w:szCs w:val="24"/>
                <w:lang w:val="en-GB"/>
              </w:rPr>
            </w:pPr>
            <w:r>
              <w:rPr>
                <w:szCs w:val="24"/>
                <w:lang w:val="en-GB"/>
              </w:rPr>
              <w:t>Common</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142BBB4D" w14:textId="77777777" w:rsidR="00DA51B9" w:rsidRDefault="00DA51B9">
            <w:pPr>
              <w:pStyle w:val="Sidehoved"/>
              <w:ind w:left="35"/>
              <w:rPr>
                <w:szCs w:val="24"/>
                <w:lang w:val="en-GB"/>
              </w:rPr>
            </w:pPr>
            <w:r>
              <w:rPr>
                <w:szCs w:val="24"/>
                <w:lang w:val="en-GB"/>
              </w:rPr>
              <w:t>Hallucinations</w:t>
            </w:r>
          </w:p>
        </w:tc>
      </w:tr>
      <w:tr w:rsidR="00DA51B9" w14:paraId="12019102" w14:textId="77777777" w:rsidTr="009F2E71">
        <w:trPr>
          <w:trHeight w:val="443"/>
        </w:trPr>
        <w:tc>
          <w:tcPr>
            <w:tcW w:w="1462" w:type="pct"/>
            <w:vMerge/>
            <w:tcBorders>
              <w:top w:val="single" w:sz="6" w:space="0" w:color="000000"/>
              <w:left w:val="single" w:sz="6" w:space="0" w:color="000000"/>
              <w:bottom w:val="single" w:sz="6" w:space="0" w:color="000000"/>
              <w:right w:val="single" w:sz="6" w:space="0" w:color="000000"/>
            </w:tcBorders>
            <w:vAlign w:val="center"/>
            <w:hideMark/>
          </w:tcPr>
          <w:p w14:paraId="317B9CA6" w14:textId="77777777" w:rsidR="00DA51B9" w:rsidRDefault="00DA51B9">
            <w:pPr>
              <w:rPr>
                <w:sz w:val="24"/>
                <w:szCs w:val="24"/>
                <w:lang w:val="en-GB"/>
              </w:rPr>
            </w:pPr>
          </w:p>
        </w:tc>
        <w:tc>
          <w:tcPr>
            <w:tcW w:w="1762" w:type="pct"/>
            <w:tcBorders>
              <w:top w:val="single" w:sz="6" w:space="0" w:color="000000"/>
              <w:left w:val="single" w:sz="6" w:space="0" w:color="000000"/>
              <w:bottom w:val="single" w:sz="6" w:space="0" w:color="000000"/>
              <w:right w:val="single" w:sz="6" w:space="0" w:color="000000"/>
            </w:tcBorders>
            <w:vAlign w:val="center"/>
          </w:tcPr>
          <w:p w14:paraId="6E354D6A" w14:textId="77777777" w:rsidR="00DA51B9" w:rsidRDefault="00DA51B9">
            <w:pPr>
              <w:pStyle w:val="Sidehoved"/>
              <w:ind w:left="35"/>
              <w:rPr>
                <w:szCs w:val="24"/>
                <w:lang w:val="en-GB"/>
              </w:rPr>
            </w:pPr>
          </w:p>
        </w:tc>
        <w:tc>
          <w:tcPr>
            <w:tcW w:w="1776" w:type="pct"/>
            <w:gridSpan w:val="2"/>
            <w:tcBorders>
              <w:top w:val="single" w:sz="6" w:space="0" w:color="000000"/>
              <w:left w:val="single" w:sz="6" w:space="0" w:color="000000"/>
              <w:bottom w:val="single" w:sz="6" w:space="0" w:color="000000"/>
              <w:right w:val="single" w:sz="6" w:space="0" w:color="000000"/>
            </w:tcBorders>
            <w:vAlign w:val="center"/>
            <w:hideMark/>
          </w:tcPr>
          <w:p w14:paraId="0DE7D5CB" w14:textId="77777777" w:rsidR="00DA51B9" w:rsidRDefault="00DA51B9">
            <w:pPr>
              <w:pStyle w:val="Sidehoved"/>
              <w:tabs>
                <w:tab w:val="left" w:pos="851"/>
              </w:tabs>
              <w:ind w:left="851"/>
              <w:rPr>
                <w:szCs w:val="24"/>
                <w:lang w:val="en-GB"/>
              </w:rPr>
            </w:pPr>
            <w:r>
              <w:rPr>
                <w:szCs w:val="24"/>
                <w:lang w:val="en-GB"/>
              </w:rPr>
              <w:t>Confusion</w:t>
            </w:r>
          </w:p>
        </w:tc>
      </w:tr>
      <w:tr w:rsidR="00DA51B9" w:rsidRPr="00174299" w14:paraId="1A227223" w14:textId="77777777" w:rsidTr="009F2E71">
        <w:trPr>
          <w:trHeight w:val="443"/>
        </w:trPr>
        <w:tc>
          <w:tcPr>
            <w:tcW w:w="1462" w:type="pct"/>
            <w:tcBorders>
              <w:top w:val="nil"/>
              <w:left w:val="single" w:sz="6" w:space="0" w:color="000000"/>
              <w:bottom w:val="single" w:sz="6" w:space="0" w:color="000000"/>
              <w:right w:val="single" w:sz="6" w:space="0" w:color="000000"/>
            </w:tcBorders>
            <w:vAlign w:val="center"/>
            <w:hideMark/>
          </w:tcPr>
          <w:p w14:paraId="6124BF68" w14:textId="77777777" w:rsidR="00DA51B9" w:rsidRDefault="00DA51B9">
            <w:pPr>
              <w:pStyle w:val="Sidehoved"/>
              <w:ind w:left="22"/>
              <w:rPr>
                <w:szCs w:val="24"/>
                <w:lang w:val="en-GB"/>
              </w:rPr>
            </w:pPr>
            <w:r>
              <w:rPr>
                <w:szCs w:val="24"/>
                <w:lang w:val="en-GB"/>
              </w:rPr>
              <w:t>Uncommon</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59CFF623" w14:textId="77777777" w:rsidR="00DA51B9" w:rsidRDefault="00DA51B9">
            <w:pPr>
              <w:pStyle w:val="Sidehoved"/>
              <w:ind w:left="35"/>
              <w:rPr>
                <w:szCs w:val="24"/>
                <w:lang w:val="en-GB"/>
              </w:rPr>
            </w:pPr>
            <w:r>
              <w:rPr>
                <w:szCs w:val="24"/>
                <w:lang w:val="en-GB"/>
              </w:rPr>
              <w:t>Psychotic reactions (other than hallucinations) including delirium, delusion, paranoia.</w:t>
            </w:r>
          </w:p>
        </w:tc>
      </w:tr>
      <w:tr w:rsidR="00DA51B9" w:rsidRPr="00174299" w14:paraId="514692FC" w14:textId="77777777" w:rsidTr="009F2E71">
        <w:trPr>
          <w:trHeight w:val="443"/>
        </w:trPr>
        <w:tc>
          <w:tcPr>
            <w:tcW w:w="1462" w:type="pct"/>
            <w:vMerge w:val="restart"/>
            <w:tcBorders>
              <w:top w:val="nil"/>
              <w:left w:val="single" w:sz="6" w:space="0" w:color="000000"/>
              <w:bottom w:val="single" w:sz="6" w:space="0" w:color="000000"/>
              <w:right w:val="single" w:sz="6" w:space="0" w:color="000000"/>
            </w:tcBorders>
            <w:vAlign w:val="center"/>
          </w:tcPr>
          <w:p w14:paraId="61EC0069" w14:textId="7DAEF5F1" w:rsidR="00DA51B9" w:rsidRDefault="00DA51B9" w:rsidP="009F2E71">
            <w:pPr>
              <w:pStyle w:val="Sidehoved"/>
              <w:ind w:left="22"/>
              <w:rPr>
                <w:szCs w:val="24"/>
                <w:lang w:val="en-GB"/>
              </w:rPr>
            </w:pPr>
            <w:r>
              <w:rPr>
                <w:szCs w:val="24"/>
                <w:lang w:val="en-GB"/>
              </w:rPr>
              <w:t>Not known</w:t>
            </w:r>
          </w:p>
        </w:tc>
        <w:tc>
          <w:tcPr>
            <w:tcW w:w="3538" w:type="pct"/>
            <w:gridSpan w:val="3"/>
            <w:tcBorders>
              <w:top w:val="single" w:sz="6" w:space="0" w:color="000000"/>
              <w:left w:val="single" w:sz="6" w:space="0" w:color="000000"/>
              <w:bottom w:val="single" w:sz="6" w:space="0" w:color="000000"/>
              <w:right w:val="single" w:sz="6" w:space="0" w:color="000000"/>
            </w:tcBorders>
            <w:hideMark/>
          </w:tcPr>
          <w:p w14:paraId="35D897DC" w14:textId="7F872128" w:rsidR="00DA51B9" w:rsidRDefault="00DA51B9">
            <w:pPr>
              <w:pStyle w:val="Sidehoved"/>
              <w:ind w:left="35"/>
              <w:rPr>
                <w:szCs w:val="24"/>
                <w:lang w:val="en-GB"/>
              </w:rPr>
            </w:pPr>
            <w:r>
              <w:rPr>
                <w:szCs w:val="22"/>
                <w:lang w:val="en-US"/>
              </w:rPr>
              <w:t xml:space="preserve">Impulse control disorders: pathological gambling, increased libido, hypersexuality, compulsive spending or buying, binge eating and compulsive eating can occur in patients treated with dopamine agonists including </w:t>
            </w:r>
            <w:proofErr w:type="spellStart"/>
            <w:r w:rsidR="007F65C0">
              <w:rPr>
                <w:szCs w:val="22"/>
                <w:lang w:val="en-US"/>
              </w:rPr>
              <w:t>Ropinirol</w:t>
            </w:r>
            <w:proofErr w:type="spellEnd"/>
            <w:r w:rsidR="007F65C0">
              <w:rPr>
                <w:szCs w:val="22"/>
                <w:lang w:val="en-US"/>
              </w:rPr>
              <w:t xml:space="preserve"> "Actavis"</w:t>
            </w:r>
            <w:r>
              <w:rPr>
                <w:szCs w:val="22"/>
                <w:lang w:val="en-US"/>
              </w:rPr>
              <w:t xml:space="preserve"> </w:t>
            </w:r>
            <w:r w:rsidRPr="009F2E71">
              <w:rPr>
                <w:szCs w:val="22"/>
                <w:lang w:val="en-US"/>
              </w:rPr>
              <w:t>(see section 4.4).</w:t>
            </w:r>
          </w:p>
        </w:tc>
      </w:tr>
      <w:tr w:rsidR="00DA51B9" w:rsidRPr="00174299" w14:paraId="3DB42DA8" w14:textId="77777777" w:rsidTr="007F65C0">
        <w:trPr>
          <w:trHeight w:val="737"/>
        </w:trPr>
        <w:tc>
          <w:tcPr>
            <w:tcW w:w="1462" w:type="pct"/>
            <w:vMerge/>
            <w:tcBorders>
              <w:top w:val="nil"/>
              <w:left w:val="single" w:sz="6" w:space="0" w:color="000000"/>
              <w:bottom w:val="single" w:sz="6" w:space="0" w:color="000000"/>
              <w:right w:val="single" w:sz="6" w:space="0" w:color="000000"/>
            </w:tcBorders>
            <w:vAlign w:val="center"/>
            <w:hideMark/>
          </w:tcPr>
          <w:p w14:paraId="1B81B301" w14:textId="77777777" w:rsidR="00DA51B9" w:rsidRDefault="00DA51B9">
            <w:pPr>
              <w:rPr>
                <w:sz w:val="24"/>
                <w:szCs w:val="24"/>
                <w:lang w:val="en-GB"/>
              </w:rPr>
            </w:pPr>
          </w:p>
        </w:tc>
        <w:tc>
          <w:tcPr>
            <w:tcW w:w="3538" w:type="pct"/>
            <w:gridSpan w:val="3"/>
            <w:tcBorders>
              <w:top w:val="single" w:sz="6" w:space="0" w:color="000000"/>
              <w:left w:val="single" w:sz="6" w:space="0" w:color="000000"/>
              <w:bottom w:val="nil"/>
              <w:right w:val="single" w:sz="6" w:space="0" w:color="000000"/>
            </w:tcBorders>
            <w:hideMark/>
          </w:tcPr>
          <w:p w14:paraId="59BCDE97" w14:textId="77777777" w:rsidR="00DA51B9" w:rsidRDefault="00DA51B9">
            <w:pPr>
              <w:pStyle w:val="Sidehoved"/>
              <w:ind w:left="35"/>
              <w:rPr>
                <w:szCs w:val="24"/>
                <w:lang w:val="en-US"/>
              </w:rPr>
            </w:pPr>
            <w:r>
              <w:rPr>
                <w:szCs w:val="22"/>
                <w:lang w:val="en-US"/>
              </w:rPr>
              <w:t>Mania (see section 4.4), aggression</w:t>
            </w:r>
            <w:r>
              <w:rPr>
                <w:szCs w:val="22"/>
                <w:vertAlign w:val="superscript"/>
                <w:lang w:val="en-US"/>
              </w:rPr>
              <w:t>1</w:t>
            </w:r>
            <w:r>
              <w:rPr>
                <w:szCs w:val="22"/>
                <w:lang w:val="en-US"/>
              </w:rPr>
              <w:t xml:space="preserve">, </w:t>
            </w:r>
            <w:r>
              <w:rPr>
                <w:color w:val="000000"/>
                <w:szCs w:val="22"/>
                <w:lang w:val="en-US" w:eastAsia="en-GB"/>
              </w:rPr>
              <w:t>dopamine dysregulation syndrome</w:t>
            </w:r>
          </w:p>
        </w:tc>
      </w:tr>
      <w:tr w:rsidR="00DA51B9" w14:paraId="28C931B8" w14:textId="77777777" w:rsidTr="009F2E71">
        <w:trPr>
          <w:trHeight w:val="443"/>
        </w:trPr>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14:paraId="444867F6" w14:textId="77777777" w:rsidR="00DA51B9" w:rsidRDefault="00DA51B9">
            <w:pPr>
              <w:pStyle w:val="Sidehoved"/>
              <w:ind w:left="35"/>
              <w:rPr>
                <w:szCs w:val="24"/>
                <w:lang w:val="en-GB"/>
              </w:rPr>
            </w:pPr>
            <w:r>
              <w:rPr>
                <w:i/>
                <w:iCs/>
                <w:szCs w:val="24"/>
                <w:lang w:val="en-GB"/>
              </w:rPr>
              <w:t xml:space="preserve">Nervous system disorders </w:t>
            </w:r>
          </w:p>
        </w:tc>
      </w:tr>
      <w:tr w:rsidR="00DA51B9" w14:paraId="1465A5B5" w14:textId="77777777" w:rsidTr="009F2E71">
        <w:trPr>
          <w:trHeight w:val="443"/>
        </w:trPr>
        <w:tc>
          <w:tcPr>
            <w:tcW w:w="1462" w:type="pct"/>
            <w:tcBorders>
              <w:top w:val="single" w:sz="6" w:space="0" w:color="000000"/>
              <w:left w:val="single" w:sz="6" w:space="0" w:color="000000"/>
              <w:bottom w:val="single" w:sz="6" w:space="0" w:color="000000"/>
              <w:right w:val="single" w:sz="6" w:space="0" w:color="000000"/>
            </w:tcBorders>
            <w:vAlign w:val="center"/>
          </w:tcPr>
          <w:p w14:paraId="137C28DC" w14:textId="3C1E0F3E" w:rsidR="00DA51B9" w:rsidRDefault="00DA51B9" w:rsidP="009F2E71">
            <w:pPr>
              <w:pStyle w:val="Sidehoved"/>
              <w:ind w:left="22"/>
              <w:rPr>
                <w:szCs w:val="24"/>
                <w:lang w:val="en-GB"/>
              </w:rPr>
            </w:pPr>
            <w:r>
              <w:rPr>
                <w:szCs w:val="24"/>
                <w:lang w:val="en-GB"/>
              </w:rPr>
              <w:t xml:space="preserve">Very common </w:t>
            </w:r>
          </w:p>
        </w:tc>
        <w:tc>
          <w:tcPr>
            <w:tcW w:w="1762" w:type="pct"/>
            <w:tcBorders>
              <w:top w:val="single" w:sz="6" w:space="0" w:color="000000"/>
              <w:left w:val="single" w:sz="6" w:space="0" w:color="000000"/>
              <w:bottom w:val="single" w:sz="6" w:space="0" w:color="000000"/>
              <w:right w:val="single" w:sz="6" w:space="0" w:color="000000"/>
            </w:tcBorders>
            <w:vAlign w:val="center"/>
            <w:hideMark/>
          </w:tcPr>
          <w:p w14:paraId="1D38289C" w14:textId="77777777" w:rsidR="00DA51B9" w:rsidRDefault="00DA51B9">
            <w:pPr>
              <w:pStyle w:val="Sidehoved"/>
              <w:ind w:left="35"/>
              <w:rPr>
                <w:szCs w:val="24"/>
                <w:lang w:val="en-GB"/>
              </w:rPr>
            </w:pPr>
            <w:r>
              <w:rPr>
                <w:szCs w:val="24"/>
                <w:lang w:val="en-GB"/>
              </w:rPr>
              <w:t xml:space="preserve">Somnolence, </w:t>
            </w:r>
            <w:proofErr w:type="spellStart"/>
            <w:r>
              <w:rPr>
                <w:color w:val="000000"/>
                <w:szCs w:val="22"/>
                <w:lang w:eastAsia="en-GB"/>
              </w:rPr>
              <w:t>syncope</w:t>
            </w:r>
            <w:proofErr w:type="spellEnd"/>
          </w:p>
        </w:tc>
        <w:tc>
          <w:tcPr>
            <w:tcW w:w="1776" w:type="pct"/>
            <w:gridSpan w:val="2"/>
            <w:tcBorders>
              <w:top w:val="single" w:sz="6" w:space="0" w:color="000000"/>
              <w:left w:val="single" w:sz="6" w:space="0" w:color="000000"/>
              <w:bottom w:val="single" w:sz="6" w:space="0" w:color="000000"/>
              <w:right w:val="single" w:sz="6" w:space="0" w:color="000000"/>
            </w:tcBorders>
            <w:vAlign w:val="center"/>
            <w:hideMark/>
          </w:tcPr>
          <w:p w14:paraId="0E7AB45A" w14:textId="77777777" w:rsidR="00DA51B9" w:rsidRDefault="00DA51B9">
            <w:pPr>
              <w:pStyle w:val="Sidehoved"/>
              <w:tabs>
                <w:tab w:val="left" w:pos="851"/>
              </w:tabs>
              <w:ind w:left="851"/>
              <w:rPr>
                <w:szCs w:val="24"/>
                <w:lang w:val="en-GB"/>
              </w:rPr>
            </w:pPr>
            <w:r>
              <w:rPr>
                <w:szCs w:val="24"/>
                <w:lang w:val="en-GB"/>
              </w:rPr>
              <w:t>Somnolence</w:t>
            </w:r>
            <w:r>
              <w:rPr>
                <w:color w:val="000000"/>
                <w:szCs w:val="22"/>
                <w:vertAlign w:val="superscript"/>
                <w:lang w:eastAsia="en-GB"/>
              </w:rPr>
              <w:t>2</w:t>
            </w:r>
            <w:r>
              <w:rPr>
                <w:color w:val="000000"/>
                <w:szCs w:val="22"/>
                <w:lang w:eastAsia="en-GB"/>
              </w:rPr>
              <w:t>, dyskinesia</w:t>
            </w:r>
            <w:r>
              <w:rPr>
                <w:color w:val="000000"/>
                <w:szCs w:val="22"/>
                <w:vertAlign w:val="superscript"/>
                <w:lang w:eastAsia="en-GB"/>
              </w:rPr>
              <w:t>3</w:t>
            </w:r>
          </w:p>
        </w:tc>
      </w:tr>
      <w:tr w:rsidR="00DA51B9" w:rsidRPr="00174299" w14:paraId="4BF0CFE8" w14:textId="77777777" w:rsidTr="009F2E71">
        <w:trPr>
          <w:trHeight w:val="443"/>
        </w:trPr>
        <w:tc>
          <w:tcPr>
            <w:tcW w:w="1462" w:type="pct"/>
            <w:tcBorders>
              <w:top w:val="single" w:sz="6" w:space="0" w:color="000000"/>
              <w:left w:val="single" w:sz="6" w:space="0" w:color="000000"/>
              <w:bottom w:val="single" w:sz="6" w:space="0" w:color="000000"/>
              <w:right w:val="single" w:sz="6" w:space="0" w:color="000000"/>
            </w:tcBorders>
            <w:vAlign w:val="center"/>
            <w:hideMark/>
          </w:tcPr>
          <w:p w14:paraId="1A92CF66" w14:textId="77777777" w:rsidR="00DA51B9" w:rsidRDefault="00DA51B9">
            <w:pPr>
              <w:pStyle w:val="Sidehoved"/>
              <w:ind w:left="22"/>
              <w:rPr>
                <w:szCs w:val="24"/>
                <w:lang w:val="en-GB"/>
              </w:rPr>
            </w:pPr>
            <w:r>
              <w:rPr>
                <w:szCs w:val="24"/>
                <w:lang w:val="en-GB"/>
              </w:rPr>
              <w:t xml:space="preserve">Common </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0D2B29D7" w14:textId="77777777" w:rsidR="00DA51B9" w:rsidRDefault="00DA51B9">
            <w:pPr>
              <w:pStyle w:val="Sidehoved"/>
              <w:ind w:left="35"/>
              <w:rPr>
                <w:szCs w:val="24"/>
                <w:lang w:val="en-GB"/>
              </w:rPr>
            </w:pPr>
            <w:r>
              <w:rPr>
                <w:szCs w:val="24"/>
                <w:lang w:val="en-GB"/>
              </w:rPr>
              <w:t>Dizziness (including vertigo), sudden onset of sleep</w:t>
            </w:r>
          </w:p>
        </w:tc>
      </w:tr>
      <w:tr w:rsidR="00DA51B9" w14:paraId="3DF5E4B0" w14:textId="77777777" w:rsidTr="009F2E71">
        <w:trPr>
          <w:trHeight w:val="443"/>
        </w:trPr>
        <w:tc>
          <w:tcPr>
            <w:tcW w:w="1462" w:type="pct"/>
            <w:tcBorders>
              <w:top w:val="single" w:sz="6" w:space="0" w:color="000000"/>
              <w:left w:val="single" w:sz="6" w:space="0" w:color="000000"/>
              <w:bottom w:val="single" w:sz="6" w:space="0" w:color="000000"/>
              <w:right w:val="single" w:sz="6" w:space="0" w:color="000000"/>
            </w:tcBorders>
            <w:vAlign w:val="center"/>
            <w:hideMark/>
          </w:tcPr>
          <w:p w14:paraId="7064D6F6" w14:textId="77777777" w:rsidR="00DA51B9" w:rsidRDefault="00DA51B9">
            <w:pPr>
              <w:pStyle w:val="Sidehoved"/>
              <w:ind w:left="22"/>
              <w:rPr>
                <w:szCs w:val="24"/>
                <w:lang w:val="en-GB"/>
              </w:rPr>
            </w:pPr>
            <w:r>
              <w:rPr>
                <w:szCs w:val="24"/>
                <w:lang w:val="en-GB"/>
              </w:rPr>
              <w:t>Uncommon</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679799D8" w14:textId="77777777" w:rsidR="00DA51B9" w:rsidRDefault="00DA51B9">
            <w:pPr>
              <w:pStyle w:val="Sidehoved"/>
              <w:ind w:left="35"/>
              <w:rPr>
                <w:szCs w:val="24"/>
                <w:lang w:val="en-GB"/>
              </w:rPr>
            </w:pPr>
            <w:r>
              <w:rPr>
                <w:szCs w:val="24"/>
                <w:lang w:val="en-GB"/>
              </w:rPr>
              <w:t>Excessive daytime somnolence</w:t>
            </w:r>
          </w:p>
        </w:tc>
      </w:tr>
      <w:tr w:rsidR="00DA51B9" w14:paraId="132820CB" w14:textId="77777777" w:rsidTr="009F2E71">
        <w:trPr>
          <w:trHeight w:val="443"/>
        </w:trPr>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14:paraId="1D52F906" w14:textId="77777777" w:rsidR="00DA51B9" w:rsidRDefault="00DA51B9">
            <w:pPr>
              <w:pStyle w:val="Sidehoved"/>
              <w:ind w:left="35"/>
              <w:rPr>
                <w:szCs w:val="24"/>
                <w:lang w:val="en-GB"/>
              </w:rPr>
            </w:pPr>
            <w:r>
              <w:rPr>
                <w:i/>
                <w:iCs/>
                <w:szCs w:val="24"/>
                <w:lang w:val="en-GB"/>
              </w:rPr>
              <w:t xml:space="preserve">Vascular disorders </w:t>
            </w:r>
          </w:p>
        </w:tc>
      </w:tr>
      <w:tr w:rsidR="00DA51B9" w14:paraId="0EF97528" w14:textId="77777777" w:rsidTr="009F2E71">
        <w:trPr>
          <w:trHeight w:val="443"/>
        </w:trPr>
        <w:tc>
          <w:tcPr>
            <w:tcW w:w="1462" w:type="pct"/>
            <w:tcBorders>
              <w:top w:val="single" w:sz="6" w:space="0" w:color="000000"/>
              <w:left w:val="single" w:sz="6" w:space="0" w:color="000000"/>
              <w:bottom w:val="single" w:sz="6" w:space="0" w:color="000000"/>
              <w:right w:val="single" w:sz="6" w:space="0" w:color="000000"/>
            </w:tcBorders>
            <w:vAlign w:val="center"/>
            <w:hideMark/>
          </w:tcPr>
          <w:p w14:paraId="057EB569" w14:textId="77777777" w:rsidR="00DA51B9" w:rsidRDefault="00DA51B9">
            <w:pPr>
              <w:pStyle w:val="Sidehoved"/>
              <w:ind w:left="22"/>
              <w:rPr>
                <w:i/>
                <w:iCs/>
                <w:szCs w:val="24"/>
                <w:lang w:val="en-GB"/>
              </w:rPr>
            </w:pPr>
            <w:r>
              <w:rPr>
                <w:szCs w:val="24"/>
                <w:lang w:val="en-GB"/>
              </w:rPr>
              <w:t xml:space="preserve">Common </w:t>
            </w:r>
          </w:p>
        </w:tc>
        <w:tc>
          <w:tcPr>
            <w:tcW w:w="1762" w:type="pct"/>
            <w:tcBorders>
              <w:top w:val="single" w:sz="6" w:space="0" w:color="000000"/>
              <w:left w:val="single" w:sz="6" w:space="0" w:color="000000"/>
              <w:bottom w:val="single" w:sz="6" w:space="0" w:color="000000"/>
              <w:right w:val="single" w:sz="6" w:space="0" w:color="000000"/>
            </w:tcBorders>
            <w:vAlign w:val="center"/>
          </w:tcPr>
          <w:p w14:paraId="69023052" w14:textId="77777777" w:rsidR="00DA51B9" w:rsidRDefault="00DA51B9">
            <w:pPr>
              <w:pStyle w:val="Sidehoved"/>
              <w:ind w:left="35"/>
              <w:rPr>
                <w:szCs w:val="24"/>
                <w:lang w:val="en-GB"/>
              </w:rPr>
            </w:pPr>
          </w:p>
        </w:tc>
        <w:tc>
          <w:tcPr>
            <w:tcW w:w="1776" w:type="pct"/>
            <w:gridSpan w:val="2"/>
            <w:tcBorders>
              <w:top w:val="single" w:sz="6" w:space="0" w:color="000000"/>
              <w:left w:val="single" w:sz="6" w:space="0" w:color="000000"/>
              <w:bottom w:val="single" w:sz="6" w:space="0" w:color="000000"/>
              <w:right w:val="single" w:sz="6" w:space="0" w:color="000000"/>
            </w:tcBorders>
            <w:vAlign w:val="center"/>
            <w:hideMark/>
          </w:tcPr>
          <w:p w14:paraId="140495F4" w14:textId="77777777" w:rsidR="00DA51B9" w:rsidRDefault="00DA51B9">
            <w:pPr>
              <w:pStyle w:val="Sidehoved"/>
              <w:tabs>
                <w:tab w:val="left" w:pos="851"/>
              </w:tabs>
              <w:ind w:left="851"/>
              <w:rPr>
                <w:szCs w:val="24"/>
                <w:lang w:val="en-GB"/>
              </w:rPr>
            </w:pPr>
            <w:r>
              <w:rPr>
                <w:szCs w:val="24"/>
                <w:lang w:val="en-GB"/>
              </w:rPr>
              <w:t xml:space="preserve">Postural hypotension, hypotension </w:t>
            </w:r>
          </w:p>
        </w:tc>
      </w:tr>
      <w:tr w:rsidR="00DA51B9" w14:paraId="3ED2F74E" w14:textId="77777777" w:rsidTr="009F2E71">
        <w:trPr>
          <w:trHeight w:val="443"/>
        </w:trPr>
        <w:tc>
          <w:tcPr>
            <w:tcW w:w="1462" w:type="pct"/>
            <w:tcBorders>
              <w:top w:val="single" w:sz="6" w:space="0" w:color="000000"/>
              <w:left w:val="single" w:sz="6" w:space="0" w:color="000000"/>
              <w:bottom w:val="single" w:sz="6" w:space="0" w:color="000000"/>
              <w:right w:val="single" w:sz="6" w:space="0" w:color="000000"/>
            </w:tcBorders>
            <w:vAlign w:val="center"/>
            <w:hideMark/>
          </w:tcPr>
          <w:p w14:paraId="131025E6" w14:textId="77777777" w:rsidR="00DA51B9" w:rsidRDefault="00DA51B9">
            <w:pPr>
              <w:pStyle w:val="Sidehoved"/>
              <w:ind w:left="22"/>
              <w:rPr>
                <w:szCs w:val="24"/>
                <w:lang w:val="en-GB"/>
              </w:rPr>
            </w:pPr>
            <w:r>
              <w:rPr>
                <w:szCs w:val="24"/>
                <w:lang w:val="en-GB"/>
              </w:rPr>
              <w:t xml:space="preserve">Uncommon </w:t>
            </w:r>
          </w:p>
        </w:tc>
        <w:tc>
          <w:tcPr>
            <w:tcW w:w="1762" w:type="pct"/>
            <w:tcBorders>
              <w:top w:val="single" w:sz="6" w:space="0" w:color="000000"/>
              <w:left w:val="single" w:sz="6" w:space="0" w:color="000000"/>
              <w:bottom w:val="single" w:sz="6" w:space="0" w:color="000000"/>
              <w:right w:val="single" w:sz="6" w:space="0" w:color="000000"/>
            </w:tcBorders>
            <w:vAlign w:val="center"/>
            <w:hideMark/>
          </w:tcPr>
          <w:p w14:paraId="6D8A9C07" w14:textId="77777777" w:rsidR="00DA51B9" w:rsidRDefault="00DA51B9">
            <w:pPr>
              <w:pStyle w:val="Sidehoved"/>
              <w:ind w:left="35"/>
              <w:rPr>
                <w:szCs w:val="24"/>
                <w:lang w:val="en-GB"/>
              </w:rPr>
            </w:pPr>
            <w:r>
              <w:rPr>
                <w:szCs w:val="24"/>
                <w:lang w:val="en-GB"/>
              </w:rPr>
              <w:t>Postural hypotension, hypotension</w:t>
            </w:r>
          </w:p>
        </w:tc>
        <w:tc>
          <w:tcPr>
            <w:tcW w:w="1776" w:type="pct"/>
            <w:gridSpan w:val="2"/>
            <w:tcBorders>
              <w:top w:val="single" w:sz="6" w:space="0" w:color="000000"/>
              <w:left w:val="single" w:sz="6" w:space="0" w:color="000000"/>
              <w:bottom w:val="single" w:sz="6" w:space="0" w:color="000000"/>
              <w:right w:val="single" w:sz="6" w:space="0" w:color="000000"/>
            </w:tcBorders>
            <w:vAlign w:val="center"/>
          </w:tcPr>
          <w:p w14:paraId="7990B093" w14:textId="77777777" w:rsidR="00DA51B9" w:rsidRDefault="00DA51B9">
            <w:pPr>
              <w:pStyle w:val="Sidehoved"/>
              <w:tabs>
                <w:tab w:val="left" w:pos="851"/>
              </w:tabs>
              <w:ind w:left="851"/>
              <w:rPr>
                <w:szCs w:val="24"/>
                <w:lang w:val="en-GB"/>
              </w:rPr>
            </w:pPr>
          </w:p>
        </w:tc>
      </w:tr>
      <w:tr w:rsidR="00174299" w:rsidRPr="00174299" w14:paraId="44C402F3" w14:textId="77777777" w:rsidTr="00174299">
        <w:trPr>
          <w:trHeight w:val="443"/>
        </w:trPr>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3EF12923" w14:textId="7D6D82BC" w:rsidR="00174299" w:rsidRDefault="00174299" w:rsidP="00174299">
            <w:pPr>
              <w:pStyle w:val="Sidehoved"/>
              <w:tabs>
                <w:tab w:val="left" w:pos="851"/>
              </w:tabs>
              <w:rPr>
                <w:szCs w:val="24"/>
                <w:lang w:val="en-GB"/>
              </w:rPr>
            </w:pPr>
            <w:r w:rsidRPr="00174299">
              <w:rPr>
                <w:i/>
                <w:color w:val="000000"/>
                <w:szCs w:val="22"/>
                <w:lang w:val="en-US" w:eastAsia="en-GB"/>
              </w:rPr>
              <w:t>Respiratory, thoracic and mediastinal disorders</w:t>
            </w:r>
          </w:p>
        </w:tc>
      </w:tr>
      <w:tr w:rsidR="00174299" w:rsidRPr="00174299" w14:paraId="1AAB6E85" w14:textId="77777777" w:rsidTr="009F2E71">
        <w:trPr>
          <w:trHeight w:val="443"/>
        </w:trPr>
        <w:tc>
          <w:tcPr>
            <w:tcW w:w="1462" w:type="pct"/>
            <w:tcBorders>
              <w:top w:val="single" w:sz="6" w:space="0" w:color="000000"/>
              <w:left w:val="single" w:sz="6" w:space="0" w:color="000000"/>
              <w:bottom w:val="single" w:sz="6" w:space="0" w:color="000000"/>
              <w:right w:val="single" w:sz="6" w:space="0" w:color="000000"/>
            </w:tcBorders>
            <w:vAlign w:val="center"/>
          </w:tcPr>
          <w:p w14:paraId="45570432" w14:textId="63DC41E0" w:rsidR="00174299" w:rsidRDefault="00174299">
            <w:pPr>
              <w:pStyle w:val="Sidehoved"/>
              <w:ind w:left="22"/>
              <w:rPr>
                <w:szCs w:val="24"/>
                <w:lang w:val="en-GB"/>
              </w:rPr>
            </w:pPr>
            <w:r>
              <w:rPr>
                <w:noProof/>
                <w:szCs w:val="22"/>
              </w:rPr>
              <w:t>Uncommon</w:t>
            </w:r>
          </w:p>
        </w:tc>
        <w:tc>
          <w:tcPr>
            <w:tcW w:w="1762" w:type="pct"/>
            <w:tcBorders>
              <w:top w:val="single" w:sz="6" w:space="0" w:color="000000"/>
              <w:left w:val="single" w:sz="6" w:space="0" w:color="000000"/>
              <w:bottom w:val="single" w:sz="6" w:space="0" w:color="000000"/>
              <w:right w:val="single" w:sz="6" w:space="0" w:color="000000"/>
            </w:tcBorders>
            <w:vAlign w:val="center"/>
          </w:tcPr>
          <w:p w14:paraId="3648CABB" w14:textId="1ED6B2B8" w:rsidR="00174299" w:rsidRDefault="00174299">
            <w:pPr>
              <w:pStyle w:val="Sidehoved"/>
              <w:ind w:left="35"/>
              <w:rPr>
                <w:szCs w:val="24"/>
                <w:lang w:val="en-GB"/>
              </w:rPr>
            </w:pPr>
            <w:proofErr w:type="spellStart"/>
            <w:r>
              <w:rPr>
                <w:szCs w:val="22"/>
              </w:rPr>
              <w:t>Hiccups</w:t>
            </w:r>
            <w:proofErr w:type="spellEnd"/>
          </w:p>
        </w:tc>
        <w:tc>
          <w:tcPr>
            <w:tcW w:w="1776" w:type="pct"/>
            <w:gridSpan w:val="2"/>
            <w:tcBorders>
              <w:top w:val="single" w:sz="6" w:space="0" w:color="000000"/>
              <w:left w:val="single" w:sz="6" w:space="0" w:color="000000"/>
              <w:bottom w:val="single" w:sz="6" w:space="0" w:color="000000"/>
              <w:right w:val="single" w:sz="6" w:space="0" w:color="000000"/>
            </w:tcBorders>
            <w:vAlign w:val="center"/>
          </w:tcPr>
          <w:p w14:paraId="2196363C" w14:textId="77777777" w:rsidR="00174299" w:rsidRDefault="00174299">
            <w:pPr>
              <w:pStyle w:val="Sidehoved"/>
              <w:tabs>
                <w:tab w:val="left" w:pos="851"/>
              </w:tabs>
              <w:ind w:left="851"/>
              <w:rPr>
                <w:szCs w:val="24"/>
                <w:lang w:val="en-GB"/>
              </w:rPr>
            </w:pPr>
          </w:p>
        </w:tc>
      </w:tr>
      <w:tr w:rsidR="00DA51B9" w14:paraId="74D49CE1" w14:textId="77777777" w:rsidTr="009F2E71">
        <w:trPr>
          <w:trHeight w:val="443"/>
        </w:trPr>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14:paraId="3E664793" w14:textId="77777777" w:rsidR="00DA51B9" w:rsidRDefault="00DA51B9">
            <w:pPr>
              <w:pStyle w:val="Sidehoved"/>
              <w:ind w:left="35"/>
              <w:rPr>
                <w:szCs w:val="24"/>
                <w:lang w:val="en-GB"/>
              </w:rPr>
            </w:pPr>
            <w:r>
              <w:rPr>
                <w:i/>
                <w:iCs/>
                <w:szCs w:val="24"/>
                <w:lang w:val="en-GB"/>
              </w:rPr>
              <w:t>Gastrointestinal disorders</w:t>
            </w:r>
          </w:p>
        </w:tc>
      </w:tr>
      <w:tr w:rsidR="00DA51B9" w14:paraId="297BD290" w14:textId="77777777" w:rsidTr="009F2E71">
        <w:trPr>
          <w:trHeight w:val="443"/>
        </w:trPr>
        <w:tc>
          <w:tcPr>
            <w:tcW w:w="1462" w:type="pct"/>
            <w:tcBorders>
              <w:top w:val="single" w:sz="6" w:space="0" w:color="000000"/>
              <w:left w:val="single" w:sz="6" w:space="0" w:color="000000"/>
              <w:bottom w:val="single" w:sz="6" w:space="0" w:color="000000"/>
              <w:right w:val="single" w:sz="6" w:space="0" w:color="000000"/>
            </w:tcBorders>
            <w:vAlign w:val="center"/>
            <w:hideMark/>
          </w:tcPr>
          <w:p w14:paraId="1B9352B6" w14:textId="77777777" w:rsidR="00DA51B9" w:rsidRDefault="00DA51B9">
            <w:pPr>
              <w:pStyle w:val="Sidehoved"/>
              <w:ind w:left="22"/>
              <w:rPr>
                <w:i/>
                <w:iCs/>
                <w:szCs w:val="24"/>
                <w:lang w:val="en-GB"/>
              </w:rPr>
            </w:pPr>
            <w:r>
              <w:rPr>
                <w:szCs w:val="24"/>
                <w:lang w:val="en-GB"/>
              </w:rPr>
              <w:t xml:space="preserve">Very common </w:t>
            </w:r>
          </w:p>
        </w:tc>
        <w:tc>
          <w:tcPr>
            <w:tcW w:w="1762" w:type="pct"/>
            <w:tcBorders>
              <w:top w:val="single" w:sz="6" w:space="0" w:color="000000"/>
              <w:left w:val="single" w:sz="6" w:space="0" w:color="000000"/>
              <w:bottom w:val="single" w:sz="6" w:space="0" w:color="000000"/>
              <w:right w:val="single" w:sz="6" w:space="0" w:color="000000"/>
            </w:tcBorders>
            <w:vAlign w:val="center"/>
            <w:hideMark/>
          </w:tcPr>
          <w:p w14:paraId="7DD8C40A" w14:textId="77777777" w:rsidR="00DA51B9" w:rsidRDefault="00DA51B9">
            <w:pPr>
              <w:pStyle w:val="Sidehoved"/>
              <w:ind w:left="35"/>
              <w:rPr>
                <w:szCs w:val="24"/>
                <w:lang w:val="en-GB"/>
              </w:rPr>
            </w:pPr>
            <w:r>
              <w:rPr>
                <w:szCs w:val="24"/>
                <w:lang w:val="en-GB"/>
              </w:rPr>
              <w:t>Nausea</w:t>
            </w:r>
          </w:p>
        </w:tc>
        <w:tc>
          <w:tcPr>
            <w:tcW w:w="1776" w:type="pct"/>
            <w:gridSpan w:val="2"/>
            <w:tcBorders>
              <w:top w:val="single" w:sz="6" w:space="0" w:color="000000"/>
              <w:left w:val="single" w:sz="6" w:space="0" w:color="000000"/>
              <w:bottom w:val="single" w:sz="6" w:space="0" w:color="000000"/>
              <w:right w:val="single" w:sz="6" w:space="0" w:color="000000"/>
            </w:tcBorders>
            <w:vAlign w:val="center"/>
            <w:hideMark/>
          </w:tcPr>
          <w:p w14:paraId="7FE5AF1C" w14:textId="77777777" w:rsidR="00DA51B9" w:rsidRDefault="00DA51B9">
            <w:pPr>
              <w:pStyle w:val="Sidehoved"/>
              <w:tabs>
                <w:tab w:val="left" w:pos="851"/>
              </w:tabs>
              <w:ind w:left="851"/>
              <w:rPr>
                <w:szCs w:val="24"/>
                <w:lang w:val="en-GB"/>
              </w:rPr>
            </w:pPr>
            <w:r>
              <w:rPr>
                <w:szCs w:val="24"/>
                <w:lang w:val="en-GB"/>
              </w:rPr>
              <w:t>Nausea</w:t>
            </w:r>
            <w:r>
              <w:rPr>
                <w:color w:val="000000"/>
                <w:szCs w:val="22"/>
                <w:vertAlign w:val="superscript"/>
                <w:lang w:eastAsia="en-GB"/>
              </w:rPr>
              <w:t>4</w:t>
            </w:r>
          </w:p>
        </w:tc>
      </w:tr>
      <w:tr w:rsidR="00DA51B9" w14:paraId="38AA7338" w14:textId="77777777" w:rsidTr="009F2E71">
        <w:trPr>
          <w:trHeight w:val="443"/>
        </w:trPr>
        <w:tc>
          <w:tcPr>
            <w:tcW w:w="1462" w:type="pct"/>
            <w:vMerge w:val="restart"/>
            <w:tcBorders>
              <w:top w:val="single" w:sz="6" w:space="0" w:color="000000"/>
              <w:left w:val="single" w:sz="6" w:space="0" w:color="000000"/>
              <w:bottom w:val="single" w:sz="6" w:space="0" w:color="000000"/>
              <w:right w:val="single" w:sz="6" w:space="0" w:color="000000"/>
            </w:tcBorders>
            <w:vAlign w:val="center"/>
          </w:tcPr>
          <w:p w14:paraId="3BC611E0" w14:textId="683B9E8E" w:rsidR="00DA51B9" w:rsidRDefault="00DA51B9" w:rsidP="009F2E71">
            <w:pPr>
              <w:pStyle w:val="Sidehoved"/>
              <w:ind w:left="22"/>
              <w:rPr>
                <w:szCs w:val="24"/>
                <w:lang w:val="en-GB"/>
              </w:rPr>
            </w:pPr>
            <w:r>
              <w:rPr>
                <w:szCs w:val="24"/>
                <w:lang w:val="en-GB"/>
              </w:rPr>
              <w:t xml:space="preserve">Common </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38A8A40E" w14:textId="77777777" w:rsidR="00DA51B9" w:rsidRDefault="00DA51B9">
            <w:pPr>
              <w:pStyle w:val="Sidehoved"/>
              <w:ind w:left="35"/>
              <w:rPr>
                <w:szCs w:val="24"/>
                <w:lang w:val="en-GB"/>
              </w:rPr>
            </w:pPr>
            <w:r>
              <w:rPr>
                <w:szCs w:val="24"/>
                <w:lang w:val="en-GB"/>
              </w:rPr>
              <w:t>Constipation, heartburn</w:t>
            </w:r>
          </w:p>
        </w:tc>
      </w:tr>
      <w:tr w:rsidR="00DA51B9" w14:paraId="3CBE4EE2" w14:textId="77777777" w:rsidTr="009F2E71">
        <w:trPr>
          <w:trHeight w:val="443"/>
        </w:trPr>
        <w:tc>
          <w:tcPr>
            <w:tcW w:w="1462" w:type="pct"/>
            <w:vMerge/>
            <w:tcBorders>
              <w:top w:val="single" w:sz="6" w:space="0" w:color="000000"/>
              <w:left w:val="single" w:sz="6" w:space="0" w:color="000000"/>
              <w:bottom w:val="single" w:sz="6" w:space="0" w:color="000000"/>
              <w:right w:val="single" w:sz="6" w:space="0" w:color="000000"/>
            </w:tcBorders>
            <w:vAlign w:val="center"/>
            <w:hideMark/>
          </w:tcPr>
          <w:p w14:paraId="7E1305C7" w14:textId="77777777" w:rsidR="00DA51B9" w:rsidRDefault="00DA51B9">
            <w:pPr>
              <w:rPr>
                <w:sz w:val="24"/>
                <w:szCs w:val="24"/>
                <w:lang w:val="en-GB"/>
              </w:rPr>
            </w:pPr>
          </w:p>
        </w:tc>
        <w:tc>
          <w:tcPr>
            <w:tcW w:w="1769" w:type="pct"/>
            <w:gridSpan w:val="2"/>
            <w:tcBorders>
              <w:top w:val="single" w:sz="6" w:space="0" w:color="000000"/>
              <w:left w:val="single" w:sz="6" w:space="0" w:color="000000"/>
              <w:bottom w:val="single" w:sz="6" w:space="0" w:color="000000"/>
              <w:right w:val="single" w:sz="6" w:space="0" w:color="000000"/>
            </w:tcBorders>
            <w:vAlign w:val="center"/>
            <w:hideMark/>
          </w:tcPr>
          <w:p w14:paraId="3AD1ACB6" w14:textId="77777777" w:rsidR="00DA51B9" w:rsidRDefault="00DA51B9">
            <w:pPr>
              <w:pStyle w:val="Sidehoved"/>
              <w:ind w:left="35"/>
              <w:rPr>
                <w:szCs w:val="24"/>
                <w:lang w:val="en-GB"/>
              </w:rPr>
            </w:pPr>
            <w:r>
              <w:rPr>
                <w:szCs w:val="24"/>
                <w:lang w:val="en-GB"/>
              </w:rPr>
              <w:t>Vomiting, abdominal pain</w:t>
            </w:r>
          </w:p>
        </w:tc>
        <w:tc>
          <w:tcPr>
            <w:tcW w:w="1769" w:type="pct"/>
            <w:tcBorders>
              <w:top w:val="single" w:sz="6" w:space="0" w:color="000000"/>
              <w:left w:val="single" w:sz="6" w:space="0" w:color="000000"/>
              <w:bottom w:val="single" w:sz="6" w:space="0" w:color="000000"/>
              <w:right w:val="single" w:sz="6" w:space="0" w:color="000000"/>
            </w:tcBorders>
            <w:vAlign w:val="center"/>
          </w:tcPr>
          <w:p w14:paraId="18DBA10E" w14:textId="77777777" w:rsidR="00DA51B9" w:rsidRDefault="00DA51B9">
            <w:pPr>
              <w:pStyle w:val="Sidehoved"/>
              <w:tabs>
                <w:tab w:val="left" w:pos="851"/>
              </w:tabs>
              <w:ind w:left="851"/>
              <w:rPr>
                <w:szCs w:val="24"/>
                <w:lang w:val="en-GB"/>
              </w:rPr>
            </w:pPr>
          </w:p>
        </w:tc>
      </w:tr>
      <w:tr w:rsidR="00DA51B9" w14:paraId="4B82FD2C" w14:textId="77777777" w:rsidTr="009F2E71">
        <w:trPr>
          <w:trHeight w:val="443"/>
        </w:trPr>
        <w:tc>
          <w:tcPr>
            <w:tcW w:w="5000" w:type="pct"/>
            <w:gridSpan w:val="4"/>
            <w:tcBorders>
              <w:top w:val="nil"/>
              <w:left w:val="single" w:sz="6" w:space="0" w:color="000000"/>
              <w:bottom w:val="single" w:sz="6" w:space="0" w:color="000000"/>
              <w:right w:val="single" w:sz="6" w:space="0" w:color="000000"/>
            </w:tcBorders>
            <w:vAlign w:val="center"/>
            <w:hideMark/>
          </w:tcPr>
          <w:p w14:paraId="6BE501CD" w14:textId="77777777" w:rsidR="00DA51B9" w:rsidRDefault="00DA51B9">
            <w:pPr>
              <w:pStyle w:val="Sidehoved"/>
              <w:ind w:left="35"/>
              <w:rPr>
                <w:szCs w:val="24"/>
                <w:lang w:val="en-GB"/>
              </w:rPr>
            </w:pPr>
            <w:r>
              <w:rPr>
                <w:i/>
                <w:iCs/>
                <w:szCs w:val="24"/>
                <w:lang w:val="en-GB"/>
              </w:rPr>
              <w:t>Hepatobiliary disorders</w:t>
            </w:r>
          </w:p>
        </w:tc>
      </w:tr>
      <w:tr w:rsidR="00DA51B9" w:rsidRPr="00174299" w14:paraId="7BC85DD2" w14:textId="77777777" w:rsidTr="009F2E71">
        <w:trPr>
          <w:trHeight w:val="443"/>
        </w:trPr>
        <w:tc>
          <w:tcPr>
            <w:tcW w:w="1462" w:type="pct"/>
            <w:tcBorders>
              <w:top w:val="nil"/>
              <w:left w:val="single" w:sz="6" w:space="0" w:color="000000"/>
              <w:bottom w:val="single" w:sz="6" w:space="0" w:color="000000"/>
              <w:right w:val="single" w:sz="6" w:space="0" w:color="000000"/>
            </w:tcBorders>
            <w:vAlign w:val="center"/>
            <w:hideMark/>
          </w:tcPr>
          <w:p w14:paraId="7B3769CE" w14:textId="77777777" w:rsidR="00DA51B9" w:rsidRDefault="00DA51B9">
            <w:pPr>
              <w:pStyle w:val="Sidehoved"/>
              <w:ind w:left="22"/>
              <w:rPr>
                <w:szCs w:val="24"/>
                <w:lang w:val="en-GB"/>
              </w:rPr>
            </w:pPr>
            <w:r>
              <w:rPr>
                <w:szCs w:val="24"/>
                <w:lang w:val="en-GB"/>
              </w:rPr>
              <w:t>Not known</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17E30876" w14:textId="77777777" w:rsidR="00DA51B9" w:rsidRDefault="00DA51B9">
            <w:pPr>
              <w:pStyle w:val="Sidehoved"/>
              <w:ind w:left="35"/>
              <w:rPr>
                <w:szCs w:val="24"/>
                <w:lang w:val="en-GB"/>
              </w:rPr>
            </w:pPr>
            <w:r>
              <w:rPr>
                <w:szCs w:val="24"/>
                <w:lang w:val="en-GB"/>
              </w:rPr>
              <w:t>Hepatic reactions, mainly increased liver enzymes</w:t>
            </w:r>
          </w:p>
        </w:tc>
      </w:tr>
      <w:tr w:rsidR="00174299" w:rsidRPr="00174299" w14:paraId="7EC5162A" w14:textId="77777777" w:rsidTr="00174299">
        <w:trPr>
          <w:trHeight w:val="443"/>
        </w:trPr>
        <w:tc>
          <w:tcPr>
            <w:tcW w:w="5000" w:type="pct"/>
            <w:gridSpan w:val="4"/>
            <w:tcBorders>
              <w:top w:val="nil"/>
              <w:left w:val="single" w:sz="6" w:space="0" w:color="000000"/>
              <w:bottom w:val="single" w:sz="6" w:space="0" w:color="000000"/>
              <w:right w:val="single" w:sz="6" w:space="0" w:color="000000"/>
            </w:tcBorders>
            <w:vAlign w:val="center"/>
          </w:tcPr>
          <w:p w14:paraId="50D7B845" w14:textId="61D12F4D" w:rsidR="00174299" w:rsidRDefault="00174299">
            <w:pPr>
              <w:pStyle w:val="Sidehoved"/>
              <w:ind w:left="35"/>
              <w:rPr>
                <w:szCs w:val="24"/>
                <w:lang w:val="en-GB"/>
              </w:rPr>
            </w:pPr>
            <w:r w:rsidRPr="00174299">
              <w:rPr>
                <w:i/>
                <w:color w:val="000000"/>
                <w:szCs w:val="22"/>
                <w:lang w:val="en-US" w:eastAsia="en-GB"/>
              </w:rPr>
              <w:t>Reproductive system and breast disorders</w:t>
            </w:r>
          </w:p>
        </w:tc>
      </w:tr>
      <w:tr w:rsidR="00174299" w:rsidRPr="00174299" w14:paraId="7400266D" w14:textId="77777777" w:rsidTr="009F2E71">
        <w:trPr>
          <w:trHeight w:val="443"/>
        </w:trPr>
        <w:tc>
          <w:tcPr>
            <w:tcW w:w="1462" w:type="pct"/>
            <w:tcBorders>
              <w:top w:val="nil"/>
              <w:left w:val="single" w:sz="6" w:space="0" w:color="000000"/>
              <w:bottom w:val="single" w:sz="6" w:space="0" w:color="000000"/>
              <w:right w:val="single" w:sz="6" w:space="0" w:color="000000"/>
            </w:tcBorders>
            <w:vAlign w:val="center"/>
          </w:tcPr>
          <w:p w14:paraId="3DF9FBE4" w14:textId="1DFC8D3C" w:rsidR="00174299" w:rsidRDefault="00174299">
            <w:pPr>
              <w:pStyle w:val="Sidehoved"/>
              <w:ind w:left="22"/>
              <w:rPr>
                <w:szCs w:val="24"/>
                <w:lang w:val="en-GB"/>
              </w:rPr>
            </w:pPr>
            <w:r>
              <w:rPr>
                <w:noProof/>
                <w:szCs w:val="22"/>
              </w:rPr>
              <w:t>Not known</w:t>
            </w:r>
          </w:p>
        </w:tc>
        <w:tc>
          <w:tcPr>
            <w:tcW w:w="3538" w:type="pct"/>
            <w:gridSpan w:val="3"/>
            <w:tcBorders>
              <w:top w:val="single" w:sz="6" w:space="0" w:color="000000"/>
              <w:left w:val="single" w:sz="6" w:space="0" w:color="000000"/>
              <w:bottom w:val="single" w:sz="6" w:space="0" w:color="000000"/>
              <w:right w:val="single" w:sz="6" w:space="0" w:color="000000"/>
            </w:tcBorders>
            <w:vAlign w:val="center"/>
          </w:tcPr>
          <w:p w14:paraId="3A413E4F" w14:textId="73FF7B6F" w:rsidR="00174299" w:rsidRDefault="00174299">
            <w:pPr>
              <w:pStyle w:val="Sidehoved"/>
              <w:ind w:left="35"/>
              <w:rPr>
                <w:szCs w:val="24"/>
                <w:lang w:val="en-GB"/>
              </w:rPr>
            </w:pPr>
            <w:proofErr w:type="spellStart"/>
            <w:r>
              <w:rPr>
                <w:szCs w:val="22"/>
              </w:rPr>
              <w:t>Spontaneous</w:t>
            </w:r>
            <w:proofErr w:type="spellEnd"/>
            <w:r>
              <w:rPr>
                <w:szCs w:val="22"/>
              </w:rPr>
              <w:t xml:space="preserve"> </w:t>
            </w:r>
            <w:proofErr w:type="spellStart"/>
            <w:r>
              <w:rPr>
                <w:szCs w:val="22"/>
              </w:rPr>
              <w:t>penile</w:t>
            </w:r>
            <w:proofErr w:type="spellEnd"/>
            <w:r>
              <w:rPr>
                <w:szCs w:val="22"/>
              </w:rPr>
              <w:t xml:space="preserve"> </w:t>
            </w:r>
            <w:proofErr w:type="spellStart"/>
            <w:r>
              <w:rPr>
                <w:szCs w:val="22"/>
              </w:rPr>
              <w:t>erection</w:t>
            </w:r>
            <w:proofErr w:type="spellEnd"/>
          </w:p>
        </w:tc>
      </w:tr>
      <w:tr w:rsidR="00DA51B9" w:rsidRPr="00174299" w14:paraId="14256FB1" w14:textId="77777777" w:rsidTr="009F2E71">
        <w:trPr>
          <w:trHeight w:val="443"/>
        </w:trPr>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14:paraId="50C44204" w14:textId="77777777" w:rsidR="00DA51B9" w:rsidRDefault="00DA51B9">
            <w:pPr>
              <w:pStyle w:val="Sidehoved"/>
              <w:ind w:left="35"/>
              <w:rPr>
                <w:szCs w:val="24"/>
                <w:lang w:val="en-GB"/>
              </w:rPr>
            </w:pPr>
            <w:r>
              <w:rPr>
                <w:i/>
                <w:iCs/>
                <w:szCs w:val="24"/>
                <w:lang w:val="en-GB"/>
              </w:rPr>
              <w:t>General disorders and administration site conditions</w:t>
            </w:r>
          </w:p>
        </w:tc>
      </w:tr>
      <w:tr w:rsidR="00DA51B9" w14:paraId="4CD9819B" w14:textId="77777777" w:rsidTr="009F2E71">
        <w:trPr>
          <w:trHeight w:val="443"/>
        </w:trPr>
        <w:tc>
          <w:tcPr>
            <w:tcW w:w="1462" w:type="pct"/>
            <w:vMerge w:val="restart"/>
            <w:tcBorders>
              <w:top w:val="single" w:sz="6" w:space="0" w:color="000000"/>
              <w:left w:val="single" w:sz="6" w:space="0" w:color="000000"/>
              <w:bottom w:val="single" w:sz="6" w:space="0" w:color="000000"/>
              <w:right w:val="single" w:sz="6" w:space="0" w:color="000000"/>
            </w:tcBorders>
            <w:vAlign w:val="center"/>
          </w:tcPr>
          <w:p w14:paraId="13A9F844" w14:textId="523E900A" w:rsidR="00DA51B9" w:rsidRDefault="00DA51B9" w:rsidP="009F2E71">
            <w:pPr>
              <w:pStyle w:val="Sidehoved"/>
              <w:ind w:left="22"/>
              <w:rPr>
                <w:i/>
                <w:iCs/>
                <w:szCs w:val="24"/>
                <w:lang w:val="en-GB"/>
              </w:rPr>
            </w:pPr>
            <w:r>
              <w:rPr>
                <w:szCs w:val="24"/>
                <w:lang w:val="en-GB"/>
              </w:rPr>
              <w:t xml:space="preserve">Common </w:t>
            </w:r>
          </w:p>
        </w:tc>
        <w:tc>
          <w:tcPr>
            <w:tcW w:w="3538" w:type="pct"/>
            <w:gridSpan w:val="3"/>
            <w:tcBorders>
              <w:top w:val="single" w:sz="6" w:space="0" w:color="000000"/>
              <w:left w:val="single" w:sz="6" w:space="0" w:color="000000"/>
              <w:bottom w:val="single" w:sz="6" w:space="0" w:color="000000"/>
              <w:right w:val="single" w:sz="6" w:space="0" w:color="000000"/>
            </w:tcBorders>
            <w:vAlign w:val="center"/>
            <w:hideMark/>
          </w:tcPr>
          <w:p w14:paraId="7AA5FCA0" w14:textId="77777777" w:rsidR="00DA51B9" w:rsidRDefault="00DA51B9">
            <w:pPr>
              <w:pStyle w:val="Sidehoved"/>
              <w:ind w:left="35"/>
              <w:rPr>
                <w:szCs w:val="24"/>
                <w:lang w:val="en-GB"/>
              </w:rPr>
            </w:pPr>
            <w:r>
              <w:rPr>
                <w:szCs w:val="24"/>
                <w:lang w:val="en-GB"/>
              </w:rPr>
              <w:t>Oedema peripheral</w:t>
            </w:r>
          </w:p>
        </w:tc>
      </w:tr>
      <w:tr w:rsidR="00DA51B9" w14:paraId="15E1C51B" w14:textId="77777777" w:rsidTr="009F2E71">
        <w:trPr>
          <w:trHeight w:val="443"/>
        </w:trPr>
        <w:tc>
          <w:tcPr>
            <w:tcW w:w="1462" w:type="pct"/>
            <w:vMerge/>
            <w:tcBorders>
              <w:top w:val="single" w:sz="6" w:space="0" w:color="000000"/>
              <w:left w:val="single" w:sz="6" w:space="0" w:color="000000"/>
              <w:bottom w:val="single" w:sz="6" w:space="0" w:color="000000"/>
              <w:right w:val="single" w:sz="6" w:space="0" w:color="000000"/>
            </w:tcBorders>
            <w:vAlign w:val="center"/>
            <w:hideMark/>
          </w:tcPr>
          <w:p w14:paraId="4F4DFE56" w14:textId="77777777" w:rsidR="00DA51B9" w:rsidRDefault="00DA51B9">
            <w:pPr>
              <w:rPr>
                <w:i/>
                <w:iCs/>
                <w:sz w:val="24"/>
                <w:szCs w:val="24"/>
                <w:lang w:val="en-GB"/>
              </w:rPr>
            </w:pPr>
          </w:p>
        </w:tc>
        <w:tc>
          <w:tcPr>
            <w:tcW w:w="1762" w:type="pct"/>
            <w:tcBorders>
              <w:top w:val="single" w:sz="6" w:space="0" w:color="000000"/>
              <w:left w:val="single" w:sz="6" w:space="0" w:color="000000"/>
              <w:bottom w:val="single" w:sz="6" w:space="0" w:color="000000"/>
              <w:right w:val="single" w:sz="6" w:space="0" w:color="000000"/>
            </w:tcBorders>
            <w:vAlign w:val="center"/>
            <w:hideMark/>
          </w:tcPr>
          <w:p w14:paraId="7E22F9B6" w14:textId="77777777" w:rsidR="00DA51B9" w:rsidRDefault="00DA51B9">
            <w:pPr>
              <w:pStyle w:val="Sidehoved"/>
              <w:ind w:left="35"/>
              <w:rPr>
                <w:szCs w:val="24"/>
                <w:lang w:val="en-GB"/>
              </w:rPr>
            </w:pPr>
            <w:r>
              <w:rPr>
                <w:szCs w:val="24"/>
                <w:lang w:val="en-GB"/>
              </w:rPr>
              <w:t>Leg oedema</w:t>
            </w:r>
          </w:p>
        </w:tc>
        <w:tc>
          <w:tcPr>
            <w:tcW w:w="1776" w:type="pct"/>
            <w:gridSpan w:val="2"/>
            <w:tcBorders>
              <w:top w:val="single" w:sz="6" w:space="0" w:color="000000"/>
              <w:left w:val="single" w:sz="6" w:space="0" w:color="000000"/>
              <w:bottom w:val="single" w:sz="6" w:space="0" w:color="000000"/>
              <w:right w:val="single" w:sz="6" w:space="0" w:color="000000"/>
            </w:tcBorders>
            <w:vAlign w:val="center"/>
          </w:tcPr>
          <w:p w14:paraId="1ED2BE78" w14:textId="77777777" w:rsidR="00DA51B9" w:rsidRDefault="00DA51B9">
            <w:pPr>
              <w:pStyle w:val="Sidehoved"/>
              <w:tabs>
                <w:tab w:val="left" w:pos="851"/>
              </w:tabs>
              <w:ind w:left="851"/>
              <w:rPr>
                <w:szCs w:val="24"/>
                <w:lang w:val="en-GB"/>
              </w:rPr>
            </w:pPr>
          </w:p>
        </w:tc>
      </w:tr>
      <w:tr w:rsidR="00DA51B9" w:rsidRPr="00174299" w14:paraId="70ACE057" w14:textId="77777777" w:rsidTr="009F2E71">
        <w:trPr>
          <w:trHeight w:val="443"/>
        </w:trPr>
        <w:tc>
          <w:tcPr>
            <w:tcW w:w="1462" w:type="pct"/>
            <w:tcBorders>
              <w:top w:val="single" w:sz="4" w:space="0" w:color="auto"/>
              <w:left w:val="single" w:sz="6" w:space="0" w:color="000000"/>
              <w:bottom w:val="single" w:sz="6" w:space="0" w:color="000000"/>
              <w:right w:val="single" w:sz="4" w:space="0" w:color="auto"/>
            </w:tcBorders>
            <w:vAlign w:val="center"/>
            <w:hideMark/>
          </w:tcPr>
          <w:p w14:paraId="1153698A" w14:textId="77777777" w:rsidR="00DA51B9" w:rsidRDefault="00DA51B9">
            <w:pPr>
              <w:pStyle w:val="Sidehoved"/>
              <w:ind w:left="22"/>
              <w:rPr>
                <w:szCs w:val="24"/>
                <w:lang w:val="en-GB"/>
              </w:rPr>
            </w:pPr>
            <w:r>
              <w:rPr>
                <w:szCs w:val="24"/>
                <w:lang w:val="en-GB"/>
              </w:rPr>
              <w:t>Not known</w:t>
            </w:r>
          </w:p>
        </w:tc>
        <w:tc>
          <w:tcPr>
            <w:tcW w:w="3538" w:type="pct"/>
            <w:gridSpan w:val="3"/>
            <w:tcBorders>
              <w:top w:val="single" w:sz="4" w:space="0" w:color="auto"/>
              <w:left w:val="single" w:sz="4" w:space="0" w:color="auto"/>
              <w:bottom w:val="single" w:sz="4" w:space="0" w:color="auto"/>
              <w:right w:val="single" w:sz="4" w:space="0" w:color="auto"/>
            </w:tcBorders>
            <w:vAlign w:val="center"/>
            <w:hideMark/>
          </w:tcPr>
          <w:p w14:paraId="4804869C" w14:textId="77777777" w:rsidR="00DA51B9" w:rsidRDefault="00DA51B9">
            <w:pPr>
              <w:pStyle w:val="Sidehoved"/>
              <w:ind w:left="35"/>
              <w:rPr>
                <w:szCs w:val="24"/>
                <w:lang w:val="en-US"/>
              </w:rPr>
            </w:pPr>
            <w:r>
              <w:rPr>
                <w:rFonts w:eastAsia="Verdana"/>
                <w:szCs w:val="22"/>
                <w:lang w:val="en-US"/>
              </w:rPr>
              <w:t>Dopamine agonist withdrawal syndrome (including apathy, anxiety, depression, fatigue, sweating and pain)</w:t>
            </w:r>
            <w:r>
              <w:rPr>
                <w:rFonts w:eastAsia="Verdana"/>
                <w:szCs w:val="22"/>
                <w:vertAlign w:val="superscript"/>
                <w:lang w:val="en-US"/>
              </w:rPr>
              <w:t>5</w:t>
            </w:r>
          </w:p>
        </w:tc>
      </w:tr>
    </w:tbl>
    <w:p w14:paraId="3327695C" w14:textId="77777777" w:rsidR="00DA51B9" w:rsidRDefault="00DA51B9" w:rsidP="009F2E71">
      <w:pPr>
        <w:autoSpaceDE w:val="0"/>
        <w:autoSpaceDN w:val="0"/>
        <w:adjustRightInd w:val="0"/>
        <w:ind w:left="284" w:hanging="284"/>
        <w:rPr>
          <w:color w:val="000000"/>
          <w:sz w:val="22"/>
          <w:szCs w:val="22"/>
          <w:lang w:val="en-GB" w:eastAsia="en-GB"/>
        </w:rPr>
      </w:pPr>
      <w:r w:rsidRPr="00DA51B9">
        <w:rPr>
          <w:szCs w:val="22"/>
          <w:lang w:val="en-US"/>
        </w:rPr>
        <w:t xml:space="preserve">* </w:t>
      </w:r>
      <w:r w:rsidRPr="00DA51B9">
        <w:rPr>
          <w:szCs w:val="22"/>
          <w:lang w:val="en-US"/>
        </w:rPr>
        <w:tab/>
      </w:r>
      <w:r w:rsidRPr="00DA51B9">
        <w:rPr>
          <w:color w:val="000000"/>
          <w:szCs w:val="22"/>
          <w:lang w:val="en-US" w:eastAsia="en-GB"/>
        </w:rPr>
        <w:t>Aggression has been associated with psychotic reactions as well as compulsive symptoms.</w:t>
      </w:r>
    </w:p>
    <w:p w14:paraId="0A01BCBA" w14:textId="77777777" w:rsidR="00DA51B9" w:rsidRPr="00DA51B9" w:rsidRDefault="00DA51B9" w:rsidP="009F2E71">
      <w:pPr>
        <w:autoSpaceDE w:val="0"/>
        <w:autoSpaceDN w:val="0"/>
        <w:adjustRightInd w:val="0"/>
        <w:ind w:left="284" w:hanging="284"/>
        <w:rPr>
          <w:color w:val="000000"/>
          <w:szCs w:val="22"/>
          <w:lang w:val="en-US" w:eastAsia="en-GB"/>
        </w:rPr>
      </w:pPr>
      <w:r w:rsidRPr="00DA51B9">
        <w:rPr>
          <w:color w:val="000000"/>
          <w:szCs w:val="22"/>
          <w:vertAlign w:val="superscript"/>
          <w:lang w:val="en-US" w:eastAsia="en-GB"/>
        </w:rPr>
        <w:t>2</w:t>
      </w:r>
      <w:r w:rsidRPr="00DA51B9">
        <w:rPr>
          <w:color w:val="000000"/>
          <w:szCs w:val="22"/>
          <w:lang w:val="en-US" w:eastAsia="en-GB"/>
        </w:rPr>
        <w:tab/>
        <w:t>Somnolence has been reported very commonly in the adjunct therapy immediate-release clinical trials, and commonly in the adjunct therapy prolonged-release clinical trials.</w:t>
      </w:r>
    </w:p>
    <w:p w14:paraId="7FB1D7ED" w14:textId="7F17D35A" w:rsidR="00DA51B9" w:rsidRDefault="00DA51B9" w:rsidP="009F2E71">
      <w:pPr>
        <w:autoSpaceDE w:val="0"/>
        <w:autoSpaceDN w:val="0"/>
        <w:adjustRightInd w:val="0"/>
        <w:ind w:left="284" w:hanging="284"/>
        <w:rPr>
          <w:szCs w:val="22"/>
          <w:lang w:val="is-IS" w:eastAsia="is-IS"/>
        </w:rPr>
      </w:pPr>
      <w:r>
        <w:rPr>
          <w:szCs w:val="22"/>
          <w:vertAlign w:val="superscript"/>
          <w:lang w:val="is-IS" w:eastAsia="is-IS"/>
        </w:rPr>
        <w:t>3</w:t>
      </w:r>
      <w:r>
        <w:rPr>
          <w:szCs w:val="22"/>
          <w:lang w:val="is-IS" w:eastAsia="is-IS"/>
        </w:rPr>
        <w:tab/>
        <w:t>In patients with advanced Parkinson’s disease, dyskinesias can occur during the initial titration of ropinirole. In clinical trials it was shown that a reduction of the levodopa dose may amelioratedyskinesia (see section 4.2).</w:t>
      </w:r>
    </w:p>
    <w:p w14:paraId="64B58D51" w14:textId="77777777" w:rsidR="00DA51B9" w:rsidRDefault="00DA51B9" w:rsidP="009F2E71">
      <w:pPr>
        <w:autoSpaceDE w:val="0"/>
        <w:autoSpaceDN w:val="0"/>
        <w:adjustRightInd w:val="0"/>
        <w:ind w:left="284" w:hanging="284"/>
        <w:rPr>
          <w:szCs w:val="22"/>
          <w:lang w:val="is-IS" w:eastAsia="is-IS"/>
        </w:rPr>
      </w:pPr>
      <w:r>
        <w:rPr>
          <w:szCs w:val="22"/>
          <w:vertAlign w:val="superscript"/>
          <w:lang w:val="is-IS" w:eastAsia="is-IS"/>
        </w:rPr>
        <w:t>4</w:t>
      </w:r>
      <w:r>
        <w:rPr>
          <w:szCs w:val="22"/>
          <w:lang w:val="is-IS" w:eastAsia="is-IS"/>
        </w:rPr>
        <w:tab/>
        <w:t>Nausea has been reported very commonly in the adjunct therapy immediate-release clinical trials, and commonly in the adjunct therapy prolonged-release clinical trials.</w:t>
      </w:r>
    </w:p>
    <w:p w14:paraId="23FB3DC2" w14:textId="77777777" w:rsidR="00DA51B9" w:rsidRDefault="00DA51B9" w:rsidP="009F2E71">
      <w:pPr>
        <w:autoSpaceDE w:val="0"/>
        <w:autoSpaceDN w:val="0"/>
        <w:adjustRightInd w:val="0"/>
        <w:ind w:left="284" w:hanging="284"/>
        <w:rPr>
          <w:rFonts w:eastAsia="Verdana"/>
          <w:szCs w:val="22"/>
          <w:lang w:val="en-GB" w:eastAsia="en-US"/>
        </w:rPr>
      </w:pPr>
      <w:r w:rsidRPr="00DA51B9">
        <w:rPr>
          <w:rFonts w:eastAsia="Verdana"/>
          <w:szCs w:val="22"/>
          <w:vertAlign w:val="superscript"/>
          <w:lang w:val="en-US"/>
        </w:rPr>
        <w:t>5</w:t>
      </w:r>
      <w:r w:rsidRPr="00DA51B9">
        <w:rPr>
          <w:rFonts w:eastAsia="Verdana"/>
          <w:szCs w:val="22"/>
          <w:lang w:val="en-US"/>
        </w:rPr>
        <w:tab/>
        <w:t>Non-motor adverse effects may occur when tapering or discontinuing dopamine agonists including ropinirole (see section 4.4).</w:t>
      </w:r>
    </w:p>
    <w:p w14:paraId="787D1370" w14:textId="77777777" w:rsidR="00DA51B9" w:rsidRPr="009F2E71" w:rsidRDefault="00DA51B9" w:rsidP="00DA51B9">
      <w:pPr>
        <w:pStyle w:val="Sidehoved"/>
        <w:ind w:left="1418" w:hanging="567"/>
        <w:rPr>
          <w:szCs w:val="24"/>
          <w:lang w:val="en-GB"/>
        </w:rPr>
      </w:pPr>
    </w:p>
    <w:p w14:paraId="715FB954" w14:textId="77777777" w:rsidR="00DA51B9" w:rsidRDefault="00DA51B9" w:rsidP="00DA51B9">
      <w:pPr>
        <w:pStyle w:val="Sidehoved"/>
        <w:tabs>
          <w:tab w:val="left" w:pos="851"/>
        </w:tabs>
        <w:ind w:left="851"/>
        <w:rPr>
          <w:szCs w:val="24"/>
          <w:u w:val="single"/>
          <w:lang w:val="en-GB"/>
        </w:rPr>
      </w:pPr>
      <w:r>
        <w:rPr>
          <w:szCs w:val="24"/>
          <w:u w:val="single"/>
          <w:lang w:val="en-GB"/>
        </w:rPr>
        <w:t>Reporting of suspected adverse reactions</w:t>
      </w:r>
    </w:p>
    <w:p w14:paraId="0055BF49" w14:textId="77777777" w:rsidR="00DA51B9" w:rsidRDefault="00DA51B9" w:rsidP="00DA51B9">
      <w:pPr>
        <w:pStyle w:val="Sidehoved"/>
        <w:tabs>
          <w:tab w:val="left" w:pos="851"/>
        </w:tabs>
        <w:ind w:left="851"/>
        <w:rPr>
          <w:szCs w:val="24"/>
          <w:lang w:val="en-GB"/>
        </w:rPr>
      </w:pPr>
      <w:r>
        <w:rPr>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497F90E" w14:textId="77777777" w:rsidR="00DA51B9" w:rsidRDefault="00DA51B9" w:rsidP="00DA51B9">
      <w:pPr>
        <w:pStyle w:val="Sidehoved"/>
        <w:tabs>
          <w:tab w:val="left" w:pos="851"/>
        </w:tabs>
        <w:ind w:left="851"/>
        <w:rPr>
          <w:szCs w:val="24"/>
          <w:lang w:val="en-GB"/>
        </w:rPr>
      </w:pPr>
    </w:p>
    <w:p w14:paraId="053A8E5E" w14:textId="77777777" w:rsidR="00DA51B9" w:rsidRPr="00DA51B9" w:rsidRDefault="00DA51B9" w:rsidP="00DA51B9">
      <w:pPr>
        <w:ind w:left="851"/>
        <w:rPr>
          <w:sz w:val="24"/>
          <w:szCs w:val="24"/>
        </w:rPr>
      </w:pPr>
      <w:r>
        <w:rPr>
          <w:sz w:val="24"/>
          <w:szCs w:val="24"/>
        </w:rPr>
        <w:t>Lægemiddelstyrelsen</w:t>
      </w:r>
    </w:p>
    <w:p w14:paraId="32746CD0" w14:textId="77777777" w:rsidR="00DA51B9" w:rsidRDefault="00DA51B9" w:rsidP="00DA51B9">
      <w:pPr>
        <w:ind w:left="851"/>
        <w:rPr>
          <w:sz w:val="24"/>
          <w:szCs w:val="24"/>
        </w:rPr>
      </w:pPr>
      <w:r>
        <w:rPr>
          <w:sz w:val="24"/>
          <w:szCs w:val="24"/>
        </w:rPr>
        <w:t>Axel Heides Gade 1</w:t>
      </w:r>
    </w:p>
    <w:p w14:paraId="377F3809" w14:textId="77777777" w:rsidR="00DA51B9" w:rsidRDefault="00DA51B9" w:rsidP="00DA51B9">
      <w:pPr>
        <w:ind w:left="851"/>
        <w:rPr>
          <w:sz w:val="24"/>
          <w:szCs w:val="24"/>
        </w:rPr>
      </w:pPr>
      <w:r>
        <w:rPr>
          <w:sz w:val="24"/>
          <w:szCs w:val="24"/>
        </w:rPr>
        <w:t>DK-2300 København S</w:t>
      </w:r>
    </w:p>
    <w:p w14:paraId="26958E42" w14:textId="77777777" w:rsidR="00DA51B9" w:rsidRDefault="00DA51B9" w:rsidP="00DA51B9">
      <w:pPr>
        <w:ind w:left="851"/>
        <w:rPr>
          <w:sz w:val="24"/>
          <w:szCs w:val="24"/>
          <w:lang w:val="en-US"/>
        </w:rPr>
      </w:pPr>
      <w:proofErr w:type="spellStart"/>
      <w:r>
        <w:rPr>
          <w:sz w:val="24"/>
          <w:szCs w:val="24"/>
          <w:lang w:val="en-US"/>
        </w:rPr>
        <w:t>Websted</w:t>
      </w:r>
      <w:proofErr w:type="spellEnd"/>
      <w:r>
        <w:rPr>
          <w:sz w:val="24"/>
          <w:szCs w:val="24"/>
          <w:lang w:val="en-US"/>
        </w:rPr>
        <w:t xml:space="preserve">: </w:t>
      </w:r>
      <w:r>
        <w:rPr>
          <w:sz w:val="24"/>
          <w:lang w:val="en-US"/>
        </w:rPr>
        <w:t>www.meldenbivirkning.dk</w:t>
      </w:r>
    </w:p>
    <w:p w14:paraId="6E3B298E" w14:textId="77777777" w:rsidR="007C5D2A" w:rsidRPr="007A4CC6" w:rsidRDefault="007C5D2A" w:rsidP="007A4CC6">
      <w:pPr>
        <w:tabs>
          <w:tab w:val="left" w:pos="851"/>
        </w:tabs>
        <w:ind w:left="851"/>
        <w:rPr>
          <w:sz w:val="24"/>
          <w:szCs w:val="24"/>
          <w:lang w:val="en-GB"/>
        </w:rPr>
      </w:pPr>
    </w:p>
    <w:p w14:paraId="6EB6218C"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799683B6" w14:textId="77777777" w:rsidR="00DA51B9" w:rsidRPr="00DA51B9" w:rsidRDefault="00DA51B9" w:rsidP="00DA51B9">
      <w:pPr>
        <w:tabs>
          <w:tab w:val="left" w:pos="851"/>
        </w:tabs>
        <w:ind w:left="851"/>
        <w:rPr>
          <w:sz w:val="24"/>
          <w:szCs w:val="24"/>
          <w:lang w:val="en-US"/>
        </w:rPr>
      </w:pPr>
      <w:r w:rsidRPr="00DA51B9">
        <w:rPr>
          <w:sz w:val="24"/>
          <w:szCs w:val="24"/>
          <w:lang w:val="en-US"/>
        </w:rPr>
        <w:t>The symptoms of ropinirole overdose are related to its dopaminergic activity. These symptoms may be alleviated by appropriate treatment with dopamine antagonists such as neuroleptics or metoclopramide.</w:t>
      </w:r>
    </w:p>
    <w:p w14:paraId="0165ADD3" w14:textId="77777777" w:rsidR="007C5D2A" w:rsidRPr="00303008" w:rsidRDefault="007C5D2A" w:rsidP="003E0341">
      <w:pPr>
        <w:tabs>
          <w:tab w:val="left" w:pos="851"/>
        </w:tabs>
        <w:ind w:left="851"/>
        <w:rPr>
          <w:sz w:val="24"/>
          <w:szCs w:val="24"/>
          <w:lang w:val="en-GB"/>
        </w:rPr>
      </w:pPr>
    </w:p>
    <w:p w14:paraId="34CA36E5"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4CA8AE5B" w14:textId="45FF84BD" w:rsidR="00AD2E36" w:rsidRPr="00303008" w:rsidRDefault="00DA51B9" w:rsidP="00AD2E36">
      <w:pPr>
        <w:tabs>
          <w:tab w:val="left" w:pos="851"/>
        </w:tabs>
        <w:ind w:left="851"/>
        <w:rPr>
          <w:sz w:val="24"/>
          <w:szCs w:val="24"/>
          <w:lang w:val="en-GB"/>
        </w:rPr>
      </w:pPr>
      <w:r>
        <w:rPr>
          <w:sz w:val="24"/>
          <w:szCs w:val="24"/>
          <w:lang w:val="en-GB"/>
        </w:rPr>
        <w:t>B</w:t>
      </w:r>
    </w:p>
    <w:p w14:paraId="7E35C31E" w14:textId="77777777" w:rsidR="007C5D2A" w:rsidRPr="00303008" w:rsidRDefault="007C5D2A" w:rsidP="003E0341">
      <w:pPr>
        <w:tabs>
          <w:tab w:val="left" w:pos="851"/>
        </w:tabs>
        <w:ind w:left="851"/>
        <w:rPr>
          <w:sz w:val="24"/>
          <w:szCs w:val="24"/>
          <w:lang w:val="en-GB"/>
        </w:rPr>
      </w:pPr>
    </w:p>
    <w:p w14:paraId="6F8B4730" w14:textId="77777777" w:rsidR="00AD2E36" w:rsidRPr="00303008" w:rsidRDefault="00AD2E36" w:rsidP="003E0341">
      <w:pPr>
        <w:tabs>
          <w:tab w:val="left" w:pos="851"/>
        </w:tabs>
        <w:ind w:left="851"/>
        <w:rPr>
          <w:sz w:val="24"/>
          <w:szCs w:val="24"/>
          <w:lang w:val="en-GB"/>
        </w:rPr>
      </w:pPr>
    </w:p>
    <w:p w14:paraId="4D36EEDA"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4F76091F" w14:textId="77777777" w:rsidR="007C5D2A" w:rsidRDefault="007C5D2A" w:rsidP="003E0341">
      <w:pPr>
        <w:tabs>
          <w:tab w:val="left" w:pos="851"/>
        </w:tabs>
        <w:ind w:left="851"/>
        <w:rPr>
          <w:sz w:val="24"/>
          <w:szCs w:val="24"/>
          <w:lang w:val="en-GB"/>
        </w:rPr>
      </w:pPr>
    </w:p>
    <w:p w14:paraId="7E48C1A0"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7FDF7069" w14:textId="512BF490" w:rsidR="00DA51B9" w:rsidRDefault="009F2E71" w:rsidP="009F2E71">
      <w:pPr>
        <w:pStyle w:val="NormalWeb"/>
        <w:spacing w:before="0" w:beforeAutospacing="0" w:after="0" w:afterAutospacing="0"/>
        <w:ind w:left="851"/>
        <w:rPr>
          <w:lang w:val="en-US"/>
        </w:rPr>
      </w:pPr>
      <w:r w:rsidRPr="009F2E71">
        <w:rPr>
          <w:lang w:val="en-US"/>
        </w:rPr>
        <w:t>Pharmacotherapeutic group:</w:t>
      </w:r>
      <w:r w:rsidR="00DA51B9">
        <w:rPr>
          <w:lang w:val="en-US"/>
        </w:rPr>
        <w:t xml:space="preserve"> </w:t>
      </w:r>
      <w:r w:rsidR="00DA51B9">
        <w:rPr>
          <w:bCs/>
          <w:lang w:val="en-US"/>
        </w:rPr>
        <w:t>D</w:t>
      </w:r>
      <w:r w:rsidR="00DA51B9">
        <w:rPr>
          <w:lang w:val="en-US"/>
        </w:rPr>
        <w:t>opaminergic agents, dopamine agonist</w:t>
      </w:r>
      <w:r>
        <w:rPr>
          <w:lang w:val="en-US"/>
        </w:rPr>
        <w:t>, ATC</w:t>
      </w:r>
      <w:r w:rsidR="00A80850">
        <w:rPr>
          <w:lang w:val="en-US"/>
        </w:rPr>
        <w:t>-</w:t>
      </w:r>
      <w:r>
        <w:rPr>
          <w:lang w:val="en-US"/>
        </w:rPr>
        <w:t>code: N04BC04.</w:t>
      </w:r>
    </w:p>
    <w:p w14:paraId="48390F62" w14:textId="46D01752" w:rsidR="00A80850" w:rsidRDefault="00A80850">
      <w:pPr>
        <w:rPr>
          <w:sz w:val="24"/>
          <w:szCs w:val="24"/>
          <w:lang w:val="en-US"/>
        </w:rPr>
      </w:pPr>
      <w:r>
        <w:rPr>
          <w:sz w:val="24"/>
          <w:szCs w:val="24"/>
          <w:lang w:val="en-US"/>
        </w:rPr>
        <w:br w:type="page"/>
      </w:r>
    </w:p>
    <w:p w14:paraId="381B7796" w14:textId="77777777" w:rsidR="007C5D2A" w:rsidRPr="009F2E71" w:rsidRDefault="007C5D2A" w:rsidP="00A85D26">
      <w:pPr>
        <w:tabs>
          <w:tab w:val="left" w:pos="851"/>
        </w:tabs>
        <w:ind w:left="851"/>
        <w:rPr>
          <w:sz w:val="24"/>
          <w:szCs w:val="24"/>
          <w:lang w:val="en-US"/>
        </w:rPr>
      </w:pPr>
    </w:p>
    <w:p w14:paraId="658869B8" w14:textId="77777777" w:rsidR="00DA51B9" w:rsidRPr="00DA51B9" w:rsidRDefault="00DA51B9" w:rsidP="00DA51B9">
      <w:pPr>
        <w:tabs>
          <w:tab w:val="left" w:pos="851"/>
        </w:tabs>
        <w:ind w:left="851"/>
        <w:rPr>
          <w:sz w:val="24"/>
          <w:szCs w:val="24"/>
          <w:lang w:val="en-US"/>
        </w:rPr>
      </w:pPr>
      <w:r w:rsidRPr="00DA51B9">
        <w:rPr>
          <w:sz w:val="24"/>
          <w:szCs w:val="24"/>
          <w:u w:val="single"/>
          <w:lang w:val="en-US"/>
        </w:rPr>
        <w:t>Mechanism of action</w:t>
      </w:r>
    </w:p>
    <w:p w14:paraId="3D4CB640"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Ropinirole is a </w:t>
      </w:r>
      <w:proofErr w:type="spellStart"/>
      <w:r w:rsidRPr="00DA51B9">
        <w:rPr>
          <w:sz w:val="24"/>
          <w:szCs w:val="24"/>
          <w:lang w:val="en-US"/>
        </w:rPr>
        <w:t>non ergoline</w:t>
      </w:r>
      <w:proofErr w:type="spellEnd"/>
      <w:r w:rsidRPr="00DA51B9">
        <w:rPr>
          <w:sz w:val="24"/>
          <w:szCs w:val="24"/>
          <w:lang w:val="en-US"/>
        </w:rPr>
        <w:t xml:space="preserve"> D2/D3 dopamine agonist which stimulates striatal dopamine receptors.</w:t>
      </w:r>
    </w:p>
    <w:p w14:paraId="42F87923" w14:textId="77777777" w:rsidR="00DA51B9" w:rsidRPr="00DA51B9" w:rsidRDefault="00DA51B9" w:rsidP="00DA51B9">
      <w:pPr>
        <w:tabs>
          <w:tab w:val="left" w:pos="851"/>
        </w:tabs>
        <w:ind w:left="851"/>
        <w:rPr>
          <w:sz w:val="24"/>
          <w:szCs w:val="24"/>
          <w:lang w:val="en-US"/>
        </w:rPr>
      </w:pPr>
    </w:p>
    <w:p w14:paraId="514BFCEB"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Ropinirole alleviates the dopamine deficiency which </w:t>
      </w:r>
      <w:proofErr w:type="spellStart"/>
      <w:r w:rsidRPr="00DA51B9">
        <w:rPr>
          <w:sz w:val="24"/>
          <w:szCs w:val="24"/>
          <w:lang w:val="en-US"/>
        </w:rPr>
        <w:t>characterises</w:t>
      </w:r>
      <w:proofErr w:type="spellEnd"/>
      <w:r w:rsidRPr="00DA51B9">
        <w:rPr>
          <w:sz w:val="24"/>
          <w:szCs w:val="24"/>
          <w:lang w:val="en-US"/>
        </w:rPr>
        <w:t xml:space="preserve"> Parkinson’s disease by stimulating striatal dopamine receptors.</w:t>
      </w:r>
    </w:p>
    <w:p w14:paraId="6B32AEF7" w14:textId="77777777" w:rsidR="00DA51B9" w:rsidRPr="00DA51B9" w:rsidRDefault="00DA51B9" w:rsidP="00DA51B9">
      <w:pPr>
        <w:tabs>
          <w:tab w:val="left" w:pos="851"/>
        </w:tabs>
        <w:ind w:left="851"/>
        <w:rPr>
          <w:sz w:val="24"/>
          <w:szCs w:val="24"/>
          <w:lang w:val="en-US"/>
        </w:rPr>
      </w:pPr>
    </w:p>
    <w:p w14:paraId="126F33A4" w14:textId="77777777" w:rsidR="00DA51B9" w:rsidRPr="00DA51B9" w:rsidRDefault="00DA51B9" w:rsidP="00DA51B9">
      <w:pPr>
        <w:tabs>
          <w:tab w:val="left" w:pos="851"/>
        </w:tabs>
        <w:ind w:left="851"/>
        <w:rPr>
          <w:sz w:val="24"/>
          <w:szCs w:val="24"/>
          <w:lang w:val="en-US"/>
        </w:rPr>
      </w:pPr>
      <w:r w:rsidRPr="00DA51B9">
        <w:rPr>
          <w:sz w:val="24"/>
          <w:szCs w:val="24"/>
          <w:lang w:val="en-US"/>
        </w:rPr>
        <w:t>Ropinirole acts in the hypothalamus and pituitary to inhibit the secretion of prolactin.</w:t>
      </w:r>
    </w:p>
    <w:p w14:paraId="4F1CE26F" w14:textId="77777777" w:rsidR="00DA51B9" w:rsidRPr="00DA51B9" w:rsidRDefault="00DA51B9" w:rsidP="00DA51B9">
      <w:pPr>
        <w:tabs>
          <w:tab w:val="left" w:pos="851"/>
        </w:tabs>
        <w:ind w:left="851"/>
        <w:rPr>
          <w:sz w:val="24"/>
          <w:szCs w:val="24"/>
          <w:lang w:val="en-US"/>
        </w:rPr>
      </w:pPr>
    </w:p>
    <w:p w14:paraId="22279D95"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Clinical efficacy</w:t>
      </w:r>
    </w:p>
    <w:p w14:paraId="64D52E20" w14:textId="77777777" w:rsidR="00DA51B9" w:rsidRPr="00DA51B9" w:rsidRDefault="00DA51B9" w:rsidP="00DA51B9">
      <w:pPr>
        <w:tabs>
          <w:tab w:val="left" w:pos="851"/>
        </w:tabs>
        <w:ind w:left="851"/>
        <w:rPr>
          <w:sz w:val="24"/>
          <w:szCs w:val="24"/>
          <w:lang w:val="en-US"/>
        </w:rPr>
      </w:pPr>
      <w:r w:rsidRPr="00DA51B9">
        <w:rPr>
          <w:sz w:val="24"/>
          <w:szCs w:val="24"/>
          <w:lang w:val="en-US"/>
        </w:rPr>
        <w:t>A 36</w:t>
      </w:r>
      <w:r w:rsidRPr="00DA51B9">
        <w:rPr>
          <w:sz w:val="24"/>
          <w:szCs w:val="24"/>
          <w:lang w:val="en-US"/>
        </w:rPr>
        <w:noBreakHyphen/>
        <w:t>week, double</w:t>
      </w:r>
      <w:r w:rsidRPr="00DA51B9">
        <w:rPr>
          <w:sz w:val="24"/>
          <w:szCs w:val="24"/>
          <w:lang w:val="en-US"/>
        </w:rPr>
        <w:noBreakHyphen/>
        <w:t>blind, three-period crossover study, in monotherapy, conducted in 161 patients with early phase Parkinson’s disease demonstrated that ropinirole prolonged-release tablets were noninferior to ropinirole film-coated (immediate-release) tablets on the primary endpoint, the treatment difference in change from baseline in the Unified Parkinson’s Disease Rating Scale (UPDRS) motor score (a 3</w:t>
      </w:r>
      <w:r w:rsidRPr="00DA51B9">
        <w:rPr>
          <w:sz w:val="24"/>
          <w:szCs w:val="24"/>
          <w:lang w:val="en-US"/>
        </w:rPr>
        <w:noBreakHyphen/>
        <w:t>point non</w:t>
      </w:r>
      <w:r w:rsidRPr="00DA51B9">
        <w:rPr>
          <w:sz w:val="24"/>
          <w:szCs w:val="24"/>
          <w:lang w:val="en-US"/>
        </w:rPr>
        <w:noBreakHyphen/>
        <w:t>inferiority margin on the UPDRS motor score was defined). The adjusted mean difference between ropinirole prolonged-release tablets and ropinirole film-coated (immediate-release) tablets at study endpoint was -0.7 points (95 % CI: [-1.51, 0.10], p = 0.0842).</w:t>
      </w:r>
    </w:p>
    <w:p w14:paraId="61576906" w14:textId="77777777" w:rsidR="00DA51B9" w:rsidRPr="00DA51B9" w:rsidRDefault="00DA51B9" w:rsidP="00DA51B9">
      <w:pPr>
        <w:tabs>
          <w:tab w:val="left" w:pos="851"/>
        </w:tabs>
        <w:ind w:left="851"/>
        <w:rPr>
          <w:sz w:val="24"/>
          <w:szCs w:val="24"/>
          <w:lang w:val="en-US"/>
        </w:rPr>
      </w:pPr>
    </w:p>
    <w:p w14:paraId="7164FE7E"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Following the overnight switch to a similar dose of the alternative tablet formulation, there was no difference in the adverse event profile and less than 3 % of patients required a dose adjustment (all dose adjustments were increases by one dose level. No patients required a dose decrease). </w:t>
      </w:r>
    </w:p>
    <w:p w14:paraId="4A841684" w14:textId="77777777" w:rsidR="00DA51B9" w:rsidRPr="00DA51B9" w:rsidRDefault="00DA51B9" w:rsidP="00DA51B9">
      <w:pPr>
        <w:tabs>
          <w:tab w:val="left" w:pos="851"/>
        </w:tabs>
        <w:ind w:left="851"/>
        <w:rPr>
          <w:sz w:val="24"/>
          <w:szCs w:val="24"/>
          <w:lang w:val="en-US"/>
        </w:rPr>
      </w:pPr>
    </w:p>
    <w:p w14:paraId="4860B1C6" w14:textId="77777777" w:rsidR="00DA51B9" w:rsidRPr="00DA51B9" w:rsidRDefault="00DA51B9" w:rsidP="00DA51B9">
      <w:pPr>
        <w:tabs>
          <w:tab w:val="left" w:pos="851"/>
        </w:tabs>
        <w:ind w:left="851"/>
        <w:rPr>
          <w:sz w:val="24"/>
          <w:szCs w:val="24"/>
          <w:lang w:val="en-US"/>
        </w:rPr>
      </w:pPr>
      <w:r w:rsidRPr="00DA51B9">
        <w:rPr>
          <w:sz w:val="24"/>
          <w:szCs w:val="24"/>
          <w:lang w:val="en-US"/>
        </w:rPr>
        <w:t>A 24</w:t>
      </w:r>
      <w:r w:rsidRPr="00DA51B9">
        <w:rPr>
          <w:sz w:val="24"/>
          <w:szCs w:val="24"/>
          <w:lang w:val="en-US"/>
        </w:rPr>
        <w:noBreakHyphen/>
        <w:t>week, double</w:t>
      </w:r>
      <w:r w:rsidRPr="00DA51B9">
        <w:rPr>
          <w:sz w:val="24"/>
          <w:szCs w:val="24"/>
          <w:lang w:val="en-US"/>
        </w:rPr>
        <w:noBreakHyphen/>
        <w:t>blind, placebo-controlled, parallel group study of ropinirole prolonged-release tablets in patients with Parkinson’s disease who were not optimally controlled on levodopa demonstrated a clinically relevant and statistically significant superiority over placebo on the primary endpoint, change from baseline in awake time “off” (adjusted mean treatment difference -1.7 hours (95 % CI: [-2.34, -1.09], p&lt; 0.0001). This was supported by secondary efficacy parameters of change from baseline in total awake time “on” (+1.7 hours (95 % CI: [1.06, 2.33], p&lt; 0.0001) and total awake time “on” without troublesome dyskinesias (+1.5 hours (95 % CI: [0.85, 2.13], p&lt; 0.0001). Importantly, there was no indication of an increase from baseline in awake time “on” with troublesome dyskinesias, either from diary card data or from the UPDRS items.</w:t>
      </w:r>
    </w:p>
    <w:p w14:paraId="4090E161" w14:textId="77777777" w:rsidR="00DA51B9" w:rsidRPr="00DA51B9" w:rsidRDefault="00DA51B9" w:rsidP="00DA51B9">
      <w:pPr>
        <w:tabs>
          <w:tab w:val="left" w:pos="851"/>
        </w:tabs>
        <w:ind w:left="851"/>
        <w:rPr>
          <w:sz w:val="24"/>
          <w:szCs w:val="24"/>
          <w:lang w:val="en-US"/>
        </w:rPr>
      </w:pPr>
    </w:p>
    <w:p w14:paraId="11232806"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 xml:space="preserve">Study of the effect of ropinirole on cardiac </w:t>
      </w:r>
      <w:proofErr w:type="spellStart"/>
      <w:r w:rsidRPr="00DA51B9">
        <w:rPr>
          <w:sz w:val="24"/>
          <w:szCs w:val="24"/>
          <w:u w:val="single"/>
          <w:lang w:val="en-US"/>
        </w:rPr>
        <w:t>repolarisation</w:t>
      </w:r>
      <w:proofErr w:type="spellEnd"/>
    </w:p>
    <w:p w14:paraId="0CC3233B"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A thorough QT study conducted in male and female healthy volunteers who received doses of 0.5, 1, 2 and 4 mg of ropinirole film-coated (immediate release) tablets once daily showed a maximum increase of the QT interval duration at the 1 mg dose of 3.46 milliseconds (point estimate) as compared to placebo. The upper bound of the one sided 95 % confidence interval for the largest mean effect was less than 7.5 milliseconds. The effect of ropinirole at higher doses has not been systematically evaluated. </w:t>
      </w:r>
    </w:p>
    <w:p w14:paraId="352B58FD" w14:textId="77777777" w:rsidR="00DA51B9" w:rsidRPr="00DA51B9" w:rsidRDefault="00DA51B9" w:rsidP="00DA51B9">
      <w:pPr>
        <w:tabs>
          <w:tab w:val="left" w:pos="851"/>
        </w:tabs>
        <w:ind w:left="851"/>
        <w:rPr>
          <w:sz w:val="24"/>
          <w:szCs w:val="24"/>
          <w:lang w:val="en-US"/>
        </w:rPr>
      </w:pPr>
    </w:p>
    <w:p w14:paraId="5B01B17C" w14:textId="77777777" w:rsidR="00DA51B9" w:rsidRPr="00DA51B9" w:rsidRDefault="00DA51B9" w:rsidP="00DA51B9">
      <w:pPr>
        <w:tabs>
          <w:tab w:val="left" w:pos="851"/>
        </w:tabs>
        <w:ind w:left="851"/>
        <w:rPr>
          <w:sz w:val="24"/>
          <w:szCs w:val="24"/>
          <w:lang w:val="en-US"/>
        </w:rPr>
      </w:pPr>
      <w:r w:rsidRPr="00DA51B9">
        <w:rPr>
          <w:sz w:val="24"/>
          <w:szCs w:val="24"/>
          <w:lang w:val="en-US"/>
        </w:rPr>
        <w:t>The available clinical data from a thorough QT study do not indicate a risk of QT prolongation at doses of ropinirole up to 4 mg/day. A risk of QT prolongation cannot be excluded as a thorough QT study at doses up to 24 mg/day has not been conducted.</w:t>
      </w:r>
    </w:p>
    <w:p w14:paraId="501010F8" w14:textId="1E5209B0" w:rsidR="00A80850" w:rsidRDefault="00A80850">
      <w:pPr>
        <w:rPr>
          <w:sz w:val="24"/>
          <w:szCs w:val="24"/>
          <w:lang w:val="en-GB"/>
        </w:rPr>
      </w:pPr>
      <w:r>
        <w:rPr>
          <w:sz w:val="24"/>
          <w:szCs w:val="24"/>
          <w:lang w:val="en-GB"/>
        </w:rPr>
        <w:br w:type="page"/>
      </w:r>
    </w:p>
    <w:p w14:paraId="4C4A6274" w14:textId="77777777" w:rsidR="007C5D2A" w:rsidRPr="00303008" w:rsidRDefault="007C5D2A" w:rsidP="003E0341">
      <w:pPr>
        <w:tabs>
          <w:tab w:val="left" w:pos="851"/>
        </w:tabs>
        <w:ind w:left="851"/>
        <w:rPr>
          <w:sz w:val="24"/>
          <w:szCs w:val="24"/>
          <w:lang w:val="en-GB"/>
        </w:rPr>
      </w:pPr>
    </w:p>
    <w:p w14:paraId="1367E94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3AFAF304" w14:textId="77777777" w:rsidR="009F2E71" w:rsidRDefault="009F2E71" w:rsidP="00DA51B9">
      <w:pPr>
        <w:tabs>
          <w:tab w:val="left" w:pos="851"/>
        </w:tabs>
        <w:ind w:left="851"/>
        <w:rPr>
          <w:bCs/>
          <w:sz w:val="24"/>
          <w:szCs w:val="24"/>
          <w:u w:val="single"/>
          <w:lang w:val="en-US"/>
        </w:rPr>
      </w:pPr>
    </w:p>
    <w:p w14:paraId="42020AA1" w14:textId="3B760DC4" w:rsidR="00DA51B9" w:rsidRPr="00DA51B9" w:rsidRDefault="00DA51B9" w:rsidP="00DA51B9">
      <w:pPr>
        <w:tabs>
          <w:tab w:val="left" w:pos="851"/>
        </w:tabs>
        <w:ind w:left="851"/>
        <w:rPr>
          <w:bCs/>
          <w:sz w:val="24"/>
          <w:szCs w:val="24"/>
          <w:u w:val="single"/>
          <w:lang w:val="en-US"/>
        </w:rPr>
      </w:pPr>
      <w:r w:rsidRPr="00DA51B9">
        <w:rPr>
          <w:bCs/>
          <w:sz w:val="24"/>
          <w:szCs w:val="24"/>
          <w:u w:val="single"/>
          <w:lang w:val="en-US"/>
        </w:rPr>
        <w:t>Absorption</w:t>
      </w:r>
    </w:p>
    <w:p w14:paraId="635EA2D8" w14:textId="77777777" w:rsidR="00DA51B9" w:rsidRPr="00DA51B9" w:rsidRDefault="00DA51B9" w:rsidP="00DA51B9">
      <w:pPr>
        <w:tabs>
          <w:tab w:val="left" w:pos="851"/>
        </w:tabs>
        <w:ind w:left="851"/>
        <w:rPr>
          <w:sz w:val="24"/>
          <w:szCs w:val="24"/>
          <w:lang w:val="en-US"/>
        </w:rPr>
      </w:pPr>
      <w:r w:rsidRPr="00DA51B9">
        <w:rPr>
          <w:sz w:val="24"/>
          <w:szCs w:val="24"/>
          <w:lang w:val="en-US"/>
        </w:rPr>
        <w:t>Bioavailability of ropinirole is approximately 50 % (36</w:t>
      </w:r>
      <w:r w:rsidRPr="00DA51B9">
        <w:rPr>
          <w:sz w:val="24"/>
          <w:szCs w:val="24"/>
          <w:lang w:val="en-US"/>
        </w:rPr>
        <w:noBreakHyphen/>
        <w:t xml:space="preserve">57 %). Following oral administration of ropinirole prolonged-release tablets plasma concentrations increase slowly, with a median time to </w:t>
      </w:r>
      <w:proofErr w:type="spellStart"/>
      <w:r w:rsidRPr="00DA51B9">
        <w:rPr>
          <w:sz w:val="24"/>
          <w:szCs w:val="24"/>
          <w:lang w:val="en-US"/>
        </w:rPr>
        <w:t>C</w:t>
      </w:r>
      <w:r w:rsidRPr="00DA51B9">
        <w:rPr>
          <w:sz w:val="24"/>
          <w:szCs w:val="24"/>
          <w:vertAlign w:val="subscript"/>
          <w:lang w:val="en-US"/>
        </w:rPr>
        <w:t>max</w:t>
      </w:r>
      <w:proofErr w:type="spellEnd"/>
      <w:r w:rsidRPr="00DA51B9">
        <w:rPr>
          <w:sz w:val="24"/>
          <w:szCs w:val="24"/>
          <w:lang w:val="en-US"/>
        </w:rPr>
        <w:t xml:space="preserve"> generally achieved between 6 and 10 hours. </w:t>
      </w:r>
    </w:p>
    <w:p w14:paraId="409A28F0" w14:textId="77777777" w:rsidR="00DA51B9" w:rsidRPr="00DA51B9" w:rsidRDefault="00DA51B9" w:rsidP="00DA51B9">
      <w:pPr>
        <w:tabs>
          <w:tab w:val="left" w:pos="851"/>
        </w:tabs>
        <w:ind w:left="851"/>
        <w:rPr>
          <w:sz w:val="24"/>
          <w:szCs w:val="24"/>
          <w:lang w:val="en-US"/>
        </w:rPr>
      </w:pPr>
    </w:p>
    <w:p w14:paraId="75214B50"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In a steady-state study in 25 Parkinson’s disease patients receiving 12 mg of ropinirole prolonged release tablets once daily, a high fat meal increased the systemic exposure to ropinirole as shown by an average 20 % increase in AUC and an average 44 % increase in </w:t>
      </w:r>
      <w:proofErr w:type="spellStart"/>
      <w:r w:rsidRPr="00DA51B9">
        <w:rPr>
          <w:sz w:val="24"/>
          <w:szCs w:val="24"/>
          <w:lang w:val="en-US"/>
        </w:rPr>
        <w:t>C</w:t>
      </w:r>
      <w:r w:rsidRPr="00DA51B9">
        <w:rPr>
          <w:sz w:val="24"/>
          <w:szCs w:val="24"/>
          <w:vertAlign w:val="subscript"/>
          <w:lang w:val="en-US"/>
        </w:rPr>
        <w:t>max</w:t>
      </w:r>
      <w:proofErr w:type="spellEnd"/>
      <w:r w:rsidRPr="00DA51B9">
        <w:rPr>
          <w:sz w:val="24"/>
          <w:szCs w:val="24"/>
          <w:lang w:val="en-US"/>
        </w:rPr>
        <w:t xml:space="preserve">. </w:t>
      </w:r>
      <w:proofErr w:type="spellStart"/>
      <w:r w:rsidRPr="00DA51B9">
        <w:rPr>
          <w:sz w:val="24"/>
          <w:szCs w:val="24"/>
          <w:lang w:val="en-US"/>
        </w:rPr>
        <w:t>T</w:t>
      </w:r>
      <w:r w:rsidRPr="00DA51B9">
        <w:rPr>
          <w:sz w:val="24"/>
          <w:szCs w:val="24"/>
          <w:vertAlign w:val="subscript"/>
          <w:lang w:val="en-US"/>
        </w:rPr>
        <w:t>max</w:t>
      </w:r>
      <w:proofErr w:type="spellEnd"/>
      <w:r w:rsidRPr="00DA51B9">
        <w:rPr>
          <w:sz w:val="24"/>
          <w:szCs w:val="24"/>
          <w:lang w:val="en-US"/>
        </w:rPr>
        <w:t xml:space="preserve"> was delayed by 3.0 hours. However, these changes are unlikely to be clinically relevant (e.g. increased incidence of adverse events).</w:t>
      </w:r>
    </w:p>
    <w:p w14:paraId="19532AE2" w14:textId="77777777" w:rsidR="00DA51B9" w:rsidRPr="00DA51B9" w:rsidRDefault="00DA51B9" w:rsidP="00DA51B9">
      <w:pPr>
        <w:tabs>
          <w:tab w:val="left" w:pos="851"/>
        </w:tabs>
        <w:ind w:left="851"/>
        <w:rPr>
          <w:sz w:val="24"/>
          <w:szCs w:val="24"/>
          <w:lang w:val="en-US"/>
        </w:rPr>
      </w:pPr>
    </w:p>
    <w:p w14:paraId="26A0EC75"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The systemic exposure to ropinirole is comparable for ropinirole prolonged-release tablets and ropinirole film-coated (immediate-release) tablets based on the same daily dose. </w:t>
      </w:r>
    </w:p>
    <w:p w14:paraId="069BFB81" w14:textId="77777777" w:rsidR="00DA51B9" w:rsidRPr="00DA51B9" w:rsidRDefault="00DA51B9" w:rsidP="00DA51B9">
      <w:pPr>
        <w:tabs>
          <w:tab w:val="left" w:pos="851"/>
        </w:tabs>
        <w:ind w:left="851"/>
        <w:rPr>
          <w:sz w:val="24"/>
          <w:szCs w:val="24"/>
          <w:lang w:val="en-US"/>
        </w:rPr>
      </w:pPr>
    </w:p>
    <w:p w14:paraId="290C43C7" w14:textId="77777777" w:rsidR="00DA51B9" w:rsidRPr="00DA51B9" w:rsidRDefault="00DA51B9" w:rsidP="00DA51B9">
      <w:pPr>
        <w:tabs>
          <w:tab w:val="left" w:pos="851"/>
        </w:tabs>
        <w:ind w:left="851"/>
        <w:rPr>
          <w:bCs/>
          <w:sz w:val="24"/>
          <w:szCs w:val="24"/>
          <w:u w:val="single"/>
          <w:lang w:val="en-US"/>
        </w:rPr>
      </w:pPr>
      <w:r w:rsidRPr="00DA51B9">
        <w:rPr>
          <w:bCs/>
          <w:sz w:val="24"/>
          <w:szCs w:val="24"/>
          <w:u w:val="single"/>
          <w:lang w:val="en-US"/>
        </w:rPr>
        <w:t>Distribution</w:t>
      </w:r>
    </w:p>
    <w:p w14:paraId="569100CF" w14:textId="77777777" w:rsidR="00DA51B9" w:rsidRPr="00DA51B9" w:rsidRDefault="00DA51B9" w:rsidP="00DA51B9">
      <w:pPr>
        <w:tabs>
          <w:tab w:val="left" w:pos="851"/>
        </w:tabs>
        <w:ind w:left="851"/>
        <w:rPr>
          <w:sz w:val="24"/>
          <w:szCs w:val="24"/>
          <w:lang w:val="en-US"/>
        </w:rPr>
      </w:pPr>
      <w:r w:rsidRPr="00DA51B9">
        <w:rPr>
          <w:sz w:val="24"/>
          <w:szCs w:val="24"/>
          <w:lang w:val="en-US"/>
        </w:rPr>
        <w:t>Plasma protein binding of ropinirole is low (10–40 %). Consistent with its high lipophilicity, ropinirole exhibits a large volume of distribution (approx. 7 l/kg).</w:t>
      </w:r>
    </w:p>
    <w:p w14:paraId="13D8E509" w14:textId="77777777" w:rsidR="00DA51B9" w:rsidRPr="00DA51B9" w:rsidRDefault="00DA51B9" w:rsidP="00DA51B9">
      <w:pPr>
        <w:tabs>
          <w:tab w:val="left" w:pos="851"/>
        </w:tabs>
        <w:ind w:left="851"/>
        <w:rPr>
          <w:sz w:val="24"/>
          <w:szCs w:val="24"/>
          <w:lang w:val="en-US"/>
        </w:rPr>
      </w:pPr>
    </w:p>
    <w:p w14:paraId="02D749F6" w14:textId="77777777" w:rsidR="00DA51B9" w:rsidRPr="00DA51B9" w:rsidRDefault="00DA51B9" w:rsidP="00DA51B9">
      <w:pPr>
        <w:tabs>
          <w:tab w:val="left" w:pos="851"/>
        </w:tabs>
        <w:ind w:left="851"/>
        <w:rPr>
          <w:bCs/>
          <w:sz w:val="24"/>
          <w:szCs w:val="24"/>
          <w:u w:val="single"/>
          <w:lang w:val="en-US"/>
        </w:rPr>
      </w:pPr>
      <w:r w:rsidRPr="00DA51B9">
        <w:rPr>
          <w:bCs/>
          <w:sz w:val="24"/>
          <w:szCs w:val="24"/>
          <w:u w:val="single"/>
          <w:lang w:val="en-US"/>
        </w:rPr>
        <w:t>Biotransformation</w:t>
      </w:r>
    </w:p>
    <w:p w14:paraId="183D24FB" w14:textId="77777777" w:rsidR="00DA51B9" w:rsidRPr="00DA51B9" w:rsidRDefault="00DA51B9" w:rsidP="00DA51B9">
      <w:pPr>
        <w:tabs>
          <w:tab w:val="left" w:pos="851"/>
        </w:tabs>
        <w:ind w:left="851"/>
        <w:rPr>
          <w:sz w:val="24"/>
          <w:szCs w:val="24"/>
          <w:lang w:val="en-US"/>
        </w:rPr>
      </w:pPr>
      <w:r w:rsidRPr="00DA51B9">
        <w:rPr>
          <w:sz w:val="24"/>
          <w:szCs w:val="24"/>
          <w:lang w:val="en-US"/>
        </w:rPr>
        <w:t>Ropinirole is primarily cleared by CYP1A2 metabolism and its metabolites are mainly excreted in the urine. The major metabolite is at least 100</w:t>
      </w:r>
      <w:r w:rsidRPr="00DA51B9">
        <w:rPr>
          <w:sz w:val="24"/>
          <w:szCs w:val="24"/>
          <w:lang w:val="en-US"/>
        </w:rPr>
        <w:noBreakHyphen/>
        <w:t>times less potent than ropinirole in animal models of dopaminergic function.</w:t>
      </w:r>
    </w:p>
    <w:p w14:paraId="7CC07704" w14:textId="77777777" w:rsidR="00DA51B9" w:rsidRPr="00DA51B9" w:rsidRDefault="00DA51B9" w:rsidP="00DA51B9">
      <w:pPr>
        <w:tabs>
          <w:tab w:val="left" w:pos="851"/>
        </w:tabs>
        <w:ind w:left="851"/>
        <w:rPr>
          <w:sz w:val="24"/>
          <w:szCs w:val="24"/>
          <w:lang w:val="en-US"/>
        </w:rPr>
      </w:pPr>
    </w:p>
    <w:p w14:paraId="7EA2D062" w14:textId="77777777" w:rsidR="00DA51B9" w:rsidRPr="00DA51B9" w:rsidRDefault="00DA51B9" w:rsidP="00DA51B9">
      <w:pPr>
        <w:tabs>
          <w:tab w:val="left" w:pos="851"/>
        </w:tabs>
        <w:ind w:left="851"/>
        <w:rPr>
          <w:bCs/>
          <w:sz w:val="24"/>
          <w:szCs w:val="24"/>
          <w:u w:val="single"/>
          <w:lang w:val="en-US"/>
        </w:rPr>
      </w:pPr>
      <w:r w:rsidRPr="00DA51B9">
        <w:rPr>
          <w:bCs/>
          <w:sz w:val="24"/>
          <w:szCs w:val="24"/>
          <w:u w:val="single"/>
          <w:lang w:val="en-US"/>
        </w:rPr>
        <w:t>Elimination</w:t>
      </w:r>
    </w:p>
    <w:p w14:paraId="47212A39" w14:textId="77777777" w:rsidR="00DA51B9" w:rsidRPr="00DA51B9" w:rsidRDefault="00DA51B9" w:rsidP="00DA51B9">
      <w:pPr>
        <w:tabs>
          <w:tab w:val="left" w:pos="851"/>
        </w:tabs>
        <w:ind w:left="851"/>
        <w:rPr>
          <w:sz w:val="24"/>
          <w:szCs w:val="24"/>
          <w:lang w:val="en-US"/>
        </w:rPr>
      </w:pPr>
      <w:r w:rsidRPr="00DA51B9">
        <w:rPr>
          <w:sz w:val="24"/>
          <w:szCs w:val="24"/>
          <w:lang w:val="en-US"/>
        </w:rPr>
        <w:t>Ropinirole is cleared from the systemic circulation with an average elimination half</w:t>
      </w:r>
      <w:r w:rsidRPr="00DA51B9">
        <w:rPr>
          <w:sz w:val="24"/>
          <w:szCs w:val="24"/>
          <w:lang w:val="en-US"/>
        </w:rPr>
        <w:noBreakHyphen/>
        <w:t>life of about 6 hours. The increase in systemic exposure (</w:t>
      </w:r>
      <w:proofErr w:type="spellStart"/>
      <w:r w:rsidRPr="00DA51B9">
        <w:rPr>
          <w:sz w:val="24"/>
          <w:szCs w:val="24"/>
          <w:lang w:val="en-US"/>
        </w:rPr>
        <w:t>C</w:t>
      </w:r>
      <w:r w:rsidRPr="00DA51B9">
        <w:rPr>
          <w:sz w:val="24"/>
          <w:szCs w:val="24"/>
          <w:vertAlign w:val="subscript"/>
          <w:lang w:val="en-US"/>
        </w:rPr>
        <w:t>max</w:t>
      </w:r>
      <w:proofErr w:type="spellEnd"/>
      <w:r w:rsidRPr="00DA51B9">
        <w:rPr>
          <w:sz w:val="24"/>
          <w:szCs w:val="24"/>
          <w:lang w:val="en-US"/>
        </w:rPr>
        <w:t xml:space="preserve"> and AUC) to ropinirole is approximately proportional over the therapeutic dose range. No change in the oral clearance of ropinirole is observed following single and repeated oral administration. Wide inter-individual variability in the pharmacokinetic parameters has been observed. Following steady-state administration of ropinirole prolonged-release tablets, the inter-individual variability for </w:t>
      </w:r>
      <w:proofErr w:type="spellStart"/>
      <w:r w:rsidRPr="00DA51B9">
        <w:rPr>
          <w:sz w:val="24"/>
          <w:szCs w:val="24"/>
          <w:lang w:val="en-US"/>
        </w:rPr>
        <w:t>C</w:t>
      </w:r>
      <w:r w:rsidRPr="00DA51B9">
        <w:rPr>
          <w:sz w:val="24"/>
          <w:szCs w:val="24"/>
          <w:vertAlign w:val="subscript"/>
          <w:lang w:val="en-US"/>
        </w:rPr>
        <w:t>max</w:t>
      </w:r>
      <w:proofErr w:type="spellEnd"/>
      <w:r w:rsidRPr="00DA51B9">
        <w:rPr>
          <w:sz w:val="24"/>
          <w:szCs w:val="24"/>
          <w:lang w:val="en-US"/>
        </w:rPr>
        <w:t xml:space="preserve"> was between 30 % and 55 % and for AUC was between 40 % and 70 %.</w:t>
      </w:r>
    </w:p>
    <w:p w14:paraId="5E5DB8D4" w14:textId="77777777" w:rsidR="00DA51B9" w:rsidRPr="009F2E71" w:rsidRDefault="00DA51B9" w:rsidP="00DA51B9">
      <w:pPr>
        <w:tabs>
          <w:tab w:val="left" w:pos="851"/>
        </w:tabs>
        <w:ind w:left="851"/>
        <w:rPr>
          <w:sz w:val="24"/>
          <w:szCs w:val="24"/>
          <w:lang w:val="en-US"/>
        </w:rPr>
      </w:pPr>
    </w:p>
    <w:p w14:paraId="4C887AFA" w14:textId="77777777" w:rsidR="00DA51B9" w:rsidRPr="00DA51B9" w:rsidRDefault="00DA51B9" w:rsidP="00DA51B9">
      <w:pPr>
        <w:tabs>
          <w:tab w:val="left" w:pos="851"/>
        </w:tabs>
        <w:ind w:left="851"/>
        <w:rPr>
          <w:bCs/>
          <w:sz w:val="24"/>
          <w:szCs w:val="24"/>
          <w:u w:val="single"/>
          <w:lang w:val="en-US"/>
        </w:rPr>
      </w:pPr>
      <w:r w:rsidRPr="00DA51B9">
        <w:rPr>
          <w:bCs/>
          <w:sz w:val="24"/>
          <w:szCs w:val="24"/>
          <w:u w:val="single"/>
          <w:lang w:val="en-US"/>
        </w:rPr>
        <w:t>Renal impairment</w:t>
      </w:r>
    </w:p>
    <w:p w14:paraId="2AE29A1E" w14:textId="77777777" w:rsidR="00DA51B9" w:rsidRPr="00DA51B9" w:rsidRDefault="00DA51B9" w:rsidP="00DA51B9">
      <w:pPr>
        <w:tabs>
          <w:tab w:val="left" w:pos="851"/>
        </w:tabs>
        <w:ind w:left="851"/>
        <w:rPr>
          <w:bCs/>
          <w:sz w:val="24"/>
          <w:szCs w:val="24"/>
          <w:lang w:val="en-US"/>
        </w:rPr>
      </w:pPr>
      <w:r w:rsidRPr="00DA51B9">
        <w:rPr>
          <w:bCs/>
          <w:sz w:val="24"/>
          <w:szCs w:val="24"/>
          <w:lang w:val="en-US"/>
        </w:rPr>
        <w:t>There was no change observed in the pharmacokinetics of ropinirole in Parkinson’s disease patients with mild to moderate renal impairment.</w:t>
      </w:r>
    </w:p>
    <w:p w14:paraId="523F4DCF" w14:textId="77777777" w:rsidR="00DA51B9" w:rsidRPr="00DA51B9" w:rsidRDefault="00DA51B9" w:rsidP="00DA51B9">
      <w:pPr>
        <w:tabs>
          <w:tab w:val="left" w:pos="851"/>
        </w:tabs>
        <w:ind w:left="851"/>
        <w:rPr>
          <w:bCs/>
          <w:sz w:val="24"/>
          <w:szCs w:val="24"/>
          <w:lang w:val="en-US"/>
        </w:rPr>
      </w:pPr>
    </w:p>
    <w:p w14:paraId="6198E107" w14:textId="77777777" w:rsidR="00DA51B9" w:rsidRPr="00DA51B9" w:rsidRDefault="00DA51B9" w:rsidP="00DA51B9">
      <w:pPr>
        <w:tabs>
          <w:tab w:val="left" w:pos="851"/>
        </w:tabs>
        <w:ind w:left="851"/>
        <w:rPr>
          <w:bCs/>
          <w:sz w:val="24"/>
          <w:szCs w:val="24"/>
          <w:lang w:val="en-US"/>
        </w:rPr>
      </w:pPr>
      <w:r w:rsidRPr="00DA51B9">
        <w:rPr>
          <w:bCs/>
          <w:sz w:val="24"/>
          <w:szCs w:val="24"/>
          <w:lang w:val="en-US"/>
        </w:rPr>
        <w:t xml:space="preserve">In patients with end stage renal disease receiving regular </w:t>
      </w:r>
      <w:proofErr w:type="spellStart"/>
      <w:r w:rsidRPr="00DA51B9">
        <w:rPr>
          <w:bCs/>
          <w:sz w:val="24"/>
          <w:szCs w:val="24"/>
          <w:lang w:val="en-US"/>
        </w:rPr>
        <w:t>haemodialysis</w:t>
      </w:r>
      <w:proofErr w:type="spellEnd"/>
      <w:r w:rsidRPr="00DA51B9">
        <w:rPr>
          <w:bCs/>
          <w:sz w:val="24"/>
          <w:szCs w:val="24"/>
          <w:lang w:val="en-US"/>
        </w:rPr>
        <w:t>, oral clearance of ropinirole is reduced by approximately 30 %. Oral clearance of the metabolites SKF</w:t>
      </w:r>
      <w:r w:rsidRPr="00DA51B9">
        <w:rPr>
          <w:bCs/>
          <w:sz w:val="24"/>
          <w:szCs w:val="24"/>
          <w:lang w:val="en-US"/>
        </w:rPr>
        <w:noBreakHyphen/>
        <w:t>104557 and SKF</w:t>
      </w:r>
      <w:r w:rsidRPr="00DA51B9">
        <w:rPr>
          <w:bCs/>
          <w:sz w:val="24"/>
          <w:szCs w:val="24"/>
          <w:lang w:val="en-US"/>
        </w:rPr>
        <w:noBreakHyphen/>
        <w:t>89124 were also reduced by approximately 80 % and 60 %, respectively. Therefore, the recommended maximum dose is limited to 18 mg/day in these patients with Parkinson’s disease (see section 4.2).</w:t>
      </w:r>
    </w:p>
    <w:p w14:paraId="40FDB9C9" w14:textId="77777777" w:rsidR="00DA51B9" w:rsidRPr="009F2E71" w:rsidRDefault="00DA51B9" w:rsidP="00DA51B9">
      <w:pPr>
        <w:tabs>
          <w:tab w:val="left" w:pos="851"/>
        </w:tabs>
        <w:ind w:left="851"/>
        <w:rPr>
          <w:sz w:val="24"/>
          <w:szCs w:val="24"/>
          <w:lang w:val="en-US"/>
        </w:rPr>
      </w:pPr>
    </w:p>
    <w:p w14:paraId="60CD319A"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 xml:space="preserve">Pregnancy </w:t>
      </w:r>
    </w:p>
    <w:p w14:paraId="3AF4DC21" w14:textId="77777777" w:rsidR="00DA51B9" w:rsidRPr="00DA51B9" w:rsidRDefault="00DA51B9" w:rsidP="00DA51B9">
      <w:pPr>
        <w:tabs>
          <w:tab w:val="left" w:pos="851"/>
        </w:tabs>
        <w:ind w:left="851"/>
        <w:rPr>
          <w:sz w:val="24"/>
          <w:szCs w:val="24"/>
          <w:lang w:val="en-US"/>
        </w:rPr>
      </w:pPr>
      <w:r w:rsidRPr="00DA51B9">
        <w:rPr>
          <w:sz w:val="24"/>
          <w:szCs w:val="24"/>
          <w:lang w:val="en-US"/>
        </w:rPr>
        <w:t>Physiological changes in pregnancy (including decreased CYP1A2 activity) are predicted to gradually lead to an increased maternal systemic exposure of ropinirole (see section 4.6).</w:t>
      </w:r>
    </w:p>
    <w:p w14:paraId="4886495D" w14:textId="77777777" w:rsidR="007C5D2A" w:rsidRPr="00303008" w:rsidRDefault="007C5D2A" w:rsidP="003E0341">
      <w:pPr>
        <w:tabs>
          <w:tab w:val="left" w:pos="851"/>
        </w:tabs>
        <w:ind w:left="851"/>
        <w:rPr>
          <w:sz w:val="24"/>
          <w:szCs w:val="24"/>
          <w:lang w:val="en-GB"/>
        </w:rPr>
      </w:pPr>
    </w:p>
    <w:p w14:paraId="62B9610E"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50571717" w14:textId="77777777" w:rsidR="009F2E71" w:rsidRDefault="009F2E71" w:rsidP="00DA51B9">
      <w:pPr>
        <w:tabs>
          <w:tab w:val="left" w:pos="851"/>
        </w:tabs>
        <w:ind w:left="851"/>
        <w:rPr>
          <w:bCs/>
          <w:sz w:val="24"/>
          <w:szCs w:val="24"/>
          <w:u w:val="single"/>
          <w:lang w:val="en-US"/>
        </w:rPr>
      </w:pPr>
    </w:p>
    <w:p w14:paraId="37A73024" w14:textId="4849BFFD" w:rsidR="00DA51B9" w:rsidRPr="009F2E71" w:rsidRDefault="00DA51B9" w:rsidP="009F2E71">
      <w:pPr>
        <w:ind w:left="851"/>
        <w:rPr>
          <w:bCs/>
          <w:sz w:val="24"/>
          <w:szCs w:val="24"/>
          <w:u w:val="single"/>
          <w:lang w:val="en-US"/>
        </w:rPr>
      </w:pPr>
      <w:r w:rsidRPr="009F2E71">
        <w:rPr>
          <w:bCs/>
          <w:sz w:val="24"/>
          <w:szCs w:val="24"/>
          <w:u w:val="single"/>
          <w:lang w:val="en-US"/>
        </w:rPr>
        <w:t>Reproductive toxicity</w:t>
      </w:r>
    </w:p>
    <w:p w14:paraId="23EEB42B" w14:textId="77777777" w:rsidR="00DA51B9" w:rsidRPr="009F2E71" w:rsidRDefault="00DA51B9" w:rsidP="009F2E71">
      <w:pPr>
        <w:ind w:left="851"/>
        <w:rPr>
          <w:sz w:val="24"/>
          <w:szCs w:val="24"/>
          <w:lang w:val="en-US"/>
        </w:rPr>
      </w:pPr>
      <w:r w:rsidRPr="009F2E71">
        <w:rPr>
          <w:sz w:val="24"/>
          <w:szCs w:val="24"/>
          <w:lang w:val="en-US"/>
        </w:rPr>
        <w:t>In fertility studies in female rats, effects were seen on implantation due to the prolactin-lowering effect of ropinirole. It should be noted that prolactin is not essential for implantation in humans.</w:t>
      </w:r>
    </w:p>
    <w:p w14:paraId="17828CFF" w14:textId="77777777" w:rsidR="00DA51B9" w:rsidRPr="009F2E71" w:rsidRDefault="00DA51B9" w:rsidP="009F2E71">
      <w:pPr>
        <w:ind w:left="851"/>
        <w:rPr>
          <w:sz w:val="24"/>
          <w:szCs w:val="24"/>
          <w:lang w:val="en-US"/>
        </w:rPr>
      </w:pPr>
    </w:p>
    <w:p w14:paraId="0667CF08" w14:textId="77777777" w:rsidR="00DA51B9" w:rsidRPr="009F2E71" w:rsidRDefault="00DA51B9" w:rsidP="009F2E71">
      <w:pPr>
        <w:ind w:left="851"/>
        <w:rPr>
          <w:sz w:val="24"/>
          <w:szCs w:val="24"/>
          <w:lang w:val="en-US"/>
        </w:rPr>
      </w:pPr>
      <w:r w:rsidRPr="009F2E71">
        <w:rPr>
          <w:sz w:val="24"/>
          <w:szCs w:val="24"/>
          <w:lang w:val="en-US"/>
        </w:rPr>
        <w:t xml:space="preserve">Administration of ropinirole to pregnant rats at maternally toxic doses resulted in decreased </w:t>
      </w:r>
      <w:proofErr w:type="spellStart"/>
      <w:r w:rsidRPr="009F2E71">
        <w:rPr>
          <w:sz w:val="24"/>
          <w:szCs w:val="24"/>
          <w:lang w:val="en-US"/>
        </w:rPr>
        <w:t>foetal</w:t>
      </w:r>
      <w:proofErr w:type="spellEnd"/>
      <w:r w:rsidRPr="009F2E71">
        <w:rPr>
          <w:sz w:val="24"/>
          <w:szCs w:val="24"/>
          <w:lang w:val="en-US"/>
        </w:rPr>
        <w:t xml:space="preserve"> body weight at 60 mg/kg/day (mean AUC in rats approximately twice the highest AUC at the Maximum Recommended Human Dose (MRHD)), increased </w:t>
      </w:r>
      <w:proofErr w:type="spellStart"/>
      <w:r w:rsidRPr="009F2E71">
        <w:rPr>
          <w:sz w:val="24"/>
          <w:szCs w:val="24"/>
          <w:lang w:val="en-US"/>
        </w:rPr>
        <w:t>foetal</w:t>
      </w:r>
      <w:proofErr w:type="spellEnd"/>
      <w:r w:rsidRPr="009F2E71">
        <w:rPr>
          <w:sz w:val="24"/>
          <w:szCs w:val="24"/>
          <w:lang w:val="en-US"/>
        </w:rPr>
        <w:t xml:space="preserve"> death at 90 mg/kg/day (approximately 3 times the highest AUC at the MRHD) and digit malformations at 150 mg/kg/day (approximately 5 times the highest AUC at the MRHD). There were no teratogenic effects in the rat at 120 mg/kg/day (approximately 4 times the highest AUC at the MRHD) and no indication of an effect during organogenesis in the rabbit when given alone at 20 mg/kg (9.5 times the mean human </w:t>
      </w:r>
      <w:proofErr w:type="spellStart"/>
      <w:r w:rsidRPr="009F2E71">
        <w:rPr>
          <w:sz w:val="24"/>
          <w:szCs w:val="24"/>
          <w:lang w:val="en-US"/>
        </w:rPr>
        <w:t>C</w:t>
      </w:r>
      <w:r w:rsidRPr="009F2E71">
        <w:rPr>
          <w:sz w:val="24"/>
          <w:szCs w:val="24"/>
          <w:vertAlign w:val="subscript"/>
          <w:lang w:val="en-US"/>
        </w:rPr>
        <w:t>max</w:t>
      </w:r>
      <w:proofErr w:type="spellEnd"/>
      <w:r w:rsidRPr="009F2E71">
        <w:rPr>
          <w:sz w:val="24"/>
          <w:szCs w:val="24"/>
          <w:lang w:val="en-US"/>
        </w:rPr>
        <w:t xml:space="preserve"> at the MRHD). However, ropinirole at 10 mg/kg (4.8 times the mean human </w:t>
      </w:r>
      <w:proofErr w:type="spellStart"/>
      <w:r w:rsidRPr="009F2E71">
        <w:rPr>
          <w:sz w:val="24"/>
          <w:szCs w:val="24"/>
          <w:lang w:val="en-US"/>
        </w:rPr>
        <w:t>C</w:t>
      </w:r>
      <w:r w:rsidRPr="009F2E71">
        <w:rPr>
          <w:sz w:val="24"/>
          <w:szCs w:val="24"/>
          <w:vertAlign w:val="subscript"/>
          <w:lang w:val="en-US"/>
        </w:rPr>
        <w:t>max</w:t>
      </w:r>
      <w:proofErr w:type="spellEnd"/>
      <w:r w:rsidRPr="009F2E71">
        <w:rPr>
          <w:sz w:val="24"/>
          <w:szCs w:val="24"/>
          <w:lang w:val="en-US"/>
        </w:rPr>
        <w:t xml:space="preserve"> at the MRHD) administered to rabbits in combination with oral L-dopa produced a higher incidence and severity of digit malformations than L-dopa alone.</w:t>
      </w:r>
    </w:p>
    <w:p w14:paraId="1DF0BBA2" w14:textId="77777777" w:rsidR="00DA51B9" w:rsidRPr="009F2E71" w:rsidRDefault="00DA51B9" w:rsidP="009F2E71">
      <w:pPr>
        <w:ind w:left="851"/>
        <w:rPr>
          <w:sz w:val="24"/>
          <w:szCs w:val="24"/>
          <w:lang w:val="en-US"/>
        </w:rPr>
      </w:pPr>
    </w:p>
    <w:p w14:paraId="375B0A4C" w14:textId="77777777" w:rsidR="00DA51B9" w:rsidRPr="009F2E71" w:rsidRDefault="00DA51B9" w:rsidP="009F2E71">
      <w:pPr>
        <w:ind w:left="851"/>
        <w:rPr>
          <w:bCs/>
          <w:sz w:val="24"/>
          <w:szCs w:val="24"/>
          <w:u w:val="single"/>
          <w:lang w:val="en-US"/>
        </w:rPr>
      </w:pPr>
      <w:r w:rsidRPr="009F2E71">
        <w:rPr>
          <w:bCs/>
          <w:sz w:val="24"/>
          <w:szCs w:val="24"/>
          <w:u w:val="single"/>
          <w:lang w:val="en-US"/>
        </w:rPr>
        <w:t>Toxicology</w:t>
      </w:r>
    </w:p>
    <w:p w14:paraId="3AA6D449" w14:textId="77777777" w:rsidR="00DA51B9" w:rsidRPr="009F2E71" w:rsidRDefault="00DA51B9" w:rsidP="009F2E71">
      <w:pPr>
        <w:ind w:left="851"/>
        <w:rPr>
          <w:sz w:val="24"/>
          <w:szCs w:val="24"/>
          <w:lang w:val="en-US"/>
        </w:rPr>
      </w:pPr>
      <w:r w:rsidRPr="009F2E71">
        <w:rPr>
          <w:sz w:val="24"/>
          <w:szCs w:val="24"/>
          <w:lang w:val="en-US"/>
        </w:rPr>
        <w:t xml:space="preserve">The toxicology profile is principally determined by the pharmacological activity of ropinirole: </w:t>
      </w:r>
      <w:proofErr w:type="spellStart"/>
      <w:r w:rsidRPr="009F2E71">
        <w:rPr>
          <w:sz w:val="24"/>
          <w:szCs w:val="24"/>
          <w:lang w:val="en-US"/>
        </w:rPr>
        <w:t>behavioural</w:t>
      </w:r>
      <w:proofErr w:type="spellEnd"/>
      <w:r w:rsidRPr="009F2E71">
        <w:rPr>
          <w:sz w:val="24"/>
          <w:szCs w:val="24"/>
          <w:lang w:val="en-US"/>
        </w:rPr>
        <w:t xml:space="preserve"> changes, </w:t>
      </w:r>
      <w:proofErr w:type="spellStart"/>
      <w:r w:rsidRPr="009F2E71">
        <w:rPr>
          <w:sz w:val="24"/>
          <w:szCs w:val="24"/>
          <w:lang w:val="en-US"/>
        </w:rPr>
        <w:t>hypoprolactinaemia</w:t>
      </w:r>
      <w:proofErr w:type="spellEnd"/>
      <w:r w:rsidRPr="009F2E71">
        <w:rPr>
          <w:sz w:val="24"/>
          <w:szCs w:val="24"/>
          <w:lang w:val="en-US"/>
        </w:rPr>
        <w:t xml:space="preserve">, decrease in blood pressure and heart rate, ptosis and salivation. In the albino rat only, retinal degeneration was observed in a </w:t>
      </w:r>
      <w:proofErr w:type="gramStart"/>
      <w:r w:rsidRPr="009F2E71">
        <w:rPr>
          <w:sz w:val="24"/>
          <w:szCs w:val="24"/>
          <w:lang w:val="en-US"/>
        </w:rPr>
        <w:t>long term</w:t>
      </w:r>
      <w:proofErr w:type="gramEnd"/>
      <w:r w:rsidRPr="009F2E71">
        <w:rPr>
          <w:sz w:val="24"/>
          <w:szCs w:val="24"/>
          <w:lang w:val="en-US"/>
        </w:rPr>
        <w:t xml:space="preserve"> study at the highest dose (50 mg/kg/day), and was probably associated with an increased exposure to light.</w:t>
      </w:r>
    </w:p>
    <w:p w14:paraId="2D2AC3B8" w14:textId="77777777" w:rsidR="00DA51B9" w:rsidRPr="009F2E71" w:rsidRDefault="00DA51B9" w:rsidP="009F2E71">
      <w:pPr>
        <w:ind w:left="851"/>
        <w:rPr>
          <w:bCs/>
          <w:sz w:val="24"/>
          <w:szCs w:val="24"/>
          <w:lang w:val="en-US"/>
        </w:rPr>
      </w:pPr>
    </w:p>
    <w:p w14:paraId="5CA34375" w14:textId="77777777" w:rsidR="00DA51B9" w:rsidRPr="009F2E71" w:rsidRDefault="00DA51B9" w:rsidP="009F2E71">
      <w:pPr>
        <w:ind w:left="851"/>
        <w:rPr>
          <w:bCs/>
          <w:sz w:val="24"/>
          <w:szCs w:val="24"/>
          <w:u w:val="single"/>
          <w:lang w:val="en-US"/>
        </w:rPr>
      </w:pPr>
      <w:r w:rsidRPr="009F2E71">
        <w:rPr>
          <w:bCs/>
          <w:sz w:val="24"/>
          <w:szCs w:val="24"/>
          <w:u w:val="single"/>
          <w:lang w:val="en-US"/>
        </w:rPr>
        <w:t>Genotoxicity</w:t>
      </w:r>
    </w:p>
    <w:p w14:paraId="7E5FC2A1" w14:textId="77777777" w:rsidR="00DA51B9" w:rsidRPr="009F2E71" w:rsidRDefault="00DA51B9" w:rsidP="009F2E71">
      <w:pPr>
        <w:ind w:left="851"/>
        <w:rPr>
          <w:sz w:val="24"/>
          <w:szCs w:val="24"/>
          <w:lang w:val="en-US"/>
        </w:rPr>
      </w:pPr>
      <w:r w:rsidRPr="009F2E71">
        <w:rPr>
          <w:sz w:val="24"/>
          <w:szCs w:val="24"/>
          <w:lang w:val="en-US"/>
        </w:rPr>
        <w:t xml:space="preserve">Genotoxicity was not observed in the usual battery of </w:t>
      </w:r>
      <w:r w:rsidRPr="009F2E71">
        <w:rPr>
          <w:i/>
          <w:iCs/>
          <w:sz w:val="24"/>
          <w:szCs w:val="24"/>
          <w:lang w:val="en-US"/>
        </w:rPr>
        <w:t xml:space="preserve">in vitro </w:t>
      </w:r>
      <w:r w:rsidRPr="009F2E71">
        <w:rPr>
          <w:sz w:val="24"/>
          <w:szCs w:val="24"/>
          <w:lang w:val="en-US"/>
        </w:rPr>
        <w:t xml:space="preserve">and </w:t>
      </w:r>
      <w:r w:rsidRPr="009F2E71">
        <w:rPr>
          <w:i/>
          <w:iCs/>
          <w:sz w:val="24"/>
          <w:szCs w:val="24"/>
          <w:lang w:val="en-US"/>
        </w:rPr>
        <w:t xml:space="preserve">in vivo </w:t>
      </w:r>
      <w:r w:rsidRPr="009F2E71">
        <w:rPr>
          <w:sz w:val="24"/>
          <w:szCs w:val="24"/>
          <w:lang w:val="en-US"/>
        </w:rPr>
        <w:t>tests.</w:t>
      </w:r>
    </w:p>
    <w:p w14:paraId="3ABAA69B" w14:textId="77777777" w:rsidR="00DA51B9" w:rsidRPr="009F2E71" w:rsidRDefault="00DA51B9" w:rsidP="009F2E71">
      <w:pPr>
        <w:ind w:left="851"/>
        <w:rPr>
          <w:sz w:val="24"/>
          <w:szCs w:val="24"/>
          <w:lang w:val="en-US"/>
        </w:rPr>
      </w:pPr>
    </w:p>
    <w:p w14:paraId="25965590" w14:textId="77777777" w:rsidR="00DA51B9" w:rsidRPr="009F2E71" w:rsidRDefault="00DA51B9" w:rsidP="009F2E71">
      <w:pPr>
        <w:ind w:left="851"/>
        <w:rPr>
          <w:bCs/>
          <w:sz w:val="24"/>
          <w:szCs w:val="24"/>
          <w:u w:val="single"/>
          <w:lang w:val="en-US"/>
        </w:rPr>
      </w:pPr>
      <w:r w:rsidRPr="009F2E71">
        <w:rPr>
          <w:bCs/>
          <w:sz w:val="24"/>
          <w:szCs w:val="24"/>
          <w:u w:val="single"/>
          <w:lang w:val="en-US"/>
        </w:rPr>
        <w:t>Carcinogenicity</w:t>
      </w:r>
    </w:p>
    <w:p w14:paraId="135D3335" w14:textId="77777777" w:rsidR="00DA51B9" w:rsidRPr="009F2E71" w:rsidRDefault="00DA51B9" w:rsidP="009F2E71">
      <w:pPr>
        <w:ind w:left="851"/>
        <w:rPr>
          <w:sz w:val="24"/>
          <w:szCs w:val="24"/>
          <w:lang w:val="en-US"/>
        </w:rPr>
      </w:pPr>
      <w:r w:rsidRPr="009F2E71">
        <w:rPr>
          <w:sz w:val="24"/>
          <w:szCs w:val="24"/>
          <w:lang w:val="en-US"/>
        </w:rPr>
        <w:t>From two</w:t>
      </w:r>
      <w:r w:rsidRPr="009F2E71">
        <w:rPr>
          <w:sz w:val="24"/>
          <w:szCs w:val="24"/>
          <w:lang w:val="en-US"/>
        </w:rPr>
        <w:noBreakHyphen/>
        <w:t xml:space="preserve">year studies conducted in the mouse and rat at dosages up to 50 mg/kg/day there was no evidence of any carcinogenic effect in the mouse. In the rat, the only ropinirole-related lesions were Leydig cell hyperplasia and testicular adenoma resulting from the </w:t>
      </w:r>
      <w:proofErr w:type="spellStart"/>
      <w:r w:rsidRPr="009F2E71">
        <w:rPr>
          <w:sz w:val="24"/>
          <w:szCs w:val="24"/>
          <w:lang w:val="en-US"/>
        </w:rPr>
        <w:t>hypoprolactinaemic</w:t>
      </w:r>
      <w:proofErr w:type="spellEnd"/>
      <w:r w:rsidRPr="009F2E71">
        <w:rPr>
          <w:sz w:val="24"/>
          <w:szCs w:val="24"/>
          <w:lang w:val="en-US"/>
        </w:rPr>
        <w:t xml:space="preserve"> effect of ropinirole. These lesions are considered to be a </w:t>
      </w:r>
      <w:proofErr w:type="gramStart"/>
      <w:r w:rsidRPr="009F2E71">
        <w:rPr>
          <w:sz w:val="24"/>
          <w:szCs w:val="24"/>
          <w:lang w:val="en-US"/>
        </w:rPr>
        <w:t>species specific</w:t>
      </w:r>
      <w:proofErr w:type="gramEnd"/>
      <w:r w:rsidRPr="009F2E71">
        <w:rPr>
          <w:sz w:val="24"/>
          <w:szCs w:val="24"/>
          <w:lang w:val="en-US"/>
        </w:rPr>
        <w:t xml:space="preserve"> phenomenon and do not constitute a hazard with regard to the clinical use of ropinirole.</w:t>
      </w:r>
    </w:p>
    <w:p w14:paraId="79822D13" w14:textId="77777777" w:rsidR="00DA51B9" w:rsidRPr="009F2E71" w:rsidRDefault="00DA51B9" w:rsidP="009F2E71">
      <w:pPr>
        <w:ind w:left="851"/>
        <w:rPr>
          <w:sz w:val="24"/>
          <w:szCs w:val="24"/>
          <w:lang w:val="en-US"/>
        </w:rPr>
      </w:pPr>
    </w:p>
    <w:p w14:paraId="12083448" w14:textId="77777777" w:rsidR="00DA51B9" w:rsidRPr="009F2E71" w:rsidRDefault="00DA51B9" w:rsidP="009F2E71">
      <w:pPr>
        <w:ind w:left="851"/>
        <w:rPr>
          <w:sz w:val="24"/>
          <w:szCs w:val="24"/>
          <w:u w:val="single"/>
          <w:lang w:val="en-US"/>
        </w:rPr>
      </w:pPr>
      <w:r w:rsidRPr="009F2E71">
        <w:rPr>
          <w:sz w:val="24"/>
          <w:szCs w:val="24"/>
          <w:u w:val="single"/>
          <w:lang w:val="en-US"/>
        </w:rPr>
        <w:t>Safety pharmacology</w:t>
      </w:r>
    </w:p>
    <w:p w14:paraId="5FCA63BA" w14:textId="77777777" w:rsidR="00DA51B9" w:rsidRPr="009F2E71" w:rsidRDefault="00DA51B9" w:rsidP="009F2E71">
      <w:pPr>
        <w:ind w:left="851"/>
        <w:rPr>
          <w:sz w:val="24"/>
          <w:szCs w:val="24"/>
          <w:lang w:val="en-US"/>
        </w:rPr>
      </w:pPr>
      <w:r w:rsidRPr="009F2E71">
        <w:rPr>
          <w:i/>
          <w:sz w:val="24"/>
          <w:szCs w:val="24"/>
          <w:lang w:val="en-US"/>
        </w:rPr>
        <w:t>In vitro</w:t>
      </w:r>
      <w:r w:rsidRPr="009F2E71">
        <w:rPr>
          <w:sz w:val="24"/>
          <w:szCs w:val="24"/>
          <w:lang w:val="en-US"/>
        </w:rPr>
        <w:t xml:space="preserve"> studies have shown that ropinirole inhibits </w:t>
      </w:r>
      <w:proofErr w:type="spellStart"/>
      <w:r w:rsidRPr="009F2E71">
        <w:rPr>
          <w:sz w:val="24"/>
          <w:szCs w:val="24"/>
          <w:lang w:val="en-US"/>
        </w:rPr>
        <w:t>hERG</w:t>
      </w:r>
      <w:proofErr w:type="spellEnd"/>
      <w:r w:rsidRPr="009F2E71">
        <w:rPr>
          <w:sz w:val="24"/>
          <w:szCs w:val="24"/>
          <w:lang w:val="en-US"/>
        </w:rPr>
        <w:t>-mediated currents. The IC</w:t>
      </w:r>
      <w:r w:rsidRPr="009F2E71">
        <w:rPr>
          <w:sz w:val="24"/>
          <w:szCs w:val="24"/>
          <w:vertAlign w:val="subscript"/>
          <w:lang w:val="en-US"/>
        </w:rPr>
        <w:t>50</w:t>
      </w:r>
      <w:r w:rsidRPr="009F2E71">
        <w:rPr>
          <w:sz w:val="24"/>
          <w:szCs w:val="24"/>
          <w:lang w:val="en-US"/>
        </w:rPr>
        <w:t xml:space="preserve"> is 5</w:t>
      </w:r>
      <w:r w:rsidRPr="009F2E71">
        <w:rPr>
          <w:sz w:val="24"/>
          <w:szCs w:val="24"/>
          <w:lang w:val="en-US"/>
        </w:rPr>
        <w:noBreakHyphen/>
        <w:t>fold higher than the expected maximum plasma concentration in patients treated at the highest recommended dose (24 mg/day), see section 5.1.</w:t>
      </w:r>
    </w:p>
    <w:p w14:paraId="6969299A" w14:textId="77777777" w:rsidR="007C5D2A" w:rsidRPr="00303008" w:rsidRDefault="007C5D2A" w:rsidP="003E0341">
      <w:pPr>
        <w:tabs>
          <w:tab w:val="left" w:pos="851"/>
        </w:tabs>
        <w:ind w:left="851"/>
        <w:rPr>
          <w:sz w:val="24"/>
          <w:szCs w:val="24"/>
          <w:lang w:val="en-GB"/>
        </w:rPr>
      </w:pPr>
    </w:p>
    <w:p w14:paraId="026DD6AF" w14:textId="77777777" w:rsidR="007C5D2A" w:rsidRPr="00303008" w:rsidRDefault="007C5D2A" w:rsidP="003E0341">
      <w:pPr>
        <w:tabs>
          <w:tab w:val="left" w:pos="851"/>
        </w:tabs>
        <w:ind w:left="851"/>
        <w:rPr>
          <w:sz w:val="24"/>
          <w:szCs w:val="24"/>
          <w:lang w:val="en-GB"/>
        </w:rPr>
      </w:pPr>
    </w:p>
    <w:p w14:paraId="4AD1B3F7"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9F1F401" w14:textId="77777777" w:rsidR="007C5D2A" w:rsidRPr="00303008" w:rsidRDefault="007C5D2A" w:rsidP="003E0341">
      <w:pPr>
        <w:tabs>
          <w:tab w:val="left" w:pos="851"/>
        </w:tabs>
        <w:ind w:left="851"/>
        <w:rPr>
          <w:sz w:val="24"/>
          <w:szCs w:val="24"/>
          <w:lang w:val="en-GB"/>
        </w:rPr>
      </w:pPr>
    </w:p>
    <w:p w14:paraId="022AC314"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14A9750D" w14:textId="77777777" w:rsidR="00DA51B9" w:rsidRPr="00DA51B9" w:rsidRDefault="00DA51B9" w:rsidP="00DA51B9">
      <w:pPr>
        <w:tabs>
          <w:tab w:val="left" w:pos="851"/>
        </w:tabs>
        <w:ind w:left="851"/>
        <w:rPr>
          <w:sz w:val="24"/>
          <w:szCs w:val="24"/>
          <w:lang w:val="en-US"/>
        </w:rPr>
      </w:pPr>
      <w:r w:rsidRPr="00DA51B9">
        <w:rPr>
          <w:sz w:val="24"/>
          <w:szCs w:val="24"/>
          <w:lang w:val="en-US"/>
        </w:rPr>
        <w:t>Hypromellose</w:t>
      </w:r>
    </w:p>
    <w:p w14:paraId="43FC3A61" w14:textId="77777777" w:rsidR="00DA51B9" w:rsidRPr="00DA51B9" w:rsidRDefault="00DA51B9" w:rsidP="00DA51B9">
      <w:pPr>
        <w:tabs>
          <w:tab w:val="left" w:pos="851"/>
        </w:tabs>
        <w:ind w:left="851"/>
        <w:rPr>
          <w:sz w:val="24"/>
          <w:szCs w:val="24"/>
          <w:lang w:val="en-US"/>
        </w:rPr>
      </w:pPr>
      <w:r w:rsidRPr="00DA51B9">
        <w:rPr>
          <w:sz w:val="24"/>
          <w:szCs w:val="24"/>
          <w:lang w:val="en-US"/>
        </w:rPr>
        <w:t>Croscarmellose sodium</w:t>
      </w:r>
    </w:p>
    <w:p w14:paraId="3E588018" w14:textId="77777777" w:rsidR="00DA51B9" w:rsidRPr="00DA51B9" w:rsidRDefault="00DA51B9" w:rsidP="00DA51B9">
      <w:pPr>
        <w:tabs>
          <w:tab w:val="left" w:pos="851"/>
        </w:tabs>
        <w:ind w:left="851"/>
        <w:rPr>
          <w:sz w:val="24"/>
          <w:szCs w:val="24"/>
          <w:lang w:val="en-US"/>
        </w:rPr>
      </w:pPr>
      <w:r w:rsidRPr="00DA51B9">
        <w:rPr>
          <w:sz w:val="24"/>
          <w:szCs w:val="24"/>
          <w:lang w:val="en-US"/>
        </w:rPr>
        <w:t>Maltodextrin (contains glucose)</w:t>
      </w:r>
    </w:p>
    <w:p w14:paraId="6436DEED" w14:textId="77777777" w:rsidR="00DA51B9" w:rsidRPr="00DA51B9" w:rsidRDefault="00DA51B9" w:rsidP="00DA51B9">
      <w:pPr>
        <w:tabs>
          <w:tab w:val="left" w:pos="851"/>
        </w:tabs>
        <w:ind w:left="851"/>
        <w:rPr>
          <w:sz w:val="24"/>
          <w:szCs w:val="24"/>
          <w:lang w:val="en-US"/>
        </w:rPr>
      </w:pPr>
      <w:r w:rsidRPr="00DA51B9">
        <w:rPr>
          <w:sz w:val="24"/>
          <w:szCs w:val="24"/>
          <w:lang w:val="en-US"/>
        </w:rPr>
        <w:t>Lactose monohydrate</w:t>
      </w:r>
    </w:p>
    <w:p w14:paraId="28130B82" w14:textId="77777777" w:rsidR="00DA51B9" w:rsidRPr="00DA51B9" w:rsidRDefault="00DA51B9" w:rsidP="00DA51B9">
      <w:pPr>
        <w:tabs>
          <w:tab w:val="left" w:pos="851"/>
        </w:tabs>
        <w:ind w:left="851"/>
        <w:rPr>
          <w:sz w:val="24"/>
          <w:szCs w:val="24"/>
          <w:lang w:val="en-US"/>
        </w:rPr>
      </w:pPr>
      <w:r w:rsidRPr="00DA51B9">
        <w:rPr>
          <w:sz w:val="24"/>
          <w:szCs w:val="24"/>
          <w:lang w:val="en-US"/>
        </w:rPr>
        <w:t>Hydrogenated castor oil</w:t>
      </w:r>
    </w:p>
    <w:p w14:paraId="7DAD32CB" w14:textId="77777777" w:rsidR="00DA51B9" w:rsidRPr="00DA51B9" w:rsidRDefault="00DA51B9" w:rsidP="00DA51B9">
      <w:pPr>
        <w:tabs>
          <w:tab w:val="left" w:pos="851"/>
        </w:tabs>
        <w:ind w:left="851"/>
        <w:rPr>
          <w:sz w:val="24"/>
          <w:szCs w:val="24"/>
          <w:lang w:val="en-US"/>
        </w:rPr>
      </w:pPr>
      <w:r w:rsidRPr="00DA51B9">
        <w:rPr>
          <w:sz w:val="24"/>
          <w:szCs w:val="24"/>
          <w:lang w:val="en-US"/>
        </w:rPr>
        <w:t>Colloidal anhydrous silica</w:t>
      </w:r>
    </w:p>
    <w:p w14:paraId="78829B44" w14:textId="77777777" w:rsidR="00DA51B9" w:rsidRPr="00DA51B9" w:rsidRDefault="00DA51B9" w:rsidP="00DA51B9">
      <w:pPr>
        <w:tabs>
          <w:tab w:val="left" w:pos="851"/>
        </w:tabs>
        <w:ind w:left="851"/>
        <w:rPr>
          <w:sz w:val="24"/>
          <w:szCs w:val="24"/>
          <w:lang w:val="en-US"/>
        </w:rPr>
      </w:pPr>
      <w:r w:rsidRPr="00DA51B9">
        <w:rPr>
          <w:sz w:val="24"/>
          <w:szCs w:val="24"/>
          <w:lang w:val="en-US"/>
        </w:rPr>
        <w:t>Magnesium stearate</w:t>
      </w:r>
    </w:p>
    <w:p w14:paraId="458B73EB" w14:textId="77777777" w:rsidR="00DA51B9" w:rsidRPr="00DA51B9" w:rsidRDefault="00DA51B9" w:rsidP="00DA51B9">
      <w:pPr>
        <w:tabs>
          <w:tab w:val="left" w:pos="851"/>
        </w:tabs>
        <w:ind w:left="851"/>
        <w:rPr>
          <w:i/>
          <w:sz w:val="24"/>
          <w:szCs w:val="24"/>
          <w:lang w:val="en-US"/>
        </w:rPr>
      </w:pPr>
    </w:p>
    <w:p w14:paraId="11EACDB9" w14:textId="77777777" w:rsidR="00DA51B9" w:rsidRPr="00DA51B9" w:rsidRDefault="00DA51B9" w:rsidP="00DA51B9">
      <w:pPr>
        <w:tabs>
          <w:tab w:val="left" w:pos="851"/>
        </w:tabs>
        <w:ind w:left="851"/>
        <w:rPr>
          <w:sz w:val="24"/>
          <w:szCs w:val="24"/>
          <w:u w:val="single"/>
          <w:lang w:val="en-US"/>
        </w:rPr>
      </w:pPr>
      <w:r w:rsidRPr="00DA51B9">
        <w:rPr>
          <w:sz w:val="24"/>
          <w:szCs w:val="24"/>
          <w:u w:val="single"/>
          <w:lang w:val="en-US"/>
        </w:rPr>
        <w:t>Pigment Blend (not applicable for 6 mg prolonged-release tablets)</w:t>
      </w:r>
    </w:p>
    <w:p w14:paraId="77E2F364" w14:textId="77777777" w:rsidR="00DA51B9" w:rsidRPr="00DA51B9" w:rsidRDefault="00DA51B9" w:rsidP="00DA51B9">
      <w:pPr>
        <w:tabs>
          <w:tab w:val="left" w:pos="851"/>
        </w:tabs>
        <w:ind w:left="851"/>
        <w:rPr>
          <w:i/>
          <w:sz w:val="24"/>
          <w:szCs w:val="24"/>
          <w:lang w:val="en-US"/>
        </w:rPr>
      </w:pPr>
    </w:p>
    <w:p w14:paraId="58A04494" w14:textId="77777777" w:rsidR="00DA51B9" w:rsidRPr="00DA51B9" w:rsidRDefault="00DA51B9" w:rsidP="00DA51B9">
      <w:pPr>
        <w:tabs>
          <w:tab w:val="left" w:pos="851"/>
        </w:tabs>
        <w:ind w:left="851"/>
        <w:rPr>
          <w:i/>
          <w:sz w:val="24"/>
          <w:szCs w:val="24"/>
          <w:lang w:val="en-US"/>
        </w:rPr>
      </w:pPr>
      <w:r w:rsidRPr="00DA51B9">
        <w:rPr>
          <w:i/>
          <w:sz w:val="24"/>
          <w:szCs w:val="24"/>
          <w:lang w:val="en-US"/>
        </w:rPr>
        <w:t>2 mg prolonged-release tablets</w:t>
      </w:r>
    </w:p>
    <w:p w14:paraId="1773C858"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Iron oxide red (E172) </w:t>
      </w:r>
    </w:p>
    <w:p w14:paraId="4FD9A4FF"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Iron oxide yellow (E172) </w:t>
      </w:r>
    </w:p>
    <w:p w14:paraId="6B9B99FC" w14:textId="77777777" w:rsidR="00DA51B9" w:rsidRPr="00DA51B9" w:rsidRDefault="00DA51B9" w:rsidP="00DA51B9">
      <w:pPr>
        <w:tabs>
          <w:tab w:val="left" w:pos="851"/>
        </w:tabs>
        <w:ind w:left="851"/>
        <w:rPr>
          <w:sz w:val="24"/>
          <w:szCs w:val="24"/>
          <w:lang w:val="en-US"/>
        </w:rPr>
      </w:pPr>
      <w:r w:rsidRPr="00DA51B9">
        <w:rPr>
          <w:sz w:val="24"/>
          <w:szCs w:val="24"/>
          <w:lang w:val="en-US"/>
        </w:rPr>
        <w:t>Lactose monohydrate</w:t>
      </w:r>
    </w:p>
    <w:p w14:paraId="4B6F4019" w14:textId="77777777" w:rsidR="00DA51B9" w:rsidRPr="00DA51B9" w:rsidRDefault="00DA51B9" w:rsidP="00DA51B9">
      <w:pPr>
        <w:tabs>
          <w:tab w:val="left" w:pos="851"/>
        </w:tabs>
        <w:ind w:left="851"/>
        <w:rPr>
          <w:sz w:val="24"/>
          <w:szCs w:val="24"/>
          <w:lang w:val="en-US"/>
        </w:rPr>
      </w:pPr>
    </w:p>
    <w:p w14:paraId="05FADA20" w14:textId="77777777" w:rsidR="00DA51B9" w:rsidRPr="00DA51B9" w:rsidRDefault="00DA51B9" w:rsidP="00DA51B9">
      <w:pPr>
        <w:tabs>
          <w:tab w:val="left" w:pos="851"/>
        </w:tabs>
        <w:ind w:left="851"/>
        <w:rPr>
          <w:i/>
          <w:sz w:val="24"/>
          <w:szCs w:val="24"/>
          <w:lang w:val="en-US"/>
        </w:rPr>
      </w:pPr>
      <w:r w:rsidRPr="00DA51B9">
        <w:rPr>
          <w:i/>
          <w:sz w:val="24"/>
          <w:szCs w:val="24"/>
          <w:lang w:val="en-US"/>
        </w:rPr>
        <w:t>3 mg prolonged-release tablets</w:t>
      </w:r>
    </w:p>
    <w:p w14:paraId="038EA557" w14:textId="77777777" w:rsidR="00DA51B9" w:rsidRPr="00DA51B9" w:rsidRDefault="00DA51B9" w:rsidP="00DA51B9">
      <w:pPr>
        <w:tabs>
          <w:tab w:val="left" w:pos="851"/>
        </w:tabs>
        <w:ind w:left="851"/>
        <w:rPr>
          <w:sz w:val="24"/>
          <w:szCs w:val="24"/>
          <w:lang w:val="en-US"/>
        </w:rPr>
      </w:pPr>
      <w:r w:rsidRPr="00DA51B9">
        <w:rPr>
          <w:sz w:val="24"/>
          <w:szCs w:val="24"/>
          <w:lang w:val="en-US"/>
        </w:rPr>
        <w:t>Lactose monohydrate</w:t>
      </w:r>
    </w:p>
    <w:p w14:paraId="1269B86D" w14:textId="77777777" w:rsidR="00DA51B9" w:rsidRDefault="00DA51B9" w:rsidP="00DA51B9">
      <w:pPr>
        <w:tabs>
          <w:tab w:val="left" w:pos="851"/>
        </w:tabs>
        <w:ind w:left="851"/>
        <w:rPr>
          <w:sz w:val="24"/>
          <w:szCs w:val="24"/>
          <w:lang w:val="de-DE"/>
        </w:rPr>
      </w:pPr>
      <w:r>
        <w:rPr>
          <w:sz w:val="24"/>
          <w:szCs w:val="24"/>
          <w:lang w:val="de-DE"/>
        </w:rPr>
        <w:t xml:space="preserve">Indigo Carmine Aluminium Lake (E132) </w:t>
      </w:r>
    </w:p>
    <w:p w14:paraId="7CD4DB73" w14:textId="77777777" w:rsidR="00DA51B9" w:rsidRDefault="00DA51B9" w:rsidP="00DA51B9">
      <w:pPr>
        <w:tabs>
          <w:tab w:val="left" w:pos="851"/>
        </w:tabs>
        <w:ind w:left="851"/>
        <w:rPr>
          <w:sz w:val="24"/>
          <w:szCs w:val="24"/>
          <w:lang w:val="en-GB"/>
        </w:rPr>
      </w:pPr>
      <w:r w:rsidRPr="00DA51B9">
        <w:rPr>
          <w:sz w:val="24"/>
          <w:szCs w:val="24"/>
          <w:lang w:val="en-US"/>
        </w:rPr>
        <w:t xml:space="preserve">Carmine (E120) </w:t>
      </w:r>
    </w:p>
    <w:p w14:paraId="0CF3D147" w14:textId="77777777" w:rsidR="00DA51B9" w:rsidRPr="00DA51B9" w:rsidRDefault="00DA51B9" w:rsidP="00DA51B9">
      <w:pPr>
        <w:tabs>
          <w:tab w:val="left" w:pos="851"/>
        </w:tabs>
        <w:ind w:left="851"/>
        <w:rPr>
          <w:sz w:val="24"/>
          <w:szCs w:val="24"/>
          <w:lang w:val="en-US"/>
        </w:rPr>
      </w:pPr>
    </w:p>
    <w:p w14:paraId="00B04612" w14:textId="77777777" w:rsidR="00DA51B9" w:rsidRPr="00DA51B9" w:rsidRDefault="00DA51B9" w:rsidP="00DA51B9">
      <w:pPr>
        <w:tabs>
          <w:tab w:val="left" w:pos="851"/>
        </w:tabs>
        <w:ind w:left="851"/>
        <w:rPr>
          <w:i/>
          <w:sz w:val="24"/>
          <w:szCs w:val="24"/>
          <w:lang w:val="en-US"/>
        </w:rPr>
      </w:pPr>
      <w:r w:rsidRPr="00DA51B9">
        <w:rPr>
          <w:i/>
          <w:sz w:val="24"/>
          <w:szCs w:val="24"/>
          <w:lang w:val="en-US"/>
        </w:rPr>
        <w:t>4 mg and 8 mg prolonged-release tablets</w:t>
      </w:r>
    </w:p>
    <w:p w14:paraId="057CD9A3" w14:textId="77777777" w:rsidR="00DA51B9" w:rsidRPr="00DA51B9" w:rsidRDefault="00DA51B9" w:rsidP="00DA51B9">
      <w:pPr>
        <w:tabs>
          <w:tab w:val="left" w:pos="851"/>
        </w:tabs>
        <w:ind w:left="851"/>
        <w:rPr>
          <w:sz w:val="24"/>
          <w:szCs w:val="24"/>
          <w:lang w:val="en-US"/>
        </w:rPr>
      </w:pPr>
      <w:r w:rsidRPr="00DA51B9">
        <w:rPr>
          <w:sz w:val="24"/>
          <w:szCs w:val="24"/>
          <w:lang w:val="en-US"/>
        </w:rPr>
        <w:t>Iron oxide red (E172)</w:t>
      </w:r>
    </w:p>
    <w:p w14:paraId="21B6056E"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Iron oxide yellow (E172) </w:t>
      </w:r>
    </w:p>
    <w:p w14:paraId="5EFB094F" w14:textId="77777777" w:rsidR="00DA51B9" w:rsidRPr="00DA51B9" w:rsidRDefault="00DA51B9" w:rsidP="00DA51B9">
      <w:pPr>
        <w:tabs>
          <w:tab w:val="left" w:pos="851"/>
        </w:tabs>
        <w:ind w:left="851"/>
        <w:rPr>
          <w:sz w:val="24"/>
          <w:szCs w:val="24"/>
          <w:lang w:val="en-US"/>
        </w:rPr>
      </w:pPr>
      <w:r w:rsidRPr="00DA51B9">
        <w:rPr>
          <w:sz w:val="24"/>
          <w:szCs w:val="24"/>
          <w:lang w:val="en-US"/>
        </w:rPr>
        <w:t>Lactose monohydrate</w:t>
      </w:r>
    </w:p>
    <w:p w14:paraId="5FA10D07" w14:textId="77777777" w:rsidR="00DA51B9" w:rsidRPr="00DA51B9" w:rsidRDefault="00DA51B9" w:rsidP="00DA51B9">
      <w:pPr>
        <w:tabs>
          <w:tab w:val="left" w:pos="851"/>
        </w:tabs>
        <w:ind w:left="851"/>
        <w:rPr>
          <w:sz w:val="24"/>
          <w:szCs w:val="24"/>
          <w:lang w:val="en-US"/>
        </w:rPr>
      </w:pPr>
      <w:r w:rsidRPr="00DA51B9">
        <w:rPr>
          <w:sz w:val="24"/>
          <w:szCs w:val="24"/>
          <w:lang w:val="en-US"/>
        </w:rPr>
        <w:t xml:space="preserve">Iron oxide black (E172) </w:t>
      </w:r>
    </w:p>
    <w:p w14:paraId="04A848A9" w14:textId="77777777" w:rsidR="007C5D2A" w:rsidRPr="00303008" w:rsidRDefault="007C5D2A" w:rsidP="003D727E">
      <w:pPr>
        <w:tabs>
          <w:tab w:val="left" w:pos="851"/>
        </w:tabs>
        <w:ind w:left="851"/>
        <w:rPr>
          <w:sz w:val="24"/>
          <w:szCs w:val="24"/>
          <w:lang w:val="en-GB"/>
        </w:rPr>
      </w:pPr>
    </w:p>
    <w:p w14:paraId="46F83B29"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2FB6E04C" w14:textId="77777777" w:rsidR="00DA51B9" w:rsidRPr="00DA51B9" w:rsidRDefault="00DA51B9" w:rsidP="00DA51B9">
      <w:pPr>
        <w:tabs>
          <w:tab w:val="left" w:pos="851"/>
        </w:tabs>
        <w:ind w:left="851"/>
        <w:rPr>
          <w:sz w:val="24"/>
          <w:szCs w:val="24"/>
          <w:lang w:val="en-US"/>
        </w:rPr>
      </w:pPr>
      <w:r w:rsidRPr="00DA51B9">
        <w:rPr>
          <w:sz w:val="24"/>
          <w:szCs w:val="24"/>
          <w:lang w:val="en-US"/>
        </w:rPr>
        <w:t>Not applicable.</w:t>
      </w:r>
    </w:p>
    <w:p w14:paraId="41C8D308" w14:textId="77777777" w:rsidR="007C5D2A" w:rsidRPr="00303008" w:rsidRDefault="007C5D2A" w:rsidP="003E0341">
      <w:pPr>
        <w:tabs>
          <w:tab w:val="left" w:pos="851"/>
        </w:tabs>
        <w:ind w:left="851"/>
        <w:rPr>
          <w:sz w:val="24"/>
          <w:szCs w:val="24"/>
          <w:lang w:val="en-GB"/>
        </w:rPr>
      </w:pPr>
    </w:p>
    <w:p w14:paraId="5054BF35"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23A74BD8" w14:textId="77777777" w:rsidR="00DA51B9" w:rsidRPr="00DA51B9" w:rsidRDefault="00DA51B9" w:rsidP="00DA51B9">
      <w:pPr>
        <w:tabs>
          <w:tab w:val="left" w:pos="851"/>
        </w:tabs>
        <w:ind w:left="851"/>
        <w:rPr>
          <w:sz w:val="24"/>
          <w:szCs w:val="24"/>
          <w:lang w:val="en-US"/>
        </w:rPr>
      </w:pPr>
      <w:r w:rsidRPr="00DA51B9">
        <w:rPr>
          <w:sz w:val="24"/>
          <w:szCs w:val="24"/>
          <w:lang w:val="en-US"/>
        </w:rPr>
        <w:t>2 years.</w:t>
      </w:r>
    </w:p>
    <w:p w14:paraId="2F9FFA1D" w14:textId="77777777" w:rsidR="007C5D2A" w:rsidRPr="00303008" w:rsidRDefault="007C5D2A" w:rsidP="003E0341">
      <w:pPr>
        <w:tabs>
          <w:tab w:val="left" w:pos="851"/>
        </w:tabs>
        <w:ind w:left="851"/>
        <w:rPr>
          <w:sz w:val="24"/>
          <w:szCs w:val="24"/>
          <w:lang w:val="en-GB"/>
        </w:rPr>
      </w:pPr>
    </w:p>
    <w:p w14:paraId="274AE55B"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4E13205D" w14:textId="77777777" w:rsidR="00DA51B9" w:rsidRPr="00DA51B9" w:rsidRDefault="00DA51B9" w:rsidP="00DA51B9">
      <w:pPr>
        <w:tabs>
          <w:tab w:val="left" w:pos="851"/>
        </w:tabs>
        <w:ind w:left="851"/>
        <w:rPr>
          <w:sz w:val="24"/>
          <w:szCs w:val="24"/>
          <w:lang w:val="en-US"/>
        </w:rPr>
      </w:pPr>
      <w:r w:rsidRPr="00DA51B9">
        <w:rPr>
          <w:sz w:val="24"/>
          <w:szCs w:val="24"/>
          <w:lang w:val="en-US"/>
        </w:rPr>
        <w:t>Do not store above 30 °C.</w:t>
      </w:r>
    </w:p>
    <w:p w14:paraId="5FB69D83" w14:textId="77777777" w:rsidR="007C5D2A" w:rsidRPr="00303008" w:rsidRDefault="007C5D2A" w:rsidP="003E0341">
      <w:pPr>
        <w:tabs>
          <w:tab w:val="left" w:pos="851"/>
        </w:tabs>
        <w:ind w:left="851"/>
        <w:rPr>
          <w:sz w:val="24"/>
          <w:szCs w:val="24"/>
          <w:lang w:val="en-GB"/>
        </w:rPr>
      </w:pPr>
    </w:p>
    <w:p w14:paraId="7BC59D9A"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74A079A7" w14:textId="77777777" w:rsidR="00DA51B9" w:rsidRPr="00DA51B9" w:rsidRDefault="00DA51B9" w:rsidP="00DA51B9">
      <w:pPr>
        <w:tabs>
          <w:tab w:val="left" w:pos="851"/>
        </w:tabs>
        <w:ind w:left="851"/>
        <w:rPr>
          <w:sz w:val="24"/>
          <w:szCs w:val="24"/>
          <w:lang w:val="en-US"/>
        </w:rPr>
      </w:pPr>
      <w:r w:rsidRPr="00DA51B9">
        <w:rPr>
          <w:sz w:val="24"/>
          <w:szCs w:val="24"/>
          <w:lang w:val="en-US"/>
        </w:rPr>
        <w:t>Blister (</w:t>
      </w:r>
      <w:proofErr w:type="spellStart"/>
      <w:r w:rsidRPr="00DA51B9">
        <w:rPr>
          <w:sz w:val="24"/>
          <w:szCs w:val="24"/>
          <w:lang w:val="en-US"/>
        </w:rPr>
        <w:t>aluminium</w:t>
      </w:r>
      <w:proofErr w:type="spellEnd"/>
      <w:r w:rsidRPr="00DA51B9">
        <w:rPr>
          <w:sz w:val="24"/>
          <w:szCs w:val="24"/>
          <w:lang w:val="en-US"/>
        </w:rPr>
        <w:t>/</w:t>
      </w:r>
      <w:proofErr w:type="spellStart"/>
      <w:r w:rsidRPr="00DA51B9">
        <w:rPr>
          <w:sz w:val="24"/>
          <w:szCs w:val="24"/>
          <w:lang w:val="en-US"/>
        </w:rPr>
        <w:t>aluminium</w:t>
      </w:r>
      <w:proofErr w:type="spellEnd"/>
      <w:r w:rsidRPr="00DA51B9">
        <w:rPr>
          <w:sz w:val="24"/>
          <w:szCs w:val="24"/>
          <w:lang w:val="en-US"/>
        </w:rPr>
        <w:t>)</w:t>
      </w:r>
    </w:p>
    <w:p w14:paraId="4B67E025" w14:textId="77777777" w:rsidR="00DA51B9" w:rsidRPr="00DA51B9" w:rsidRDefault="00DA51B9" w:rsidP="00DA51B9">
      <w:pPr>
        <w:tabs>
          <w:tab w:val="left" w:pos="851"/>
        </w:tabs>
        <w:ind w:left="851"/>
        <w:rPr>
          <w:sz w:val="24"/>
          <w:szCs w:val="24"/>
          <w:lang w:val="en-US"/>
        </w:rPr>
      </w:pPr>
    </w:p>
    <w:p w14:paraId="6B0EDB9B" w14:textId="77777777" w:rsidR="00DA51B9" w:rsidRPr="00DA51B9" w:rsidRDefault="00DA51B9" w:rsidP="00DA51B9">
      <w:pPr>
        <w:tabs>
          <w:tab w:val="left" w:pos="851"/>
        </w:tabs>
        <w:ind w:left="851"/>
        <w:rPr>
          <w:bCs/>
          <w:sz w:val="24"/>
          <w:szCs w:val="24"/>
          <w:lang w:val="en-US"/>
        </w:rPr>
      </w:pPr>
      <w:r w:rsidRPr="00DA51B9">
        <w:rPr>
          <w:bCs/>
          <w:sz w:val="24"/>
          <w:szCs w:val="24"/>
          <w:lang w:val="en-US"/>
        </w:rPr>
        <w:t xml:space="preserve">Pack sizes: </w:t>
      </w:r>
      <w:r w:rsidRPr="00DA51B9">
        <w:rPr>
          <w:sz w:val="24"/>
          <w:szCs w:val="24"/>
          <w:lang w:val="en-US"/>
        </w:rPr>
        <w:t>21, 28, 30, 42, 56, 84 and 90 prolonged-release tablets.</w:t>
      </w:r>
    </w:p>
    <w:p w14:paraId="340BC64A" w14:textId="77777777" w:rsidR="00DA51B9" w:rsidRPr="00DA51B9" w:rsidRDefault="00DA51B9" w:rsidP="00DA51B9">
      <w:pPr>
        <w:tabs>
          <w:tab w:val="left" w:pos="851"/>
        </w:tabs>
        <w:ind w:left="851"/>
        <w:rPr>
          <w:bCs/>
          <w:sz w:val="24"/>
          <w:szCs w:val="24"/>
          <w:lang w:val="en-US"/>
        </w:rPr>
      </w:pPr>
      <w:r w:rsidRPr="00DA51B9">
        <w:rPr>
          <w:sz w:val="24"/>
          <w:szCs w:val="24"/>
          <w:lang w:val="en-US"/>
        </w:rPr>
        <w:t>Not all pack sizes may be marketed.</w:t>
      </w:r>
    </w:p>
    <w:p w14:paraId="072BB8A8" w14:textId="77777777" w:rsidR="007C5D2A" w:rsidRPr="00303008" w:rsidRDefault="007C5D2A" w:rsidP="003E0341">
      <w:pPr>
        <w:tabs>
          <w:tab w:val="left" w:pos="851"/>
        </w:tabs>
        <w:ind w:left="851"/>
        <w:rPr>
          <w:sz w:val="24"/>
          <w:szCs w:val="24"/>
          <w:lang w:val="en-GB"/>
        </w:rPr>
      </w:pPr>
    </w:p>
    <w:p w14:paraId="3357C59F" w14:textId="77777777"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62F7F654" w14:textId="77777777" w:rsidR="00DA51B9" w:rsidRPr="00DA51B9" w:rsidRDefault="00DA51B9" w:rsidP="00DA51B9">
      <w:pPr>
        <w:tabs>
          <w:tab w:val="left" w:pos="851"/>
        </w:tabs>
        <w:ind w:left="851"/>
        <w:jc w:val="both"/>
        <w:rPr>
          <w:sz w:val="24"/>
          <w:szCs w:val="24"/>
          <w:lang w:val="en-US"/>
        </w:rPr>
      </w:pPr>
      <w:r w:rsidRPr="00DA51B9">
        <w:rPr>
          <w:sz w:val="24"/>
          <w:szCs w:val="24"/>
          <w:lang w:val="en-US"/>
        </w:rPr>
        <w:t>Any unused medicinal product or waste material should be disposed of in accordance with local requirements.</w:t>
      </w:r>
    </w:p>
    <w:p w14:paraId="7E0CC7CF" w14:textId="77777777" w:rsidR="007C5D2A" w:rsidRPr="00303008" w:rsidRDefault="007C5D2A" w:rsidP="00AB4376">
      <w:pPr>
        <w:tabs>
          <w:tab w:val="left" w:pos="851"/>
        </w:tabs>
        <w:ind w:left="851"/>
        <w:rPr>
          <w:sz w:val="24"/>
          <w:szCs w:val="24"/>
          <w:lang w:val="en-GB"/>
        </w:rPr>
      </w:pPr>
    </w:p>
    <w:p w14:paraId="4B5A399F" w14:textId="77777777"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14:paraId="18F570A7" w14:textId="77777777" w:rsidR="00DA51B9" w:rsidRDefault="00DA51B9" w:rsidP="00DA51B9">
      <w:pPr>
        <w:spacing w:line="240" w:lineRule="exact"/>
        <w:ind w:left="851"/>
        <w:rPr>
          <w:sz w:val="24"/>
          <w:szCs w:val="24"/>
          <w:lang w:val="en-US"/>
        </w:rPr>
      </w:pPr>
      <w:r>
        <w:rPr>
          <w:sz w:val="24"/>
          <w:szCs w:val="24"/>
          <w:lang w:val="en-US"/>
        </w:rPr>
        <w:t xml:space="preserve">Actavis Group PTC </w:t>
      </w:r>
      <w:proofErr w:type="spellStart"/>
      <w:r>
        <w:rPr>
          <w:sz w:val="24"/>
          <w:szCs w:val="24"/>
          <w:lang w:val="en-US"/>
        </w:rPr>
        <w:t>ehf</w:t>
      </w:r>
      <w:proofErr w:type="spellEnd"/>
      <w:r>
        <w:rPr>
          <w:sz w:val="24"/>
          <w:szCs w:val="24"/>
          <w:lang w:val="en-US"/>
        </w:rPr>
        <w:t>.</w:t>
      </w:r>
    </w:p>
    <w:p w14:paraId="1AEF7FF3" w14:textId="77777777" w:rsidR="00DA51B9" w:rsidRDefault="00DA51B9" w:rsidP="00DA51B9">
      <w:pPr>
        <w:tabs>
          <w:tab w:val="left" w:pos="851"/>
        </w:tabs>
        <w:spacing w:line="240" w:lineRule="exact"/>
        <w:ind w:left="851"/>
        <w:rPr>
          <w:sz w:val="24"/>
          <w:szCs w:val="24"/>
          <w:lang w:val="en-US"/>
        </w:rPr>
      </w:pPr>
      <w:proofErr w:type="spellStart"/>
      <w:r>
        <w:rPr>
          <w:sz w:val="24"/>
          <w:szCs w:val="24"/>
          <w:lang w:val="en-US"/>
        </w:rPr>
        <w:t>Reykjavikurvegur</w:t>
      </w:r>
      <w:proofErr w:type="spellEnd"/>
      <w:r>
        <w:rPr>
          <w:sz w:val="24"/>
          <w:szCs w:val="24"/>
          <w:lang w:val="en-US"/>
        </w:rPr>
        <w:t xml:space="preserve"> 76-78</w:t>
      </w:r>
    </w:p>
    <w:p w14:paraId="710C597A" w14:textId="77777777" w:rsidR="00DA51B9" w:rsidRDefault="00DA51B9" w:rsidP="00DA51B9">
      <w:pPr>
        <w:tabs>
          <w:tab w:val="left" w:pos="851"/>
        </w:tabs>
        <w:spacing w:line="240" w:lineRule="exact"/>
        <w:ind w:left="851"/>
        <w:rPr>
          <w:sz w:val="24"/>
          <w:szCs w:val="24"/>
          <w:lang w:val="en-US"/>
        </w:rPr>
      </w:pPr>
      <w:r>
        <w:rPr>
          <w:sz w:val="24"/>
          <w:szCs w:val="24"/>
          <w:lang w:val="en-US"/>
        </w:rPr>
        <w:t xml:space="preserve">220 </w:t>
      </w:r>
      <w:proofErr w:type="spellStart"/>
      <w:r>
        <w:rPr>
          <w:sz w:val="24"/>
          <w:szCs w:val="24"/>
          <w:lang w:val="en-US"/>
        </w:rPr>
        <w:t>Hafnarfjordur</w:t>
      </w:r>
      <w:proofErr w:type="spellEnd"/>
    </w:p>
    <w:p w14:paraId="01D1931D" w14:textId="77777777" w:rsidR="00DA51B9" w:rsidRDefault="00DA51B9" w:rsidP="00DA51B9">
      <w:pPr>
        <w:tabs>
          <w:tab w:val="left" w:pos="851"/>
        </w:tabs>
        <w:spacing w:line="240" w:lineRule="exact"/>
        <w:ind w:left="851"/>
        <w:rPr>
          <w:sz w:val="24"/>
          <w:szCs w:val="24"/>
          <w:lang w:val="en-US"/>
        </w:rPr>
      </w:pPr>
      <w:r>
        <w:rPr>
          <w:sz w:val="24"/>
          <w:szCs w:val="24"/>
          <w:lang w:val="en-US"/>
        </w:rPr>
        <w:t>Island</w:t>
      </w:r>
    </w:p>
    <w:p w14:paraId="4D376C2C" w14:textId="77777777" w:rsidR="008A24F6" w:rsidRPr="00303008" w:rsidRDefault="008A24F6" w:rsidP="003E0341">
      <w:pPr>
        <w:tabs>
          <w:tab w:val="left" w:pos="851"/>
        </w:tabs>
        <w:ind w:left="851"/>
        <w:jc w:val="both"/>
        <w:rPr>
          <w:sz w:val="24"/>
          <w:szCs w:val="24"/>
          <w:lang w:val="en-GB"/>
        </w:rPr>
      </w:pPr>
    </w:p>
    <w:p w14:paraId="623DA641" w14:textId="77777777"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14:paraId="5D7DC507" w14:textId="77777777" w:rsidR="00DA51B9" w:rsidRDefault="00DA51B9" w:rsidP="00DA51B9">
      <w:pPr>
        <w:tabs>
          <w:tab w:val="left" w:pos="1560"/>
        </w:tabs>
        <w:ind w:left="851"/>
        <w:jc w:val="both"/>
        <w:rPr>
          <w:sz w:val="24"/>
          <w:szCs w:val="24"/>
          <w:lang w:val="en-US"/>
        </w:rPr>
      </w:pPr>
      <w:r>
        <w:rPr>
          <w:sz w:val="24"/>
          <w:szCs w:val="24"/>
          <w:lang w:val="en-US"/>
        </w:rPr>
        <w:t>2 mg:</w:t>
      </w:r>
      <w:r>
        <w:rPr>
          <w:sz w:val="24"/>
          <w:szCs w:val="24"/>
          <w:lang w:val="en-US"/>
        </w:rPr>
        <w:tab/>
        <w:t>47979</w:t>
      </w:r>
    </w:p>
    <w:p w14:paraId="3CFC8DF0" w14:textId="77777777" w:rsidR="00DA51B9" w:rsidRDefault="00DA51B9" w:rsidP="00DA51B9">
      <w:pPr>
        <w:tabs>
          <w:tab w:val="left" w:pos="1560"/>
        </w:tabs>
        <w:ind w:left="851"/>
        <w:jc w:val="both"/>
        <w:rPr>
          <w:sz w:val="24"/>
          <w:szCs w:val="24"/>
          <w:lang w:val="en-US"/>
        </w:rPr>
      </w:pPr>
      <w:r>
        <w:rPr>
          <w:sz w:val="24"/>
          <w:szCs w:val="24"/>
          <w:lang w:val="en-US"/>
        </w:rPr>
        <w:t>3 mg:</w:t>
      </w:r>
      <w:r>
        <w:rPr>
          <w:sz w:val="24"/>
          <w:szCs w:val="24"/>
          <w:lang w:val="en-US"/>
        </w:rPr>
        <w:tab/>
        <w:t>47980</w:t>
      </w:r>
    </w:p>
    <w:p w14:paraId="3FDDF559" w14:textId="77777777" w:rsidR="00DA51B9" w:rsidRDefault="00DA51B9" w:rsidP="00DA51B9">
      <w:pPr>
        <w:tabs>
          <w:tab w:val="left" w:pos="1560"/>
        </w:tabs>
        <w:ind w:left="851"/>
        <w:jc w:val="both"/>
        <w:rPr>
          <w:sz w:val="24"/>
          <w:szCs w:val="24"/>
          <w:lang w:val="en-US"/>
        </w:rPr>
      </w:pPr>
      <w:r>
        <w:rPr>
          <w:sz w:val="24"/>
          <w:szCs w:val="24"/>
          <w:lang w:val="en-US"/>
        </w:rPr>
        <w:t>4 mg:</w:t>
      </w:r>
      <w:r>
        <w:rPr>
          <w:sz w:val="24"/>
          <w:szCs w:val="24"/>
          <w:lang w:val="en-US"/>
        </w:rPr>
        <w:tab/>
        <w:t>47981</w:t>
      </w:r>
    </w:p>
    <w:p w14:paraId="411A23E9" w14:textId="77777777" w:rsidR="00DA51B9" w:rsidRDefault="00DA51B9" w:rsidP="00DA51B9">
      <w:pPr>
        <w:tabs>
          <w:tab w:val="left" w:pos="1560"/>
        </w:tabs>
        <w:ind w:left="851"/>
        <w:jc w:val="both"/>
        <w:rPr>
          <w:sz w:val="24"/>
          <w:szCs w:val="24"/>
          <w:lang w:val="en-US"/>
        </w:rPr>
      </w:pPr>
      <w:r>
        <w:rPr>
          <w:sz w:val="24"/>
          <w:szCs w:val="24"/>
          <w:lang w:val="en-US"/>
        </w:rPr>
        <w:t>6 mg:</w:t>
      </w:r>
      <w:r>
        <w:rPr>
          <w:sz w:val="24"/>
          <w:szCs w:val="24"/>
          <w:lang w:val="en-US"/>
        </w:rPr>
        <w:tab/>
        <w:t>47982</w:t>
      </w:r>
    </w:p>
    <w:p w14:paraId="22E06D8D" w14:textId="77777777" w:rsidR="00DA51B9" w:rsidRDefault="00DA51B9" w:rsidP="00DA51B9">
      <w:pPr>
        <w:tabs>
          <w:tab w:val="left" w:pos="1560"/>
        </w:tabs>
        <w:ind w:left="851"/>
        <w:jc w:val="both"/>
        <w:rPr>
          <w:sz w:val="24"/>
          <w:szCs w:val="24"/>
          <w:lang w:val="en-US"/>
        </w:rPr>
      </w:pPr>
      <w:r>
        <w:rPr>
          <w:sz w:val="24"/>
          <w:szCs w:val="24"/>
          <w:lang w:val="en-US"/>
        </w:rPr>
        <w:t>8 mg:</w:t>
      </w:r>
      <w:r>
        <w:rPr>
          <w:sz w:val="24"/>
          <w:szCs w:val="24"/>
          <w:lang w:val="en-US"/>
        </w:rPr>
        <w:tab/>
        <w:t>47983</w:t>
      </w:r>
    </w:p>
    <w:p w14:paraId="4F3C0796" w14:textId="77777777" w:rsidR="007C5D2A" w:rsidRPr="00303008" w:rsidRDefault="007C5D2A" w:rsidP="00180A12">
      <w:pPr>
        <w:tabs>
          <w:tab w:val="left" w:pos="851"/>
        </w:tabs>
        <w:ind w:left="851"/>
        <w:jc w:val="both"/>
        <w:rPr>
          <w:sz w:val="24"/>
          <w:szCs w:val="24"/>
          <w:lang w:val="en-GB"/>
        </w:rPr>
      </w:pPr>
    </w:p>
    <w:p w14:paraId="4CFBD43E" w14:textId="77777777"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14:paraId="0D11EEE2" w14:textId="77777777" w:rsidR="00DA51B9" w:rsidRDefault="00DA51B9" w:rsidP="00DA51B9">
      <w:pPr>
        <w:ind w:left="851" w:hanging="851"/>
        <w:rPr>
          <w:sz w:val="24"/>
          <w:szCs w:val="24"/>
          <w:lang w:val="en-US"/>
        </w:rPr>
      </w:pPr>
      <w:r>
        <w:rPr>
          <w:sz w:val="24"/>
          <w:szCs w:val="24"/>
          <w:lang w:val="en-US"/>
        </w:rPr>
        <w:tab/>
        <w:t>17 September 2008 (film-coated tablets)</w:t>
      </w:r>
    </w:p>
    <w:p w14:paraId="442E6FCB" w14:textId="77777777" w:rsidR="007C5D2A" w:rsidRPr="00303008" w:rsidRDefault="007C5D2A" w:rsidP="003E0341">
      <w:pPr>
        <w:tabs>
          <w:tab w:val="left" w:pos="851"/>
        </w:tabs>
        <w:ind w:left="851"/>
        <w:jc w:val="both"/>
        <w:rPr>
          <w:sz w:val="24"/>
          <w:szCs w:val="24"/>
          <w:lang w:val="en-GB"/>
        </w:rPr>
      </w:pPr>
    </w:p>
    <w:p w14:paraId="4483A253" w14:textId="77777777"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14:paraId="08F7335B" w14:textId="279CB23A" w:rsidR="007C5D2A" w:rsidRPr="00303008" w:rsidRDefault="00A80850" w:rsidP="003E0341">
      <w:pPr>
        <w:tabs>
          <w:tab w:val="left" w:pos="851"/>
        </w:tabs>
        <w:ind w:left="851"/>
        <w:jc w:val="both"/>
        <w:rPr>
          <w:sz w:val="24"/>
          <w:szCs w:val="24"/>
          <w:lang w:val="en-GB"/>
        </w:rPr>
      </w:pPr>
      <w:r>
        <w:rPr>
          <w:sz w:val="24"/>
          <w:szCs w:val="24"/>
        </w:rPr>
        <w:t xml:space="preserve">15 </w:t>
      </w:r>
      <w:proofErr w:type="gramStart"/>
      <w:r>
        <w:rPr>
          <w:sz w:val="24"/>
          <w:szCs w:val="24"/>
        </w:rPr>
        <w:t>December</w:t>
      </w:r>
      <w:proofErr w:type="gramEnd"/>
      <w:r>
        <w:rPr>
          <w:sz w:val="24"/>
          <w:szCs w:val="24"/>
        </w:rPr>
        <w:t xml:space="preserve"> 2023</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2703B" w14:textId="77777777" w:rsidR="000B627B" w:rsidRDefault="000B627B">
      <w:r>
        <w:separator/>
      </w:r>
    </w:p>
  </w:endnote>
  <w:endnote w:type="continuationSeparator" w:id="0">
    <w:p w14:paraId="1039956B" w14:textId="77777777" w:rsidR="000B627B" w:rsidRDefault="000B6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D31E8"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EB118" w14:textId="77777777" w:rsidR="00864538" w:rsidRDefault="00864538">
    <w:pPr>
      <w:pStyle w:val="Sidefod"/>
      <w:pBdr>
        <w:bottom w:val="single" w:sz="6" w:space="1" w:color="auto"/>
      </w:pBdr>
    </w:pPr>
  </w:p>
  <w:p w14:paraId="705CAE2C" w14:textId="77777777" w:rsidR="00864538" w:rsidRDefault="00864538">
    <w:pPr>
      <w:pStyle w:val="Sidefod"/>
      <w:tabs>
        <w:tab w:val="clear" w:pos="4819"/>
        <w:tab w:val="left" w:pos="8647"/>
      </w:tabs>
      <w:rPr>
        <w:i/>
        <w:snapToGrid w:val="0"/>
        <w:sz w:val="18"/>
      </w:rPr>
    </w:pPr>
  </w:p>
  <w:p w14:paraId="2E92C0A0" w14:textId="09CAE57A"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80850">
      <w:rPr>
        <w:i/>
        <w:noProof/>
        <w:snapToGrid w:val="0"/>
        <w:sz w:val="18"/>
      </w:rPr>
      <w:t>Ropinirol Actavis, depottabletter 2 mg, 3 mg, 4 mg, 6 mg og 8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44E80" w14:textId="77777777" w:rsidR="00864538" w:rsidRDefault="00864538">
    <w:pPr>
      <w:pStyle w:val="Sidefod"/>
      <w:pBdr>
        <w:bottom w:val="single" w:sz="6" w:space="1" w:color="auto"/>
      </w:pBdr>
      <w:tabs>
        <w:tab w:val="clear" w:pos="4819"/>
        <w:tab w:val="left" w:pos="8789"/>
      </w:tabs>
      <w:rPr>
        <w:i/>
        <w:snapToGrid w:val="0"/>
        <w:sz w:val="18"/>
      </w:rPr>
    </w:pPr>
  </w:p>
  <w:p w14:paraId="7C44781C" w14:textId="77777777" w:rsidR="00864538" w:rsidRDefault="00864538">
    <w:pPr>
      <w:pStyle w:val="Sidefod"/>
      <w:tabs>
        <w:tab w:val="clear" w:pos="4819"/>
        <w:tab w:val="left" w:pos="8789"/>
      </w:tabs>
      <w:rPr>
        <w:i/>
        <w:snapToGrid w:val="0"/>
        <w:sz w:val="18"/>
      </w:rPr>
    </w:pPr>
  </w:p>
  <w:p w14:paraId="69C0D4DD" w14:textId="677D23B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A80850">
      <w:rPr>
        <w:i/>
        <w:noProof/>
        <w:snapToGrid w:val="0"/>
        <w:sz w:val="18"/>
      </w:rPr>
      <w:t>Ropinirol Actavis, depottabletter 2 mg, 3 mg, 4 mg, 6 mg og 8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12CCA" w14:textId="77777777" w:rsidR="000B627B" w:rsidRDefault="000B627B">
      <w:r>
        <w:separator/>
      </w:r>
    </w:p>
  </w:footnote>
  <w:footnote w:type="continuationSeparator" w:id="0">
    <w:p w14:paraId="2299A9E3" w14:textId="77777777" w:rsidR="000B627B" w:rsidRDefault="000B6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998AE"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5FC62"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EC218"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F57"/>
    <w:rsid w:val="00056601"/>
    <w:rsid w:val="000B627B"/>
    <w:rsid w:val="000C3846"/>
    <w:rsid w:val="000C6218"/>
    <w:rsid w:val="000D3C9D"/>
    <w:rsid w:val="000D6612"/>
    <w:rsid w:val="000F0D47"/>
    <w:rsid w:val="001242DE"/>
    <w:rsid w:val="00174299"/>
    <w:rsid w:val="00180A12"/>
    <w:rsid w:val="00214331"/>
    <w:rsid w:val="00214CF4"/>
    <w:rsid w:val="00281F03"/>
    <w:rsid w:val="0029458A"/>
    <w:rsid w:val="002A1587"/>
    <w:rsid w:val="002B27C5"/>
    <w:rsid w:val="002F6A49"/>
    <w:rsid w:val="002F6D9C"/>
    <w:rsid w:val="00303008"/>
    <w:rsid w:val="00316F4D"/>
    <w:rsid w:val="00347F57"/>
    <w:rsid w:val="00373B55"/>
    <w:rsid w:val="003866AC"/>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0BC"/>
    <w:rsid w:val="00562EA1"/>
    <w:rsid w:val="00573F02"/>
    <w:rsid w:val="005A498B"/>
    <w:rsid w:val="005F2867"/>
    <w:rsid w:val="00617BB8"/>
    <w:rsid w:val="006207FF"/>
    <w:rsid w:val="006619DA"/>
    <w:rsid w:val="00680052"/>
    <w:rsid w:val="00683267"/>
    <w:rsid w:val="006844E9"/>
    <w:rsid w:val="006B3847"/>
    <w:rsid w:val="0075453D"/>
    <w:rsid w:val="007A4CC6"/>
    <w:rsid w:val="007C3623"/>
    <w:rsid w:val="007C5D2A"/>
    <w:rsid w:val="007F1E00"/>
    <w:rsid w:val="007F65C0"/>
    <w:rsid w:val="00827444"/>
    <w:rsid w:val="008400E3"/>
    <w:rsid w:val="00864538"/>
    <w:rsid w:val="00873B4F"/>
    <w:rsid w:val="008A24F6"/>
    <w:rsid w:val="008E51AE"/>
    <w:rsid w:val="008F2F8C"/>
    <w:rsid w:val="00936407"/>
    <w:rsid w:val="009925C9"/>
    <w:rsid w:val="009F2E71"/>
    <w:rsid w:val="00A179D0"/>
    <w:rsid w:val="00A358A3"/>
    <w:rsid w:val="00A46747"/>
    <w:rsid w:val="00A80446"/>
    <w:rsid w:val="00A80850"/>
    <w:rsid w:val="00A85D26"/>
    <w:rsid w:val="00A9153A"/>
    <w:rsid w:val="00AB4376"/>
    <w:rsid w:val="00AC033C"/>
    <w:rsid w:val="00AD2E36"/>
    <w:rsid w:val="00B12541"/>
    <w:rsid w:val="00B45DC5"/>
    <w:rsid w:val="00BD3490"/>
    <w:rsid w:val="00C26226"/>
    <w:rsid w:val="00C3571D"/>
    <w:rsid w:val="00C4345C"/>
    <w:rsid w:val="00C54F0B"/>
    <w:rsid w:val="00C82621"/>
    <w:rsid w:val="00CB1423"/>
    <w:rsid w:val="00D02508"/>
    <w:rsid w:val="00D778CC"/>
    <w:rsid w:val="00D82FE9"/>
    <w:rsid w:val="00D97B77"/>
    <w:rsid w:val="00DA51B9"/>
    <w:rsid w:val="00DB6A85"/>
    <w:rsid w:val="00E06B32"/>
    <w:rsid w:val="00E1290F"/>
    <w:rsid w:val="00E36A80"/>
    <w:rsid w:val="00EB21D7"/>
    <w:rsid w:val="00EE3EB7"/>
    <w:rsid w:val="00F01791"/>
    <w:rsid w:val="00F57E16"/>
    <w:rsid w:val="00F60336"/>
    <w:rsid w:val="00FA007A"/>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683EF0"/>
  <w15:chartTrackingRefBased/>
  <w15:docId w15:val="{C04AA964-D6F6-43B5-BB37-0DE79566C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SidehovedTegn">
    <w:name w:val="Sidehoved Tegn"/>
    <w:basedOn w:val="Standardskrifttypeiafsnit"/>
    <w:link w:val="Sidehoved"/>
    <w:rsid w:val="00DA51B9"/>
    <w:rPr>
      <w:sz w:val="24"/>
    </w:rPr>
  </w:style>
  <w:style w:type="paragraph" w:styleId="NormalWeb">
    <w:name w:val="Normal (Web)"/>
    <w:basedOn w:val="Normal"/>
    <w:uiPriority w:val="99"/>
    <w:unhideWhenUsed/>
    <w:rsid w:val="009F2E71"/>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1149">
      <w:bodyDiv w:val="1"/>
      <w:marLeft w:val="0"/>
      <w:marRight w:val="0"/>
      <w:marTop w:val="0"/>
      <w:marBottom w:val="0"/>
      <w:divBdr>
        <w:top w:val="none" w:sz="0" w:space="0" w:color="auto"/>
        <w:left w:val="none" w:sz="0" w:space="0" w:color="auto"/>
        <w:bottom w:val="none" w:sz="0" w:space="0" w:color="auto"/>
        <w:right w:val="none" w:sz="0" w:space="0" w:color="auto"/>
      </w:divBdr>
    </w:div>
    <w:div w:id="255092279">
      <w:bodyDiv w:val="1"/>
      <w:marLeft w:val="0"/>
      <w:marRight w:val="0"/>
      <w:marTop w:val="0"/>
      <w:marBottom w:val="0"/>
      <w:divBdr>
        <w:top w:val="none" w:sz="0" w:space="0" w:color="auto"/>
        <w:left w:val="none" w:sz="0" w:space="0" w:color="auto"/>
        <w:bottom w:val="none" w:sz="0" w:space="0" w:color="auto"/>
        <w:right w:val="none" w:sz="0" w:space="0" w:color="auto"/>
      </w:divBdr>
    </w:div>
    <w:div w:id="382363627">
      <w:bodyDiv w:val="1"/>
      <w:marLeft w:val="0"/>
      <w:marRight w:val="0"/>
      <w:marTop w:val="0"/>
      <w:marBottom w:val="0"/>
      <w:divBdr>
        <w:top w:val="none" w:sz="0" w:space="0" w:color="auto"/>
        <w:left w:val="none" w:sz="0" w:space="0" w:color="auto"/>
        <w:bottom w:val="none" w:sz="0" w:space="0" w:color="auto"/>
        <w:right w:val="none" w:sz="0" w:space="0" w:color="auto"/>
      </w:divBdr>
    </w:div>
    <w:div w:id="415326484">
      <w:bodyDiv w:val="1"/>
      <w:marLeft w:val="0"/>
      <w:marRight w:val="0"/>
      <w:marTop w:val="0"/>
      <w:marBottom w:val="0"/>
      <w:divBdr>
        <w:top w:val="none" w:sz="0" w:space="0" w:color="auto"/>
        <w:left w:val="none" w:sz="0" w:space="0" w:color="auto"/>
        <w:bottom w:val="none" w:sz="0" w:space="0" w:color="auto"/>
        <w:right w:val="none" w:sz="0" w:space="0" w:color="auto"/>
      </w:divBdr>
    </w:div>
    <w:div w:id="435909440">
      <w:bodyDiv w:val="1"/>
      <w:marLeft w:val="0"/>
      <w:marRight w:val="0"/>
      <w:marTop w:val="0"/>
      <w:marBottom w:val="0"/>
      <w:divBdr>
        <w:top w:val="none" w:sz="0" w:space="0" w:color="auto"/>
        <w:left w:val="none" w:sz="0" w:space="0" w:color="auto"/>
        <w:bottom w:val="none" w:sz="0" w:space="0" w:color="auto"/>
        <w:right w:val="none" w:sz="0" w:space="0" w:color="auto"/>
      </w:divBdr>
    </w:div>
    <w:div w:id="497814545">
      <w:bodyDiv w:val="1"/>
      <w:marLeft w:val="0"/>
      <w:marRight w:val="0"/>
      <w:marTop w:val="0"/>
      <w:marBottom w:val="0"/>
      <w:divBdr>
        <w:top w:val="none" w:sz="0" w:space="0" w:color="auto"/>
        <w:left w:val="none" w:sz="0" w:space="0" w:color="auto"/>
        <w:bottom w:val="none" w:sz="0" w:space="0" w:color="auto"/>
        <w:right w:val="none" w:sz="0" w:space="0" w:color="auto"/>
      </w:divBdr>
    </w:div>
    <w:div w:id="562570961">
      <w:bodyDiv w:val="1"/>
      <w:marLeft w:val="0"/>
      <w:marRight w:val="0"/>
      <w:marTop w:val="0"/>
      <w:marBottom w:val="0"/>
      <w:divBdr>
        <w:top w:val="none" w:sz="0" w:space="0" w:color="auto"/>
        <w:left w:val="none" w:sz="0" w:space="0" w:color="auto"/>
        <w:bottom w:val="none" w:sz="0" w:space="0" w:color="auto"/>
        <w:right w:val="none" w:sz="0" w:space="0" w:color="auto"/>
      </w:divBdr>
    </w:div>
    <w:div w:id="592249792">
      <w:bodyDiv w:val="1"/>
      <w:marLeft w:val="0"/>
      <w:marRight w:val="0"/>
      <w:marTop w:val="0"/>
      <w:marBottom w:val="0"/>
      <w:divBdr>
        <w:top w:val="none" w:sz="0" w:space="0" w:color="auto"/>
        <w:left w:val="none" w:sz="0" w:space="0" w:color="auto"/>
        <w:bottom w:val="none" w:sz="0" w:space="0" w:color="auto"/>
        <w:right w:val="none" w:sz="0" w:space="0" w:color="auto"/>
      </w:divBdr>
    </w:div>
    <w:div w:id="674846060">
      <w:bodyDiv w:val="1"/>
      <w:marLeft w:val="0"/>
      <w:marRight w:val="0"/>
      <w:marTop w:val="0"/>
      <w:marBottom w:val="0"/>
      <w:divBdr>
        <w:top w:val="none" w:sz="0" w:space="0" w:color="auto"/>
        <w:left w:val="none" w:sz="0" w:space="0" w:color="auto"/>
        <w:bottom w:val="none" w:sz="0" w:space="0" w:color="auto"/>
        <w:right w:val="none" w:sz="0" w:space="0" w:color="auto"/>
      </w:divBdr>
    </w:div>
    <w:div w:id="729764453">
      <w:bodyDiv w:val="1"/>
      <w:marLeft w:val="0"/>
      <w:marRight w:val="0"/>
      <w:marTop w:val="0"/>
      <w:marBottom w:val="0"/>
      <w:divBdr>
        <w:top w:val="none" w:sz="0" w:space="0" w:color="auto"/>
        <w:left w:val="none" w:sz="0" w:space="0" w:color="auto"/>
        <w:bottom w:val="none" w:sz="0" w:space="0" w:color="auto"/>
        <w:right w:val="none" w:sz="0" w:space="0" w:color="auto"/>
      </w:divBdr>
    </w:div>
    <w:div w:id="816841470">
      <w:bodyDiv w:val="1"/>
      <w:marLeft w:val="0"/>
      <w:marRight w:val="0"/>
      <w:marTop w:val="0"/>
      <w:marBottom w:val="0"/>
      <w:divBdr>
        <w:top w:val="none" w:sz="0" w:space="0" w:color="auto"/>
        <w:left w:val="none" w:sz="0" w:space="0" w:color="auto"/>
        <w:bottom w:val="none" w:sz="0" w:space="0" w:color="auto"/>
        <w:right w:val="none" w:sz="0" w:space="0" w:color="auto"/>
      </w:divBdr>
    </w:div>
    <w:div w:id="962074447">
      <w:bodyDiv w:val="1"/>
      <w:marLeft w:val="0"/>
      <w:marRight w:val="0"/>
      <w:marTop w:val="0"/>
      <w:marBottom w:val="0"/>
      <w:divBdr>
        <w:top w:val="none" w:sz="0" w:space="0" w:color="auto"/>
        <w:left w:val="none" w:sz="0" w:space="0" w:color="auto"/>
        <w:bottom w:val="none" w:sz="0" w:space="0" w:color="auto"/>
        <w:right w:val="none" w:sz="0" w:space="0" w:color="auto"/>
      </w:divBdr>
    </w:div>
    <w:div w:id="996422664">
      <w:bodyDiv w:val="1"/>
      <w:marLeft w:val="0"/>
      <w:marRight w:val="0"/>
      <w:marTop w:val="0"/>
      <w:marBottom w:val="0"/>
      <w:divBdr>
        <w:top w:val="none" w:sz="0" w:space="0" w:color="auto"/>
        <w:left w:val="none" w:sz="0" w:space="0" w:color="auto"/>
        <w:bottom w:val="none" w:sz="0" w:space="0" w:color="auto"/>
        <w:right w:val="none" w:sz="0" w:space="0" w:color="auto"/>
      </w:divBdr>
    </w:div>
    <w:div w:id="1023244515">
      <w:bodyDiv w:val="1"/>
      <w:marLeft w:val="0"/>
      <w:marRight w:val="0"/>
      <w:marTop w:val="0"/>
      <w:marBottom w:val="0"/>
      <w:divBdr>
        <w:top w:val="none" w:sz="0" w:space="0" w:color="auto"/>
        <w:left w:val="none" w:sz="0" w:space="0" w:color="auto"/>
        <w:bottom w:val="none" w:sz="0" w:space="0" w:color="auto"/>
        <w:right w:val="none" w:sz="0" w:space="0" w:color="auto"/>
      </w:divBdr>
    </w:div>
    <w:div w:id="1034889028">
      <w:bodyDiv w:val="1"/>
      <w:marLeft w:val="0"/>
      <w:marRight w:val="0"/>
      <w:marTop w:val="0"/>
      <w:marBottom w:val="0"/>
      <w:divBdr>
        <w:top w:val="none" w:sz="0" w:space="0" w:color="auto"/>
        <w:left w:val="none" w:sz="0" w:space="0" w:color="auto"/>
        <w:bottom w:val="none" w:sz="0" w:space="0" w:color="auto"/>
        <w:right w:val="none" w:sz="0" w:space="0" w:color="auto"/>
      </w:divBdr>
    </w:div>
    <w:div w:id="1178808582">
      <w:bodyDiv w:val="1"/>
      <w:marLeft w:val="0"/>
      <w:marRight w:val="0"/>
      <w:marTop w:val="0"/>
      <w:marBottom w:val="0"/>
      <w:divBdr>
        <w:top w:val="none" w:sz="0" w:space="0" w:color="auto"/>
        <w:left w:val="none" w:sz="0" w:space="0" w:color="auto"/>
        <w:bottom w:val="none" w:sz="0" w:space="0" w:color="auto"/>
        <w:right w:val="none" w:sz="0" w:space="0" w:color="auto"/>
      </w:divBdr>
    </w:div>
    <w:div w:id="1209875663">
      <w:bodyDiv w:val="1"/>
      <w:marLeft w:val="0"/>
      <w:marRight w:val="0"/>
      <w:marTop w:val="0"/>
      <w:marBottom w:val="0"/>
      <w:divBdr>
        <w:top w:val="none" w:sz="0" w:space="0" w:color="auto"/>
        <w:left w:val="none" w:sz="0" w:space="0" w:color="auto"/>
        <w:bottom w:val="none" w:sz="0" w:space="0" w:color="auto"/>
        <w:right w:val="none" w:sz="0" w:space="0" w:color="auto"/>
      </w:divBdr>
    </w:div>
    <w:div w:id="1225145892">
      <w:bodyDiv w:val="1"/>
      <w:marLeft w:val="0"/>
      <w:marRight w:val="0"/>
      <w:marTop w:val="0"/>
      <w:marBottom w:val="0"/>
      <w:divBdr>
        <w:top w:val="none" w:sz="0" w:space="0" w:color="auto"/>
        <w:left w:val="none" w:sz="0" w:space="0" w:color="auto"/>
        <w:bottom w:val="none" w:sz="0" w:space="0" w:color="auto"/>
        <w:right w:val="none" w:sz="0" w:space="0" w:color="auto"/>
      </w:divBdr>
    </w:div>
    <w:div w:id="1244877950">
      <w:bodyDiv w:val="1"/>
      <w:marLeft w:val="0"/>
      <w:marRight w:val="0"/>
      <w:marTop w:val="0"/>
      <w:marBottom w:val="0"/>
      <w:divBdr>
        <w:top w:val="none" w:sz="0" w:space="0" w:color="auto"/>
        <w:left w:val="none" w:sz="0" w:space="0" w:color="auto"/>
        <w:bottom w:val="none" w:sz="0" w:space="0" w:color="auto"/>
        <w:right w:val="none" w:sz="0" w:space="0" w:color="auto"/>
      </w:divBdr>
    </w:div>
    <w:div w:id="1315111084">
      <w:bodyDiv w:val="1"/>
      <w:marLeft w:val="0"/>
      <w:marRight w:val="0"/>
      <w:marTop w:val="0"/>
      <w:marBottom w:val="0"/>
      <w:divBdr>
        <w:top w:val="none" w:sz="0" w:space="0" w:color="auto"/>
        <w:left w:val="none" w:sz="0" w:space="0" w:color="auto"/>
        <w:bottom w:val="none" w:sz="0" w:space="0" w:color="auto"/>
        <w:right w:val="none" w:sz="0" w:space="0" w:color="auto"/>
      </w:divBdr>
    </w:div>
    <w:div w:id="1517891313">
      <w:bodyDiv w:val="1"/>
      <w:marLeft w:val="0"/>
      <w:marRight w:val="0"/>
      <w:marTop w:val="0"/>
      <w:marBottom w:val="0"/>
      <w:divBdr>
        <w:top w:val="none" w:sz="0" w:space="0" w:color="auto"/>
        <w:left w:val="none" w:sz="0" w:space="0" w:color="auto"/>
        <w:bottom w:val="none" w:sz="0" w:space="0" w:color="auto"/>
        <w:right w:val="none" w:sz="0" w:space="0" w:color="auto"/>
      </w:divBdr>
    </w:div>
    <w:div w:id="1580289011">
      <w:bodyDiv w:val="1"/>
      <w:marLeft w:val="0"/>
      <w:marRight w:val="0"/>
      <w:marTop w:val="0"/>
      <w:marBottom w:val="0"/>
      <w:divBdr>
        <w:top w:val="none" w:sz="0" w:space="0" w:color="auto"/>
        <w:left w:val="none" w:sz="0" w:space="0" w:color="auto"/>
        <w:bottom w:val="none" w:sz="0" w:space="0" w:color="auto"/>
        <w:right w:val="none" w:sz="0" w:space="0" w:color="auto"/>
      </w:divBdr>
    </w:div>
    <w:div w:id="1701932999">
      <w:bodyDiv w:val="1"/>
      <w:marLeft w:val="0"/>
      <w:marRight w:val="0"/>
      <w:marTop w:val="0"/>
      <w:marBottom w:val="0"/>
      <w:divBdr>
        <w:top w:val="none" w:sz="0" w:space="0" w:color="auto"/>
        <w:left w:val="none" w:sz="0" w:space="0" w:color="auto"/>
        <w:bottom w:val="none" w:sz="0" w:space="0" w:color="auto"/>
        <w:right w:val="none" w:sz="0" w:space="0" w:color="auto"/>
      </w:divBdr>
    </w:div>
    <w:div w:id="1790927904">
      <w:bodyDiv w:val="1"/>
      <w:marLeft w:val="0"/>
      <w:marRight w:val="0"/>
      <w:marTop w:val="0"/>
      <w:marBottom w:val="0"/>
      <w:divBdr>
        <w:top w:val="none" w:sz="0" w:space="0" w:color="auto"/>
        <w:left w:val="none" w:sz="0" w:space="0" w:color="auto"/>
        <w:bottom w:val="none" w:sz="0" w:space="0" w:color="auto"/>
        <w:right w:val="none" w:sz="0" w:space="0" w:color="auto"/>
      </w:divBdr>
    </w:div>
    <w:div w:id="1798570398">
      <w:bodyDiv w:val="1"/>
      <w:marLeft w:val="0"/>
      <w:marRight w:val="0"/>
      <w:marTop w:val="0"/>
      <w:marBottom w:val="0"/>
      <w:divBdr>
        <w:top w:val="none" w:sz="0" w:space="0" w:color="auto"/>
        <w:left w:val="none" w:sz="0" w:space="0" w:color="auto"/>
        <w:bottom w:val="none" w:sz="0" w:space="0" w:color="auto"/>
        <w:right w:val="none" w:sz="0" w:space="0" w:color="auto"/>
      </w:divBdr>
    </w:div>
    <w:div w:id="1851749190">
      <w:bodyDiv w:val="1"/>
      <w:marLeft w:val="0"/>
      <w:marRight w:val="0"/>
      <w:marTop w:val="0"/>
      <w:marBottom w:val="0"/>
      <w:divBdr>
        <w:top w:val="none" w:sz="0" w:space="0" w:color="auto"/>
        <w:left w:val="none" w:sz="0" w:space="0" w:color="auto"/>
        <w:bottom w:val="none" w:sz="0" w:space="0" w:color="auto"/>
        <w:right w:val="none" w:sz="0" w:space="0" w:color="auto"/>
      </w:divBdr>
    </w:div>
    <w:div w:id="1968660660">
      <w:bodyDiv w:val="1"/>
      <w:marLeft w:val="0"/>
      <w:marRight w:val="0"/>
      <w:marTop w:val="0"/>
      <w:marBottom w:val="0"/>
      <w:divBdr>
        <w:top w:val="none" w:sz="0" w:space="0" w:color="auto"/>
        <w:left w:val="none" w:sz="0" w:space="0" w:color="auto"/>
        <w:bottom w:val="none" w:sz="0" w:space="0" w:color="auto"/>
        <w:right w:val="none" w:sz="0" w:space="0" w:color="auto"/>
      </w:divBdr>
    </w:div>
    <w:div w:id="20049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TotalTime>
  <Pages>14</Pages>
  <Words>4162</Words>
  <Characters>25375</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2023051246, var. 18, pkt. 4.8</dc:description>
  <cp:lastModifiedBy>Gitte Jørgensen</cp:lastModifiedBy>
  <cp:revision>10</cp:revision>
  <cp:lastPrinted>2006-02-24T09:31:00Z</cp:lastPrinted>
  <dcterms:created xsi:type="dcterms:W3CDTF">2023-12-15T11:55:00Z</dcterms:created>
  <dcterms:modified xsi:type="dcterms:W3CDTF">2023-12-15T12:03:00Z</dcterms:modified>
</cp:coreProperties>
</file>