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4B2" w:rsidRPr="00955972" w:rsidRDefault="002614B2" w:rsidP="002614B2">
      <w:r>
        <w:rPr>
          <w:noProof/>
          <w:lang w:eastAsia="da-DK"/>
        </w:rPr>
        <w:drawing>
          <wp:inline distT="0" distB="0" distL="0" distR="0" wp14:anchorId="05D4AC22" wp14:editId="4ADC4A99">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614B2" w:rsidRDefault="002614B2" w:rsidP="002614B2">
      <w:pPr>
        <w:pStyle w:val="Titel"/>
        <w:tabs>
          <w:tab w:val="left" w:pos="8222"/>
        </w:tabs>
        <w:jc w:val="left"/>
        <w:rPr>
          <w:b w:val="0"/>
        </w:rPr>
      </w:pPr>
    </w:p>
    <w:p w:rsidR="002614B2" w:rsidRPr="00E8217F" w:rsidRDefault="00D0644C" w:rsidP="002614B2">
      <w:pPr>
        <w:pStyle w:val="Titel"/>
        <w:tabs>
          <w:tab w:val="left" w:pos="8222"/>
        </w:tabs>
        <w:jc w:val="right"/>
      </w:pPr>
      <w:r>
        <w:t>5. januar 2021</w:t>
      </w:r>
    </w:p>
    <w:p w:rsidR="002614B2" w:rsidRPr="00E8217F" w:rsidRDefault="002614B2" w:rsidP="002614B2">
      <w:pPr>
        <w:pStyle w:val="Titel"/>
        <w:tabs>
          <w:tab w:val="left" w:pos="8222"/>
        </w:tabs>
        <w:jc w:val="left"/>
        <w:rPr>
          <w:b w:val="0"/>
        </w:rPr>
      </w:pPr>
    </w:p>
    <w:p w:rsidR="007D6DAC" w:rsidRDefault="007D6DAC" w:rsidP="002614B2">
      <w:pPr>
        <w:jc w:val="center"/>
        <w:rPr>
          <w:b/>
          <w:sz w:val="24"/>
          <w:szCs w:val="24"/>
        </w:rPr>
      </w:pPr>
    </w:p>
    <w:p w:rsidR="002614B2" w:rsidRPr="00F54025" w:rsidRDefault="002614B2" w:rsidP="002614B2">
      <w:pPr>
        <w:jc w:val="center"/>
        <w:rPr>
          <w:b/>
          <w:sz w:val="24"/>
          <w:szCs w:val="24"/>
        </w:rPr>
      </w:pPr>
      <w:r w:rsidRPr="00F54025">
        <w:rPr>
          <w:b/>
          <w:sz w:val="24"/>
          <w:szCs w:val="24"/>
        </w:rPr>
        <w:t>PRODUKTRESUMÉ</w:t>
      </w:r>
    </w:p>
    <w:p w:rsidR="002614B2" w:rsidRPr="00F54025" w:rsidRDefault="002614B2" w:rsidP="002614B2">
      <w:pPr>
        <w:jc w:val="center"/>
        <w:rPr>
          <w:b/>
          <w:sz w:val="24"/>
          <w:szCs w:val="24"/>
        </w:rPr>
      </w:pPr>
    </w:p>
    <w:p w:rsidR="002614B2" w:rsidRPr="00F54025" w:rsidRDefault="002614B2" w:rsidP="002614B2">
      <w:pPr>
        <w:jc w:val="center"/>
        <w:rPr>
          <w:b/>
          <w:sz w:val="24"/>
          <w:szCs w:val="24"/>
        </w:rPr>
      </w:pPr>
      <w:r w:rsidRPr="00F54025">
        <w:rPr>
          <w:b/>
          <w:sz w:val="24"/>
          <w:szCs w:val="24"/>
        </w:rPr>
        <w:t>for</w:t>
      </w:r>
    </w:p>
    <w:p w:rsidR="002614B2" w:rsidRPr="00F54025" w:rsidRDefault="002614B2" w:rsidP="002614B2">
      <w:pPr>
        <w:jc w:val="center"/>
        <w:rPr>
          <w:b/>
          <w:sz w:val="24"/>
          <w:szCs w:val="24"/>
        </w:rPr>
      </w:pPr>
    </w:p>
    <w:p w:rsidR="002614B2" w:rsidRPr="00F54025" w:rsidRDefault="002614B2" w:rsidP="002614B2">
      <w:pPr>
        <w:jc w:val="center"/>
        <w:rPr>
          <w:b/>
          <w:sz w:val="24"/>
          <w:szCs w:val="24"/>
        </w:rPr>
      </w:pPr>
      <w:r w:rsidRPr="00F54025">
        <w:rPr>
          <w:b/>
          <w:sz w:val="24"/>
          <w:szCs w:val="24"/>
        </w:rPr>
        <w:t>Ropinirol "Nordic Prime", depottabletter (Nordic Prime)</w:t>
      </w:r>
    </w:p>
    <w:p w:rsidR="002614B2" w:rsidRPr="00F54025" w:rsidRDefault="002614B2" w:rsidP="002614B2">
      <w:pPr>
        <w:jc w:val="both"/>
        <w:rPr>
          <w:sz w:val="24"/>
          <w:szCs w:val="24"/>
        </w:rPr>
      </w:pPr>
    </w:p>
    <w:p w:rsidR="002614B2" w:rsidRPr="00F54025" w:rsidRDefault="002614B2" w:rsidP="002614B2">
      <w:pPr>
        <w:ind w:left="851" w:hanging="851"/>
        <w:jc w:val="both"/>
        <w:rPr>
          <w:sz w:val="24"/>
          <w:szCs w:val="24"/>
        </w:rPr>
      </w:pPr>
    </w:p>
    <w:p w:rsidR="002614B2" w:rsidRPr="007F61FF" w:rsidRDefault="002614B2" w:rsidP="002614B2">
      <w:pPr>
        <w:ind w:left="851" w:hanging="851"/>
        <w:rPr>
          <w:b/>
          <w:sz w:val="24"/>
          <w:szCs w:val="24"/>
        </w:rPr>
      </w:pPr>
      <w:r w:rsidRPr="007F61FF">
        <w:rPr>
          <w:b/>
          <w:sz w:val="24"/>
          <w:szCs w:val="24"/>
        </w:rPr>
        <w:t>0.</w:t>
      </w:r>
      <w:r w:rsidRPr="007F61FF">
        <w:rPr>
          <w:b/>
          <w:sz w:val="24"/>
          <w:szCs w:val="24"/>
        </w:rPr>
        <w:tab/>
        <w:t>D.SP.NR.</w:t>
      </w:r>
    </w:p>
    <w:p w:rsidR="002614B2" w:rsidRPr="007F61FF" w:rsidRDefault="002614B2" w:rsidP="002614B2">
      <w:pPr>
        <w:ind w:left="851" w:hanging="851"/>
        <w:rPr>
          <w:sz w:val="24"/>
          <w:szCs w:val="24"/>
        </w:rPr>
      </w:pPr>
      <w:r w:rsidRPr="007F61FF">
        <w:rPr>
          <w:sz w:val="24"/>
          <w:szCs w:val="24"/>
        </w:rPr>
        <w:tab/>
        <w:t>25051</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1.</w:t>
      </w:r>
      <w:r w:rsidRPr="007F61FF">
        <w:rPr>
          <w:b/>
          <w:sz w:val="24"/>
          <w:szCs w:val="24"/>
        </w:rPr>
        <w:tab/>
        <w:t>LÆGEMIDLETS NAVN</w:t>
      </w:r>
    </w:p>
    <w:p w:rsidR="002614B2" w:rsidRPr="007F61FF" w:rsidRDefault="002614B2" w:rsidP="002614B2">
      <w:pPr>
        <w:ind w:left="851" w:hanging="851"/>
        <w:rPr>
          <w:sz w:val="24"/>
          <w:szCs w:val="24"/>
        </w:rPr>
      </w:pPr>
      <w:r w:rsidRPr="007F61FF">
        <w:rPr>
          <w:sz w:val="24"/>
          <w:szCs w:val="24"/>
        </w:rPr>
        <w:tab/>
        <w:t xml:space="preserve">Ropinirol </w:t>
      </w:r>
      <w:r>
        <w:rPr>
          <w:sz w:val="24"/>
          <w:szCs w:val="24"/>
        </w:rPr>
        <w:t>"Nordic Prime"</w:t>
      </w:r>
    </w:p>
    <w:p w:rsidR="002614B2" w:rsidRPr="007F61FF" w:rsidRDefault="002614B2" w:rsidP="002614B2">
      <w:pPr>
        <w:ind w:left="851" w:hanging="851"/>
        <w:rPr>
          <w:sz w:val="24"/>
          <w:szCs w:val="24"/>
        </w:rPr>
      </w:pPr>
      <w:r w:rsidRPr="007F61FF">
        <w:rPr>
          <w:sz w:val="24"/>
          <w:szCs w:val="24"/>
        </w:rPr>
        <w:tab/>
      </w:r>
    </w:p>
    <w:p w:rsidR="002614B2" w:rsidRPr="007F61FF" w:rsidRDefault="002614B2" w:rsidP="002614B2">
      <w:pPr>
        <w:ind w:left="851" w:hanging="851"/>
        <w:rPr>
          <w:b/>
          <w:sz w:val="24"/>
          <w:szCs w:val="24"/>
        </w:rPr>
      </w:pPr>
      <w:r w:rsidRPr="007F61FF">
        <w:rPr>
          <w:b/>
          <w:sz w:val="24"/>
          <w:szCs w:val="24"/>
        </w:rPr>
        <w:t>2.</w:t>
      </w:r>
      <w:r w:rsidRPr="007F61FF">
        <w:rPr>
          <w:b/>
          <w:sz w:val="24"/>
          <w:szCs w:val="24"/>
        </w:rPr>
        <w:tab/>
        <w:t>KVALITATIV OG KVANTITATIV SAMMENSÆTNING</w:t>
      </w:r>
    </w:p>
    <w:p w:rsidR="002614B2" w:rsidRPr="007F61FF" w:rsidRDefault="002614B2" w:rsidP="002614B2">
      <w:pPr>
        <w:tabs>
          <w:tab w:val="left" w:pos="-720"/>
        </w:tabs>
        <w:suppressAutoHyphens/>
        <w:ind w:left="851"/>
        <w:rPr>
          <w:sz w:val="24"/>
          <w:szCs w:val="24"/>
        </w:rPr>
      </w:pPr>
      <w:r w:rsidRPr="007F61FF">
        <w:rPr>
          <w:sz w:val="24"/>
          <w:szCs w:val="24"/>
        </w:rPr>
        <w:t xml:space="preserve">Hver depottablet indeholder 8 mg ropinirol (som </w:t>
      </w:r>
      <w:r>
        <w:rPr>
          <w:sz w:val="24"/>
          <w:szCs w:val="24"/>
        </w:rPr>
        <w:t>ropinirol</w:t>
      </w:r>
      <w:r w:rsidRPr="007F61FF">
        <w:rPr>
          <w:sz w:val="24"/>
          <w:szCs w:val="24"/>
        </w:rPr>
        <w:t>hydrochlorid).</w:t>
      </w:r>
    </w:p>
    <w:p w:rsidR="002614B2" w:rsidRPr="007F61FF" w:rsidRDefault="002614B2" w:rsidP="002614B2">
      <w:pPr>
        <w:tabs>
          <w:tab w:val="left" w:pos="-720"/>
        </w:tabs>
        <w:suppressAutoHyphens/>
        <w:ind w:left="851"/>
        <w:rPr>
          <w:sz w:val="24"/>
          <w:szCs w:val="24"/>
        </w:rPr>
      </w:pPr>
    </w:p>
    <w:p w:rsidR="002614B2" w:rsidRPr="007F61FF" w:rsidRDefault="002614B2" w:rsidP="002614B2">
      <w:pPr>
        <w:tabs>
          <w:tab w:val="left" w:pos="-720"/>
        </w:tabs>
        <w:suppressAutoHyphens/>
        <w:ind w:left="851"/>
        <w:rPr>
          <w:sz w:val="24"/>
          <w:szCs w:val="24"/>
        </w:rPr>
      </w:pPr>
      <w:r w:rsidRPr="007F61FF">
        <w:rPr>
          <w:sz w:val="24"/>
          <w:szCs w:val="24"/>
          <w:u w:val="single"/>
        </w:rPr>
        <w:t>Hjælpestof</w:t>
      </w:r>
      <w:r>
        <w:rPr>
          <w:sz w:val="24"/>
          <w:szCs w:val="24"/>
          <w:u w:val="single"/>
        </w:rPr>
        <w:t xml:space="preserve">, som behandleren skal </w:t>
      </w:r>
      <w:r w:rsidRPr="004C75F3">
        <w:rPr>
          <w:sz w:val="24"/>
          <w:szCs w:val="24"/>
          <w:u w:val="single"/>
        </w:rPr>
        <w:t>være opmærksom på</w:t>
      </w:r>
    </w:p>
    <w:p w:rsidR="002614B2" w:rsidRPr="007F61FF" w:rsidRDefault="002614B2" w:rsidP="002614B2">
      <w:pPr>
        <w:tabs>
          <w:tab w:val="left" w:pos="-720"/>
        </w:tabs>
        <w:suppressAutoHyphens/>
        <w:ind w:left="851"/>
        <w:rPr>
          <w:sz w:val="24"/>
          <w:szCs w:val="24"/>
        </w:rPr>
      </w:pPr>
      <w:r w:rsidRPr="007F61FF">
        <w:rPr>
          <w:sz w:val="24"/>
          <w:szCs w:val="24"/>
        </w:rPr>
        <w:t>Hver depottablet indeholder 55,88 mg lactosemonohydrat.</w:t>
      </w:r>
    </w:p>
    <w:p w:rsidR="002614B2" w:rsidRPr="007F61FF" w:rsidRDefault="002614B2" w:rsidP="002614B2">
      <w:pPr>
        <w:tabs>
          <w:tab w:val="left" w:pos="-720"/>
        </w:tabs>
        <w:suppressAutoHyphens/>
        <w:ind w:left="851"/>
        <w:rPr>
          <w:sz w:val="24"/>
          <w:szCs w:val="24"/>
        </w:rPr>
      </w:pPr>
    </w:p>
    <w:p w:rsidR="002614B2" w:rsidRDefault="002614B2" w:rsidP="002614B2">
      <w:pPr>
        <w:tabs>
          <w:tab w:val="left" w:pos="567"/>
        </w:tabs>
        <w:spacing w:line="260" w:lineRule="exact"/>
        <w:ind w:left="851"/>
        <w:rPr>
          <w:sz w:val="24"/>
        </w:rPr>
      </w:pPr>
      <w:r>
        <w:rPr>
          <w:sz w:val="24"/>
        </w:rPr>
        <w:t>Ropinirol "Nordic Prime" depottabletter indeholder hydrogeneret ricinusolie.</w:t>
      </w:r>
    </w:p>
    <w:p w:rsidR="002614B2" w:rsidRPr="007F61FF" w:rsidRDefault="002614B2" w:rsidP="002614B2">
      <w:pPr>
        <w:tabs>
          <w:tab w:val="left" w:pos="567"/>
        </w:tabs>
        <w:spacing w:line="260" w:lineRule="exact"/>
        <w:ind w:left="851"/>
        <w:rPr>
          <w:sz w:val="24"/>
        </w:rPr>
      </w:pPr>
      <w:r w:rsidRPr="007F61FF">
        <w:rPr>
          <w:sz w:val="24"/>
        </w:rPr>
        <w:t>Alle hjælpestoffer er anført under pkt. 6.1.</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3.</w:t>
      </w:r>
      <w:r w:rsidRPr="007F61FF">
        <w:rPr>
          <w:b/>
          <w:sz w:val="24"/>
          <w:szCs w:val="24"/>
        </w:rPr>
        <w:tab/>
        <w:t>LÆGEMIDDELFORM</w:t>
      </w:r>
    </w:p>
    <w:p w:rsidR="002614B2" w:rsidRDefault="002614B2" w:rsidP="002614B2">
      <w:pPr>
        <w:ind w:left="851" w:hanging="851"/>
        <w:rPr>
          <w:sz w:val="24"/>
          <w:szCs w:val="24"/>
        </w:rPr>
      </w:pPr>
      <w:r w:rsidRPr="007F61FF">
        <w:rPr>
          <w:sz w:val="24"/>
          <w:szCs w:val="24"/>
        </w:rPr>
        <w:tab/>
        <w:t>Depottabletter</w:t>
      </w:r>
      <w:r>
        <w:rPr>
          <w:sz w:val="24"/>
          <w:szCs w:val="24"/>
        </w:rPr>
        <w:t xml:space="preserve"> (</w:t>
      </w:r>
      <w:r w:rsidRPr="00E807F4">
        <w:rPr>
          <w:sz w:val="24"/>
          <w:szCs w:val="24"/>
        </w:rPr>
        <w:t>Nordic Prime</w:t>
      </w:r>
      <w:r>
        <w:rPr>
          <w:sz w:val="24"/>
          <w:szCs w:val="24"/>
        </w:rPr>
        <w:t>)</w:t>
      </w:r>
    </w:p>
    <w:p w:rsidR="002614B2" w:rsidRDefault="002614B2" w:rsidP="002614B2">
      <w:pPr>
        <w:ind w:left="851" w:hanging="851"/>
        <w:rPr>
          <w:sz w:val="24"/>
          <w:szCs w:val="24"/>
        </w:rPr>
      </w:pP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4.</w:t>
      </w:r>
      <w:r w:rsidRPr="007F61FF">
        <w:rPr>
          <w:b/>
          <w:sz w:val="24"/>
          <w:szCs w:val="24"/>
        </w:rPr>
        <w:tab/>
        <w:t>KLINISKE OPLYSNINGER</w:t>
      </w:r>
    </w:p>
    <w:p w:rsidR="002614B2" w:rsidRPr="00A44A58" w:rsidRDefault="002614B2" w:rsidP="002614B2">
      <w:pPr>
        <w:ind w:left="851" w:hanging="851"/>
        <w:rPr>
          <w:sz w:val="24"/>
          <w:szCs w:val="24"/>
        </w:rPr>
      </w:pPr>
    </w:p>
    <w:p w:rsidR="002614B2" w:rsidRPr="007F61FF" w:rsidRDefault="002614B2" w:rsidP="002614B2">
      <w:pPr>
        <w:ind w:left="851" w:hanging="851"/>
        <w:rPr>
          <w:b/>
          <w:sz w:val="24"/>
          <w:szCs w:val="24"/>
          <w:u w:val="single"/>
        </w:rPr>
      </w:pPr>
      <w:r w:rsidRPr="007F61FF">
        <w:rPr>
          <w:b/>
          <w:sz w:val="24"/>
          <w:szCs w:val="24"/>
        </w:rPr>
        <w:t>4.1</w:t>
      </w:r>
      <w:r w:rsidRPr="007F61FF">
        <w:rPr>
          <w:b/>
          <w:sz w:val="24"/>
          <w:szCs w:val="24"/>
        </w:rPr>
        <w:tab/>
        <w:t>Terapeutiske indikationer</w:t>
      </w:r>
    </w:p>
    <w:p w:rsidR="002614B2" w:rsidRPr="007F61FF" w:rsidRDefault="002614B2" w:rsidP="002614B2">
      <w:pPr>
        <w:ind w:left="851" w:hanging="851"/>
        <w:rPr>
          <w:sz w:val="24"/>
          <w:szCs w:val="24"/>
        </w:rPr>
      </w:pPr>
      <w:r w:rsidRPr="007F61FF">
        <w:rPr>
          <w:sz w:val="24"/>
          <w:szCs w:val="24"/>
        </w:rPr>
        <w:tab/>
        <w:t>Behandling af Parkinsons sygdom u</w:t>
      </w:r>
      <w:r>
        <w:rPr>
          <w:sz w:val="24"/>
          <w:szCs w:val="24"/>
        </w:rPr>
        <w:t>nder følgende omstændigheder</w:t>
      </w:r>
    </w:p>
    <w:p w:rsidR="002614B2" w:rsidRPr="007F61FF" w:rsidRDefault="002614B2" w:rsidP="002614B2">
      <w:pPr>
        <w:pStyle w:val="Listeafsnit"/>
        <w:numPr>
          <w:ilvl w:val="0"/>
          <w:numId w:val="6"/>
        </w:numPr>
        <w:ind w:left="1134" w:hanging="283"/>
        <w:rPr>
          <w:sz w:val="24"/>
          <w:szCs w:val="24"/>
        </w:rPr>
      </w:pPr>
      <w:r w:rsidRPr="007F61FF">
        <w:rPr>
          <w:sz w:val="24"/>
          <w:szCs w:val="24"/>
        </w:rPr>
        <w:t>Initialbehandling som monoterapi for at udsætte introduktionen af levodopa.</w:t>
      </w:r>
    </w:p>
    <w:p w:rsidR="002614B2" w:rsidRPr="007F61FF" w:rsidRDefault="002614B2" w:rsidP="002614B2">
      <w:pPr>
        <w:pStyle w:val="Listeafsnit"/>
        <w:numPr>
          <w:ilvl w:val="0"/>
          <w:numId w:val="6"/>
        </w:numPr>
        <w:ind w:left="1134" w:hanging="283"/>
        <w:rPr>
          <w:sz w:val="24"/>
          <w:szCs w:val="24"/>
        </w:rPr>
      </w:pPr>
      <w:r w:rsidRPr="007F61FF">
        <w:rPr>
          <w:sz w:val="24"/>
          <w:szCs w:val="24"/>
        </w:rPr>
        <w:t>I kombination med levodopa under sygdomsforløbet, når virkningen af levodopa aftager eller bliver inkonsistent, og der forekommer fluktuationer i den terapeutiske virkning (</w:t>
      </w:r>
      <w:r>
        <w:rPr>
          <w:sz w:val="24"/>
          <w:szCs w:val="24"/>
        </w:rPr>
        <w:t>"</w:t>
      </w:r>
      <w:r w:rsidRPr="007F61FF">
        <w:rPr>
          <w:sz w:val="24"/>
          <w:szCs w:val="24"/>
        </w:rPr>
        <w:t>end of dose</w:t>
      </w:r>
      <w:r>
        <w:rPr>
          <w:sz w:val="24"/>
          <w:szCs w:val="24"/>
        </w:rPr>
        <w:t>"</w:t>
      </w:r>
      <w:r w:rsidRPr="007F61FF">
        <w:rPr>
          <w:sz w:val="24"/>
          <w:szCs w:val="24"/>
        </w:rPr>
        <w:t xml:space="preserve"> eller </w:t>
      </w:r>
      <w:r>
        <w:rPr>
          <w:sz w:val="24"/>
          <w:szCs w:val="24"/>
        </w:rPr>
        <w:t>"</w:t>
      </w:r>
      <w:r w:rsidRPr="007F61FF">
        <w:rPr>
          <w:sz w:val="24"/>
          <w:szCs w:val="24"/>
        </w:rPr>
        <w:t>on</w:t>
      </w:r>
      <w:r w:rsidRPr="007F61FF">
        <w:rPr>
          <w:sz w:val="24"/>
          <w:szCs w:val="24"/>
        </w:rPr>
        <w:noBreakHyphen/>
        <w:t>off</w:t>
      </w:r>
      <w:r>
        <w:rPr>
          <w:sz w:val="24"/>
          <w:szCs w:val="24"/>
        </w:rPr>
        <w:t>"</w:t>
      </w:r>
      <w:r w:rsidRPr="007F61FF">
        <w:rPr>
          <w:sz w:val="24"/>
          <w:szCs w:val="24"/>
        </w:rPr>
        <w:t>-type fluktuationer).</w:t>
      </w:r>
    </w:p>
    <w:p w:rsidR="002614B2"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4.2</w:t>
      </w:r>
      <w:r w:rsidRPr="007F61FF">
        <w:rPr>
          <w:b/>
          <w:sz w:val="24"/>
          <w:szCs w:val="24"/>
        </w:rPr>
        <w:tab/>
        <w:t>Dosering og indgivelsesmåde</w:t>
      </w:r>
    </w:p>
    <w:p w:rsidR="002614B2" w:rsidRDefault="002614B2" w:rsidP="002614B2">
      <w:pPr>
        <w:rPr>
          <w:noProof/>
          <w:sz w:val="24"/>
          <w:szCs w:val="22"/>
          <w:u w:val="single"/>
        </w:rPr>
      </w:pPr>
    </w:p>
    <w:p w:rsidR="002614B2" w:rsidRPr="00882388" w:rsidRDefault="002614B2" w:rsidP="002614B2">
      <w:pPr>
        <w:ind w:left="851"/>
        <w:rPr>
          <w:b/>
          <w:noProof/>
          <w:sz w:val="24"/>
          <w:szCs w:val="22"/>
        </w:rPr>
      </w:pPr>
      <w:r w:rsidRPr="00882388">
        <w:rPr>
          <w:b/>
          <w:noProof/>
          <w:sz w:val="24"/>
          <w:szCs w:val="22"/>
        </w:rPr>
        <w:t>Dosering</w:t>
      </w:r>
    </w:p>
    <w:p w:rsidR="002614B2" w:rsidRPr="007F61FF" w:rsidRDefault="002614B2" w:rsidP="002614B2">
      <w:pPr>
        <w:ind w:left="851" w:hanging="851"/>
        <w:rPr>
          <w:sz w:val="24"/>
          <w:szCs w:val="24"/>
        </w:rPr>
      </w:pPr>
    </w:p>
    <w:p w:rsidR="002614B2" w:rsidRPr="007F61FF" w:rsidRDefault="002614B2" w:rsidP="002614B2">
      <w:pPr>
        <w:ind w:left="851"/>
        <w:rPr>
          <w:sz w:val="24"/>
          <w:szCs w:val="24"/>
          <w:u w:val="single"/>
        </w:rPr>
      </w:pPr>
      <w:r w:rsidRPr="007F61FF">
        <w:rPr>
          <w:sz w:val="24"/>
          <w:szCs w:val="24"/>
          <w:u w:val="single"/>
        </w:rPr>
        <w:t>Voksne</w:t>
      </w:r>
    </w:p>
    <w:p w:rsidR="002614B2" w:rsidRPr="007F61FF" w:rsidRDefault="002614B2" w:rsidP="002614B2">
      <w:pPr>
        <w:ind w:left="851"/>
        <w:rPr>
          <w:sz w:val="24"/>
          <w:szCs w:val="24"/>
        </w:rPr>
      </w:pPr>
      <w:r w:rsidRPr="007F61FF">
        <w:rPr>
          <w:sz w:val="24"/>
          <w:szCs w:val="24"/>
        </w:rPr>
        <w:t xml:space="preserve">Individuel dosistitrering anbefales i henhold til effekt og tolerance. Ropinirol </w:t>
      </w:r>
      <w:r>
        <w:rPr>
          <w:sz w:val="24"/>
          <w:szCs w:val="24"/>
        </w:rPr>
        <w:t>"Nordic Prime"</w:t>
      </w:r>
      <w:r w:rsidRPr="007F61FF">
        <w:rPr>
          <w:sz w:val="24"/>
          <w:szCs w:val="24"/>
        </w:rPr>
        <w:t xml:space="preserve"> depottabletter skal tages en gang </w:t>
      </w:r>
      <w:r>
        <w:rPr>
          <w:sz w:val="24"/>
          <w:szCs w:val="24"/>
        </w:rPr>
        <w:t>daglig</w:t>
      </w:r>
      <w:r w:rsidRPr="007F61FF">
        <w:rPr>
          <w:sz w:val="24"/>
          <w:szCs w:val="24"/>
        </w:rPr>
        <w:t xml:space="preserve">, på samme tidspunkt hver dag. Depottabletterne kan tages sammen med eller uden et måltid (se pkt. 5.2). </w:t>
      </w:r>
    </w:p>
    <w:p w:rsidR="002614B2" w:rsidRPr="007F61FF" w:rsidRDefault="002614B2" w:rsidP="002614B2">
      <w:pPr>
        <w:ind w:left="851" w:hanging="851"/>
        <w:rPr>
          <w:sz w:val="24"/>
          <w:szCs w:val="24"/>
        </w:rPr>
      </w:pPr>
    </w:p>
    <w:p w:rsidR="002614B2" w:rsidRPr="007F61FF" w:rsidRDefault="002614B2" w:rsidP="002614B2">
      <w:pPr>
        <w:ind w:left="851"/>
        <w:rPr>
          <w:i/>
          <w:sz w:val="24"/>
          <w:szCs w:val="24"/>
        </w:rPr>
      </w:pPr>
      <w:r w:rsidRPr="007F61FF">
        <w:rPr>
          <w:i/>
          <w:sz w:val="24"/>
          <w:szCs w:val="24"/>
        </w:rPr>
        <w:t>Initial titrering</w:t>
      </w:r>
    </w:p>
    <w:p w:rsidR="002614B2" w:rsidRPr="007F61FF" w:rsidRDefault="002614B2" w:rsidP="002614B2">
      <w:pPr>
        <w:ind w:left="851"/>
        <w:rPr>
          <w:sz w:val="24"/>
          <w:szCs w:val="24"/>
        </w:rPr>
      </w:pPr>
      <w:r w:rsidRPr="007F61FF">
        <w:rPr>
          <w:sz w:val="24"/>
          <w:szCs w:val="24"/>
        </w:rPr>
        <w:t xml:space="preserve">Startdosis af ropinirol depottabletter er 2 mg </w:t>
      </w:r>
      <w:r>
        <w:rPr>
          <w:sz w:val="24"/>
          <w:szCs w:val="24"/>
        </w:rPr>
        <w:t>en</w:t>
      </w:r>
      <w:r w:rsidRPr="007F61FF">
        <w:rPr>
          <w:sz w:val="24"/>
          <w:szCs w:val="24"/>
        </w:rPr>
        <w:t xml:space="preserve"> gang </w:t>
      </w:r>
      <w:r>
        <w:rPr>
          <w:sz w:val="24"/>
          <w:szCs w:val="24"/>
        </w:rPr>
        <w:t>daglig</w:t>
      </w:r>
      <w:r w:rsidRPr="007F61FF">
        <w:rPr>
          <w:sz w:val="24"/>
          <w:szCs w:val="24"/>
        </w:rPr>
        <w:t xml:space="preserve"> i den første uge, derefter øges dosis til 4 mg </w:t>
      </w:r>
      <w:r>
        <w:rPr>
          <w:sz w:val="24"/>
          <w:szCs w:val="24"/>
        </w:rPr>
        <w:t>en</w:t>
      </w:r>
      <w:r w:rsidRPr="007F61FF">
        <w:rPr>
          <w:sz w:val="24"/>
          <w:szCs w:val="24"/>
        </w:rPr>
        <w:t xml:space="preserve"> gang </w:t>
      </w:r>
      <w:r>
        <w:rPr>
          <w:sz w:val="24"/>
          <w:szCs w:val="24"/>
        </w:rPr>
        <w:t>daglig</w:t>
      </w:r>
      <w:r w:rsidRPr="007F61FF">
        <w:rPr>
          <w:sz w:val="24"/>
          <w:szCs w:val="24"/>
        </w:rPr>
        <w:t xml:space="preserve"> fra den anden behandlingsuge. Terapeutisk respons kan ses ved en dosis på 4 mg ropinirol depottabletter </w:t>
      </w:r>
      <w:r>
        <w:rPr>
          <w:sz w:val="24"/>
          <w:szCs w:val="24"/>
        </w:rPr>
        <w:t>en</w:t>
      </w:r>
      <w:r w:rsidRPr="007F61FF">
        <w:rPr>
          <w:sz w:val="24"/>
          <w:szCs w:val="24"/>
        </w:rPr>
        <w:t xml:space="preserve"> gang </w:t>
      </w:r>
      <w:r>
        <w:rPr>
          <w:sz w:val="24"/>
          <w:szCs w:val="24"/>
        </w:rPr>
        <w:t>daglig</w:t>
      </w:r>
      <w:r w:rsidRPr="007F61FF">
        <w:rPr>
          <w:sz w:val="24"/>
          <w:szCs w:val="24"/>
        </w:rPr>
        <w:t>.</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 xml:space="preserve">Patienter, som starter behandlingen med en dosis på 2 mg/dag af ropinirol depottabletter, og som oplever bivirkninger, som de ikke kan affinde sig med, kan have fordel af at skifte til behandling med konventionelle ropinirol filmovertrukne tabletter i en lavere daglig dosis, delt i 3 lige store doser. </w:t>
      </w:r>
    </w:p>
    <w:p w:rsidR="002614B2" w:rsidRPr="007F61FF" w:rsidRDefault="002614B2" w:rsidP="002614B2">
      <w:pPr>
        <w:ind w:left="851" w:hanging="851"/>
        <w:rPr>
          <w:sz w:val="24"/>
          <w:szCs w:val="24"/>
        </w:rPr>
      </w:pPr>
    </w:p>
    <w:p w:rsidR="002614B2" w:rsidRPr="007F61FF" w:rsidRDefault="002614B2" w:rsidP="002614B2">
      <w:pPr>
        <w:ind w:left="851"/>
        <w:rPr>
          <w:i/>
          <w:sz w:val="24"/>
          <w:szCs w:val="24"/>
        </w:rPr>
      </w:pPr>
      <w:r w:rsidRPr="007F61FF">
        <w:rPr>
          <w:i/>
          <w:sz w:val="24"/>
          <w:szCs w:val="24"/>
        </w:rPr>
        <w:t>Terapeutisk regime</w:t>
      </w:r>
    </w:p>
    <w:p w:rsidR="002614B2" w:rsidRPr="007F61FF" w:rsidRDefault="002614B2" w:rsidP="002614B2">
      <w:pPr>
        <w:ind w:left="851"/>
        <w:rPr>
          <w:sz w:val="24"/>
          <w:szCs w:val="24"/>
        </w:rPr>
      </w:pPr>
      <w:r w:rsidRPr="007F61FF">
        <w:rPr>
          <w:sz w:val="24"/>
          <w:szCs w:val="24"/>
        </w:rPr>
        <w:t xml:space="preserve">Patientens vedligeholdelsesdosis bør forblive på den laveste dosis af ropinirol depottabletter, hvor der opnås symptomatisk kontrol. </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 xml:space="preserve">Hvis tilstrækkelig symptomatisk kontrol ikke opnås eller opretholdes ved en dosis på 4 mg ropinirol depottabletter </w:t>
      </w:r>
      <w:r>
        <w:rPr>
          <w:sz w:val="24"/>
          <w:szCs w:val="24"/>
        </w:rPr>
        <w:t>en</w:t>
      </w:r>
      <w:r w:rsidRPr="007F61FF">
        <w:rPr>
          <w:sz w:val="24"/>
          <w:szCs w:val="24"/>
        </w:rPr>
        <w:t xml:space="preserve"> gang </w:t>
      </w:r>
      <w:r>
        <w:rPr>
          <w:sz w:val="24"/>
          <w:szCs w:val="24"/>
        </w:rPr>
        <w:t>daglig</w:t>
      </w:r>
      <w:r w:rsidRPr="007F61FF">
        <w:rPr>
          <w:sz w:val="24"/>
          <w:szCs w:val="24"/>
        </w:rPr>
        <w:t xml:space="preserve">, kan den daglige dosis øges med 2 mg ugentligt eller med længere intervaller op til en dosis på 8 mg ropinirol depottabletter </w:t>
      </w:r>
      <w:r>
        <w:rPr>
          <w:sz w:val="24"/>
          <w:szCs w:val="24"/>
        </w:rPr>
        <w:t>en</w:t>
      </w:r>
      <w:r w:rsidRPr="007F61FF">
        <w:rPr>
          <w:sz w:val="24"/>
          <w:szCs w:val="24"/>
        </w:rPr>
        <w:t xml:space="preserve"> gang </w:t>
      </w:r>
      <w:r>
        <w:rPr>
          <w:sz w:val="24"/>
          <w:szCs w:val="24"/>
        </w:rPr>
        <w:t>daglig</w:t>
      </w:r>
      <w:r w:rsidRPr="007F61FF">
        <w:rPr>
          <w:sz w:val="24"/>
          <w:szCs w:val="24"/>
        </w:rPr>
        <w:t xml:space="preserve">. </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 xml:space="preserve">Hvis tilstrækkelig symptomatisk kontrol stadig ikke opnås eller opretholdes ved en dosis på 8 mg ropinirol depottabletter </w:t>
      </w:r>
      <w:r>
        <w:rPr>
          <w:sz w:val="24"/>
          <w:szCs w:val="24"/>
        </w:rPr>
        <w:t>en</w:t>
      </w:r>
      <w:r w:rsidRPr="007F61FF">
        <w:rPr>
          <w:sz w:val="24"/>
          <w:szCs w:val="24"/>
        </w:rPr>
        <w:t xml:space="preserve"> gang </w:t>
      </w:r>
      <w:r>
        <w:rPr>
          <w:sz w:val="24"/>
          <w:szCs w:val="24"/>
        </w:rPr>
        <w:t>daglig</w:t>
      </w:r>
      <w:r w:rsidRPr="007F61FF">
        <w:rPr>
          <w:sz w:val="24"/>
          <w:szCs w:val="24"/>
        </w:rPr>
        <w:t xml:space="preserve">, kan den daglige dosis øges med 2-4 mg hver anden uge eller med længere intervaller. Maksimal daglig dosis af ropinirol depottabletter er 24 mg. </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For at opnå den dosis, som er nødvendig, anbefales det at anvende det mindst mulige antal ropinirol depottabletter ved at anvende den højst tilgængelige styrke af ropinirol depottabletter.</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Hvis behandlingen afbrydes i en eller flere dage, bør det overvejes at re-initiere behandlingen ved dosistitrering (se ovenstående).</w:t>
      </w:r>
    </w:p>
    <w:p w:rsidR="002614B2" w:rsidRPr="007F61FF" w:rsidRDefault="002614B2" w:rsidP="002614B2">
      <w:pPr>
        <w:ind w:left="851" w:hanging="851"/>
        <w:rPr>
          <w:sz w:val="24"/>
          <w:szCs w:val="24"/>
        </w:rPr>
      </w:pPr>
    </w:p>
    <w:p w:rsidR="002614B2" w:rsidRDefault="002614B2" w:rsidP="002614B2">
      <w:pPr>
        <w:ind w:left="851"/>
        <w:rPr>
          <w:sz w:val="24"/>
          <w:szCs w:val="24"/>
        </w:rPr>
      </w:pPr>
      <w:r w:rsidRPr="007F61FF">
        <w:rPr>
          <w:sz w:val="24"/>
          <w:szCs w:val="24"/>
        </w:rPr>
        <w:t xml:space="preserve">Når Ropinirol </w:t>
      </w:r>
      <w:r>
        <w:rPr>
          <w:sz w:val="24"/>
          <w:szCs w:val="24"/>
        </w:rPr>
        <w:t>"Nordic Prime"</w:t>
      </w:r>
      <w:r w:rsidRPr="007F61FF">
        <w:rPr>
          <w:sz w:val="24"/>
          <w:szCs w:val="24"/>
        </w:rPr>
        <w:t xml:space="preserve"> administreres som tillægsbehandling til levodopa, kan det være muligt at reducere levodopadosis gradvist, afhængigt af det kliniske respons. I kliniske undersøgelser blev levodopa-dosis reduceret gradvist med ca. 30 % hos patienter, der fik tillægsbehandlin</w:t>
      </w:r>
      <w:r>
        <w:rPr>
          <w:sz w:val="24"/>
          <w:szCs w:val="24"/>
        </w:rPr>
        <w:t>g med ropinirol depottabletter.</w:t>
      </w:r>
    </w:p>
    <w:p w:rsidR="002614B2" w:rsidRDefault="002614B2" w:rsidP="002614B2">
      <w:pPr>
        <w:ind w:left="851"/>
        <w:rPr>
          <w:sz w:val="24"/>
          <w:szCs w:val="24"/>
        </w:rPr>
      </w:pPr>
    </w:p>
    <w:p w:rsidR="002614B2" w:rsidRPr="007F61FF" w:rsidRDefault="002614B2" w:rsidP="002614B2">
      <w:pPr>
        <w:ind w:left="851"/>
        <w:rPr>
          <w:sz w:val="24"/>
          <w:szCs w:val="24"/>
        </w:rPr>
      </w:pPr>
      <w:r w:rsidRPr="007F61FF">
        <w:rPr>
          <w:sz w:val="24"/>
          <w:szCs w:val="24"/>
        </w:rPr>
        <w:t>Kombinationsbehandling med levodopa kan hos patienter med fremskreden Parkinsons sygdom</w:t>
      </w:r>
      <w:r>
        <w:rPr>
          <w:sz w:val="24"/>
          <w:szCs w:val="24"/>
        </w:rPr>
        <w:t xml:space="preserve"> </w:t>
      </w:r>
      <w:r w:rsidRPr="007F61FF">
        <w:rPr>
          <w:sz w:val="24"/>
          <w:szCs w:val="24"/>
        </w:rPr>
        <w:t>medføre dyskinesi under den initiale titrering af ropinirol depottabletter. I kliniske studier viste det sig, at en reduktion af levodopa-dosis kan forbedre dyskinesi (se pkt. 4.8).</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lastRenderedPageBreak/>
        <w:t>Ved overgang fra anden dopaminagonist til ropinirol skal indehaveren af markedsførings</w:t>
      </w:r>
      <w:r>
        <w:rPr>
          <w:sz w:val="24"/>
          <w:szCs w:val="24"/>
        </w:rPr>
        <w:softHyphen/>
      </w:r>
      <w:r w:rsidRPr="007F61FF">
        <w:rPr>
          <w:sz w:val="24"/>
          <w:szCs w:val="24"/>
        </w:rPr>
        <w:t>tilladelsens retningslinier med hensyn til seponering følges, inden ropinirol initieres.</w:t>
      </w:r>
    </w:p>
    <w:p w:rsidR="002614B2" w:rsidRDefault="002614B2" w:rsidP="002614B2">
      <w:pPr>
        <w:ind w:left="851" w:hanging="851"/>
        <w:rPr>
          <w:sz w:val="24"/>
          <w:szCs w:val="24"/>
        </w:rPr>
      </w:pPr>
    </w:p>
    <w:p w:rsidR="002614B2" w:rsidRPr="00382A41" w:rsidRDefault="002614B2" w:rsidP="002614B2">
      <w:pPr>
        <w:ind w:left="851"/>
        <w:rPr>
          <w:i/>
          <w:sz w:val="24"/>
          <w:szCs w:val="24"/>
        </w:rPr>
      </w:pPr>
      <w:r w:rsidRPr="00382A41">
        <w:rPr>
          <w:i/>
          <w:sz w:val="24"/>
          <w:szCs w:val="24"/>
        </w:rPr>
        <w:t>Behandlings</w:t>
      </w:r>
      <w:r>
        <w:rPr>
          <w:i/>
          <w:sz w:val="24"/>
          <w:szCs w:val="24"/>
        </w:rPr>
        <w:t>seponering</w:t>
      </w:r>
    </w:p>
    <w:p w:rsidR="002614B2" w:rsidRPr="007F61FF" w:rsidRDefault="002614B2" w:rsidP="002614B2">
      <w:pPr>
        <w:ind w:left="851"/>
        <w:rPr>
          <w:sz w:val="24"/>
          <w:szCs w:val="24"/>
        </w:rPr>
      </w:pPr>
      <w:r w:rsidRPr="007F61FF">
        <w:rPr>
          <w:sz w:val="24"/>
          <w:szCs w:val="24"/>
        </w:rPr>
        <w:t xml:space="preserve">I lighed med andre dopaminagonister er det nødvendigt at seponere ropinirolbehandling gradvist ved at reducere den daglige dosis over en periode på </w:t>
      </w:r>
      <w:r>
        <w:rPr>
          <w:sz w:val="24"/>
          <w:szCs w:val="24"/>
        </w:rPr>
        <w:t>en</w:t>
      </w:r>
      <w:r w:rsidRPr="007F61FF">
        <w:rPr>
          <w:sz w:val="24"/>
          <w:szCs w:val="24"/>
        </w:rPr>
        <w:t xml:space="preserve"> uge</w:t>
      </w:r>
      <w:r>
        <w:rPr>
          <w:sz w:val="24"/>
          <w:szCs w:val="24"/>
        </w:rPr>
        <w:t xml:space="preserve"> (se pkt. 4.4)</w:t>
      </w:r>
      <w:r w:rsidRPr="007F61FF">
        <w:rPr>
          <w:sz w:val="24"/>
          <w:szCs w:val="24"/>
        </w:rPr>
        <w:t>.</w:t>
      </w:r>
    </w:p>
    <w:p w:rsidR="002614B2" w:rsidRPr="007F61FF" w:rsidRDefault="002614B2" w:rsidP="002614B2">
      <w:pPr>
        <w:ind w:left="851" w:hanging="851"/>
        <w:rPr>
          <w:sz w:val="24"/>
          <w:szCs w:val="24"/>
        </w:rPr>
      </w:pPr>
    </w:p>
    <w:p w:rsidR="002614B2" w:rsidRPr="007F61FF" w:rsidRDefault="002614B2" w:rsidP="002614B2">
      <w:pPr>
        <w:ind w:left="851"/>
        <w:rPr>
          <w:i/>
          <w:sz w:val="24"/>
          <w:szCs w:val="24"/>
        </w:rPr>
      </w:pPr>
      <w:r w:rsidRPr="007F61FF">
        <w:rPr>
          <w:i/>
          <w:sz w:val="24"/>
          <w:szCs w:val="24"/>
        </w:rPr>
        <w:t>Skift fra ropinirol</w:t>
      </w:r>
      <w:r>
        <w:rPr>
          <w:i/>
          <w:sz w:val="24"/>
          <w:szCs w:val="24"/>
        </w:rPr>
        <w:t xml:space="preserve"> </w:t>
      </w:r>
      <w:r w:rsidRPr="007F61FF">
        <w:rPr>
          <w:i/>
          <w:sz w:val="24"/>
          <w:szCs w:val="24"/>
        </w:rPr>
        <w:t xml:space="preserve">filmovertrukne tabletter til Ropinirol </w:t>
      </w:r>
      <w:r>
        <w:rPr>
          <w:i/>
          <w:sz w:val="24"/>
          <w:szCs w:val="24"/>
        </w:rPr>
        <w:t>"Nordic Prime"</w:t>
      </w:r>
      <w:r w:rsidRPr="007F61FF">
        <w:rPr>
          <w:i/>
          <w:sz w:val="24"/>
          <w:szCs w:val="24"/>
        </w:rPr>
        <w:t xml:space="preserve"> depottabletter</w:t>
      </w:r>
    </w:p>
    <w:p w:rsidR="002614B2" w:rsidRDefault="002614B2" w:rsidP="002614B2">
      <w:pPr>
        <w:ind w:left="851"/>
        <w:rPr>
          <w:sz w:val="24"/>
          <w:szCs w:val="24"/>
        </w:rPr>
      </w:pPr>
      <w:r w:rsidRPr="007F61FF">
        <w:rPr>
          <w:sz w:val="24"/>
          <w:szCs w:val="24"/>
        </w:rPr>
        <w:t>Pati</w:t>
      </w:r>
      <w:r>
        <w:rPr>
          <w:sz w:val="24"/>
          <w:szCs w:val="24"/>
        </w:rPr>
        <w:t xml:space="preserve">enter kan skifte fra ropinirol </w:t>
      </w:r>
      <w:r w:rsidRPr="007F61FF">
        <w:rPr>
          <w:sz w:val="24"/>
          <w:szCs w:val="24"/>
        </w:rPr>
        <w:t xml:space="preserve">filmovertrukne tabletter (konventionelle) til Ropinirol </w:t>
      </w:r>
      <w:r>
        <w:rPr>
          <w:sz w:val="24"/>
          <w:szCs w:val="24"/>
        </w:rPr>
        <w:t>"Nordic Prime"</w:t>
      </w:r>
      <w:r w:rsidRPr="007F61FF">
        <w:rPr>
          <w:sz w:val="24"/>
          <w:szCs w:val="24"/>
        </w:rPr>
        <w:t xml:space="preserve"> depottabletter fra den ene dag til den anden. Dosis af Ropinirol </w:t>
      </w:r>
      <w:r>
        <w:rPr>
          <w:sz w:val="24"/>
          <w:szCs w:val="24"/>
        </w:rPr>
        <w:t>"Nordic Prime"</w:t>
      </w:r>
      <w:r w:rsidRPr="007F61FF">
        <w:rPr>
          <w:sz w:val="24"/>
          <w:szCs w:val="24"/>
        </w:rPr>
        <w:t xml:space="preserve"> depottabletter baseres på den totale daglige dosis af ropinirol filmovert</w:t>
      </w:r>
      <w:r>
        <w:rPr>
          <w:sz w:val="24"/>
          <w:szCs w:val="24"/>
        </w:rPr>
        <w:t>rukne tabletter, patienten fik.</w:t>
      </w:r>
    </w:p>
    <w:p w:rsidR="002614B2" w:rsidRDefault="002614B2" w:rsidP="002614B2">
      <w:pPr>
        <w:ind w:left="851"/>
        <w:rPr>
          <w:sz w:val="24"/>
          <w:szCs w:val="24"/>
        </w:rPr>
      </w:pPr>
    </w:p>
    <w:p w:rsidR="002614B2" w:rsidRPr="007F61FF" w:rsidRDefault="002614B2" w:rsidP="002614B2">
      <w:pPr>
        <w:ind w:left="851"/>
        <w:rPr>
          <w:sz w:val="24"/>
          <w:szCs w:val="24"/>
        </w:rPr>
      </w:pPr>
      <w:r w:rsidRPr="007F61FF">
        <w:rPr>
          <w:sz w:val="24"/>
          <w:szCs w:val="24"/>
        </w:rPr>
        <w:t xml:space="preserve">Skemaet nedenfor viser den anbefalede dosis af Ropinirol </w:t>
      </w:r>
      <w:r>
        <w:rPr>
          <w:sz w:val="24"/>
          <w:szCs w:val="24"/>
        </w:rPr>
        <w:t>"Nordic Prime"</w:t>
      </w:r>
      <w:r w:rsidRPr="007F61FF">
        <w:rPr>
          <w:sz w:val="24"/>
          <w:szCs w:val="24"/>
        </w:rPr>
        <w:t xml:space="preserve"> depottabletter for patienter, der skifter fra ropinirol filmovertrukne tabletter (konventionelle):</w:t>
      </w:r>
    </w:p>
    <w:p w:rsidR="002614B2" w:rsidRPr="007F61FF" w:rsidRDefault="002614B2" w:rsidP="002614B2">
      <w:pPr>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4112"/>
      </w:tblGrid>
      <w:tr w:rsidR="002614B2" w:rsidRPr="00D0644C" w:rsidTr="003B4BCE">
        <w:tc>
          <w:tcPr>
            <w:tcW w:w="3118" w:type="dxa"/>
            <w:tcBorders>
              <w:top w:val="single" w:sz="4" w:space="0" w:color="auto"/>
              <w:left w:val="single" w:sz="4" w:space="0" w:color="auto"/>
              <w:bottom w:val="single" w:sz="4" w:space="0" w:color="auto"/>
              <w:right w:val="single" w:sz="4" w:space="0" w:color="auto"/>
            </w:tcBorders>
            <w:hideMark/>
          </w:tcPr>
          <w:p w:rsidR="002614B2" w:rsidRPr="0065531C" w:rsidRDefault="002614B2" w:rsidP="003B4BCE">
            <w:pPr>
              <w:jc w:val="center"/>
              <w:rPr>
                <w:b/>
                <w:sz w:val="24"/>
                <w:szCs w:val="24"/>
              </w:rPr>
            </w:pPr>
            <w:r w:rsidRPr="0065531C">
              <w:rPr>
                <w:b/>
                <w:sz w:val="24"/>
                <w:szCs w:val="24"/>
              </w:rPr>
              <w:t>Ropinirol filmovertrukne tabletter</w:t>
            </w:r>
          </w:p>
          <w:p w:rsidR="002614B2" w:rsidRPr="007F61FF" w:rsidRDefault="002614B2" w:rsidP="003B4BCE">
            <w:pPr>
              <w:jc w:val="center"/>
              <w:rPr>
                <w:sz w:val="24"/>
                <w:szCs w:val="24"/>
              </w:rPr>
            </w:pPr>
            <w:r w:rsidRPr="007F61FF">
              <w:rPr>
                <w:sz w:val="24"/>
                <w:szCs w:val="24"/>
              </w:rPr>
              <w:t>Total daglig dosis (mg)</w:t>
            </w:r>
          </w:p>
        </w:tc>
        <w:tc>
          <w:tcPr>
            <w:tcW w:w="4112" w:type="dxa"/>
            <w:tcBorders>
              <w:top w:val="single" w:sz="4" w:space="0" w:color="auto"/>
              <w:left w:val="single" w:sz="4" w:space="0" w:color="auto"/>
              <w:bottom w:val="single" w:sz="4" w:space="0" w:color="auto"/>
              <w:right w:val="single" w:sz="4" w:space="0" w:color="auto"/>
            </w:tcBorders>
            <w:hideMark/>
          </w:tcPr>
          <w:p w:rsidR="002614B2" w:rsidRPr="00E807F4" w:rsidRDefault="002614B2" w:rsidP="003B4BCE">
            <w:pPr>
              <w:jc w:val="center"/>
              <w:rPr>
                <w:b/>
                <w:sz w:val="24"/>
                <w:szCs w:val="24"/>
                <w:lang w:val="en-US"/>
              </w:rPr>
            </w:pPr>
            <w:r w:rsidRPr="00E807F4">
              <w:rPr>
                <w:b/>
                <w:sz w:val="24"/>
                <w:szCs w:val="24"/>
                <w:lang w:val="en-US"/>
              </w:rPr>
              <w:t xml:space="preserve">Ropinirol "Nordic Prime" </w:t>
            </w:r>
          </w:p>
          <w:p w:rsidR="002614B2" w:rsidRPr="00E807F4" w:rsidRDefault="002614B2" w:rsidP="003B4BCE">
            <w:pPr>
              <w:jc w:val="center"/>
              <w:rPr>
                <w:b/>
                <w:sz w:val="24"/>
                <w:szCs w:val="24"/>
                <w:lang w:val="en-US"/>
              </w:rPr>
            </w:pPr>
            <w:r w:rsidRPr="00E807F4">
              <w:rPr>
                <w:b/>
                <w:sz w:val="24"/>
                <w:szCs w:val="24"/>
                <w:lang w:val="en-US"/>
              </w:rPr>
              <w:t>depottabletter</w:t>
            </w:r>
          </w:p>
          <w:p w:rsidR="002614B2" w:rsidRPr="00E807F4" w:rsidRDefault="002614B2" w:rsidP="003B4BCE">
            <w:pPr>
              <w:jc w:val="center"/>
              <w:rPr>
                <w:sz w:val="24"/>
                <w:szCs w:val="24"/>
                <w:lang w:val="en-US"/>
              </w:rPr>
            </w:pPr>
            <w:r w:rsidRPr="00E807F4">
              <w:rPr>
                <w:sz w:val="24"/>
                <w:szCs w:val="24"/>
                <w:lang w:val="en-US"/>
              </w:rPr>
              <w:t>Total daglig dosis (mg)</w:t>
            </w:r>
          </w:p>
        </w:tc>
      </w:tr>
      <w:tr w:rsidR="002614B2" w:rsidRPr="007F61FF" w:rsidTr="003B4BCE">
        <w:tc>
          <w:tcPr>
            <w:tcW w:w="3118"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0,75-2,25</w:t>
            </w:r>
          </w:p>
        </w:tc>
        <w:tc>
          <w:tcPr>
            <w:tcW w:w="4112"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2</w:t>
            </w:r>
          </w:p>
        </w:tc>
      </w:tr>
      <w:tr w:rsidR="002614B2" w:rsidRPr="007F61FF" w:rsidTr="003B4BCE">
        <w:tc>
          <w:tcPr>
            <w:tcW w:w="3118"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3-4,5</w:t>
            </w:r>
          </w:p>
        </w:tc>
        <w:tc>
          <w:tcPr>
            <w:tcW w:w="4112"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4</w:t>
            </w:r>
          </w:p>
        </w:tc>
      </w:tr>
      <w:tr w:rsidR="002614B2" w:rsidRPr="007F61FF" w:rsidTr="003B4BCE">
        <w:tc>
          <w:tcPr>
            <w:tcW w:w="3118"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6</w:t>
            </w:r>
          </w:p>
        </w:tc>
        <w:tc>
          <w:tcPr>
            <w:tcW w:w="4112"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6</w:t>
            </w:r>
          </w:p>
        </w:tc>
      </w:tr>
      <w:tr w:rsidR="002614B2" w:rsidRPr="007F61FF" w:rsidTr="003B4BCE">
        <w:tc>
          <w:tcPr>
            <w:tcW w:w="3118"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7,5-9</w:t>
            </w:r>
          </w:p>
        </w:tc>
        <w:tc>
          <w:tcPr>
            <w:tcW w:w="4112"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8</w:t>
            </w:r>
          </w:p>
        </w:tc>
      </w:tr>
      <w:tr w:rsidR="002614B2" w:rsidRPr="007F61FF" w:rsidTr="003B4BCE">
        <w:tc>
          <w:tcPr>
            <w:tcW w:w="3118"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12</w:t>
            </w:r>
          </w:p>
        </w:tc>
        <w:tc>
          <w:tcPr>
            <w:tcW w:w="4112"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12</w:t>
            </w:r>
          </w:p>
        </w:tc>
      </w:tr>
      <w:tr w:rsidR="002614B2" w:rsidRPr="007F61FF" w:rsidTr="003B4BCE">
        <w:tc>
          <w:tcPr>
            <w:tcW w:w="3118"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15-18</w:t>
            </w:r>
          </w:p>
        </w:tc>
        <w:tc>
          <w:tcPr>
            <w:tcW w:w="4112"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16</w:t>
            </w:r>
          </w:p>
        </w:tc>
      </w:tr>
      <w:tr w:rsidR="002614B2" w:rsidRPr="007F61FF" w:rsidTr="003B4BCE">
        <w:tc>
          <w:tcPr>
            <w:tcW w:w="3118"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21</w:t>
            </w:r>
          </w:p>
        </w:tc>
        <w:tc>
          <w:tcPr>
            <w:tcW w:w="4112"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20</w:t>
            </w:r>
          </w:p>
        </w:tc>
      </w:tr>
      <w:tr w:rsidR="002614B2" w:rsidRPr="007F61FF" w:rsidTr="003B4BCE">
        <w:tc>
          <w:tcPr>
            <w:tcW w:w="3118"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24</w:t>
            </w:r>
          </w:p>
        </w:tc>
        <w:tc>
          <w:tcPr>
            <w:tcW w:w="4112" w:type="dxa"/>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jc w:val="center"/>
              <w:rPr>
                <w:sz w:val="24"/>
                <w:szCs w:val="24"/>
              </w:rPr>
            </w:pPr>
            <w:r w:rsidRPr="007F61FF">
              <w:rPr>
                <w:sz w:val="24"/>
                <w:szCs w:val="24"/>
              </w:rPr>
              <w:t>24</w:t>
            </w:r>
          </w:p>
        </w:tc>
      </w:tr>
    </w:tbl>
    <w:p w:rsidR="002614B2" w:rsidRPr="007F61FF" w:rsidRDefault="002614B2" w:rsidP="002614B2">
      <w:pPr>
        <w:ind w:left="851" w:hanging="851"/>
        <w:rPr>
          <w:sz w:val="24"/>
          <w:szCs w:val="24"/>
        </w:rPr>
      </w:pPr>
    </w:p>
    <w:p w:rsidR="002614B2" w:rsidRDefault="002614B2" w:rsidP="002614B2">
      <w:pPr>
        <w:ind w:left="851"/>
        <w:rPr>
          <w:sz w:val="24"/>
          <w:szCs w:val="24"/>
        </w:rPr>
      </w:pPr>
      <w:r w:rsidRPr="007F61FF">
        <w:rPr>
          <w:sz w:val="24"/>
          <w:szCs w:val="24"/>
        </w:rPr>
        <w:t xml:space="preserve">Efter skift til Ropinirol </w:t>
      </w:r>
      <w:r>
        <w:rPr>
          <w:sz w:val="24"/>
          <w:szCs w:val="24"/>
        </w:rPr>
        <w:t>"Nordic Prime"</w:t>
      </w:r>
      <w:r w:rsidRPr="007F61FF">
        <w:rPr>
          <w:sz w:val="24"/>
          <w:szCs w:val="24"/>
        </w:rPr>
        <w:t xml:space="preserve"> depottabletter kan dosis justeres afhængigt af terapeutisk respons (se </w:t>
      </w:r>
      <w:r>
        <w:rPr>
          <w:sz w:val="24"/>
          <w:szCs w:val="24"/>
        </w:rPr>
        <w:t>"</w:t>
      </w:r>
      <w:r w:rsidRPr="007F61FF">
        <w:rPr>
          <w:sz w:val="24"/>
          <w:szCs w:val="24"/>
        </w:rPr>
        <w:t>Initial titrering</w:t>
      </w:r>
      <w:r>
        <w:rPr>
          <w:sz w:val="24"/>
          <w:szCs w:val="24"/>
        </w:rPr>
        <w:t>"</w:t>
      </w:r>
      <w:r w:rsidRPr="007F61FF">
        <w:rPr>
          <w:sz w:val="24"/>
          <w:szCs w:val="24"/>
        </w:rPr>
        <w:t xml:space="preserve"> og </w:t>
      </w:r>
      <w:r>
        <w:rPr>
          <w:sz w:val="24"/>
          <w:szCs w:val="24"/>
        </w:rPr>
        <w:t>"</w:t>
      </w:r>
      <w:r w:rsidRPr="007F61FF">
        <w:rPr>
          <w:sz w:val="24"/>
          <w:szCs w:val="24"/>
        </w:rPr>
        <w:t>Terapeutisk regime</w:t>
      </w:r>
      <w:r>
        <w:rPr>
          <w:sz w:val="24"/>
          <w:szCs w:val="24"/>
        </w:rPr>
        <w:t>"</w:t>
      </w:r>
      <w:r w:rsidRPr="007F61FF">
        <w:rPr>
          <w:sz w:val="24"/>
          <w:szCs w:val="24"/>
        </w:rPr>
        <w:t xml:space="preserve"> ovenfor).</w:t>
      </w:r>
    </w:p>
    <w:p w:rsidR="002614B2" w:rsidRPr="007F61FF" w:rsidRDefault="002614B2" w:rsidP="002614B2">
      <w:pPr>
        <w:ind w:left="851" w:hanging="851"/>
        <w:rPr>
          <w:sz w:val="24"/>
          <w:szCs w:val="24"/>
        </w:rPr>
      </w:pPr>
    </w:p>
    <w:p w:rsidR="002614B2" w:rsidRPr="00BD5F66" w:rsidRDefault="002614B2" w:rsidP="002614B2">
      <w:pPr>
        <w:ind w:left="851"/>
        <w:rPr>
          <w:sz w:val="24"/>
          <w:szCs w:val="24"/>
          <w:u w:val="single"/>
        </w:rPr>
      </w:pPr>
      <w:r w:rsidRPr="00BD5F66">
        <w:rPr>
          <w:sz w:val="24"/>
          <w:szCs w:val="24"/>
          <w:u w:val="single"/>
        </w:rPr>
        <w:t>Pædiatrisk population</w:t>
      </w:r>
    </w:p>
    <w:p w:rsidR="002614B2" w:rsidRPr="007F61FF" w:rsidRDefault="002614B2" w:rsidP="002614B2">
      <w:pPr>
        <w:ind w:left="851"/>
        <w:rPr>
          <w:sz w:val="24"/>
          <w:szCs w:val="24"/>
        </w:rPr>
      </w:pPr>
      <w:r w:rsidRPr="007F61FF">
        <w:rPr>
          <w:sz w:val="24"/>
          <w:szCs w:val="24"/>
        </w:rPr>
        <w:t xml:space="preserve">Det frarådes at anvende Ropinirol </w:t>
      </w:r>
      <w:r>
        <w:rPr>
          <w:sz w:val="24"/>
          <w:szCs w:val="24"/>
        </w:rPr>
        <w:t>"Nordic Prime"</w:t>
      </w:r>
      <w:r w:rsidRPr="007F61FF">
        <w:rPr>
          <w:sz w:val="24"/>
          <w:szCs w:val="24"/>
        </w:rPr>
        <w:t xml:space="preserve"> depottabletter til børn og unge under 18 år pga. manglende dokumentation for sikkerhed og virkning.</w:t>
      </w:r>
    </w:p>
    <w:p w:rsidR="002614B2" w:rsidRPr="007F61FF" w:rsidRDefault="002614B2" w:rsidP="002614B2">
      <w:pPr>
        <w:ind w:left="851" w:hanging="851"/>
        <w:rPr>
          <w:sz w:val="24"/>
          <w:szCs w:val="24"/>
        </w:rPr>
      </w:pPr>
    </w:p>
    <w:p w:rsidR="002614B2" w:rsidRPr="00F55B4F" w:rsidRDefault="002614B2" w:rsidP="002614B2">
      <w:pPr>
        <w:ind w:left="851"/>
        <w:rPr>
          <w:sz w:val="24"/>
          <w:szCs w:val="24"/>
          <w:u w:val="single"/>
        </w:rPr>
      </w:pPr>
      <w:r w:rsidRPr="00F55B4F">
        <w:rPr>
          <w:sz w:val="24"/>
          <w:szCs w:val="24"/>
          <w:u w:val="single"/>
        </w:rPr>
        <w:t>Ældre</w:t>
      </w:r>
    </w:p>
    <w:p w:rsidR="002614B2" w:rsidRPr="007F61FF" w:rsidRDefault="002614B2" w:rsidP="002614B2">
      <w:pPr>
        <w:ind w:left="851"/>
        <w:rPr>
          <w:sz w:val="24"/>
          <w:szCs w:val="24"/>
        </w:rPr>
      </w:pPr>
      <w:r w:rsidRPr="007F61FF">
        <w:rPr>
          <w:sz w:val="24"/>
          <w:szCs w:val="24"/>
        </w:rPr>
        <w:t>Clearance af ropinirol er nedsat med ca. 15 % hos patienter i alderen 65 år og derover. Selvom dosisjustering ikke er påkrævet, bør dosis af ropinirol titreres individuelt op til optimalt klinisk respons, med omhyggelig monitorering af tolerabilitet. Hos patienter i alderen 75 år og derover kan langsommere titrering ved behandlingsstart overvejes.</w:t>
      </w:r>
    </w:p>
    <w:p w:rsidR="002614B2" w:rsidRPr="007F61FF" w:rsidRDefault="002614B2" w:rsidP="002614B2">
      <w:pPr>
        <w:ind w:left="851" w:hanging="851"/>
        <w:rPr>
          <w:sz w:val="24"/>
          <w:szCs w:val="24"/>
          <w:u w:val="single"/>
        </w:rPr>
      </w:pPr>
    </w:p>
    <w:p w:rsidR="002614B2" w:rsidRPr="00F55B4F" w:rsidRDefault="002614B2" w:rsidP="002614B2">
      <w:pPr>
        <w:ind w:left="851"/>
        <w:rPr>
          <w:sz w:val="24"/>
          <w:szCs w:val="24"/>
          <w:u w:val="single"/>
        </w:rPr>
      </w:pPr>
      <w:r w:rsidRPr="00F55B4F">
        <w:rPr>
          <w:sz w:val="24"/>
          <w:szCs w:val="24"/>
          <w:u w:val="single"/>
        </w:rPr>
        <w:t>Nedsat nyrefunktion</w:t>
      </w:r>
    </w:p>
    <w:p w:rsidR="002614B2" w:rsidRPr="007F61FF" w:rsidRDefault="002614B2" w:rsidP="002614B2">
      <w:pPr>
        <w:ind w:left="851"/>
        <w:rPr>
          <w:sz w:val="24"/>
          <w:szCs w:val="24"/>
        </w:rPr>
      </w:pPr>
      <w:r w:rsidRPr="007F61FF">
        <w:rPr>
          <w:sz w:val="24"/>
          <w:szCs w:val="24"/>
        </w:rPr>
        <w:t>Hos patienter med let til moderat nedsat nyrefunktion (kreatininclearance mellem 30 og 50 ml/min) blev der ikke observeret nogen forandring i ropinirolclearance, hvilket indikerer, at dosisjustering ikke er nødvendig for denne population.</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 xml:space="preserve">Et studie af anvendelsen af ropinirol hos patienter med nyresvigt (patienter i hæmodialyse) har vist at dosisjustering er nødvendigt hos disse patienter, på følgende vis: Den anbefalede initiale dosis af ropinirol er 2 mg </w:t>
      </w:r>
      <w:r>
        <w:rPr>
          <w:sz w:val="24"/>
          <w:szCs w:val="24"/>
        </w:rPr>
        <w:t>en</w:t>
      </w:r>
      <w:r w:rsidRPr="007F61FF">
        <w:rPr>
          <w:sz w:val="24"/>
          <w:szCs w:val="24"/>
        </w:rPr>
        <w:t xml:space="preserve"> gang </w:t>
      </w:r>
      <w:r>
        <w:rPr>
          <w:sz w:val="24"/>
          <w:szCs w:val="24"/>
        </w:rPr>
        <w:t>daglig</w:t>
      </w:r>
      <w:r w:rsidRPr="007F61FF">
        <w:rPr>
          <w:sz w:val="24"/>
          <w:szCs w:val="24"/>
        </w:rPr>
        <w:t>. Yderligere dosisøgning bør baseres på tolerabilitet og virkning. Den anbefalede maksimale dosis af ropinirol</w:t>
      </w:r>
      <w:r w:rsidRPr="007F61FF">
        <w:rPr>
          <w:i/>
          <w:sz w:val="24"/>
          <w:szCs w:val="24"/>
        </w:rPr>
        <w:t xml:space="preserve"> </w:t>
      </w:r>
      <w:r w:rsidRPr="007F61FF">
        <w:rPr>
          <w:sz w:val="24"/>
          <w:szCs w:val="24"/>
        </w:rPr>
        <w:t xml:space="preserve">er 18 mg/dag hos </w:t>
      </w:r>
      <w:r w:rsidRPr="007F61FF">
        <w:rPr>
          <w:sz w:val="24"/>
          <w:szCs w:val="24"/>
        </w:rPr>
        <w:lastRenderedPageBreak/>
        <w:t>patienter i regelmæssig hæmodialyse. Supplerende doser efter hæmodialyse er ikke påkrævet (se pkt. 5.2).</w:t>
      </w:r>
    </w:p>
    <w:p w:rsidR="002614B2" w:rsidRPr="007F61FF" w:rsidRDefault="002614B2" w:rsidP="002614B2">
      <w:pPr>
        <w:ind w:left="851" w:hanging="851"/>
        <w:rPr>
          <w:sz w:val="24"/>
          <w:szCs w:val="24"/>
        </w:rPr>
      </w:pPr>
    </w:p>
    <w:p w:rsidR="002614B2" w:rsidRDefault="002614B2" w:rsidP="002614B2">
      <w:pPr>
        <w:ind w:left="851"/>
        <w:rPr>
          <w:sz w:val="24"/>
          <w:szCs w:val="24"/>
        </w:rPr>
      </w:pPr>
      <w:r w:rsidRPr="007F61FF">
        <w:rPr>
          <w:sz w:val="24"/>
          <w:szCs w:val="24"/>
        </w:rPr>
        <w:t>Anvendelse af ropinirol hos patienter med svær nedsat nyrefunktion (kreatininclearance mindre end 30 ml/min) uden regelmæssig hæmodialyse er ikke undersøgt.</w:t>
      </w:r>
    </w:p>
    <w:p w:rsidR="002614B2" w:rsidRDefault="002614B2" w:rsidP="002614B2">
      <w:pPr>
        <w:ind w:left="851"/>
        <w:rPr>
          <w:sz w:val="24"/>
          <w:szCs w:val="24"/>
        </w:rPr>
      </w:pPr>
    </w:p>
    <w:p w:rsidR="002614B2" w:rsidRPr="00F55B4F" w:rsidRDefault="002614B2" w:rsidP="002614B2">
      <w:pPr>
        <w:ind w:left="851"/>
        <w:rPr>
          <w:b/>
          <w:sz w:val="24"/>
          <w:szCs w:val="24"/>
        </w:rPr>
      </w:pPr>
      <w:r w:rsidRPr="00F55B4F">
        <w:rPr>
          <w:b/>
          <w:sz w:val="24"/>
          <w:szCs w:val="24"/>
        </w:rPr>
        <w:t>Administration</w:t>
      </w:r>
    </w:p>
    <w:p w:rsidR="002614B2" w:rsidRDefault="002614B2" w:rsidP="002614B2">
      <w:pPr>
        <w:ind w:left="851"/>
        <w:rPr>
          <w:sz w:val="24"/>
        </w:rPr>
      </w:pPr>
      <w:r>
        <w:rPr>
          <w:sz w:val="24"/>
        </w:rPr>
        <w:t>Oral anvendelse.</w:t>
      </w:r>
    </w:p>
    <w:p w:rsidR="002614B2" w:rsidRDefault="002614B2" w:rsidP="002614B2">
      <w:pPr>
        <w:ind w:left="851"/>
        <w:rPr>
          <w:sz w:val="24"/>
        </w:rPr>
      </w:pPr>
      <w:r w:rsidRPr="00754D28">
        <w:rPr>
          <w:sz w:val="24"/>
        </w:rPr>
        <w:t xml:space="preserve">Ropinirol </w:t>
      </w:r>
      <w:r>
        <w:rPr>
          <w:sz w:val="24"/>
        </w:rPr>
        <w:t>"Nordic Prime"</w:t>
      </w:r>
      <w:r w:rsidRPr="00754D28">
        <w:rPr>
          <w:sz w:val="24"/>
        </w:rPr>
        <w:t xml:space="preserve"> depottabletter skal synkes hele og må ikke tygges, knuses eller deles.</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4.3</w:t>
      </w:r>
      <w:r w:rsidRPr="007F61FF">
        <w:rPr>
          <w:b/>
          <w:sz w:val="24"/>
          <w:szCs w:val="24"/>
        </w:rPr>
        <w:tab/>
        <w:t>Kontraindikationer</w:t>
      </w:r>
    </w:p>
    <w:p w:rsidR="002614B2" w:rsidRPr="007F61FF" w:rsidRDefault="002614B2" w:rsidP="002614B2">
      <w:pPr>
        <w:pStyle w:val="Listeafsnit"/>
        <w:numPr>
          <w:ilvl w:val="0"/>
          <w:numId w:val="7"/>
        </w:numPr>
        <w:ind w:left="1134" w:hanging="283"/>
        <w:rPr>
          <w:sz w:val="24"/>
          <w:szCs w:val="24"/>
        </w:rPr>
      </w:pPr>
      <w:r w:rsidRPr="007F61FF">
        <w:rPr>
          <w:sz w:val="24"/>
          <w:szCs w:val="24"/>
        </w:rPr>
        <w:t xml:space="preserve">Overfølsomhed over for det aktive stof eller over for et eller flere af hjælpestofferne anført i pkt. 6.1. </w:t>
      </w:r>
    </w:p>
    <w:p w:rsidR="002614B2" w:rsidRPr="007F61FF" w:rsidRDefault="002614B2" w:rsidP="002614B2">
      <w:pPr>
        <w:pStyle w:val="Listeafsnit"/>
        <w:numPr>
          <w:ilvl w:val="0"/>
          <w:numId w:val="7"/>
        </w:numPr>
        <w:ind w:left="1134" w:hanging="283"/>
        <w:rPr>
          <w:sz w:val="24"/>
          <w:szCs w:val="24"/>
        </w:rPr>
      </w:pPr>
      <w:r w:rsidRPr="007F61FF">
        <w:rPr>
          <w:sz w:val="24"/>
          <w:szCs w:val="24"/>
        </w:rPr>
        <w:t>Alvorligt nedsat nyrefunktion (kreatininclearance &lt;30 ml/min) uden regelmæssig hæmodialyse.</w:t>
      </w:r>
    </w:p>
    <w:p w:rsidR="002614B2" w:rsidRPr="007F61FF" w:rsidRDefault="002614B2" w:rsidP="002614B2">
      <w:pPr>
        <w:pStyle w:val="Listeafsnit"/>
        <w:numPr>
          <w:ilvl w:val="0"/>
          <w:numId w:val="7"/>
        </w:numPr>
        <w:ind w:left="1134" w:hanging="283"/>
        <w:rPr>
          <w:sz w:val="24"/>
          <w:szCs w:val="24"/>
        </w:rPr>
      </w:pPr>
      <w:r w:rsidRPr="007F61FF">
        <w:rPr>
          <w:sz w:val="24"/>
          <w:szCs w:val="24"/>
        </w:rPr>
        <w:t>Nedsat leverfunktion.</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4.4</w:t>
      </w:r>
      <w:r w:rsidRPr="007F61FF">
        <w:rPr>
          <w:b/>
          <w:sz w:val="24"/>
          <w:szCs w:val="24"/>
        </w:rPr>
        <w:tab/>
        <w:t>Særlige advarsler og forsigtighedsregler vedrørende brugen</w:t>
      </w:r>
    </w:p>
    <w:p w:rsidR="002614B2" w:rsidRPr="007F61FF" w:rsidRDefault="002614B2" w:rsidP="002614B2">
      <w:pPr>
        <w:ind w:left="851" w:hanging="851"/>
        <w:rPr>
          <w:sz w:val="24"/>
          <w:szCs w:val="24"/>
        </w:rPr>
      </w:pPr>
      <w:r w:rsidRPr="007F61FF">
        <w:rPr>
          <w:sz w:val="24"/>
          <w:szCs w:val="24"/>
        </w:rPr>
        <w:tab/>
        <w:t>Ropinirol er sat i forbindelse med somnolens og episoder, hvor patienten pludseligt falder i søvn, især hos patienter med Parkin</w:t>
      </w:r>
      <w:r>
        <w:rPr>
          <w:sz w:val="24"/>
          <w:szCs w:val="24"/>
        </w:rPr>
        <w:t>sons sygdom. Der er</w:t>
      </w:r>
      <w:r w:rsidRPr="007F61FF">
        <w:rPr>
          <w:sz w:val="24"/>
          <w:szCs w:val="24"/>
        </w:rPr>
        <w:t xml:space="preserve"> rapporteret om patienter, der pludseligt falder i søvn under daglige gøremål og i nogle tilfælde uden forudgående advarselssignaler</w:t>
      </w:r>
      <w:r>
        <w:rPr>
          <w:sz w:val="24"/>
          <w:szCs w:val="24"/>
        </w:rPr>
        <w:t xml:space="preserve"> (se pkt. 4.8)</w:t>
      </w:r>
      <w:r w:rsidRPr="007F61FF">
        <w:rPr>
          <w:sz w:val="24"/>
          <w:szCs w:val="24"/>
        </w:rPr>
        <w:t>. Patienterne skal informeres om dette, og de bør rådes til at være forsigtige, hvis de fører motorkøretøj eller betjener maskiner under behandling med ropinirol. Patienter, der har oplevet somnolens og/eller episoder, hvor de pludseligt falder i søvn, skal undlade at føre motorkøretøj eller betjene maskiner. Reduktion af dosis eller seponering af behandlingen bør desuden overvejes.</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Patienter, der har eller har haft alvorlige psykiatriske eller psykotiske sygdomme, bør kun behandles med dopaminagonister, såfremt potentielle fordele opvejer risici.</w:t>
      </w:r>
    </w:p>
    <w:p w:rsidR="002614B2" w:rsidRPr="007F61FF" w:rsidRDefault="002614B2" w:rsidP="002614B2">
      <w:pPr>
        <w:ind w:left="851" w:hanging="851"/>
        <w:rPr>
          <w:sz w:val="24"/>
          <w:szCs w:val="24"/>
        </w:rPr>
      </w:pPr>
    </w:p>
    <w:p w:rsidR="002614B2" w:rsidRDefault="002614B2" w:rsidP="002614B2">
      <w:pPr>
        <w:ind w:left="851"/>
        <w:rPr>
          <w:rFonts w:cs="Calibri"/>
          <w:color w:val="000000"/>
          <w:sz w:val="24"/>
          <w:szCs w:val="22"/>
          <w:lang w:eastAsia="da-DK"/>
        </w:rPr>
      </w:pPr>
      <w:r w:rsidRPr="001058BA">
        <w:rPr>
          <w:sz w:val="24"/>
          <w:szCs w:val="24"/>
          <w:u w:val="single"/>
        </w:rPr>
        <w:t>Impul</w:t>
      </w:r>
      <w:r>
        <w:rPr>
          <w:sz w:val="24"/>
          <w:szCs w:val="24"/>
          <w:u w:val="single"/>
        </w:rPr>
        <w:t>s</w:t>
      </w:r>
      <w:r w:rsidRPr="001058BA">
        <w:rPr>
          <w:sz w:val="24"/>
          <w:szCs w:val="24"/>
          <w:u w:val="single"/>
        </w:rPr>
        <w:t>kontrolsygdomme</w:t>
      </w:r>
      <w:r>
        <w:rPr>
          <w:rFonts w:cs="Calibri"/>
          <w:color w:val="000000"/>
          <w:sz w:val="24"/>
          <w:szCs w:val="22"/>
          <w:lang w:eastAsia="da-DK"/>
        </w:rPr>
        <w:t xml:space="preserve"> </w:t>
      </w:r>
    </w:p>
    <w:p w:rsidR="002614B2" w:rsidRDefault="002614B2" w:rsidP="002614B2">
      <w:pPr>
        <w:ind w:left="851"/>
        <w:rPr>
          <w:rFonts w:cs="Calibri"/>
          <w:color w:val="000000"/>
          <w:sz w:val="24"/>
          <w:szCs w:val="22"/>
          <w:lang w:eastAsia="da-DK"/>
        </w:rPr>
      </w:pPr>
      <w:r>
        <w:rPr>
          <w:rFonts w:cs="Calibri"/>
          <w:color w:val="000000"/>
          <w:sz w:val="24"/>
          <w:szCs w:val="22"/>
          <w:lang w:eastAsia="da-DK"/>
        </w:rPr>
        <w:t xml:space="preserve">Patienter skal monitoreres regelmæssigt for udvikling af patologiske </w:t>
      </w:r>
      <w:r w:rsidRPr="00E97F88">
        <w:rPr>
          <w:rFonts w:cs="Calibri"/>
          <w:color w:val="000000"/>
          <w:sz w:val="24"/>
          <w:szCs w:val="22"/>
          <w:lang w:eastAsia="da-DK"/>
        </w:rPr>
        <w:t>vane</w:t>
      </w:r>
      <w:r>
        <w:rPr>
          <w:rFonts w:cs="Calibri"/>
          <w:color w:val="000000"/>
          <w:sz w:val="24"/>
          <w:szCs w:val="22"/>
          <w:lang w:eastAsia="da-DK"/>
        </w:rPr>
        <w:t xml:space="preserve">- </w:t>
      </w:r>
      <w:r w:rsidRPr="00E97F88">
        <w:rPr>
          <w:rFonts w:cs="Calibri"/>
          <w:color w:val="000000"/>
          <w:sz w:val="24"/>
          <w:szCs w:val="22"/>
          <w:lang w:eastAsia="da-DK"/>
        </w:rPr>
        <w:t xml:space="preserve">og </w:t>
      </w:r>
      <w:r>
        <w:rPr>
          <w:rFonts w:cs="Calibri"/>
          <w:color w:val="000000"/>
          <w:sz w:val="24"/>
          <w:szCs w:val="22"/>
          <w:lang w:eastAsia="da-DK"/>
        </w:rPr>
        <w:t xml:space="preserve">impulshandlinger. Patienter og behandlere skal </w:t>
      </w:r>
      <w:r w:rsidRPr="00E97F88">
        <w:rPr>
          <w:rFonts w:cs="Calibri"/>
          <w:color w:val="000000"/>
          <w:sz w:val="24"/>
          <w:szCs w:val="22"/>
          <w:lang w:eastAsia="da-DK"/>
        </w:rPr>
        <w:t>gø</w:t>
      </w:r>
      <w:r>
        <w:rPr>
          <w:rFonts w:cs="Calibri"/>
          <w:color w:val="000000"/>
          <w:sz w:val="24"/>
          <w:szCs w:val="22"/>
          <w:lang w:eastAsia="da-DK"/>
        </w:rPr>
        <w:t xml:space="preserve">res opmærksomme på, </w:t>
      </w:r>
      <w:r w:rsidRPr="00E97F88">
        <w:rPr>
          <w:rFonts w:cs="Calibri"/>
          <w:color w:val="000000"/>
          <w:sz w:val="24"/>
          <w:szCs w:val="22"/>
          <w:lang w:eastAsia="da-DK"/>
        </w:rPr>
        <w:t xml:space="preserve">at </w:t>
      </w:r>
      <w:r>
        <w:rPr>
          <w:rFonts w:cs="Calibri"/>
          <w:color w:val="000000"/>
          <w:sz w:val="24"/>
          <w:szCs w:val="22"/>
          <w:lang w:eastAsia="da-DK"/>
        </w:rPr>
        <w:t xml:space="preserve">adfærdssymptomer på patologisk </w:t>
      </w:r>
      <w:r w:rsidRPr="00E97F88">
        <w:rPr>
          <w:rFonts w:cs="Calibri"/>
          <w:color w:val="000000"/>
          <w:sz w:val="24"/>
          <w:szCs w:val="22"/>
          <w:lang w:eastAsia="da-DK"/>
        </w:rPr>
        <w:t>vane-</w:t>
      </w:r>
      <w:r>
        <w:rPr>
          <w:rFonts w:cs="Calibri"/>
          <w:color w:val="000000"/>
          <w:sz w:val="24"/>
          <w:szCs w:val="22"/>
          <w:lang w:eastAsia="da-DK"/>
        </w:rPr>
        <w:t xml:space="preserve"> </w:t>
      </w:r>
      <w:r w:rsidRPr="00E97F88">
        <w:rPr>
          <w:rFonts w:cs="Calibri"/>
          <w:color w:val="000000"/>
          <w:sz w:val="24"/>
          <w:szCs w:val="22"/>
          <w:lang w:eastAsia="da-DK"/>
        </w:rPr>
        <w:t>og</w:t>
      </w:r>
      <w:r>
        <w:rPr>
          <w:rFonts w:cs="Calibri"/>
          <w:color w:val="000000"/>
          <w:sz w:val="24"/>
          <w:szCs w:val="22"/>
          <w:lang w:eastAsia="da-DK"/>
        </w:rPr>
        <w:t xml:space="preserve"> </w:t>
      </w:r>
      <w:r w:rsidRPr="00E97F88">
        <w:rPr>
          <w:rFonts w:cs="Calibri"/>
          <w:color w:val="000000"/>
          <w:sz w:val="24"/>
          <w:szCs w:val="22"/>
          <w:lang w:eastAsia="da-DK"/>
        </w:rPr>
        <w:t>impuls</w:t>
      </w:r>
      <w:r>
        <w:rPr>
          <w:rFonts w:cs="Calibri"/>
          <w:color w:val="000000"/>
          <w:sz w:val="24"/>
          <w:szCs w:val="22"/>
          <w:lang w:eastAsia="da-DK"/>
        </w:rPr>
        <w:t xml:space="preserve">kontrol inklusiv patologisk spillelyst, forøget libido og hyperseksualitet, kompulsiv brug af penge og indkøb, spiseorgie og tvangsspisning kan opstå hos </w:t>
      </w:r>
      <w:r w:rsidRPr="00E97F88">
        <w:rPr>
          <w:rFonts w:cs="Calibri"/>
          <w:color w:val="000000"/>
          <w:sz w:val="24"/>
          <w:szCs w:val="22"/>
          <w:lang w:eastAsia="da-DK"/>
        </w:rPr>
        <w:t>patienter,</w:t>
      </w:r>
      <w:r>
        <w:rPr>
          <w:rFonts w:cs="Calibri"/>
          <w:color w:val="000000"/>
          <w:sz w:val="24"/>
          <w:szCs w:val="22"/>
          <w:lang w:eastAsia="da-DK"/>
        </w:rPr>
        <w:t xml:space="preserve"> som bliver behandlede med dopaminagonister, inklusive Ropinorol "Nordic Prime". Det anbefales at </w:t>
      </w:r>
      <w:r w:rsidRPr="00E97F88">
        <w:rPr>
          <w:rFonts w:cs="Calibri"/>
          <w:color w:val="000000"/>
          <w:sz w:val="24"/>
          <w:szCs w:val="22"/>
          <w:lang w:eastAsia="da-DK"/>
        </w:rPr>
        <w:t>genoverve</w:t>
      </w:r>
      <w:r>
        <w:rPr>
          <w:rFonts w:cs="Calibri"/>
          <w:color w:val="000000"/>
          <w:sz w:val="24"/>
          <w:szCs w:val="22"/>
          <w:lang w:eastAsia="da-DK"/>
        </w:rPr>
        <w:t xml:space="preserve">je behandlingen, hvis </w:t>
      </w:r>
      <w:r w:rsidRPr="00E97F88">
        <w:rPr>
          <w:rFonts w:cs="Calibri"/>
          <w:color w:val="000000"/>
          <w:sz w:val="24"/>
          <w:szCs w:val="22"/>
          <w:lang w:eastAsia="da-DK"/>
        </w:rPr>
        <w:t xml:space="preserve">disse </w:t>
      </w:r>
      <w:r>
        <w:rPr>
          <w:rFonts w:cs="Calibri"/>
          <w:color w:val="000000"/>
          <w:sz w:val="24"/>
          <w:szCs w:val="22"/>
          <w:lang w:eastAsia="da-DK"/>
        </w:rPr>
        <w:t xml:space="preserve">symptomer </w:t>
      </w:r>
      <w:r w:rsidRPr="00E97F88">
        <w:rPr>
          <w:rFonts w:cs="Calibri"/>
          <w:color w:val="000000"/>
          <w:sz w:val="24"/>
          <w:szCs w:val="22"/>
          <w:lang w:eastAsia="da-DK"/>
        </w:rPr>
        <w:t xml:space="preserve">opstår. </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På grund af risiko for hypotension anbefales blodtryksmonitorering hos patienter med alvorlig kardiovaskulær sygdom (især koronarinsufficiens), især ved behandlingsstart.</w:t>
      </w:r>
    </w:p>
    <w:p w:rsidR="002614B2" w:rsidRPr="007F61FF" w:rsidRDefault="002614B2" w:rsidP="002614B2">
      <w:pPr>
        <w:ind w:left="851" w:hanging="851"/>
        <w:rPr>
          <w:sz w:val="24"/>
          <w:szCs w:val="24"/>
        </w:rPr>
      </w:pPr>
    </w:p>
    <w:p w:rsidR="002614B2" w:rsidRDefault="002614B2" w:rsidP="002614B2">
      <w:pPr>
        <w:ind w:left="851"/>
        <w:rPr>
          <w:sz w:val="24"/>
          <w:szCs w:val="24"/>
        </w:rPr>
      </w:pPr>
      <w:r>
        <w:rPr>
          <w:sz w:val="24"/>
          <w:szCs w:val="24"/>
        </w:rPr>
        <w:t xml:space="preserve">Ropinirol ”Nordic Prime” </w:t>
      </w:r>
      <w:r w:rsidRPr="00934208">
        <w:rPr>
          <w:sz w:val="24"/>
          <w:szCs w:val="24"/>
        </w:rPr>
        <w:t>er udviklet til at frigive medicin over en periode på 24 timer. Hvis der opstår hurtigt gennemløb i mave-tarm-kanalen, er der risiko for ufuldstændig frigivelse af medicinen, og at medicinen passerer ud sammen med afføringen.</w:t>
      </w:r>
    </w:p>
    <w:p w:rsidR="002614B2" w:rsidRPr="002126D9" w:rsidRDefault="002614B2" w:rsidP="002614B2">
      <w:pPr>
        <w:ind w:left="851"/>
        <w:rPr>
          <w:sz w:val="24"/>
          <w:szCs w:val="24"/>
        </w:rPr>
      </w:pPr>
    </w:p>
    <w:p w:rsidR="002614B2" w:rsidRPr="002126D9" w:rsidRDefault="002614B2" w:rsidP="002614B2">
      <w:pPr>
        <w:ind w:left="851"/>
        <w:rPr>
          <w:sz w:val="24"/>
          <w:szCs w:val="24"/>
          <w:u w:val="single"/>
        </w:rPr>
      </w:pPr>
      <w:r w:rsidRPr="002126D9">
        <w:rPr>
          <w:sz w:val="24"/>
          <w:szCs w:val="24"/>
          <w:u w:val="single"/>
        </w:rPr>
        <w:t>Malignt neuroleptikasyndrom</w:t>
      </w:r>
    </w:p>
    <w:p w:rsidR="002614B2" w:rsidRPr="002126D9" w:rsidRDefault="002614B2" w:rsidP="002614B2">
      <w:pPr>
        <w:ind w:left="851"/>
        <w:rPr>
          <w:sz w:val="24"/>
          <w:szCs w:val="24"/>
        </w:rPr>
      </w:pPr>
      <w:r w:rsidRPr="002126D9">
        <w:rPr>
          <w:sz w:val="24"/>
          <w:szCs w:val="24"/>
        </w:rPr>
        <w:lastRenderedPageBreak/>
        <w:t xml:space="preserve">Symptomer, der tyder på malignt neuroleptikasyndrom, er blevet indberettet ved brat seponering af dopaminerg behandling. Det anbefales derfor at nedtrappe behandlingen (se pkt. 4.2). </w:t>
      </w:r>
    </w:p>
    <w:p w:rsidR="002614B2" w:rsidRPr="001122E0" w:rsidRDefault="002614B2" w:rsidP="002614B2">
      <w:pPr>
        <w:ind w:left="851"/>
        <w:rPr>
          <w:sz w:val="24"/>
          <w:szCs w:val="24"/>
        </w:rPr>
      </w:pPr>
    </w:p>
    <w:p w:rsidR="0011052C" w:rsidRPr="0011052C" w:rsidRDefault="0011052C" w:rsidP="0011052C">
      <w:pPr>
        <w:ind w:left="851"/>
        <w:rPr>
          <w:bCs/>
          <w:sz w:val="24"/>
          <w:szCs w:val="24"/>
          <w:u w:val="single"/>
        </w:rPr>
      </w:pPr>
      <w:r w:rsidRPr="0011052C">
        <w:rPr>
          <w:bCs/>
          <w:sz w:val="24"/>
          <w:szCs w:val="24"/>
          <w:u w:val="single"/>
        </w:rPr>
        <w:t>Dopaminaqonist-abstinenssyndrom (DAWS)</w:t>
      </w:r>
    </w:p>
    <w:p w:rsidR="0011052C" w:rsidRPr="0011052C" w:rsidRDefault="0011052C" w:rsidP="0011052C">
      <w:pPr>
        <w:ind w:left="851"/>
        <w:rPr>
          <w:sz w:val="24"/>
          <w:szCs w:val="24"/>
        </w:rPr>
      </w:pPr>
      <w:r w:rsidRPr="0011052C">
        <w:rPr>
          <w:sz w:val="24"/>
          <w:szCs w:val="24"/>
        </w:rPr>
        <w:t>Der er blevet rapporteret DAWS med dopaminagonister, herunder ropinirol (se pkt. 4.8). For at</w:t>
      </w:r>
      <w:r>
        <w:rPr>
          <w:sz w:val="24"/>
          <w:szCs w:val="24"/>
        </w:rPr>
        <w:t xml:space="preserve"> </w:t>
      </w:r>
      <w:r w:rsidRPr="0011052C">
        <w:rPr>
          <w:sz w:val="24"/>
          <w:szCs w:val="24"/>
        </w:rPr>
        <w:t>seponere behandlingen hos patienter med Parkinsons sygdom skal ropinirol nedtrappes (se</w:t>
      </w:r>
      <w:r>
        <w:rPr>
          <w:sz w:val="24"/>
          <w:szCs w:val="24"/>
        </w:rPr>
        <w:t xml:space="preserve"> </w:t>
      </w:r>
      <w:r w:rsidRPr="0011052C">
        <w:rPr>
          <w:sz w:val="24"/>
          <w:szCs w:val="24"/>
        </w:rPr>
        <w:t>pkt. 4.2). Begrænsede data tyder på, at patienter med impulskontrol</w:t>
      </w:r>
      <w:r w:rsidRPr="0011052C">
        <w:rPr>
          <w:sz w:val="24"/>
          <w:szCs w:val="24"/>
        </w:rPr>
        <w:softHyphen/>
        <w:t>forstyrrelser og dem, der får en</w:t>
      </w:r>
      <w:r>
        <w:rPr>
          <w:sz w:val="24"/>
          <w:szCs w:val="24"/>
        </w:rPr>
        <w:t xml:space="preserve"> </w:t>
      </w:r>
      <w:r w:rsidRPr="0011052C">
        <w:rPr>
          <w:sz w:val="24"/>
          <w:szCs w:val="24"/>
        </w:rPr>
        <w:t>høj daglig dosis og/eller høje kumulative doser af dopaminagonister</w:t>
      </w:r>
      <w:r>
        <w:rPr>
          <w:sz w:val="24"/>
          <w:szCs w:val="24"/>
        </w:rPr>
        <w:t>,</w:t>
      </w:r>
      <w:r w:rsidRPr="0011052C">
        <w:rPr>
          <w:sz w:val="24"/>
          <w:szCs w:val="24"/>
        </w:rPr>
        <w:t xml:space="preserve"> kan have en højere risiko for at</w:t>
      </w:r>
      <w:r>
        <w:rPr>
          <w:sz w:val="24"/>
          <w:szCs w:val="24"/>
        </w:rPr>
        <w:t xml:space="preserve"> </w:t>
      </w:r>
      <w:r w:rsidRPr="0011052C">
        <w:rPr>
          <w:sz w:val="24"/>
          <w:szCs w:val="24"/>
        </w:rPr>
        <w:t>udvikle DAWS. Abstinenssymptomer kan omfatte apati, angst, depression, træthed, svedtendens og</w:t>
      </w:r>
      <w:r>
        <w:rPr>
          <w:sz w:val="24"/>
          <w:szCs w:val="24"/>
        </w:rPr>
        <w:t xml:space="preserve"> </w:t>
      </w:r>
      <w:r w:rsidRPr="0011052C">
        <w:rPr>
          <w:sz w:val="24"/>
          <w:szCs w:val="24"/>
        </w:rPr>
        <w:t>smerter og responderer ikke på levodopa. Før nedtrapning og seponering af ropinirol skal</w:t>
      </w:r>
      <w:r w:rsidR="0038331A">
        <w:rPr>
          <w:sz w:val="24"/>
          <w:szCs w:val="24"/>
        </w:rPr>
        <w:t xml:space="preserve"> </w:t>
      </w:r>
      <w:r w:rsidRPr="0011052C">
        <w:rPr>
          <w:sz w:val="24"/>
          <w:szCs w:val="24"/>
        </w:rPr>
        <w:t>patienterne informeres om potentielle abstinenssymptomer. Patienterne skal overvåges nøje under</w:t>
      </w:r>
      <w:r w:rsidR="0038331A">
        <w:rPr>
          <w:sz w:val="24"/>
          <w:szCs w:val="24"/>
        </w:rPr>
        <w:t xml:space="preserve"> </w:t>
      </w:r>
      <w:r w:rsidRPr="0011052C">
        <w:rPr>
          <w:sz w:val="24"/>
          <w:szCs w:val="24"/>
        </w:rPr>
        <w:t>nedtrapning og seponering. I tilfælde af svære og/eller vedvarende abstinenssymptomer kan</w:t>
      </w:r>
      <w:r w:rsidR="0038331A">
        <w:rPr>
          <w:sz w:val="24"/>
          <w:szCs w:val="24"/>
        </w:rPr>
        <w:t xml:space="preserve"> </w:t>
      </w:r>
      <w:r w:rsidRPr="0011052C">
        <w:rPr>
          <w:sz w:val="24"/>
          <w:szCs w:val="24"/>
        </w:rPr>
        <w:t>midlertidig genadministration af ropinirol med den laveste effektive dosis overvejes.</w:t>
      </w:r>
    </w:p>
    <w:p w:rsidR="002614B2" w:rsidRPr="0011052C" w:rsidRDefault="002614B2" w:rsidP="002614B2">
      <w:pPr>
        <w:ind w:left="851"/>
        <w:rPr>
          <w:sz w:val="24"/>
          <w:szCs w:val="24"/>
        </w:rPr>
      </w:pPr>
    </w:p>
    <w:p w:rsidR="002614B2" w:rsidRPr="001122E0" w:rsidRDefault="002614B2" w:rsidP="002614B2">
      <w:pPr>
        <w:ind w:left="851"/>
        <w:rPr>
          <w:sz w:val="24"/>
          <w:szCs w:val="24"/>
          <w:u w:val="single"/>
        </w:rPr>
      </w:pPr>
      <w:r w:rsidRPr="001122E0">
        <w:rPr>
          <w:sz w:val="24"/>
          <w:szCs w:val="24"/>
          <w:u w:val="single"/>
        </w:rPr>
        <w:t>Hallucinationer</w:t>
      </w:r>
    </w:p>
    <w:p w:rsidR="002614B2" w:rsidRPr="001122E0" w:rsidRDefault="002614B2" w:rsidP="002614B2">
      <w:pPr>
        <w:ind w:left="851"/>
        <w:rPr>
          <w:sz w:val="24"/>
          <w:szCs w:val="24"/>
        </w:rPr>
      </w:pPr>
      <w:r w:rsidRPr="001122E0">
        <w:rPr>
          <w:sz w:val="24"/>
          <w:szCs w:val="24"/>
        </w:rPr>
        <w:t>Hallucinationer er en kendt bivirkning ved behandling med dopaminagonister og levodopa. Patienter skal informeres om, at hallucinationer kan forekomme.</w:t>
      </w:r>
    </w:p>
    <w:p w:rsidR="002614B2" w:rsidRPr="001122E0" w:rsidRDefault="002614B2" w:rsidP="0038331A">
      <w:pPr>
        <w:ind w:left="851"/>
        <w:rPr>
          <w:sz w:val="24"/>
          <w:szCs w:val="24"/>
        </w:rPr>
      </w:pPr>
    </w:p>
    <w:p w:rsidR="0038331A" w:rsidRPr="0038331A" w:rsidRDefault="0038331A" w:rsidP="0038331A">
      <w:pPr>
        <w:ind w:left="851"/>
        <w:rPr>
          <w:bCs/>
          <w:sz w:val="24"/>
          <w:szCs w:val="24"/>
          <w:u w:val="single"/>
        </w:rPr>
      </w:pPr>
      <w:r w:rsidRPr="0038331A">
        <w:rPr>
          <w:bCs/>
          <w:sz w:val="24"/>
          <w:szCs w:val="24"/>
          <w:u w:val="single"/>
        </w:rPr>
        <w:t>Hjælpestoffer</w:t>
      </w:r>
    </w:p>
    <w:p w:rsidR="0038331A" w:rsidRPr="0038331A" w:rsidRDefault="0038331A" w:rsidP="0038331A">
      <w:pPr>
        <w:ind w:left="851"/>
        <w:rPr>
          <w:sz w:val="24"/>
          <w:szCs w:val="24"/>
        </w:rPr>
      </w:pPr>
    </w:p>
    <w:p w:rsidR="0038331A" w:rsidRPr="0038331A" w:rsidRDefault="0038331A" w:rsidP="0038331A">
      <w:pPr>
        <w:ind w:left="851"/>
        <w:rPr>
          <w:bCs/>
          <w:i/>
          <w:sz w:val="24"/>
          <w:szCs w:val="24"/>
        </w:rPr>
      </w:pPr>
      <w:r w:rsidRPr="0038331A">
        <w:rPr>
          <w:bCs/>
          <w:i/>
          <w:sz w:val="24"/>
          <w:szCs w:val="24"/>
        </w:rPr>
        <w:t>Lactose</w:t>
      </w:r>
    </w:p>
    <w:p w:rsidR="0038331A" w:rsidRPr="0038331A" w:rsidRDefault="0038331A" w:rsidP="0038331A">
      <w:pPr>
        <w:ind w:left="851"/>
        <w:rPr>
          <w:sz w:val="24"/>
          <w:szCs w:val="24"/>
        </w:rPr>
      </w:pPr>
      <w:r w:rsidRPr="0038331A">
        <w:rPr>
          <w:sz w:val="24"/>
          <w:szCs w:val="24"/>
        </w:rPr>
        <w:t>Bør ikke anvendes til patienter med hereditær galactoseintolerans, total lactasemangel eller glucose/galactosemalabsorption.</w:t>
      </w:r>
    </w:p>
    <w:p w:rsidR="0038331A" w:rsidRPr="0038331A" w:rsidRDefault="0038331A" w:rsidP="0038331A">
      <w:pPr>
        <w:ind w:left="851"/>
        <w:rPr>
          <w:sz w:val="24"/>
          <w:szCs w:val="24"/>
        </w:rPr>
      </w:pPr>
    </w:p>
    <w:p w:rsidR="0038331A" w:rsidRPr="0038331A" w:rsidRDefault="0038331A" w:rsidP="0038331A">
      <w:pPr>
        <w:ind w:left="851"/>
        <w:rPr>
          <w:bCs/>
          <w:i/>
          <w:sz w:val="24"/>
          <w:szCs w:val="24"/>
        </w:rPr>
      </w:pPr>
      <w:r w:rsidRPr="0038331A">
        <w:rPr>
          <w:bCs/>
          <w:i/>
          <w:sz w:val="24"/>
          <w:szCs w:val="24"/>
        </w:rPr>
        <w:t>Glucose (komponent af maltodextrin)</w:t>
      </w:r>
    </w:p>
    <w:p w:rsidR="0038331A" w:rsidRPr="0038331A" w:rsidRDefault="0038331A" w:rsidP="0038331A">
      <w:pPr>
        <w:ind w:left="851"/>
        <w:rPr>
          <w:sz w:val="24"/>
          <w:szCs w:val="24"/>
        </w:rPr>
      </w:pPr>
      <w:r w:rsidRPr="0038331A">
        <w:rPr>
          <w:sz w:val="24"/>
          <w:szCs w:val="24"/>
        </w:rPr>
        <w:t>Bør ikke anvendes til patienter med en sjælden glucose/galactosemalabsorption.</w:t>
      </w:r>
    </w:p>
    <w:p w:rsidR="0038331A" w:rsidRPr="0038331A" w:rsidRDefault="0038331A" w:rsidP="0038331A">
      <w:pPr>
        <w:ind w:left="851"/>
        <w:rPr>
          <w:sz w:val="24"/>
          <w:szCs w:val="24"/>
        </w:rPr>
      </w:pPr>
    </w:p>
    <w:p w:rsidR="0038331A" w:rsidRPr="0038331A" w:rsidRDefault="0038331A" w:rsidP="0038331A">
      <w:pPr>
        <w:ind w:left="851"/>
        <w:rPr>
          <w:bCs/>
          <w:i/>
          <w:sz w:val="24"/>
          <w:szCs w:val="24"/>
        </w:rPr>
      </w:pPr>
      <w:r w:rsidRPr="0038331A">
        <w:rPr>
          <w:bCs/>
          <w:i/>
          <w:sz w:val="24"/>
          <w:szCs w:val="24"/>
        </w:rPr>
        <w:t xml:space="preserve">Ricinusolie </w:t>
      </w:r>
    </w:p>
    <w:p w:rsidR="0038331A" w:rsidRPr="0038331A" w:rsidRDefault="0038331A" w:rsidP="0038331A">
      <w:pPr>
        <w:ind w:left="851"/>
        <w:rPr>
          <w:sz w:val="24"/>
          <w:szCs w:val="24"/>
        </w:rPr>
      </w:pPr>
      <w:r w:rsidRPr="0038331A">
        <w:rPr>
          <w:sz w:val="24"/>
          <w:szCs w:val="24"/>
        </w:rPr>
        <w:t>Kan forårsage mavesmerter og diarré.</w:t>
      </w:r>
    </w:p>
    <w:p w:rsidR="0038331A" w:rsidRPr="0038331A" w:rsidRDefault="0038331A" w:rsidP="0038331A">
      <w:pPr>
        <w:ind w:left="851"/>
        <w:rPr>
          <w:sz w:val="24"/>
          <w:szCs w:val="24"/>
        </w:rPr>
      </w:pPr>
    </w:p>
    <w:p w:rsidR="0038331A" w:rsidRPr="0038331A" w:rsidRDefault="0038331A" w:rsidP="0038331A">
      <w:pPr>
        <w:ind w:left="851"/>
        <w:rPr>
          <w:i/>
          <w:sz w:val="24"/>
          <w:szCs w:val="24"/>
        </w:rPr>
      </w:pPr>
      <w:r w:rsidRPr="0038331A">
        <w:rPr>
          <w:bCs/>
          <w:i/>
          <w:sz w:val="24"/>
          <w:szCs w:val="24"/>
        </w:rPr>
        <w:t>Natrium</w:t>
      </w:r>
    </w:p>
    <w:p w:rsidR="0038331A" w:rsidRPr="0038331A" w:rsidRDefault="0038331A" w:rsidP="0038331A">
      <w:pPr>
        <w:ind w:left="851"/>
        <w:rPr>
          <w:sz w:val="24"/>
          <w:szCs w:val="24"/>
        </w:rPr>
      </w:pPr>
      <w:r w:rsidRPr="0038331A">
        <w:rPr>
          <w:sz w:val="24"/>
          <w:szCs w:val="24"/>
        </w:rPr>
        <w:t>Dette lægemiddel indeholder mindre end 1 mmol (23 mg) natrium pr. depottablet, dvs. de</w:t>
      </w:r>
      <w:r w:rsidR="00A47142">
        <w:rPr>
          <w:sz w:val="24"/>
          <w:szCs w:val="24"/>
        </w:rPr>
        <w:t>t</w:t>
      </w:r>
      <w:r w:rsidRPr="0038331A">
        <w:rPr>
          <w:sz w:val="24"/>
          <w:szCs w:val="24"/>
        </w:rPr>
        <w:t xml:space="preserve"> er i det væsentlige natriumfri</w:t>
      </w:r>
      <w:r w:rsidR="00A47142">
        <w:rPr>
          <w:sz w:val="24"/>
          <w:szCs w:val="24"/>
        </w:rPr>
        <w:t>t</w:t>
      </w:r>
      <w:r w:rsidRPr="0038331A">
        <w:rPr>
          <w:sz w:val="24"/>
          <w:szCs w:val="24"/>
        </w:rPr>
        <w:t xml:space="preserve">. </w:t>
      </w:r>
    </w:p>
    <w:p w:rsidR="002614B2" w:rsidRPr="001122E0" w:rsidRDefault="002614B2" w:rsidP="0038331A">
      <w:pPr>
        <w:ind w:left="851"/>
        <w:rPr>
          <w:sz w:val="24"/>
          <w:szCs w:val="24"/>
        </w:rPr>
      </w:pPr>
    </w:p>
    <w:p w:rsidR="002614B2" w:rsidRPr="007F61FF" w:rsidRDefault="002614B2" w:rsidP="002614B2">
      <w:pPr>
        <w:ind w:left="851" w:hanging="851"/>
        <w:rPr>
          <w:b/>
          <w:sz w:val="24"/>
          <w:szCs w:val="24"/>
        </w:rPr>
      </w:pPr>
      <w:r w:rsidRPr="007F61FF">
        <w:rPr>
          <w:b/>
          <w:sz w:val="24"/>
          <w:szCs w:val="24"/>
        </w:rPr>
        <w:t>4.5</w:t>
      </w:r>
      <w:r w:rsidRPr="007F61FF">
        <w:rPr>
          <w:b/>
          <w:sz w:val="24"/>
          <w:szCs w:val="24"/>
        </w:rPr>
        <w:tab/>
        <w:t>Interaktion med andre lægemidler og andre former for interaktion</w:t>
      </w:r>
    </w:p>
    <w:p w:rsidR="002614B2" w:rsidRPr="007F61FF" w:rsidRDefault="002614B2" w:rsidP="002614B2">
      <w:pPr>
        <w:ind w:left="851" w:hanging="851"/>
        <w:rPr>
          <w:sz w:val="24"/>
          <w:szCs w:val="24"/>
        </w:rPr>
      </w:pPr>
      <w:r w:rsidRPr="007F61FF">
        <w:rPr>
          <w:sz w:val="24"/>
          <w:szCs w:val="24"/>
        </w:rPr>
        <w:tab/>
        <w:t>Der er ingen farmakokinetisk interaktion mellem ropinirol og levodopa eller domperidon, som vil nødvendiggøre dosisjustering af disse lægemidler.</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Neuroleptika og andre centralt aktive dopaminantagonister, såsom sulpirid eller metoclopramid, kan mindske virkningen af ropinirol, og samtidig anvendelse af disse lægemidler bør derfor undgås.</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Forhøjede plasmakoncentrationer af ropinirol er blevet observeret hos patienter behandlet med høje østrogendoser. Hos patienter, som allerede modtager hormonerstatnings</w:t>
      </w:r>
      <w:r>
        <w:rPr>
          <w:sz w:val="24"/>
          <w:szCs w:val="24"/>
        </w:rPr>
        <w:softHyphen/>
      </w:r>
      <w:r w:rsidRPr="007F61FF">
        <w:rPr>
          <w:sz w:val="24"/>
          <w:szCs w:val="24"/>
        </w:rPr>
        <w:t>behandling (HRT), kan ropinirolbehandling initieres på normal vis. Imidlertid kan det blive nødvendigt at justere ropiniroldosis i overensstemmelse med klinisk respons, såfremt HRT seponeres eller introduceres under behandling med ropinirol.</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Ropinirol metaboliseres hovedsageligt af cytokrom P450-isoenzymet CYP 1A2. En farmakokinetisk undersøgelse (med en konventionel ropinirol-filmovertrukke</w:t>
      </w:r>
      <w:r>
        <w:rPr>
          <w:sz w:val="24"/>
          <w:szCs w:val="24"/>
        </w:rPr>
        <w:t>t</w:t>
      </w:r>
      <w:r w:rsidRPr="007F61FF">
        <w:rPr>
          <w:sz w:val="24"/>
          <w:szCs w:val="24"/>
        </w:rPr>
        <w:t xml:space="preserve"> tablet med en dosis på 2 mg 3 gange </w:t>
      </w:r>
      <w:r>
        <w:rPr>
          <w:sz w:val="24"/>
          <w:szCs w:val="24"/>
        </w:rPr>
        <w:t>daglig</w:t>
      </w:r>
      <w:r w:rsidRPr="007F61FF">
        <w:rPr>
          <w:sz w:val="24"/>
          <w:szCs w:val="24"/>
        </w:rPr>
        <w:t>) hos Parkinson-patienter viste, at ciprofloxacin øgede C</w:t>
      </w:r>
      <w:r w:rsidRPr="007F61FF">
        <w:rPr>
          <w:sz w:val="24"/>
          <w:szCs w:val="24"/>
          <w:vertAlign w:val="subscript"/>
        </w:rPr>
        <w:t>max</w:t>
      </w:r>
      <w:r w:rsidRPr="007F61FF">
        <w:rPr>
          <w:sz w:val="24"/>
          <w:szCs w:val="24"/>
        </w:rPr>
        <w:t xml:space="preserve"> og AUC for ropinirol med henholdsvis 60 % og 84 % med en mulig risiko for bivirkninger. Det kan derfor være nødvendigt hos patienter, der allerede modtager ropinirol, at justere ropiniroldosis, når lægemidler, der hæmmer CYP 1A2, f.eks. ciprofloxacin, enoxacin eller fluvoxamin, introduceres eller seponeres.</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 xml:space="preserve">En farmakokinetisk interaktionsundersøgelse hos patienter med Parkinsons sygdom mellem ropinirol (med konventionel ropinirol tablet med en dosis på 2 mg 3 gange </w:t>
      </w:r>
      <w:r>
        <w:rPr>
          <w:sz w:val="24"/>
          <w:szCs w:val="24"/>
        </w:rPr>
        <w:t>daglig</w:t>
      </w:r>
      <w:r w:rsidRPr="007F61FF">
        <w:rPr>
          <w:sz w:val="24"/>
          <w:szCs w:val="24"/>
        </w:rPr>
        <w:t xml:space="preserve">) og theophyllin, et CYP 1A2-substrat, viste ingen ændringer i farmakokinetikken af hverken ropinirol eller theophyllin. </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Det er kendt</w:t>
      </w:r>
      <w:r>
        <w:rPr>
          <w:sz w:val="24"/>
          <w:szCs w:val="24"/>
        </w:rPr>
        <w:t>,</w:t>
      </w:r>
      <w:r w:rsidRPr="007F61FF">
        <w:rPr>
          <w:sz w:val="24"/>
          <w:szCs w:val="24"/>
        </w:rPr>
        <w:t xml:space="preserve"> at rygning inducerer CYP 1A2-metabolismen. Hos patienter, der påbegynder eller ophører med rygning, kan det derfor være nødvendigt at justere dosis. </w:t>
      </w:r>
    </w:p>
    <w:p w:rsidR="002614B2" w:rsidRDefault="002614B2" w:rsidP="002614B2">
      <w:pPr>
        <w:ind w:left="851"/>
        <w:rPr>
          <w:sz w:val="24"/>
          <w:szCs w:val="24"/>
        </w:rPr>
      </w:pPr>
    </w:p>
    <w:p w:rsidR="002614B2" w:rsidRPr="007F61FF" w:rsidRDefault="002614B2" w:rsidP="002614B2">
      <w:pPr>
        <w:ind w:left="851"/>
        <w:rPr>
          <w:sz w:val="24"/>
          <w:szCs w:val="24"/>
        </w:rPr>
      </w:pPr>
      <w:r w:rsidRPr="00027100">
        <w:rPr>
          <w:sz w:val="24"/>
          <w:szCs w:val="24"/>
        </w:rPr>
        <w:t>Hos patienter, der får en kombination af vitamin K-antagonister og ropinirol, er der set tilfælde af ubalanceret INR. Der kræves øget klinisk og biologisk overvågning (INR).</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4.6</w:t>
      </w:r>
      <w:r w:rsidRPr="007F61FF">
        <w:rPr>
          <w:b/>
          <w:sz w:val="24"/>
          <w:szCs w:val="24"/>
        </w:rPr>
        <w:tab/>
        <w:t>Graviditet og amning</w:t>
      </w:r>
    </w:p>
    <w:p w:rsidR="002614B2" w:rsidRDefault="002614B2" w:rsidP="002614B2">
      <w:pPr>
        <w:tabs>
          <w:tab w:val="left" w:pos="851"/>
        </w:tabs>
        <w:ind w:left="851"/>
        <w:rPr>
          <w:sz w:val="24"/>
          <w:szCs w:val="24"/>
        </w:rPr>
      </w:pPr>
    </w:p>
    <w:p w:rsidR="002614B2" w:rsidRPr="0065531C" w:rsidRDefault="002614B2" w:rsidP="002614B2">
      <w:pPr>
        <w:tabs>
          <w:tab w:val="left" w:pos="851"/>
        </w:tabs>
        <w:ind w:left="851"/>
        <w:rPr>
          <w:sz w:val="24"/>
          <w:szCs w:val="24"/>
          <w:u w:val="single"/>
        </w:rPr>
      </w:pPr>
      <w:r w:rsidRPr="0065531C">
        <w:rPr>
          <w:sz w:val="24"/>
          <w:szCs w:val="24"/>
          <w:u w:val="single"/>
        </w:rPr>
        <w:t>Fertilitet</w:t>
      </w:r>
    </w:p>
    <w:p w:rsidR="002614B2" w:rsidRPr="00253CB3" w:rsidRDefault="002614B2" w:rsidP="002614B2">
      <w:pPr>
        <w:tabs>
          <w:tab w:val="left" w:pos="851"/>
        </w:tabs>
        <w:ind w:left="851"/>
        <w:rPr>
          <w:sz w:val="24"/>
          <w:szCs w:val="24"/>
          <w:u w:val="single"/>
        </w:rPr>
      </w:pPr>
      <w:r w:rsidRPr="00253CB3">
        <w:rPr>
          <w:sz w:val="24"/>
          <w:szCs w:val="24"/>
        </w:rPr>
        <w:t>Der er ingen data tilgængelige med hensyn til human fertilitet.</w:t>
      </w:r>
    </w:p>
    <w:p w:rsidR="002614B2" w:rsidRDefault="002614B2" w:rsidP="002614B2">
      <w:pPr>
        <w:tabs>
          <w:tab w:val="left" w:pos="851"/>
        </w:tabs>
        <w:ind w:left="851"/>
        <w:rPr>
          <w:sz w:val="24"/>
          <w:szCs w:val="24"/>
        </w:rPr>
      </w:pPr>
    </w:p>
    <w:p w:rsidR="002614B2" w:rsidRPr="0065531C" w:rsidRDefault="002614B2" w:rsidP="002614B2">
      <w:pPr>
        <w:tabs>
          <w:tab w:val="left" w:pos="851"/>
        </w:tabs>
        <w:ind w:left="851"/>
        <w:rPr>
          <w:sz w:val="24"/>
          <w:szCs w:val="24"/>
          <w:u w:val="single"/>
        </w:rPr>
      </w:pPr>
      <w:r w:rsidRPr="0065531C">
        <w:rPr>
          <w:sz w:val="24"/>
          <w:szCs w:val="24"/>
          <w:u w:val="single"/>
        </w:rPr>
        <w:t>Graviditet</w:t>
      </w:r>
    </w:p>
    <w:p w:rsidR="002614B2" w:rsidRPr="00253CB3" w:rsidRDefault="002614B2" w:rsidP="002614B2">
      <w:pPr>
        <w:tabs>
          <w:tab w:val="left" w:pos="851"/>
        </w:tabs>
        <w:ind w:left="851"/>
        <w:rPr>
          <w:sz w:val="24"/>
          <w:szCs w:val="24"/>
          <w:u w:val="single"/>
        </w:rPr>
      </w:pPr>
      <w:r w:rsidRPr="00253CB3">
        <w:rPr>
          <w:sz w:val="24"/>
          <w:szCs w:val="24"/>
        </w:rPr>
        <w:t>Der foreligger ikke tilstrækkelige data om brugen af ropinirol hos gravide.</w:t>
      </w:r>
    </w:p>
    <w:p w:rsidR="00BF01ED" w:rsidRPr="004926FC" w:rsidRDefault="00BF01ED" w:rsidP="00BF01ED">
      <w:pPr>
        <w:tabs>
          <w:tab w:val="left" w:pos="851"/>
        </w:tabs>
        <w:ind w:left="851"/>
        <w:rPr>
          <w:sz w:val="24"/>
          <w:szCs w:val="24"/>
          <w:u w:val="single"/>
        </w:rPr>
      </w:pPr>
      <w:r>
        <w:rPr>
          <w:sz w:val="24"/>
          <w:szCs w:val="24"/>
        </w:rPr>
        <w:t>Koncentrationerne af ropinirol kan gradvist blive øget under graviditet (se pkt. 5.2).</w:t>
      </w:r>
    </w:p>
    <w:p w:rsidR="002614B2" w:rsidRPr="00253CB3" w:rsidRDefault="002614B2" w:rsidP="002614B2">
      <w:pPr>
        <w:tabs>
          <w:tab w:val="left" w:pos="851"/>
        </w:tabs>
        <w:ind w:left="851"/>
        <w:rPr>
          <w:sz w:val="24"/>
          <w:szCs w:val="24"/>
          <w:u w:val="single"/>
        </w:rPr>
      </w:pPr>
    </w:p>
    <w:p w:rsidR="002614B2" w:rsidRPr="00253CB3" w:rsidRDefault="002614B2" w:rsidP="002614B2">
      <w:pPr>
        <w:tabs>
          <w:tab w:val="left" w:pos="851"/>
        </w:tabs>
        <w:ind w:left="851"/>
        <w:rPr>
          <w:sz w:val="24"/>
          <w:szCs w:val="24"/>
          <w:u w:val="single"/>
        </w:rPr>
      </w:pPr>
      <w:r w:rsidRPr="00253CB3">
        <w:rPr>
          <w:sz w:val="24"/>
          <w:szCs w:val="24"/>
        </w:rPr>
        <w:t>Dyrestudier har påvist reproduktionstoksicitet (se pkt. 5.3). Da den potentielle risiko for</w:t>
      </w:r>
      <w:r>
        <w:rPr>
          <w:sz w:val="24"/>
          <w:szCs w:val="24"/>
        </w:rPr>
        <w:t xml:space="preserve"> </w:t>
      </w:r>
      <w:r w:rsidRPr="00253CB3">
        <w:rPr>
          <w:sz w:val="24"/>
          <w:szCs w:val="24"/>
        </w:rPr>
        <w:t>mennesker er ukendt, frarådes det at anvende ropinirol til gravide kvinder, medmindre den</w:t>
      </w:r>
      <w:r>
        <w:rPr>
          <w:sz w:val="24"/>
          <w:szCs w:val="24"/>
        </w:rPr>
        <w:t xml:space="preserve"> </w:t>
      </w:r>
      <w:r w:rsidRPr="00253CB3">
        <w:rPr>
          <w:sz w:val="24"/>
          <w:szCs w:val="24"/>
        </w:rPr>
        <w:t>potentielle fordel for moderen overstiger den potentielle risiko for fosteret.</w:t>
      </w:r>
    </w:p>
    <w:p w:rsidR="002614B2" w:rsidRPr="00253CB3" w:rsidRDefault="002614B2" w:rsidP="002614B2">
      <w:pPr>
        <w:tabs>
          <w:tab w:val="left" w:pos="851"/>
        </w:tabs>
        <w:ind w:left="851"/>
        <w:rPr>
          <w:sz w:val="24"/>
          <w:szCs w:val="24"/>
          <w:u w:val="single"/>
        </w:rPr>
      </w:pPr>
    </w:p>
    <w:p w:rsidR="002614B2" w:rsidRPr="0065531C" w:rsidRDefault="002614B2" w:rsidP="002614B2">
      <w:pPr>
        <w:tabs>
          <w:tab w:val="left" w:pos="851"/>
        </w:tabs>
        <w:ind w:left="851"/>
        <w:rPr>
          <w:sz w:val="24"/>
          <w:szCs w:val="24"/>
          <w:u w:val="single"/>
        </w:rPr>
      </w:pPr>
      <w:r w:rsidRPr="0065531C">
        <w:rPr>
          <w:sz w:val="24"/>
          <w:szCs w:val="24"/>
          <w:u w:val="single"/>
        </w:rPr>
        <w:t>Amning</w:t>
      </w:r>
    </w:p>
    <w:p w:rsidR="002614B2" w:rsidRPr="00253CB3" w:rsidRDefault="002614B2" w:rsidP="002614B2">
      <w:pPr>
        <w:tabs>
          <w:tab w:val="left" w:pos="851"/>
        </w:tabs>
        <w:ind w:left="851"/>
        <w:rPr>
          <w:sz w:val="24"/>
          <w:szCs w:val="24"/>
          <w:u w:val="single"/>
        </w:rPr>
      </w:pPr>
      <w:r w:rsidRPr="00253CB3">
        <w:rPr>
          <w:sz w:val="24"/>
          <w:szCs w:val="24"/>
        </w:rPr>
        <w:t xml:space="preserve">Ropinirol bør ikke anvendes til ammende mødre, da det kan hæmme </w:t>
      </w:r>
      <w:r>
        <w:rPr>
          <w:sz w:val="24"/>
          <w:szCs w:val="24"/>
        </w:rPr>
        <w:t>mælkeproduktionen</w:t>
      </w:r>
      <w:r w:rsidRPr="00253CB3">
        <w:rPr>
          <w:sz w:val="24"/>
          <w:szCs w:val="24"/>
        </w:rPr>
        <w:t>.</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4.7</w:t>
      </w:r>
      <w:r w:rsidRPr="007F61FF">
        <w:rPr>
          <w:b/>
          <w:sz w:val="24"/>
          <w:szCs w:val="24"/>
        </w:rPr>
        <w:tab/>
        <w:t>Virkninger på evnen til at føre motorkøretøj eller betjene maskiner</w:t>
      </w:r>
    </w:p>
    <w:p w:rsidR="002614B2" w:rsidRPr="007F61FF" w:rsidRDefault="002614B2" w:rsidP="002614B2">
      <w:pPr>
        <w:ind w:left="851" w:hanging="851"/>
        <w:rPr>
          <w:sz w:val="24"/>
          <w:szCs w:val="24"/>
        </w:rPr>
      </w:pPr>
      <w:r w:rsidRPr="007F61FF">
        <w:rPr>
          <w:sz w:val="24"/>
          <w:szCs w:val="24"/>
        </w:rPr>
        <w:tab/>
        <w:t>Mærkning.</w:t>
      </w:r>
    </w:p>
    <w:p w:rsidR="002614B2" w:rsidRPr="007F61FF" w:rsidRDefault="002614B2" w:rsidP="002614B2">
      <w:pPr>
        <w:ind w:left="851"/>
        <w:rPr>
          <w:sz w:val="24"/>
          <w:szCs w:val="24"/>
        </w:rPr>
      </w:pPr>
      <w:r w:rsidRPr="007F61FF">
        <w:rPr>
          <w:sz w:val="24"/>
          <w:szCs w:val="24"/>
        </w:rPr>
        <w:t>Patienter, der er i behandling med ropinirol, og hvor somnolens og/eller episoder med pludselig søvn forekommer, skal oplyses om, at de skal undlade at føre motorkøretøj eller deltage i aktiviteter (f.eks. betjening af maskiner), hvor nedsat opmærksomhed kan bringe deres eget eller andres liv og helbred i fare. Dette gælder indtil sådanne tilbagevendende episoder og somnolens er ophørt (se pkt. 4.4).</w:t>
      </w:r>
    </w:p>
    <w:p w:rsidR="002614B2" w:rsidRPr="007F61FF" w:rsidRDefault="002614B2" w:rsidP="002614B2">
      <w:pPr>
        <w:rPr>
          <w:sz w:val="24"/>
          <w:szCs w:val="24"/>
        </w:rPr>
      </w:pPr>
    </w:p>
    <w:p w:rsidR="002614B2" w:rsidRPr="007F61FF" w:rsidRDefault="002614B2" w:rsidP="002614B2">
      <w:pPr>
        <w:ind w:left="851" w:hanging="851"/>
        <w:rPr>
          <w:b/>
          <w:sz w:val="24"/>
          <w:szCs w:val="24"/>
        </w:rPr>
      </w:pPr>
      <w:r w:rsidRPr="007F61FF">
        <w:rPr>
          <w:b/>
          <w:sz w:val="24"/>
          <w:szCs w:val="24"/>
        </w:rPr>
        <w:t>4.8</w:t>
      </w:r>
      <w:r w:rsidRPr="007F61FF">
        <w:rPr>
          <w:b/>
          <w:sz w:val="24"/>
          <w:szCs w:val="24"/>
        </w:rPr>
        <w:tab/>
        <w:t>Bivirkninger</w:t>
      </w:r>
    </w:p>
    <w:p w:rsidR="002614B2" w:rsidRPr="007F61FF" w:rsidRDefault="002614B2" w:rsidP="002614B2">
      <w:pPr>
        <w:ind w:left="851" w:hanging="851"/>
        <w:rPr>
          <w:sz w:val="24"/>
          <w:szCs w:val="24"/>
        </w:rPr>
      </w:pPr>
      <w:r w:rsidRPr="007F61FF">
        <w:rPr>
          <w:sz w:val="24"/>
          <w:szCs w:val="24"/>
        </w:rPr>
        <w:tab/>
        <w:t>Bivirkninger er opdelt i organklasser og hyppighed nedenfor. Det er angivet, om disse bivirkninger er rapporteret i kliniske undersøgelser som monoterapi eller som tillægsbehandling til levodopa.</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 xml:space="preserve">Hyppigheden er defineret som: </w:t>
      </w:r>
      <w:r>
        <w:rPr>
          <w:sz w:val="24"/>
          <w:szCs w:val="24"/>
        </w:rPr>
        <w:t>M</w:t>
      </w:r>
      <w:r w:rsidRPr="007F61FF">
        <w:rPr>
          <w:sz w:val="24"/>
          <w:szCs w:val="24"/>
        </w:rPr>
        <w:t>eget almindelig (≥1/10), almindelig (≥1/100 til &lt; 1/10), ikke almindelig (≥1/1.000 til &lt;1/100), sjælden (≥1/10.000 til &lt;1/1.000), meget sjælden (&lt;1/10.000), ikke kendt (kan ikke estimeres ud fra forhåndenværende data).</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I hver frekvensgruppe er bivirkningerne angivet i forhold til, hvor alvorlige de er, med de alvorligste først.</w:t>
      </w:r>
    </w:p>
    <w:p w:rsidR="002614B2" w:rsidRPr="007F61FF" w:rsidRDefault="002614B2" w:rsidP="002614B2">
      <w:pPr>
        <w:ind w:left="851" w:hanging="851"/>
        <w:rPr>
          <w:sz w:val="24"/>
          <w:szCs w:val="24"/>
        </w:rPr>
      </w:pPr>
    </w:p>
    <w:p w:rsidR="002614B2" w:rsidRPr="007F61FF" w:rsidRDefault="002614B2" w:rsidP="002614B2">
      <w:pPr>
        <w:ind w:left="851"/>
        <w:rPr>
          <w:sz w:val="24"/>
          <w:szCs w:val="24"/>
          <w:u w:val="single"/>
        </w:rPr>
      </w:pPr>
      <w:r>
        <w:rPr>
          <w:sz w:val="24"/>
          <w:szCs w:val="24"/>
          <w:u w:val="single"/>
        </w:rPr>
        <w:t>Følgende b</w:t>
      </w:r>
      <w:r w:rsidRPr="007F61FF">
        <w:rPr>
          <w:sz w:val="24"/>
          <w:szCs w:val="24"/>
          <w:u w:val="single"/>
        </w:rPr>
        <w:t xml:space="preserve">ivirkninger er rapporteret </w:t>
      </w:r>
      <w:r>
        <w:rPr>
          <w:sz w:val="24"/>
          <w:szCs w:val="24"/>
          <w:u w:val="single"/>
        </w:rPr>
        <w:t xml:space="preserve">enten </w:t>
      </w:r>
      <w:r w:rsidRPr="007F61FF">
        <w:rPr>
          <w:sz w:val="24"/>
          <w:szCs w:val="24"/>
          <w:u w:val="single"/>
        </w:rPr>
        <w:t xml:space="preserve">i kliniske undersøgelser </w:t>
      </w:r>
      <w:r>
        <w:rPr>
          <w:sz w:val="24"/>
          <w:szCs w:val="24"/>
          <w:u w:val="single"/>
        </w:rPr>
        <w:t>med ropinirol depottabletter eller filmovertrukne tabletter</w:t>
      </w:r>
      <w:r w:rsidRPr="007F61FF">
        <w:rPr>
          <w:sz w:val="24"/>
          <w:szCs w:val="24"/>
          <w:u w:val="single"/>
        </w:rPr>
        <w:t xml:space="preserve"> ved Parkinsons sygdom i doser på op til 24 mg </w:t>
      </w:r>
      <w:r>
        <w:rPr>
          <w:sz w:val="24"/>
          <w:szCs w:val="24"/>
          <w:u w:val="single"/>
        </w:rPr>
        <w:t>daglig, eller fra post-marketing rapporter</w:t>
      </w:r>
    </w:p>
    <w:p w:rsidR="002614B2" w:rsidRPr="007F61FF" w:rsidRDefault="002614B2" w:rsidP="002614B2">
      <w:pPr>
        <w:ind w:left="851" w:hanging="851"/>
        <w:rPr>
          <w:sz w:val="24"/>
          <w:szCs w:val="24"/>
          <w:u w:val="single"/>
        </w:rPr>
      </w:pPr>
    </w:p>
    <w:tbl>
      <w:tblPr>
        <w:tblW w:w="445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948"/>
        <w:gridCol w:w="2938"/>
      </w:tblGrid>
      <w:tr w:rsidR="002614B2" w:rsidRPr="007F61FF" w:rsidTr="003B4BCE">
        <w:trPr>
          <w:cantSplit/>
        </w:trPr>
        <w:tc>
          <w:tcPr>
            <w:tcW w:w="1572"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b/>
                <w:sz w:val="24"/>
                <w:szCs w:val="24"/>
              </w:rPr>
            </w:pPr>
          </w:p>
        </w:tc>
        <w:tc>
          <w:tcPr>
            <w:tcW w:w="1717"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b/>
                <w:sz w:val="24"/>
                <w:szCs w:val="24"/>
              </w:rPr>
            </w:pPr>
            <w:r w:rsidRPr="007F61FF">
              <w:rPr>
                <w:b/>
                <w:sz w:val="24"/>
                <w:szCs w:val="24"/>
              </w:rPr>
              <w:t>Ved monoterapi</w:t>
            </w:r>
          </w:p>
        </w:tc>
        <w:tc>
          <w:tcPr>
            <w:tcW w:w="1711"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b/>
                <w:sz w:val="24"/>
                <w:szCs w:val="24"/>
              </w:rPr>
            </w:pPr>
            <w:r w:rsidRPr="007F61FF">
              <w:rPr>
                <w:b/>
                <w:sz w:val="24"/>
                <w:szCs w:val="24"/>
              </w:rPr>
              <w:t>Ved tillægsbehandling</w:t>
            </w:r>
          </w:p>
        </w:tc>
      </w:tr>
      <w:tr w:rsidR="002614B2" w:rsidRPr="007F61FF" w:rsidTr="003B4BCE">
        <w:trPr>
          <w:cantSplit/>
        </w:trPr>
        <w:tc>
          <w:tcPr>
            <w:tcW w:w="5000" w:type="pct"/>
            <w:gridSpan w:val="3"/>
            <w:tcBorders>
              <w:top w:val="single" w:sz="4" w:space="0" w:color="auto"/>
              <w:left w:val="single" w:sz="4" w:space="0" w:color="auto"/>
              <w:bottom w:val="single" w:sz="4" w:space="0" w:color="auto"/>
              <w:right w:val="single" w:sz="4" w:space="0" w:color="auto"/>
            </w:tcBorders>
          </w:tcPr>
          <w:p w:rsidR="002614B2" w:rsidRPr="007F61FF" w:rsidRDefault="002614B2" w:rsidP="003B4BCE">
            <w:pPr>
              <w:rPr>
                <w:i/>
                <w:sz w:val="24"/>
                <w:szCs w:val="24"/>
              </w:rPr>
            </w:pPr>
            <w:r>
              <w:rPr>
                <w:i/>
                <w:sz w:val="24"/>
                <w:szCs w:val="24"/>
              </w:rPr>
              <w:t>Immunsystemet</w:t>
            </w:r>
          </w:p>
        </w:tc>
      </w:tr>
      <w:tr w:rsidR="002614B2" w:rsidRPr="007F61FF" w:rsidTr="003B4BCE">
        <w:trPr>
          <w:cantSplit/>
        </w:trPr>
        <w:tc>
          <w:tcPr>
            <w:tcW w:w="1572" w:type="pct"/>
            <w:tcBorders>
              <w:top w:val="single" w:sz="4" w:space="0" w:color="auto"/>
              <w:left w:val="single" w:sz="4" w:space="0" w:color="auto"/>
              <w:bottom w:val="single" w:sz="4" w:space="0" w:color="auto"/>
              <w:right w:val="single" w:sz="4" w:space="0" w:color="auto"/>
            </w:tcBorders>
          </w:tcPr>
          <w:p w:rsidR="002614B2" w:rsidRPr="00882990" w:rsidRDefault="002614B2" w:rsidP="003B4BCE">
            <w:pPr>
              <w:rPr>
                <w:sz w:val="24"/>
                <w:szCs w:val="24"/>
              </w:rPr>
            </w:pPr>
            <w:r>
              <w:rPr>
                <w:sz w:val="24"/>
                <w:szCs w:val="24"/>
              </w:rPr>
              <w:t>Ikke kendt</w:t>
            </w:r>
          </w:p>
        </w:tc>
        <w:tc>
          <w:tcPr>
            <w:tcW w:w="3428" w:type="pct"/>
            <w:gridSpan w:val="2"/>
            <w:tcBorders>
              <w:top w:val="single" w:sz="4" w:space="0" w:color="auto"/>
              <w:left w:val="single" w:sz="4" w:space="0" w:color="auto"/>
              <w:bottom w:val="single" w:sz="4" w:space="0" w:color="auto"/>
              <w:right w:val="single" w:sz="4" w:space="0" w:color="auto"/>
            </w:tcBorders>
          </w:tcPr>
          <w:p w:rsidR="002614B2" w:rsidRPr="00E008C1" w:rsidRDefault="002614B2" w:rsidP="003B4BCE">
            <w:pPr>
              <w:rPr>
                <w:sz w:val="24"/>
                <w:szCs w:val="24"/>
              </w:rPr>
            </w:pPr>
            <w:r w:rsidRPr="00882990">
              <w:rPr>
                <w:sz w:val="24"/>
                <w:szCs w:val="24"/>
              </w:rPr>
              <w:t>Overfølsomhedsreaktioner (herunder nældefeber, angioødem, hududslæt, kløe)</w:t>
            </w:r>
          </w:p>
        </w:tc>
      </w:tr>
      <w:tr w:rsidR="002614B2" w:rsidRPr="007F61FF" w:rsidTr="003B4BCE">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i/>
                <w:sz w:val="24"/>
                <w:szCs w:val="24"/>
              </w:rPr>
            </w:pPr>
            <w:r w:rsidRPr="007F61FF">
              <w:rPr>
                <w:i/>
                <w:sz w:val="24"/>
                <w:szCs w:val="24"/>
              </w:rPr>
              <w:t>Psykiske forstyrrelser</w:t>
            </w:r>
          </w:p>
        </w:tc>
      </w:tr>
      <w:tr w:rsidR="002614B2" w:rsidRPr="007F61FF" w:rsidTr="003B4BCE">
        <w:trPr>
          <w:cantSplit/>
        </w:trPr>
        <w:tc>
          <w:tcPr>
            <w:tcW w:w="1572" w:type="pct"/>
            <w:vMerge w:val="restart"/>
            <w:tcBorders>
              <w:top w:val="single" w:sz="4" w:space="0" w:color="auto"/>
              <w:left w:val="single" w:sz="4" w:space="0" w:color="auto"/>
              <w:right w:val="single" w:sz="4" w:space="0" w:color="auto"/>
            </w:tcBorders>
            <w:hideMark/>
          </w:tcPr>
          <w:p w:rsidR="002614B2" w:rsidRPr="007F61FF" w:rsidRDefault="002614B2" w:rsidP="003B4BCE">
            <w:pPr>
              <w:rPr>
                <w:sz w:val="24"/>
                <w:szCs w:val="24"/>
              </w:rPr>
            </w:pPr>
            <w:r w:rsidRPr="007F61FF">
              <w:rPr>
                <w:sz w:val="24"/>
                <w:szCs w:val="24"/>
              </w:rPr>
              <w:t>Almindelig</w:t>
            </w:r>
          </w:p>
        </w:tc>
        <w:tc>
          <w:tcPr>
            <w:tcW w:w="3428" w:type="pct"/>
            <w:gridSpan w:val="2"/>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sz w:val="24"/>
                <w:szCs w:val="24"/>
              </w:rPr>
            </w:pPr>
            <w:r w:rsidRPr="007F61FF">
              <w:rPr>
                <w:sz w:val="24"/>
                <w:szCs w:val="24"/>
              </w:rPr>
              <w:t>Hallucinationer</w:t>
            </w:r>
          </w:p>
          <w:p w:rsidR="002614B2" w:rsidRPr="007F61FF" w:rsidRDefault="002614B2" w:rsidP="003B4BCE">
            <w:pPr>
              <w:rPr>
                <w:b/>
                <w:sz w:val="24"/>
                <w:szCs w:val="24"/>
              </w:rPr>
            </w:pPr>
          </w:p>
        </w:tc>
      </w:tr>
      <w:tr w:rsidR="002614B2" w:rsidRPr="007F61FF" w:rsidTr="003B4BCE">
        <w:trPr>
          <w:cantSplit/>
        </w:trPr>
        <w:tc>
          <w:tcPr>
            <w:tcW w:w="1572" w:type="pct"/>
            <w:vMerge/>
            <w:tcBorders>
              <w:left w:val="single" w:sz="4" w:space="0" w:color="auto"/>
              <w:bottom w:val="single" w:sz="4" w:space="0" w:color="auto"/>
              <w:right w:val="single" w:sz="4" w:space="0" w:color="auto"/>
            </w:tcBorders>
          </w:tcPr>
          <w:p w:rsidR="002614B2" w:rsidRPr="007F61FF" w:rsidRDefault="002614B2" w:rsidP="003B4BCE">
            <w:pPr>
              <w:rPr>
                <w:sz w:val="24"/>
                <w:szCs w:val="24"/>
              </w:rPr>
            </w:pPr>
          </w:p>
        </w:tc>
        <w:tc>
          <w:tcPr>
            <w:tcW w:w="1717"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p>
        </w:tc>
        <w:tc>
          <w:tcPr>
            <w:tcW w:w="1711"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r>
              <w:rPr>
                <w:sz w:val="24"/>
                <w:szCs w:val="24"/>
              </w:rPr>
              <w:t>Forvirring</w:t>
            </w:r>
          </w:p>
        </w:tc>
      </w:tr>
      <w:tr w:rsidR="002614B2" w:rsidRPr="007F61FF" w:rsidTr="003B4BCE">
        <w:trPr>
          <w:cantSplit/>
        </w:trPr>
        <w:tc>
          <w:tcPr>
            <w:tcW w:w="1572" w:type="pct"/>
            <w:tcBorders>
              <w:top w:val="single" w:sz="4" w:space="0" w:color="auto"/>
              <w:left w:val="single" w:sz="4" w:space="0" w:color="auto"/>
              <w:bottom w:val="single" w:sz="4" w:space="0" w:color="auto"/>
              <w:right w:val="single" w:sz="4" w:space="0" w:color="auto"/>
            </w:tcBorders>
          </w:tcPr>
          <w:p w:rsidR="002614B2" w:rsidRPr="003F6D79" w:rsidRDefault="002614B2" w:rsidP="003B4BCE">
            <w:pPr>
              <w:rPr>
                <w:sz w:val="24"/>
                <w:szCs w:val="24"/>
              </w:rPr>
            </w:pPr>
            <w:r>
              <w:rPr>
                <w:sz w:val="24"/>
                <w:szCs w:val="24"/>
              </w:rPr>
              <w:t>Ikke almindelig</w:t>
            </w:r>
          </w:p>
        </w:tc>
        <w:tc>
          <w:tcPr>
            <w:tcW w:w="3428" w:type="pct"/>
            <w:gridSpan w:val="2"/>
            <w:tcBorders>
              <w:top w:val="single" w:sz="4" w:space="0" w:color="auto"/>
              <w:left w:val="single" w:sz="4" w:space="0" w:color="auto"/>
              <w:bottom w:val="single" w:sz="4" w:space="0" w:color="auto"/>
              <w:right w:val="single" w:sz="4" w:space="0" w:color="auto"/>
            </w:tcBorders>
          </w:tcPr>
          <w:p w:rsidR="002614B2" w:rsidRPr="00E008C1" w:rsidRDefault="002614B2" w:rsidP="003B4BCE">
            <w:pPr>
              <w:rPr>
                <w:sz w:val="24"/>
                <w:szCs w:val="24"/>
              </w:rPr>
            </w:pPr>
            <w:r w:rsidRPr="003F6D79">
              <w:rPr>
                <w:sz w:val="24"/>
                <w:szCs w:val="24"/>
              </w:rPr>
              <w:t>Psykiske reaktioner (andre end hallucinationer) inklusive delirium, vrangforestillinger og paranoia</w:t>
            </w:r>
          </w:p>
        </w:tc>
      </w:tr>
      <w:tr w:rsidR="002614B2" w:rsidRPr="007F61FF" w:rsidTr="003B4BCE">
        <w:trPr>
          <w:cantSplit/>
        </w:trPr>
        <w:tc>
          <w:tcPr>
            <w:tcW w:w="1572" w:type="pct"/>
            <w:vMerge w:val="restart"/>
            <w:tcBorders>
              <w:top w:val="single" w:sz="4" w:space="0" w:color="auto"/>
              <w:left w:val="single" w:sz="4" w:space="0" w:color="auto"/>
              <w:right w:val="single" w:sz="4" w:space="0" w:color="auto"/>
            </w:tcBorders>
          </w:tcPr>
          <w:p w:rsidR="002614B2" w:rsidRPr="003F6D79" w:rsidRDefault="002614B2" w:rsidP="003B4BCE">
            <w:pPr>
              <w:rPr>
                <w:sz w:val="24"/>
                <w:szCs w:val="24"/>
              </w:rPr>
            </w:pPr>
            <w:r>
              <w:rPr>
                <w:sz w:val="24"/>
                <w:szCs w:val="24"/>
              </w:rPr>
              <w:t>Ikke kendt</w:t>
            </w:r>
          </w:p>
        </w:tc>
        <w:tc>
          <w:tcPr>
            <w:tcW w:w="3428" w:type="pct"/>
            <w:gridSpan w:val="2"/>
            <w:tcBorders>
              <w:top w:val="single" w:sz="4" w:space="0" w:color="auto"/>
              <w:left w:val="single" w:sz="4" w:space="0" w:color="auto"/>
              <w:bottom w:val="single" w:sz="4" w:space="0" w:color="auto"/>
              <w:right w:val="single" w:sz="4" w:space="0" w:color="auto"/>
            </w:tcBorders>
          </w:tcPr>
          <w:p w:rsidR="002614B2" w:rsidRPr="003F6D79" w:rsidRDefault="002614B2" w:rsidP="003B4BCE">
            <w:pPr>
              <w:rPr>
                <w:sz w:val="24"/>
                <w:szCs w:val="24"/>
              </w:rPr>
            </w:pPr>
            <w:r w:rsidRPr="003F6D79">
              <w:rPr>
                <w:sz w:val="24"/>
                <w:szCs w:val="24"/>
              </w:rPr>
              <w:t>Patologisk spillelyst, forøget libido, hyperseksualitet, kompulsiv brug af penge og indkøb, spiseorgie og tvangsspisning kan opstå hos patienter, der behandles med dopaminagonister, inklusive Ropin</w:t>
            </w:r>
            <w:r>
              <w:rPr>
                <w:sz w:val="24"/>
                <w:szCs w:val="24"/>
              </w:rPr>
              <w:t>i</w:t>
            </w:r>
            <w:r w:rsidRPr="003F6D79">
              <w:rPr>
                <w:sz w:val="24"/>
                <w:szCs w:val="24"/>
              </w:rPr>
              <w:t>rol "</w:t>
            </w:r>
            <w:r>
              <w:rPr>
                <w:sz w:val="24"/>
                <w:szCs w:val="24"/>
              </w:rPr>
              <w:t>Nordic Prime</w:t>
            </w:r>
            <w:r w:rsidRPr="003F6D79">
              <w:rPr>
                <w:sz w:val="24"/>
                <w:szCs w:val="24"/>
              </w:rPr>
              <w:t>" (se pkt. 4.4)</w:t>
            </w:r>
          </w:p>
        </w:tc>
      </w:tr>
      <w:tr w:rsidR="002614B2" w:rsidRPr="007F61FF" w:rsidTr="003B4BCE">
        <w:trPr>
          <w:cantSplit/>
        </w:trPr>
        <w:tc>
          <w:tcPr>
            <w:tcW w:w="1572" w:type="pct"/>
            <w:vMerge/>
            <w:tcBorders>
              <w:left w:val="single" w:sz="4" w:space="0" w:color="auto"/>
              <w:right w:val="single" w:sz="4" w:space="0" w:color="auto"/>
            </w:tcBorders>
          </w:tcPr>
          <w:p w:rsidR="002614B2" w:rsidRPr="007F61FF" w:rsidRDefault="002614B2" w:rsidP="003B4BCE">
            <w:pPr>
              <w:rPr>
                <w:i/>
                <w:sz w:val="24"/>
                <w:szCs w:val="24"/>
              </w:rPr>
            </w:pPr>
          </w:p>
        </w:tc>
        <w:tc>
          <w:tcPr>
            <w:tcW w:w="3428" w:type="pct"/>
            <w:gridSpan w:val="2"/>
            <w:tcBorders>
              <w:top w:val="single" w:sz="4" w:space="0" w:color="auto"/>
              <w:left w:val="single" w:sz="4" w:space="0" w:color="auto"/>
              <w:bottom w:val="single" w:sz="4" w:space="0" w:color="auto"/>
              <w:right w:val="single" w:sz="4" w:space="0" w:color="auto"/>
            </w:tcBorders>
          </w:tcPr>
          <w:p w:rsidR="002614B2" w:rsidRPr="00E008C1" w:rsidRDefault="002614B2" w:rsidP="003B4BCE">
            <w:pPr>
              <w:rPr>
                <w:sz w:val="24"/>
                <w:szCs w:val="24"/>
              </w:rPr>
            </w:pPr>
            <w:r w:rsidRPr="003F6D79">
              <w:rPr>
                <w:sz w:val="24"/>
                <w:szCs w:val="24"/>
              </w:rPr>
              <w:t>Aggression*</w:t>
            </w:r>
          </w:p>
        </w:tc>
      </w:tr>
      <w:tr w:rsidR="002614B2" w:rsidRPr="007F61FF" w:rsidTr="003B4BCE">
        <w:trPr>
          <w:cantSplit/>
        </w:trPr>
        <w:tc>
          <w:tcPr>
            <w:tcW w:w="1572" w:type="pct"/>
            <w:vMerge/>
            <w:tcBorders>
              <w:left w:val="single" w:sz="4" w:space="0" w:color="auto"/>
              <w:bottom w:val="single" w:sz="4" w:space="0" w:color="auto"/>
              <w:right w:val="single" w:sz="4" w:space="0" w:color="auto"/>
            </w:tcBorders>
          </w:tcPr>
          <w:p w:rsidR="002614B2" w:rsidRPr="007F61FF" w:rsidRDefault="002614B2" w:rsidP="003B4BCE">
            <w:pPr>
              <w:rPr>
                <w:i/>
                <w:sz w:val="24"/>
                <w:szCs w:val="24"/>
              </w:rPr>
            </w:pPr>
          </w:p>
        </w:tc>
        <w:tc>
          <w:tcPr>
            <w:tcW w:w="3428" w:type="pct"/>
            <w:gridSpan w:val="2"/>
            <w:tcBorders>
              <w:top w:val="single" w:sz="4" w:space="0" w:color="auto"/>
              <w:left w:val="single" w:sz="4" w:space="0" w:color="auto"/>
              <w:bottom w:val="single" w:sz="4" w:space="0" w:color="auto"/>
              <w:right w:val="single" w:sz="4" w:space="0" w:color="auto"/>
            </w:tcBorders>
          </w:tcPr>
          <w:p w:rsidR="002614B2" w:rsidRPr="00E008C1" w:rsidRDefault="002614B2" w:rsidP="003B4BCE">
            <w:pPr>
              <w:rPr>
                <w:sz w:val="24"/>
                <w:szCs w:val="24"/>
              </w:rPr>
            </w:pPr>
            <w:r>
              <w:rPr>
                <w:sz w:val="24"/>
                <w:szCs w:val="24"/>
              </w:rPr>
              <w:t>D</w:t>
            </w:r>
            <w:r w:rsidRPr="003F6D79">
              <w:rPr>
                <w:sz w:val="24"/>
                <w:szCs w:val="24"/>
              </w:rPr>
              <w:t>opamin dysreguleringssyndrom</w:t>
            </w:r>
          </w:p>
        </w:tc>
      </w:tr>
      <w:tr w:rsidR="002614B2" w:rsidRPr="007F61FF" w:rsidTr="003B4BCE">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i/>
                <w:sz w:val="24"/>
                <w:szCs w:val="24"/>
              </w:rPr>
            </w:pPr>
            <w:r w:rsidRPr="007F61FF">
              <w:rPr>
                <w:i/>
                <w:sz w:val="24"/>
                <w:szCs w:val="24"/>
              </w:rPr>
              <w:t>Nervesystemet</w:t>
            </w:r>
          </w:p>
        </w:tc>
      </w:tr>
      <w:tr w:rsidR="002614B2" w:rsidRPr="007F61FF" w:rsidTr="003B4BCE">
        <w:trPr>
          <w:cantSplit/>
        </w:trPr>
        <w:tc>
          <w:tcPr>
            <w:tcW w:w="1572" w:type="pct"/>
            <w:vMerge w:val="restart"/>
            <w:tcBorders>
              <w:top w:val="single" w:sz="4" w:space="0" w:color="auto"/>
              <w:left w:val="single" w:sz="4" w:space="0" w:color="auto"/>
              <w:right w:val="single" w:sz="4" w:space="0" w:color="auto"/>
            </w:tcBorders>
            <w:hideMark/>
          </w:tcPr>
          <w:p w:rsidR="002614B2" w:rsidRPr="007F61FF" w:rsidRDefault="002614B2" w:rsidP="003B4BCE">
            <w:pPr>
              <w:rPr>
                <w:sz w:val="24"/>
                <w:szCs w:val="24"/>
              </w:rPr>
            </w:pPr>
            <w:r w:rsidRPr="007F61FF">
              <w:rPr>
                <w:sz w:val="24"/>
                <w:szCs w:val="24"/>
              </w:rPr>
              <w:t>Meget almindelig</w:t>
            </w:r>
          </w:p>
        </w:tc>
        <w:tc>
          <w:tcPr>
            <w:tcW w:w="1717"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sz w:val="24"/>
                <w:szCs w:val="24"/>
              </w:rPr>
            </w:pPr>
            <w:r w:rsidRPr="007F61FF">
              <w:rPr>
                <w:sz w:val="24"/>
                <w:szCs w:val="24"/>
              </w:rPr>
              <w:t>Somnolens</w:t>
            </w:r>
          </w:p>
        </w:tc>
        <w:tc>
          <w:tcPr>
            <w:tcW w:w="1711"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r>
              <w:rPr>
                <w:sz w:val="24"/>
                <w:szCs w:val="24"/>
              </w:rPr>
              <w:t>Somnolens</w:t>
            </w:r>
            <w:r>
              <w:rPr>
                <w:color w:val="000000"/>
                <w:szCs w:val="22"/>
                <w:lang w:eastAsia="en-GB"/>
              </w:rPr>
              <w:t>**</w:t>
            </w:r>
          </w:p>
        </w:tc>
      </w:tr>
      <w:tr w:rsidR="002614B2" w:rsidRPr="007F61FF" w:rsidTr="003B4BCE">
        <w:trPr>
          <w:cantSplit/>
        </w:trPr>
        <w:tc>
          <w:tcPr>
            <w:tcW w:w="1572" w:type="pct"/>
            <w:vMerge/>
            <w:tcBorders>
              <w:left w:val="single" w:sz="4" w:space="0" w:color="auto"/>
              <w:bottom w:val="single" w:sz="4" w:space="0" w:color="auto"/>
              <w:right w:val="single" w:sz="4" w:space="0" w:color="auto"/>
            </w:tcBorders>
          </w:tcPr>
          <w:p w:rsidR="002614B2" w:rsidRPr="007F61FF" w:rsidRDefault="002614B2" w:rsidP="003B4BCE">
            <w:pPr>
              <w:rPr>
                <w:sz w:val="24"/>
                <w:szCs w:val="24"/>
              </w:rPr>
            </w:pPr>
          </w:p>
        </w:tc>
        <w:tc>
          <w:tcPr>
            <w:tcW w:w="1717"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r>
              <w:rPr>
                <w:sz w:val="24"/>
                <w:szCs w:val="24"/>
              </w:rPr>
              <w:t>Synkope</w:t>
            </w:r>
          </w:p>
        </w:tc>
        <w:tc>
          <w:tcPr>
            <w:tcW w:w="1711"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r>
              <w:rPr>
                <w:sz w:val="24"/>
                <w:szCs w:val="24"/>
              </w:rPr>
              <w:t>Dyskinesi</w:t>
            </w:r>
            <w:r>
              <w:rPr>
                <w:color w:val="000000"/>
                <w:szCs w:val="22"/>
                <w:lang w:eastAsia="en-GB"/>
              </w:rPr>
              <w:t>***</w:t>
            </w:r>
          </w:p>
        </w:tc>
      </w:tr>
      <w:tr w:rsidR="002614B2" w:rsidRPr="007F61FF" w:rsidTr="003B4BCE">
        <w:trPr>
          <w:cantSplit/>
        </w:trPr>
        <w:tc>
          <w:tcPr>
            <w:tcW w:w="1572"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sz w:val="24"/>
                <w:szCs w:val="24"/>
              </w:rPr>
            </w:pPr>
            <w:r w:rsidRPr="007F61FF">
              <w:rPr>
                <w:sz w:val="24"/>
                <w:szCs w:val="24"/>
              </w:rPr>
              <w:t>Almindelig</w:t>
            </w:r>
          </w:p>
        </w:tc>
        <w:tc>
          <w:tcPr>
            <w:tcW w:w="3428" w:type="pct"/>
            <w:gridSpan w:val="2"/>
            <w:tcBorders>
              <w:top w:val="single" w:sz="4" w:space="0" w:color="auto"/>
              <w:left w:val="single" w:sz="4" w:space="0" w:color="auto"/>
              <w:bottom w:val="single" w:sz="4" w:space="0" w:color="auto"/>
              <w:right w:val="single" w:sz="4" w:space="0" w:color="auto"/>
            </w:tcBorders>
            <w:hideMark/>
          </w:tcPr>
          <w:p w:rsidR="002614B2" w:rsidRDefault="002614B2" w:rsidP="003B4BCE">
            <w:pPr>
              <w:rPr>
                <w:sz w:val="24"/>
                <w:szCs w:val="24"/>
              </w:rPr>
            </w:pPr>
            <w:r w:rsidRPr="007F61FF">
              <w:rPr>
                <w:sz w:val="24"/>
                <w:szCs w:val="24"/>
              </w:rPr>
              <w:t>Svimmelhed (inklusive vertigo)</w:t>
            </w:r>
          </w:p>
          <w:p w:rsidR="002614B2" w:rsidRPr="007F61FF" w:rsidRDefault="002614B2" w:rsidP="003B4BCE">
            <w:pPr>
              <w:rPr>
                <w:b/>
                <w:sz w:val="24"/>
                <w:szCs w:val="24"/>
              </w:rPr>
            </w:pPr>
            <w:r w:rsidRPr="003F6D79">
              <w:rPr>
                <w:sz w:val="24"/>
                <w:szCs w:val="24"/>
              </w:rPr>
              <w:t>Pludselig indtræden af søvn</w:t>
            </w:r>
          </w:p>
        </w:tc>
      </w:tr>
      <w:tr w:rsidR="002614B2" w:rsidRPr="007F61FF" w:rsidTr="003B4BCE">
        <w:trPr>
          <w:cantSplit/>
        </w:trPr>
        <w:tc>
          <w:tcPr>
            <w:tcW w:w="1572"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r>
              <w:rPr>
                <w:sz w:val="24"/>
                <w:szCs w:val="24"/>
              </w:rPr>
              <w:t>Ikke almindelig</w:t>
            </w:r>
          </w:p>
        </w:tc>
        <w:tc>
          <w:tcPr>
            <w:tcW w:w="3428" w:type="pct"/>
            <w:gridSpan w:val="2"/>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r>
              <w:rPr>
                <w:sz w:val="24"/>
                <w:szCs w:val="24"/>
              </w:rPr>
              <w:t>U</w:t>
            </w:r>
            <w:r w:rsidRPr="003F6D79">
              <w:rPr>
                <w:sz w:val="24"/>
                <w:szCs w:val="24"/>
              </w:rPr>
              <w:t>dpræget somnolens i dagtimerne</w:t>
            </w:r>
          </w:p>
        </w:tc>
      </w:tr>
      <w:tr w:rsidR="002614B2" w:rsidRPr="007F61FF" w:rsidTr="003B4BCE">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b/>
                <w:i/>
                <w:sz w:val="24"/>
                <w:szCs w:val="24"/>
              </w:rPr>
            </w:pPr>
            <w:r w:rsidRPr="007F61FF">
              <w:rPr>
                <w:i/>
                <w:sz w:val="24"/>
                <w:szCs w:val="24"/>
              </w:rPr>
              <w:t>Vaskulære sygdomme</w:t>
            </w:r>
          </w:p>
        </w:tc>
      </w:tr>
      <w:tr w:rsidR="002614B2" w:rsidRPr="007F61FF" w:rsidTr="003B4BCE">
        <w:trPr>
          <w:cantSplit/>
        </w:trPr>
        <w:tc>
          <w:tcPr>
            <w:tcW w:w="1572"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sz w:val="24"/>
                <w:szCs w:val="24"/>
              </w:rPr>
            </w:pPr>
            <w:r w:rsidRPr="007F61FF">
              <w:rPr>
                <w:sz w:val="24"/>
                <w:szCs w:val="24"/>
              </w:rPr>
              <w:t>Almindelig</w:t>
            </w:r>
          </w:p>
        </w:tc>
        <w:tc>
          <w:tcPr>
            <w:tcW w:w="1717"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b/>
                <w:sz w:val="24"/>
                <w:szCs w:val="24"/>
              </w:rPr>
            </w:pPr>
          </w:p>
        </w:tc>
        <w:tc>
          <w:tcPr>
            <w:tcW w:w="1711"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sz w:val="24"/>
                <w:szCs w:val="24"/>
              </w:rPr>
            </w:pPr>
            <w:r w:rsidRPr="007F61FF">
              <w:rPr>
                <w:sz w:val="24"/>
                <w:szCs w:val="24"/>
              </w:rPr>
              <w:t>Postural hypotension, hypotension</w:t>
            </w:r>
          </w:p>
        </w:tc>
      </w:tr>
      <w:tr w:rsidR="002614B2" w:rsidRPr="007F61FF" w:rsidTr="003B4BCE">
        <w:trPr>
          <w:cantSplit/>
        </w:trPr>
        <w:tc>
          <w:tcPr>
            <w:tcW w:w="1572"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sz w:val="24"/>
                <w:szCs w:val="24"/>
              </w:rPr>
            </w:pPr>
            <w:r w:rsidRPr="007F61FF">
              <w:rPr>
                <w:sz w:val="24"/>
                <w:szCs w:val="24"/>
              </w:rPr>
              <w:t>Ikke almindelig</w:t>
            </w:r>
          </w:p>
        </w:tc>
        <w:tc>
          <w:tcPr>
            <w:tcW w:w="1717"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b/>
                <w:sz w:val="24"/>
                <w:szCs w:val="24"/>
              </w:rPr>
            </w:pPr>
            <w:r w:rsidRPr="007F61FF">
              <w:rPr>
                <w:sz w:val="24"/>
                <w:szCs w:val="24"/>
              </w:rPr>
              <w:t>Postural hypotension, hypotension</w:t>
            </w:r>
          </w:p>
        </w:tc>
        <w:tc>
          <w:tcPr>
            <w:tcW w:w="1711"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b/>
                <w:sz w:val="24"/>
                <w:szCs w:val="24"/>
              </w:rPr>
            </w:pPr>
          </w:p>
        </w:tc>
      </w:tr>
      <w:tr w:rsidR="002614B2" w:rsidRPr="007F61FF" w:rsidTr="003B4BCE">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b/>
                <w:i/>
                <w:sz w:val="24"/>
                <w:szCs w:val="24"/>
              </w:rPr>
            </w:pPr>
            <w:r w:rsidRPr="007F61FF">
              <w:rPr>
                <w:i/>
                <w:sz w:val="24"/>
                <w:szCs w:val="24"/>
              </w:rPr>
              <w:t>Mave-tarm-kanalen</w:t>
            </w:r>
          </w:p>
        </w:tc>
      </w:tr>
      <w:tr w:rsidR="002614B2" w:rsidRPr="007F61FF" w:rsidTr="003B4BCE">
        <w:trPr>
          <w:cantSplit/>
        </w:trPr>
        <w:tc>
          <w:tcPr>
            <w:tcW w:w="1572"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sz w:val="24"/>
                <w:szCs w:val="24"/>
              </w:rPr>
            </w:pPr>
            <w:r w:rsidRPr="007F61FF">
              <w:rPr>
                <w:sz w:val="24"/>
                <w:szCs w:val="24"/>
              </w:rPr>
              <w:t>Meget almindelig</w:t>
            </w:r>
          </w:p>
        </w:tc>
        <w:tc>
          <w:tcPr>
            <w:tcW w:w="1717" w:type="pct"/>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b/>
                <w:sz w:val="24"/>
                <w:szCs w:val="24"/>
              </w:rPr>
            </w:pPr>
            <w:r w:rsidRPr="007F61FF">
              <w:rPr>
                <w:sz w:val="24"/>
                <w:szCs w:val="24"/>
              </w:rPr>
              <w:t>Kvalme</w:t>
            </w:r>
          </w:p>
        </w:tc>
        <w:tc>
          <w:tcPr>
            <w:tcW w:w="1711" w:type="pct"/>
            <w:tcBorders>
              <w:top w:val="single" w:sz="4" w:space="0" w:color="auto"/>
              <w:left w:val="single" w:sz="4" w:space="0" w:color="auto"/>
              <w:bottom w:val="single" w:sz="4" w:space="0" w:color="auto"/>
              <w:right w:val="single" w:sz="4" w:space="0" w:color="auto"/>
            </w:tcBorders>
          </w:tcPr>
          <w:p w:rsidR="002614B2" w:rsidRPr="00E008C1" w:rsidRDefault="002614B2" w:rsidP="003B4BCE">
            <w:pPr>
              <w:rPr>
                <w:sz w:val="24"/>
                <w:szCs w:val="24"/>
              </w:rPr>
            </w:pPr>
            <w:r>
              <w:rPr>
                <w:sz w:val="24"/>
                <w:szCs w:val="24"/>
              </w:rPr>
              <w:t>Kvalme</w:t>
            </w:r>
            <w:r w:rsidRPr="00252EC7">
              <w:rPr>
                <w:sz w:val="24"/>
                <w:szCs w:val="24"/>
              </w:rPr>
              <w:t>****</w:t>
            </w:r>
          </w:p>
        </w:tc>
      </w:tr>
      <w:tr w:rsidR="002614B2" w:rsidRPr="007F61FF" w:rsidTr="003B4BCE">
        <w:trPr>
          <w:cantSplit/>
        </w:trPr>
        <w:tc>
          <w:tcPr>
            <w:tcW w:w="1572" w:type="pct"/>
            <w:vMerge w:val="restart"/>
            <w:tcBorders>
              <w:top w:val="single" w:sz="4" w:space="0" w:color="auto"/>
              <w:left w:val="single" w:sz="4" w:space="0" w:color="auto"/>
              <w:right w:val="single" w:sz="4" w:space="0" w:color="auto"/>
            </w:tcBorders>
            <w:hideMark/>
          </w:tcPr>
          <w:p w:rsidR="002614B2" w:rsidRPr="007F61FF" w:rsidRDefault="002614B2" w:rsidP="003B4BCE">
            <w:pPr>
              <w:rPr>
                <w:sz w:val="24"/>
                <w:szCs w:val="24"/>
              </w:rPr>
            </w:pPr>
            <w:r w:rsidRPr="007F61FF">
              <w:rPr>
                <w:sz w:val="24"/>
                <w:szCs w:val="24"/>
              </w:rPr>
              <w:t>Almindelig</w:t>
            </w:r>
          </w:p>
        </w:tc>
        <w:tc>
          <w:tcPr>
            <w:tcW w:w="3428" w:type="pct"/>
            <w:gridSpan w:val="2"/>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sz w:val="24"/>
                <w:szCs w:val="24"/>
              </w:rPr>
            </w:pPr>
            <w:r w:rsidRPr="007F61FF">
              <w:rPr>
                <w:sz w:val="24"/>
                <w:szCs w:val="24"/>
              </w:rPr>
              <w:t>Obstipation</w:t>
            </w:r>
            <w:r>
              <w:rPr>
                <w:sz w:val="24"/>
                <w:szCs w:val="24"/>
              </w:rPr>
              <w:t>, halsbrand</w:t>
            </w:r>
          </w:p>
        </w:tc>
      </w:tr>
      <w:tr w:rsidR="002614B2" w:rsidRPr="007F61FF" w:rsidTr="003B4BCE">
        <w:trPr>
          <w:cantSplit/>
        </w:trPr>
        <w:tc>
          <w:tcPr>
            <w:tcW w:w="1572" w:type="pct"/>
            <w:vMerge/>
            <w:tcBorders>
              <w:left w:val="single" w:sz="4" w:space="0" w:color="auto"/>
              <w:bottom w:val="single" w:sz="4" w:space="0" w:color="auto"/>
              <w:right w:val="single" w:sz="4" w:space="0" w:color="auto"/>
            </w:tcBorders>
          </w:tcPr>
          <w:p w:rsidR="002614B2" w:rsidRPr="007F61FF" w:rsidRDefault="002614B2" w:rsidP="003B4BCE">
            <w:pPr>
              <w:rPr>
                <w:sz w:val="24"/>
                <w:szCs w:val="24"/>
              </w:rPr>
            </w:pPr>
          </w:p>
        </w:tc>
        <w:tc>
          <w:tcPr>
            <w:tcW w:w="1717"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r>
              <w:rPr>
                <w:sz w:val="24"/>
                <w:szCs w:val="24"/>
              </w:rPr>
              <w:t>Opkastning, mavesmerter</w:t>
            </w:r>
          </w:p>
        </w:tc>
        <w:tc>
          <w:tcPr>
            <w:tcW w:w="1711"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p>
        </w:tc>
      </w:tr>
      <w:tr w:rsidR="002614B2" w:rsidRPr="007F61FF" w:rsidTr="003B4BCE">
        <w:trPr>
          <w:cantSplit/>
        </w:trPr>
        <w:tc>
          <w:tcPr>
            <w:tcW w:w="5000" w:type="pct"/>
            <w:gridSpan w:val="3"/>
            <w:tcBorders>
              <w:top w:val="single" w:sz="4" w:space="0" w:color="auto"/>
              <w:left w:val="single" w:sz="4" w:space="0" w:color="auto"/>
              <w:bottom w:val="single" w:sz="4" w:space="0" w:color="auto"/>
              <w:right w:val="single" w:sz="4" w:space="0" w:color="auto"/>
            </w:tcBorders>
          </w:tcPr>
          <w:p w:rsidR="002614B2" w:rsidRPr="007F61FF" w:rsidRDefault="002614B2" w:rsidP="003B4BCE">
            <w:pPr>
              <w:rPr>
                <w:i/>
                <w:sz w:val="24"/>
                <w:szCs w:val="24"/>
              </w:rPr>
            </w:pPr>
            <w:r w:rsidRPr="00252EC7">
              <w:rPr>
                <w:i/>
                <w:sz w:val="24"/>
                <w:szCs w:val="24"/>
              </w:rPr>
              <w:t>Lever og galdeveje</w:t>
            </w:r>
          </w:p>
        </w:tc>
      </w:tr>
      <w:tr w:rsidR="002614B2" w:rsidRPr="007F61FF" w:rsidTr="003B4BCE">
        <w:trPr>
          <w:cantSplit/>
        </w:trPr>
        <w:tc>
          <w:tcPr>
            <w:tcW w:w="1572" w:type="pct"/>
            <w:tcBorders>
              <w:top w:val="single" w:sz="4" w:space="0" w:color="auto"/>
              <w:left w:val="single" w:sz="4" w:space="0" w:color="auto"/>
              <w:bottom w:val="single" w:sz="4" w:space="0" w:color="auto"/>
              <w:right w:val="single" w:sz="4" w:space="0" w:color="auto"/>
            </w:tcBorders>
          </w:tcPr>
          <w:p w:rsidR="002614B2" w:rsidRPr="00E008C1" w:rsidRDefault="002614B2" w:rsidP="003B4BCE">
            <w:pPr>
              <w:rPr>
                <w:sz w:val="24"/>
                <w:szCs w:val="24"/>
              </w:rPr>
            </w:pPr>
            <w:r>
              <w:rPr>
                <w:sz w:val="24"/>
                <w:szCs w:val="24"/>
              </w:rPr>
              <w:t>Ikke kendt</w:t>
            </w:r>
          </w:p>
        </w:tc>
        <w:tc>
          <w:tcPr>
            <w:tcW w:w="3428" w:type="pct"/>
            <w:gridSpan w:val="2"/>
            <w:tcBorders>
              <w:top w:val="single" w:sz="4" w:space="0" w:color="auto"/>
              <w:left w:val="single" w:sz="4" w:space="0" w:color="auto"/>
              <w:bottom w:val="single" w:sz="4" w:space="0" w:color="auto"/>
              <w:right w:val="single" w:sz="4" w:space="0" w:color="auto"/>
            </w:tcBorders>
          </w:tcPr>
          <w:p w:rsidR="002614B2" w:rsidRPr="00E008C1" w:rsidRDefault="002614B2" w:rsidP="003B4BCE">
            <w:pPr>
              <w:rPr>
                <w:sz w:val="24"/>
                <w:szCs w:val="24"/>
              </w:rPr>
            </w:pPr>
            <w:r w:rsidRPr="00252EC7">
              <w:rPr>
                <w:sz w:val="24"/>
                <w:szCs w:val="24"/>
              </w:rPr>
              <w:t>Leverreaktioner, især forhøjede leverenzymer</w:t>
            </w:r>
          </w:p>
        </w:tc>
      </w:tr>
      <w:tr w:rsidR="002614B2" w:rsidRPr="007F61FF" w:rsidTr="003B4BCE">
        <w:trPr>
          <w:cantSplit/>
        </w:trPr>
        <w:tc>
          <w:tcPr>
            <w:tcW w:w="5000" w:type="pct"/>
            <w:gridSpan w:val="3"/>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b/>
                <w:i/>
                <w:sz w:val="24"/>
                <w:szCs w:val="24"/>
              </w:rPr>
            </w:pPr>
            <w:r w:rsidRPr="007F61FF">
              <w:rPr>
                <w:i/>
                <w:sz w:val="24"/>
                <w:szCs w:val="24"/>
              </w:rPr>
              <w:t>Almene symptomer og reaktioner på administrationsstedet</w:t>
            </w:r>
          </w:p>
        </w:tc>
      </w:tr>
      <w:tr w:rsidR="002614B2" w:rsidRPr="007F61FF" w:rsidTr="003B4BCE">
        <w:trPr>
          <w:cantSplit/>
        </w:trPr>
        <w:tc>
          <w:tcPr>
            <w:tcW w:w="1572" w:type="pct"/>
            <w:vMerge w:val="restart"/>
            <w:tcBorders>
              <w:top w:val="single" w:sz="4" w:space="0" w:color="auto"/>
              <w:left w:val="single" w:sz="4" w:space="0" w:color="auto"/>
              <w:right w:val="single" w:sz="4" w:space="0" w:color="auto"/>
            </w:tcBorders>
            <w:hideMark/>
          </w:tcPr>
          <w:p w:rsidR="002614B2" w:rsidRPr="007F61FF" w:rsidRDefault="002614B2" w:rsidP="003B4BCE">
            <w:pPr>
              <w:rPr>
                <w:sz w:val="24"/>
                <w:szCs w:val="24"/>
              </w:rPr>
            </w:pPr>
            <w:r w:rsidRPr="007F61FF">
              <w:rPr>
                <w:sz w:val="24"/>
                <w:szCs w:val="24"/>
              </w:rPr>
              <w:t>Almindelig</w:t>
            </w:r>
          </w:p>
        </w:tc>
        <w:tc>
          <w:tcPr>
            <w:tcW w:w="3428" w:type="pct"/>
            <w:gridSpan w:val="2"/>
            <w:tcBorders>
              <w:top w:val="single" w:sz="4" w:space="0" w:color="auto"/>
              <w:left w:val="single" w:sz="4" w:space="0" w:color="auto"/>
              <w:bottom w:val="single" w:sz="4" w:space="0" w:color="auto"/>
              <w:right w:val="single" w:sz="4" w:space="0" w:color="auto"/>
            </w:tcBorders>
            <w:hideMark/>
          </w:tcPr>
          <w:p w:rsidR="002614B2" w:rsidRPr="007F61FF" w:rsidRDefault="002614B2" w:rsidP="003B4BCE">
            <w:pPr>
              <w:rPr>
                <w:sz w:val="24"/>
                <w:szCs w:val="24"/>
              </w:rPr>
            </w:pPr>
            <w:r w:rsidRPr="007F61FF">
              <w:rPr>
                <w:sz w:val="24"/>
                <w:szCs w:val="24"/>
              </w:rPr>
              <w:t>Perifert ødem</w:t>
            </w:r>
          </w:p>
        </w:tc>
      </w:tr>
      <w:tr w:rsidR="002614B2" w:rsidRPr="007F61FF" w:rsidTr="003B4BCE">
        <w:trPr>
          <w:cantSplit/>
        </w:trPr>
        <w:tc>
          <w:tcPr>
            <w:tcW w:w="1572" w:type="pct"/>
            <w:vMerge/>
            <w:tcBorders>
              <w:left w:val="single" w:sz="4" w:space="0" w:color="auto"/>
              <w:right w:val="single" w:sz="4" w:space="0" w:color="auto"/>
            </w:tcBorders>
          </w:tcPr>
          <w:p w:rsidR="002614B2" w:rsidRPr="007F61FF" w:rsidRDefault="002614B2" w:rsidP="003B4BCE">
            <w:pPr>
              <w:rPr>
                <w:sz w:val="24"/>
                <w:szCs w:val="24"/>
              </w:rPr>
            </w:pPr>
          </w:p>
        </w:tc>
        <w:tc>
          <w:tcPr>
            <w:tcW w:w="1717"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r w:rsidRPr="00610C79">
              <w:rPr>
                <w:sz w:val="24"/>
                <w:szCs w:val="24"/>
              </w:rPr>
              <w:t>Ødem i benene</w:t>
            </w:r>
          </w:p>
        </w:tc>
        <w:tc>
          <w:tcPr>
            <w:tcW w:w="1711" w:type="pct"/>
            <w:tcBorders>
              <w:top w:val="single" w:sz="4" w:space="0" w:color="auto"/>
              <w:left w:val="single" w:sz="4" w:space="0" w:color="auto"/>
              <w:bottom w:val="single" w:sz="4" w:space="0" w:color="auto"/>
              <w:right w:val="single" w:sz="4" w:space="0" w:color="auto"/>
            </w:tcBorders>
          </w:tcPr>
          <w:p w:rsidR="002614B2" w:rsidRPr="007F61FF" w:rsidRDefault="002614B2" w:rsidP="003B4BCE">
            <w:pPr>
              <w:rPr>
                <w:sz w:val="24"/>
                <w:szCs w:val="24"/>
              </w:rPr>
            </w:pPr>
          </w:p>
        </w:tc>
      </w:tr>
      <w:tr w:rsidR="002614B2" w:rsidRPr="002126D9" w:rsidTr="003B4BCE">
        <w:trPr>
          <w:cantSplit/>
        </w:trPr>
        <w:tc>
          <w:tcPr>
            <w:tcW w:w="1572" w:type="pct"/>
            <w:tcBorders>
              <w:left w:val="single" w:sz="4" w:space="0" w:color="auto"/>
              <w:right w:val="single" w:sz="4" w:space="0" w:color="auto"/>
            </w:tcBorders>
          </w:tcPr>
          <w:p w:rsidR="002614B2" w:rsidRPr="002126D9" w:rsidRDefault="002614B2" w:rsidP="003B4BCE">
            <w:pPr>
              <w:rPr>
                <w:sz w:val="24"/>
                <w:szCs w:val="24"/>
              </w:rPr>
            </w:pPr>
            <w:r w:rsidRPr="002126D9">
              <w:rPr>
                <w:sz w:val="24"/>
                <w:szCs w:val="24"/>
              </w:rPr>
              <w:t>Ikke kendt</w:t>
            </w:r>
          </w:p>
        </w:tc>
        <w:tc>
          <w:tcPr>
            <w:tcW w:w="3428" w:type="pct"/>
            <w:gridSpan w:val="2"/>
            <w:tcBorders>
              <w:top w:val="single" w:sz="4" w:space="0" w:color="auto"/>
              <w:left w:val="single" w:sz="4" w:space="0" w:color="auto"/>
              <w:bottom w:val="single" w:sz="4" w:space="0" w:color="auto"/>
              <w:right w:val="single" w:sz="4" w:space="0" w:color="auto"/>
            </w:tcBorders>
          </w:tcPr>
          <w:p w:rsidR="002614B2" w:rsidRPr="002126D9" w:rsidRDefault="002614B2" w:rsidP="003B4BCE">
            <w:pPr>
              <w:rPr>
                <w:sz w:val="24"/>
                <w:szCs w:val="24"/>
              </w:rPr>
            </w:pPr>
            <w:r w:rsidRPr="002126D9">
              <w:rPr>
                <w:sz w:val="24"/>
                <w:szCs w:val="24"/>
              </w:rPr>
              <w:t>Dopaminagonist seponeringssyndrom, herunder apati, angst, depression, træthed, øget svedtendens og smerter</w:t>
            </w:r>
          </w:p>
        </w:tc>
      </w:tr>
    </w:tbl>
    <w:p w:rsidR="002614B2" w:rsidRPr="00943DEA" w:rsidRDefault="002614B2" w:rsidP="002614B2">
      <w:pPr>
        <w:ind w:left="1418" w:hanging="567"/>
        <w:rPr>
          <w:sz w:val="22"/>
          <w:szCs w:val="22"/>
        </w:rPr>
      </w:pPr>
      <w:r w:rsidRPr="00943DEA">
        <w:rPr>
          <w:sz w:val="22"/>
          <w:szCs w:val="22"/>
        </w:rPr>
        <w:t>*</w:t>
      </w:r>
      <w:r>
        <w:rPr>
          <w:sz w:val="22"/>
          <w:szCs w:val="22"/>
        </w:rPr>
        <w:tab/>
      </w:r>
      <w:r w:rsidRPr="00943DEA">
        <w:rPr>
          <w:sz w:val="22"/>
          <w:szCs w:val="22"/>
        </w:rPr>
        <w:t>Aggression har været forbundet med psykiske reaktioner og kompulsive symptomer.</w:t>
      </w:r>
    </w:p>
    <w:p w:rsidR="002614B2" w:rsidRPr="00943DEA" w:rsidRDefault="002614B2" w:rsidP="002614B2">
      <w:pPr>
        <w:ind w:left="1418" w:hanging="567"/>
        <w:rPr>
          <w:sz w:val="22"/>
          <w:szCs w:val="22"/>
        </w:rPr>
      </w:pPr>
      <w:r w:rsidRPr="00943DEA">
        <w:rPr>
          <w:sz w:val="22"/>
          <w:szCs w:val="22"/>
        </w:rPr>
        <w:t>**</w:t>
      </w:r>
      <w:r>
        <w:rPr>
          <w:sz w:val="22"/>
          <w:szCs w:val="22"/>
        </w:rPr>
        <w:tab/>
      </w:r>
      <w:r w:rsidRPr="00943DEA">
        <w:rPr>
          <w:sz w:val="22"/>
          <w:szCs w:val="22"/>
        </w:rPr>
        <w:t>Somnolens er rapporteret som meget almindeligt i kliniske studier med tillægsbehandling med filmovertrukne tabletter og rapporteret som almindeligt i kliniske studier med tillægsbehandling med depottabletter.</w:t>
      </w:r>
    </w:p>
    <w:p w:rsidR="002614B2" w:rsidRPr="00943DEA" w:rsidRDefault="002614B2" w:rsidP="002614B2">
      <w:pPr>
        <w:ind w:left="1418" w:hanging="567"/>
        <w:rPr>
          <w:sz w:val="22"/>
          <w:szCs w:val="22"/>
        </w:rPr>
      </w:pPr>
      <w:r w:rsidRPr="00943DEA">
        <w:rPr>
          <w:sz w:val="22"/>
          <w:szCs w:val="22"/>
        </w:rPr>
        <w:t>***</w:t>
      </w:r>
      <w:r>
        <w:rPr>
          <w:sz w:val="22"/>
          <w:szCs w:val="22"/>
        </w:rPr>
        <w:tab/>
      </w:r>
      <w:r w:rsidRPr="00943DEA">
        <w:rPr>
          <w:sz w:val="22"/>
          <w:szCs w:val="22"/>
        </w:rPr>
        <w:t>Hos patienter med fremskreden Parkinsons sygdom, kan der opstå dyskinesier under den første titreringsperiode med ropinirol. Kliniske studier har vist, at en reduktion af levodopa-dosis kan forbedre dyskinesi (se pkt. 4.2).</w:t>
      </w:r>
    </w:p>
    <w:p w:rsidR="002614B2" w:rsidRPr="00943DEA" w:rsidRDefault="002614B2" w:rsidP="002614B2">
      <w:pPr>
        <w:ind w:left="1418" w:hanging="567"/>
        <w:rPr>
          <w:sz w:val="22"/>
          <w:szCs w:val="22"/>
        </w:rPr>
      </w:pPr>
      <w:r w:rsidRPr="00943DEA">
        <w:rPr>
          <w:sz w:val="22"/>
          <w:szCs w:val="22"/>
        </w:rPr>
        <w:t>****</w:t>
      </w:r>
      <w:r>
        <w:rPr>
          <w:sz w:val="22"/>
          <w:szCs w:val="22"/>
        </w:rPr>
        <w:tab/>
      </w:r>
      <w:r w:rsidRPr="00943DEA">
        <w:rPr>
          <w:sz w:val="22"/>
          <w:szCs w:val="22"/>
        </w:rPr>
        <w:t>Kvalme er rapporteret som meget almindeligt i kliniske studier med tillægsbehandling med filmovertrukne tabletter og rapporteret som almindeligt i kliniske studier med tillægsbehandling med depottabletter.</w:t>
      </w:r>
    </w:p>
    <w:p w:rsidR="002614B2" w:rsidRPr="001122E0" w:rsidRDefault="002614B2" w:rsidP="002614B2">
      <w:pPr>
        <w:pStyle w:val="Sidehoved"/>
        <w:tabs>
          <w:tab w:val="clear" w:pos="4819"/>
          <w:tab w:val="clear" w:pos="9638"/>
        </w:tabs>
        <w:ind w:left="851" w:hanging="851"/>
        <w:rPr>
          <w:szCs w:val="24"/>
        </w:rPr>
      </w:pPr>
    </w:p>
    <w:p w:rsidR="002614B2" w:rsidRPr="001122E0" w:rsidRDefault="002614B2" w:rsidP="002614B2">
      <w:pPr>
        <w:ind w:left="851"/>
        <w:rPr>
          <w:sz w:val="24"/>
          <w:szCs w:val="24"/>
          <w:u w:val="single"/>
        </w:rPr>
      </w:pPr>
      <w:r w:rsidRPr="001122E0">
        <w:rPr>
          <w:sz w:val="24"/>
          <w:szCs w:val="24"/>
          <w:u w:val="single"/>
        </w:rPr>
        <w:lastRenderedPageBreak/>
        <w:t xml:space="preserve">Dopaminagonist seponeringssyndrom </w:t>
      </w:r>
    </w:p>
    <w:p w:rsidR="002614B2" w:rsidRPr="001122E0" w:rsidRDefault="002614B2" w:rsidP="002614B2">
      <w:pPr>
        <w:ind w:left="851"/>
        <w:rPr>
          <w:sz w:val="24"/>
          <w:szCs w:val="24"/>
          <w:u w:val="single"/>
        </w:rPr>
      </w:pPr>
      <w:r w:rsidRPr="001122E0">
        <w:rPr>
          <w:sz w:val="24"/>
          <w:szCs w:val="24"/>
        </w:rPr>
        <w:t>Non-motoriske bivirkninger kan forekomme ved nedtrapning eller seponering af dopaminagonister, herunder ropinirol (se pkt. 4.4).</w:t>
      </w:r>
    </w:p>
    <w:p w:rsidR="006E30AA" w:rsidRDefault="006E30AA">
      <w:pPr>
        <w:rPr>
          <w:sz w:val="24"/>
          <w:szCs w:val="24"/>
          <w:lang w:eastAsia="da-DK"/>
        </w:rPr>
      </w:pPr>
      <w:r>
        <w:rPr>
          <w:szCs w:val="24"/>
        </w:rPr>
        <w:br w:type="page"/>
      </w:r>
    </w:p>
    <w:p w:rsidR="002614B2" w:rsidRPr="001122E0" w:rsidRDefault="002614B2" w:rsidP="002614B2">
      <w:pPr>
        <w:pStyle w:val="Sidehoved"/>
        <w:tabs>
          <w:tab w:val="clear" w:pos="4819"/>
          <w:tab w:val="clear" w:pos="9638"/>
        </w:tabs>
        <w:ind w:left="851" w:hanging="851"/>
        <w:rPr>
          <w:szCs w:val="24"/>
        </w:rPr>
      </w:pPr>
    </w:p>
    <w:p w:rsidR="002614B2" w:rsidRPr="005E6DAE" w:rsidRDefault="002614B2" w:rsidP="002614B2">
      <w:pPr>
        <w:ind w:left="851"/>
        <w:rPr>
          <w:sz w:val="24"/>
          <w:szCs w:val="24"/>
          <w:u w:val="single"/>
        </w:rPr>
      </w:pPr>
      <w:r w:rsidRPr="005E6DAE">
        <w:rPr>
          <w:sz w:val="24"/>
          <w:szCs w:val="24"/>
          <w:u w:val="single"/>
        </w:rPr>
        <w:t>Indberetning af formodede bivirkninger</w:t>
      </w:r>
    </w:p>
    <w:p w:rsidR="002614B2" w:rsidRPr="005E6DAE" w:rsidRDefault="002614B2" w:rsidP="002614B2">
      <w:pPr>
        <w:ind w:left="851"/>
        <w:rPr>
          <w:sz w:val="24"/>
          <w:szCs w:val="24"/>
        </w:rPr>
      </w:pPr>
      <w:r w:rsidRPr="005E6DAE">
        <w:rPr>
          <w:sz w:val="24"/>
          <w:szCs w:val="24"/>
        </w:rPr>
        <w:t xml:space="preserve">Når lægemidlet er godkendt, er indberetning af formodede bivirkninger vigtig. Det muliggør løbende overvågning af benefit/risk-forholdet for lægemidlet. </w:t>
      </w:r>
      <w:r w:rsidR="006E30AA">
        <w:rPr>
          <w:sz w:val="24"/>
          <w:szCs w:val="24"/>
        </w:rPr>
        <w:t xml:space="preserve">Sundhedspersoner </w:t>
      </w:r>
      <w:r w:rsidRPr="005E6DAE">
        <w:rPr>
          <w:sz w:val="24"/>
          <w:szCs w:val="24"/>
        </w:rPr>
        <w:t>anmodes om at indberette alle formodede bivirkninger via:</w:t>
      </w:r>
    </w:p>
    <w:p w:rsidR="002614B2" w:rsidRPr="005E6DAE" w:rsidRDefault="002614B2" w:rsidP="002614B2">
      <w:pPr>
        <w:ind w:left="851"/>
        <w:rPr>
          <w:sz w:val="24"/>
          <w:szCs w:val="24"/>
        </w:rPr>
      </w:pPr>
    </w:p>
    <w:p w:rsidR="002614B2" w:rsidRPr="005E6DAE" w:rsidRDefault="002614B2" w:rsidP="002614B2">
      <w:pPr>
        <w:ind w:left="851"/>
        <w:rPr>
          <w:sz w:val="24"/>
          <w:szCs w:val="24"/>
        </w:rPr>
      </w:pPr>
      <w:r w:rsidRPr="005E6DAE">
        <w:rPr>
          <w:sz w:val="24"/>
          <w:szCs w:val="24"/>
        </w:rPr>
        <w:t>Lægemiddelstyrelsen</w:t>
      </w:r>
    </w:p>
    <w:p w:rsidR="002614B2" w:rsidRPr="005E6DAE" w:rsidRDefault="002614B2" w:rsidP="002614B2">
      <w:pPr>
        <w:ind w:left="851"/>
        <w:rPr>
          <w:sz w:val="24"/>
          <w:szCs w:val="24"/>
        </w:rPr>
      </w:pPr>
      <w:r w:rsidRPr="005E6DAE">
        <w:rPr>
          <w:sz w:val="24"/>
          <w:szCs w:val="24"/>
        </w:rPr>
        <w:t>Axel Heides Gade 1</w:t>
      </w:r>
    </w:p>
    <w:p w:rsidR="002614B2" w:rsidRPr="005E6DAE" w:rsidRDefault="002614B2" w:rsidP="002614B2">
      <w:pPr>
        <w:ind w:left="851"/>
        <w:rPr>
          <w:sz w:val="24"/>
          <w:szCs w:val="24"/>
        </w:rPr>
      </w:pPr>
      <w:r w:rsidRPr="005E6DAE">
        <w:rPr>
          <w:sz w:val="24"/>
          <w:szCs w:val="24"/>
        </w:rPr>
        <w:t>DK-2300 København S</w:t>
      </w:r>
    </w:p>
    <w:p w:rsidR="002614B2" w:rsidRPr="006E30AA" w:rsidRDefault="002614B2" w:rsidP="002614B2">
      <w:pPr>
        <w:ind w:left="851"/>
        <w:rPr>
          <w:sz w:val="24"/>
          <w:szCs w:val="24"/>
        </w:rPr>
      </w:pPr>
      <w:r w:rsidRPr="006E30AA">
        <w:rPr>
          <w:sz w:val="24"/>
          <w:szCs w:val="24"/>
        </w:rPr>
        <w:t xml:space="preserve">Websted: </w:t>
      </w:r>
      <w:hyperlink r:id="rId8" w:history="1">
        <w:r w:rsidRPr="006E30AA">
          <w:rPr>
            <w:sz w:val="24"/>
            <w:szCs w:val="24"/>
          </w:rPr>
          <w:t>www.meldenbivirkning.dk</w:t>
        </w:r>
      </w:hyperlink>
    </w:p>
    <w:p w:rsidR="002614B2" w:rsidRPr="00854AD0" w:rsidRDefault="002614B2" w:rsidP="002614B2">
      <w:pPr>
        <w:rPr>
          <w:szCs w:val="24"/>
        </w:rPr>
      </w:pPr>
    </w:p>
    <w:p w:rsidR="002614B2" w:rsidRPr="007F61FF" w:rsidRDefault="002614B2" w:rsidP="002614B2">
      <w:pPr>
        <w:ind w:left="851" w:hanging="851"/>
        <w:rPr>
          <w:b/>
          <w:sz w:val="24"/>
          <w:szCs w:val="24"/>
        </w:rPr>
      </w:pPr>
      <w:r w:rsidRPr="007F61FF">
        <w:rPr>
          <w:b/>
          <w:sz w:val="24"/>
          <w:szCs w:val="24"/>
        </w:rPr>
        <w:t>4.9</w:t>
      </w:r>
      <w:r w:rsidRPr="007F61FF">
        <w:rPr>
          <w:b/>
          <w:sz w:val="24"/>
          <w:szCs w:val="24"/>
        </w:rPr>
        <w:tab/>
        <w:t>Overdosering</w:t>
      </w:r>
    </w:p>
    <w:p w:rsidR="002614B2" w:rsidRPr="007F61FF" w:rsidRDefault="002614B2" w:rsidP="002614B2">
      <w:pPr>
        <w:ind w:left="851" w:hanging="851"/>
        <w:rPr>
          <w:sz w:val="24"/>
          <w:szCs w:val="24"/>
        </w:rPr>
      </w:pPr>
      <w:r w:rsidRPr="007F61FF">
        <w:rPr>
          <w:sz w:val="24"/>
          <w:szCs w:val="24"/>
        </w:rPr>
        <w:tab/>
        <w:t>Symptomerne på overdosering med ropinirol er relateret til dets dopaminerge aktivitet. Disse symptomer kan lindres ved relevant behandling med dopaminantagonister, såsom neuroleptika eller metoclopramid.</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4.10</w:t>
      </w:r>
      <w:r w:rsidRPr="007F61FF">
        <w:rPr>
          <w:b/>
          <w:sz w:val="24"/>
          <w:szCs w:val="24"/>
        </w:rPr>
        <w:tab/>
        <w:t>Udlevering</w:t>
      </w:r>
    </w:p>
    <w:p w:rsidR="002614B2" w:rsidRPr="007F61FF" w:rsidRDefault="002614B2" w:rsidP="002614B2">
      <w:pPr>
        <w:ind w:left="851" w:hanging="851"/>
        <w:rPr>
          <w:sz w:val="24"/>
          <w:szCs w:val="24"/>
        </w:rPr>
      </w:pPr>
      <w:r w:rsidRPr="007F61FF">
        <w:rPr>
          <w:sz w:val="24"/>
          <w:szCs w:val="24"/>
        </w:rPr>
        <w:tab/>
        <w:t>B</w:t>
      </w:r>
    </w:p>
    <w:p w:rsidR="002614B2" w:rsidRPr="007F61FF" w:rsidRDefault="002614B2" w:rsidP="002614B2">
      <w:pPr>
        <w:ind w:left="851" w:hanging="851"/>
        <w:rPr>
          <w:sz w:val="24"/>
          <w:szCs w:val="24"/>
        </w:rPr>
      </w:pP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5.</w:t>
      </w:r>
      <w:r w:rsidRPr="007F61FF">
        <w:rPr>
          <w:b/>
          <w:sz w:val="24"/>
          <w:szCs w:val="24"/>
        </w:rPr>
        <w:tab/>
        <w:t>FARMAKOLOGISKE EGENSKABER</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5.0</w:t>
      </w:r>
      <w:r w:rsidRPr="007F61FF">
        <w:rPr>
          <w:b/>
          <w:sz w:val="24"/>
          <w:szCs w:val="24"/>
        </w:rPr>
        <w:tab/>
        <w:t>Terapeutisk klassifikation</w:t>
      </w:r>
    </w:p>
    <w:p w:rsidR="002614B2" w:rsidRPr="007F61FF" w:rsidRDefault="002614B2" w:rsidP="002614B2">
      <w:pPr>
        <w:ind w:left="851" w:hanging="851"/>
        <w:rPr>
          <w:sz w:val="24"/>
          <w:szCs w:val="24"/>
        </w:rPr>
      </w:pPr>
      <w:r w:rsidRPr="007F61FF">
        <w:rPr>
          <w:sz w:val="24"/>
          <w:szCs w:val="24"/>
        </w:rPr>
        <w:tab/>
        <w:t>ATC kode: N</w:t>
      </w:r>
      <w:r>
        <w:rPr>
          <w:sz w:val="24"/>
          <w:szCs w:val="24"/>
        </w:rPr>
        <w:t xml:space="preserve"> </w:t>
      </w:r>
      <w:r w:rsidRPr="007F61FF">
        <w:rPr>
          <w:sz w:val="24"/>
          <w:szCs w:val="24"/>
        </w:rPr>
        <w:t>04</w:t>
      </w:r>
      <w:r>
        <w:rPr>
          <w:sz w:val="24"/>
          <w:szCs w:val="24"/>
        </w:rPr>
        <w:t xml:space="preserve"> </w:t>
      </w:r>
      <w:r w:rsidRPr="007F61FF">
        <w:rPr>
          <w:sz w:val="24"/>
          <w:szCs w:val="24"/>
        </w:rPr>
        <w:t>BC</w:t>
      </w:r>
      <w:r>
        <w:rPr>
          <w:sz w:val="24"/>
          <w:szCs w:val="24"/>
        </w:rPr>
        <w:t xml:space="preserve"> </w:t>
      </w:r>
      <w:r w:rsidRPr="007F61FF">
        <w:rPr>
          <w:sz w:val="24"/>
          <w:szCs w:val="24"/>
        </w:rPr>
        <w:t>04</w:t>
      </w:r>
      <w:r>
        <w:rPr>
          <w:sz w:val="24"/>
          <w:szCs w:val="24"/>
        </w:rPr>
        <w:t>.</w:t>
      </w:r>
      <w:r w:rsidRPr="007F61FF">
        <w:rPr>
          <w:sz w:val="24"/>
          <w:szCs w:val="24"/>
        </w:rPr>
        <w:t xml:space="preserve"> </w:t>
      </w:r>
      <w:r>
        <w:rPr>
          <w:sz w:val="24"/>
          <w:szCs w:val="24"/>
        </w:rPr>
        <w:t>D</w:t>
      </w:r>
      <w:r w:rsidRPr="007F61FF">
        <w:rPr>
          <w:sz w:val="24"/>
          <w:szCs w:val="24"/>
        </w:rPr>
        <w:t>opaminerge stoffer, dopaminagonister.</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5.1</w:t>
      </w:r>
      <w:r w:rsidRPr="007F61FF">
        <w:rPr>
          <w:b/>
          <w:sz w:val="24"/>
          <w:szCs w:val="24"/>
        </w:rPr>
        <w:tab/>
        <w:t>Farmakodynamiske egenskaber</w:t>
      </w:r>
    </w:p>
    <w:p w:rsidR="002614B2" w:rsidRDefault="002614B2" w:rsidP="002614B2">
      <w:pPr>
        <w:tabs>
          <w:tab w:val="left" w:pos="851"/>
        </w:tabs>
        <w:ind w:left="851" w:hanging="851"/>
        <w:rPr>
          <w:sz w:val="24"/>
          <w:szCs w:val="24"/>
        </w:rPr>
      </w:pPr>
    </w:p>
    <w:p w:rsidR="002614B2" w:rsidRPr="00177D2A" w:rsidRDefault="002614B2" w:rsidP="002614B2">
      <w:pPr>
        <w:tabs>
          <w:tab w:val="left" w:pos="851"/>
        </w:tabs>
        <w:ind w:left="851" w:hanging="851"/>
        <w:rPr>
          <w:sz w:val="24"/>
          <w:szCs w:val="24"/>
          <w:u w:val="single"/>
        </w:rPr>
      </w:pPr>
      <w:r>
        <w:rPr>
          <w:sz w:val="24"/>
          <w:szCs w:val="24"/>
        </w:rPr>
        <w:tab/>
      </w:r>
      <w:r w:rsidRPr="00177D2A">
        <w:rPr>
          <w:sz w:val="24"/>
          <w:szCs w:val="24"/>
          <w:u w:val="single"/>
        </w:rPr>
        <w:t>Virkningsmekanisme</w:t>
      </w:r>
    </w:p>
    <w:p w:rsidR="002614B2" w:rsidRPr="007F61FF" w:rsidRDefault="002614B2" w:rsidP="002614B2">
      <w:pPr>
        <w:ind w:left="851"/>
        <w:rPr>
          <w:sz w:val="24"/>
          <w:szCs w:val="24"/>
        </w:rPr>
      </w:pPr>
      <w:r w:rsidRPr="007F61FF">
        <w:rPr>
          <w:sz w:val="24"/>
          <w:szCs w:val="24"/>
        </w:rPr>
        <w:t>Ropinirol er en non</w:t>
      </w:r>
      <w:r w:rsidRPr="007F61FF">
        <w:rPr>
          <w:sz w:val="24"/>
          <w:szCs w:val="24"/>
        </w:rPr>
        <w:noBreakHyphen/>
        <w:t>ergolin D2/D3 dopaminagonist, som stimulerer striatale dopaminreceptorer.</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Ropinirol afhjælper manglen på dopamin, som karakteriserer Parkinsons sygdom ved at stimulere striatale dopaminreceptorer.</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Ropinirol udøver sin virkning i hypothalamus og hypofysen ved at hæmme sekretionen af prolactin.</w:t>
      </w:r>
    </w:p>
    <w:p w:rsidR="002614B2" w:rsidRPr="007F61FF" w:rsidRDefault="002614B2" w:rsidP="002614B2">
      <w:pPr>
        <w:ind w:left="851" w:hanging="851"/>
        <w:rPr>
          <w:sz w:val="24"/>
          <w:szCs w:val="24"/>
        </w:rPr>
      </w:pPr>
    </w:p>
    <w:p w:rsidR="002614B2" w:rsidRPr="00253CB3" w:rsidRDefault="002614B2" w:rsidP="002614B2">
      <w:pPr>
        <w:ind w:left="851"/>
        <w:rPr>
          <w:sz w:val="24"/>
          <w:szCs w:val="24"/>
          <w:u w:val="single"/>
        </w:rPr>
      </w:pPr>
      <w:r w:rsidRPr="00253CB3">
        <w:rPr>
          <w:sz w:val="24"/>
          <w:szCs w:val="24"/>
          <w:u w:val="single"/>
        </w:rPr>
        <w:t>Klinisk virkning</w:t>
      </w:r>
      <w:r>
        <w:rPr>
          <w:sz w:val="24"/>
          <w:szCs w:val="24"/>
          <w:u w:val="single"/>
        </w:rPr>
        <w:t xml:space="preserve"> og sikkerhed</w:t>
      </w:r>
    </w:p>
    <w:p w:rsidR="002614B2" w:rsidRPr="007F61FF" w:rsidRDefault="002614B2" w:rsidP="002614B2">
      <w:pPr>
        <w:ind w:left="851"/>
        <w:rPr>
          <w:sz w:val="24"/>
          <w:szCs w:val="24"/>
        </w:rPr>
      </w:pPr>
      <w:r w:rsidRPr="007F61FF">
        <w:rPr>
          <w:sz w:val="24"/>
          <w:szCs w:val="24"/>
        </w:rPr>
        <w:t xml:space="preserve">Et 36-ugers dobbeltblindet cross-over-studie med monoterapi over 3 perioder, udført hos 161 patienter med Parkinsons sygdom i tidlig fase, viste at ropinirol depottabletter var ligeværdige i forhold til konventionelle ropinirol-filmovertrukne tabletter med hensyn til det primære effektmål, som var behandlingsforskellen i ændring fra baseline i </w:t>
      </w:r>
      <w:r>
        <w:rPr>
          <w:sz w:val="24"/>
          <w:szCs w:val="24"/>
        </w:rPr>
        <w:t>"</w:t>
      </w:r>
      <w:r w:rsidRPr="007F61FF">
        <w:rPr>
          <w:sz w:val="24"/>
          <w:szCs w:val="24"/>
        </w:rPr>
        <w:t>the Unified Parkinson</w:t>
      </w:r>
      <w:r>
        <w:rPr>
          <w:sz w:val="24"/>
          <w:szCs w:val="24"/>
        </w:rPr>
        <w:t>'</w:t>
      </w:r>
      <w:r w:rsidRPr="007F61FF">
        <w:rPr>
          <w:sz w:val="24"/>
          <w:szCs w:val="24"/>
        </w:rPr>
        <w:t>s Disease Rating Scale</w:t>
      </w:r>
      <w:r>
        <w:rPr>
          <w:sz w:val="24"/>
          <w:szCs w:val="24"/>
        </w:rPr>
        <w:t>"</w:t>
      </w:r>
      <w:r w:rsidRPr="007F61FF">
        <w:rPr>
          <w:sz w:val="24"/>
          <w:szCs w:val="24"/>
        </w:rPr>
        <w:t xml:space="preserve"> (UPDRS) bevægelsesscore (der var defineret en 3 points non-inferioritetsmargin på UPDRS bevægelsesscore). Den justerede gennemsnits</w:t>
      </w:r>
      <w:r>
        <w:rPr>
          <w:sz w:val="24"/>
          <w:szCs w:val="24"/>
        </w:rPr>
        <w:softHyphen/>
      </w:r>
      <w:r w:rsidRPr="007F61FF">
        <w:rPr>
          <w:sz w:val="24"/>
          <w:szCs w:val="24"/>
        </w:rPr>
        <w:t>forskel mellem ropinirol depottabletter og konventionelle ropinirol</w:t>
      </w:r>
      <w:r>
        <w:rPr>
          <w:sz w:val="24"/>
          <w:szCs w:val="24"/>
        </w:rPr>
        <w:t xml:space="preserve"> </w:t>
      </w:r>
      <w:r w:rsidRPr="007F61FF">
        <w:rPr>
          <w:sz w:val="24"/>
          <w:szCs w:val="24"/>
        </w:rPr>
        <w:t>filmovertrukne tabletter ved studiets effektmål var -0,7 point (95 % CI: [-1,51; 0,10], p=0,0842).</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lastRenderedPageBreak/>
        <w:t>Efter skift til den samme dosis med den alternative tabletformulering fra den ene dag til den anden, var der ingen forskel i bivirkningsprofilen, og hos færre end 3 % af patienterne skulle dosis justeres (alle dosisjusteringer var øgning med et dosistrin. Hos ingen af patienterne skulle dosis nedjusteres).</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 xml:space="preserve">Et 24 ugers dobbeltblindet, placebokontrolleret studie i parallelle grupper med ropinirol depottabletter hos Parkinson-patienter, som ikke var optimalt kontrolleret med levodopa, viste en klinisk relevant og statistisk signifikant fordel i forhold til placebo på det primære effektmål, som var ændringen fra baseline i vågen tid </w:t>
      </w:r>
      <w:r>
        <w:rPr>
          <w:sz w:val="24"/>
          <w:szCs w:val="24"/>
        </w:rPr>
        <w:t>"</w:t>
      </w:r>
      <w:r w:rsidRPr="007F61FF">
        <w:rPr>
          <w:sz w:val="24"/>
          <w:szCs w:val="24"/>
        </w:rPr>
        <w:t>off</w:t>
      </w:r>
      <w:r>
        <w:rPr>
          <w:sz w:val="24"/>
          <w:szCs w:val="24"/>
        </w:rPr>
        <w:t>"</w:t>
      </w:r>
      <w:r w:rsidRPr="007F61FF">
        <w:rPr>
          <w:sz w:val="24"/>
          <w:szCs w:val="24"/>
        </w:rPr>
        <w:t xml:space="preserve"> (justeret gennemsnitlig behandlingsforskel var -1,7 timer (95 % CI: [-2,34; -1,09], p&lt;0,0001)). Dette blev understøttet af sekundære effektparametre, som var ændring fra baseline i total vågentid </w:t>
      </w:r>
      <w:r>
        <w:rPr>
          <w:sz w:val="24"/>
          <w:szCs w:val="24"/>
        </w:rPr>
        <w:t>"</w:t>
      </w:r>
      <w:r w:rsidRPr="007F61FF">
        <w:rPr>
          <w:sz w:val="24"/>
          <w:szCs w:val="24"/>
        </w:rPr>
        <w:t>on</w:t>
      </w:r>
      <w:r>
        <w:rPr>
          <w:sz w:val="24"/>
          <w:szCs w:val="24"/>
        </w:rPr>
        <w:t>"</w:t>
      </w:r>
      <w:r w:rsidRPr="007F61FF">
        <w:rPr>
          <w:sz w:val="24"/>
          <w:szCs w:val="24"/>
        </w:rPr>
        <w:t xml:space="preserve"> (+1,7 timer (95 % CI: [1,06; 2,33], p&lt;0,0001) og total vågentid </w:t>
      </w:r>
      <w:r>
        <w:rPr>
          <w:sz w:val="24"/>
          <w:szCs w:val="24"/>
        </w:rPr>
        <w:t>"</w:t>
      </w:r>
      <w:r w:rsidRPr="007F61FF">
        <w:rPr>
          <w:sz w:val="24"/>
          <w:szCs w:val="24"/>
        </w:rPr>
        <w:t>on</w:t>
      </w:r>
      <w:r>
        <w:rPr>
          <w:sz w:val="24"/>
          <w:szCs w:val="24"/>
        </w:rPr>
        <w:t>"</w:t>
      </w:r>
      <w:r w:rsidRPr="007F61FF">
        <w:rPr>
          <w:sz w:val="24"/>
          <w:szCs w:val="24"/>
        </w:rPr>
        <w:t xml:space="preserve"> uden generende dyskinesier (+1,5 timer (95 % CI: [0,85; 2,13], p&lt;0,0001). Det var vigtigt, at der ingen indikation var af en stigning fra baseline i vågentid </w:t>
      </w:r>
      <w:r>
        <w:rPr>
          <w:sz w:val="24"/>
          <w:szCs w:val="24"/>
        </w:rPr>
        <w:t>"</w:t>
      </w:r>
      <w:r w:rsidRPr="007F61FF">
        <w:rPr>
          <w:sz w:val="24"/>
          <w:szCs w:val="24"/>
        </w:rPr>
        <w:t>on</w:t>
      </w:r>
      <w:r>
        <w:rPr>
          <w:sz w:val="24"/>
          <w:szCs w:val="24"/>
        </w:rPr>
        <w:t>"</w:t>
      </w:r>
      <w:r w:rsidRPr="007F61FF">
        <w:rPr>
          <w:sz w:val="24"/>
          <w:szCs w:val="24"/>
        </w:rPr>
        <w:t xml:space="preserve"> med generende dyskinesier, hverken fra dagbogsdata eller fra UPDRS observationer.</w:t>
      </w:r>
    </w:p>
    <w:p w:rsidR="002614B2" w:rsidRPr="007F61FF" w:rsidRDefault="002614B2" w:rsidP="002614B2">
      <w:pPr>
        <w:ind w:left="851" w:hanging="851"/>
        <w:rPr>
          <w:sz w:val="24"/>
          <w:szCs w:val="24"/>
        </w:rPr>
      </w:pPr>
    </w:p>
    <w:p w:rsidR="002614B2" w:rsidRPr="007F61FF" w:rsidRDefault="002614B2" w:rsidP="002614B2">
      <w:pPr>
        <w:ind w:left="851"/>
        <w:rPr>
          <w:sz w:val="24"/>
          <w:szCs w:val="24"/>
          <w:u w:val="single"/>
        </w:rPr>
      </w:pPr>
      <w:r w:rsidRPr="007F61FF">
        <w:rPr>
          <w:sz w:val="24"/>
          <w:szCs w:val="24"/>
          <w:u w:val="single"/>
        </w:rPr>
        <w:t>Studie af ropinirols virkning på kardiel repolarisering</w:t>
      </w:r>
    </w:p>
    <w:p w:rsidR="002614B2" w:rsidRPr="007F61FF" w:rsidRDefault="002614B2" w:rsidP="002614B2">
      <w:pPr>
        <w:ind w:left="851"/>
        <w:rPr>
          <w:sz w:val="24"/>
          <w:szCs w:val="24"/>
        </w:rPr>
      </w:pPr>
      <w:r w:rsidRPr="007F61FF">
        <w:rPr>
          <w:sz w:val="24"/>
          <w:szCs w:val="24"/>
        </w:rPr>
        <w:t xml:space="preserve">Et gennemgribende QT-studie udført med raske mandlige og kvindelige frivillige forsøgspersoner, der fik doser på 0,5, 1, 2 og 4 mg konventionelle ropinirol filmovertrukne tabletter </w:t>
      </w:r>
      <w:r>
        <w:rPr>
          <w:sz w:val="24"/>
          <w:szCs w:val="24"/>
        </w:rPr>
        <w:t>en</w:t>
      </w:r>
      <w:r w:rsidRPr="007F61FF">
        <w:rPr>
          <w:sz w:val="24"/>
          <w:szCs w:val="24"/>
        </w:rPr>
        <w:t xml:space="preserve"> gang </w:t>
      </w:r>
      <w:r>
        <w:rPr>
          <w:sz w:val="24"/>
          <w:szCs w:val="24"/>
        </w:rPr>
        <w:t>daglig</w:t>
      </w:r>
      <w:r w:rsidRPr="007F61FF">
        <w:rPr>
          <w:sz w:val="24"/>
          <w:szCs w:val="24"/>
        </w:rPr>
        <w:t xml:space="preserve">, viste sammenlignet med placebo, en maksimal forlængelse af QT-intervallet på 3,46 millisekunder (punkt estimat) ved en dosis på 1 mg. Den øvre grænse for det ensidede 95 % konfidensinterval for den største gennemsnitlige virkning var mindre end 7,5 millisekunder. Ropinirols virkning ved højere doser er ikke systematisk undersøgt. </w:t>
      </w:r>
    </w:p>
    <w:p w:rsidR="002614B2" w:rsidRPr="007F61FF" w:rsidRDefault="002614B2" w:rsidP="002614B2">
      <w:pPr>
        <w:ind w:left="851" w:hanging="851"/>
        <w:rPr>
          <w:sz w:val="24"/>
          <w:szCs w:val="24"/>
        </w:rPr>
      </w:pPr>
    </w:p>
    <w:p w:rsidR="002614B2" w:rsidRPr="007F61FF" w:rsidRDefault="002614B2" w:rsidP="002614B2">
      <w:pPr>
        <w:ind w:left="851"/>
        <w:rPr>
          <w:sz w:val="24"/>
          <w:szCs w:val="24"/>
        </w:rPr>
      </w:pPr>
      <w:r w:rsidRPr="007F61FF">
        <w:rPr>
          <w:sz w:val="24"/>
          <w:szCs w:val="24"/>
        </w:rPr>
        <w:t>De tilgængelige data fra et gennemgribende QT-studie indikerer ingen risiko for QT-forlængelse ved doser op til 4 mg/dag. Risikoen for forlænget QT-interval kan ikke udelukkes, da der ikke er foretaget et gennemgribende QT-studie ved doser på op til 24 mg/dag.</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5.2</w:t>
      </w:r>
      <w:r w:rsidRPr="007F61FF">
        <w:rPr>
          <w:b/>
          <w:sz w:val="24"/>
          <w:szCs w:val="24"/>
        </w:rPr>
        <w:tab/>
        <w:t>Farmakokinetiske egenskaber</w:t>
      </w:r>
    </w:p>
    <w:p w:rsidR="002614B2" w:rsidRPr="007F61FF" w:rsidRDefault="002614B2" w:rsidP="002614B2">
      <w:pPr>
        <w:ind w:left="851"/>
        <w:rPr>
          <w:sz w:val="24"/>
          <w:szCs w:val="24"/>
        </w:rPr>
      </w:pPr>
    </w:p>
    <w:p w:rsidR="002614B2" w:rsidRPr="004E6C6B" w:rsidRDefault="002614B2" w:rsidP="002614B2">
      <w:pPr>
        <w:ind w:left="851"/>
        <w:rPr>
          <w:sz w:val="24"/>
          <w:szCs w:val="24"/>
          <w:u w:val="single"/>
        </w:rPr>
      </w:pPr>
      <w:r w:rsidRPr="004E6C6B">
        <w:rPr>
          <w:sz w:val="24"/>
          <w:szCs w:val="24"/>
          <w:u w:val="single"/>
        </w:rPr>
        <w:t>Absorption</w:t>
      </w:r>
    </w:p>
    <w:p w:rsidR="002614B2" w:rsidRPr="007F61FF" w:rsidRDefault="002614B2" w:rsidP="002614B2">
      <w:pPr>
        <w:ind w:left="851"/>
        <w:rPr>
          <w:sz w:val="24"/>
          <w:szCs w:val="24"/>
        </w:rPr>
      </w:pPr>
      <w:r w:rsidRPr="007F61FF">
        <w:rPr>
          <w:sz w:val="24"/>
          <w:szCs w:val="24"/>
        </w:rPr>
        <w:t>Ropinirols biotilgængelighed er ca. 50 % (36-57 %). Efter peroral administration af ropinirol depottabletter stiger plasmakoncentrationen langsomt med en gennemsnitlig tid til C</w:t>
      </w:r>
      <w:r w:rsidRPr="007F61FF">
        <w:rPr>
          <w:sz w:val="24"/>
          <w:szCs w:val="24"/>
          <w:vertAlign w:val="subscript"/>
        </w:rPr>
        <w:t>max</w:t>
      </w:r>
      <w:r w:rsidRPr="007F61FF">
        <w:rPr>
          <w:sz w:val="24"/>
          <w:szCs w:val="24"/>
        </w:rPr>
        <w:t xml:space="preserve"> på mellem 6 og 10 timer. </w:t>
      </w:r>
    </w:p>
    <w:p w:rsidR="002614B2" w:rsidRPr="007F61FF" w:rsidRDefault="002614B2" w:rsidP="002614B2">
      <w:pPr>
        <w:ind w:left="851"/>
        <w:rPr>
          <w:sz w:val="24"/>
          <w:szCs w:val="24"/>
        </w:rPr>
      </w:pPr>
    </w:p>
    <w:p w:rsidR="002614B2" w:rsidRPr="007F61FF" w:rsidRDefault="002614B2" w:rsidP="002614B2">
      <w:pPr>
        <w:ind w:left="851"/>
        <w:rPr>
          <w:sz w:val="24"/>
          <w:szCs w:val="24"/>
        </w:rPr>
      </w:pPr>
      <w:r w:rsidRPr="007F61FF">
        <w:rPr>
          <w:sz w:val="24"/>
          <w:szCs w:val="24"/>
        </w:rPr>
        <w:t xml:space="preserve">I et steady-state-studie med 25 patienter med Parkinsons sygdom, som fik en dosis på 12 mg ropinirol depottabletter </w:t>
      </w:r>
      <w:r>
        <w:rPr>
          <w:sz w:val="24"/>
          <w:szCs w:val="24"/>
        </w:rPr>
        <w:t>en</w:t>
      </w:r>
      <w:r w:rsidRPr="007F61FF">
        <w:rPr>
          <w:sz w:val="24"/>
          <w:szCs w:val="24"/>
        </w:rPr>
        <w:t xml:space="preserve"> gang </w:t>
      </w:r>
      <w:r>
        <w:rPr>
          <w:sz w:val="24"/>
          <w:szCs w:val="24"/>
        </w:rPr>
        <w:t>daglig</w:t>
      </w:r>
      <w:r w:rsidRPr="007F61FF">
        <w:rPr>
          <w:sz w:val="24"/>
          <w:szCs w:val="24"/>
        </w:rPr>
        <w:t>, øgede et fedtholdigt måltid den systemiske eksponering for ropinirol med en gennemsnitlig stigning på 20 % i AUC og en gennemsnitlig stigning på 44 % i C</w:t>
      </w:r>
      <w:r w:rsidRPr="007F61FF">
        <w:rPr>
          <w:sz w:val="24"/>
          <w:szCs w:val="24"/>
          <w:vertAlign w:val="subscript"/>
        </w:rPr>
        <w:t>max</w:t>
      </w:r>
      <w:r w:rsidRPr="007F61FF">
        <w:rPr>
          <w:sz w:val="24"/>
          <w:szCs w:val="24"/>
        </w:rPr>
        <w:t>. T</w:t>
      </w:r>
      <w:r w:rsidRPr="007F61FF">
        <w:rPr>
          <w:sz w:val="24"/>
          <w:szCs w:val="24"/>
          <w:vertAlign w:val="subscript"/>
        </w:rPr>
        <w:t>max</w:t>
      </w:r>
      <w:r w:rsidRPr="007F61FF">
        <w:rPr>
          <w:sz w:val="24"/>
          <w:szCs w:val="24"/>
        </w:rPr>
        <w:t xml:space="preserve"> blev forlænget med 3,0 timer. Det er imidlertid ikke sandsynligt, at disse ændringer er klinisk relevante (f.eks. øget hyppighed af bivirkninger).</w:t>
      </w:r>
    </w:p>
    <w:p w:rsidR="002614B2" w:rsidRPr="007F61FF" w:rsidRDefault="002614B2" w:rsidP="002614B2">
      <w:pPr>
        <w:ind w:left="851"/>
        <w:rPr>
          <w:sz w:val="24"/>
          <w:szCs w:val="24"/>
        </w:rPr>
      </w:pPr>
    </w:p>
    <w:p w:rsidR="002614B2" w:rsidRPr="007F61FF" w:rsidRDefault="002614B2" w:rsidP="002614B2">
      <w:pPr>
        <w:ind w:left="851"/>
        <w:rPr>
          <w:sz w:val="24"/>
          <w:szCs w:val="24"/>
        </w:rPr>
      </w:pPr>
      <w:r w:rsidRPr="007F61FF">
        <w:rPr>
          <w:sz w:val="24"/>
          <w:szCs w:val="24"/>
        </w:rPr>
        <w:t xml:space="preserve">Den systemiske eksponering for ropinirol er sammenlignelig for ropinirol depottabletter og ropinirol filmovertrukne tabletter (konventionelle), baseret på den samme daglige dosis. </w:t>
      </w:r>
    </w:p>
    <w:p w:rsidR="002614B2" w:rsidRPr="007F61FF" w:rsidRDefault="002614B2" w:rsidP="002614B2">
      <w:pPr>
        <w:ind w:left="851"/>
        <w:rPr>
          <w:sz w:val="24"/>
          <w:szCs w:val="24"/>
        </w:rPr>
      </w:pPr>
    </w:p>
    <w:p w:rsidR="002614B2" w:rsidRPr="004E6C6B" w:rsidRDefault="002614B2" w:rsidP="002614B2">
      <w:pPr>
        <w:ind w:left="851"/>
        <w:rPr>
          <w:sz w:val="24"/>
          <w:szCs w:val="24"/>
          <w:u w:val="single"/>
        </w:rPr>
      </w:pPr>
      <w:r w:rsidRPr="004E6C6B">
        <w:rPr>
          <w:sz w:val="24"/>
          <w:szCs w:val="24"/>
          <w:u w:val="single"/>
        </w:rPr>
        <w:t>Fordeling</w:t>
      </w:r>
    </w:p>
    <w:p w:rsidR="002614B2" w:rsidRPr="007F61FF" w:rsidRDefault="002614B2" w:rsidP="002614B2">
      <w:pPr>
        <w:ind w:left="851"/>
        <w:rPr>
          <w:sz w:val="24"/>
          <w:szCs w:val="24"/>
        </w:rPr>
      </w:pPr>
      <w:r w:rsidRPr="007F61FF">
        <w:rPr>
          <w:sz w:val="24"/>
          <w:szCs w:val="24"/>
        </w:rPr>
        <w:t>Ropinirols plasmaproteinbinding er lav (10</w:t>
      </w:r>
      <w:r w:rsidRPr="007F61FF">
        <w:rPr>
          <w:sz w:val="24"/>
          <w:szCs w:val="24"/>
        </w:rPr>
        <w:noBreakHyphen/>
        <w:t>40 %). I overensstemmelse med sin høje lipofilicitet udviser ropinirol et stort fordelingsvolumen (ca. 7 liter/kg).</w:t>
      </w:r>
    </w:p>
    <w:p w:rsidR="002614B2" w:rsidRPr="007F61FF" w:rsidRDefault="002614B2" w:rsidP="002614B2">
      <w:pPr>
        <w:ind w:left="851"/>
        <w:rPr>
          <w:sz w:val="24"/>
          <w:szCs w:val="24"/>
        </w:rPr>
      </w:pPr>
    </w:p>
    <w:p w:rsidR="002614B2" w:rsidRPr="004E6C6B" w:rsidRDefault="002614B2" w:rsidP="002614B2">
      <w:pPr>
        <w:ind w:left="851"/>
        <w:rPr>
          <w:sz w:val="24"/>
          <w:szCs w:val="24"/>
          <w:u w:val="single"/>
        </w:rPr>
      </w:pPr>
      <w:r w:rsidRPr="004E6C6B">
        <w:rPr>
          <w:sz w:val="24"/>
          <w:szCs w:val="24"/>
          <w:u w:val="single"/>
        </w:rPr>
        <w:t>Biotransformation</w:t>
      </w:r>
    </w:p>
    <w:p w:rsidR="002614B2" w:rsidRPr="007F61FF" w:rsidRDefault="002614B2" w:rsidP="002614B2">
      <w:pPr>
        <w:ind w:left="851"/>
        <w:rPr>
          <w:sz w:val="24"/>
          <w:szCs w:val="24"/>
        </w:rPr>
      </w:pPr>
      <w:r w:rsidRPr="007F61FF">
        <w:rPr>
          <w:sz w:val="24"/>
          <w:szCs w:val="24"/>
        </w:rPr>
        <w:t>Ropinirol metaboliseres primært ved CYP 1A2-metabolisme, og metabolitterne udskilles hovedsageligt i urinen. Den vigtigste metabolit er mindst 100 gange mindre potent end ropinirol i dyremodeller af den dopaminerge funktion.</w:t>
      </w:r>
    </w:p>
    <w:p w:rsidR="002614B2" w:rsidRPr="007F61FF" w:rsidRDefault="002614B2" w:rsidP="002614B2">
      <w:pPr>
        <w:ind w:left="851"/>
        <w:rPr>
          <w:sz w:val="24"/>
          <w:szCs w:val="24"/>
        </w:rPr>
      </w:pPr>
    </w:p>
    <w:p w:rsidR="002614B2" w:rsidRPr="004E6C6B" w:rsidRDefault="002614B2" w:rsidP="002614B2">
      <w:pPr>
        <w:ind w:left="851"/>
        <w:rPr>
          <w:sz w:val="24"/>
          <w:szCs w:val="24"/>
          <w:u w:val="single"/>
        </w:rPr>
      </w:pPr>
      <w:r w:rsidRPr="004E6C6B">
        <w:rPr>
          <w:sz w:val="24"/>
          <w:szCs w:val="24"/>
          <w:u w:val="single"/>
        </w:rPr>
        <w:t>Elimination</w:t>
      </w:r>
    </w:p>
    <w:p w:rsidR="002614B2" w:rsidRPr="007F61FF" w:rsidRDefault="002614B2" w:rsidP="002614B2">
      <w:pPr>
        <w:ind w:left="851"/>
        <w:rPr>
          <w:sz w:val="24"/>
          <w:szCs w:val="24"/>
        </w:rPr>
      </w:pPr>
      <w:r w:rsidRPr="007F61FF">
        <w:rPr>
          <w:sz w:val="24"/>
          <w:szCs w:val="24"/>
        </w:rPr>
        <w:t>Ropinirol udskilles fra det systemiske kredsløb med en gennemsnitlig eliminations-halveringstid på omkring 6 timer. Stigningen i systemisk eksponering (C</w:t>
      </w:r>
      <w:r w:rsidRPr="007F61FF">
        <w:rPr>
          <w:sz w:val="24"/>
          <w:szCs w:val="24"/>
          <w:vertAlign w:val="subscript"/>
        </w:rPr>
        <w:t>max</w:t>
      </w:r>
      <w:r w:rsidRPr="007F61FF">
        <w:rPr>
          <w:sz w:val="24"/>
          <w:szCs w:val="24"/>
        </w:rPr>
        <w:t xml:space="preserve"> og AUC) for ropinirol er omtrent proportional i det terapeutiske dosisinterval. Der er ikke observeret ændring af den orale clearance af ropinirol efter enkelt og gentagen peroral administration. Der er observeret store interindividuelle variationer i de farmakokinetiske parametre. Efter steady-state administration af ropinirol depottabletter er den interindividuelle variation for C</w:t>
      </w:r>
      <w:r w:rsidRPr="007F61FF">
        <w:rPr>
          <w:sz w:val="24"/>
          <w:szCs w:val="24"/>
          <w:vertAlign w:val="subscript"/>
        </w:rPr>
        <w:t>max</w:t>
      </w:r>
      <w:r w:rsidRPr="007F61FF">
        <w:rPr>
          <w:sz w:val="24"/>
          <w:szCs w:val="24"/>
        </w:rPr>
        <w:t xml:space="preserve"> mellem 30 % og 55 % og for AUC mellem 40 % og 70 %.</w:t>
      </w:r>
    </w:p>
    <w:p w:rsidR="002614B2" w:rsidRPr="007F61FF" w:rsidRDefault="002614B2" w:rsidP="002614B2">
      <w:pPr>
        <w:ind w:left="851"/>
        <w:rPr>
          <w:sz w:val="24"/>
          <w:szCs w:val="24"/>
        </w:rPr>
      </w:pPr>
    </w:p>
    <w:p w:rsidR="002614B2" w:rsidRPr="004E6C6B" w:rsidRDefault="002614B2" w:rsidP="002614B2">
      <w:pPr>
        <w:ind w:left="851"/>
        <w:rPr>
          <w:sz w:val="24"/>
          <w:szCs w:val="24"/>
          <w:u w:val="single"/>
        </w:rPr>
      </w:pPr>
      <w:r w:rsidRPr="004E6C6B">
        <w:rPr>
          <w:sz w:val="24"/>
          <w:szCs w:val="24"/>
          <w:u w:val="single"/>
        </w:rPr>
        <w:t>Nedsat nyrefunktion</w:t>
      </w:r>
    </w:p>
    <w:p w:rsidR="002614B2" w:rsidRPr="007F61FF" w:rsidRDefault="002614B2" w:rsidP="002614B2">
      <w:pPr>
        <w:ind w:left="851"/>
        <w:rPr>
          <w:sz w:val="24"/>
          <w:szCs w:val="24"/>
        </w:rPr>
      </w:pPr>
      <w:r w:rsidRPr="007F61FF">
        <w:rPr>
          <w:sz w:val="24"/>
          <w:szCs w:val="24"/>
        </w:rPr>
        <w:t>Der er ikke observeret ændringer i farmakokinetikken for ropinirol hos patienter med Parkinsons sygdom og med mild til moderat nedsat nyrefunktion.</w:t>
      </w:r>
    </w:p>
    <w:p w:rsidR="002614B2" w:rsidRPr="007F61FF" w:rsidRDefault="002614B2" w:rsidP="002614B2">
      <w:pPr>
        <w:ind w:left="851"/>
        <w:rPr>
          <w:sz w:val="24"/>
          <w:szCs w:val="24"/>
        </w:rPr>
      </w:pPr>
    </w:p>
    <w:p w:rsidR="002614B2" w:rsidRDefault="002614B2" w:rsidP="002614B2">
      <w:pPr>
        <w:ind w:left="851"/>
        <w:rPr>
          <w:sz w:val="24"/>
          <w:szCs w:val="24"/>
        </w:rPr>
      </w:pPr>
      <w:r w:rsidRPr="007F61FF">
        <w:rPr>
          <w:sz w:val="24"/>
          <w:szCs w:val="24"/>
        </w:rPr>
        <w:t>Hos patienter med nyresvigt i slutstadiet i regelmæssig hæmodialyse blev den orale clearance af ropinirol reduceret med ca. 30 %. Den orale clearance af metabolitterne SKF-104557 og SKF-89124 blev ligeledes reduceres med henholdsvis ca. 80 % og 60 %. Derfor er den anbefalede maksimale dosis hos disse patienter med Parkinsons sygdom begrænset til 18 mg/dag (se pkt. 4.2).</w:t>
      </w:r>
    </w:p>
    <w:p w:rsidR="00A92DFD" w:rsidRDefault="00A92DFD" w:rsidP="002614B2">
      <w:pPr>
        <w:ind w:left="851"/>
        <w:rPr>
          <w:sz w:val="24"/>
          <w:szCs w:val="24"/>
        </w:rPr>
      </w:pPr>
    </w:p>
    <w:p w:rsidR="00A92DFD" w:rsidRPr="00A92DFD" w:rsidRDefault="00A92DFD" w:rsidP="00A92DFD">
      <w:pPr>
        <w:ind w:left="851"/>
        <w:rPr>
          <w:bCs/>
          <w:sz w:val="24"/>
          <w:szCs w:val="24"/>
          <w:u w:val="single"/>
        </w:rPr>
      </w:pPr>
      <w:r w:rsidRPr="00A92DFD">
        <w:rPr>
          <w:bCs/>
          <w:sz w:val="24"/>
          <w:szCs w:val="24"/>
          <w:u w:val="single"/>
        </w:rPr>
        <w:t>Graviditet</w:t>
      </w:r>
    </w:p>
    <w:p w:rsidR="00A92DFD" w:rsidRDefault="00A92DFD" w:rsidP="00A92DFD">
      <w:pPr>
        <w:ind w:left="851"/>
        <w:rPr>
          <w:sz w:val="24"/>
          <w:szCs w:val="24"/>
        </w:rPr>
      </w:pPr>
      <w:r w:rsidRPr="009E4D9A">
        <w:rPr>
          <w:sz w:val="24"/>
          <w:szCs w:val="24"/>
        </w:rPr>
        <w:t>Fysiologiske ændringer under graviditet (inklusive nedsat CYP1A2-aktivitet) forudsiges gradvist at føre til en øget systemisk eksponering for ropinirol fra mødre (se pkt. 4.6).</w:t>
      </w:r>
    </w:p>
    <w:p w:rsidR="002614B2" w:rsidRPr="007F61FF" w:rsidRDefault="002614B2" w:rsidP="002614B2">
      <w:pPr>
        <w:ind w:left="851"/>
        <w:rPr>
          <w:sz w:val="24"/>
          <w:szCs w:val="24"/>
        </w:rPr>
      </w:pPr>
    </w:p>
    <w:p w:rsidR="002614B2" w:rsidRPr="007F61FF" w:rsidRDefault="002614B2" w:rsidP="002614B2">
      <w:pPr>
        <w:ind w:left="851" w:hanging="851"/>
        <w:rPr>
          <w:b/>
          <w:sz w:val="24"/>
          <w:szCs w:val="24"/>
        </w:rPr>
      </w:pPr>
      <w:r w:rsidRPr="007F61FF">
        <w:rPr>
          <w:b/>
          <w:sz w:val="24"/>
          <w:szCs w:val="24"/>
        </w:rPr>
        <w:t>5.3</w:t>
      </w:r>
      <w:r w:rsidRPr="007F61FF">
        <w:rPr>
          <w:b/>
          <w:sz w:val="24"/>
          <w:szCs w:val="24"/>
        </w:rPr>
        <w:tab/>
        <w:t>Prækliniske sikkerhedsdata</w:t>
      </w:r>
    </w:p>
    <w:p w:rsidR="002614B2" w:rsidRPr="007F61FF" w:rsidRDefault="002614B2" w:rsidP="002614B2">
      <w:pPr>
        <w:ind w:left="851" w:hanging="851"/>
        <w:rPr>
          <w:sz w:val="24"/>
          <w:szCs w:val="24"/>
        </w:rPr>
      </w:pPr>
    </w:p>
    <w:p w:rsidR="002614B2" w:rsidRPr="007F61FF" w:rsidRDefault="002614B2" w:rsidP="002614B2">
      <w:pPr>
        <w:ind w:left="851" w:hanging="851"/>
        <w:rPr>
          <w:sz w:val="24"/>
          <w:szCs w:val="24"/>
          <w:u w:val="single"/>
        </w:rPr>
      </w:pPr>
      <w:r w:rsidRPr="007F61FF">
        <w:rPr>
          <w:sz w:val="24"/>
          <w:szCs w:val="24"/>
        </w:rPr>
        <w:tab/>
      </w:r>
      <w:r w:rsidRPr="007F61FF">
        <w:rPr>
          <w:sz w:val="24"/>
          <w:szCs w:val="24"/>
          <w:u w:val="single"/>
        </w:rPr>
        <w:t>Reproduktionstoksicitet</w:t>
      </w:r>
    </w:p>
    <w:p w:rsidR="002614B2" w:rsidRPr="007F61FF" w:rsidRDefault="002614B2" w:rsidP="002614B2">
      <w:pPr>
        <w:ind w:left="851"/>
        <w:rPr>
          <w:sz w:val="24"/>
          <w:szCs w:val="24"/>
        </w:rPr>
      </w:pPr>
      <w:r w:rsidRPr="007F61FF">
        <w:rPr>
          <w:sz w:val="24"/>
          <w:szCs w:val="24"/>
        </w:rPr>
        <w:t>Administration af ropinirol til drægtige rotter i toksiske doser resulterede i mindsket fostervægt ved 60 mg/kg/dag (omtrent 2 gange AUC ved maksimal dosis hos mennesker), øget fosterdødelighed ved 90 mg/kg/dag (omtrent 3 gange AUC ved maksimal dosis hos mennesker) og ekstremitetsmisdannelser ved 150 mg/kg/dag (omtrent 5 gange AUC ved maksimal dosis hos mennesker). Der var ingen teratogen effekt hos rotter ved 120 mg/kg/dag (omtrent 4 gange AUC ved maksimal dosis hos mennesker) og ingen indikation af effekt på udvikling hos kaniner.</w:t>
      </w:r>
    </w:p>
    <w:p w:rsidR="002614B2" w:rsidRPr="007F61FF" w:rsidRDefault="002614B2" w:rsidP="002614B2">
      <w:pPr>
        <w:ind w:left="851" w:hanging="851"/>
        <w:rPr>
          <w:sz w:val="24"/>
          <w:szCs w:val="24"/>
        </w:rPr>
      </w:pPr>
    </w:p>
    <w:p w:rsidR="002614B2" w:rsidRPr="007F61FF" w:rsidRDefault="002614B2" w:rsidP="002614B2">
      <w:pPr>
        <w:ind w:left="851"/>
        <w:rPr>
          <w:sz w:val="24"/>
          <w:szCs w:val="24"/>
          <w:u w:val="single"/>
        </w:rPr>
      </w:pPr>
      <w:r w:rsidRPr="007F61FF">
        <w:rPr>
          <w:sz w:val="24"/>
          <w:szCs w:val="24"/>
          <w:u w:val="single"/>
        </w:rPr>
        <w:t>Toksikologi</w:t>
      </w:r>
    </w:p>
    <w:p w:rsidR="002614B2" w:rsidRPr="007F61FF" w:rsidRDefault="002614B2" w:rsidP="002614B2">
      <w:pPr>
        <w:ind w:left="851"/>
        <w:rPr>
          <w:sz w:val="24"/>
          <w:szCs w:val="24"/>
        </w:rPr>
      </w:pPr>
      <w:r w:rsidRPr="007F61FF">
        <w:rPr>
          <w:sz w:val="24"/>
          <w:szCs w:val="24"/>
        </w:rPr>
        <w:t>Den toksikologiske profil er principielt bestemt af den farmakolo</w:t>
      </w:r>
      <w:r w:rsidRPr="007F61FF">
        <w:rPr>
          <w:sz w:val="24"/>
          <w:szCs w:val="24"/>
        </w:rPr>
        <w:softHyphen/>
        <w:t>giske aktivitet af ropinirol: adfærdsændringer, hypoprolaktinæmi, fald i blodtryk og puls, ptose og savlen. Kun hos albinorotter blev der observeret retinal degenera</w:t>
      </w:r>
      <w:r w:rsidRPr="007F61FF">
        <w:rPr>
          <w:sz w:val="24"/>
          <w:szCs w:val="24"/>
        </w:rPr>
        <w:softHyphen/>
        <w:t>tion i et langtidsstudie med højeste dosis (50 mg/kg) og var formentligt associeret med en forøget lyseksponering.</w:t>
      </w:r>
    </w:p>
    <w:p w:rsidR="002614B2" w:rsidRPr="007F61FF" w:rsidRDefault="002614B2" w:rsidP="002614B2">
      <w:pPr>
        <w:ind w:left="851" w:hanging="851"/>
        <w:rPr>
          <w:sz w:val="24"/>
          <w:szCs w:val="24"/>
        </w:rPr>
      </w:pPr>
    </w:p>
    <w:p w:rsidR="002614B2" w:rsidRPr="007F61FF" w:rsidRDefault="002614B2" w:rsidP="002614B2">
      <w:pPr>
        <w:ind w:left="851"/>
        <w:rPr>
          <w:sz w:val="24"/>
          <w:szCs w:val="24"/>
          <w:u w:val="single"/>
        </w:rPr>
      </w:pPr>
      <w:r w:rsidRPr="007F61FF">
        <w:rPr>
          <w:sz w:val="24"/>
          <w:szCs w:val="24"/>
          <w:u w:val="single"/>
        </w:rPr>
        <w:t>Genotoksicitet</w:t>
      </w:r>
    </w:p>
    <w:p w:rsidR="002614B2" w:rsidRPr="007F61FF" w:rsidRDefault="002614B2" w:rsidP="002614B2">
      <w:pPr>
        <w:ind w:left="851"/>
        <w:rPr>
          <w:sz w:val="24"/>
          <w:szCs w:val="24"/>
        </w:rPr>
      </w:pPr>
      <w:r w:rsidRPr="007F61FF">
        <w:rPr>
          <w:sz w:val="24"/>
          <w:szCs w:val="24"/>
        </w:rPr>
        <w:t xml:space="preserve">Genotoksicitet er ikke observeret i de sædvanlige </w:t>
      </w:r>
      <w:r w:rsidRPr="007F61FF">
        <w:rPr>
          <w:i/>
          <w:sz w:val="24"/>
          <w:szCs w:val="24"/>
        </w:rPr>
        <w:t>in vitro-</w:t>
      </w:r>
      <w:r w:rsidRPr="007F61FF">
        <w:rPr>
          <w:sz w:val="24"/>
          <w:szCs w:val="24"/>
        </w:rPr>
        <w:t xml:space="preserve"> og </w:t>
      </w:r>
      <w:r w:rsidRPr="007F61FF">
        <w:rPr>
          <w:i/>
          <w:sz w:val="24"/>
          <w:szCs w:val="24"/>
        </w:rPr>
        <w:t>in vivo</w:t>
      </w:r>
      <w:r w:rsidRPr="007F61FF">
        <w:rPr>
          <w:sz w:val="24"/>
          <w:szCs w:val="24"/>
        </w:rPr>
        <w:t>-studier.</w:t>
      </w:r>
    </w:p>
    <w:p w:rsidR="002614B2" w:rsidRPr="007F61FF" w:rsidRDefault="002614B2" w:rsidP="002614B2">
      <w:pPr>
        <w:ind w:left="851" w:hanging="851"/>
        <w:rPr>
          <w:sz w:val="24"/>
          <w:szCs w:val="24"/>
        </w:rPr>
      </w:pPr>
    </w:p>
    <w:p w:rsidR="002614B2" w:rsidRPr="007F61FF" w:rsidRDefault="002614B2" w:rsidP="002614B2">
      <w:pPr>
        <w:ind w:left="851"/>
        <w:rPr>
          <w:sz w:val="24"/>
          <w:szCs w:val="24"/>
          <w:u w:val="single"/>
        </w:rPr>
      </w:pPr>
      <w:r w:rsidRPr="007F61FF">
        <w:rPr>
          <w:sz w:val="24"/>
          <w:szCs w:val="24"/>
          <w:u w:val="single"/>
        </w:rPr>
        <w:t>Karcinogenicitet</w:t>
      </w:r>
    </w:p>
    <w:p w:rsidR="002614B2" w:rsidRPr="007F61FF" w:rsidRDefault="002614B2" w:rsidP="002614B2">
      <w:pPr>
        <w:ind w:left="851"/>
        <w:rPr>
          <w:sz w:val="24"/>
          <w:szCs w:val="24"/>
        </w:rPr>
      </w:pPr>
      <w:r w:rsidRPr="007F61FF">
        <w:rPr>
          <w:sz w:val="24"/>
          <w:szCs w:val="24"/>
        </w:rPr>
        <w:t>Fra to</w:t>
      </w:r>
      <w:r w:rsidRPr="007F61FF">
        <w:rPr>
          <w:sz w:val="24"/>
          <w:szCs w:val="24"/>
        </w:rPr>
        <w:noBreakHyphen/>
        <w:t>års-studier udført med mus og rotter i doser op til 50 mg/kg/dag var der ingen evidens for nogen karcinogen virkning hos mus. Hos rotter var de eneste ropinirol-relaterede læsioner Leydig cellehyperplasi og adenom i testiklerne forårsaget af ropinirols hypoprolaktinæmiske virkning. Disse læsioner betragtes som et artsspecifikt fænomen og udgør ingen risiko med hensyn til klinisk anvendelse af ropinirol.</w:t>
      </w:r>
    </w:p>
    <w:p w:rsidR="00A92DFD" w:rsidRDefault="00A92DFD">
      <w:pPr>
        <w:rPr>
          <w:sz w:val="24"/>
          <w:szCs w:val="24"/>
        </w:rPr>
      </w:pPr>
      <w:r>
        <w:rPr>
          <w:sz w:val="24"/>
          <w:szCs w:val="24"/>
        </w:rPr>
        <w:br w:type="page"/>
      </w:r>
    </w:p>
    <w:p w:rsidR="002614B2" w:rsidRPr="007F61FF" w:rsidRDefault="002614B2" w:rsidP="002614B2">
      <w:pPr>
        <w:ind w:left="851" w:hanging="851"/>
        <w:rPr>
          <w:sz w:val="24"/>
          <w:szCs w:val="24"/>
        </w:rPr>
      </w:pPr>
    </w:p>
    <w:p w:rsidR="002614B2" w:rsidRPr="007F61FF" w:rsidRDefault="002614B2" w:rsidP="002614B2">
      <w:pPr>
        <w:ind w:left="851"/>
        <w:rPr>
          <w:sz w:val="24"/>
          <w:szCs w:val="24"/>
          <w:u w:val="single"/>
        </w:rPr>
      </w:pPr>
      <w:r w:rsidRPr="007F61FF">
        <w:rPr>
          <w:sz w:val="24"/>
          <w:szCs w:val="24"/>
          <w:u w:val="single"/>
        </w:rPr>
        <w:t>Farmakologisk sikkerhed</w:t>
      </w:r>
    </w:p>
    <w:p w:rsidR="002614B2" w:rsidRPr="007F61FF" w:rsidRDefault="002614B2" w:rsidP="002614B2">
      <w:pPr>
        <w:ind w:left="851"/>
        <w:rPr>
          <w:sz w:val="24"/>
          <w:szCs w:val="24"/>
        </w:rPr>
      </w:pPr>
      <w:r w:rsidRPr="007F61FF">
        <w:rPr>
          <w:i/>
          <w:sz w:val="24"/>
          <w:szCs w:val="24"/>
        </w:rPr>
        <w:t>In vitro</w:t>
      </w:r>
      <w:r w:rsidRPr="007F61FF">
        <w:rPr>
          <w:sz w:val="24"/>
          <w:szCs w:val="24"/>
        </w:rPr>
        <w:t>-studier har vist, at ropinirol hæmmer hERG-medierede kanaler. IC</w:t>
      </w:r>
      <w:r w:rsidRPr="007F61FF">
        <w:rPr>
          <w:sz w:val="24"/>
          <w:szCs w:val="24"/>
          <w:vertAlign w:val="subscript"/>
        </w:rPr>
        <w:t>50</w:t>
      </w:r>
      <w:r w:rsidRPr="007F61FF">
        <w:rPr>
          <w:sz w:val="24"/>
          <w:szCs w:val="24"/>
        </w:rPr>
        <w:t xml:space="preserve"> værdien er 5 gange højere end den forventede maksimale plasmakoncentration hos patienter behandlet med den maksimale anbefalede dosis (24 mg/dag), se pkt. 5.1.</w:t>
      </w:r>
    </w:p>
    <w:p w:rsidR="002614B2" w:rsidRPr="007F61FF" w:rsidRDefault="002614B2" w:rsidP="002614B2">
      <w:pPr>
        <w:ind w:left="851" w:hanging="851"/>
        <w:rPr>
          <w:sz w:val="24"/>
          <w:szCs w:val="24"/>
        </w:rPr>
      </w:pP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6.</w:t>
      </w:r>
      <w:r w:rsidRPr="007F61FF">
        <w:rPr>
          <w:b/>
          <w:sz w:val="24"/>
          <w:szCs w:val="24"/>
        </w:rPr>
        <w:tab/>
        <w:t>FARMACEUTISKE OPLYSNINGER</w:t>
      </w:r>
    </w:p>
    <w:p w:rsidR="002614B2" w:rsidRPr="007F61FF" w:rsidRDefault="002614B2" w:rsidP="002614B2">
      <w:pPr>
        <w:ind w:left="851" w:hanging="851"/>
        <w:rPr>
          <w:b/>
          <w:sz w:val="24"/>
          <w:szCs w:val="24"/>
        </w:rPr>
      </w:pPr>
    </w:p>
    <w:p w:rsidR="002614B2" w:rsidRPr="007F61FF" w:rsidRDefault="002614B2" w:rsidP="002614B2">
      <w:pPr>
        <w:ind w:left="851" w:hanging="851"/>
        <w:rPr>
          <w:b/>
          <w:sz w:val="24"/>
          <w:szCs w:val="24"/>
        </w:rPr>
      </w:pPr>
      <w:r w:rsidRPr="007F61FF">
        <w:rPr>
          <w:b/>
          <w:sz w:val="24"/>
          <w:szCs w:val="24"/>
        </w:rPr>
        <w:t>6.1</w:t>
      </w:r>
      <w:r w:rsidRPr="007F61FF">
        <w:rPr>
          <w:b/>
          <w:sz w:val="24"/>
          <w:szCs w:val="24"/>
        </w:rPr>
        <w:tab/>
        <w:t>Hjælpestoffer</w:t>
      </w:r>
    </w:p>
    <w:p w:rsidR="002614B2" w:rsidRPr="007F61FF" w:rsidRDefault="002614B2" w:rsidP="002614B2">
      <w:pPr>
        <w:tabs>
          <w:tab w:val="left" w:pos="851"/>
        </w:tabs>
        <w:ind w:left="851"/>
        <w:rPr>
          <w:sz w:val="24"/>
          <w:szCs w:val="24"/>
        </w:rPr>
      </w:pPr>
      <w:r w:rsidRPr="007F61FF">
        <w:rPr>
          <w:sz w:val="24"/>
          <w:szCs w:val="24"/>
        </w:rPr>
        <w:t>Hypromellose</w:t>
      </w:r>
    </w:p>
    <w:p w:rsidR="002614B2" w:rsidRPr="007F61FF" w:rsidRDefault="002614B2" w:rsidP="002614B2">
      <w:pPr>
        <w:tabs>
          <w:tab w:val="left" w:pos="851"/>
        </w:tabs>
        <w:ind w:left="851"/>
        <w:rPr>
          <w:sz w:val="24"/>
          <w:szCs w:val="24"/>
        </w:rPr>
      </w:pPr>
      <w:r w:rsidRPr="007F61FF">
        <w:rPr>
          <w:sz w:val="24"/>
          <w:szCs w:val="24"/>
        </w:rPr>
        <w:t>Croscarmellosenatrium</w:t>
      </w:r>
    </w:p>
    <w:p w:rsidR="002614B2" w:rsidRPr="007F61FF" w:rsidRDefault="002614B2" w:rsidP="002614B2">
      <w:pPr>
        <w:tabs>
          <w:tab w:val="left" w:pos="851"/>
        </w:tabs>
        <w:ind w:left="851"/>
        <w:rPr>
          <w:sz w:val="24"/>
          <w:szCs w:val="24"/>
        </w:rPr>
      </w:pPr>
      <w:r w:rsidRPr="007F61FF">
        <w:rPr>
          <w:sz w:val="24"/>
          <w:szCs w:val="24"/>
        </w:rPr>
        <w:t>Maltodextrin</w:t>
      </w:r>
    </w:p>
    <w:p w:rsidR="002614B2" w:rsidRPr="007F61FF" w:rsidRDefault="002614B2" w:rsidP="002614B2">
      <w:pPr>
        <w:tabs>
          <w:tab w:val="left" w:pos="851"/>
        </w:tabs>
        <w:ind w:left="851"/>
        <w:rPr>
          <w:i/>
          <w:sz w:val="24"/>
          <w:szCs w:val="24"/>
          <w:u w:val="single"/>
        </w:rPr>
      </w:pPr>
      <w:r w:rsidRPr="007F61FF">
        <w:rPr>
          <w:sz w:val="24"/>
          <w:szCs w:val="24"/>
        </w:rPr>
        <w:t>Lactosemonohydrat</w:t>
      </w:r>
    </w:p>
    <w:p w:rsidR="002614B2" w:rsidRPr="007F61FF" w:rsidRDefault="002614B2" w:rsidP="002614B2">
      <w:pPr>
        <w:tabs>
          <w:tab w:val="left" w:pos="851"/>
        </w:tabs>
        <w:ind w:left="851"/>
        <w:rPr>
          <w:i/>
          <w:sz w:val="24"/>
          <w:szCs w:val="24"/>
          <w:u w:val="single"/>
        </w:rPr>
      </w:pPr>
      <w:r w:rsidRPr="007F61FF">
        <w:rPr>
          <w:sz w:val="24"/>
          <w:szCs w:val="24"/>
        </w:rPr>
        <w:t>Ricinusolie, hydrogeneret</w:t>
      </w:r>
    </w:p>
    <w:p w:rsidR="002614B2" w:rsidRPr="007F61FF" w:rsidRDefault="002614B2" w:rsidP="002614B2">
      <w:pPr>
        <w:tabs>
          <w:tab w:val="left" w:pos="851"/>
        </w:tabs>
        <w:ind w:left="851"/>
        <w:rPr>
          <w:i/>
          <w:sz w:val="24"/>
          <w:szCs w:val="24"/>
          <w:u w:val="single"/>
        </w:rPr>
      </w:pPr>
      <w:r w:rsidRPr="007F61FF">
        <w:rPr>
          <w:sz w:val="24"/>
          <w:szCs w:val="24"/>
        </w:rPr>
        <w:t>Silica, kolloid vandfri</w:t>
      </w:r>
    </w:p>
    <w:p w:rsidR="002614B2" w:rsidRPr="007F61FF" w:rsidRDefault="002614B2" w:rsidP="002614B2">
      <w:pPr>
        <w:tabs>
          <w:tab w:val="left" w:pos="851"/>
        </w:tabs>
        <w:ind w:left="851"/>
        <w:rPr>
          <w:i/>
          <w:sz w:val="24"/>
          <w:szCs w:val="24"/>
          <w:u w:val="single"/>
        </w:rPr>
      </w:pPr>
      <w:r w:rsidRPr="007F61FF">
        <w:rPr>
          <w:sz w:val="24"/>
          <w:szCs w:val="24"/>
        </w:rPr>
        <w:t>Magnesiumstearat</w:t>
      </w:r>
    </w:p>
    <w:p w:rsidR="002614B2" w:rsidRPr="007F61FF" w:rsidRDefault="002614B2" w:rsidP="002614B2">
      <w:pPr>
        <w:tabs>
          <w:tab w:val="left" w:pos="851"/>
        </w:tabs>
        <w:ind w:left="851"/>
        <w:rPr>
          <w:i/>
          <w:sz w:val="24"/>
          <w:szCs w:val="24"/>
          <w:u w:val="single"/>
        </w:rPr>
      </w:pPr>
    </w:p>
    <w:p w:rsidR="002614B2" w:rsidRPr="009B71C6" w:rsidRDefault="002614B2" w:rsidP="002614B2">
      <w:pPr>
        <w:tabs>
          <w:tab w:val="left" w:pos="851"/>
        </w:tabs>
        <w:ind w:left="851"/>
        <w:rPr>
          <w:sz w:val="24"/>
          <w:szCs w:val="24"/>
          <w:u w:val="single"/>
        </w:rPr>
      </w:pPr>
      <w:r>
        <w:rPr>
          <w:sz w:val="24"/>
          <w:szCs w:val="24"/>
          <w:u w:val="single"/>
        </w:rPr>
        <w:t>Pigment</w:t>
      </w:r>
      <w:r w:rsidRPr="009B71C6">
        <w:rPr>
          <w:sz w:val="24"/>
          <w:szCs w:val="24"/>
          <w:u w:val="single"/>
        </w:rPr>
        <w:t>blanding</w:t>
      </w:r>
    </w:p>
    <w:p w:rsidR="002614B2" w:rsidRPr="00752E31" w:rsidRDefault="002614B2" w:rsidP="002614B2">
      <w:pPr>
        <w:tabs>
          <w:tab w:val="left" w:pos="851"/>
        </w:tabs>
        <w:ind w:left="851"/>
        <w:rPr>
          <w:i/>
          <w:sz w:val="24"/>
          <w:szCs w:val="24"/>
          <w:u w:val="single"/>
        </w:rPr>
      </w:pPr>
      <w:r w:rsidRPr="00752E31">
        <w:rPr>
          <w:sz w:val="24"/>
          <w:szCs w:val="24"/>
        </w:rPr>
        <w:t>Jernoxid, rød (E172)</w:t>
      </w:r>
    </w:p>
    <w:p w:rsidR="002614B2" w:rsidRPr="00752E31" w:rsidRDefault="002614B2" w:rsidP="002614B2">
      <w:pPr>
        <w:tabs>
          <w:tab w:val="left" w:pos="851"/>
        </w:tabs>
        <w:ind w:left="851"/>
        <w:rPr>
          <w:i/>
          <w:sz w:val="24"/>
          <w:szCs w:val="24"/>
          <w:u w:val="single"/>
        </w:rPr>
      </w:pPr>
      <w:r w:rsidRPr="00752E31">
        <w:rPr>
          <w:sz w:val="24"/>
          <w:szCs w:val="24"/>
        </w:rPr>
        <w:t>Jernoxid, gul (E172)</w:t>
      </w:r>
    </w:p>
    <w:p w:rsidR="002614B2" w:rsidRPr="007F61FF" w:rsidRDefault="002614B2" w:rsidP="002614B2">
      <w:pPr>
        <w:tabs>
          <w:tab w:val="left" w:pos="851"/>
        </w:tabs>
        <w:ind w:left="851"/>
        <w:rPr>
          <w:i/>
          <w:sz w:val="24"/>
          <w:szCs w:val="24"/>
          <w:u w:val="single"/>
        </w:rPr>
      </w:pPr>
      <w:r w:rsidRPr="007F61FF">
        <w:rPr>
          <w:sz w:val="24"/>
          <w:szCs w:val="24"/>
        </w:rPr>
        <w:t>Jernoxid, sort (E172)</w:t>
      </w:r>
    </w:p>
    <w:p w:rsidR="002614B2" w:rsidRPr="007F61FF" w:rsidRDefault="002614B2" w:rsidP="002614B2">
      <w:pPr>
        <w:tabs>
          <w:tab w:val="left" w:pos="851"/>
        </w:tabs>
        <w:ind w:left="851"/>
        <w:rPr>
          <w:sz w:val="24"/>
          <w:szCs w:val="24"/>
        </w:rPr>
      </w:pPr>
      <w:r w:rsidRPr="007F61FF">
        <w:rPr>
          <w:sz w:val="24"/>
          <w:szCs w:val="24"/>
        </w:rPr>
        <w:t>Lactosemonohydrat</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6.2</w:t>
      </w:r>
      <w:r w:rsidRPr="007F61FF">
        <w:rPr>
          <w:b/>
          <w:sz w:val="24"/>
          <w:szCs w:val="24"/>
        </w:rPr>
        <w:tab/>
        <w:t>Uforligeligheder</w:t>
      </w:r>
    </w:p>
    <w:p w:rsidR="002614B2" w:rsidRPr="007F61FF" w:rsidRDefault="002614B2" w:rsidP="002614B2">
      <w:pPr>
        <w:ind w:left="851" w:hanging="851"/>
        <w:rPr>
          <w:sz w:val="24"/>
          <w:szCs w:val="24"/>
        </w:rPr>
      </w:pPr>
      <w:r w:rsidRPr="007F61FF">
        <w:rPr>
          <w:sz w:val="24"/>
          <w:szCs w:val="24"/>
        </w:rPr>
        <w:tab/>
        <w:t>Ikke relevant.</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6.3</w:t>
      </w:r>
      <w:r w:rsidRPr="007F61FF">
        <w:rPr>
          <w:b/>
          <w:sz w:val="24"/>
          <w:szCs w:val="24"/>
        </w:rPr>
        <w:tab/>
        <w:t>Opbevaringstid</w:t>
      </w:r>
    </w:p>
    <w:p w:rsidR="002614B2" w:rsidRPr="007F61FF" w:rsidRDefault="002614B2" w:rsidP="002614B2">
      <w:pPr>
        <w:ind w:left="851" w:hanging="851"/>
        <w:rPr>
          <w:sz w:val="24"/>
          <w:szCs w:val="24"/>
        </w:rPr>
      </w:pPr>
      <w:r w:rsidRPr="007F61FF">
        <w:rPr>
          <w:sz w:val="24"/>
          <w:szCs w:val="24"/>
        </w:rPr>
        <w:tab/>
      </w:r>
      <w:r>
        <w:rPr>
          <w:sz w:val="24"/>
          <w:szCs w:val="24"/>
        </w:rPr>
        <w:t>2 år</w:t>
      </w:r>
      <w:r w:rsidRPr="007F61FF">
        <w:rPr>
          <w:sz w:val="24"/>
          <w:szCs w:val="24"/>
        </w:rPr>
        <w:t>.</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6.4</w:t>
      </w:r>
      <w:r w:rsidRPr="007F61FF">
        <w:rPr>
          <w:b/>
          <w:sz w:val="24"/>
          <w:szCs w:val="24"/>
        </w:rPr>
        <w:tab/>
        <w:t>Særlige opbevaringsforhold</w:t>
      </w:r>
    </w:p>
    <w:p w:rsidR="002614B2" w:rsidRPr="007F61FF" w:rsidRDefault="002614B2" w:rsidP="002614B2">
      <w:pPr>
        <w:ind w:left="851"/>
        <w:rPr>
          <w:noProof/>
          <w:sz w:val="24"/>
        </w:rPr>
      </w:pPr>
      <w:r w:rsidRPr="007F61FF">
        <w:rPr>
          <w:noProof/>
          <w:sz w:val="24"/>
        </w:rPr>
        <w:t>Må ikke opbevares ved temperaturer over 30 °C.</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6.5</w:t>
      </w:r>
      <w:r w:rsidRPr="007F61FF">
        <w:rPr>
          <w:b/>
          <w:sz w:val="24"/>
          <w:szCs w:val="24"/>
        </w:rPr>
        <w:tab/>
        <w:t>Emballagetyper og pakningsstørrelser</w:t>
      </w:r>
    </w:p>
    <w:p w:rsidR="002614B2" w:rsidRPr="007F61FF" w:rsidRDefault="002614B2" w:rsidP="002614B2">
      <w:pPr>
        <w:ind w:left="851"/>
        <w:rPr>
          <w:sz w:val="24"/>
        </w:rPr>
      </w:pPr>
      <w:r>
        <w:rPr>
          <w:sz w:val="24"/>
        </w:rPr>
        <w:t>Blister</w:t>
      </w:r>
    </w:p>
    <w:p w:rsidR="002614B2" w:rsidRPr="00162303" w:rsidRDefault="002614B2" w:rsidP="002614B2">
      <w:pPr>
        <w:ind w:left="851"/>
        <w:rPr>
          <w:sz w:val="24"/>
        </w:rPr>
      </w:pPr>
    </w:p>
    <w:p w:rsidR="002614B2" w:rsidRPr="007F61FF" w:rsidRDefault="002614B2" w:rsidP="002614B2">
      <w:pPr>
        <w:ind w:left="851" w:hanging="851"/>
        <w:rPr>
          <w:b/>
          <w:sz w:val="24"/>
          <w:szCs w:val="24"/>
        </w:rPr>
      </w:pPr>
      <w:r w:rsidRPr="007F61FF">
        <w:rPr>
          <w:b/>
          <w:sz w:val="24"/>
          <w:szCs w:val="24"/>
        </w:rPr>
        <w:t>6.6</w:t>
      </w:r>
      <w:r w:rsidRPr="007F61FF">
        <w:rPr>
          <w:b/>
          <w:sz w:val="24"/>
          <w:szCs w:val="24"/>
        </w:rPr>
        <w:tab/>
        <w:t>Regler for destruktion og anden håndtering</w:t>
      </w:r>
    </w:p>
    <w:p w:rsidR="002614B2" w:rsidRPr="007F61FF" w:rsidRDefault="002614B2" w:rsidP="002614B2">
      <w:pPr>
        <w:ind w:left="851" w:hanging="851"/>
        <w:rPr>
          <w:sz w:val="24"/>
          <w:szCs w:val="24"/>
        </w:rPr>
      </w:pPr>
      <w:r w:rsidRPr="007F61FF">
        <w:rPr>
          <w:sz w:val="24"/>
          <w:szCs w:val="24"/>
        </w:rPr>
        <w:tab/>
        <w:t>Ikke anvendt lægemiddel samt affald heraf skal bortskaffes i henhold til lokale retningslinjer.</w:t>
      </w:r>
    </w:p>
    <w:p w:rsidR="002614B2" w:rsidRPr="00162303" w:rsidRDefault="002614B2" w:rsidP="002614B2">
      <w:pPr>
        <w:ind w:left="851" w:hanging="851"/>
        <w:jc w:val="both"/>
        <w:rPr>
          <w:sz w:val="24"/>
          <w:szCs w:val="24"/>
        </w:rPr>
      </w:pPr>
    </w:p>
    <w:p w:rsidR="002614B2" w:rsidRPr="00162303" w:rsidRDefault="002614B2" w:rsidP="002614B2">
      <w:pPr>
        <w:ind w:left="851" w:hanging="851"/>
        <w:rPr>
          <w:b/>
          <w:sz w:val="24"/>
          <w:szCs w:val="24"/>
        </w:rPr>
      </w:pPr>
      <w:r w:rsidRPr="00162303">
        <w:rPr>
          <w:b/>
          <w:sz w:val="24"/>
          <w:szCs w:val="24"/>
        </w:rPr>
        <w:t>7.</w:t>
      </w:r>
      <w:r w:rsidRPr="00162303">
        <w:rPr>
          <w:b/>
          <w:sz w:val="24"/>
          <w:szCs w:val="24"/>
        </w:rPr>
        <w:tab/>
        <w:t>INDEHAVER AF MARKEDSFØRINGSTILLADELSEN</w:t>
      </w:r>
    </w:p>
    <w:p w:rsidR="002614B2" w:rsidRPr="00162303" w:rsidRDefault="002614B2" w:rsidP="002614B2">
      <w:pPr>
        <w:ind w:left="851"/>
        <w:rPr>
          <w:sz w:val="24"/>
          <w:szCs w:val="24"/>
        </w:rPr>
      </w:pPr>
      <w:r w:rsidRPr="00162303">
        <w:rPr>
          <w:sz w:val="24"/>
          <w:szCs w:val="24"/>
        </w:rPr>
        <w:t>Nordic Prime ApS</w:t>
      </w:r>
    </w:p>
    <w:p w:rsidR="002614B2" w:rsidRPr="00162303" w:rsidRDefault="002614B2" w:rsidP="002614B2">
      <w:pPr>
        <w:ind w:left="851"/>
        <w:rPr>
          <w:sz w:val="24"/>
          <w:szCs w:val="24"/>
        </w:rPr>
      </w:pPr>
      <w:r w:rsidRPr="00162303">
        <w:rPr>
          <w:sz w:val="24"/>
          <w:szCs w:val="24"/>
        </w:rPr>
        <w:t>Kongensgade 36, 1.</w:t>
      </w:r>
    </w:p>
    <w:p w:rsidR="002614B2" w:rsidRPr="00162303" w:rsidRDefault="002614B2" w:rsidP="002614B2">
      <w:pPr>
        <w:ind w:left="851"/>
        <w:rPr>
          <w:sz w:val="24"/>
          <w:szCs w:val="24"/>
        </w:rPr>
      </w:pPr>
      <w:r w:rsidRPr="00162303">
        <w:rPr>
          <w:sz w:val="24"/>
          <w:szCs w:val="24"/>
        </w:rPr>
        <w:t>6700 Esbjerg</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8.</w:t>
      </w:r>
      <w:r w:rsidRPr="007F61FF">
        <w:rPr>
          <w:b/>
          <w:sz w:val="24"/>
          <w:szCs w:val="24"/>
        </w:rPr>
        <w:tab/>
        <w:t>MARKEDSFØRINGSTILLADELSESNUMMER (NUMRE)</w:t>
      </w:r>
    </w:p>
    <w:p w:rsidR="002614B2" w:rsidRPr="007F61FF" w:rsidRDefault="002614B2" w:rsidP="002614B2">
      <w:pPr>
        <w:tabs>
          <w:tab w:val="left" w:pos="1560"/>
        </w:tabs>
        <w:ind w:left="851" w:hanging="851"/>
        <w:rPr>
          <w:sz w:val="24"/>
          <w:szCs w:val="24"/>
        </w:rPr>
      </w:pPr>
      <w:r w:rsidRPr="007F61FF">
        <w:rPr>
          <w:sz w:val="24"/>
          <w:szCs w:val="24"/>
        </w:rPr>
        <w:tab/>
      </w:r>
      <w:r w:rsidRPr="00E807F4">
        <w:rPr>
          <w:sz w:val="24"/>
          <w:szCs w:val="24"/>
        </w:rPr>
        <w:t>62177</w:t>
      </w:r>
    </w:p>
    <w:p w:rsidR="002614B2" w:rsidRPr="007F61FF" w:rsidRDefault="002614B2" w:rsidP="002614B2">
      <w:pPr>
        <w:ind w:left="851" w:hanging="851"/>
        <w:jc w:val="both"/>
        <w:rPr>
          <w:sz w:val="24"/>
          <w:szCs w:val="24"/>
        </w:rPr>
      </w:pPr>
    </w:p>
    <w:p w:rsidR="002614B2" w:rsidRPr="007F61FF" w:rsidRDefault="002614B2" w:rsidP="002614B2">
      <w:pPr>
        <w:ind w:left="851" w:hanging="851"/>
        <w:rPr>
          <w:b/>
          <w:sz w:val="24"/>
          <w:szCs w:val="24"/>
        </w:rPr>
      </w:pPr>
      <w:r w:rsidRPr="007F61FF">
        <w:rPr>
          <w:b/>
          <w:sz w:val="24"/>
          <w:szCs w:val="24"/>
        </w:rPr>
        <w:t>9.</w:t>
      </w:r>
      <w:r w:rsidRPr="007F61FF">
        <w:rPr>
          <w:b/>
          <w:sz w:val="24"/>
          <w:szCs w:val="24"/>
        </w:rPr>
        <w:tab/>
        <w:t>DATO FOR FØRSTE MARKEDSFØRINGSTILLADELSE</w:t>
      </w:r>
    </w:p>
    <w:p w:rsidR="002614B2" w:rsidRPr="007F61FF" w:rsidRDefault="002614B2" w:rsidP="002614B2">
      <w:pPr>
        <w:ind w:left="851" w:hanging="851"/>
        <w:rPr>
          <w:sz w:val="24"/>
          <w:szCs w:val="24"/>
        </w:rPr>
      </w:pPr>
      <w:r w:rsidRPr="007F61FF">
        <w:rPr>
          <w:sz w:val="24"/>
          <w:szCs w:val="24"/>
        </w:rPr>
        <w:tab/>
      </w:r>
      <w:r>
        <w:rPr>
          <w:sz w:val="24"/>
          <w:szCs w:val="24"/>
        </w:rPr>
        <w:t>10. januar 2020</w:t>
      </w:r>
    </w:p>
    <w:p w:rsidR="002614B2" w:rsidRPr="007F61FF" w:rsidRDefault="002614B2" w:rsidP="002614B2">
      <w:pPr>
        <w:ind w:left="851" w:hanging="851"/>
        <w:rPr>
          <w:sz w:val="24"/>
          <w:szCs w:val="24"/>
        </w:rPr>
      </w:pPr>
    </w:p>
    <w:p w:rsidR="002614B2" w:rsidRPr="007F61FF" w:rsidRDefault="002614B2" w:rsidP="002614B2">
      <w:pPr>
        <w:ind w:left="851" w:hanging="851"/>
        <w:rPr>
          <w:b/>
          <w:sz w:val="24"/>
          <w:szCs w:val="24"/>
        </w:rPr>
      </w:pPr>
      <w:r w:rsidRPr="007F61FF">
        <w:rPr>
          <w:b/>
          <w:sz w:val="24"/>
          <w:szCs w:val="24"/>
        </w:rPr>
        <w:t>10.</w:t>
      </w:r>
      <w:r w:rsidRPr="007F61FF">
        <w:rPr>
          <w:b/>
          <w:sz w:val="24"/>
          <w:szCs w:val="24"/>
        </w:rPr>
        <w:tab/>
        <w:t>DATO FOR ÆNDRING AF TEKSTEN</w:t>
      </w:r>
    </w:p>
    <w:p w:rsidR="009260DE" w:rsidRPr="007D6DAC" w:rsidRDefault="002614B2" w:rsidP="007D6DAC">
      <w:pPr>
        <w:ind w:left="851" w:hanging="851"/>
        <w:rPr>
          <w:sz w:val="24"/>
          <w:szCs w:val="24"/>
        </w:rPr>
      </w:pPr>
      <w:r w:rsidRPr="007F61FF">
        <w:rPr>
          <w:sz w:val="24"/>
          <w:szCs w:val="24"/>
        </w:rPr>
        <w:tab/>
      </w:r>
      <w:r w:rsidR="007D6DAC">
        <w:rPr>
          <w:sz w:val="24"/>
          <w:szCs w:val="24"/>
        </w:rPr>
        <w:t>5. januar 2021</w:t>
      </w:r>
      <w:bookmarkStart w:id="0" w:name="_GoBack"/>
      <w:bookmarkEnd w:id="0"/>
    </w:p>
    <w:sectPr w:rsidR="009260DE" w:rsidRPr="007D6DA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4B2" w:rsidRDefault="002614B2">
      <w:r>
        <w:separator/>
      </w:r>
    </w:p>
  </w:endnote>
  <w:endnote w:type="continuationSeparator" w:id="0">
    <w:p w:rsidR="002614B2" w:rsidRDefault="0026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84193">
      <w:rPr>
        <w:i/>
        <w:noProof/>
        <w:sz w:val="18"/>
        <w:szCs w:val="18"/>
      </w:rPr>
      <w:t>Ropinirol Nordic Prime, depottabletter 8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4B2" w:rsidRDefault="002614B2">
      <w:r>
        <w:separator/>
      </w:r>
    </w:p>
  </w:footnote>
  <w:footnote w:type="continuationSeparator" w:id="0">
    <w:p w:rsidR="002614B2" w:rsidRDefault="00261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824B00"/>
    <w:multiLevelType w:val="hybridMultilevel"/>
    <w:tmpl w:val="18109CE6"/>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460B6C"/>
    <w:multiLevelType w:val="hybridMultilevel"/>
    <w:tmpl w:val="CC7C30CA"/>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B2"/>
    <w:rsid w:val="000259B9"/>
    <w:rsid w:val="00041491"/>
    <w:rsid w:val="00050D16"/>
    <w:rsid w:val="00074F2A"/>
    <w:rsid w:val="000A1CA8"/>
    <w:rsid w:val="000A466B"/>
    <w:rsid w:val="000B058C"/>
    <w:rsid w:val="000E4EE6"/>
    <w:rsid w:val="0011052C"/>
    <w:rsid w:val="001315B6"/>
    <w:rsid w:val="001454E2"/>
    <w:rsid w:val="00162303"/>
    <w:rsid w:val="00206CE8"/>
    <w:rsid w:val="0021526C"/>
    <w:rsid w:val="002614B2"/>
    <w:rsid w:val="00283A2B"/>
    <w:rsid w:val="002B30AD"/>
    <w:rsid w:val="002C2C01"/>
    <w:rsid w:val="00301B1B"/>
    <w:rsid w:val="00312844"/>
    <w:rsid w:val="0038331A"/>
    <w:rsid w:val="003A29AE"/>
    <w:rsid w:val="003A32D7"/>
    <w:rsid w:val="003B4074"/>
    <w:rsid w:val="003C769A"/>
    <w:rsid w:val="003F1838"/>
    <w:rsid w:val="0045746C"/>
    <w:rsid w:val="0049104B"/>
    <w:rsid w:val="004A5DE5"/>
    <w:rsid w:val="004E39D8"/>
    <w:rsid w:val="004E3B12"/>
    <w:rsid w:val="00532310"/>
    <w:rsid w:val="00560ECC"/>
    <w:rsid w:val="00565F0F"/>
    <w:rsid w:val="00594A86"/>
    <w:rsid w:val="00596D86"/>
    <w:rsid w:val="00637F5A"/>
    <w:rsid w:val="006560B1"/>
    <w:rsid w:val="006756DD"/>
    <w:rsid w:val="006E30AA"/>
    <w:rsid w:val="00714CA1"/>
    <w:rsid w:val="00737275"/>
    <w:rsid w:val="00740EEC"/>
    <w:rsid w:val="00763D2B"/>
    <w:rsid w:val="0078011A"/>
    <w:rsid w:val="00782AF4"/>
    <w:rsid w:val="00790EE7"/>
    <w:rsid w:val="007B6649"/>
    <w:rsid w:val="007D6DAC"/>
    <w:rsid w:val="0081546F"/>
    <w:rsid w:val="0082576E"/>
    <w:rsid w:val="00907F75"/>
    <w:rsid w:val="009260DE"/>
    <w:rsid w:val="0093258A"/>
    <w:rsid w:val="009C7BA3"/>
    <w:rsid w:val="009D1F5A"/>
    <w:rsid w:val="009D6763"/>
    <w:rsid w:val="00A47142"/>
    <w:rsid w:val="00A92DFD"/>
    <w:rsid w:val="00B003BF"/>
    <w:rsid w:val="00B373D7"/>
    <w:rsid w:val="00BF01ED"/>
    <w:rsid w:val="00C36276"/>
    <w:rsid w:val="00C42586"/>
    <w:rsid w:val="00C60CCD"/>
    <w:rsid w:val="00C84483"/>
    <w:rsid w:val="00C95551"/>
    <w:rsid w:val="00CB20D7"/>
    <w:rsid w:val="00D020B0"/>
    <w:rsid w:val="00D0644C"/>
    <w:rsid w:val="00D11748"/>
    <w:rsid w:val="00D366CF"/>
    <w:rsid w:val="00D84193"/>
    <w:rsid w:val="00E108AA"/>
    <w:rsid w:val="00E31812"/>
    <w:rsid w:val="00E3749A"/>
    <w:rsid w:val="00E7437F"/>
    <w:rsid w:val="00E8217F"/>
    <w:rsid w:val="00E865B8"/>
    <w:rsid w:val="00EC0B9B"/>
    <w:rsid w:val="00ED5E9F"/>
    <w:rsid w:val="00F5402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DE0EB"/>
  <w15:chartTrackingRefBased/>
  <w15:docId w15:val="{F2B11853-6CF7-496F-A5B0-57A4DB0B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61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TotalTime>
  <Pages>12</Pages>
  <Words>3360</Words>
  <Characters>22083</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2020102039 opdat efter DI var 14</dc:description>
  <cp:lastModifiedBy>Hanne Thy Iversen</cp:lastModifiedBy>
  <cp:revision>10</cp:revision>
  <cp:lastPrinted>2020-10-01T11:42:00Z</cp:lastPrinted>
  <dcterms:created xsi:type="dcterms:W3CDTF">2020-03-31T00:33:00Z</dcterms:created>
  <dcterms:modified xsi:type="dcterms:W3CDTF">2021-01-05T09:28:00Z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