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F4" w:rsidRDefault="00FD20F4" w:rsidP="00FD20F4">
      <w:r>
        <w:rPr>
          <w:noProof/>
          <w:lang w:eastAsia="da-DK"/>
        </w:rPr>
        <w:drawing>
          <wp:inline distT="0" distB="0" distL="0" distR="0" wp14:anchorId="7C27B13E" wp14:editId="19C79C6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0F4" w:rsidRDefault="00FD20F4" w:rsidP="00FD20F4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FD20F4" w:rsidRPr="0071570A" w:rsidRDefault="009F73C5" w:rsidP="00FD20F4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>
        <w:rPr>
          <w:szCs w:val="24"/>
          <w:lang w:eastAsia="en-US"/>
        </w:rPr>
        <w:t>7. februar 2024</w:t>
      </w:r>
    </w:p>
    <w:p w:rsidR="00FD20F4" w:rsidRDefault="00FD20F4" w:rsidP="00FD20F4">
      <w:pPr>
        <w:pStyle w:val="Titel"/>
        <w:jc w:val="left"/>
        <w:rPr>
          <w:b w:val="0"/>
        </w:rPr>
      </w:pPr>
    </w:p>
    <w:p w:rsidR="00FD20F4" w:rsidRDefault="00FD20F4" w:rsidP="00FD20F4">
      <w:pPr>
        <w:pStyle w:val="Titel"/>
        <w:jc w:val="left"/>
        <w:rPr>
          <w:b w:val="0"/>
        </w:rPr>
      </w:pPr>
    </w:p>
    <w:p w:rsidR="00FD20F4" w:rsidRPr="00EC0B9B" w:rsidRDefault="00FD20F4" w:rsidP="00FD20F4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FD20F4" w:rsidRPr="00EC0B9B" w:rsidRDefault="00FD20F4" w:rsidP="00FD20F4">
      <w:pPr>
        <w:jc w:val="center"/>
        <w:rPr>
          <w:b/>
          <w:sz w:val="24"/>
          <w:szCs w:val="24"/>
        </w:rPr>
      </w:pPr>
    </w:p>
    <w:p w:rsidR="00FD20F4" w:rsidRPr="00EC0B9B" w:rsidRDefault="004D7E8D" w:rsidP="00C45DC6">
      <w:pPr>
        <w:tabs>
          <w:tab w:val="left" w:pos="33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45DC6">
        <w:rPr>
          <w:b/>
          <w:sz w:val="24"/>
          <w:szCs w:val="24"/>
        </w:rPr>
        <w:tab/>
      </w:r>
      <w:r w:rsidR="00FD20F4" w:rsidRPr="00EC0B9B">
        <w:rPr>
          <w:b/>
          <w:sz w:val="24"/>
          <w:szCs w:val="24"/>
        </w:rPr>
        <w:t>for</w:t>
      </w:r>
    </w:p>
    <w:p w:rsidR="00FD20F4" w:rsidRPr="00EC0B9B" w:rsidRDefault="00FD20F4" w:rsidP="00FD20F4">
      <w:pPr>
        <w:jc w:val="center"/>
        <w:rPr>
          <w:b/>
          <w:sz w:val="24"/>
          <w:szCs w:val="24"/>
        </w:rPr>
      </w:pPr>
    </w:p>
    <w:p w:rsidR="00FD20F4" w:rsidRPr="0049104B" w:rsidRDefault="00FD20F4" w:rsidP="00FD20F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Ropinirol</w:t>
      </w:r>
      <w:proofErr w:type="spellEnd"/>
      <w:r>
        <w:rPr>
          <w:b/>
          <w:sz w:val="24"/>
          <w:szCs w:val="24"/>
        </w:rPr>
        <w:t xml:space="preserve"> ”Orion”, depottabletter</w:t>
      </w:r>
    </w:p>
    <w:p w:rsidR="00FD20F4" w:rsidRPr="00EC0B9B" w:rsidRDefault="00FD20F4" w:rsidP="00FD20F4">
      <w:pPr>
        <w:jc w:val="both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jc w:val="both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0.</w:t>
      </w:r>
      <w:r w:rsidRPr="00AC69CA">
        <w:rPr>
          <w:b/>
          <w:sz w:val="24"/>
          <w:szCs w:val="24"/>
        </w:rPr>
        <w:tab/>
        <w:t>D.SP.NR.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28427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1.</w:t>
      </w:r>
      <w:r w:rsidRPr="00AC69CA">
        <w:rPr>
          <w:b/>
          <w:sz w:val="24"/>
          <w:szCs w:val="24"/>
        </w:rPr>
        <w:tab/>
        <w:t>LÆGEMIDLETS NAVN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>Orion</w:t>
      </w:r>
      <w:r>
        <w:rPr>
          <w:sz w:val="24"/>
          <w:szCs w:val="24"/>
        </w:rPr>
        <w:t>”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2.</w:t>
      </w:r>
      <w:r w:rsidRPr="00AC69CA">
        <w:rPr>
          <w:b/>
          <w:sz w:val="24"/>
          <w:szCs w:val="24"/>
        </w:rPr>
        <w:tab/>
        <w:t>KVALITATIV OG KVANTITATIV SAMMENSÆTNING</w:t>
      </w:r>
    </w:p>
    <w:p w:rsidR="009F73C5" w:rsidRDefault="00FD20F4" w:rsidP="009F73C5">
      <w:pPr>
        <w:ind w:left="851" w:hanging="851"/>
        <w:rPr>
          <w:i/>
          <w:sz w:val="24"/>
          <w:szCs w:val="24"/>
        </w:rPr>
      </w:pPr>
      <w:r w:rsidRPr="00AC69CA">
        <w:rPr>
          <w:sz w:val="24"/>
          <w:szCs w:val="24"/>
        </w:rPr>
        <w:tab/>
      </w:r>
      <w:proofErr w:type="spellStart"/>
      <w:r w:rsidR="009F73C5">
        <w:rPr>
          <w:i/>
          <w:sz w:val="24"/>
          <w:szCs w:val="24"/>
        </w:rPr>
        <w:t>Ropinirol</w:t>
      </w:r>
      <w:proofErr w:type="spellEnd"/>
      <w:r w:rsidR="009F73C5">
        <w:rPr>
          <w:i/>
          <w:sz w:val="24"/>
          <w:szCs w:val="24"/>
        </w:rPr>
        <w:t xml:space="preserve"> ”Orion” 2 mg depottabletter: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depottablet indeholder 2 mg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(som </w:t>
      </w:r>
      <w:proofErr w:type="spellStart"/>
      <w:r>
        <w:rPr>
          <w:sz w:val="24"/>
          <w:szCs w:val="24"/>
        </w:rPr>
        <w:t>hydrochlorid</w:t>
      </w:r>
      <w:proofErr w:type="spellEnd"/>
      <w:r>
        <w:rPr>
          <w:sz w:val="24"/>
          <w:szCs w:val="24"/>
        </w:rPr>
        <w:t>).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Hjælpestof, som behandleren skal være opmærksom på: 1,71 mg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 (som monohydrat)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”Orion” 4 mg depottabletter: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depottablet indeholder 4 mg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(som </w:t>
      </w:r>
      <w:proofErr w:type="spellStart"/>
      <w:r>
        <w:rPr>
          <w:sz w:val="24"/>
          <w:szCs w:val="24"/>
        </w:rPr>
        <w:t>hydrochlorid</w:t>
      </w:r>
      <w:proofErr w:type="spellEnd"/>
      <w:r>
        <w:rPr>
          <w:sz w:val="24"/>
          <w:szCs w:val="24"/>
        </w:rPr>
        <w:t>).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Hjælpestof, som behandleren skal være opmærksom på: 0,81 mg </w:t>
      </w:r>
      <w:proofErr w:type="spellStart"/>
      <w:r>
        <w:rPr>
          <w:sz w:val="24"/>
          <w:szCs w:val="24"/>
        </w:rPr>
        <w:t>sunset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(E110)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”Orion” 8 mg depottabletter: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depottablet indeholder 8 mg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(som </w:t>
      </w:r>
      <w:proofErr w:type="spellStart"/>
      <w:r>
        <w:rPr>
          <w:sz w:val="24"/>
          <w:szCs w:val="24"/>
        </w:rPr>
        <w:t>hydrochlorid</w:t>
      </w:r>
      <w:proofErr w:type="spellEnd"/>
      <w:r>
        <w:rPr>
          <w:sz w:val="24"/>
          <w:szCs w:val="24"/>
        </w:rPr>
        <w:t>).</w:t>
      </w:r>
    </w:p>
    <w:p w:rsidR="009F73C5" w:rsidRDefault="009F73C5" w:rsidP="009F73C5">
      <w:pPr>
        <w:ind w:left="851" w:hanging="851"/>
        <w:rPr>
          <w:b/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 pkt. 6.1.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LÆGEMIDDELFORM</w:t>
      </w: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Depottabletter.</w:t>
      </w: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2 mg depottabletter: lyserøde, runde, </w:t>
      </w:r>
      <w:proofErr w:type="spellStart"/>
      <w:r>
        <w:rPr>
          <w:sz w:val="24"/>
          <w:szCs w:val="24"/>
        </w:rPr>
        <w:t>bikonvekse</w:t>
      </w:r>
      <w:proofErr w:type="spellEnd"/>
      <w:r>
        <w:rPr>
          <w:sz w:val="24"/>
          <w:szCs w:val="24"/>
        </w:rPr>
        <w:t xml:space="preserve"> tabletter 6,8 ± 0,1 mm i diameter og 5,5 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 0,2 mm i tykkelse.</w:t>
      </w: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4 mg depottabletter: lysebrune, ovale </w:t>
      </w:r>
      <w:proofErr w:type="spellStart"/>
      <w:r>
        <w:rPr>
          <w:sz w:val="24"/>
          <w:szCs w:val="24"/>
        </w:rPr>
        <w:t>bikonvekse</w:t>
      </w:r>
      <w:proofErr w:type="spellEnd"/>
      <w:r>
        <w:rPr>
          <w:sz w:val="24"/>
          <w:szCs w:val="24"/>
        </w:rPr>
        <w:t xml:space="preserve"> tabletter med målene 12,6 x 6,6 ± 0,1 mm og 5,3 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 0,2 mm i tykkelse.</w:t>
      </w: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8 mg depottabletter: røde, ovale, </w:t>
      </w:r>
      <w:proofErr w:type="spellStart"/>
      <w:r>
        <w:rPr>
          <w:sz w:val="24"/>
          <w:szCs w:val="24"/>
        </w:rPr>
        <w:t>bikonvekse</w:t>
      </w:r>
      <w:proofErr w:type="spellEnd"/>
      <w:r>
        <w:rPr>
          <w:sz w:val="24"/>
          <w:szCs w:val="24"/>
        </w:rPr>
        <w:t xml:space="preserve"> tabletter med målene 19,2 x 10,2 ± 0,2 mm og 5,2 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 0,2 mm i tykkelse.</w:t>
      </w:r>
    </w:p>
    <w:p w:rsidR="00FD20F4" w:rsidRPr="00AC69CA" w:rsidRDefault="00FD20F4" w:rsidP="009F73C5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</w:t>
      </w:r>
      <w:r w:rsidRPr="00AC69CA">
        <w:rPr>
          <w:b/>
          <w:sz w:val="24"/>
          <w:szCs w:val="24"/>
        </w:rPr>
        <w:tab/>
        <w:t>KLINISKE OPLYSNINGER</w:t>
      </w: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  <w:u w:val="single"/>
        </w:rPr>
      </w:pPr>
      <w:r w:rsidRPr="00AC69CA">
        <w:rPr>
          <w:b/>
          <w:sz w:val="24"/>
          <w:szCs w:val="24"/>
        </w:rPr>
        <w:t>4.1</w:t>
      </w:r>
      <w:r w:rsidRPr="00AC69CA">
        <w:rPr>
          <w:b/>
          <w:sz w:val="24"/>
          <w:szCs w:val="24"/>
        </w:rPr>
        <w:tab/>
        <w:t>Terapeutiske indikationer</w:t>
      </w:r>
    </w:p>
    <w:p w:rsidR="00CB4D22" w:rsidRPr="00AC69CA" w:rsidRDefault="00FD20F4" w:rsidP="00CB4D22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="00CB4D22" w:rsidRPr="00AC69CA">
        <w:rPr>
          <w:sz w:val="24"/>
          <w:szCs w:val="24"/>
        </w:rPr>
        <w:t>Behandling af Parkinsons sygdom ved følgende betingelser:</w:t>
      </w:r>
    </w:p>
    <w:p w:rsidR="00CB4D22" w:rsidRPr="00AC69CA" w:rsidRDefault="00CB4D22" w:rsidP="00CB4D22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i</w:t>
      </w:r>
      <w:r w:rsidRPr="00AC69CA">
        <w:rPr>
          <w:sz w:val="24"/>
          <w:szCs w:val="24"/>
        </w:rPr>
        <w:t xml:space="preserve">nitial behandling som monoterapi til at udskyde behovet for opstart af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</w:t>
      </w:r>
    </w:p>
    <w:p w:rsidR="00CB4D22" w:rsidRDefault="00CB4D22" w:rsidP="00CB4D22">
      <w:pPr>
        <w:numPr>
          <w:ilvl w:val="0"/>
          <w:numId w:val="6"/>
        </w:numPr>
        <w:ind w:left="1276" w:hanging="425"/>
        <w:rPr>
          <w:sz w:val="22"/>
          <w:szCs w:val="22"/>
        </w:rPr>
      </w:pPr>
      <w:r>
        <w:rPr>
          <w:sz w:val="24"/>
          <w:szCs w:val="24"/>
        </w:rPr>
        <w:lastRenderedPageBreak/>
        <w:t>s</w:t>
      </w:r>
      <w:r w:rsidRPr="00AC69CA">
        <w:rPr>
          <w:sz w:val="24"/>
          <w:szCs w:val="24"/>
        </w:rPr>
        <w:t xml:space="preserve">om kombineret behandling med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i sygdomsforløbet, når virkningen af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aftager eller bliver uregelmæssig, og der opstår fluktuationer i den terapeutiske virkning </w:t>
      </w:r>
      <w:r w:rsidRPr="00107CCD">
        <w:rPr>
          <w:sz w:val="24"/>
          <w:szCs w:val="24"/>
        </w:rPr>
        <w:t>(end-of-</w:t>
      </w:r>
      <w:proofErr w:type="spellStart"/>
      <w:r w:rsidRPr="00107CCD">
        <w:rPr>
          <w:sz w:val="24"/>
          <w:szCs w:val="24"/>
        </w:rPr>
        <w:t>dose</w:t>
      </w:r>
      <w:proofErr w:type="spellEnd"/>
      <w:r w:rsidRPr="00107CCD">
        <w:rPr>
          <w:sz w:val="24"/>
          <w:szCs w:val="24"/>
        </w:rPr>
        <w:t xml:space="preserve"> fluktuationer eller ”on-</w:t>
      </w:r>
      <w:proofErr w:type="spellStart"/>
      <w:r w:rsidRPr="00107CCD">
        <w:rPr>
          <w:sz w:val="24"/>
          <w:szCs w:val="24"/>
        </w:rPr>
        <w:t>off</w:t>
      </w:r>
      <w:proofErr w:type="spellEnd"/>
      <w:r w:rsidRPr="00107CCD">
        <w:rPr>
          <w:sz w:val="24"/>
          <w:szCs w:val="24"/>
        </w:rPr>
        <w:t>” fluktuationer).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4.2</w:t>
      </w:r>
      <w:r w:rsidRPr="00AC69CA">
        <w:rPr>
          <w:b/>
          <w:sz w:val="24"/>
          <w:szCs w:val="24"/>
        </w:rPr>
        <w:tab/>
        <w:t xml:space="preserve">Dosering og </w:t>
      </w:r>
      <w:r w:rsidR="00CB4D22">
        <w:rPr>
          <w:b/>
          <w:sz w:val="24"/>
          <w:szCs w:val="24"/>
        </w:rPr>
        <w:t>administration</w:t>
      </w:r>
    </w:p>
    <w:p w:rsidR="00FD20F4" w:rsidRDefault="00FD20F4" w:rsidP="00FD20F4">
      <w:pPr>
        <w:ind w:left="851" w:hanging="851"/>
        <w:rPr>
          <w:sz w:val="24"/>
          <w:szCs w:val="24"/>
          <w:u w:val="single"/>
        </w:rPr>
      </w:pPr>
      <w:r w:rsidRPr="00AC69CA">
        <w:rPr>
          <w:sz w:val="24"/>
          <w:szCs w:val="24"/>
        </w:rPr>
        <w:tab/>
      </w:r>
      <w:r>
        <w:rPr>
          <w:sz w:val="24"/>
          <w:szCs w:val="24"/>
          <w:u w:val="single"/>
        </w:rPr>
        <w:t>Dosering</w:t>
      </w:r>
    </w:p>
    <w:p w:rsidR="00FD20F4" w:rsidRDefault="00FD20F4" w:rsidP="00FD20F4">
      <w:pPr>
        <w:ind w:left="851"/>
        <w:rPr>
          <w:sz w:val="24"/>
          <w:szCs w:val="24"/>
          <w:u w:val="single"/>
        </w:rPr>
      </w:pPr>
    </w:p>
    <w:p w:rsidR="00CB4D22" w:rsidRPr="00AC69CA" w:rsidRDefault="00CB4D22" w:rsidP="00CB4D22">
      <w:pPr>
        <w:ind w:left="851"/>
        <w:rPr>
          <w:sz w:val="24"/>
          <w:szCs w:val="24"/>
          <w:u w:val="single"/>
        </w:rPr>
      </w:pPr>
      <w:r w:rsidRPr="00AC69CA">
        <w:rPr>
          <w:sz w:val="24"/>
          <w:szCs w:val="24"/>
          <w:u w:val="single"/>
        </w:rPr>
        <w:t>Voksne</w:t>
      </w:r>
    </w:p>
    <w:p w:rsidR="00CB4D22" w:rsidRPr="00AC69CA" w:rsidRDefault="00CB4D22" w:rsidP="00CB4D22">
      <w:pPr>
        <w:ind w:left="851" w:hanging="851"/>
        <w:rPr>
          <w:sz w:val="24"/>
          <w:szCs w:val="24"/>
          <w:u w:val="single"/>
        </w:rPr>
      </w:pPr>
    </w:p>
    <w:p w:rsidR="00CB4D22" w:rsidRPr="00264AA9" w:rsidRDefault="00CB4D22" w:rsidP="00CB4D22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Individuel dosistitrering anbefales i henhold til virkning og </w:t>
      </w:r>
      <w:proofErr w:type="spellStart"/>
      <w:r w:rsidRPr="00AC69CA">
        <w:rPr>
          <w:sz w:val="24"/>
          <w:szCs w:val="24"/>
        </w:rPr>
        <w:t>tolerabilitet</w:t>
      </w:r>
      <w:proofErr w:type="spellEnd"/>
      <w:r w:rsidRPr="00AC69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</w:t>
      </w:r>
      <w:r w:rsidRPr="00264AA9">
        <w:rPr>
          <w:sz w:val="24"/>
          <w:szCs w:val="24"/>
        </w:rPr>
        <w:t>skal tages én gang dagligt</w:t>
      </w:r>
      <w:r>
        <w:rPr>
          <w:sz w:val="24"/>
          <w:szCs w:val="24"/>
        </w:rPr>
        <w:t>,</w:t>
      </w:r>
      <w:r w:rsidRPr="00264AA9">
        <w:rPr>
          <w:sz w:val="24"/>
          <w:szCs w:val="24"/>
        </w:rPr>
        <w:t xml:space="preserve"> på samme tidspunkt hver dag. Depottabletterne kan tages med eller uden mad (se pkt. 5.2).</w:t>
      </w:r>
    </w:p>
    <w:p w:rsidR="00CB4D22" w:rsidRPr="00AC69CA" w:rsidRDefault="00CB4D22" w:rsidP="00CB4D22">
      <w:pPr>
        <w:ind w:left="851"/>
        <w:rPr>
          <w:i/>
          <w:sz w:val="24"/>
          <w:szCs w:val="24"/>
        </w:rPr>
      </w:pP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</w:t>
      </w:r>
      <w:r>
        <w:rPr>
          <w:sz w:val="24"/>
          <w:szCs w:val="24"/>
        </w:rPr>
        <w:t>depottabletter</w:t>
      </w:r>
      <w:r w:rsidRPr="00264AA9">
        <w:rPr>
          <w:sz w:val="24"/>
          <w:szCs w:val="24"/>
        </w:rPr>
        <w:t xml:space="preserve"> skal synkes hele og må ikke tygges, knuses eller deles.</w:t>
      </w:r>
    </w:p>
    <w:p w:rsidR="00FD20F4" w:rsidRDefault="00FD20F4" w:rsidP="00FD20F4">
      <w:pPr>
        <w:ind w:left="851" w:hanging="851"/>
        <w:rPr>
          <w:i/>
          <w:sz w:val="24"/>
          <w:szCs w:val="24"/>
        </w:rPr>
      </w:pPr>
    </w:p>
    <w:p w:rsidR="00FD20F4" w:rsidRPr="00264AA9" w:rsidRDefault="00FD20F4" w:rsidP="00FD20F4">
      <w:pPr>
        <w:ind w:left="851" w:hanging="851"/>
        <w:rPr>
          <w:i/>
          <w:sz w:val="24"/>
          <w:szCs w:val="24"/>
        </w:rPr>
      </w:pPr>
      <w:r w:rsidRPr="00AC69CA">
        <w:rPr>
          <w:i/>
          <w:sz w:val="24"/>
          <w:szCs w:val="24"/>
        </w:rPr>
        <w:tab/>
      </w:r>
      <w:r w:rsidRPr="00264AA9">
        <w:rPr>
          <w:i/>
          <w:sz w:val="24"/>
          <w:szCs w:val="24"/>
        </w:rPr>
        <w:t>Initial titrering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Initialdosis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er 2 mg én gang dagligt i den første uge, derefter øges dosis til 4 mg én gang dagligt fra den anden behandlingsuge. Terapeutisk respons kan ses ved en dosis på 4 mg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én gang dagligt.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Patienter, som starter behandlingen med en dosis på 2 mg/dag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, og som oplever bivirkninger, som de ikke tolererer, kan have fordel af at skifte til behandling med konventionelle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tabletter i en lavere daglig dosis, delt i 3 lige store doser.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i/>
          <w:sz w:val="24"/>
          <w:szCs w:val="24"/>
        </w:rPr>
      </w:pPr>
      <w:r w:rsidRPr="00264AA9">
        <w:rPr>
          <w:i/>
          <w:sz w:val="24"/>
          <w:szCs w:val="24"/>
        </w:rPr>
        <w:t>Terapeutisk regime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Patientens vedligeholdelsesdosis bør forblive på den laveste dosis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depottabletter, hvor der opnås symptomatisk kontrol.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CB4D22" w:rsidRPr="00264AA9" w:rsidRDefault="00CB4D22" w:rsidP="00CB4D22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>Hvis tilstrækkelig symptomatisk kontrol</w:t>
      </w:r>
      <w:r>
        <w:rPr>
          <w:sz w:val="24"/>
          <w:szCs w:val="24"/>
        </w:rPr>
        <w:t xml:space="preserve"> stadig</w:t>
      </w:r>
      <w:r w:rsidRPr="00264AA9">
        <w:rPr>
          <w:sz w:val="24"/>
          <w:szCs w:val="24"/>
        </w:rPr>
        <w:t xml:space="preserve"> ikke opnås eller opretholdes ved en dosis på 4 mg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én gang dagligt, kan den daglige dosis øges med 2 mg ugentligt eller med længere intervaller op til en dosis på 8 mg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én gang dagligt.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Hvis tilstrækkelig symptomatisk kontrol stadig ikke opnås eller opretholdes ved en dosis på 8 mg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én gang dagligt, kan den daglige dosis øges med 2</w:t>
      </w:r>
      <w:r w:rsidRPr="00264AA9">
        <w:rPr>
          <w:sz w:val="24"/>
          <w:szCs w:val="24"/>
        </w:rPr>
        <w:noBreakHyphen/>
        <w:t xml:space="preserve">4 mg hver anden uge eller med længere intervaller. Maksimal daglig dosis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er 24 mg.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For at opnå den dosis, som er nødvendig, anbefales det at ordinere det mindst mulige antal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depottabletter ved at anvende den højst tilgængelige styrke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depottabletter.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>Hvis behandlingen afbrydes i en eller flere dage, bør det overvejes at re-initiere behandlingen ved dosistitrering (se ovenstående).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Når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Orion administreres som tillægsbehandling til </w:t>
      </w:r>
      <w:proofErr w:type="spellStart"/>
      <w:r w:rsidRPr="00264AA9">
        <w:rPr>
          <w:sz w:val="24"/>
          <w:szCs w:val="24"/>
        </w:rPr>
        <w:t>levodopa</w:t>
      </w:r>
      <w:proofErr w:type="spellEnd"/>
      <w:r w:rsidRPr="00264AA9">
        <w:rPr>
          <w:sz w:val="24"/>
          <w:szCs w:val="24"/>
        </w:rPr>
        <w:t xml:space="preserve">, kan det være muligt at reducere </w:t>
      </w:r>
      <w:proofErr w:type="spellStart"/>
      <w:r w:rsidRPr="00264AA9">
        <w:rPr>
          <w:sz w:val="24"/>
          <w:szCs w:val="24"/>
        </w:rPr>
        <w:t>levodopadosis</w:t>
      </w:r>
      <w:proofErr w:type="spellEnd"/>
      <w:r w:rsidRPr="00264AA9">
        <w:rPr>
          <w:sz w:val="24"/>
          <w:szCs w:val="24"/>
        </w:rPr>
        <w:t xml:space="preserve"> gradvist, afhængigt af det kliniske respons. I kliniske </w:t>
      </w:r>
      <w:r w:rsidR="009F73C5">
        <w:rPr>
          <w:sz w:val="24"/>
          <w:szCs w:val="24"/>
        </w:rPr>
        <w:t>studier</w:t>
      </w:r>
      <w:r w:rsidRPr="00264AA9">
        <w:rPr>
          <w:sz w:val="24"/>
          <w:szCs w:val="24"/>
        </w:rPr>
        <w:t xml:space="preserve"> blev </w:t>
      </w:r>
      <w:proofErr w:type="spellStart"/>
      <w:r w:rsidRPr="00264AA9">
        <w:rPr>
          <w:sz w:val="24"/>
          <w:szCs w:val="24"/>
        </w:rPr>
        <w:t>levodopadosis</w:t>
      </w:r>
      <w:proofErr w:type="spellEnd"/>
      <w:r w:rsidRPr="00264AA9">
        <w:rPr>
          <w:sz w:val="24"/>
          <w:szCs w:val="24"/>
        </w:rPr>
        <w:t xml:space="preserve"> reduceret gradvist med ca. 30 % hos patienter, der fik tillægsbehandling med </w:t>
      </w:r>
      <w:proofErr w:type="spellStart"/>
      <w:r w:rsidRPr="00264AA9">
        <w:rPr>
          <w:sz w:val="24"/>
          <w:szCs w:val="24"/>
        </w:rPr>
        <w:t>ropiniroldepottabletter</w:t>
      </w:r>
      <w:proofErr w:type="spellEnd"/>
      <w:r w:rsidRPr="00264AA9">
        <w:rPr>
          <w:sz w:val="24"/>
          <w:szCs w:val="24"/>
        </w:rPr>
        <w:t xml:space="preserve">. Kombinationsbehandling med </w:t>
      </w:r>
      <w:proofErr w:type="spellStart"/>
      <w:r w:rsidRPr="00264AA9">
        <w:rPr>
          <w:sz w:val="24"/>
          <w:szCs w:val="24"/>
        </w:rPr>
        <w:t>levodopa</w:t>
      </w:r>
      <w:proofErr w:type="spellEnd"/>
      <w:r w:rsidRPr="00264AA9">
        <w:rPr>
          <w:sz w:val="24"/>
          <w:szCs w:val="24"/>
        </w:rPr>
        <w:t xml:space="preserve"> kan hos patienter med fremskreden Parkinsons sygdom, medføre </w:t>
      </w:r>
      <w:proofErr w:type="spellStart"/>
      <w:r w:rsidRPr="00264AA9">
        <w:rPr>
          <w:sz w:val="24"/>
          <w:szCs w:val="24"/>
        </w:rPr>
        <w:t>dyskinesier</w:t>
      </w:r>
      <w:proofErr w:type="spellEnd"/>
      <w:r w:rsidRPr="00264AA9">
        <w:rPr>
          <w:sz w:val="24"/>
          <w:szCs w:val="24"/>
        </w:rPr>
        <w:t xml:space="preserve"> under den initiale titrering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Orion. I kliniske studier blev det vist, at en reduktion af </w:t>
      </w:r>
      <w:proofErr w:type="spellStart"/>
      <w:r w:rsidRPr="00264AA9">
        <w:rPr>
          <w:sz w:val="24"/>
          <w:szCs w:val="24"/>
        </w:rPr>
        <w:t>levodopa</w:t>
      </w:r>
      <w:proofErr w:type="spellEnd"/>
      <w:r w:rsidRPr="00264AA9">
        <w:rPr>
          <w:sz w:val="24"/>
          <w:szCs w:val="24"/>
        </w:rPr>
        <w:t xml:space="preserve">-dosis kan forbedre </w:t>
      </w:r>
      <w:proofErr w:type="spellStart"/>
      <w:r w:rsidRPr="00264AA9">
        <w:rPr>
          <w:sz w:val="24"/>
          <w:szCs w:val="24"/>
        </w:rPr>
        <w:t>dyskinesi</w:t>
      </w:r>
      <w:proofErr w:type="spellEnd"/>
      <w:r w:rsidRPr="00264AA9">
        <w:rPr>
          <w:sz w:val="24"/>
          <w:szCs w:val="24"/>
        </w:rPr>
        <w:t xml:space="preserve"> (se pkt. 4.8).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Ved overgang fra anden dopaminagonist til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skal indehaveren af markedsføringstilladelsens retningslinjer med hensyn til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følges, inden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initieres.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med andre dopaminagonister er det nødvendigt at seponere </w:t>
      </w:r>
      <w:proofErr w:type="spellStart"/>
      <w:r>
        <w:rPr>
          <w:sz w:val="24"/>
          <w:szCs w:val="24"/>
        </w:rPr>
        <w:t>ropinirolbehandling</w:t>
      </w:r>
      <w:proofErr w:type="spellEnd"/>
      <w:r>
        <w:rPr>
          <w:sz w:val="24"/>
          <w:szCs w:val="24"/>
        </w:rPr>
        <w:t xml:space="preserve"> gradvist ved at reducere den daglige dosis over en periode på en uge (se pkt. 4.4).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Skift fra </w:t>
      </w: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filmovertrukne tabletter (med øjeblikkelig frigivelse) til </w:t>
      </w: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depottabletter:</w:t>
      </w:r>
    </w:p>
    <w:p w:rsidR="009F73C5" w:rsidRDefault="009F73C5" w:rsidP="009F73C5">
      <w:pPr>
        <w:ind w:left="851" w:hanging="851"/>
        <w:rPr>
          <w:i/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kan skifte fra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filmovertrukne tabletter med umiddelbar udløsning til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fra den ene dag til den anden. Dosis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bør baseres på den totale daglige dosis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filmovertrukne tabletter (umiddelbar udløsning), som patienten fik. Skemaet neden for viser den anbefalede dosis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for patienter, der skifter fra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filmovertrukne tabletter (umiddelbar udløsning):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i/>
          <w:sz w:val="24"/>
          <w:szCs w:val="24"/>
        </w:rPr>
      </w:pPr>
      <w:r>
        <w:rPr>
          <w:sz w:val="24"/>
          <w:szCs w:val="24"/>
        </w:rPr>
        <w:t xml:space="preserve">Tabel 1. </w:t>
      </w:r>
      <w:r>
        <w:rPr>
          <w:i/>
          <w:sz w:val="24"/>
          <w:szCs w:val="24"/>
        </w:rPr>
        <w:t xml:space="preserve">Skift fra </w:t>
      </w: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filmovertrukne tabletter (med øjeblikkelig frigivelse) til </w:t>
      </w: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depottabletter: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</w:tblGrid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Ropinirol</w:t>
            </w:r>
            <w:proofErr w:type="spellEnd"/>
            <w:r>
              <w:rPr>
                <w:sz w:val="24"/>
                <w:szCs w:val="24"/>
              </w:rPr>
              <w:t xml:space="preserve"> filmovertrukne tabletter (umiddelbar udløsning)</w:t>
            </w:r>
          </w:p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daglig dosis (mg)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5" w:rsidRDefault="009F73C5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Ropinirol depottabletter</w:t>
            </w:r>
          </w:p>
          <w:p w:rsidR="009F73C5" w:rsidRDefault="009F73C5">
            <w:pPr>
              <w:rPr>
                <w:sz w:val="24"/>
                <w:szCs w:val="24"/>
                <w:lang w:val="nb-NO"/>
              </w:rPr>
            </w:pPr>
          </w:p>
          <w:p w:rsidR="009F73C5" w:rsidRDefault="009F73C5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Total daglig dosis (mg)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 – 2,25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– 4,5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 – 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– 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F73C5" w:rsidTr="009F73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 skift til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kan dosis justeres afhængigt af terapeutisk respons (se ”Initial titrering” og ”Terapeutisk regime” ovenfor).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CB4D22" w:rsidRPr="00264AA9" w:rsidRDefault="00CB4D22" w:rsidP="00CB4D22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Børn og unge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Det frarådes at anvende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til børn under 18 år pga. manglende dokumentation for sikkerhed og virkning.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  <w:u w:val="single"/>
        </w:rPr>
      </w:pPr>
      <w:r w:rsidRPr="00264AA9">
        <w:rPr>
          <w:sz w:val="24"/>
          <w:szCs w:val="24"/>
          <w:u w:val="single"/>
        </w:rPr>
        <w:t>Ældre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  <w:proofErr w:type="spellStart"/>
      <w:r w:rsidRPr="00264AA9">
        <w:rPr>
          <w:sz w:val="24"/>
          <w:szCs w:val="24"/>
        </w:rPr>
        <w:t>Clearance</w:t>
      </w:r>
      <w:proofErr w:type="spellEnd"/>
      <w:r w:rsidRPr="00264AA9">
        <w:rPr>
          <w:sz w:val="24"/>
          <w:szCs w:val="24"/>
        </w:rPr>
        <w:t xml:space="preserve">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er nedsat med cirka 15 % hos patienter i alderen 65 år eller ældre. Selvom en dosisjustering ikke er nødvendigt, bør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titreres individuelt, med grundig monitorering af </w:t>
      </w:r>
      <w:proofErr w:type="spellStart"/>
      <w:r w:rsidRPr="00264AA9">
        <w:rPr>
          <w:sz w:val="24"/>
          <w:szCs w:val="24"/>
        </w:rPr>
        <w:t>tolerabilitet</w:t>
      </w:r>
      <w:proofErr w:type="spellEnd"/>
      <w:r w:rsidRPr="00264AA9">
        <w:rPr>
          <w:sz w:val="24"/>
          <w:szCs w:val="24"/>
        </w:rPr>
        <w:t xml:space="preserve">, til den optimale kliniske respons. Hos patienter, der er 75 år eller ældre, kan langsommere titrering ved behandlingsstart overvejes. </w:t>
      </w:r>
    </w:p>
    <w:p w:rsidR="00FD20F4" w:rsidRPr="00264AA9" w:rsidRDefault="00FD20F4" w:rsidP="00FD20F4">
      <w:pPr>
        <w:ind w:left="851" w:hanging="851"/>
        <w:rPr>
          <w:sz w:val="24"/>
          <w:szCs w:val="24"/>
          <w:u w:val="single"/>
        </w:rPr>
      </w:pPr>
    </w:p>
    <w:p w:rsidR="00FD20F4" w:rsidRPr="00264AA9" w:rsidRDefault="00FD20F4" w:rsidP="00FD20F4">
      <w:pPr>
        <w:ind w:left="851"/>
        <w:rPr>
          <w:sz w:val="24"/>
          <w:szCs w:val="24"/>
          <w:u w:val="single"/>
        </w:rPr>
      </w:pPr>
      <w:r w:rsidRPr="00264AA9">
        <w:rPr>
          <w:sz w:val="24"/>
          <w:szCs w:val="24"/>
          <w:u w:val="single"/>
        </w:rPr>
        <w:t>Nedsat nyrefunktion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>Hos patienter med let til moderat nedsat nyrefunktion (</w:t>
      </w:r>
      <w:proofErr w:type="spellStart"/>
      <w:r w:rsidRPr="00264AA9">
        <w:rPr>
          <w:sz w:val="24"/>
          <w:szCs w:val="24"/>
        </w:rPr>
        <w:t>kreatininclearance</w:t>
      </w:r>
      <w:proofErr w:type="spellEnd"/>
      <w:r w:rsidRPr="00264AA9">
        <w:rPr>
          <w:sz w:val="24"/>
          <w:szCs w:val="24"/>
        </w:rPr>
        <w:t xml:space="preserve"> mellem 30 og 50 ml/min) blev der ikke observeret nogen forandring i </w:t>
      </w:r>
      <w:proofErr w:type="spellStart"/>
      <w:r w:rsidRPr="00264AA9">
        <w:rPr>
          <w:sz w:val="24"/>
          <w:szCs w:val="24"/>
        </w:rPr>
        <w:t>ropinirolclearance</w:t>
      </w:r>
      <w:proofErr w:type="spellEnd"/>
      <w:r w:rsidRPr="00264AA9">
        <w:rPr>
          <w:sz w:val="24"/>
          <w:szCs w:val="24"/>
        </w:rPr>
        <w:t>, hvilket indikerer, at dosisjustering ikke er nødvendig for denne population.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Et studie om anvendelse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til patienter i slutstadiet af nyresygdom (patienter i hæmodialyse) viste, at der hos disse patienter kræves følgende dosisjustering: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lastRenderedPageBreak/>
        <w:t xml:space="preserve">Den anbefalede initialdosis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er 2 mg én gang daglig. Yderligere dosisøgning skal baseres på </w:t>
      </w:r>
      <w:proofErr w:type="spellStart"/>
      <w:r w:rsidRPr="00264AA9">
        <w:rPr>
          <w:sz w:val="24"/>
          <w:szCs w:val="24"/>
        </w:rPr>
        <w:t>tolerabilitet</w:t>
      </w:r>
      <w:proofErr w:type="spellEnd"/>
      <w:r w:rsidRPr="00264AA9">
        <w:rPr>
          <w:sz w:val="24"/>
          <w:szCs w:val="24"/>
        </w:rPr>
        <w:t xml:space="preserve"> og virkning. Den anbefalede maksimale dosis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er 18 mg/dag hos patienter, som er regelmæssigt i hæmodialyse. Supplerende doser efter hæmodialyse er ikke nødvendige (se pkt. 5.2)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Anvendelse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hos patienter med alvorligt nedsat nyrefunktion (</w:t>
      </w:r>
      <w:proofErr w:type="spellStart"/>
      <w:r w:rsidRPr="00264AA9">
        <w:rPr>
          <w:sz w:val="24"/>
          <w:szCs w:val="24"/>
        </w:rPr>
        <w:t>kreatininclearance</w:t>
      </w:r>
      <w:proofErr w:type="spellEnd"/>
      <w:r w:rsidRPr="00264AA9">
        <w:rPr>
          <w:sz w:val="24"/>
          <w:szCs w:val="24"/>
        </w:rPr>
        <w:t xml:space="preserve"> på mindre end 30 ml/min) uden regelmæssig hæmodialyse er ikke blevet undersøgt.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</w:p>
    <w:p w:rsidR="00CB4D22" w:rsidRPr="00264AA9" w:rsidRDefault="00CB4D22" w:rsidP="00CB4D22">
      <w:pPr>
        <w:ind w:left="851"/>
        <w:rPr>
          <w:sz w:val="24"/>
          <w:szCs w:val="24"/>
          <w:u w:val="single"/>
        </w:rPr>
      </w:pPr>
      <w:r w:rsidRPr="00264AA9">
        <w:rPr>
          <w:sz w:val="24"/>
          <w:szCs w:val="24"/>
          <w:u w:val="single"/>
        </w:rPr>
        <w:t>Administration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>Oral anvendelse.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4.3</w:t>
      </w:r>
      <w:r w:rsidRPr="00AC69CA">
        <w:rPr>
          <w:b/>
          <w:sz w:val="24"/>
          <w:szCs w:val="24"/>
        </w:rPr>
        <w:tab/>
        <w:t>Kontraindikationer</w:t>
      </w:r>
    </w:p>
    <w:p w:rsidR="009F73C5" w:rsidRDefault="009F73C5" w:rsidP="009F73C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overfølsomhed over for det aktive stof eller over for et eller flere af hjælpestofferne anført i pkt. 6.1</w:t>
      </w:r>
    </w:p>
    <w:p w:rsidR="00CB4D22" w:rsidRPr="00AC69CA" w:rsidRDefault="00CB4D22" w:rsidP="00CB4D22">
      <w:pPr>
        <w:numPr>
          <w:ilvl w:val="0"/>
          <w:numId w:val="7"/>
        </w:numPr>
        <w:tabs>
          <w:tab w:val="clear" w:pos="1247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a</w:t>
      </w:r>
      <w:r w:rsidRPr="00AC69CA">
        <w:rPr>
          <w:sz w:val="24"/>
          <w:szCs w:val="24"/>
        </w:rPr>
        <w:t>lvorligt nedsat nyrefunktion (</w:t>
      </w:r>
      <w:proofErr w:type="spellStart"/>
      <w:r w:rsidRPr="00AC69CA">
        <w:rPr>
          <w:sz w:val="24"/>
          <w:szCs w:val="24"/>
        </w:rPr>
        <w:t>kreatininclearance</w:t>
      </w:r>
      <w:proofErr w:type="spellEnd"/>
      <w:r w:rsidRPr="00AC69CA">
        <w:rPr>
          <w:sz w:val="24"/>
          <w:szCs w:val="24"/>
        </w:rPr>
        <w:t xml:space="preserve"> &lt;</w:t>
      </w:r>
      <w:r>
        <w:rPr>
          <w:sz w:val="24"/>
          <w:szCs w:val="24"/>
        </w:rPr>
        <w:t xml:space="preserve"> </w:t>
      </w:r>
      <w:r w:rsidRPr="00AC69CA">
        <w:rPr>
          <w:sz w:val="24"/>
          <w:szCs w:val="24"/>
        </w:rPr>
        <w:t>30 ml/min) uden regelmæssig hæmodialyse</w:t>
      </w:r>
    </w:p>
    <w:p w:rsidR="00CB4D22" w:rsidRPr="00AC69CA" w:rsidRDefault="00CB4D22" w:rsidP="00CB4D22">
      <w:pPr>
        <w:numPr>
          <w:ilvl w:val="0"/>
          <w:numId w:val="7"/>
        </w:numPr>
        <w:tabs>
          <w:tab w:val="clear" w:pos="1247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AC69CA">
        <w:rPr>
          <w:sz w:val="24"/>
          <w:szCs w:val="24"/>
        </w:rPr>
        <w:t>edsat leverfunktion.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4.4</w:t>
      </w:r>
      <w:r w:rsidRPr="00AC69CA">
        <w:rPr>
          <w:b/>
          <w:sz w:val="24"/>
          <w:szCs w:val="24"/>
        </w:rPr>
        <w:tab/>
        <w:t>Særlige advarsler og forsigtighedsregler vedrørende brugen</w:t>
      </w:r>
    </w:p>
    <w:p w:rsidR="00CB4D22" w:rsidRPr="00597667" w:rsidRDefault="00FD20F4" w:rsidP="00CB4D22">
      <w:pPr>
        <w:ind w:left="851" w:hanging="851"/>
        <w:rPr>
          <w:sz w:val="24"/>
          <w:szCs w:val="24"/>
          <w:u w:val="single"/>
        </w:rPr>
      </w:pPr>
      <w:r w:rsidRPr="00AC69CA">
        <w:rPr>
          <w:sz w:val="24"/>
          <w:szCs w:val="24"/>
        </w:rPr>
        <w:tab/>
      </w:r>
      <w:proofErr w:type="spellStart"/>
      <w:r w:rsidR="00CB4D22" w:rsidRPr="00597667">
        <w:rPr>
          <w:sz w:val="24"/>
          <w:szCs w:val="24"/>
          <w:u w:val="single"/>
        </w:rPr>
        <w:t>Somnolens</w:t>
      </w:r>
      <w:proofErr w:type="spellEnd"/>
      <w:r w:rsidR="00CB4D22" w:rsidRPr="00597667">
        <w:rPr>
          <w:sz w:val="24"/>
          <w:szCs w:val="24"/>
          <w:u w:val="single"/>
        </w:rPr>
        <w:t xml:space="preserve"> og episoder med pludseligt opstået søvn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er sat i forbindelse med </w:t>
      </w:r>
      <w:proofErr w:type="spellStart"/>
      <w:r w:rsidRPr="00264AA9">
        <w:rPr>
          <w:sz w:val="24"/>
          <w:szCs w:val="24"/>
        </w:rPr>
        <w:t>somnolens</w:t>
      </w:r>
      <w:proofErr w:type="spellEnd"/>
      <w:r w:rsidRPr="00264AA9">
        <w:rPr>
          <w:sz w:val="24"/>
          <w:szCs w:val="24"/>
        </w:rPr>
        <w:t xml:space="preserve"> og episoder, hvor patienten pludselig falder i søvn, især hos patienter med Parkinsons sygdom. I visse tilfælde er der rapporteret om patienter, der pludseligt falder i søvn under daglige gøremål og i nogle tilfælde ubevidst og uden forudgående advarselssignaler</w:t>
      </w:r>
      <w:r>
        <w:rPr>
          <w:sz w:val="24"/>
          <w:szCs w:val="24"/>
        </w:rPr>
        <w:t xml:space="preserve"> (se pkt. 4.8)</w:t>
      </w:r>
      <w:r w:rsidRPr="00264AA9">
        <w:rPr>
          <w:sz w:val="24"/>
          <w:szCs w:val="24"/>
        </w:rPr>
        <w:t xml:space="preserve">. Patienterne skal informeres om dette, og de bør rådes til at være forsigtige, hvis de fører motorkøretøj eller betjener maskiner under behandling med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. Patienter, der har oplevet </w:t>
      </w:r>
      <w:proofErr w:type="spellStart"/>
      <w:r w:rsidRPr="00264AA9">
        <w:rPr>
          <w:sz w:val="24"/>
          <w:szCs w:val="24"/>
        </w:rPr>
        <w:t>somnolens</w:t>
      </w:r>
      <w:proofErr w:type="spellEnd"/>
      <w:r w:rsidRPr="00264AA9">
        <w:rPr>
          <w:sz w:val="24"/>
          <w:szCs w:val="24"/>
        </w:rPr>
        <w:t xml:space="preserve"> og/eller episoder, hvor de pludseligt falder i søvn, skal undlade at føre motorkøretøj eller betjene maskiner. </w:t>
      </w:r>
      <w:r>
        <w:rPr>
          <w:sz w:val="24"/>
          <w:szCs w:val="24"/>
        </w:rPr>
        <w:t>En r</w:t>
      </w:r>
      <w:r w:rsidRPr="00264AA9">
        <w:rPr>
          <w:sz w:val="24"/>
          <w:szCs w:val="24"/>
        </w:rPr>
        <w:t xml:space="preserve">eduktion af dosis eller </w:t>
      </w:r>
      <w:proofErr w:type="spellStart"/>
      <w:r w:rsidRPr="00264AA9">
        <w:rPr>
          <w:sz w:val="24"/>
          <w:szCs w:val="24"/>
        </w:rPr>
        <w:t>seponering</w:t>
      </w:r>
      <w:proofErr w:type="spellEnd"/>
      <w:r w:rsidRPr="00264AA9">
        <w:rPr>
          <w:sz w:val="24"/>
          <w:szCs w:val="24"/>
        </w:rPr>
        <w:t xml:space="preserve"> af behandlingen bør overvejes.</w:t>
      </w:r>
    </w:p>
    <w:p w:rsidR="00CB4D22" w:rsidRDefault="00CB4D22" w:rsidP="00CB4D22">
      <w:pPr>
        <w:ind w:left="851" w:hanging="851"/>
        <w:rPr>
          <w:sz w:val="24"/>
          <w:szCs w:val="24"/>
        </w:rPr>
      </w:pPr>
    </w:p>
    <w:p w:rsidR="00CB4D22" w:rsidRPr="00597667" w:rsidRDefault="00CB4D22" w:rsidP="00CB4D22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597667">
        <w:rPr>
          <w:sz w:val="24"/>
          <w:szCs w:val="24"/>
          <w:u w:val="single"/>
        </w:rPr>
        <w:t>Psykiske eller psykotiske lidelser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Patienter, der har eller har haft alvorlige </w:t>
      </w:r>
      <w:r>
        <w:rPr>
          <w:sz w:val="24"/>
          <w:szCs w:val="24"/>
        </w:rPr>
        <w:t xml:space="preserve">psykiske eller </w:t>
      </w:r>
      <w:r w:rsidRPr="00264AA9">
        <w:rPr>
          <w:sz w:val="24"/>
          <w:szCs w:val="24"/>
        </w:rPr>
        <w:t>psykotiske lidelser, bør ikke behandles med dopaminagonister, medmindre de potentielle fordele opvejer risici.</w:t>
      </w:r>
    </w:p>
    <w:p w:rsidR="00FD20F4" w:rsidRPr="00264AA9" w:rsidRDefault="00FD20F4" w:rsidP="00CB4D22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  <w:u w:val="single"/>
        </w:rPr>
      </w:pPr>
      <w:r w:rsidRPr="00264AA9">
        <w:rPr>
          <w:sz w:val="24"/>
          <w:szCs w:val="24"/>
          <w:u w:val="single"/>
        </w:rPr>
        <w:t>Impulskontrolforstyrrelser</w:t>
      </w:r>
    </w:p>
    <w:p w:rsidR="00FD20F4" w:rsidRPr="00264AA9" w:rsidRDefault="00FD20F4" w:rsidP="00FD20F4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Patienter skal kontrolleres regelmæssigt for udvikling af impulskontrolforstyrrelser. Patienter og omsorgspersoner skal være klar over, at der kan forekomme adfærdssymptomer af impulskontrolforstyrrelser, herunder sygelig spilletrang, øget libido og </w:t>
      </w:r>
      <w:proofErr w:type="spellStart"/>
      <w:r w:rsidRPr="00264AA9">
        <w:rPr>
          <w:sz w:val="24"/>
          <w:szCs w:val="24"/>
        </w:rPr>
        <w:t>hyperseksualitet</w:t>
      </w:r>
      <w:proofErr w:type="spellEnd"/>
      <w:r w:rsidRPr="00264AA9">
        <w:rPr>
          <w:sz w:val="24"/>
          <w:szCs w:val="24"/>
        </w:rPr>
        <w:t xml:space="preserve">, tvangsforbrug eller sygelig købelyst, udtalt overspisning og tvangsspisning hos patienter, der behandles med dopaminagonister inklusive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. Dosisreduktion/gradvis </w:t>
      </w:r>
      <w:proofErr w:type="spellStart"/>
      <w:r w:rsidRPr="00264AA9">
        <w:rPr>
          <w:sz w:val="24"/>
          <w:szCs w:val="24"/>
        </w:rPr>
        <w:t>seponering</w:t>
      </w:r>
      <w:proofErr w:type="spellEnd"/>
      <w:r w:rsidRPr="00264AA9">
        <w:rPr>
          <w:sz w:val="24"/>
          <w:szCs w:val="24"/>
        </w:rPr>
        <w:t xml:space="preserve"> skal overvejes, hvis sådanne symptomer udvikles.</w:t>
      </w:r>
    </w:p>
    <w:p w:rsidR="00FD20F4" w:rsidRDefault="00FD20F4" w:rsidP="00FD20F4">
      <w:pPr>
        <w:ind w:left="851"/>
        <w:rPr>
          <w:sz w:val="24"/>
          <w:szCs w:val="24"/>
        </w:rPr>
      </w:pPr>
    </w:p>
    <w:p w:rsidR="00CB4D22" w:rsidRPr="004F3DDB" w:rsidRDefault="00CB4D22" w:rsidP="00CB4D22">
      <w:pPr>
        <w:ind w:left="851"/>
        <w:rPr>
          <w:color w:val="333333"/>
          <w:sz w:val="24"/>
          <w:szCs w:val="24"/>
          <w:u w:val="single"/>
        </w:rPr>
      </w:pPr>
      <w:r w:rsidRPr="004F3DDB">
        <w:rPr>
          <w:color w:val="333333"/>
          <w:sz w:val="24"/>
          <w:szCs w:val="24"/>
          <w:u w:val="single"/>
        </w:rPr>
        <w:t>Mani</w:t>
      </w:r>
    </w:p>
    <w:p w:rsidR="00CB4D22" w:rsidRPr="00672F07" w:rsidRDefault="00CB4D22" w:rsidP="00CB4D22">
      <w:pPr>
        <w:ind w:left="851"/>
        <w:rPr>
          <w:color w:val="333333"/>
          <w:sz w:val="24"/>
          <w:szCs w:val="24"/>
        </w:rPr>
      </w:pPr>
      <w:r w:rsidRPr="00672F07">
        <w:rPr>
          <w:color w:val="333333"/>
          <w:sz w:val="24"/>
          <w:szCs w:val="24"/>
        </w:rPr>
        <w:t>Patienter skal kontrolleres regelmæssigt for udvikling af mani. Patienter og omsorgspersoner bør gøres opmærksom på</w:t>
      </w:r>
      <w:r>
        <w:rPr>
          <w:color w:val="333333"/>
          <w:sz w:val="24"/>
          <w:szCs w:val="24"/>
        </w:rPr>
        <w:t>,</w:t>
      </w:r>
      <w:r w:rsidRPr="00672F07">
        <w:rPr>
          <w:color w:val="333333"/>
          <w:sz w:val="24"/>
          <w:szCs w:val="24"/>
        </w:rPr>
        <w:t xml:space="preserve"> at symptomer på mani kan opstå med eller uden impulskontrolforstyrrelser hos patienter, der behandles med </w:t>
      </w:r>
      <w:proofErr w:type="spellStart"/>
      <w:r>
        <w:rPr>
          <w:color w:val="333333"/>
          <w:sz w:val="24"/>
          <w:szCs w:val="24"/>
        </w:rPr>
        <w:t>R</w:t>
      </w:r>
      <w:r w:rsidRPr="00672F07">
        <w:rPr>
          <w:color w:val="333333"/>
          <w:sz w:val="24"/>
          <w:szCs w:val="24"/>
        </w:rPr>
        <w:t>opinirol</w:t>
      </w:r>
      <w:proofErr w:type="spellEnd"/>
      <w:r w:rsidRPr="00672F07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O</w:t>
      </w:r>
      <w:r w:rsidRPr="00672F07">
        <w:rPr>
          <w:color w:val="333333"/>
          <w:sz w:val="24"/>
          <w:szCs w:val="24"/>
        </w:rPr>
        <w:t xml:space="preserve">rion tabletter. Dosisreduktion/gradvis </w:t>
      </w:r>
      <w:proofErr w:type="spellStart"/>
      <w:r w:rsidRPr="00672F07">
        <w:rPr>
          <w:color w:val="333333"/>
          <w:sz w:val="24"/>
          <w:szCs w:val="24"/>
        </w:rPr>
        <w:t>seponering</w:t>
      </w:r>
      <w:proofErr w:type="spellEnd"/>
      <w:r w:rsidRPr="00672F07">
        <w:rPr>
          <w:color w:val="333333"/>
          <w:sz w:val="24"/>
          <w:szCs w:val="24"/>
        </w:rPr>
        <w:t xml:space="preserve"> bør overvejes, hvis der udvikles sådanne symptomer.</w:t>
      </w:r>
    </w:p>
    <w:p w:rsidR="00CB4D22" w:rsidRDefault="00CB4D22" w:rsidP="00CB4D22">
      <w:pPr>
        <w:keepNext/>
        <w:ind w:left="851"/>
        <w:rPr>
          <w:color w:val="333333"/>
          <w:sz w:val="24"/>
          <w:szCs w:val="24"/>
          <w:u w:val="single"/>
        </w:rPr>
      </w:pPr>
    </w:p>
    <w:p w:rsidR="00A56DC9" w:rsidRPr="00264AA9" w:rsidRDefault="00A56DC9" w:rsidP="00CB4D22">
      <w:pPr>
        <w:keepNext/>
        <w:ind w:left="851"/>
        <w:rPr>
          <w:color w:val="333333"/>
          <w:sz w:val="24"/>
          <w:szCs w:val="24"/>
          <w:u w:val="single"/>
        </w:rPr>
      </w:pPr>
      <w:r w:rsidRPr="00264AA9">
        <w:rPr>
          <w:color w:val="333333"/>
          <w:sz w:val="24"/>
          <w:szCs w:val="24"/>
          <w:u w:val="single"/>
        </w:rPr>
        <w:t xml:space="preserve">Malignt </w:t>
      </w:r>
      <w:proofErr w:type="spellStart"/>
      <w:r w:rsidRPr="00264AA9">
        <w:rPr>
          <w:color w:val="333333"/>
          <w:sz w:val="24"/>
          <w:szCs w:val="24"/>
          <w:u w:val="single"/>
        </w:rPr>
        <w:t>neuroleptikasyndrom</w:t>
      </w:r>
      <w:proofErr w:type="spellEnd"/>
    </w:p>
    <w:p w:rsidR="009F73C5" w:rsidRDefault="009F73C5" w:rsidP="009F73C5">
      <w:pPr>
        <w:ind w:left="85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Symptomer, der ligner malignt </w:t>
      </w:r>
      <w:proofErr w:type="spellStart"/>
      <w:r>
        <w:rPr>
          <w:color w:val="333333"/>
          <w:sz w:val="24"/>
          <w:szCs w:val="24"/>
        </w:rPr>
        <w:t>neuroleptikasyndrom</w:t>
      </w:r>
      <w:proofErr w:type="spellEnd"/>
      <w:r>
        <w:rPr>
          <w:color w:val="333333"/>
          <w:sz w:val="24"/>
          <w:szCs w:val="24"/>
        </w:rPr>
        <w:t>, har været set i forbindelse med pludseligt ophør med dopaminbehandling. Det anbefales derfor at nedtrappe behandlingen (se pkt. 4.2).</w:t>
      </w:r>
    </w:p>
    <w:p w:rsidR="00A56DC9" w:rsidRDefault="00A56DC9" w:rsidP="00A56DC9">
      <w:pPr>
        <w:ind w:left="851"/>
        <w:rPr>
          <w:color w:val="333333"/>
          <w:sz w:val="24"/>
          <w:szCs w:val="24"/>
        </w:rPr>
      </w:pPr>
    </w:p>
    <w:p w:rsidR="00A56DC9" w:rsidRDefault="00A56DC9" w:rsidP="00A56DC9">
      <w:pPr>
        <w:ind w:left="851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Dopaminagonist-abstinenssyndrom (DAWS)</w:t>
      </w:r>
    </w:p>
    <w:p w:rsidR="00FD20F4" w:rsidRDefault="00A56DC9" w:rsidP="00A56DC9">
      <w:pPr>
        <w:ind w:left="851"/>
        <w:rPr>
          <w:color w:val="333333"/>
          <w:sz w:val="24"/>
          <w:szCs w:val="24"/>
        </w:rPr>
      </w:pPr>
      <w:r w:rsidRPr="00DA33B8">
        <w:rPr>
          <w:color w:val="333333"/>
          <w:sz w:val="24"/>
          <w:szCs w:val="24"/>
        </w:rPr>
        <w:t xml:space="preserve">Der er blevet rapporteret DAWS med dopaminagonister, herunder </w:t>
      </w:r>
      <w:proofErr w:type="spellStart"/>
      <w:r w:rsidRPr="00DA33B8">
        <w:rPr>
          <w:color w:val="333333"/>
          <w:sz w:val="24"/>
          <w:szCs w:val="24"/>
        </w:rPr>
        <w:t>ropinirol</w:t>
      </w:r>
      <w:proofErr w:type="spellEnd"/>
      <w:r w:rsidRPr="00DA33B8">
        <w:rPr>
          <w:color w:val="333333"/>
          <w:sz w:val="24"/>
          <w:szCs w:val="24"/>
        </w:rPr>
        <w:t xml:space="preserve"> (se pkt.</w:t>
      </w:r>
      <w:r>
        <w:rPr>
          <w:color w:val="333333"/>
          <w:sz w:val="24"/>
          <w:szCs w:val="24"/>
        </w:rPr>
        <w:t> </w:t>
      </w:r>
      <w:r w:rsidRPr="00DA33B8">
        <w:rPr>
          <w:color w:val="333333"/>
          <w:sz w:val="24"/>
          <w:szCs w:val="24"/>
        </w:rPr>
        <w:t xml:space="preserve">4.8). For at seponere behandlingen hos patienter med Parkinsons sygdom, skal </w:t>
      </w:r>
      <w:proofErr w:type="spellStart"/>
      <w:r w:rsidRPr="00DA33B8">
        <w:rPr>
          <w:color w:val="333333"/>
          <w:sz w:val="24"/>
          <w:szCs w:val="24"/>
        </w:rPr>
        <w:t>ropinirol</w:t>
      </w:r>
      <w:proofErr w:type="spellEnd"/>
      <w:r w:rsidRPr="00DA33B8">
        <w:rPr>
          <w:color w:val="333333"/>
          <w:sz w:val="24"/>
          <w:szCs w:val="24"/>
        </w:rPr>
        <w:t xml:space="preserve"> nedtrappes (se pkt.</w:t>
      </w:r>
      <w:r>
        <w:rPr>
          <w:color w:val="333333"/>
          <w:sz w:val="24"/>
          <w:szCs w:val="24"/>
        </w:rPr>
        <w:t> </w:t>
      </w:r>
      <w:r w:rsidRPr="00DA33B8">
        <w:rPr>
          <w:color w:val="333333"/>
          <w:sz w:val="24"/>
          <w:szCs w:val="24"/>
        </w:rPr>
        <w:t xml:space="preserve">4.2). Begrænsede data tyder på, at patienter med impulskontrolforstyrrelser og dem, der får en høj daglig dosis og/eller høje kumulative doser af dopaminagonister, kan have en højere risiko for at udvikle DAWS. Abstinenssymptomer kan omfatte apati, angst, depression, træthed, svedtendens og smerter og responderer ikke på </w:t>
      </w:r>
      <w:proofErr w:type="spellStart"/>
      <w:r w:rsidRPr="00DA33B8">
        <w:rPr>
          <w:color w:val="333333"/>
          <w:sz w:val="24"/>
          <w:szCs w:val="24"/>
        </w:rPr>
        <w:t>levodopa</w:t>
      </w:r>
      <w:proofErr w:type="spellEnd"/>
      <w:r w:rsidRPr="00DA33B8">
        <w:rPr>
          <w:color w:val="333333"/>
          <w:sz w:val="24"/>
          <w:szCs w:val="24"/>
        </w:rPr>
        <w:t xml:space="preserve">. Før nedtrapning og </w:t>
      </w:r>
      <w:proofErr w:type="spellStart"/>
      <w:r w:rsidRPr="00DA33B8">
        <w:rPr>
          <w:color w:val="333333"/>
          <w:sz w:val="24"/>
          <w:szCs w:val="24"/>
        </w:rPr>
        <w:t>seponering</w:t>
      </w:r>
      <w:proofErr w:type="spellEnd"/>
      <w:r w:rsidRPr="00DA33B8">
        <w:rPr>
          <w:color w:val="333333"/>
          <w:sz w:val="24"/>
          <w:szCs w:val="24"/>
        </w:rPr>
        <w:t xml:space="preserve"> af </w:t>
      </w:r>
      <w:proofErr w:type="spellStart"/>
      <w:r w:rsidRPr="00DA33B8">
        <w:rPr>
          <w:color w:val="333333"/>
          <w:sz w:val="24"/>
          <w:szCs w:val="24"/>
        </w:rPr>
        <w:t>ropinirol</w:t>
      </w:r>
      <w:proofErr w:type="spellEnd"/>
      <w:r w:rsidRPr="00DA33B8">
        <w:rPr>
          <w:color w:val="333333"/>
          <w:sz w:val="24"/>
          <w:szCs w:val="24"/>
        </w:rPr>
        <w:t xml:space="preserve"> skal patienterne informeres om potentielle abstinenssymptomer. Patienterne skal overvåges nøje under nedtrapning og </w:t>
      </w:r>
      <w:proofErr w:type="spellStart"/>
      <w:r w:rsidRPr="00DA33B8">
        <w:rPr>
          <w:color w:val="333333"/>
          <w:sz w:val="24"/>
          <w:szCs w:val="24"/>
        </w:rPr>
        <w:t>seponering</w:t>
      </w:r>
      <w:proofErr w:type="spellEnd"/>
      <w:r w:rsidRPr="00DA33B8">
        <w:rPr>
          <w:color w:val="333333"/>
          <w:sz w:val="24"/>
          <w:szCs w:val="24"/>
        </w:rPr>
        <w:t xml:space="preserve">. I tilfælde af svære og/eller vedvarende abstinenssymptomer kan midlertidig genadministration af </w:t>
      </w:r>
      <w:proofErr w:type="spellStart"/>
      <w:r w:rsidRPr="00DA33B8">
        <w:rPr>
          <w:color w:val="333333"/>
          <w:sz w:val="24"/>
          <w:szCs w:val="24"/>
        </w:rPr>
        <w:t>ropinirol</w:t>
      </w:r>
      <w:proofErr w:type="spellEnd"/>
      <w:r w:rsidRPr="00DA33B8">
        <w:rPr>
          <w:color w:val="333333"/>
          <w:sz w:val="24"/>
          <w:szCs w:val="24"/>
        </w:rPr>
        <w:t xml:space="preserve"> med den laveste effektive dosis overvejes.</w:t>
      </w:r>
    </w:p>
    <w:p w:rsidR="00FD20F4" w:rsidRDefault="00FD20F4" w:rsidP="00FD20F4">
      <w:pPr>
        <w:ind w:left="851"/>
        <w:rPr>
          <w:color w:val="333333"/>
          <w:sz w:val="24"/>
          <w:szCs w:val="24"/>
        </w:rPr>
      </w:pPr>
    </w:p>
    <w:p w:rsidR="00CB4D22" w:rsidRDefault="00CB4D22" w:rsidP="00CB4D22">
      <w:pPr>
        <w:ind w:left="851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Hallucinationer</w:t>
      </w:r>
    </w:p>
    <w:p w:rsidR="00CB4D22" w:rsidRDefault="00CB4D22" w:rsidP="00CB4D22">
      <w:pPr>
        <w:ind w:left="85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Hallucinationer er kendt som en bivirkning ved behandling med dopaminagonister og </w:t>
      </w:r>
      <w:proofErr w:type="spellStart"/>
      <w:r>
        <w:rPr>
          <w:color w:val="333333"/>
          <w:sz w:val="24"/>
          <w:szCs w:val="24"/>
        </w:rPr>
        <w:t>levodopa</w:t>
      </w:r>
      <w:proofErr w:type="spellEnd"/>
      <w:r>
        <w:rPr>
          <w:color w:val="333333"/>
          <w:sz w:val="24"/>
          <w:szCs w:val="24"/>
        </w:rPr>
        <w:t>. Patienter bør være informeret om, at hallucinationer kan forekomme.</w:t>
      </w:r>
    </w:p>
    <w:p w:rsidR="00CB4D22" w:rsidRDefault="00CB4D22" w:rsidP="00CB4D22">
      <w:pPr>
        <w:ind w:left="851"/>
        <w:rPr>
          <w:color w:val="333333"/>
          <w:sz w:val="24"/>
          <w:szCs w:val="24"/>
        </w:rPr>
      </w:pPr>
    </w:p>
    <w:p w:rsidR="00CB4D22" w:rsidRPr="000A2ACE" w:rsidRDefault="00CB4D22" w:rsidP="00CB4D22">
      <w:pPr>
        <w:ind w:left="851"/>
        <w:rPr>
          <w:color w:val="333333"/>
          <w:sz w:val="24"/>
          <w:szCs w:val="24"/>
          <w:u w:val="single"/>
        </w:rPr>
      </w:pPr>
      <w:r w:rsidRPr="000A2ACE">
        <w:rPr>
          <w:sz w:val="24"/>
          <w:szCs w:val="24"/>
          <w:u w:val="single"/>
        </w:rPr>
        <w:t xml:space="preserve">Hurtig </w:t>
      </w:r>
      <w:proofErr w:type="spellStart"/>
      <w:r w:rsidRPr="000A2ACE">
        <w:rPr>
          <w:sz w:val="24"/>
          <w:szCs w:val="24"/>
          <w:u w:val="single"/>
        </w:rPr>
        <w:t>gastrointestinal</w:t>
      </w:r>
      <w:proofErr w:type="spellEnd"/>
      <w:r w:rsidRPr="000A2ACE">
        <w:rPr>
          <w:sz w:val="24"/>
          <w:szCs w:val="24"/>
          <w:u w:val="single"/>
        </w:rPr>
        <w:t xml:space="preserve"> transit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Orion tabletter er designet til at frigive lægemiddel over en 24-timers periode, Ved hurtig </w:t>
      </w:r>
      <w:proofErr w:type="spellStart"/>
      <w:r w:rsidRPr="00264AA9">
        <w:rPr>
          <w:sz w:val="24"/>
          <w:szCs w:val="24"/>
        </w:rPr>
        <w:t>gastrointestinal</w:t>
      </w:r>
      <w:proofErr w:type="spellEnd"/>
      <w:r w:rsidRPr="00264AA9">
        <w:rPr>
          <w:sz w:val="24"/>
          <w:szCs w:val="24"/>
        </w:rPr>
        <w:t xml:space="preserve"> transit kan der være risiko for ufuldstændig frigivelse af lægemiddel, og rester af lægemiddel vil blive udskilt i afføringen.</w:t>
      </w:r>
    </w:p>
    <w:p w:rsidR="00CB4D22" w:rsidRPr="00264AA9" w:rsidRDefault="00CB4D22" w:rsidP="00CB4D22">
      <w:pPr>
        <w:ind w:left="851" w:hanging="851"/>
        <w:rPr>
          <w:sz w:val="24"/>
          <w:szCs w:val="24"/>
        </w:rPr>
      </w:pPr>
    </w:p>
    <w:p w:rsidR="00CB4D22" w:rsidRPr="000A2ACE" w:rsidRDefault="00CB4D22" w:rsidP="00CB4D22">
      <w:pPr>
        <w:ind w:left="851"/>
        <w:rPr>
          <w:sz w:val="24"/>
          <w:szCs w:val="24"/>
          <w:u w:val="single"/>
        </w:rPr>
      </w:pPr>
      <w:r w:rsidRPr="000A2ACE">
        <w:rPr>
          <w:sz w:val="24"/>
          <w:szCs w:val="24"/>
          <w:u w:val="single"/>
        </w:rPr>
        <w:t>Hypotension</w:t>
      </w:r>
    </w:p>
    <w:p w:rsidR="00CB4D22" w:rsidRPr="00264AA9" w:rsidRDefault="00CB4D22" w:rsidP="00CB4D22">
      <w:pPr>
        <w:ind w:left="851"/>
        <w:rPr>
          <w:sz w:val="24"/>
          <w:szCs w:val="24"/>
        </w:rPr>
      </w:pPr>
      <w:r w:rsidRPr="00264AA9">
        <w:rPr>
          <w:sz w:val="24"/>
          <w:szCs w:val="24"/>
        </w:rPr>
        <w:t xml:space="preserve">På grund af risiko for hypotension anbefales blodtryksmonitorering hos patienter med alvorlig </w:t>
      </w:r>
      <w:proofErr w:type="spellStart"/>
      <w:r w:rsidRPr="00264AA9">
        <w:rPr>
          <w:sz w:val="24"/>
          <w:szCs w:val="24"/>
        </w:rPr>
        <w:t>kardiovaskulær</w:t>
      </w:r>
      <w:proofErr w:type="spellEnd"/>
      <w:r w:rsidRPr="00264AA9">
        <w:rPr>
          <w:sz w:val="24"/>
          <w:szCs w:val="24"/>
        </w:rPr>
        <w:t xml:space="preserve"> sygdom (især </w:t>
      </w:r>
      <w:proofErr w:type="spellStart"/>
      <w:r w:rsidRPr="00264AA9">
        <w:rPr>
          <w:sz w:val="24"/>
          <w:szCs w:val="24"/>
        </w:rPr>
        <w:t>koronarinsufficiens</w:t>
      </w:r>
      <w:proofErr w:type="spellEnd"/>
      <w:r w:rsidRPr="00264AA9">
        <w:rPr>
          <w:sz w:val="24"/>
          <w:szCs w:val="24"/>
        </w:rPr>
        <w:t>), især ved behandlingsstart.</w:t>
      </w:r>
    </w:p>
    <w:p w:rsidR="00CB4D22" w:rsidRDefault="00CB4D22" w:rsidP="00CB4D22">
      <w:pPr>
        <w:ind w:left="851" w:hanging="851"/>
        <w:rPr>
          <w:sz w:val="24"/>
          <w:szCs w:val="24"/>
        </w:rPr>
      </w:pPr>
    </w:p>
    <w:p w:rsidR="00CB4D22" w:rsidRDefault="00CB4D22" w:rsidP="00CB4D22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Hjælpestoffer </w:t>
      </w:r>
    </w:p>
    <w:p w:rsidR="009F73C5" w:rsidRDefault="009F73C5" w:rsidP="009F73C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Orion 2 mg depottabletter indeholder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. Patienter med sjældne arvelige problemer med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galactosemalabsorption</w:t>
      </w:r>
      <w:proofErr w:type="spellEnd"/>
      <w:r>
        <w:rPr>
          <w:sz w:val="24"/>
          <w:szCs w:val="24"/>
        </w:rPr>
        <w:t xml:space="preserve"> bør ikke tage dette lægemiddel.</w:t>
      </w:r>
    </w:p>
    <w:p w:rsidR="00CB4D22" w:rsidRPr="00072992" w:rsidRDefault="00CB4D22" w:rsidP="00CB4D22">
      <w:pPr>
        <w:ind w:left="851"/>
        <w:rPr>
          <w:sz w:val="24"/>
          <w:szCs w:val="24"/>
        </w:rPr>
      </w:pPr>
    </w:p>
    <w:p w:rsidR="00CB4D22" w:rsidRPr="00072992" w:rsidRDefault="00CB4D22" w:rsidP="00CB4D22">
      <w:pPr>
        <w:ind w:left="851"/>
        <w:rPr>
          <w:sz w:val="24"/>
          <w:szCs w:val="24"/>
        </w:rPr>
      </w:pPr>
      <w:proofErr w:type="spellStart"/>
      <w:r w:rsidRPr="00072992">
        <w:rPr>
          <w:sz w:val="24"/>
          <w:szCs w:val="24"/>
        </w:rPr>
        <w:t>Ropinirol</w:t>
      </w:r>
      <w:proofErr w:type="spellEnd"/>
      <w:r w:rsidRPr="00072992">
        <w:rPr>
          <w:sz w:val="24"/>
          <w:szCs w:val="24"/>
        </w:rPr>
        <w:t xml:space="preserve"> Orion 4 mg depottabletter indeholder </w:t>
      </w:r>
      <w:proofErr w:type="spellStart"/>
      <w:r w:rsidRPr="00072992">
        <w:rPr>
          <w:sz w:val="24"/>
          <w:szCs w:val="24"/>
        </w:rPr>
        <w:t>azofarvestoffet</w:t>
      </w:r>
      <w:proofErr w:type="spellEnd"/>
      <w:r w:rsidRPr="00072992">
        <w:rPr>
          <w:sz w:val="24"/>
          <w:szCs w:val="24"/>
        </w:rPr>
        <w:t xml:space="preserve"> </w:t>
      </w:r>
      <w:proofErr w:type="spellStart"/>
      <w:r w:rsidRPr="00072992">
        <w:rPr>
          <w:sz w:val="24"/>
          <w:szCs w:val="24"/>
        </w:rPr>
        <w:t>sunset</w:t>
      </w:r>
      <w:proofErr w:type="spellEnd"/>
      <w:r w:rsidRPr="00072992">
        <w:rPr>
          <w:sz w:val="24"/>
          <w:szCs w:val="24"/>
        </w:rPr>
        <w:t xml:space="preserve"> </w:t>
      </w:r>
      <w:proofErr w:type="spellStart"/>
      <w:r w:rsidRPr="00072992">
        <w:rPr>
          <w:sz w:val="24"/>
          <w:szCs w:val="24"/>
        </w:rPr>
        <w:t>yellow</w:t>
      </w:r>
      <w:proofErr w:type="spellEnd"/>
      <w:r w:rsidRPr="00072992">
        <w:rPr>
          <w:sz w:val="24"/>
          <w:szCs w:val="24"/>
        </w:rPr>
        <w:t xml:space="preserve"> FCF (E110), som kan medføre allergiske reaktioner.</w:t>
      </w:r>
    </w:p>
    <w:p w:rsidR="00CB4D22" w:rsidRPr="00072992" w:rsidRDefault="00CB4D22" w:rsidP="00CB4D22">
      <w:pPr>
        <w:ind w:left="851"/>
        <w:rPr>
          <w:sz w:val="24"/>
          <w:szCs w:val="24"/>
        </w:rPr>
      </w:pPr>
    </w:p>
    <w:p w:rsidR="00CB4D22" w:rsidRDefault="00CB4D22" w:rsidP="00CB4D22">
      <w:pPr>
        <w:ind w:left="851"/>
        <w:rPr>
          <w:sz w:val="24"/>
          <w:szCs w:val="24"/>
        </w:rPr>
      </w:pPr>
      <w:proofErr w:type="spellStart"/>
      <w:r w:rsidRPr="00072992">
        <w:rPr>
          <w:sz w:val="24"/>
          <w:szCs w:val="24"/>
        </w:rPr>
        <w:t>Ropinirol</w:t>
      </w:r>
      <w:proofErr w:type="spellEnd"/>
      <w:r w:rsidRPr="00072992">
        <w:rPr>
          <w:sz w:val="24"/>
          <w:szCs w:val="24"/>
        </w:rPr>
        <w:t xml:space="preserve"> Orion 2 mg, 4 mg og 8 mg depottabletter indeholder mindre end 1 mmol (23 mg) natrium pr. tablet, dvs. det er i det væsentlige natriumfrit.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 w:hanging="851"/>
        <w:rPr>
          <w:b/>
          <w:sz w:val="24"/>
          <w:szCs w:val="24"/>
        </w:rPr>
      </w:pPr>
      <w:r w:rsidRPr="00264AA9">
        <w:rPr>
          <w:b/>
          <w:sz w:val="24"/>
          <w:szCs w:val="24"/>
        </w:rPr>
        <w:t>4.5</w:t>
      </w:r>
      <w:r w:rsidRPr="00264AA9">
        <w:rPr>
          <w:b/>
          <w:sz w:val="24"/>
          <w:szCs w:val="24"/>
        </w:rPr>
        <w:tab/>
        <w:t>Interaktion med andre lægemidler og andre former for interaktion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  <w:r w:rsidRPr="00264AA9">
        <w:rPr>
          <w:sz w:val="24"/>
          <w:szCs w:val="24"/>
        </w:rPr>
        <w:tab/>
        <w:t xml:space="preserve">Der er ingen </w:t>
      </w:r>
      <w:proofErr w:type="spellStart"/>
      <w:r w:rsidRPr="00264AA9">
        <w:rPr>
          <w:sz w:val="24"/>
          <w:szCs w:val="24"/>
        </w:rPr>
        <w:t>farmakokinetisk</w:t>
      </w:r>
      <w:proofErr w:type="spellEnd"/>
      <w:r w:rsidRPr="00264AA9">
        <w:rPr>
          <w:sz w:val="24"/>
          <w:szCs w:val="24"/>
        </w:rPr>
        <w:t xml:space="preserve"> interaktion mellem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 xml:space="preserve"> og </w:t>
      </w:r>
      <w:proofErr w:type="spellStart"/>
      <w:r w:rsidRPr="00264AA9">
        <w:rPr>
          <w:sz w:val="24"/>
          <w:szCs w:val="24"/>
        </w:rPr>
        <w:t>levodopa</w:t>
      </w:r>
      <w:proofErr w:type="spellEnd"/>
      <w:r w:rsidRPr="00264AA9">
        <w:rPr>
          <w:sz w:val="24"/>
          <w:szCs w:val="24"/>
        </w:rPr>
        <w:t xml:space="preserve"> eller </w:t>
      </w:r>
      <w:proofErr w:type="spellStart"/>
      <w:r w:rsidRPr="00264AA9">
        <w:rPr>
          <w:sz w:val="24"/>
          <w:szCs w:val="24"/>
        </w:rPr>
        <w:t>domperidon</w:t>
      </w:r>
      <w:proofErr w:type="spellEnd"/>
      <w:r w:rsidRPr="00264AA9">
        <w:rPr>
          <w:sz w:val="24"/>
          <w:szCs w:val="24"/>
        </w:rPr>
        <w:t>, som vil nødvendiggøre dosisjustering af disse lægemidler.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FD20F4" w:rsidRPr="00264AA9" w:rsidRDefault="00FD20F4" w:rsidP="00FD20F4">
      <w:pPr>
        <w:ind w:left="851"/>
        <w:rPr>
          <w:sz w:val="24"/>
          <w:szCs w:val="24"/>
        </w:rPr>
      </w:pPr>
      <w:proofErr w:type="spellStart"/>
      <w:r w:rsidRPr="00264AA9">
        <w:rPr>
          <w:sz w:val="24"/>
          <w:szCs w:val="24"/>
        </w:rPr>
        <w:t>Neuroleptika</w:t>
      </w:r>
      <w:proofErr w:type="spellEnd"/>
      <w:r w:rsidRPr="00264AA9">
        <w:rPr>
          <w:sz w:val="24"/>
          <w:szCs w:val="24"/>
        </w:rPr>
        <w:t xml:space="preserve"> og andre centralt aktive dopaminantagonister, såsom </w:t>
      </w:r>
      <w:proofErr w:type="spellStart"/>
      <w:r w:rsidRPr="00264AA9">
        <w:rPr>
          <w:sz w:val="24"/>
          <w:szCs w:val="24"/>
        </w:rPr>
        <w:t>sulpirid</w:t>
      </w:r>
      <w:proofErr w:type="spellEnd"/>
      <w:r w:rsidRPr="00264AA9">
        <w:rPr>
          <w:sz w:val="24"/>
          <w:szCs w:val="24"/>
        </w:rPr>
        <w:t xml:space="preserve"> eller </w:t>
      </w:r>
      <w:proofErr w:type="spellStart"/>
      <w:r w:rsidRPr="00264AA9">
        <w:rPr>
          <w:sz w:val="24"/>
          <w:szCs w:val="24"/>
        </w:rPr>
        <w:t>metoclopramid</w:t>
      </w:r>
      <w:proofErr w:type="spellEnd"/>
      <w:r w:rsidRPr="00264AA9">
        <w:rPr>
          <w:sz w:val="24"/>
          <w:szCs w:val="24"/>
        </w:rPr>
        <w:t xml:space="preserve">, kan mindske virkningen af </w:t>
      </w:r>
      <w:proofErr w:type="spellStart"/>
      <w:r w:rsidRPr="00264AA9">
        <w:rPr>
          <w:sz w:val="24"/>
          <w:szCs w:val="24"/>
        </w:rPr>
        <w:t>ropinirol</w:t>
      </w:r>
      <w:proofErr w:type="spellEnd"/>
      <w:r w:rsidRPr="00264AA9">
        <w:rPr>
          <w:sz w:val="24"/>
          <w:szCs w:val="24"/>
        </w:rPr>
        <w:t>, og samtidig anvendelse af disse lægemidler bør derfor undgås.</w:t>
      </w:r>
    </w:p>
    <w:p w:rsidR="00FD20F4" w:rsidRPr="00264AA9" w:rsidRDefault="00FD20F4" w:rsidP="00FD20F4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Forøgede plasmakoncentrationer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er blevet observeret hos patienter behandlet med høje østrogendoser. Hos patienter, som allerede modtager hormonerstatnings</w:t>
      </w:r>
      <w:r>
        <w:rPr>
          <w:sz w:val="24"/>
          <w:szCs w:val="24"/>
        </w:rPr>
        <w:softHyphen/>
        <w:t xml:space="preserve">behandling (HRT), kan </w:t>
      </w:r>
      <w:proofErr w:type="spellStart"/>
      <w:r>
        <w:rPr>
          <w:sz w:val="24"/>
          <w:szCs w:val="24"/>
        </w:rPr>
        <w:t>ropinirolbehandling</w:t>
      </w:r>
      <w:proofErr w:type="spellEnd"/>
      <w:r>
        <w:rPr>
          <w:sz w:val="24"/>
          <w:szCs w:val="24"/>
        </w:rPr>
        <w:t xml:space="preserve"> initieres på normal vis. Imidlertid kan det blive nødvendigt at justere </w:t>
      </w:r>
      <w:proofErr w:type="spellStart"/>
      <w:r>
        <w:rPr>
          <w:sz w:val="24"/>
          <w:szCs w:val="24"/>
        </w:rPr>
        <w:t>ropiniroldosis</w:t>
      </w:r>
      <w:proofErr w:type="spellEnd"/>
      <w:r>
        <w:rPr>
          <w:sz w:val="24"/>
          <w:szCs w:val="24"/>
        </w:rPr>
        <w:t xml:space="preserve"> i overensstemmelse med klinisk respons, såfremt HRT ophører eller introduceres under behandling med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>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hovedsageligt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P450-isoenzymet CYP1A2. Et </w:t>
      </w:r>
      <w:proofErr w:type="spellStart"/>
      <w:r>
        <w:rPr>
          <w:sz w:val="24"/>
          <w:szCs w:val="24"/>
        </w:rPr>
        <w:t>farmakokinetisk</w:t>
      </w:r>
      <w:proofErr w:type="spellEnd"/>
      <w:r>
        <w:rPr>
          <w:sz w:val="24"/>
          <w:szCs w:val="24"/>
        </w:rPr>
        <w:t xml:space="preserve"> studie (med en filmovertrukket (med umiddelbar udløsning)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-tablet med en dosis på 2 mg 3 gange dagligt) hos Parkinson-patienter viste, at </w:t>
      </w:r>
      <w:proofErr w:type="spellStart"/>
      <w:r>
        <w:rPr>
          <w:sz w:val="24"/>
          <w:szCs w:val="24"/>
        </w:rPr>
        <w:t>ciprofloxacin</w:t>
      </w:r>
      <w:proofErr w:type="spellEnd"/>
      <w:r>
        <w:rPr>
          <w:sz w:val="24"/>
          <w:szCs w:val="24"/>
        </w:rPr>
        <w:t xml:space="preserve"> øgede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og AUC for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med henholdsvis 60 % og 84 % med en potentiel risiko for bivirkninger. Det kan derfor være nødvendigt hos patienter, der allerede modtager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, at justere </w:t>
      </w:r>
      <w:proofErr w:type="spellStart"/>
      <w:r>
        <w:rPr>
          <w:sz w:val="24"/>
          <w:szCs w:val="24"/>
        </w:rPr>
        <w:t>ropiniroldosis</w:t>
      </w:r>
      <w:proofErr w:type="spellEnd"/>
      <w:r>
        <w:rPr>
          <w:sz w:val="24"/>
          <w:szCs w:val="24"/>
        </w:rPr>
        <w:t xml:space="preserve">, når lægemidler, der vides at hæmme CYP1A2, f.eks. </w:t>
      </w:r>
      <w:proofErr w:type="spellStart"/>
      <w:r>
        <w:rPr>
          <w:sz w:val="24"/>
          <w:szCs w:val="24"/>
        </w:rPr>
        <w:t>ciprofloxacin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enoxacin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fluvoxamin</w:t>
      </w:r>
      <w:proofErr w:type="spellEnd"/>
      <w:r>
        <w:rPr>
          <w:sz w:val="24"/>
          <w:szCs w:val="24"/>
        </w:rPr>
        <w:t>, introduceres eller seponeres.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proofErr w:type="spellStart"/>
      <w:r>
        <w:rPr>
          <w:sz w:val="24"/>
          <w:szCs w:val="24"/>
        </w:rPr>
        <w:t>farmakokinetisk</w:t>
      </w:r>
      <w:proofErr w:type="spellEnd"/>
      <w:r>
        <w:rPr>
          <w:sz w:val="24"/>
          <w:szCs w:val="24"/>
        </w:rPr>
        <w:t xml:space="preserve"> interaktionsstudie med patienter med Parkinsons sygdom mellem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(med filmovertrukne tabletter (umiddelbar udløsning) med en dosis på 2 mg 3 gange dagligt) og </w:t>
      </w:r>
      <w:proofErr w:type="spellStart"/>
      <w:r>
        <w:rPr>
          <w:sz w:val="24"/>
          <w:szCs w:val="24"/>
        </w:rPr>
        <w:t>theophyllin</w:t>
      </w:r>
      <w:proofErr w:type="spellEnd"/>
      <w:r>
        <w:rPr>
          <w:sz w:val="24"/>
          <w:szCs w:val="24"/>
        </w:rPr>
        <w:t xml:space="preserve">, et CYP1A2-substrat, viste ingen ændringer i farmakokinetikken af hverken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theophyllin</w:t>
      </w:r>
      <w:proofErr w:type="spellEnd"/>
      <w:r>
        <w:rPr>
          <w:sz w:val="24"/>
          <w:szCs w:val="24"/>
        </w:rPr>
        <w:t xml:space="preserve">. 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kendt at rygning inducerer CYP1A2-metabolismen, derfor kan en dosisjustering være nødvendig, når patienter stopper eller starter rygning under en behandling med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>.</w:t>
      </w:r>
    </w:p>
    <w:p w:rsidR="009F73C5" w:rsidRDefault="009F73C5" w:rsidP="009F73C5">
      <w:pPr>
        <w:ind w:left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tilfælde af ubalanceret INR hos patienter i kombinationsbehandling med vitamin K antagonister og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>. Øget klinisk og biologisk overvågning (INR) er påkrævet.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  <w:t>Fertilitet, graviditet og amning</w:t>
      </w: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Graviditet</w:t>
      </w:r>
      <w:r>
        <w:rPr>
          <w:sz w:val="24"/>
          <w:szCs w:val="24"/>
        </w:rPr>
        <w:t xml:space="preserve"> </w:t>
      </w:r>
    </w:p>
    <w:p w:rsidR="009F73C5" w:rsidRDefault="009F73C5" w:rsidP="009F73C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Der foreligger ikke tilstrækkelige data om brugen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hos gravide kvinder. Koncentrationerne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kan stige gradvist under graviditeten (se pkt. 5.2).</w:t>
      </w:r>
    </w:p>
    <w:p w:rsidR="009F73C5" w:rsidRDefault="009F73C5" w:rsidP="009F73C5">
      <w:pPr>
        <w:ind w:left="851" w:hanging="851"/>
        <w:rPr>
          <w:sz w:val="24"/>
          <w:szCs w:val="24"/>
          <w:u w:val="single"/>
        </w:rPr>
      </w:pP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Dyrestudier har påvist reproduktionstoksicitet (se pkt. 5.3). Da den potentielle risiko for mennesker er ukendt, frarådes det at anvende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til gravide kvinder, medmindre den potentielle fordel for moderen overstiger den potentielle risiko for fosteret.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Amning</w:t>
      </w:r>
      <w:r>
        <w:rPr>
          <w:sz w:val="24"/>
          <w:szCs w:val="24"/>
        </w:rPr>
        <w:t xml:space="preserve"> 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påvist overførsel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-relateret materiale i mælken hos </w:t>
      </w:r>
      <w:proofErr w:type="spellStart"/>
      <w:r>
        <w:rPr>
          <w:sz w:val="24"/>
          <w:szCs w:val="24"/>
        </w:rPr>
        <w:t>lakterende</w:t>
      </w:r>
      <w:proofErr w:type="spellEnd"/>
      <w:r>
        <w:rPr>
          <w:sz w:val="24"/>
          <w:szCs w:val="24"/>
        </w:rPr>
        <w:t xml:space="preserve"> rotter. Det vides ikke, om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og dets metabolitter udskilles i human mælk. Risiko for det diende barn kan ikke udelukkes.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bør ikke anvendes til ammende mødre, da det kan hæmme mælkeproduktionen.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data tilgængelig for effekten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på human fertilitet. I fertilitetsstudier udført på hunrotter blev der observeret en effekt på implantationen, men der blev ikke set nogen effekt hos hanrotter (se pkt. 5.3).</w:t>
      </w:r>
    </w:p>
    <w:p w:rsidR="00FD20F4" w:rsidRPr="00AC69CA" w:rsidRDefault="00FD20F4" w:rsidP="007377A5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4.7</w:t>
      </w:r>
      <w:r w:rsidRPr="00AC69CA">
        <w:rPr>
          <w:b/>
          <w:sz w:val="24"/>
          <w:szCs w:val="24"/>
        </w:rPr>
        <w:tab/>
        <w:t xml:space="preserve">Virkning på evnen til at føre motorkøretøj </w:t>
      </w:r>
      <w:r w:rsidR="00CB4D22">
        <w:rPr>
          <w:b/>
          <w:sz w:val="24"/>
          <w:szCs w:val="24"/>
        </w:rPr>
        <w:t>og</w:t>
      </w:r>
      <w:r w:rsidRPr="00AC69CA">
        <w:rPr>
          <w:b/>
          <w:sz w:val="24"/>
          <w:szCs w:val="24"/>
        </w:rPr>
        <w:t xml:space="preserve"> betjene maskiner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Mærkning.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lastRenderedPageBreak/>
        <w:tab/>
        <w:t xml:space="preserve">Patienter, der er i behandling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, og </w:t>
      </w:r>
      <w:r w:rsidR="007377A5">
        <w:rPr>
          <w:sz w:val="24"/>
          <w:szCs w:val="24"/>
        </w:rPr>
        <w:t xml:space="preserve">hvor hallucinationer, </w:t>
      </w:r>
      <w:proofErr w:type="spellStart"/>
      <w:r w:rsidRPr="00AC69CA">
        <w:rPr>
          <w:sz w:val="24"/>
          <w:szCs w:val="24"/>
        </w:rPr>
        <w:t>somnolens</w:t>
      </w:r>
      <w:proofErr w:type="spellEnd"/>
      <w:r w:rsidRPr="00AC69CA">
        <w:rPr>
          <w:sz w:val="24"/>
          <w:szCs w:val="24"/>
        </w:rPr>
        <w:t xml:space="preserve"> og/eller episoder med pludselig søvn forekommer, skal oplyses om, at de skal undlade at føre motorkøretøj eller deltage i aktiviteter (f.eks. betjening af maskiner), hvor nedsat opmærksomhed kan bringe deres eget eller andres liv og helbred i fare. Dette gælder, indtil sådanne tilbagevendende episoder og </w:t>
      </w:r>
      <w:proofErr w:type="spellStart"/>
      <w:r w:rsidRPr="00AC69CA">
        <w:rPr>
          <w:sz w:val="24"/>
          <w:szCs w:val="24"/>
        </w:rPr>
        <w:t>somnolens</w:t>
      </w:r>
      <w:proofErr w:type="spellEnd"/>
      <w:r w:rsidRPr="00AC69CA">
        <w:rPr>
          <w:sz w:val="24"/>
          <w:szCs w:val="24"/>
        </w:rPr>
        <w:t xml:space="preserve"> er ophørt (se pkt. 4.4).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4.8</w:t>
      </w:r>
      <w:r w:rsidRPr="00AC69CA">
        <w:rPr>
          <w:b/>
          <w:sz w:val="24"/>
          <w:szCs w:val="24"/>
        </w:rPr>
        <w:tab/>
        <w:t>Bivirkninger</w:t>
      </w:r>
    </w:p>
    <w:p w:rsidR="009F73C5" w:rsidRDefault="00FD20F4" w:rsidP="009F73C5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="009F73C5">
        <w:rPr>
          <w:sz w:val="24"/>
          <w:szCs w:val="24"/>
        </w:rPr>
        <w:t xml:space="preserve">Bivirkninger er anført i systemorganklasse og hyppighed nedenfor (tabel 2). Det er angivet, om disse bivirkninger er rapporteret i kliniske studier som monoterapi eller som tillægsbehandling til </w:t>
      </w:r>
      <w:proofErr w:type="spellStart"/>
      <w:r w:rsidR="009F73C5">
        <w:rPr>
          <w:sz w:val="24"/>
          <w:szCs w:val="24"/>
        </w:rPr>
        <w:t>levodopa</w:t>
      </w:r>
      <w:proofErr w:type="spellEnd"/>
      <w:r w:rsidR="009F73C5">
        <w:rPr>
          <w:sz w:val="24"/>
          <w:szCs w:val="24"/>
        </w:rPr>
        <w:t>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Hyppigheden er defineret som: meget almindelig (≥ 1/10), almindelig (≥ 1/100 til &lt; 1/10), ikke almindelig (≥ 1/1 000 til &lt; 1/100), sjælden (≥ 1/10 000 til &lt; 1/1 000), meget sjælden (&lt; 1/10 000), ikke kendt (kan ikke estimeres ud fra forhåndenværende data).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 hver frekvensgruppe er bivirkningerne angivet i forhold til, hvor alvorlige de er, med de alvorligste først.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Tabel 2.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De følgende </w:t>
      </w:r>
      <w:r>
        <w:rPr>
          <w:sz w:val="24"/>
          <w:szCs w:val="24"/>
        </w:rPr>
        <w:t xml:space="preserve">bivirkninger er blevet rapporteret i kliniske studier ved behandling af Parkinsons sygdom, med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eller filmovertrukne tabletter (med øjeblikkelig frigivelse) i doser på op til 24 mg/dag eller er blevet rapporteret efter markedsføring.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tbl>
      <w:tblPr>
        <w:tblW w:w="8948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2977"/>
        <w:gridCol w:w="3402"/>
      </w:tblGrid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Ved monoterapi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Ved tillægsbehandling</w:t>
            </w: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Immunsystemet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Overfølsomhedsreaktioner (herunder nældefeber, </w:t>
            </w:r>
            <w:proofErr w:type="spellStart"/>
            <w:r>
              <w:rPr>
                <w:sz w:val="24"/>
                <w:szCs w:val="24"/>
              </w:rPr>
              <w:t>angioødem</w:t>
            </w:r>
            <w:proofErr w:type="spellEnd"/>
            <w:r>
              <w:rPr>
                <w:sz w:val="24"/>
                <w:szCs w:val="24"/>
              </w:rPr>
              <w:t>, hududslæt, kløe).</w:t>
            </w: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Psykiske forstyrrelser</w:t>
            </w:r>
          </w:p>
        </w:tc>
      </w:tr>
      <w:tr w:rsidR="009F73C5" w:rsidTr="009F73C5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Hallucinationer</w:t>
            </w:r>
          </w:p>
        </w:tc>
      </w:tr>
      <w:tr w:rsidR="009F73C5" w:rsidTr="009F73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Konfusion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Psykotiske reaktioner (andre end hallucinationer) inklusive delirium, vrangforestillinger, paranoia.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Impulskontrolforstyrrelser, ludomani, øget libido, </w:t>
            </w:r>
            <w:proofErr w:type="spellStart"/>
            <w:r>
              <w:rPr>
                <w:sz w:val="24"/>
                <w:szCs w:val="24"/>
              </w:rPr>
              <w:t>hyperseksualitet</w:t>
            </w:r>
            <w:proofErr w:type="spellEnd"/>
            <w:r>
              <w:rPr>
                <w:sz w:val="24"/>
                <w:szCs w:val="24"/>
              </w:rPr>
              <w:t xml:space="preserve">, tvangsforbrug eller sygelig købelyst, udtalt overspisning og tvangsspisning hos patienter behandlet med dopamin agonister, inklusive </w:t>
            </w:r>
            <w:proofErr w:type="spellStart"/>
            <w:r>
              <w:rPr>
                <w:sz w:val="24"/>
                <w:szCs w:val="24"/>
              </w:rPr>
              <w:t>ropinirol</w:t>
            </w:r>
            <w:proofErr w:type="spellEnd"/>
            <w:r>
              <w:rPr>
                <w:sz w:val="24"/>
                <w:szCs w:val="24"/>
              </w:rPr>
              <w:t xml:space="preserve"> (se pkt. 4.4)</w:t>
            </w:r>
          </w:p>
          <w:p w:rsidR="009F73C5" w:rsidRDefault="009F73C5">
            <w:pPr>
              <w:rPr>
                <w:sz w:val="24"/>
                <w:szCs w:val="24"/>
              </w:rPr>
            </w:pPr>
          </w:p>
          <w:p w:rsidR="009F73C5" w:rsidRDefault="009F73C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Mani (se pkt. 4.4)</w:t>
            </w:r>
          </w:p>
          <w:p w:rsidR="009F73C5" w:rsidRDefault="009F73C5">
            <w:pPr>
              <w:rPr>
                <w:sz w:val="24"/>
                <w:szCs w:val="24"/>
                <w:lang w:val="sv-SE"/>
              </w:rPr>
            </w:pPr>
          </w:p>
          <w:p w:rsidR="009F73C5" w:rsidRDefault="009F73C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Aggression*</w:t>
            </w:r>
          </w:p>
          <w:p w:rsidR="009F73C5" w:rsidRDefault="009F73C5">
            <w:pPr>
              <w:rPr>
                <w:sz w:val="24"/>
                <w:szCs w:val="24"/>
                <w:lang w:val="sv-SE"/>
              </w:rPr>
            </w:pPr>
          </w:p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v-SE"/>
              </w:rPr>
              <w:t xml:space="preserve">Dopamin </w:t>
            </w:r>
            <w:proofErr w:type="spellStart"/>
            <w:r>
              <w:rPr>
                <w:sz w:val="24"/>
                <w:szCs w:val="24"/>
                <w:lang w:val="sv-SE"/>
              </w:rPr>
              <w:t>dysreguleringssyndrom</w:t>
            </w:r>
            <w:proofErr w:type="spellEnd"/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Nervesystemet</w:t>
            </w:r>
          </w:p>
        </w:tc>
      </w:tr>
      <w:tr w:rsidR="009F73C5" w:rsidTr="009F73C5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  <w:r>
              <w:rPr>
                <w:sz w:val="24"/>
                <w:szCs w:val="24"/>
              </w:rPr>
              <w:t>**</w:t>
            </w:r>
          </w:p>
        </w:tc>
      </w:tr>
      <w:tr w:rsidR="009F73C5" w:rsidTr="009F73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Synkope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Dyskinesi</w:t>
            </w:r>
            <w:proofErr w:type="spellEnd"/>
            <w:r>
              <w:rPr>
                <w:sz w:val="24"/>
                <w:szCs w:val="24"/>
              </w:rPr>
              <w:t>***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Svimmelhed (inklusive </w:t>
            </w:r>
            <w:proofErr w:type="spellStart"/>
            <w:r>
              <w:rPr>
                <w:sz w:val="24"/>
                <w:szCs w:val="24"/>
              </w:rPr>
              <w:t>vertigo</w:t>
            </w:r>
            <w:proofErr w:type="spellEnd"/>
            <w:r>
              <w:rPr>
                <w:sz w:val="24"/>
                <w:szCs w:val="24"/>
              </w:rPr>
              <w:t>), pludselig indtræden af søvn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Udpræget </w:t>
            </w: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  <w:r>
              <w:rPr>
                <w:sz w:val="24"/>
                <w:szCs w:val="24"/>
              </w:rPr>
              <w:t xml:space="preserve"> i dagtimerne</w:t>
            </w: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Vaskulære</w:t>
            </w:r>
            <w:proofErr w:type="spellEnd"/>
            <w:r>
              <w:rPr>
                <w:i/>
                <w:sz w:val="24"/>
                <w:szCs w:val="24"/>
              </w:rPr>
              <w:t xml:space="preserve"> sygdomme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Almindelig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hypotension, hypotension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hypotension, hypotension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Luftveje, thorax og </w:t>
            </w:r>
            <w:proofErr w:type="spellStart"/>
            <w:r>
              <w:rPr>
                <w:i/>
                <w:sz w:val="24"/>
                <w:szCs w:val="24"/>
              </w:rPr>
              <w:t>mediastinum</w:t>
            </w:r>
            <w:proofErr w:type="spellEnd"/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Hikke</w:t>
            </w: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Mave-tarm-kanalen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Kvalme****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Forstoppelse, halsbrand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Opkastning, mavesmerter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Lever og galdeveje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Leverreaktioner (især forhøjede leverenzymer)</w:t>
            </w: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Det reproduktive system og mammae</w:t>
            </w:r>
          </w:p>
        </w:tc>
      </w:tr>
      <w:tr w:rsidR="009F73C5" w:rsidTr="009F73C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Ikke kendt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Spontan penis erektion</w:t>
            </w:r>
          </w:p>
        </w:tc>
      </w:tr>
      <w:tr w:rsidR="009F73C5" w:rsidTr="009F73C5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Almene symptomer og reaktioner på administrationsstedet</w:t>
            </w:r>
          </w:p>
        </w:tc>
      </w:tr>
      <w:tr w:rsidR="009F73C5" w:rsidTr="009F73C5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Perifere ødemer</w:t>
            </w:r>
          </w:p>
        </w:tc>
      </w:tr>
      <w:tr w:rsidR="009F73C5" w:rsidTr="009F73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C5" w:rsidRDefault="009F73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Ødem i benene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73C5" w:rsidRDefault="009F73C5">
            <w:pPr>
              <w:rPr>
                <w:i/>
                <w:sz w:val="24"/>
                <w:szCs w:val="24"/>
              </w:rPr>
            </w:pPr>
          </w:p>
        </w:tc>
      </w:tr>
      <w:tr w:rsidR="009F73C5" w:rsidTr="009F7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C5" w:rsidRDefault="009F7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73C5" w:rsidRDefault="009F73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Dopaminagonist-abstinenssyndrom (herunder apati, angst, depression, træthed, svedtendens og smerte*****)</w:t>
            </w:r>
          </w:p>
        </w:tc>
      </w:tr>
    </w:tbl>
    <w:p w:rsidR="009F73C5" w:rsidRDefault="009F73C5" w:rsidP="009F73C5">
      <w:pPr>
        <w:ind w:left="851" w:hanging="851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</w:p>
    <w:p w:rsidR="009F73C5" w:rsidRDefault="009F73C5" w:rsidP="009F73C5">
      <w:pPr>
        <w:ind w:left="851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* Aggression er blevet forbundet med </w:t>
      </w:r>
      <w:r>
        <w:rPr>
          <w:color w:val="333333"/>
          <w:sz w:val="24"/>
          <w:szCs w:val="24"/>
        </w:rPr>
        <w:t>psykotiske reaktioner og symptomer på manglende impulskontrol.</w:t>
      </w:r>
    </w:p>
    <w:p w:rsidR="009F73C5" w:rsidRDefault="009F73C5" w:rsidP="009F73C5">
      <w:pPr>
        <w:ind w:left="85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** </w:t>
      </w:r>
      <w:proofErr w:type="spellStart"/>
      <w:r>
        <w:rPr>
          <w:color w:val="333333"/>
          <w:sz w:val="24"/>
          <w:szCs w:val="24"/>
        </w:rPr>
        <w:t>Somnolens</w:t>
      </w:r>
      <w:proofErr w:type="spellEnd"/>
      <w:r>
        <w:rPr>
          <w:color w:val="333333"/>
          <w:sz w:val="24"/>
          <w:szCs w:val="24"/>
        </w:rPr>
        <w:t xml:space="preserve"> er blevet rapporteret som meget almindelig ved kombinationsbehandling i kliniske studier med tabletter med øjeblikkelig frigivelse, og som almindelig ved kombinationsbehandling i kliniske studier med depottabletter.</w:t>
      </w:r>
    </w:p>
    <w:p w:rsidR="009F73C5" w:rsidRDefault="009F73C5" w:rsidP="009F73C5">
      <w:pPr>
        <w:ind w:left="85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*** Hos patienter med fremskreden Parkinsons sygdom, kan </w:t>
      </w:r>
      <w:proofErr w:type="spellStart"/>
      <w:r>
        <w:rPr>
          <w:color w:val="333333"/>
          <w:sz w:val="24"/>
          <w:szCs w:val="24"/>
        </w:rPr>
        <w:t>dyskinesi</w:t>
      </w:r>
      <w:proofErr w:type="spellEnd"/>
      <w:r>
        <w:rPr>
          <w:color w:val="333333"/>
          <w:sz w:val="24"/>
          <w:szCs w:val="24"/>
        </w:rPr>
        <w:t xml:space="preserve"> forekomme under den initiale titreringsperiode af </w:t>
      </w:r>
      <w:proofErr w:type="spellStart"/>
      <w:r>
        <w:rPr>
          <w:color w:val="333333"/>
          <w:sz w:val="24"/>
          <w:szCs w:val="24"/>
        </w:rPr>
        <w:t>ropinirol</w:t>
      </w:r>
      <w:proofErr w:type="spellEnd"/>
      <w:r>
        <w:rPr>
          <w:color w:val="333333"/>
          <w:sz w:val="24"/>
          <w:szCs w:val="24"/>
        </w:rPr>
        <w:t xml:space="preserve">. Kliniske studier har vist, at en reduktion af </w:t>
      </w:r>
      <w:proofErr w:type="spellStart"/>
      <w:r>
        <w:rPr>
          <w:color w:val="333333"/>
          <w:sz w:val="24"/>
          <w:szCs w:val="24"/>
        </w:rPr>
        <w:t>levodopadosen</w:t>
      </w:r>
      <w:proofErr w:type="spellEnd"/>
      <w:r>
        <w:rPr>
          <w:color w:val="333333"/>
          <w:sz w:val="24"/>
          <w:szCs w:val="24"/>
        </w:rPr>
        <w:t xml:space="preserve"> kan lindre </w:t>
      </w:r>
      <w:proofErr w:type="spellStart"/>
      <w:r>
        <w:rPr>
          <w:color w:val="333333"/>
          <w:sz w:val="24"/>
          <w:szCs w:val="24"/>
        </w:rPr>
        <w:t>dyskinesi</w:t>
      </w:r>
      <w:proofErr w:type="spellEnd"/>
      <w:r>
        <w:rPr>
          <w:color w:val="333333"/>
          <w:sz w:val="24"/>
          <w:szCs w:val="24"/>
        </w:rPr>
        <w:t xml:space="preserve"> (se pkt. 4.2).</w:t>
      </w:r>
    </w:p>
    <w:p w:rsidR="009F73C5" w:rsidRDefault="009F73C5" w:rsidP="009F73C5">
      <w:pPr>
        <w:ind w:left="85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**** Kvalme er blevet rapporteret som meget almindelig ved kombinationsbehandling i kliniske studier med tabletter med øjeblikkelig frigivelse, og som almindelig ved kombinationsbehandling i kliniske studier med depottabletter.</w:t>
      </w:r>
    </w:p>
    <w:p w:rsidR="00CB4D22" w:rsidRDefault="009F73C5" w:rsidP="009F73C5">
      <w:pPr>
        <w:ind w:left="85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***** Ikke-motoriske bivirkninger kan forekomme ved nedtrapning eller </w:t>
      </w:r>
      <w:proofErr w:type="spellStart"/>
      <w:r>
        <w:rPr>
          <w:color w:val="333333"/>
          <w:sz w:val="24"/>
          <w:szCs w:val="24"/>
        </w:rPr>
        <w:t>seponering</w:t>
      </w:r>
      <w:proofErr w:type="spellEnd"/>
      <w:r>
        <w:rPr>
          <w:color w:val="333333"/>
          <w:sz w:val="24"/>
          <w:szCs w:val="24"/>
        </w:rPr>
        <w:t xml:space="preserve"> af dopaminagonister inklusiv </w:t>
      </w:r>
      <w:proofErr w:type="spellStart"/>
      <w:r>
        <w:rPr>
          <w:color w:val="333333"/>
          <w:sz w:val="24"/>
          <w:szCs w:val="24"/>
        </w:rPr>
        <w:t>ropinirol</w:t>
      </w:r>
      <w:proofErr w:type="spellEnd"/>
      <w:r>
        <w:rPr>
          <w:color w:val="333333"/>
          <w:sz w:val="24"/>
          <w:szCs w:val="24"/>
        </w:rPr>
        <w:t xml:space="preserve"> (se pkt. 4.4).</w:t>
      </w:r>
    </w:p>
    <w:p w:rsidR="009F73C5" w:rsidRDefault="009F73C5" w:rsidP="009F73C5">
      <w:pPr>
        <w:ind w:left="851"/>
        <w:rPr>
          <w:color w:val="333333"/>
          <w:sz w:val="24"/>
          <w:szCs w:val="24"/>
        </w:rPr>
      </w:pPr>
    </w:p>
    <w:p w:rsidR="00FD20F4" w:rsidRPr="00D67F3B" w:rsidRDefault="00FD20F4" w:rsidP="00FD20F4">
      <w:pPr>
        <w:ind w:left="851"/>
        <w:rPr>
          <w:color w:val="333333"/>
          <w:sz w:val="24"/>
          <w:szCs w:val="24"/>
        </w:rPr>
      </w:pPr>
    </w:p>
    <w:p w:rsidR="00FD20F4" w:rsidRPr="00D67F3B" w:rsidRDefault="00FD20F4" w:rsidP="00FD20F4">
      <w:pPr>
        <w:autoSpaceDE w:val="0"/>
        <w:autoSpaceDN w:val="0"/>
        <w:adjustRightInd w:val="0"/>
        <w:ind w:firstLine="851"/>
        <w:rPr>
          <w:sz w:val="24"/>
          <w:szCs w:val="24"/>
          <w:u w:val="single"/>
        </w:rPr>
      </w:pPr>
      <w:r w:rsidRPr="00D67F3B">
        <w:rPr>
          <w:noProof/>
          <w:sz w:val="24"/>
          <w:szCs w:val="24"/>
          <w:u w:val="single"/>
        </w:rPr>
        <w:t>Indberetning af formodede bivirkninger</w:t>
      </w:r>
    </w:p>
    <w:p w:rsidR="00FD20F4" w:rsidRPr="00D67F3B" w:rsidRDefault="00FD20F4" w:rsidP="00FD20F4">
      <w:pPr>
        <w:ind w:left="851"/>
        <w:rPr>
          <w:noProof/>
          <w:sz w:val="24"/>
          <w:szCs w:val="24"/>
        </w:rPr>
      </w:pPr>
      <w:r w:rsidRPr="00D67F3B">
        <w:rPr>
          <w:noProof/>
          <w:sz w:val="24"/>
          <w:szCs w:val="24"/>
        </w:rPr>
        <w:t>Når lægemidlet er godkendt, er indberetning af formodede bivirkninger vigtig.</w:t>
      </w:r>
      <w:r w:rsidRPr="00D67F3B">
        <w:rPr>
          <w:sz w:val="24"/>
          <w:szCs w:val="24"/>
        </w:rPr>
        <w:t xml:space="preserve"> </w:t>
      </w:r>
      <w:r w:rsidRPr="00D67F3B">
        <w:rPr>
          <w:noProof/>
          <w:sz w:val="24"/>
          <w:szCs w:val="24"/>
        </w:rPr>
        <w:t>Det muliggør løbende overvågning af benefit/risk-forholdet for lægemidlet.</w:t>
      </w:r>
      <w:r w:rsidRPr="00D67F3B">
        <w:rPr>
          <w:sz w:val="24"/>
          <w:szCs w:val="24"/>
        </w:rPr>
        <w:t xml:space="preserve"> </w:t>
      </w:r>
      <w:r w:rsidR="007377A5">
        <w:rPr>
          <w:noProof/>
          <w:sz w:val="24"/>
          <w:szCs w:val="24"/>
        </w:rPr>
        <w:t>S</w:t>
      </w:r>
      <w:r w:rsidRPr="00D67F3B">
        <w:rPr>
          <w:noProof/>
          <w:sz w:val="24"/>
          <w:szCs w:val="24"/>
        </w:rPr>
        <w:t>undhedsperson</w:t>
      </w:r>
      <w:r w:rsidR="007377A5">
        <w:rPr>
          <w:noProof/>
          <w:sz w:val="24"/>
          <w:szCs w:val="24"/>
        </w:rPr>
        <w:t>er</w:t>
      </w:r>
      <w:r w:rsidRPr="00D67F3B">
        <w:rPr>
          <w:noProof/>
          <w:sz w:val="24"/>
          <w:szCs w:val="24"/>
        </w:rPr>
        <w:t xml:space="preserve"> anmodes om at indberette alle formodede bivirkninger via:</w:t>
      </w:r>
    </w:p>
    <w:p w:rsidR="00FD20F4" w:rsidRPr="00D67F3B" w:rsidRDefault="00FD20F4" w:rsidP="00FD20F4">
      <w:pPr>
        <w:ind w:left="851"/>
        <w:rPr>
          <w:noProof/>
          <w:sz w:val="24"/>
          <w:szCs w:val="24"/>
        </w:rPr>
      </w:pPr>
      <w:r w:rsidRPr="00D67F3B">
        <w:rPr>
          <w:noProof/>
          <w:sz w:val="24"/>
          <w:szCs w:val="24"/>
        </w:rPr>
        <w:t xml:space="preserve"> </w:t>
      </w:r>
    </w:p>
    <w:p w:rsidR="00FD20F4" w:rsidRPr="00D67F3B" w:rsidRDefault="00FD20F4" w:rsidP="00FD20F4">
      <w:pPr>
        <w:ind w:firstLine="851"/>
        <w:rPr>
          <w:rFonts w:eastAsia="Calibri"/>
          <w:color w:val="000000"/>
          <w:sz w:val="24"/>
          <w:szCs w:val="24"/>
          <w:lang w:eastAsia="zh-CN"/>
        </w:rPr>
      </w:pPr>
      <w:r w:rsidRPr="00D67F3B">
        <w:rPr>
          <w:sz w:val="24"/>
          <w:szCs w:val="24"/>
        </w:rPr>
        <w:t>Lægemiddelstyrelsen</w:t>
      </w:r>
    </w:p>
    <w:p w:rsidR="00FD20F4" w:rsidRPr="00D67F3B" w:rsidRDefault="00FD20F4" w:rsidP="00FD20F4">
      <w:pPr>
        <w:ind w:firstLine="851"/>
        <w:rPr>
          <w:rFonts w:eastAsia="Calibri"/>
          <w:noProof/>
          <w:sz w:val="24"/>
          <w:szCs w:val="24"/>
          <w:lang w:eastAsia="zh-CN"/>
        </w:rPr>
      </w:pPr>
      <w:r w:rsidRPr="00D67F3B">
        <w:rPr>
          <w:rFonts w:eastAsia="Calibri"/>
          <w:sz w:val="24"/>
          <w:szCs w:val="24"/>
          <w:lang w:eastAsia="zh-CN"/>
        </w:rPr>
        <w:t>Axel Heides Gade 1</w:t>
      </w:r>
    </w:p>
    <w:p w:rsidR="00FD20F4" w:rsidRPr="00D67F3B" w:rsidRDefault="00FD20F4" w:rsidP="00FD20F4">
      <w:pPr>
        <w:ind w:firstLine="851"/>
        <w:rPr>
          <w:rFonts w:eastAsia="Calibri"/>
          <w:noProof/>
          <w:sz w:val="24"/>
          <w:szCs w:val="24"/>
          <w:lang w:eastAsia="zh-CN"/>
        </w:rPr>
      </w:pPr>
      <w:r w:rsidRPr="00D67F3B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D67F3B">
        <w:rPr>
          <w:rFonts w:eastAsia="Calibri"/>
          <w:sz w:val="24"/>
          <w:szCs w:val="24"/>
          <w:lang w:eastAsia="zh-CN"/>
        </w:rPr>
        <w:t>København S</w:t>
      </w:r>
    </w:p>
    <w:p w:rsidR="00FD20F4" w:rsidRPr="00623E8A" w:rsidRDefault="00FD20F4" w:rsidP="00FD20F4">
      <w:pPr>
        <w:ind w:firstLine="851"/>
        <w:rPr>
          <w:rFonts w:eastAsia="Calibri"/>
          <w:noProof/>
          <w:sz w:val="24"/>
          <w:szCs w:val="24"/>
          <w:lang w:eastAsia="zh-CN"/>
        </w:rPr>
      </w:pPr>
      <w:r w:rsidRPr="00623E8A">
        <w:rPr>
          <w:rFonts w:eastAsia="Calibri"/>
          <w:sz w:val="24"/>
          <w:szCs w:val="24"/>
          <w:lang w:eastAsia="zh-CN"/>
        </w:rPr>
        <w:t>Websted</w:t>
      </w:r>
      <w:r w:rsidRPr="00623E8A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9" w:history="1">
        <w:r w:rsidRPr="00623E8A">
          <w:rPr>
            <w:rStyle w:val="Hyperlink"/>
            <w:rFonts w:eastAsia="Calibri"/>
            <w:noProof/>
            <w:color w:val="0000FF"/>
            <w:szCs w:val="24"/>
            <w:lang w:eastAsia="zh-CN"/>
          </w:rPr>
          <w:t>www.meldenbivirkning.dk</w:t>
        </w:r>
      </w:hyperlink>
    </w:p>
    <w:p w:rsidR="00FD20F4" w:rsidRPr="00623E8A" w:rsidRDefault="00FD20F4" w:rsidP="00FD20F4">
      <w:pPr>
        <w:pStyle w:val="Sidehoved"/>
        <w:rPr>
          <w:szCs w:val="24"/>
        </w:rPr>
      </w:pPr>
    </w:p>
    <w:p w:rsidR="00FD20F4" w:rsidRPr="00D67F3B" w:rsidRDefault="00FD20F4" w:rsidP="00FD20F4">
      <w:pPr>
        <w:ind w:left="851" w:hanging="851"/>
        <w:rPr>
          <w:b/>
          <w:sz w:val="24"/>
          <w:szCs w:val="24"/>
        </w:rPr>
      </w:pPr>
      <w:r w:rsidRPr="00D67F3B">
        <w:rPr>
          <w:b/>
          <w:sz w:val="24"/>
          <w:szCs w:val="24"/>
        </w:rPr>
        <w:t>4.9</w:t>
      </w:r>
      <w:r w:rsidRPr="00D67F3B">
        <w:rPr>
          <w:b/>
          <w:sz w:val="24"/>
          <w:szCs w:val="24"/>
        </w:rPr>
        <w:tab/>
        <w:t>Overdosering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lastRenderedPageBreak/>
        <w:tab/>
        <w:t xml:space="preserve">Symptomerne på overdosering med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er relateret til dets </w:t>
      </w:r>
      <w:proofErr w:type="spellStart"/>
      <w:r w:rsidRPr="00D67F3B">
        <w:rPr>
          <w:sz w:val="24"/>
          <w:szCs w:val="24"/>
        </w:rPr>
        <w:t>dopaminerge</w:t>
      </w:r>
      <w:proofErr w:type="spellEnd"/>
      <w:r w:rsidRPr="00D67F3B">
        <w:rPr>
          <w:sz w:val="24"/>
          <w:szCs w:val="24"/>
        </w:rPr>
        <w:t xml:space="preserve"> aktivitet. Disse symptomer kan lindres ved relevant behandling med dopaminantagonister, såsom </w:t>
      </w:r>
      <w:proofErr w:type="spellStart"/>
      <w:r w:rsidRPr="00D67F3B">
        <w:rPr>
          <w:sz w:val="24"/>
          <w:szCs w:val="24"/>
        </w:rPr>
        <w:t>neuroleptika</w:t>
      </w:r>
      <w:proofErr w:type="spellEnd"/>
      <w:r w:rsidRPr="00D67F3B">
        <w:rPr>
          <w:sz w:val="24"/>
          <w:szCs w:val="24"/>
        </w:rPr>
        <w:t xml:space="preserve"> eller </w:t>
      </w:r>
      <w:proofErr w:type="spellStart"/>
      <w:r w:rsidRPr="00D67F3B">
        <w:rPr>
          <w:sz w:val="24"/>
          <w:szCs w:val="24"/>
        </w:rPr>
        <w:t>metoclopramid</w:t>
      </w:r>
      <w:proofErr w:type="spellEnd"/>
      <w:r w:rsidRPr="00D67F3B">
        <w:rPr>
          <w:sz w:val="24"/>
          <w:szCs w:val="24"/>
        </w:rPr>
        <w:t>.</w:t>
      </w:r>
    </w:p>
    <w:p w:rsidR="00FD20F4" w:rsidRPr="00D67F3B" w:rsidRDefault="00FD20F4" w:rsidP="00FD20F4">
      <w:pPr>
        <w:rPr>
          <w:sz w:val="24"/>
          <w:szCs w:val="24"/>
        </w:rPr>
      </w:pPr>
    </w:p>
    <w:p w:rsidR="00FD20F4" w:rsidRPr="00D67F3B" w:rsidRDefault="00FD20F4" w:rsidP="00FD20F4">
      <w:pPr>
        <w:ind w:left="851" w:hanging="851"/>
        <w:rPr>
          <w:b/>
          <w:sz w:val="24"/>
          <w:szCs w:val="24"/>
        </w:rPr>
      </w:pPr>
      <w:r w:rsidRPr="00D67F3B">
        <w:rPr>
          <w:b/>
          <w:sz w:val="24"/>
          <w:szCs w:val="24"/>
        </w:rPr>
        <w:t>4.10</w:t>
      </w:r>
      <w:r w:rsidRPr="00D67F3B">
        <w:rPr>
          <w:b/>
          <w:sz w:val="24"/>
          <w:szCs w:val="24"/>
        </w:rPr>
        <w:tab/>
        <w:t>Udlevering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tab/>
        <w:t>B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 w:hanging="851"/>
        <w:rPr>
          <w:b/>
          <w:sz w:val="24"/>
          <w:szCs w:val="24"/>
        </w:rPr>
      </w:pPr>
      <w:r w:rsidRPr="00D67F3B">
        <w:rPr>
          <w:b/>
          <w:sz w:val="24"/>
          <w:szCs w:val="24"/>
        </w:rPr>
        <w:t>5.</w:t>
      </w:r>
      <w:r w:rsidRPr="00D67F3B">
        <w:rPr>
          <w:b/>
          <w:sz w:val="24"/>
          <w:szCs w:val="24"/>
        </w:rPr>
        <w:tab/>
        <w:t>FARMAKOLOGISKE EGENSKABER</w:t>
      </w:r>
    </w:p>
    <w:p w:rsidR="00FD20F4" w:rsidRPr="00D67F3B" w:rsidRDefault="00FD20F4" w:rsidP="00CB4D22">
      <w:pPr>
        <w:rPr>
          <w:sz w:val="24"/>
          <w:szCs w:val="24"/>
        </w:rPr>
      </w:pPr>
    </w:p>
    <w:p w:rsidR="00FD20F4" w:rsidRPr="00D67F3B" w:rsidRDefault="00FD20F4" w:rsidP="00FD20F4">
      <w:pPr>
        <w:ind w:left="851" w:hanging="851"/>
        <w:rPr>
          <w:b/>
          <w:sz w:val="24"/>
          <w:szCs w:val="24"/>
        </w:rPr>
      </w:pPr>
      <w:r w:rsidRPr="00D67F3B">
        <w:rPr>
          <w:b/>
          <w:sz w:val="24"/>
          <w:szCs w:val="24"/>
        </w:rPr>
        <w:t>5.1</w:t>
      </w:r>
      <w:r w:rsidRPr="00D67F3B">
        <w:rPr>
          <w:b/>
          <w:sz w:val="24"/>
          <w:szCs w:val="24"/>
        </w:rPr>
        <w:tab/>
      </w:r>
      <w:proofErr w:type="spellStart"/>
      <w:r w:rsidRPr="00D67F3B">
        <w:rPr>
          <w:b/>
          <w:sz w:val="24"/>
          <w:szCs w:val="24"/>
        </w:rPr>
        <w:t>Farmakodynamiske</w:t>
      </w:r>
      <w:proofErr w:type="spellEnd"/>
      <w:r w:rsidRPr="00D67F3B">
        <w:rPr>
          <w:b/>
          <w:sz w:val="24"/>
          <w:szCs w:val="24"/>
        </w:rPr>
        <w:t xml:space="preserve"> egenskaber</w:t>
      </w:r>
    </w:p>
    <w:p w:rsidR="00CB4D22" w:rsidRDefault="00CB4D22" w:rsidP="00FD20F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D67F3B">
        <w:rPr>
          <w:sz w:val="24"/>
          <w:szCs w:val="24"/>
        </w:rPr>
        <w:t>Dopamin-agonister</w:t>
      </w:r>
      <w:r>
        <w:rPr>
          <w:sz w:val="24"/>
          <w:szCs w:val="24"/>
        </w:rPr>
        <w:t xml:space="preserve">, </w:t>
      </w:r>
      <w:r w:rsidRPr="00D67F3B">
        <w:rPr>
          <w:sz w:val="24"/>
          <w:szCs w:val="24"/>
        </w:rPr>
        <w:t>ATC</w:t>
      </w:r>
      <w:r w:rsidR="009F73C5">
        <w:rPr>
          <w:sz w:val="24"/>
          <w:szCs w:val="24"/>
        </w:rPr>
        <w:t>-</w:t>
      </w:r>
      <w:r w:rsidRPr="00D67F3B">
        <w:rPr>
          <w:sz w:val="24"/>
          <w:szCs w:val="24"/>
        </w:rPr>
        <w:t>kode: N04BC04</w:t>
      </w:r>
      <w:r>
        <w:rPr>
          <w:sz w:val="24"/>
          <w:szCs w:val="24"/>
        </w:rPr>
        <w:t>.</w:t>
      </w:r>
    </w:p>
    <w:p w:rsidR="00CB4D22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tab/>
      </w:r>
    </w:p>
    <w:p w:rsidR="00FD20F4" w:rsidRPr="00D67F3B" w:rsidRDefault="00FD20F4" w:rsidP="00CB4D22">
      <w:pPr>
        <w:ind w:left="851"/>
        <w:rPr>
          <w:i/>
          <w:sz w:val="24"/>
          <w:szCs w:val="24"/>
          <w:u w:val="single"/>
        </w:rPr>
      </w:pPr>
      <w:r w:rsidRPr="00D67F3B">
        <w:rPr>
          <w:sz w:val="24"/>
          <w:szCs w:val="24"/>
          <w:u w:val="single"/>
        </w:rPr>
        <w:t>Virkningsmekanisme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tab/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er en non</w:t>
      </w:r>
      <w:r w:rsidRPr="00D67F3B">
        <w:rPr>
          <w:sz w:val="24"/>
          <w:szCs w:val="24"/>
        </w:rPr>
        <w:noBreakHyphen/>
      </w:r>
      <w:proofErr w:type="spellStart"/>
      <w:r w:rsidRPr="00D67F3B">
        <w:rPr>
          <w:sz w:val="24"/>
          <w:szCs w:val="24"/>
        </w:rPr>
        <w:t>ergolin</w:t>
      </w:r>
      <w:proofErr w:type="spellEnd"/>
      <w:r w:rsidRPr="00D67F3B">
        <w:rPr>
          <w:sz w:val="24"/>
          <w:szCs w:val="24"/>
        </w:rPr>
        <w:t xml:space="preserve"> D2/D3 dopaminagonist, som stimulerer </w:t>
      </w:r>
      <w:proofErr w:type="spellStart"/>
      <w:r w:rsidRPr="00D67F3B">
        <w:rPr>
          <w:sz w:val="24"/>
          <w:szCs w:val="24"/>
        </w:rPr>
        <w:t>striatale</w:t>
      </w:r>
      <w:proofErr w:type="spellEnd"/>
      <w:r w:rsidRPr="00D67F3B">
        <w:rPr>
          <w:sz w:val="24"/>
          <w:szCs w:val="24"/>
        </w:rPr>
        <w:t xml:space="preserve"> dopaminreceptorer.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tab/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afhjælper manglen på dopamin, som karakteriserer Parkinsons sygdom ved at stimulere </w:t>
      </w:r>
      <w:proofErr w:type="spellStart"/>
      <w:r w:rsidRPr="00D67F3B">
        <w:rPr>
          <w:sz w:val="24"/>
          <w:szCs w:val="24"/>
        </w:rPr>
        <w:t>striatale</w:t>
      </w:r>
      <w:proofErr w:type="spellEnd"/>
      <w:r w:rsidRPr="00D67F3B">
        <w:rPr>
          <w:sz w:val="24"/>
          <w:szCs w:val="24"/>
        </w:rPr>
        <w:t xml:space="preserve"> dopaminreceptorer.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tab/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  <w:r w:rsidRPr="00D67F3B">
        <w:rPr>
          <w:sz w:val="24"/>
          <w:szCs w:val="24"/>
        </w:rPr>
        <w:tab/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udøver sin virkning i </w:t>
      </w:r>
      <w:proofErr w:type="spellStart"/>
      <w:r w:rsidRPr="00D67F3B">
        <w:rPr>
          <w:sz w:val="24"/>
          <w:szCs w:val="24"/>
        </w:rPr>
        <w:t>hypothalamus</w:t>
      </w:r>
      <w:proofErr w:type="spellEnd"/>
      <w:r w:rsidRPr="00D67F3B">
        <w:rPr>
          <w:sz w:val="24"/>
          <w:szCs w:val="24"/>
        </w:rPr>
        <w:t xml:space="preserve"> og hypofysen ved at hæmme sekretionen af </w:t>
      </w:r>
      <w:proofErr w:type="spellStart"/>
      <w:r w:rsidRPr="00D67F3B">
        <w:rPr>
          <w:sz w:val="24"/>
          <w:szCs w:val="24"/>
        </w:rPr>
        <w:t>prolaktin</w:t>
      </w:r>
      <w:proofErr w:type="spellEnd"/>
      <w:r w:rsidRPr="00D67F3B">
        <w:rPr>
          <w:sz w:val="24"/>
          <w:szCs w:val="24"/>
        </w:rPr>
        <w:t>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CB4D22" w:rsidRPr="00D67F3B" w:rsidRDefault="00CB4D22" w:rsidP="00CB4D22">
      <w:pPr>
        <w:ind w:left="851"/>
        <w:rPr>
          <w:sz w:val="24"/>
          <w:szCs w:val="24"/>
          <w:u w:val="single"/>
        </w:rPr>
      </w:pPr>
      <w:r w:rsidRPr="00D67F3B">
        <w:rPr>
          <w:sz w:val="24"/>
          <w:szCs w:val="24"/>
          <w:u w:val="single"/>
        </w:rPr>
        <w:t>Klinisk virkning og sikkerhed</w:t>
      </w:r>
    </w:p>
    <w:p w:rsidR="00CB4D22" w:rsidRPr="00D67F3B" w:rsidRDefault="00CB4D22" w:rsidP="00CB4D22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 xml:space="preserve">Et 36-ugers dobbeltblindet cross-over-studie med monoterapi over 3 perioder udført hos 161 patienter med Parkinsons sygdom i tidlig fase viste, at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var ligeværdige i forhold til </w:t>
      </w:r>
      <w:proofErr w:type="spellStart"/>
      <w:r w:rsidRPr="00D67F3B"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filmovertrukne </w:t>
      </w:r>
      <w:r w:rsidRPr="00D67F3B">
        <w:rPr>
          <w:sz w:val="24"/>
          <w:szCs w:val="24"/>
        </w:rPr>
        <w:t xml:space="preserve">tabletter </w:t>
      </w:r>
      <w:r>
        <w:rPr>
          <w:sz w:val="24"/>
          <w:szCs w:val="24"/>
        </w:rPr>
        <w:t xml:space="preserve">(med </w:t>
      </w:r>
      <w:r>
        <w:rPr>
          <w:color w:val="333333"/>
          <w:sz w:val="24"/>
          <w:szCs w:val="24"/>
        </w:rPr>
        <w:t>øjeblikkelig frigivelse</w:t>
      </w:r>
      <w:r>
        <w:rPr>
          <w:sz w:val="24"/>
          <w:szCs w:val="24"/>
        </w:rPr>
        <w:t xml:space="preserve">) </w:t>
      </w:r>
      <w:r w:rsidRPr="00D67F3B">
        <w:rPr>
          <w:sz w:val="24"/>
          <w:szCs w:val="24"/>
        </w:rPr>
        <w:t xml:space="preserve">med hensyn til det primære effektmål, som var behandlingsforskellen i ændring fra baseline i ”the </w:t>
      </w:r>
      <w:proofErr w:type="spellStart"/>
      <w:r w:rsidRPr="00D67F3B">
        <w:rPr>
          <w:sz w:val="24"/>
          <w:szCs w:val="24"/>
        </w:rPr>
        <w:t>Unified</w:t>
      </w:r>
      <w:proofErr w:type="spellEnd"/>
      <w:r w:rsidRPr="00D67F3B">
        <w:rPr>
          <w:sz w:val="24"/>
          <w:szCs w:val="24"/>
        </w:rPr>
        <w:t xml:space="preserve"> </w:t>
      </w:r>
      <w:proofErr w:type="spellStart"/>
      <w:r w:rsidRPr="00D67F3B">
        <w:rPr>
          <w:sz w:val="24"/>
          <w:szCs w:val="24"/>
        </w:rPr>
        <w:t>Parkinson’s</w:t>
      </w:r>
      <w:proofErr w:type="spellEnd"/>
      <w:r w:rsidRPr="00D67F3B">
        <w:rPr>
          <w:sz w:val="24"/>
          <w:szCs w:val="24"/>
        </w:rPr>
        <w:t xml:space="preserve"> </w:t>
      </w:r>
      <w:proofErr w:type="spellStart"/>
      <w:r w:rsidRPr="00D67F3B">
        <w:rPr>
          <w:sz w:val="24"/>
          <w:szCs w:val="24"/>
        </w:rPr>
        <w:t>Disease</w:t>
      </w:r>
      <w:proofErr w:type="spellEnd"/>
      <w:r w:rsidRPr="00D67F3B">
        <w:rPr>
          <w:sz w:val="24"/>
          <w:szCs w:val="24"/>
        </w:rPr>
        <w:t xml:space="preserve"> Rating </w:t>
      </w:r>
      <w:proofErr w:type="spellStart"/>
      <w:r w:rsidRPr="00D67F3B">
        <w:rPr>
          <w:sz w:val="24"/>
          <w:szCs w:val="24"/>
        </w:rPr>
        <w:t>Scale</w:t>
      </w:r>
      <w:proofErr w:type="spellEnd"/>
      <w:r w:rsidRPr="00D67F3B">
        <w:rPr>
          <w:sz w:val="24"/>
          <w:szCs w:val="24"/>
        </w:rPr>
        <w:t xml:space="preserve">” (UPDRS) bevægelsesscore (der var defineret en 3-points non-inferioritetsmargin på UPDRS bevægelsesscore). Den justerede gennemsnitsforskel mellem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og </w:t>
      </w:r>
      <w:proofErr w:type="spellStart"/>
      <w:r w:rsidRPr="00D67F3B"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filmovertrukne </w:t>
      </w:r>
      <w:r w:rsidRPr="00D67F3B">
        <w:rPr>
          <w:sz w:val="24"/>
          <w:szCs w:val="24"/>
        </w:rPr>
        <w:t>tabletter</w:t>
      </w:r>
      <w:r>
        <w:rPr>
          <w:sz w:val="24"/>
          <w:szCs w:val="24"/>
        </w:rPr>
        <w:t xml:space="preserve"> (med </w:t>
      </w:r>
      <w:r>
        <w:rPr>
          <w:color w:val="333333"/>
          <w:sz w:val="24"/>
          <w:szCs w:val="24"/>
        </w:rPr>
        <w:t>øjeblikkelig frigivelse</w:t>
      </w:r>
      <w:r>
        <w:rPr>
          <w:sz w:val="24"/>
          <w:szCs w:val="24"/>
        </w:rPr>
        <w:t>)</w:t>
      </w:r>
      <w:r w:rsidRPr="00D67F3B">
        <w:rPr>
          <w:sz w:val="24"/>
          <w:szCs w:val="24"/>
        </w:rPr>
        <w:t xml:space="preserve"> ved studiets effektmål var -0,7 point (95 % CI: [-1,51; 0,10], p=0,0842).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>Efter skift til den samme dosis med den alternative tabletformulering fra den ene dag til den anden, var der ingen forskel i bivirkningsprofilen, og færre end 3 % af patienterne skulle have en dosisjustering. (Alle dosisjusteringer var øgning med et dosistrin. Ingen patienter skulle have dosis nedjusteret).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CB4D22" w:rsidRPr="00D67F3B" w:rsidRDefault="00CB4D22" w:rsidP="00CB4D22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 xml:space="preserve">Et 24-ugers dobbeltblindet, placebokontrolleret studie i parallelle grupper med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hos Parkinson-patienter, som ikke var optimalt kontrolleret med </w:t>
      </w:r>
      <w:proofErr w:type="spellStart"/>
      <w:r w:rsidRPr="00D67F3B">
        <w:rPr>
          <w:sz w:val="24"/>
          <w:szCs w:val="24"/>
        </w:rPr>
        <w:t>levodopa</w:t>
      </w:r>
      <w:proofErr w:type="spellEnd"/>
      <w:r w:rsidRPr="00D67F3B">
        <w:rPr>
          <w:sz w:val="24"/>
          <w:szCs w:val="24"/>
        </w:rPr>
        <w:t>, viste en klinisk relevant og statistisk signifikant fordel i forhold til placebo på det primære effektmål, som var ændringen fra baseline i vågen tid ”</w:t>
      </w:r>
      <w:proofErr w:type="spellStart"/>
      <w:r w:rsidRPr="00D67F3B">
        <w:rPr>
          <w:sz w:val="24"/>
          <w:szCs w:val="24"/>
        </w:rPr>
        <w:t>off</w:t>
      </w:r>
      <w:proofErr w:type="spellEnd"/>
      <w:r w:rsidRPr="00D67F3B">
        <w:rPr>
          <w:sz w:val="24"/>
          <w:szCs w:val="24"/>
        </w:rPr>
        <w:t>” (justeret gennemsnitlig behandlingsforskel var</w:t>
      </w:r>
      <w:r>
        <w:rPr>
          <w:sz w:val="24"/>
          <w:szCs w:val="24"/>
        </w:rPr>
        <w:t xml:space="preserve"> -1,7 timer (95 % CI: [-2,34; -1,09], p &lt; 0,0001)). Dette blev understøttet af sekundære effektparametre, som var ændring fra baseline i total vågentid ”on” (+1,7 timer (95 % CI: [1,06; 2,33], p &lt; 0,0001) og total vågentid ”on” uden generende </w:t>
      </w:r>
      <w:proofErr w:type="spellStart"/>
      <w:r>
        <w:rPr>
          <w:sz w:val="24"/>
          <w:szCs w:val="24"/>
        </w:rPr>
        <w:t>dyskinesier</w:t>
      </w:r>
      <w:proofErr w:type="spellEnd"/>
      <w:r>
        <w:rPr>
          <w:sz w:val="24"/>
          <w:szCs w:val="24"/>
        </w:rPr>
        <w:t xml:space="preserve"> (+1,5 timer (95 % CI: [0,85; 2,13], p &lt; 0,0001). Vigtigst var, at der ingen indikation var af en stigning fra baseline i vågentid ”on” med generende </w:t>
      </w:r>
      <w:proofErr w:type="spellStart"/>
      <w:r>
        <w:rPr>
          <w:sz w:val="24"/>
          <w:szCs w:val="24"/>
        </w:rPr>
        <w:t>dyskinesier</w:t>
      </w:r>
      <w:proofErr w:type="spellEnd"/>
      <w:r>
        <w:rPr>
          <w:sz w:val="24"/>
          <w:szCs w:val="24"/>
        </w:rPr>
        <w:t xml:space="preserve">, hverken fra dagbogsdata eller fra </w:t>
      </w:r>
      <w:proofErr w:type="gramStart"/>
      <w:r>
        <w:rPr>
          <w:sz w:val="24"/>
          <w:szCs w:val="24"/>
        </w:rPr>
        <w:t>UPDRS observationer</w:t>
      </w:r>
      <w:proofErr w:type="gramEnd"/>
      <w:r>
        <w:rPr>
          <w:sz w:val="24"/>
          <w:szCs w:val="24"/>
        </w:rPr>
        <w:t>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sz w:val="24"/>
          <w:szCs w:val="24"/>
          <w:u w:val="single"/>
        </w:rPr>
      </w:pPr>
      <w:r w:rsidRPr="00D67F3B">
        <w:rPr>
          <w:sz w:val="24"/>
          <w:szCs w:val="24"/>
          <w:u w:val="single"/>
        </w:rPr>
        <w:t xml:space="preserve">Studie af </w:t>
      </w:r>
      <w:proofErr w:type="spellStart"/>
      <w:r w:rsidRPr="00D67F3B">
        <w:rPr>
          <w:sz w:val="24"/>
          <w:szCs w:val="24"/>
          <w:u w:val="single"/>
        </w:rPr>
        <w:t>ropinirols</w:t>
      </w:r>
      <w:proofErr w:type="spellEnd"/>
      <w:r w:rsidRPr="00D67F3B">
        <w:rPr>
          <w:sz w:val="24"/>
          <w:szCs w:val="24"/>
          <w:u w:val="single"/>
        </w:rPr>
        <w:t xml:space="preserve"> virkning på </w:t>
      </w:r>
      <w:proofErr w:type="spellStart"/>
      <w:r w:rsidRPr="00D67F3B">
        <w:rPr>
          <w:sz w:val="24"/>
          <w:szCs w:val="24"/>
          <w:u w:val="single"/>
        </w:rPr>
        <w:t>kardiel</w:t>
      </w:r>
      <w:proofErr w:type="spellEnd"/>
      <w:r w:rsidRPr="00D67F3B">
        <w:rPr>
          <w:sz w:val="24"/>
          <w:szCs w:val="24"/>
          <w:u w:val="single"/>
        </w:rPr>
        <w:t xml:space="preserve"> </w:t>
      </w:r>
      <w:proofErr w:type="spellStart"/>
      <w:r w:rsidRPr="00D67F3B">
        <w:rPr>
          <w:sz w:val="24"/>
          <w:szCs w:val="24"/>
          <w:u w:val="single"/>
        </w:rPr>
        <w:t>repolarisering</w:t>
      </w:r>
      <w:proofErr w:type="spellEnd"/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lastRenderedPageBreak/>
        <w:t xml:space="preserve">Et gennemgribende QT-studie hos raske mandlige og kvindelige frivillige forsøgspersoner, der fik doser på 0,5, 1, 2 og 4 mg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filmovertrukne tabletter (umiddelbar udløsning) én gang dagligt, viste sammenlignet med placebo, en maksimal forlængelse af QT-intervallet på 3,46 millisekunder (punkt estimat) ved en dosis på 1 mg. Den øvre grænse for det ensidede 95 % konfidensinterval for den største gennemsnitlige virkning var mindre end 7,5 millisekunder. </w:t>
      </w:r>
      <w:proofErr w:type="spellStart"/>
      <w:r w:rsidRPr="00D67F3B">
        <w:rPr>
          <w:sz w:val="24"/>
          <w:szCs w:val="24"/>
        </w:rPr>
        <w:t>Ropinirols</w:t>
      </w:r>
      <w:proofErr w:type="spellEnd"/>
      <w:r w:rsidRPr="00D67F3B">
        <w:rPr>
          <w:sz w:val="24"/>
          <w:szCs w:val="24"/>
        </w:rPr>
        <w:t xml:space="preserve"> virkning ved højere doser er ikke systematisk undersøgt. 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>De tilgængelige data fra et gennemgribende QT-studie indikerer ingen risiko for QT-forlængelse ved doser op til 4 mg/dag. Risikoen for forlænget QT-interval kan ikke udelukkes, da der ikke er foretaget et gennemgribende QT-studie ved doser på op til 24 mg/dag.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 w:hanging="851"/>
        <w:rPr>
          <w:b/>
          <w:sz w:val="24"/>
          <w:szCs w:val="24"/>
        </w:rPr>
      </w:pPr>
      <w:r w:rsidRPr="00D67F3B">
        <w:rPr>
          <w:b/>
          <w:sz w:val="24"/>
          <w:szCs w:val="24"/>
        </w:rPr>
        <w:t>5.2</w:t>
      </w:r>
      <w:r w:rsidRPr="00D67F3B">
        <w:rPr>
          <w:b/>
          <w:sz w:val="24"/>
          <w:szCs w:val="24"/>
        </w:rPr>
        <w:tab/>
      </w:r>
      <w:proofErr w:type="spellStart"/>
      <w:r w:rsidRPr="00D67F3B">
        <w:rPr>
          <w:b/>
          <w:sz w:val="24"/>
          <w:szCs w:val="24"/>
        </w:rPr>
        <w:t>Farmakokinetiske</w:t>
      </w:r>
      <w:proofErr w:type="spellEnd"/>
      <w:r w:rsidRPr="00D67F3B">
        <w:rPr>
          <w:b/>
          <w:sz w:val="24"/>
          <w:szCs w:val="24"/>
        </w:rPr>
        <w:t xml:space="preserve"> egenskaber</w:t>
      </w:r>
    </w:p>
    <w:p w:rsidR="00FD20F4" w:rsidRPr="00D67F3B" w:rsidRDefault="00FD20F4" w:rsidP="00FD20F4">
      <w:pPr>
        <w:ind w:left="851" w:hanging="851"/>
        <w:rPr>
          <w:i/>
          <w:sz w:val="24"/>
          <w:szCs w:val="24"/>
          <w:u w:val="single"/>
        </w:rPr>
      </w:pPr>
      <w:r w:rsidRPr="00D67F3B">
        <w:rPr>
          <w:sz w:val="24"/>
          <w:szCs w:val="24"/>
        </w:rPr>
        <w:tab/>
      </w:r>
      <w:r w:rsidRPr="00D67F3B">
        <w:rPr>
          <w:sz w:val="24"/>
          <w:szCs w:val="24"/>
          <w:u w:val="single"/>
        </w:rPr>
        <w:t>Absorption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  <w:proofErr w:type="spellStart"/>
      <w:r w:rsidRPr="00D67F3B">
        <w:rPr>
          <w:sz w:val="24"/>
          <w:szCs w:val="24"/>
        </w:rPr>
        <w:t>Ropinirols</w:t>
      </w:r>
      <w:proofErr w:type="spellEnd"/>
      <w:r w:rsidRPr="00D67F3B">
        <w:rPr>
          <w:sz w:val="24"/>
          <w:szCs w:val="24"/>
        </w:rPr>
        <w:t xml:space="preserve"> biotilgængelighed er ca. 50 % </w:t>
      </w:r>
      <w:r w:rsidR="009F73C5">
        <w:rPr>
          <w:sz w:val="24"/>
          <w:szCs w:val="24"/>
        </w:rPr>
        <w:t xml:space="preserve">(36 ‒ 57 %). </w:t>
      </w:r>
      <w:r w:rsidRPr="00D67F3B">
        <w:rPr>
          <w:sz w:val="24"/>
          <w:szCs w:val="24"/>
        </w:rPr>
        <w:t xml:space="preserve">Efter oral administration af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stiger plasmakoncentrationen langsomt med en gennemsnitlig tid til </w:t>
      </w:r>
      <w:proofErr w:type="spellStart"/>
      <w:r w:rsidRPr="00D67F3B">
        <w:rPr>
          <w:sz w:val="24"/>
          <w:szCs w:val="24"/>
        </w:rPr>
        <w:t>C</w:t>
      </w:r>
      <w:r w:rsidRPr="00D67F3B">
        <w:rPr>
          <w:sz w:val="24"/>
          <w:szCs w:val="24"/>
          <w:vertAlign w:val="subscript"/>
        </w:rPr>
        <w:t>max</w:t>
      </w:r>
      <w:proofErr w:type="spellEnd"/>
      <w:r w:rsidRPr="00D67F3B">
        <w:rPr>
          <w:sz w:val="24"/>
          <w:szCs w:val="24"/>
        </w:rPr>
        <w:t xml:space="preserve"> på mellem 6 og 10 timer. 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 xml:space="preserve">I et </w:t>
      </w:r>
      <w:proofErr w:type="spellStart"/>
      <w:r w:rsidRPr="00D67F3B">
        <w:rPr>
          <w:sz w:val="24"/>
          <w:szCs w:val="24"/>
        </w:rPr>
        <w:t>steady</w:t>
      </w:r>
      <w:proofErr w:type="spellEnd"/>
      <w:r w:rsidRPr="00D67F3B">
        <w:rPr>
          <w:sz w:val="24"/>
          <w:szCs w:val="24"/>
        </w:rPr>
        <w:t xml:space="preserve">-state-studie med 25 patienter med Parkinsons sygdom, som fik en dosis på 12 mg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én gang dagligt, øgede et fedtholdigt måltid den systemiske eksponering for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ved en gennemsnitlig stigning på 20 % i AUC og en gennemsnitlig stigning på 44 % i </w:t>
      </w:r>
      <w:proofErr w:type="spellStart"/>
      <w:r w:rsidRPr="00D67F3B">
        <w:rPr>
          <w:sz w:val="24"/>
          <w:szCs w:val="24"/>
        </w:rPr>
        <w:t>C</w:t>
      </w:r>
      <w:r w:rsidRPr="00D67F3B">
        <w:rPr>
          <w:sz w:val="24"/>
          <w:szCs w:val="24"/>
          <w:vertAlign w:val="subscript"/>
        </w:rPr>
        <w:t>max</w:t>
      </w:r>
      <w:proofErr w:type="spellEnd"/>
      <w:r w:rsidRPr="00D67F3B">
        <w:rPr>
          <w:sz w:val="24"/>
          <w:szCs w:val="24"/>
        </w:rPr>
        <w:t xml:space="preserve">. </w:t>
      </w:r>
      <w:proofErr w:type="spellStart"/>
      <w:r w:rsidRPr="00D67F3B">
        <w:rPr>
          <w:sz w:val="24"/>
          <w:szCs w:val="24"/>
        </w:rPr>
        <w:t>T</w:t>
      </w:r>
      <w:r w:rsidRPr="00D67F3B">
        <w:rPr>
          <w:sz w:val="24"/>
          <w:szCs w:val="24"/>
          <w:vertAlign w:val="subscript"/>
        </w:rPr>
        <w:t>max</w:t>
      </w:r>
      <w:proofErr w:type="spellEnd"/>
      <w:r w:rsidRPr="00D67F3B">
        <w:rPr>
          <w:sz w:val="24"/>
          <w:szCs w:val="24"/>
        </w:rPr>
        <w:t xml:space="preserve"> blev forlænget med 3,0 timer. Det er imidlertid ikke sandsynligt, at disse ændringer er klinisk relevante (f.eks. øget hyppighed af bivirkninger).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 xml:space="preserve">Den systemiske eksponering for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er sammenlignelig for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og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filmovertrukne tabletter (umiddelbar udløsning), baseret på den samme daglige dosis. 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sz w:val="24"/>
          <w:szCs w:val="24"/>
          <w:lang w:val="nb-NO"/>
        </w:rPr>
      </w:pPr>
      <w:r w:rsidRPr="00D67F3B">
        <w:rPr>
          <w:sz w:val="24"/>
          <w:szCs w:val="24"/>
          <w:u w:val="single"/>
          <w:lang w:val="nb-NO"/>
        </w:rPr>
        <w:t>Fordeling</w:t>
      </w:r>
      <w:r w:rsidRPr="00D67F3B">
        <w:rPr>
          <w:sz w:val="24"/>
          <w:szCs w:val="24"/>
          <w:lang w:val="nb-NO"/>
        </w:rPr>
        <w:t xml:space="preserve"> </w:t>
      </w:r>
    </w:p>
    <w:p w:rsidR="00FD20F4" w:rsidRPr="00D67F3B" w:rsidRDefault="00FD20F4" w:rsidP="00FD20F4">
      <w:pPr>
        <w:ind w:left="851"/>
        <w:rPr>
          <w:sz w:val="24"/>
          <w:szCs w:val="24"/>
          <w:lang w:val="nb-NO"/>
        </w:rPr>
      </w:pPr>
      <w:r w:rsidRPr="00D67F3B">
        <w:rPr>
          <w:sz w:val="24"/>
          <w:szCs w:val="24"/>
          <w:lang w:val="nb-NO"/>
        </w:rPr>
        <w:t xml:space="preserve">Ropinirols plasmaproteinbinding er lav </w:t>
      </w:r>
      <w:r w:rsidR="009F73C5">
        <w:rPr>
          <w:sz w:val="24"/>
          <w:szCs w:val="24"/>
          <w:lang w:val="nb-NO"/>
        </w:rPr>
        <w:t xml:space="preserve">(10 ‒ 40 %). </w:t>
      </w:r>
      <w:r w:rsidRPr="00D67F3B">
        <w:rPr>
          <w:sz w:val="24"/>
          <w:szCs w:val="24"/>
          <w:lang w:val="nb-NO"/>
        </w:rPr>
        <w:t>I overensstemmelse med sin høje lipofilicitet udviser ropinirol et stort fordelingsvolumen (ca. 7 liter/kg).</w:t>
      </w:r>
    </w:p>
    <w:p w:rsidR="00FD20F4" w:rsidRPr="00D67F3B" w:rsidRDefault="00FD20F4" w:rsidP="00FD20F4">
      <w:pPr>
        <w:ind w:left="851" w:hanging="851"/>
        <w:rPr>
          <w:sz w:val="24"/>
          <w:szCs w:val="24"/>
          <w:lang w:val="nb-NO"/>
        </w:rPr>
      </w:pPr>
    </w:p>
    <w:p w:rsidR="00FD20F4" w:rsidRPr="00D67F3B" w:rsidRDefault="00FD20F4" w:rsidP="00FD20F4">
      <w:pPr>
        <w:ind w:left="851"/>
        <w:rPr>
          <w:i/>
          <w:sz w:val="24"/>
          <w:szCs w:val="24"/>
          <w:u w:val="single"/>
          <w:lang w:val="nb-NO"/>
        </w:rPr>
      </w:pPr>
      <w:r w:rsidRPr="00D67F3B">
        <w:rPr>
          <w:sz w:val="24"/>
          <w:szCs w:val="24"/>
          <w:u w:val="single"/>
          <w:lang w:val="nb-NO"/>
        </w:rPr>
        <w:t>Biotransformation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  <w:lang w:val="nb-NO"/>
        </w:rPr>
        <w:t xml:space="preserve">Ropinirol metaboliseres primært ved CYP1A2-metabolisme, og metabolitterne udskilles hovedsageligt i urinen. </w:t>
      </w:r>
      <w:r w:rsidRPr="00D67F3B">
        <w:rPr>
          <w:sz w:val="24"/>
          <w:szCs w:val="24"/>
        </w:rPr>
        <w:t xml:space="preserve">Den vigtigste metabolit er mindst 100 gange mindre potent end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i dyremodeller af den </w:t>
      </w:r>
      <w:proofErr w:type="spellStart"/>
      <w:r w:rsidRPr="00D67F3B">
        <w:rPr>
          <w:sz w:val="24"/>
          <w:szCs w:val="24"/>
        </w:rPr>
        <w:t>dopaminerge</w:t>
      </w:r>
      <w:proofErr w:type="spellEnd"/>
      <w:r w:rsidRPr="00D67F3B">
        <w:rPr>
          <w:sz w:val="24"/>
          <w:szCs w:val="24"/>
        </w:rPr>
        <w:t xml:space="preserve"> funktion.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Pr="00D67F3B" w:rsidRDefault="00FD20F4" w:rsidP="00FD20F4">
      <w:pPr>
        <w:ind w:left="851"/>
        <w:rPr>
          <w:i/>
          <w:sz w:val="24"/>
          <w:szCs w:val="24"/>
          <w:u w:val="single"/>
        </w:rPr>
      </w:pPr>
      <w:r w:rsidRPr="00D67F3B">
        <w:rPr>
          <w:sz w:val="24"/>
          <w:szCs w:val="24"/>
          <w:u w:val="single"/>
        </w:rPr>
        <w:t>Elimination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udskilles fra det systemiske kredsløb med en gennemsnitlig eliminations-halveringstid på omkring 6 timer. Stigningen i systemisk eksponering (</w:t>
      </w:r>
      <w:proofErr w:type="spellStart"/>
      <w:r w:rsidRPr="00D67F3B">
        <w:rPr>
          <w:sz w:val="24"/>
          <w:szCs w:val="24"/>
        </w:rPr>
        <w:t>C</w:t>
      </w:r>
      <w:r w:rsidRPr="00D67F3B">
        <w:rPr>
          <w:sz w:val="24"/>
          <w:szCs w:val="24"/>
          <w:vertAlign w:val="subscript"/>
        </w:rPr>
        <w:t>max</w:t>
      </w:r>
      <w:proofErr w:type="spellEnd"/>
      <w:r w:rsidRPr="00D67F3B">
        <w:rPr>
          <w:sz w:val="24"/>
          <w:szCs w:val="24"/>
        </w:rPr>
        <w:t xml:space="preserve"> og AUC) for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er omtrent proportional i det terapeutiske dosisinterval. Der er ikke observeret ændring af den orale </w:t>
      </w:r>
      <w:proofErr w:type="spellStart"/>
      <w:r w:rsidRPr="00D67F3B">
        <w:rPr>
          <w:sz w:val="24"/>
          <w:szCs w:val="24"/>
        </w:rPr>
        <w:t>clearance</w:t>
      </w:r>
      <w:proofErr w:type="spellEnd"/>
      <w:r w:rsidRPr="00D67F3B">
        <w:rPr>
          <w:sz w:val="24"/>
          <w:szCs w:val="24"/>
        </w:rPr>
        <w:t xml:space="preserve"> af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efter enkelt og gentagen oral administration. Der er observeret store </w:t>
      </w:r>
      <w:proofErr w:type="spellStart"/>
      <w:r w:rsidRPr="00D67F3B">
        <w:rPr>
          <w:sz w:val="24"/>
          <w:szCs w:val="24"/>
        </w:rPr>
        <w:t>interindividuelle</w:t>
      </w:r>
      <w:proofErr w:type="spellEnd"/>
      <w:r w:rsidRPr="00D67F3B">
        <w:rPr>
          <w:sz w:val="24"/>
          <w:szCs w:val="24"/>
        </w:rPr>
        <w:t xml:space="preserve"> variationer i de </w:t>
      </w:r>
      <w:proofErr w:type="spellStart"/>
      <w:r w:rsidRPr="00D67F3B">
        <w:rPr>
          <w:sz w:val="24"/>
          <w:szCs w:val="24"/>
        </w:rPr>
        <w:t>farmakokinetiske</w:t>
      </w:r>
      <w:proofErr w:type="spellEnd"/>
      <w:r w:rsidRPr="00D67F3B">
        <w:rPr>
          <w:sz w:val="24"/>
          <w:szCs w:val="24"/>
        </w:rPr>
        <w:t xml:space="preserve"> parametre. Efter </w:t>
      </w:r>
      <w:proofErr w:type="spellStart"/>
      <w:r w:rsidRPr="00D67F3B">
        <w:rPr>
          <w:sz w:val="24"/>
          <w:szCs w:val="24"/>
        </w:rPr>
        <w:t>steady</w:t>
      </w:r>
      <w:proofErr w:type="spellEnd"/>
      <w:r w:rsidRPr="00D67F3B">
        <w:rPr>
          <w:sz w:val="24"/>
          <w:szCs w:val="24"/>
        </w:rPr>
        <w:t>-state</w:t>
      </w:r>
      <w:r w:rsidR="009F73C5">
        <w:rPr>
          <w:sz w:val="24"/>
          <w:szCs w:val="24"/>
        </w:rPr>
        <w:t>-</w:t>
      </w:r>
      <w:r w:rsidRPr="00D67F3B">
        <w:rPr>
          <w:sz w:val="24"/>
          <w:szCs w:val="24"/>
        </w:rPr>
        <w:t xml:space="preserve">administration af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depottabletter er den </w:t>
      </w:r>
      <w:proofErr w:type="spellStart"/>
      <w:r w:rsidRPr="00D67F3B">
        <w:rPr>
          <w:sz w:val="24"/>
          <w:szCs w:val="24"/>
        </w:rPr>
        <w:t>interindividuelle</w:t>
      </w:r>
      <w:proofErr w:type="spellEnd"/>
      <w:r w:rsidRPr="00D67F3B">
        <w:rPr>
          <w:sz w:val="24"/>
          <w:szCs w:val="24"/>
        </w:rPr>
        <w:t xml:space="preserve"> variation for </w:t>
      </w:r>
      <w:proofErr w:type="spellStart"/>
      <w:r w:rsidRPr="00D67F3B">
        <w:rPr>
          <w:sz w:val="24"/>
          <w:szCs w:val="24"/>
        </w:rPr>
        <w:t>C</w:t>
      </w:r>
      <w:r w:rsidRPr="00D67F3B">
        <w:rPr>
          <w:sz w:val="24"/>
          <w:szCs w:val="24"/>
          <w:vertAlign w:val="subscript"/>
        </w:rPr>
        <w:t>max</w:t>
      </w:r>
      <w:proofErr w:type="spellEnd"/>
      <w:r w:rsidRPr="00D67F3B">
        <w:rPr>
          <w:sz w:val="24"/>
          <w:szCs w:val="24"/>
        </w:rPr>
        <w:t xml:space="preserve"> mellem 30 % og 55 % og for AUC mellem 40 % og 70 %.</w:t>
      </w:r>
    </w:p>
    <w:p w:rsidR="00FD20F4" w:rsidRPr="00D67F3B" w:rsidRDefault="00FD20F4" w:rsidP="00FD20F4">
      <w:pPr>
        <w:ind w:left="851" w:hanging="851"/>
        <w:rPr>
          <w:i/>
          <w:sz w:val="24"/>
          <w:szCs w:val="24"/>
          <w:u w:val="single"/>
        </w:rPr>
      </w:pPr>
    </w:p>
    <w:p w:rsidR="00FD20F4" w:rsidRPr="00D67F3B" w:rsidRDefault="00FD20F4" w:rsidP="00FD20F4">
      <w:pPr>
        <w:ind w:left="851"/>
        <w:rPr>
          <w:i/>
          <w:sz w:val="24"/>
          <w:szCs w:val="24"/>
        </w:rPr>
      </w:pPr>
      <w:r w:rsidRPr="00D67F3B">
        <w:rPr>
          <w:i/>
          <w:sz w:val="24"/>
          <w:szCs w:val="24"/>
        </w:rPr>
        <w:t>Nedsat nyrefunktion</w:t>
      </w:r>
    </w:p>
    <w:p w:rsidR="00FD20F4" w:rsidRPr="00D67F3B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t xml:space="preserve">Hos patienter med Parkinsons sygdom med let til moderat nedsat nyrefunktion blev der ikke observeret forandringer i farmakokinetikken for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>.</w:t>
      </w:r>
    </w:p>
    <w:p w:rsidR="00FD20F4" w:rsidRPr="00D67F3B" w:rsidRDefault="00FD20F4" w:rsidP="00FD20F4">
      <w:pPr>
        <w:ind w:left="851" w:hanging="851"/>
        <w:rPr>
          <w:sz w:val="24"/>
          <w:szCs w:val="24"/>
        </w:rPr>
      </w:pPr>
    </w:p>
    <w:p w:rsidR="00FD20F4" w:rsidRDefault="00FD20F4" w:rsidP="00FD20F4">
      <w:pPr>
        <w:ind w:left="851"/>
        <w:rPr>
          <w:sz w:val="24"/>
          <w:szCs w:val="24"/>
        </w:rPr>
      </w:pPr>
      <w:r w:rsidRPr="00D67F3B">
        <w:rPr>
          <w:sz w:val="24"/>
          <w:szCs w:val="24"/>
        </w:rPr>
        <w:lastRenderedPageBreak/>
        <w:t xml:space="preserve">Hos patienter i terminalstadiet af en nyresygdom, i regelmæssig hæmodialyse, blev den orale </w:t>
      </w:r>
      <w:proofErr w:type="spellStart"/>
      <w:r w:rsidRPr="00D67F3B">
        <w:rPr>
          <w:sz w:val="24"/>
          <w:szCs w:val="24"/>
        </w:rPr>
        <w:t>clearance</w:t>
      </w:r>
      <w:proofErr w:type="spellEnd"/>
      <w:r w:rsidRPr="00D67F3B">
        <w:rPr>
          <w:sz w:val="24"/>
          <w:szCs w:val="24"/>
        </w:rPr>
        <w:t xml:space="preserve"> af </w:t>
      </w:r>
      <w:proofErr w:type="spellStart"/>
      <w:r w:rsidRPr="00D67F3B">
        <w:rPr>
          <w:sz w:val="24"/>
          <w:szCs w:val="24"/>
        </w:rPr>
        <w:t>ropinirol</w:t>
      </w:r>
      <w:proofErr w:type="spellEnd"/>
      <w:r w:rsidRPr="00D67F3B">
        <w:rPr>
          <w:sz w:val="24"/>
          <w:szCs w:val="24"/>
        </w:rPr>
        <w:t xml:space="preserve"> nedsat med cirka 30 %. Den orale </w:t>
      </w:r>
      <w:proofErr w:type="spellStart"/>
      <w:r w:rsidRPr="00D67F3B">
        <w:rPr>
          <w:sz w:val="24"/>
          <w:szCs w:val="24"/>
        </w:rPr>
        <w:t>clearance</w:t>
      </w:r>
      <w:proofErr w:type="spellEnd"/>
      <w:r w:rsidRPr="00D67F3B">
        <w:rPr>
          <w:sz w:val="24"/>
          <w:szCs w:val="24"/>
        </w:rPr>
        <w:t xml:space="preserve"> af metabolitterne SKF-104557 og SKF-89124 blev ligeledes nedsat med henholdsvis cirka 80 % og 60 %. Derfor er den anbefalede maksimale dosis hos disse patienter med Parkinsons sygdom begrænset til 18 mg/dag (se pkt. 4.2).</w:t>
      </w:r>
    </w:p>
    <w:p w:rsidR="00C53920" w:rsidRDefault="00C53920" w:rsidP="00C53920">
      <w:pPr>
        <w:ind w:left="851"/>
        <w:rPr>
          <w:sz w:val="24"/>
          <w:szCs w:val="24"/>
          <w:u w:val="single"/>
        </w:rPr>
      </w:pPr>
    </w:p>
    <w:p w:rsidR="00C53920" w:rsidRDefault="00C53920" w:rsidP="00CB4D22">
      <w:pPr>
        <w:keepNext/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Graviditet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Fysiologiske ændringer under graviditeten (inklusiv nedsat aktivitet af CYP1A2) forventes at gradvist føre til øget </w:t>
      </w:r>
      <w:proofErr w:type="spellStart"/>
      <w:r>
        <w:rPr>
          <w:sz w:val="24"/>
          <w:szCs w:val="24"/>
        </w:rPr>
        <w:t>maternel</w:t>
      </w:r>
      <w:proofErr w:type="spellEnd"/>
      <w:r>
        <w:rPr>
          <w:sz w:val="24"/>
          <w:szCs w:val="24"/>
        </w:rPr>
        <w:t xml:space="preserve"> systemisk eksponering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(se også pkt. 4.6).</w:t>
      </w:r>
    </w:p>
    <w:p w:rsidR="00FD20F4" w:rsidRPr="00D67F3B" w:rsidRDefault="00FD20F4" w:rsidP="00FD20F4">
      <w:pPr>
        <w:rPr>
          <w:sz w:val="24"/>
          <w:szCs w:val="24"/>
        </w:rPr>
      </w:pPr>
    </w:p>
    <w:p w:rsidR="00FD20F4" w:rsidRPr="00D67F3B" w:rsidRDefault="00FD20F4" w:rsidP="00FD20F4">
      <w:pPr>
        <w:tabs>
          <w:tab w:val="left" w:pos="851"/>
        </w:tabs>
        <w:rPr>
          <w:b/>
          <w:sz w:val="24"/>
          <w:szCs w:val="24"/>
        </w:rPr>
      </w:pPr>
      <w:r w:rsidRPr="00D67F3B">
        <w:rPr>
          <w:b/>
          <w:sz w:val="24"/>
          <w:szCs w:val="24"/>
        </w:rPr>
        <w:t>5.3</w:t>
      </w:r>
      <w:r w:rsidRPr="00D67F3B">
        <w:rPr>
          <w:b/>
          <w:sz w:val="24"/>
          <w:szCs w:val="24"/>
        </w:rPr>
        <w:tab/>
      </w:r>
      <w:r w:rsidR="00CB4D22">
        <w:rPr>
          <w:b/>
          <w:sz w:val="24"/>
          <w:szCs w:val="24"/>
        </w:rPr>
        <w:t>Non-</w:t>
      </w:r>
      <w:r w:rsidRPr="00D67F3B">
        <w:rPr>
          <w:b/>
          <w:sz w:val="24"/>
          <w:szCs w:val="24"/>
        </w:rPr>
        <w:t>kliniske sikkerhedsdata</w:t>
      </w:r>
    </w:p>
    <w:p w:rsidR="009F73C5" w:rsidRDefault="00FD20F4" w:rsidP="009F73C5">
      <w:pPr>
        <w:ind w:left="851" w:hanging="851"/>
        <w:rPr>
          <w:sz w:val="24"/>
          <w:szCs w:val="24"/>
          <w:u w:val="single"/>
        </w:rPr>
      </w:pPr>
      <w:r w:rsidRPr="00D67F3B">
        <w:rPr>
          <w:sz w:val="24"/>
          <w:szCs w:val="24"/>
        </w:rPr>
        <w:tab/>
      </w:r>
      <w:r w:rsidR="009F73C5">
        <w:rPr>
          <w:sz w:val="24"/>
          <w:szCs w:val="24"/>
          <w:u w:val="single"/>
        </w:rPr>
        <w:t>Reproduktionstoksicitet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fertilitetsstudier udført på hunrotter blev der set påvirkning af implantationen som resultat af </w:t>
      </w:r>
      <w:proofErr w:type="spellStart"/>
      <w:r>
        <w:rPr>
          <w:sz w:val="24"/>
          <w:szCs w:val="24"/>
        </w:rPr>
        <w:t>ropinirols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prolaktin</w:t>
      </w:r>
      <w:proofErr w:type="spellEnd"/>
      <w:r>
        <w:rPr>
          <w:sz w:val="24"/>
          <w:szCs w:val="24"/>
        </w:rPr>
        <w:t xml:space="preserve">-sænkende effekt. Det bør bemærkes, at </w:t>
      </w:r>
      <w:proofErr w:type="spellStart"/>
      <w:r>
        <w:rPr>
          <w:sz w:val="24"/>
          <w:szCs w:val="24"/>
        </w:rPr>
        <w:t>prolaktin</w:t>
      </w:r>
      <w:proofErr w:type="spellEnd"/>
      <w:r>
        <w:rPr>
          <w:sz w:val="24"/>
          <w:szCs w:val="24"/>
        </w:rPr>
        <w:t xml:space="preserve"> ikke er essentielt for implantation hos mennesker. Administration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til drægtige rotter i </w:t>
      </w:r>
      <w:proofErr w:type="spellStart"/>
      <w:r>
        <w:rPr>
          <w:sz w:val="24"/>
          <w:szCs w:val="24"/>
        </w:rPr>
        <w:t>maternelle</w:t>
      </w:r>
      <w:proofErr w:type="spellEnd"/>
      <w:r>
        <w:rPr>
          <w:sz w:val="24"/>
          <w:szCs w:val="24"/>
        </w:rPr>
        <w:t xml:space="preserve"> toksiske doser resulterede i mindsket fostervægt ved 60 mg/kg/dag (middel AUC hos rotter var cirka 2 gange den højeste AUC ved den maksimalt anbefalede dosis hos mennesker (MRHD)), øget fosterdødelighed ved 90 mg/kg/dag (cirka 3 gange den højeste AUC ved MRHD) og misdannelser af fingre og tæer ved 150 mg/kg/dag (cirka 5 gange den højeste AUC ved MRHD). Der var ingen </w:t>
      </w:r>
      <w:proofErr w:type="spellStart"/>
      <w:r>
        <w:rPr>
          <w:sz w:val="24"/>
          <w:szCs w:val="24"/>
        </w:rPr>
        <w:t>teratogen</w:t>
      </w:r>
      <w:proofErr w:type="spellEnd"/>
      <w:r>
        <w:rPr>
          <w:sz w:val="24"/>
          <w:szCs w:val="24"/>
        </w:rPr>
        <w:t xml:space="preserve"> effekt hos rotter ved 120 mg/kg/dag (cirka 4 gange den højeste AUC ved MRHD) og ingen indikation af effekt under </w:t>
      </w:r>
      <w:proofErr w:type="spellStart"/>
      <w:r>
        <w:rPr>
          <w:sz w:val="24"/>
          <w:szCs w:val="24"/>
        </w:rPr>
        <w:t>organogenesen</w:t>
      </w:r>
      <w:proofErr w:type="spellEnd"/>
      <w:r>
        <w:rPr>
          <w:sz w:val="24"/>
          <w:szCs w:val="24"/>
        </w:rPr>
        <w:t xml:space="preserve"> hos kaniner når givet alene ved 20 mg/kg (9,5 gange middel human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ved MRHD). Dog udviste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</w:t>
      </w:r>
      <w:r>
        <w:t>10 mg</w:t>
      </w:r>
      <w:r>
        <w:rPr>
          <w:sz w:val="24"/>
          <w:szCs w:val="24"/>
        </w:rPr>
        <w:t xml:space="preserve">/kg (4,8 gange middel human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ved MRHD) administreret sammen med oral L-</w:t>
      </w:r>
      <w:proofErr w:type="spellStart"/>
      <w:r>
        <w:rPr>
          <w:sz w:val="24"/>
          <w:szCs w:val="24"/>
        </w:rPr>
        <w:t>dopa</w:t>
      </w:r>
      <w:proofErr w:type="spellEnd"/>
      <w:r>
        <w:rPr>
          <w:sz w:val="24"/>
          <w:szCs w:val="24"/>
        </w:rPr>
        <w:t xml:space="preserve"> til kaniner en højere forekomst og alvorsgrad af misdannelser af fingre og tæer sammenlignet med L-</w:t>
      </w:r>
      <w:proofErr w:type="spellStart"/>
      <w:r>
        <w:rPr>
          <w:sz w:val="24"/>
          <w:szCs w:val="24"/>
        </w:rPr>
        <w:t>dopa</w:t>
      </w:r>
      <w:proofErr w:type="spellEnd"/>
      <w:r>
        <w:rPr>
          <w:sz w:val="24"/>
          <w:szCs w:val="24"/>
        </w:rPr>
        <w:t xml:space="preserve"> alene.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Toksikologi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toksikologiske profil er principielt bestemt af den farmakologiske aktivitet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: adfærdsændringer, </w:t>
      </w:r>
      <w:proofErr w:type="spellStart"/>
      <w:r>
        <w:rPr>
          <w:sz w:val="24"/>
          <w:szCs w:val="24"/>
        </w:rPr>
        <w:t>hypoprolaktinæmi</w:t>
      </w:r>
      <w:proofErr w:type="spellEnd"/>
      <w:r>
        <w:rPr>
          <w:sz w:val="24"/>
          <w:szCs w:val="24"/>
        </w:rPr>
        <w:t xml:space="preserve">, fald i blodtryk og puls, </w:t>
      </w:r>
      <w:proofErr w:type="spellStart"/>
      <w:r>
        <w:rPr>
          <w:sz w:val="24"/>
          <w:szCs w:val="24"/>
        </w:rPr>
        <w:t>ptose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savlen</w:t>
      </w:r>
      <w:proofErr w:type="spellEnd"/>
      <w:r>
        <w:rPr>
          <w:sz w:val="24"/>
          <w:szCs w:val="24"/>
        </w:rPr>
        <w:t xml:space="preserve">. Hos albinorotter alene observeredes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degeneration i et langtidsstudie med højeste dosis (50 mg/kg/dag) og var formentligt associeret med en forøget lyseksponering.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Genotoksicitet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Genotoksicitet er ikke observeret i de sædvanlige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>-studier.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Karcinogenicitet</w:t>
      </w:r>
      <w:proofErr w:type="spellEnd"/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>Fra to</w:t>
      </w:r>
      <w:r>
        <w:rPr>
          <w:sz w:val="24"/>
          <w:szCs w:val="24"/>
        </w:rPr>
        <w:noBreakHyphen/>
        <w:t xml:space="preserve">års-studier udført med mus og rotter i doser op til 50 mg/kg var der ingen evidens for nogen karcinogen virkning hos mus. Hos rotter var de eneste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-relaterede læsioner </w:t>
      </w:r>
      <w:proofErr w:type="spellStart"/>
      <w:r>
        <w:rPr>
          <w:sz w:val="24"/>
          <w:szCs w:val="24"/>
        </w:rPr>
        <w:t>Leydig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cellehyperplasi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adenom</w:t>
      </w:r>
      <w:proofErr w:type="spellEnd"/>
      <w:r>
        <w:rPr>
          <w:sz w:val="24"/>
          <w:szCs w:val="24"/>
        </w:rPr>
        <w:t xml:space="preserve"> i testiklerne forårsaget af </w:t>
      </w:r>
      <w:proofErr w:type="spellStart"/>
      <w:r>
        <w:rPr>
          <w:sz w:val="24"/>
          <w:szCs w:val="24"/>
        </w:rPr>
        <w:t>ropinirols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hypoprolaktinæmiske</w:t>
      </w:r>
      <w:proofErr w:type="spellEnd"/>
      <w:r>
        <w:rPr>
          <w:sz w:val="24"/>
          <w:szCs w:val="24"/>
        </w:rPr>
        <w:t xml:space="preserve"> virkning. Disse læsioner betragtes som et artsspecifikt fænomen og udgør ingen risiko med hensyn til klinisk anvendelse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>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Farmakologisk sikkerhed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har vist, at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hæmmer </w:t>
      </w:r>
      <w:proofErr w:type="spellStart"/>
      <w:r>
        <w:rPr>
          <w:sz w:val="24"/>
          <w:szCs w:val="24"/>
        </w:rPr>
        <w:t>hERG</w:t>
      </w:r>
      <w:proofErr w:type="spellEnd"/>
      <w:r>
        <w:rPr>
          <w:sz w:val="24"/>
          <w:szCs w:val="24"/>
        </w:rPr>
        <w:t>-medierede kanaler. IC</w:t>
      </w:r>
      <w:r>
        <w:rPr>
          <w:sz w:val="24"/>
          <w:szCs w:val="24"/>
          <w:vertAlign w:val="subscript"/>
        </w:rPr>
        <w:t>50-</w:t>
      </w:r>
      <w:r>
        <w:rPr>
          <w:sz w:val="24"/>
          <w:szCs w:val="24"/>
        </w:rPr>
        <w:t>værdien er 5 gange højere end den forventede maksimale plasmakoncentration hos patienter behandlet med den maksimale anbefalede dosis (24 mg/dag), se pkt. 5.1.</w:t>
      </w:r>
    </w:p>
    <w:p w:rsidR="009F73C5" w:rsidRDefault="009F73C5" w:rsidP="009F73C5">
      <w:pPr>
        <w:ind w:left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</w:p>
    <w:p w:rsidR="009F73C5" w:rsidRDefault="009F73C5" w:rsidP="009F73C5">
      <w:pPr>
        <w:ind w:left="851"/>
        <w:rPr>
          <w:sz w:val="24"/>
          <w:szCs w:val="24"/>
        </w:rPr>
      </w:pPr>
    </w:p>
    <w:p w:rsidR="00FD20F4" w:rsidRPr="00AC69CA" w:rsidRDefault="00FD20F4" w:rsidP="009F73C5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lastRenderedPageBreak/>
        <w:t>6.</w:t>
      </w:r>
      <w:r w:rsidRPr="00AC69CA">
        <w:rPr>
          <w:b/>
          <w:sz w:val="24"/>
          <w:szCs w:val="24"/>
        </w:rPr>
        <w:tab/>
        <w:t>FARMACEUTISKE OPLYSNINGER</w:t>
      </w: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6.1</w:t>
      </w:r>
      <w:r w:rsidRPr="00AC69CA">
        <w:rPr>
          <w:b/>
          <w:sz w:val="24"/>
          <w:szCs w:val="24"/>
        </w:rPr>
        <w:tab/>
        <w:t>Hjælpestoffer</w:t>
      </w:r>
    </w:p>
    <w:p w:rsidR="00CB4D22" w:rsidRPr="004300A1" w:rsidRDefault="00CB4D22" w:rsidP="00CB4D22">
      <w:pPr>
        <w:ind w:left="851"/>
        <w:rPr>
          <w:i/>
          <w:sz w:val="24"/>
          <w:szCs w:val="24"/>
          <w:u w:val="single"/>
        </w:rPr>
      </w:pPr>
      <w:r w:rsidRPr="004300A1">
        <w:rPr>
          <w:i/>
          <w:sz w:val="24"/>
          <w:szCs w:val="24"/>
          <w:u w:val="single"/>
        </w:rPr>
        <w:t>Tabletkerne</w:t>
      </w:r>
    </w:p>
    <w:p w:rsidR="00CB4D22" w:rsidRPr="004300A1" w:rsidRDefault="00CB4D22" w:rsidP="00CB4D22">
      <w:pPr>
        <w:ind w:left="851"/>
        <w:rPr>
          <w:sz w:val="24"/>
          <w:szCs w:val="24"/>
        </w:rPr>
      </w:pPr>
      <w:proofErr w:type="spellStart"/>
      <w:r w:rsidRPr="004300A1">
        <w:rPr>
          <w:sz w:val="24"/>
          <w:szCs w:val="24"/>
        </w:rPr>
        <w:t>Ammoniummethacrylat</w:t>
      </w:r>
      <w:proofErr w:type="spellEnd"/>
      <w:r w:rsidRPr="004300A1">
        <w:rPr>
          <w:sz w:val="24"/>
          <w:szCs w:val="24"/>
        </w:rPr>
        <w:t xml:space="preserve"> </w:t>
      </w:r>
      <w:proofErr w:type="spellStart"/>
      <w:r w:rsidRPr="004300A1">
        <w:rPr>
          <w:sz w:val="24"/>
          <w:szCs w:val="24"/>
        </w:rPr>
        <w:t>copolymer</w:t>
      </w:r>
      <w:proofErr w:type="spellEnd"/>
      <w:r w:rsidRPr="004300A1">
        <w:rPr>
          <w:sz w:val="24"/>
          <w:szCs w:val="24"/>
        </w:rPr>
        <w:t>, type B</w:t>
      </w:r>
    </w:p>
    <w:p w:rsidR="00CB4D22" w:rsidRPr="00CB4D22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CB4D22">
        <w:rPr>
          <w:sz w:val="24"/>
          <w:szCs w:val="24"/>
          <w:lang w:val="en-US"/>
        </w:rPr>
        <w:t>Hydroxypropylmethylcellulose</w:t>
      </w:r>
      <w:proofErr w:type="spellEnd"/>
      <w:r w:rsidRPr="00CB4D22">
        <w:rPr>
          <w:sz w:val="24"/>
          <w:szCs w:val="24"/>
          <w:lang w:val="en-US"/>
        </w:rPr>
        <w:t xml:space="preserve"> (E464) </w:t>
      </w:r>
    </w:p>
    <w:p w:rsidR="00CB4D22" w:rsidRPr="00CB4D22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CB4D22">
        <w:rPr>
          <w:sz w:val="24"/>
          <w:szCs w:val="24"/>
          <w:lang w:val="en-US"/>
        </w:rPr>
        <w:t>Natriumlaurilsulfat</w:t>
      </w:r>
      <w:proofErr w:type="spellEnd"/>
    </w:p>
    <w:p w:rsidR="00CB4D22" w:rsidRPr="00CB4D22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CB4D22">
        <w:rPr>
          <w:sz w:val="24"/>
          <w:szCs w:val="24"/>
          <w:lang w:val="en-US"/>
        </w:rPr>
        <w:t>Copovidon</w:t>
      </w:r>
      <w:proofErr w:type="spellEnd"/>
    </w:p>
    <w:p w:rsidR="00CB4D22" w:rsidRPr="00CB4D22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CB4D22">
        <w:rPr>
          <w:sz w:val="24"/>
          <w:szCs w:val="24"/>
          <w:lang w:val="en-US"/>
        </w:rPr>
        <w:t>Magnesiumstearat</w:t>
      </w:r>
      <w:proofErr w:type="spellEnd"/>
    </w:p>
    <w:p w:rsidR="00CB4D22" w:rsidRPr="00CB4D22" w:rsidRDefault="00CB4D22" w:rsidP="00CB4D22">
      <w:pPr>
        <w:ind w:left="851"/>
        <w:rPr>
          <w:b/>
          <w:sz w:val="24"/>
          <w:szCs w:val="24"/>
          <w:lang w:val="en-US"/>
        </w:rPr>
      </w:pPr>
    </w:p>
    <w:p w:rsidR="00CB4D22" w:rsidRPr="00597667" w:rsidRDefault="00CB4D22" w:rsidP="00CB4D22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597667">
        <w:rPr>
          <w:i/>
          <w:sz w:val="24"/>
          <w:szCs w:val="24"/>
          <w:u w:val="single"/>
          <w:lang w:val="en-US"/>
        </w:rPr>
        <w:t>Tabletovertræk</w:t>
      </w:r>
      <w:proofErr w:type="spellEnd"/>
    </w:p>
    <w:p w:rsidR="00CB4D22" w:rsidRPr="00CB4D22" w:rsidRDefault="00CB4D22" w:rsidP="00CB4D22">
      <w:pPr>
        <w:ind w:left="851"/>
        <w:rPr>
          <w:i/>
          <w:sz w:val="24"/>
          <w:szCs w:val="24"/>
          <w:lang w:val="en-US"/>
        </w:rPr>
      </w:pPr>
      <w:proofErr w:type="spellStart"/>
      <w:proofErr w:type="gramStart"/>
      <w:r w:rsidRPr="00CB4D22">
        <w:rPr>
          <w:i/>
          <w:sz w:val="24"/>
          <w:szCs w:val="24"/>
          <w:lang w:val="en-US"/>
        </w:rPr>
        <w:t>Ropinirol</w:t>
      </w:r>
      <w:proofErr w:type="spellEnd"/>
      <w:r w:rsidRPr="00CB4D22">
        <w:rPr>
          <w:i/>
          <w:sz w:val="24"/>
          <w:szCs w:val="24"/>
          <w:lang w:val="en-US"/>
        </w:rPr>
        <w:t xml:space="preserve"> ”Orion</w:t>
      </w:r>
      <w:proofErr w:type="gramEnd"/>
      <w:r w:rsidRPr="00CB4D22">
        <w:rPr>
          <w:i/>
          <w:sz w:val="24"/>
          <w:szCs w:val="24"/>
          <w:lang w:val="en-US"/>
        </w:rPr>
        <w:t xml:space="preserve">” 2 mg </w:t>
      </w:r>
      <w:proofErr w:type="spellStart"/>
      <w:r w:rsidRPr="00CB4D22">
        <w:rPr>
          <w:i/>
          <w:sz w:val="24"/>
          <w:szCs w:val="24"/>
          <w:lang w:val="en-US"/>
        </w:rPr>
        <w:t>depottabletter</w:t>
      </w:r>
      <w:proofErr w:type="spellEnd"/>
      <w:r w:rsidRPr="00CB4D22">
        <w:rPr>
          <w:i/>
          <w:sz w:val="24"/>
          <w:szCs w:val="24"/>
          <w:lang w:val="en-US"/>
        </w:rPr>
        <w:t>:</w:t>
      </w:r>
    </w:p>
    <w:p w:rsidR="00CB4D22" w:rsidRPr="00CB4D22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CB4D22">
        <w:rPr>
          <w:sz w:val="24"/>
          <w:szCs w:val="24"/>
          <w:lang w:val="en-US"/>
        </w:rPr>
        <w:t>Lactosemonohydrat</w:t>
      </w:r>
      <w:proofErr w:type="spellEnd"/>
      <w:r w:rsidRPr="00CB4D22">
        <w:rPr>
          <w:sz w:val="24"/>
          <w:szCs w:val="24"/>
          <w:lang w:val="en-US"/>
        </w:rPr>
        <w:t xml:space="preserve"> </w:t>
      </w:r>
    </w:p>
    <w:p w:rsidR="00CB4D22" w:rsidRPr="00CB4D22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CB4D22">
        <w:rPr>
          <w:sz w:val="24"/>
          <w:szCs w:val="24"/>
          <w:lang w:val="en-US"/>
        </w:rPr>
        <w:t>Hydroxypropylmethylcellulose</w:t>
      </w:r>
      <w:proofErr w:type="spellEnd"/>
      <w:r w:rsidRPr="00CB4D22">
        <w:rPr>
          <w:sz w:val="24"/>
          <w:szCs w:val="24"/>
          <w:lang w:val="en-US"/>
        </w:rPr>
        <w:t xml:space="preserve"> (E464)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>Titandioxid (E171)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>Triacetin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>Jernoxid, rød (E172)</w:t>
      </w:r>
    </w:p>
    <w:p w:rsidR="00CB4D22" w:rsidRPr="00623E8A" w:rsidRDefault="00CB4D22" w:rsidP="00CB4D22">
      <w:pPr>
        <w:ind w:left="851"/>
        <w:rPr>
          <w:i/>
          <w:sz w:val="24"/>
          <w:szCs w:val="24"/>
          <w:lang w:val="es-ES"/>
        </w:rPr>
      </w:pPr>
    </w:p>
    <w:p w:rsidR="00CB4D22" w:rsidRPr="00623E8A" w:rsidRDefault="00CB4D22" w:rsidP="00CB4D22">
      <w:pPr>
        <w:ind w:left="851"/>
        <w:rPr>
          <w:i/>
          <w:sz w:val="24"/>
          <w:szCs w:val="24"/>
          <w:lang w:val="es-ES"/>
        </w:rPr>
      </w:pPr>
      <w:r w:rsidRPr="00623E8A">
        <w:rPr>
          <w:i/>
          <w:sz w:val="24"/>
          <w:szCs w:val="24"/>
          <w:lang w:val="es-ES"/>
        </w:rPr>
        <w:t>Ropinirol ”Orion” 4 mg depottabletter: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>Titandioxid (E171)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 xml:space="preserve">Hydroxypropylmethylcellulose </w:t>
      </w:r>
      <w:r>
        <w:rPr>
          <w:sz w:val="24"/>
          <w:szCs w:val="24"/>
          <w:lang w:val="es-ES"/>
        </w:rPr>
        <w:t>(</w:t>
      </w:r>
      <w:r w:rsidRPr="00623E8A">
        <w:rPr>
          <w:sz w:val="24"/>
          <w:szCs w:val="24"/>
          <w:lang w:val="es-ES"/>
        </w:rPr>
        <w:t>E464</w:t>
      </w:r>
      <w:r>
        <w:rPr>
          <w:sz w:val="24"/>
          <w:szCs w:val="24"/>
          <w:lang w:val="es-ES"/>
        </w:rPr>
        <w:t>)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>Macrogol 400</w:t>
      </w:r>
    </w:p>
    <w:p w:rsidR="00CB4D22" w:rsidRPr="00623E8A" w:rsidRDefault="00CB4D22" w:rsidP="00CB4D22">
      <w:pPr>
        <w:ind w:left="851"/>
        <w:rPr>
          <w:sz w:val="24"/>
          <w:szCs w:val="24"/>
          <w:lang w:val="es-ES"/>
        </w:rPr>
      </w:pPr>
      <w:r w:rsidRPr="00623E8A">
        <w:rPr>
          <w:sz w:val="24"/>
          <w:szCs w:val="24"/>
          <w:lang w:val="es-ES"/>
        </w:rPr>
        <w:t>Indigocarmin (E132)</w:t>
      </w:r>
    </w:p>
    <w:p w:rsidR="00CB4D22" w:rsidRPr="00F96A84" w:rsidRDefault="00CB4D22" w:rsidP="00CB4D22">
      <w:pPr>
        <w:ind w:left="851"/>
        <w:rPr>
          <w:sz w:val="24"/>
          <w:szCs w:val="24"/>
          <w:lang w:val="en-US"/>
        </w:rPr>
      </w:pPr>
      <w:r w:rsidRPr="00F96A84">
        <w:rPr>
          <w:sz w:val="24"/>
          <w:szCs w:val="24"/>
          <w:lang w:val="en-US"/>
        </w:rPr>
        <w:t>Sunset yellow (E110)</w:t>
      </w:r>
    </w:p>
    <w:p w:rsidR="00CB4D22" w:rsidRPr="00F96A84" w:rsidRDefault="00CB4D22" w:rsidP="00CB4D22">
      <w:pPr>
        <w:ind w:left="851"/>
        <w:rPr>
          <w:sz w:val="24"/>
          <w:szCs w:val="24"/>
          <w:lang w:val="en-US"/>
        </w:rPr>
      </w:pPr>
    </w:p>
    <w:p w:rsidR="00CB4D22" w:rsidRPr="00F96A84" w:rsidRDefault="00CB4D22" w:rsidP="00CB4D22">
      <w:pPr>
        <w:keepNext/>
        <w:ind w:left="851"/>
        <w:rPr>
          <w:i/>
          <w:sz w:val="24"/>
          <w:szCs w:val="24"/>
          <w:lang w:val="en-US"/>
        </w:rPr>
      </w:pPr>
      <w:proofErr w:type="spellStart"/>
      <w:proofErr w:type="gramStart"/>
      <w:r w:rsidRPr="00F96A84">
        <w:rPr>
          <w:i/>
          <w:sz w:val="24"/>
          <w:szCs w:val="24"/>
          <w:lang w:val="en-US"/>
        </w:rPr>
        <w:t>Ropinirol</w:t>
      </w:r>
      <w:proofErr w:type="spellEnd"/>
      <w:r w:rsidRPr="00F96A84">
        <w:rPr>
          <w:i/>
          <w:sz w:val="24"/>
          <w:szCs w:val="24"/>
          <w:lang w:val="en-US"/>
        </w:rPr>
        <w:t xml:space="preserve"> ”Orion</w:t>
      </w:r>
      <w:proofErr w:type="gramEnd"/>
      <w:r w:rsidRPr="00F96A84">
        <w:rPr>
          <w:i/>
          <w:sz w:val="24"/>
          <w:szCs w:val="24"/>
          <w:lang w:val="en-US"/>
        </w:rPr>
        <w:t xml:space="preserve">” 8 mg </w:t>
      </w:r>
      <w:proofErr w:type="spellStart"/>
      <w:r w:rsidRPr="00F96A84">
        <w:rPr>
          <w:i/>
          <w:sz w:val="24"/>
          <w:szCs w:val="24"/>
          <w:lang w:val="en-US"/>
        </w:rPr>
        <w:t>depottabletter</w:t>
      </w:r>
      <w:proofErr w:type="spellEnd"/>
      <w:r w:rsidRPr="00F96A84">
        <w:rPr>
          <w:i/>
          <w:sz w:val="24"/>
          <w:szCs w:val="24"/>
          <w:lang w:val="en-US"/>
        </w:rPr>
        <w:t>:</w:t>
      </w:r>
    </w:p>
    <w:p w:rsidR="00CB4D22" w:rsidRPr="00F96A84" w:rsidRDefault="00CB4D22" w:rsidP="00CB4D22">
      <w:pPr>
        <w:keepNext/>
        <w:ind w:left="851"/>
        <w:rPr>
          <w:sz w:val="24"/>
          <w:szCs w:val="24"/>
          <w:lang w:val="en-US"/>
        </w:rPr>
      </w:pPr>
      <w:proofErr w:type="spellStart"/>
      <w:r w:rsidRPr="00F96A84">
        <w:rPr>
          <w:sz w:val="24"/>
          <w:szCs w:val="24"/>
          <w:lang w:val="en-US"/>
        </w:rPr>
        <w:t>Titandioxid</w:t>
      </w:r>
      <w:proofErr w:type="spellEnd"/>
      <w:r w:rsidRPr="00F96A84">
        <w:rPr>
          <w:sz w:val="24"/>
          <w:szCs w:val="24"/>
          <w:lang w:val="en-US"/>
        </w:rPr>
        <w:t xml:space="preserve"> (E171)</w:t>
      </w:r>
    </w:p>
    <w:p w:rsidR="00CB4D22" w:rsidRPr="00F96A84" w:rsidRDefault="00CB4D22" w:rsidP="00CB4D22">
      <w:pPr>
        <w:ind w:left="851"/>
        <w:rPr>
          <w:sz w:val="24"/>
          <w:szCs w:val="24"/>
          <w:lang w:val="en-US"/>
        </w:rPr>
      </w:pPr>
      <w:proofErr w:type="spellStart"/>
      <w:r w:rsidRPr="00F96A84">
        <w:rPr>
          <w:sz w:val="24"/>
          <w:szCs w:val="24"/>
          <w:lang w:val="en-US"/>
        </w:rPr>
        <w:t>Hydroxypropylmethylcellulose</w:t>
      </w:r>
      <w:proofErr w:type="spellEnd"/>
      <w:r w:rsidRPr="00F96A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Pr="00F96A84">
        <w:rPr>
          <w:sz w:val="24"/>
          <w:szCs w:val="24"/>
          <w:lang w:val="en-US"/>
        </w:rPr>
        <w:t>E464</w:t>
      </w:r>
      <w:r>
        <w:rPr>
          <w:sz w:val="24"/>
          <w:szCs w:val="24"/>
          <w:lang w:val="en-US"/>
        </w:rPr>
        <w:t>)</w:t>
      </w:r>
    </w:p>
    <w:p w:rsidR="00CB4D22" w:rsidRPr="000E21E5" w:rsidRDefault="00CB4D22" w:rsidP="00CB4D22">
      <w:pPr>
        <w:ind w:left="851"/>
        <w:rPr>
          <w:sz w:val="24"/>
          <w:szCs w:val="24"/>
        </w:rPr>
      </w:pPr>
      <w:proofErr w:type="spellStart"/>
      <w:r w:rsidRPr="000E21E5">
        <w:rPr>
          <w:sz w:val="24"/>
          <w:szCs w:val="24"/>
        </w:rPr>
        <w:t>Macrogol</w:t>
      </w:r>
      <w:proofErr w:type="spellEnd"/>
      <w:r w:rsidRPr="000E21E5">
        <w:rPr>
          <w:sz w:val="24"/>
          <w:szCs w:val="24"/>
        </w:rPr>
        <w:t xml:space="preserve"> 400</w:t>
      </w:r>
    </w:p>
    <w:p w:rsidR="00CB4D22" w:rsidRPr="000E21E5" w:rsidRDefault="00CB4D22" w:rsidP="00CB4D22">
      <w:pPr>
        <w:ind w:left="851"/>
        <w:rPr>
          <w:sz w:val="24"/>
          <w:szCs w:val="24"/>
        </w:rPr>
      </w:pPr>
      <w:r w:rsidRPr="000E21E5">
        <w:rPr>
          <w:sz w:val="24"/>
          <w:szCs w:val="24"/>
        </w:rPr>
        <w:t>Jernoxid, rød (E172)</w:t>
      </w:r>
    </w:p>
    <w:p w:rsidR="00CB4D22" w:rsidRPr="000E21E5" w:rsidRDefault="00CB4D22" w:rsidP="00CB4D22">
      <w:pPr>
        <w:ind w:left="851"/>
        <w:rPr>
          <w:sz w:val="24"/>
          <w:szCs w:val="24"/>
        </w:rPr>
      </w:pPr>
      <w:r w:rsidRPr="000E21E5">
        <w:rPr>
          <w:sz w:val="24"/>
          <w:szCs w:val="24"/>
        </w:rPr>
        <w:t>Jernoxid, sort (E172)</w:t>
      </w:r>
    </w:p>
    <w:p w:rsidR="00CB4D22" w:rsidRPr="000E21E5" w:rsidRDefault="00CB4D22" w:rsidP="00CB4D22">
      <w:pPr>
        <w:ind w:left="851"/>
        <w:rPr>
          <w:sz w:val="24"/>
          <w:szCs w:val="24"/>
        </w:rPr>
      </w:pPr>
      <w:r w:rsidRPr="000E21E5">
        <w:rPr>
          <w:sz w:val="24"/>
          <w:szCs w:val="24"/>
        </w:rPr>
        <w:t>Jernoxid, gul (E172)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6.2</w:t>
      </w:r>
      <w:r w:rsidRPr="00AC69CA">
        <w:rPr>
          <w:b/>
          <w:sz w:val="24"/>
          <w:szCs w:val="24"/>
        </w:rPr>
        <w:tab/>
        <w:t>Uforligeligheder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Ikke relevant.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6.3</w:t>
      </w:r>
      <w:r w:rsidRPr="00AC69CA">
        <w:rPr>
          <w:b/>
          <w:sz w:val="24"/>
          <w:szCs w:val="24"/>
        </w:rPr>
        <w:tab/>
        <w:t>Opbevaringstid</w:t>
      </w:r>
    </w:p>
    <w:p w:rsidR="009F73C5" w:rsidRDefault="00FD20F4" w:rsidP="009F73C5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="009F73C5">
        <w:rPr>
          <w:sz w:val="24"/>
          <w:szCs w:val="24"/>
        </w:rPr>
        <w:t>3 år.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>Beholder: 90 dage.</w:t>
      </w:r>
    </w:p>
    <w:p w:rsidR="009F73C5" w:rsidRDefault="009F73C5" w:rsidP="009F73C5">
      <w:pPr>
        <w:ind w:left="851"/>
        <w:rPr>
          <w:sz w:val="24"/>
          <w:szCs w:val="24"/>
        </w:rPr>
      </w:pPr>
      <w:r>
        <w:rPr>
          <w:sz w:val="24"/>
          <w:szCs w:val="24"/>
        </w:rPr>
        <w:t>Blister: Ikke relevant.</w:t>
      </w:r>
    </w:p>
    <w:p w:rsidR="00FD20F4" w:rsidRPr="00AC69CA" w:rsidRDefault="00FD20F4" w:rsidP="009F73C5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6.4</w:t>
      </w:r>
      <w:r w:rsidRPr="00AC69CA">
        <w:rPr>
          <w:b/>
          <w:sz w:val="24"/>
          <w:szCs w:val="24"/>
        </w:rPr>
        <w:tab/>
        <w:t>Særlige opbevaringsforhold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Opbevares ved temperaturer under 25 °C.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keepNext/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6.5</w:t>
      </w:r>
      <w:r w:rsidRPr="00AC69CA">
        <w:rPr>
          <w:b/>
          <w:sz w:val="24"/>
          <w:szCs w:val="24"/>
        </w:rPr>
        <w:tab/>
        <w:t>Emballagetype og pakningsstørrelser</w:t>
      </w:r>
    </w:p>
    <w:p w:rsidR="009F73C5" w:rsidRDefault="00FD20F4" w:rsidP="009F73C5">
      <w:pPr>
        <w:ind w:left="851" w:hanging="851"/>
        <w:rPr>
          <w:i/>
          <w:sz w:val="24"/>
          <w:szCs w:val="24"/>
        </w:rPr>
      </w:pPr>
      <w:r w:rsidRPr="00AC69CA">
        <w:rPr>
          <w:sz w:val="24"/>
          <w:szCs w:val="24"/>
        </w:rPr>
        <w:tab/>
      </w:r>
      <w:proofErr w:type="spellStart"/>
      <w:r w:rsidR="009F73C5">
        <w:rPr>
          <w:i/>
          <w:sz w:val="24"/>
          <w:szCs w:val="24"/>
        </w:rPr>
        <w:t>Ropinirol</w:t>
      </w:r>
      <w:proofErr w:type="spellEnd"/>
      <w:r w:rsidR="009F73C5">
        <w:rPr>
          <w:i/>
          <w:sz w:val="24"/>
          <w:szCs w:val="24"/>
        </w:rPr>
        <w:t xml:space="preserve"> ”Orion” 2 mg depottabletter:</w:t>
      </w:r>
    </w:p>
    <w:p w:rsidR="009F73C5" w:rsidRDefault="009F73C5" w:rsidP="009F73C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”Orion” fås i hvide uigennemsigtige PVC/PCTFE-aluminium folieblisterpakninger med 21, 28 eller 84 depottabletter og i hvide uigennemsigtige HDPE-beholdere med børnesikret skruelåg og fastgjort tørremiddel med 84 depottabletter.</w:t>
      </w:r>
    </w:p>
    <w:p w:rsidR="009F73C5" w:rsidRDefault="009F73C5" w:rsidP="009F73C5">
      <w:pPr>
        <w:ind w:left="851" w:hanging="851"/>
        <w:rPr>
          <w:sz w:val="24"/>
          <w:szCs w:val="24"/>
        </w:rPr>
      </w:pPr>
    </w:p>
    <w:p w:rsidR="009F73C5" w:rsidRDefault="009F73C5" w:rsidP="009F73C5">
      <w:pPr>
        <w:keepNext/>
        <w:ind w:left="851" w:hanging="851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”Orion” 4 mg depottabletter:</w:t>
      </w:r>
    </w:p>
    <w:p w:rsidR="009F73C5" w:rsidRDefault="009F73C5" w:rsidP="009F73C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”Orion” fås i hvide, uigennemsigtige PVC/PCTFE-aluminium folieblisterpakninger med 21, 28 eller 84 depottabletter og i hvide uigennemsigtige HDPE-beholdere med børnesikret skruelåg og fastgjort tørremiddel med 84 depottabletter.</w:t>
      </w:r>
    </w:p>
    <w:p w:rsidR="009F73C5" w:rsidRDefault="009F73C5" w:rsidP="009F73C5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9F73C5" w:rsidRDefault="009F73C5" w:rsidP="009F73C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Ropinirol</w:t>
      </w:r>
      <w:proofErr w:type="spellEnd"/>
      <w:r>
        <w:rPr>
          <w:i/>
          <w:sz w:val="24"/>
          <w:szCs w:val="24"/>
        </w:rPr>
        <w:t xml:space="preserve"> ”Orion” 8 mg depottabletter:</w:t>
      </w:r>
    </w:p>
    <w:p w:rsidR="009F73C5" w:rsidRDefault="009F73C5" w:rsidP="009F73C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”Orion” fås i hvide, uigennemsigtige PVC/PCTFE-aluminium folieblisterpakninger med 21, 28 eller 84 depottabletter og i hvide uigennemsigtige HDPE-beholdere med børnesikret skruelåg og fastgjort tørremiddel med 84 depottabletter.</w:t>
      </w:r>
    </w:p>
    <w:p w:rsidR="00FD20F4" w:rsidRPr="00AC69CA" w:rsidRDefault="00FD20F4" w:rsidP="009F73C5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Ikke alle pakningsstørrelser er nødvendigvis markedsført.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6.6</w:t>
      </w:r>
      <w:r w:rsidRPr="00AC69CA">
        <w:rPr>
          <w:b/>
          <w:sz w:val="24"/>
          <w:szCs w:val="24"/>
        </w:rPr>
        <w:tab/>
        <w:t xml:space="preserve">Regler for </w:t>
      </w:r>
      <w:r w:rsidR="00CB4D22">
        <w:rPr>
          <w:b/>
          <w:sz w:val="24"/>
          <w:szCs w:val="24"/>
        </w:rPr>
        <w:t>bortskaffelse</w:t>
      </w:r>
      <w:r w:rsidRPr="00AC69CA">
        <w:rPr>
          <w:b/>
          <w:sz w:val="24"/>
          <w:szCs w:val="24"/>
        </w:rPr>
        <w:t xml:space="preserve"> og anden håndtering</w:t>
      </w:r>
    </w:p>
    <w:p w:rsidR="00FD20F4" w:rsidRDefault="00FD20F4" w:rsidP="00FD20F4">
      <w:pPr>
        <w:ind w:left="851" w:hanging="851"/>
        <w:rPr>
          <w:bCs/>
          <w:sz w:val="24"/>
          <w:szCs w:val="24"/>
        </w:rPr>
      </w:pPr>
      <w:r w:rsidRPr="00AC69CA">
        <w:rPr>
          <w:sz w:val="24"/>
          <w:szCs w:val="24"/>
        </w:rPr>
        <w:tab/>
        <w:t xml:space="preserve">Ikke anvendt lægemiddel samt affald heraf skal </w:t>
      </w:r>
      <w:r w:rsidRPr="00AC69CA">
        <w:rPr>
          <w:bCs/>
          <w:sz w:val="24"/>
          <w:szCs w:val="24"/>
        </w:rPr>
        <w:t>bortskaffes i henhold til lokale retningslinjer.</w:t>
      </w:r>
    </w:p>
    <w:p w:rsidR="00FD20F4" w:rsidRDefault="00FD20F4" w:rsidP="00FD20F4">
      <w:pPr>
        <w:ind w:left="851" w:hanging="851"/>
        <w:rPr>
          <w:b/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7.</w:t>
      </w:r>
      <w:r w:rsidRPr="00AC69CA">
        <w:rPr>
          <w:b/>
          <w:sz w:val="24"/>
          <w:szCs w:val="24"/>
        </w:rPr>
        <w:tab/>
        <w:t>INDEHAVER AF MARKEDSFØRINGSTILLADELSEN</w:t>
      </w:r>
    </w:p>
    <w:p w:rsidR="00FD20F4" w:rsidRPr="00C16493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Pr="00C16493">
        <w:rPr>
          <w:sz w:val="24"/>
          <w:szCs w:val="24"/>
        </w:rPr>
        <w:t>Orion Corporation</w:t>
      </w:r>
    </w:p>
    <w:p w:rsidR="00FD20F4" w:rsidRPr="00C16493" w:rsidRDefault="00FD20F4" w:rsidP="00FD20F4">
      <w:pPr>
        <w:ind w:left="851"/>
        <w:rPr>
          <w:sz w:val="24"/>
          <w:szCs w:val="24"/>
        </w:rPr>
      </w:pPr>
      <w:proofErr w:type="spellStart"/>
      <w:r w:rsidRPr="00C16493">
        <w:rPr>
          <w:sz w:val="24"/>
          <w:szCs w:val="24"/>
        </w:rPr>
        <w:t>Orionintie</w:t>
      </w:r>
      <w:proofErr w:type="spellEnd"/>
      <w:r w:rsidRPr="00C16493">
        <w:rPr>
          <w:sz w:val="24"/>
          <w:szCs w:val="24"/>
        </w:rPr>
        <w:t xml:space="preserve"> 1</w:t>
      </w:r>
    </w:p>
    <w:p w:rsidR="00FD20F4" w:rsidRDefault="00FD20F4" w:rsidP="00FD20F4">
      <w:pPr>
        <w:ind w:left="851"/>
        <w:rPr>
          <w:sz w:val="24"/>
          <w:szCs w:val="24"/>
          <w:lang w:val="en-US"/>
        </w:rPr>
      </w:pPr>
      <w:r w:rsidRPr="00AC69CA">
        <w:rPr>
          <w:sz w:val="24"/>
          <w:szCs w:val="24"/>
          <w:lang w:val="en-US"/>
        </w:rPr>
        <w:t>FI- 02200 Espoo</w:t>
      </w:r>
    </w:p>
    <w:p w:rsidR="00FD20F4" w:rsidRPr="00AC69CA" w:rsidRDefault="00FD20F4" w:rsidP="00FD20F4">
      <w:pPr>
        <w:ind w:left="851"/>
        <w:rPr>
          <w:sz w:val="24"/>
          <w:szCs w:val="24"/>
          <w:lang w:val="en-US"/>
        </w:rPr>
      </w:pPr>
      <w:r w:rsidRPr="00AC69CA">
        <w:rPr>
          <w:sz w:val="24"/>
          <w:szCs w:val="24"/>
          <w:lang w:val="en-US"/>
        </w:rPr>
        <w:t>Finland</w:t>
      </w:r>
    </w:p>
    <w:p w:rsidR="00FD20F4" w:rsidRPr="00AC69CA" w:rsidRDefault="00FD20F4" w:rsidP="00FD20F4">
      <w:pPr>
        <w:ind w:left="851" w:hanging="851"/>
        <w:rPr>
          <w:sz w:val="24"/>
          <w:szCs w:val="24"/>
          <w:lang w:val="en-US"/>
        </w:rPr>
      </w:pPr>
    </w:p>
    <w:p w:rsidR="00FD20F4" w:rsidRPr="00FD48CF" w:rsidRDefault="00FD20F4" w:rsidP="00FD20F4">
      <w:pPr>
        <w:ind w:left="851"/>
        <w:rPr>
          <w:b/>
          <w:sz w:val="24"/>
          <w:szCs w:val="24"/>
          <w:lang w:val="en-GB"/>
        </w:rPr>
      </w:pPr>
      <w:proofErr w:type="spellStart"/>
      <w:r w:rsidRPr="00FD48CF">
        <w:rPr>
          <w:b/>
          <w:sz w:val="24"/>
          <w:szCs w:val="24"/>
          <w:lang w:val="en-GB"/>
        </w:rPr>
        <w:t>Repræsentant</w:t>
      </w:r>
      <w:proofErr w:type="spellEnd"/>
    </w:p>
    <w:p w:rsidR="00FD20F4" w:rsidRPr="002259DE" w:rsidRDefault="00FD20F4" w:rsidP="00FD20F4">
      <w:pPr>
        <w:ind w:left="851"/>
        <w:rPr>
          <w:rFonts w:eastAsia="MS Mincho"/>
          <w:iCs/>
          <w:sz w:val="24"/>
          <w:szCs w:val="24"/>
          <w:lang w:val="en-US"/>
        </w:rPr>
      </w:pPr>
      <w:r w:rsidRPr="002259DE">
        <w:rPr>
          <w:rFonts w:eastAsia="MS Mincho"/>
          <w:iCs/>
          <w:sz w:val="24"/>
          <w:szCs w:val="24"/>
          <w:lang w:val="en-US"/>
        </w:rPr>
        <w:t>Orion Pharma A/S</w:t>
      </w:r>
    </w:p>
    <w:p w:rsidR="00FD20F4" w:rsidRPr="006E58D1" w:rsidRDefault="00FD20F4" w:rsidP="00FD20F4">
      <w:pPr>
        <w:ind w:left="851"/>
        <w:rPr>
          <w:rFonts w:eastAsia="MS Mincho"/>
          <w:iCs/>
          <w:sz w:val="24"/>
          <w:szCs w:val="24"/>
        </w:rPr>
      </w:pPr>
      <w:r w:rsidRPr="006E58D1">
        <w:rPr>
          <w:rFonts w:eastAsia="MS Mincho"/>
          <w:iCs/>
          <w:sz w:val="24"/>
          <w:szCs w:val="24"/>
        </w:rPr>
        <w:t>Ørestads Boulevard 73</w:t>
      </w:r>
    </w:p>
    <w:p w:rsidR="00FD20F4" w:rsidRPr="00FA3F98" w:rsidRDefault="00FD20F4" w:rsidP="00FD20F4">
      <w:pPr>
        <w:ind w:left="851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2300 København S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8.</w:t>
      </w:r>
      <w:r w:rsidRPr="00AC69CA">
        <w:rPr>
          <w:b/>
          <w:sz w:val="24"/>
          <w:szCs w:val="24"/>
        </w:rPr>
        <w:tab/>
        <w:t>MARKEDSFØRINGSTILLADELSESNUMMER (</w:t>
      </w:r>
      <w:r w:rsidR="00CB4D22">
        <w:rPr>
          <w:b/>
          <w:sz w:val="24"/>
          <w:szCs w:val="24"/>
        </w:rPr>
        <w:t>-</w:t>
      </w:r>
      <w:r w:rsidRPr="00AC69CA">
        <w:rPr>
          <w:b/>
          <w:sz w:val="24"/>
          <w:szCs w:val="24"/>
        </w:rPr>
        <w:t>NUMRE)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2 mg:</w:t>
      </w:r>
      <w:r>
        <w:rPr>
          <w:sz w:val="24"/>
          <w:szCs w:val="24"/>
        </w:rPr>
        <w:tab/>
        <w:t>50986</w:t>
      </w:r>
    </w:p>
    <w:p w:rsidR="00FD20F4" w:rsidRPr="00AC69CA" w:rsidRDefault="00FD20F4" w:rsidP="00FD20F4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4 mg:</w:t>
      </w:r>
      <w:r>
        <w:rPr>
          <w:sz w:val="24"/>
          <w:szCs w:val="24"/>
        </w:rPr>
        <w:tab/>
        <w:t>50987</w:t>
      </w:r>
    </w:p>
    <w:p w:rsidR="00FD20F4" w:rsidRPr="00AC69CA" w:rsidRDefault="00FD20F4" w:rsidP="00FD20F4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8 mg:</w:t>
      </w:r>
      <w:r>
        <w:rPr>
          <w:sz w:val="24"/>
          <w:szCs w:val="24"/>
        </w:rPr>
        <w:tab/>
        <w:t>50988</w:t>
      </w:r>
    </w:p>
    <w:p w:rsidR="00FD20F4" w:rsidRPr="00AC69CA" w:rsidRDefault="00FD20F4" w:rsidP="00FD20F4">
      <w:pPr>
        <w:ind w:left="851" w:hanging="851"/>
        <w:jc w:val="both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9.</w:t>
      </w:r>
      <w:r w:rsidRPr="00AC69CA">
        <w:rPr>
          <w:b/>
          <w:sz w:val="24"/>
          <w:szCs w:val="24"/>
        </w:rPr>
        <w:tab/>
        <w:t>DATO FOR FØRSTE MARKEDSFØRINGSTILLADELSE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2</w:t>
      </w:r>
      <w:r>
        <w:rPr>
          <w:sz w:val="24"/>
          <w:szCs w:val="24"/>
        </w:rPr>
        <w:t>4</w:t>
      </w:r>
      <w:r w:rsidRPr="00AC69CA">
        <w:rPr>
          <w:sz w:val="24"/>
          <w:szCs w:val="24"/>
        </w:rPr>
        <w:t>. september 2012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</w:p>
    <w:p w:rsidR="00FD20F4" w:rsidRPr="00AC69CA" w:rsidRDefault="00FD20F4" w:rsidP="00FD20F4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10.</w:t>
      </w:r>
      <w:r w:rsidRPr="00AC69CA">
        <w:rPr>
          <w:b/>
          <w:sz w:val="24"/>
          <w:szCs w:val="24"/>
        </w:rPr>
        <w:tab/>
        <w:t>DATO FOR ÆNDRING AF TEKSTEN</w:t>
      </w:r>
    </w:p>
    <w:p w:rsidR="00FD20F4" w:rsidRPr="00AC69CA" w:rsidRDefault="00FD20F4" w:rsidP="00FD20F4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="009F73C5">
        <w:rPr>
          <w:sz w:val="24"/>
          <w:szCs w:val="24"/>
        </w:rPr>
        <w:t>7. februar 2024</w:t>
      </w:r>
      <w:bookmarkStart w:id="0" w:name="_GoBack"/>
      <w:bookmarkEnd w:id="0"/>
    </w:p>
    <w:p w:rsidR="00FD20F4" w:rsidRPr="003C5F40" w:rsidRDefault="00FD20F4" w:rsidP="00FD20F4"/>
    <w:p w:rsidR="00FD20F4" w:rsidRPr="00D26F48" w:rsidRDefault="00FD20F4" w:rsidP="00FD20F4"/>
    <w:p w:rsidR="009260DE" w:rsidRPr="00FD20F4" w:rsidRDefault="009260DE" w:rsidP="00FD20F4"/>
    <w:sectPr w:rsidR="009260DE" w:rsidRPr="00FD20F4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F4" w:rsidRDefault="00FD20F4">
      <w:r>
        <w:separator/>
      </w:r>
    </w:p>
  </w:endnote>
  <w:endnote w:type="continuationSeparator" w:id="0">
    <w:p w:rsidR="00FD20F4" w:rsidRDefault="00FD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A2F86">
      <w:rPr>
        <w:i/>
        <w:noProof/>
        <w:sz w:val="18"/>
        <w:szCs w:val="18"/>
      </w:rPr>
      <w:t>Ropinirol Orion, depottabletter 2 mg, 4 mg og 8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F4" w:rsidRDefault="00FD20F4">
      <w:r>
        <w:separator/>
      </w:r>
    </w:p>
  </w:footnote>
  <w:footnote w:type="continuationSeparator" w:id="0">
    <w:p w:rsidR="00FD20F4" w:rsidRDefault="00FD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F054B6D"/>
    <w:multiLevelType w:val="hybridMultilevel"/>
    <w:tmpl w:val="8520A8A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415079C"/>
    <w:multiLevelType w:val="hybridMultilevel"/>
    <w:tmpl w:val="1FCC2FB0"/>
    <w:lvl w:ilvl="0" w:tplc="2EE6ADCE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F4"/>
    <w:rsid w:val="000259B9"/>
    <w:rsid w:val="00041491"/>
    <w:rsid w:val="00050D16"/>
    <w:rsid w:val="00074F2A"/>
    <w:rsid w:val="000A1CA8"/>
    <w:rsid w:val="000A466B"/>
    <w:rsid w:val="000B058C"/>
    <w:rsid w:val="000B3905"/>
    <w:rsid w:val="000E4EE6"/>
    <w:rsid w:val="000E5900"/>
    <w:rsid w:val="00107CCD"/>
    <w:rsid w:val="001454E2"/>
    <w:rsid w:val="001C2652"/>
    <w:rsid w:val="00206CE8"/>
    <w:rsid w:val="0021526C"/>
    <w:rsid w:val="00283A2B"/>
    <w:rsid w:val="002B30AD"/>
    <w:rsid w:val="002C2C01"/>
    <w:rsid w:val="0031410E"/>
    <w:rsid w:val="003A29AE"/>
    <w:rsid w:val="003A32D7"/>
    <w:rsid w:val="003B4074"/>
    <w:rsid w:val="003C769A"/>
    <w:rsid w:val="003F1838"/>
    <w:rsid w:val="004300A1"/>
    <w:rsid w:val="0045746C"/>
    <w:rsid w:val="0049104B"/>
    <w:rsid w:val="004D7E8D"/>
    <w:rsid w:val="004E3B12"/>
    <w:rsid w:val="00532310"/>
    <w:rsid w:val="00560ECC"/>
    <w:rsid w:val="00565F0F"/>
    <w:rsid w:val="00594A86"/>
    <w:rsid w:val="00596D86"/>
    <w:rsid w:val="00607666"/>
    <w:rsid w:val="00623E8A"/>
    <w:rsid w:val="00634F90"/>
    <w:rsid w:val="00637F5A"/>
    <w:rsid w:val="006560B1"/>
    <w:rsid w:val="006756DD"/>
    <w:rsid w:val="006A2F86"/>
    <w:rsid w:val="00735D48"/>
    <w:rsid w:val="00737275"/>
    <w:rsid w:val="007377A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43A91"/>
    <w:rsid w:val="0095637E"/>
    <w:rsid w:val="009C7BA3"/>
    <w:rsid w:val="009D1F5A"/>
    <w:rsid w:val="009F73C5"/>
    <w:rsid w:val="00A327B3"/>
    <w:rsid w:val="00A56DC9"/>
    <w:rsid w:val="00A7550E"/>
    <w:rsid w:val="00B003BF"/>
    <w:rsid w:val="00B373D7"/>
    <w:rsid w:val="00C36276"/>
    <w:rsid w:val="00C42586"/>
    <w:rsid w:val="00C45DC6"/>
    <w:rsid w:val="00C471FF"/>
    <w:rsid w:val="00C53920"/>
    <w:rsid w:val="00C60CCD"/>
    <w:rsid w:val="00C84483"/>
    <w:rsid w:val="00C95551"/>
    <w:rsid w:val="00CB20D7"/>
    <w:rsid w:val="00CB4D22"/>
    <w:rsid w:val="00D020B0"/>
    <w:rsid w:val="00D11748"/>
    <w:rsid w:val="00D360F9"/>
    <w:rsid w:val="00D366CF"/>
    <w:rsid w:val="00E108AA"/>
    <w:rsid w:val="00E31812"/>
    <w:rsid w:val="00E3749A"/>
    <w:rsid w:val="00E7437F"/>
    <w:rsid w:val="00E865B8"/>
    <w:rsid w:val="00EB62A9"/>
    <w:rsid w:val="00EC0B9B"/>
    <w:rsid w:val="00EC11F2"/>
    <w:rsid w:val="00ED5E9F"/>
    <w:rsid w:val="00F66D4F"/>
    <w:rsid w:val="00FB6D01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17700"/>
  <w15:chartTrackingRefBased/>
  <w15:docId w15:val="{FDC8ED1A-D107-42DA-AE43-6E150CB6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FD2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BE38-F6B9-4E35-B04C-FCF94E1B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3869</Words>
  <Characters>25275</Characters>
  <Application>Microsoft Office Word</Application>
  <DocSecurity>0</DocSecurity>
  <Lines>210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Kristine Skov</dc:creator>
  <cp:keywords/>
  <dc:description>2023121455_x000d_
SPC pkt. 6.3 "beholder 90 dage"</dc:description>
  <cp:lastModifiedBy>Kristine Skov Hansen</cp:lastModifiedBy>
  <cp:revision>2</cp:revision>
  <cp:lastPrinted>2012-08-22T08:53:00Z</cp:lastPrinted>
  <dcterms:created xsi:type="dcterms:W3CDTF">2024-02-07T21:13:00Z</dcterms:created>
  <dcterms:modified xsi:type="dcterms:W3CDTF">2024-02-07T21:13:00Z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