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351F8D0" wp14:editId="5AC321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B7468">
        <w:rPr>
          <w:szCs w:val="24"/>
        </w:rPr>
        <w:t>21. august 2025</w:t>
      </w:r>
    </w:p>
    <w:p w:rsidR="009260DE" w:rsidRPr="00C84483" w:rsidRDefault="009260DE" w:rsidP="009260DE">
      <w:pPr>
        <w:pStyle w:val="Titel"/>
        <w:tabs>
          <w:tab w:val="left" w:pos="8222"/>
        </w:tabs>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3376A1" w:rsidP="009260DE">
      <w:pPr>
        <w:jc w:val="center"/>
        <w:rPr>
          <w:b/>
          <w:sz w:val="24"/>
          <w:szCs w:val="24"/>
        </w:rPr>
      </w:pPr>
      <w:r>
        <w:rPr>
          <w:b/>
          <w:sz w:val="24"/>
          <w:szCs w:val="24"/>
        </w:rPr>
        <w:t>Ropivacaine "Noridem", infusionsvæske, opløsning</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Default="003376A1" w:rsidP="009260DE">
      <w:pPr>
        <w:tabs>
          <w:tab w:val="left" w:pos="851"/>
        </w:tabs>
        <w:ind w:left="851"/>
        <w:rPr>
          <w:sz w:val="24"/>
          <w:szCs w:val="24"/>
        </w:rPr>
      </w:pPr>
      <w:r>
        <w:rPr>
          <w:sz w:val="24"/>
          <w:szCs w:val="24"/>
        </w:rPr>
        <w:t>34394</w:t>
      </w:r>
    </w:p>
    <w:p w:rsidR="003376A1" w:rsidRPr="00C84483" w:rsidRDefault="003376A1"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3376A1" w:rsidRPr="00C84483" w:rsidRDefault="003376A1" w:rsidP="003376A1">
      <w:pPr>
        <w:tabs>
          <w:tab w:val="left" w:pos="851"/>
        </w:tabs>
        <w:ind w:left="851"/>
        <w:rPr>
          <w:sz w:val="24"/>
          <w:szCs w:val="24"/>
        </w:rPr>
      </w:pPr>
      <w:r>
        <w:rPr>
          <w:sz w:val="24"/>
          <w:szCs w:val="24"/>
        </w:rPr>
        <w:t>Ropivacaine "Noridem"</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3376A1" w:rsidRPr="003376A1" w:rsidRDefault="003376A1" w:rsidP="003376A1">
      <w:pPr>
        <w:tabs>
          <w:tab w:val="left" w:pos="851"/>
        </w:tabs>
        <w:ind w:left="851"/>
        <w:rPr>
          <w:sz w:val="24"/>
          <w:szCs w:val="24"/>
          <w:lang w:val="nb-NO"/>
        </w:rPr>
      </w:pPr>
      <w:r w:rsidRPr="003376A1">
        <w:rPr>
          <w:sz w:val="24"/>
          <w:szCs w:val="24"/>
          <w:lang w:val="nb-NO"/>
        </w:rPr>
        <w:t>1 ml infusionsvæske, opløsning indeholder ropivacain som 2,12 mg ropivacainhydrochloridmonohydrat (svarende til 2 mg ropivacainhydrochlorid).</w:t>
      </w:r>
    </w:p>
    <w:p w:rsidR="003376A1" w:rsidRPr="003376A1" w:rsidRDefault="003376A1" w:rsidP="003376A1">
      <w:pPr>
        <w:tabs>
          <w:tab w:val="left" w:pos="851"/>
        </w:tabs>
        <w:ind w:left="851"/>
        <w:rPr>
          <w:sz w:val="24"/>
          <w:szCs w:val="24"/>
          <w:lang w:val="nb-NO"/>
        </w:rPr>
      </w:pPr>
    </w:p>
    <w:p w:rsidR="003376A1" w:rsidRPr="003376A1" w:rsidRDefault="003376A1" w:rsidP="003376A1">
      <w:pPr>
        <w:tabs>
          <w:tab w:val="left" w:pos="851"/>
        </w:tabs>
        <w:ind w:left="851"/>
        <w:rPr>
          <w:sz w:val="24"/>
          <w:szCs w:val="24"/>
          <w:lang w:val="pt-PT"/>
        </w:rPr>
      </w:pPr>
      <w:r w:rsidRPr="003376A1">
        <w:rPr>
          <w:sz w:val="24"/>
          <w:szCs w:val="24"/>
          <w:lang w:val="nb-NO"/>
        </w:rPr>
        <w:t xml:space="preserve">Hver infusionspose med </w:t>
      </w:r>
      <w:r w:rsidRPr="003376A1">
        <w:rPr>
          <w:sz w:val="24"/>
          <w:szCs w:val="24"/>
          <w:lang w:val="pt-PT"/>
        </w:rPr>
        <w:t xml:space="preserve">100 ml </w:t>
      </w:r>
      <w:r w:rsidRPr="003376A1">
        <w:rPr>
          <w:sz w:val="24"/>
          <w:szCs w:val="24"/>
          <w:lang w:val="nb-NO"/>
        </w:rPr>
        <w:t>infusionsvæske, opløsning</w:t>
      </w:r>
      <w:r w:rsidRPr="003376A1">
        <w:rPr>
          <w:sz w:val="24"/>
          <w:szCs w:val="24"/>
          <w:lang w:val="pt-PT"/>
        </w:rPr>
        <w:t xml:space="preserve"> indeholder ropivacain som 211,6 mg </w:t>
      </w:r>
      <w:r w:rsidRPr="003376A1">
        <w:rPr>
          <w:sz w:val="24"/>
          <w:szCs w:val="24"/>
          <w:lang w:val="nb-NO"/>
        </w:rPr>
        <w:t xml:space="preserve">ropivacainhydrochloridmonohydrat </w:t>
      </w:r>
      <w:r w:rsidRPr="003376A1">
        <w:rPr>
          <w:sz w:val="24"/>
          <w:szCs w:val="24"/>
          <w:lang w:val="pt-PT"/>
        </w:rPr>
        <w:t>(</w:t>
      </w:r>
      <w:r w:rsidRPr="003376A1">
        <w:rPr>
          <w:sz w:val="24"/>
          <w:szCs w:val="24"/>
          <w:lang w:val="nb-NO"/>
        </w:rPr>
        <w:t>svarende til</w:t>
      </w:r>
      <w:r w:rsidRPr="003376A1">
        <w:rPr>
          <w:sz w:val="24"/>
          <w:szCs w:val="24"/>
          <w:lang w:val="pt-PT"/>
        </w:rPr>
        <w:t xml:space="preserve"> 200 mg </w:t>
      </w:r>
      <w:r w:rsidRPr="003376A1">
        <w:rPr>
          <w:sz w:val="24"/>
          <w:szCs w:val="24"/>
          <w:lang w:val="nb-NO"/>
        </w:rPr>
        <w:t>ropivacain</w:t>
      </w:r>
      <w:r>
        <w:rPr>
          <w:sz w:val="24"/>
          <w:szCs w:val="24"/>
          <w:lang w:val="nb-NO"/>
        </w:rPr>
        <w:softHyphen/>
      </w:r>
      <w:r w:rsidRPr="003376A1">
        <w:rPr>
          <w:sz w:val="24"/>
          <w:szCs w:val="24"/>
          <w:lang w:val="nb-NO"/>
        </w:rPr>
        <w:t>hydro</w:t>
      </w:r>
      <w:r>
        <w:rPr>
          <w:sz w:val="24"/>
          <w:szCs w:val="24"/>
          <w:lang w:val="nb-NO"/>
        </w:rPr>
        <w:softHyphen/>
      </w:r>
      <w:r w:rsidRPr="003376A1">
        <w:rPr>
          <w:sz w:val="24"/>
          <w:szCs w:val="24"/>
          <w:lang w:val="nb-NO"/>
        </w:rPr>
        <w:t>chlorid</w:t>
      </w:r>
      <w:r w:rsidRPr="003376A1">
        <w:rPr>
          <w:sz w:val="24"/>
          <w:szCs w:val="24"/>
          <w:lang w:val="pt-PT"/>
        </w:rPr>
        <w:t>).</w:t>
      </w:r>
    </w:p>
    <w:p w:rsidR="003376A1" w:rsidRPr="003376A1" w:rsidRDefault="003376A1" w:rsidP="003376A1">
      <w:pPr>
        <w:tabs>
          <w:tab w:val="left" w:pos="851"/>
        </w:tabs>
        <w:ind w:left="851"/>
        <w:rPr>
          <w:sz w:val="24"/>
          <w:szCs w:val="24"/>
          <w:lang w:val="pt-PT"/>
        </w:rPr>
      </w:pPr>
    </w:p>
    <w:p w:rsidR="003376A1" w:rsidRPr="003376A1" w:rsidRDefault="003376A1" w:rsidP="003376A1">
      <w:pPr>
        <w:tabs>
          <w:tab w:val="left" w:pos="851"/>
        </w:tabs>
        <w:ind w:left="851"/>
        <w:rPr>
          <w:sz w:val="24"/>
          <w:szCs w:val="24"/>
          <w:lang w:val="pt-PT"/>
        </w:rPr>
      </w:pPr>
      <w:r w:rsidRPr="003376A1">
        <w:rPr>
          <w:sz w:val="24"/>
          <w:szCs w:val="24"/>
          <w:lang w:val="pt-PT"/>
        </w:rPr>
        <w:t>Hver infusionspose med 200 ml infusionsvæske, opløsning indeholder ropivacain som 423,2 mg ropivacainhydrochloridmonohydrat (svarende til 400 mg ropivacain</w:t>
      </w:r>
      <w:r>
        <w:rPr>
          <w:sz w:val="24"/>
          <w:szCs w:val="24"/>
          <w:lang w:val="pt-PT"/>
        </w:rPr>
        <w:softHyphen/>
      </w:r>
      <w:r w:rsidRPr="003376A1">
        <w:rPr>
          <w:sz w:val="24"/>
          <w:szCs w:val="24"/>
          <w:lang w:val="pt-PT"/>
        </w:rPr>
        <w:t>hydro</w:t>
      </w:r>
      <w:r>
        <w:rPr>
          <w:sz w:val="24"/>
          <w:szCs w:val="24"/>
          <w:lang w:val="pt-PT"/>
        </w:rPr>
        <w:softHyphen/>
      </w:r>
      <w:r w:rsidRPr="003376A1">
        <w:rPr>
          <w:sz w:val="24"/>
          <w:szCs w:val="24"/>
          <w:lang w:val="pt-PT"/>
        </w:rPr>
        <w:t>chlorid).</w:t>
      </w:r>
    </w:p>
    <w:p w:rsidR="003376A1" w:rsidRPr="003376A1" w:rsidRDefault="003376A1" w:rsidP="003376A1">
      <w:pPr>
        <w:tabs>
          <w:tab w:val="left" w:pos="851"/>
        </w:tabs>
        <w:ind w:left="851"/>
        <w:rPr>
          <w:sz w:val="24"/>
          <w:szCs w:val="24"/>
          <w:lang w:val="pt-PT"/>
        </w:rPr>
      </w:pPr>
    </w:p>
    <w:p w:rsidR="003376A1" w:rsidRPr="003376A1" w:rsidRDefault="003376A1" w:rsidP="003376A1">
      <w:pPr>
        <w:tabs>
          <w:tab w:val="left" w:pos="851"/>
        </w:tabs>
        <w:ind w:left="851"/>
        <w:rPr>
          <w:sz w:val="24"/>
          <w:szCs w:val="24"/>
          <w:lang w:val="pt-PT"/>
        </w:rPr>
      </w:pPr>
      <w:r w:rsidRPr="003376A1">
        <w:rPr>
          <w:sz w:val="24"/>
          <w:szCs w:val="24"/>
          <w:lang w:val="pt-PT"/>
        </w:rPr>
        <w:t>Hver infusionsflaske med 100 ml infusionsvæske, opløsning indeholder ropivacain som 211,6 mg ropivacainhydrochloridmonohydrat (svarende til 200 mg ropivacain</w:t>
      </w:r>
      <w:r>
        <w:rPr>
          <w:sz w:val="24"/>
          <w:szCs w:val="24"/>
          <w:lang w:val="pt-PT"/>
        </w:rPr>
        <w:softHyphen/>
      </w:r>
      <w:r w:rsidRPr="003376A1">
        <w:rPr>
          <w:sz w:val="24"/>
          <w:szCs w:val="24"/>
          <w:lang w:val="pt-PT"/>
        </w:rPr>
        <w:t>hydro</w:t>
      </w:r>
      <w:r>
        <w:rPr>
          <w:sz w:val="24"/>
          <w:szCs w:val="24"/>
          <w:lang w:val="pt-PT"/>
        </w:rPr>
        <w:softHyphen/>
      </w:r>
      <w:r w:rsidRPr="003376A1">
        <w:rPr>
          <w:sz w:val="24"/>
          <w:szCs w:val="24"/>
          <w:lang w:val="pt-PT"/>
        </w:rPr>
        <w:t>chlorid).</w:t>
      </w:r>
    </w:p>
    <w:p w:rsidR="003376A1" w:rsidRPr="003376A1" w:rsidRDefault="003376A1" w:rsidP="003376A1">
      <w:pPr>
        <w:tabs>
          <w:tab w:val="left" w:pos="851"/>
        </w:tabs>
        <w:ind w:left="851"/>
        <w:rPr>
          <w:sz w:val="24"/>
          <w:szCs w:val="24"/>
          <w:lang w:val="pt-PT"/>
        </w:rPr>
      </w:pPr>
    </w:p>
    <w:p w:rsidR="003376A1" w:rsidRPr="003376A1" w:rsidRDefault="003376A1" w:rsidP="003376A1">
      <w:pPr>
        <w:tabs>
          <w:tab w:val="left" w:pos="851"/>
        </w:tabs>
        <w:ind w:left="851"/>
        <w:rPr>
          <w:sz w:val="24"/>
          <w:szCs w:val="24"/>
          <w:lang w:val="pt-PT"/>
        </w:rPr>
      </w:pPr>
      <w:r w:rsidRPr="003376A1">
        <w:rPr>
          <w:sz w:val="24"/>
          <w:szCs w:val="24"/>
          <w:lang w:val="pt-PT"/>
        </w:rPr>
        <w:t>Hver infusionsflaske med 200 ml infusionsvæske, opløsning indeholder ropivacain som 423,2 mg ropivacain</w:t>
      </w:r>
      <w:r>
        <w:rPr>
          <w:sz w:val="24"/>
          <w:szCs w:val="24"/>
          <w:lang w:val="pt-PT"/>
        </w:rPr>
        <w:softHyphen/>
      </w:r>
      <w:r w:rsidRPr="003376A1">
        <w:rPr>
          <w:sz w:val="24"/>
          <w:szCs w:val="24"/>
          <w:lang w:val="pt-PT"/>
        </w:rPr>
        <w:t>hydrochloridmonohydrat (svarende til 400 mg ropivacainhydro</w:t>
      </w:r>
      <w:r>
        <w:rPr>
          <w:sz w:val="24"/>
          <w:szCs w:val="24"/>
          <w:lang w:val="pt-PT"/>
        </w:rPr>
        <w:softHyphen/>
      </w:r>
      <w:r w:rsidRPr="003376A1">
        <w:rPr>
          <w:sz w:val="24"/>
          <w:szCs w:val="24"/>
          <w:lang w:val="pt-PT"/>
        </w:rPr>
        <w:t>chlorid).</w:t>
      </w:r>
    </w:p>
    <w:p w:rsidR="003376A1" w:rsidRPr="003376A1" w:rsidRDefault="003376A1" w:rsidP="003376A1">
      <w:pPr>
        <w:tabs>
          <w:tab w:val="left" w:pos="851"/>
        </w:tabs>
        <w:ind w:left="851"/>
        <w:rPr>
          <w:sz w:val="24"/>
          <w:szCs w:val="24"/>
          <w:lang w:val="pt-PT"/>
        </w:rPr>
      </w:pPr>
    </w:p>
    <w:p w:rsidR="003376A1" w:rsidRPr="003376A1" w:rsidRDefault="003376A1" w:rsidP="003376A1">
      <w:pPr>
        <w:tabs>
          <w:tab w:val="left" w:pos="851"/>
        </w:tabs>
        <w:ind w:left="851"/>
        <w:rPr>
          <w:sz w:val="24"/>
          <w:szCs w:val="24"/>
          <w:u w:val="single"/>
          <w:lang w:val="pt-PT"/>
        </w:rPr>
      </w:pPr>
      <w:r w:rsidRPr="003376A1">
        <w:rPr>
          <w:sz w:val="24"/>
          <w:szCs w:val="24"/>
          <w:u w:val="single"/>
        </w:rPr>
        <w:t>Hjælpestof</w:t>
      </w:r>
      <w:r w:rsidRPr="003376A1">
        <w:rPr>
          <w:sz w:val="24"/>
          <w:szCs w:val="24"/>
          <w:u w:val="single"/>
          <w:lang w:val="pt-PT"/>
        </w:rPr>
        <w:t xml:space="preserve"> med kendt virkning</w:t>
      </w:r>
    </w:p>
    <w:p w:rsidR="003376A1" w:rsidRPr="003376A1" w:rsidRDefault="003376A1" w:rsidP="003376A1">
      <w:pPr>
        <w:tabs>
          <w:tab w:val="left" w:pos="851"/>
        </w:tabs>
        <w:ind w:left="851"/>
        <w:rPr>
          <w:sz w:val="24"/>
          <w:szCs w:val="24"/>
          <w:lang w:val="pt-PT"/>
        </w:rPr>
      </w:pPr>
      <w:r w:rsidRPr="003376A1">
        <w:rPr>
          <w:sz w:val="24"/>
          <w:szCs w:val="24"/>
          <w:lang w:val="pt-PT"/>
        </w:rPr>
        <w:t>Indeholder 3,38 mg/ml natrium.</w:t>
      </w:r>
    </w:p>
    <w:p w:rsidR="003376A1" w:rsidRPr="003376A1" w:rsidRDefault="003376A1" w:rsidP="003376A1">
      <w:pPr>
        <w:tabs>
          <w:tab w:val="left" w:pos="851"/>
        </w:tabs>
        <w:ind w:left="851"/>
        <w:rPr>
          <w:sz w:val="24"/>
          <w:szCs w:val="24"/>
        </w:rPr>
      </w:pPr>
    </w:p>
    <w:p w:rsidR="003376A1" w:rsidRPr="003376A1" w:rsidRDefault="003376A1" w:rsidP="003376A1">
      <w:pPr>
        <w:tabs>
          <w:tab w:val="left" w:pos="851"/>
        </w:tabs>
        <w:ind w:left="851"/>
        <w:rPr>
          <w:sz w:val="24"/>
          <w:szCs w:val="24"/>
        </w:rPr>
      </w:pPr>
      <w:r w:rsidRPr="003376A1">
        <w:rPr>
          <w:sz w:val="24"/>
          <w:szCs w:val="24"/>
        </w:rPr>
        <w:t>Alle hjælpestoffer er anført under pkt. 6.1.</w:t>
      </w:r>
    </w:p>
    <w:p w:rsidR="00B605C8" w:rsidRDefault="00B605C8">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B605C8" w:rsidRPr="00B605C8" w:rsidRDefault="00B605C8" w:rsidP="00B605C8">
      <w:pPr>
        <w:tabs>
          <w:tab w:val="left" w:pos="851"/>
        </w:tabs>
        <w:ind w:left="851"/>
        <w:rPr>
          <w:sz w:val="24"/>
          <w:szCs w:val="24"/>
        </w:rPr>
      </w:pPr>
      <w:r w:rsidRPr="00B605C8">
        <w:rPr>
          <w:sz w:val="24"/>
          <w:szCs w:val="24"/>
        </w:rPr>
        <w:t>Infusionsvæske, opløsning</w:t>
      </w:r>
    </w:p>
    <w:p w:rsidR="00B605C8" w:rsidRPr="00B605C8" w:rsidRDefault="00B605C8" w:rsidP="00B605C8">
      <w:pPr>
        <w:tabs>
          <w:tab w:val="left" w:pos="851"/>
        </w:tabs>
        <w:ind w:left="851"/>
        <w:rPr>
          <w:sz w:val="24"/>
          <w:szCs w:val="24"/>
          <w:lang w:val="nb-NO"/>
        </w:rPr>
      </w:pPr>
    </w:p>
    <w:p w:rsidR="00B605C8" w:rsidRPr="00B605C8" w:rsidRDefault="00B605C8" w:rsidP="00B605C8">
      <w:pPr>
        <w:tabs>
          <w:tab w:val="left" w:pos="851"/>
        </w:tabs>
        <w:ind w:left="851"/>
        <w:rPr>
          <w:sz w:val="24"/>
          <w:szCs w:val="24"/>
        </w:rPr>
      </w:pPr>
      <w:r w:rsidRPr="00B605C8">
        <w:rPr>
          <w:sz w:val="24"/>
          <w:szCs w:val="24"/>
        </w:rPr>
        <w:t>Klar, farveløs væske.</w:t>
      </w:r>
    </w:p>
    <w:p w:rsidR="00B605C8" w:rsidRPr="00B605C8" w:rsidRDefault="00B605C8" w:rsidP="00B605C8">
      <w:pPr>
        <w:tabs>
          <w:tab w:val="left" w:pos="851"/>
        </w:tabs>
        <w:ind w:left="851"/>
        <w:rPr>
          <w:sz w:val="24"/>
          <w:szCs w:val="24"/>
        </w:rPr>
      </w:pPr>
      <w:r w:rsidRPr="00B605C8">
        <w:rPr>
          <w:sz w:val="24"/>
          <w:szCs w:val="24"/>
        </w:rPr>
        <w:t>pH 3,5-6,0</w:t>
      </w:r>
      <w:r>
        <w:rPr>
          <w:sz w:val="24"/>
          <w:szCs w:val="24"/>
        </w:rPr>
        <w:t>.</w:t>
      </w:r>
    </w:p>
    <w:p w:rsidR="00B605C8" w:rsidRPr="00B605C8" w:rsidRDefault="00B605C8" w:rsidP="00B605C8">
      <w:pPr>
        <w:tabs>
          <w:tab w:val="left" w:pos="851"/>
        </w:tabs>
        <w:ind w:left="851"/>
        <w:rPr>
          <w:sz w:val="24"/>
          <w:szCs w:val="24"/>
        </w:rPr>
      </w:pPr>
      <w:r w:rsidRPr="00B605C8">
        <w:rPr>
          <w:sz w:val="24"/>
          <w:szCs w:val="24"/>
        </w:rPr>
        <w:t>Osmolalitet 270-320 mOsm/kg</w:t>
      </w:r>
      <w:r>
        <w:rPr>
          <w:sz w:val="24"/>
          <w:szCs w:val="24"/>
        </w:rPr>
        <w: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074F11" w:rsidRPr="00F75836" w:rsidRDefault="00074F11" w:rsidP="00074F11">
      <w:pPr>
        <w:tabs>
          <w:tab w:val="left" w:pos="851"/>
        </w:tabs>
        <w:ind w:left="851"/>
        <w:rPr>
          <w:sz w:val="24"/>
          <w:szCs w:val="24"/>
        </w:rPr>
      </w:pPr>
      <w:r w:rsidRPr="00F75836">
        <w:rPr>
          <w:sz w:val="24"/>
          <w:szCs w:val="24"/>
        </w:rPr>
        <w:t>Ropivacaine "Noridem", infusionsvæske, opløsning 2 mg/ml er indiceret til akut smertebehandling.</w:t>
      </w:r>
    </w:p>
    <w:p w:rsidR="00F75836" w:rsidRPr="00074F11" w:rsidRDefault="00F75836" w:rsidP="00074F11">
      <w:pPr>
        <w:tabs>
          <w:tab w:val="left" w:pos="851"/>
        </w:tabs>
        <w:ind w:left="851"/>
        <w:rPr>
          <w:b/>
          <w:bCs/>
          <w:sz w:val="24"/>
          <w:szCs w:val="24"/>
        </w:rPr>
      </w:pPr>
    </w:p>
    <w:p w:rsidR="00074F11" w:rsidRPr="00074F11" w:rsidRDefault="00074F11" w:rsidP="00074F11">
      <w:pPr>
        <w:tabs>
          <w:tab w:val="left" w:pos="851"/>
        </w:tabs>
        <w:ind w:left="851"/>
        <w:rPr>
          <w:sz w:val="24"/>
          <w:szCs w:val="24"/>
        </w:rPr>
      </w:pPr>
      <w:r w:rsidRPr="00074F11">
        <w:rPr>
          <w:sz w:val="24"/>
          <w:szCs w:val="24"/>
        </w:rPr>
        <w:t>Hos voksne og unge over 12 år til:</w:t>
      </w:r>
    </w:p>
    <w:p w:rsidR="00074F11" w:rsidRPr="00074F11" w:rsidRDefault="00074F11" w:rsidP="00F75836">
      <w:pPr>
        <w:tabs>
          <w:tab w:val="left" w:pos="851"/>
        </w:tabs>
        <w:ind w:left="1134" w:hanging="283"/>
        <w:rPr>
          <w:sz w:val="24"/>
          <w:szCs w:val="24"/>
        </w:rPr>
      </w:pPr>
      <w:r w:rsidRPr="00074F11">
        <w:rPr>
          <w:sz w:val="24"/>
          <w:szCs w:val="24"/>
        </w:rPr>
        <w:t>•</w:t>
      </w:r>
      <w:r w:rsidRPr="00074F11">
        <w:rPr>
          <w:sz w:val="24"/>
          <w:szCs w:val="24"/>
        </w:rPr>
        <w:tab/>
        <w:t>Kontinuerlig epidural infusion eller intermitterende bolusadministration under postoperative smerter eller fødselssmerter</w:t>
      </w:r>
    </w:p>
    <w:p w:rsidR="00074F11" w:rsidRPr="00074F11" w:rsidRDefault="00074F11" w:rsidP="00F75836">
      <w:pPr>
        <w:tabs>
          <w:tab w:val="left" w:pos="851"/>
        </w:tabs>
        <w:ind w:left="1134" w:hanging="283"/>
        <w:rPr>
          <w:sz w:val="24"/>
          <w:szCs w:val="24"/>
        </w:rPr>
      </w:pPr>
      <w:r w:rsidRPr="00074F11">
        <w:rPr>
          <w:sz w:val="24"/>
          <w:szCs w:val="24"/>
        </w:rPr>
        <w:t>•</w:t>
      </w:r>
      <w:r w:rsidRPr="00074F11">
        <w:rPr>
          <w:sz w:val="24"/>
          <w:szCs w:val="24"/>
        </w:rPr>
        <w:tab/>
      </w:r>
      <w:r w:rsidR="00B8517D">
        <w:rPr>
          <w:sz w:val="24"/>
          <w:szCs w:val="24"/>
        </w:rPr>
        <w:t>Infiltrationsanalgesi</w:t>
      </w:r>
      <w:r w:rsidRPr="00074F11">
        <w:rPr>
          <w:sz w:val="24"/>
          <w:szCs w:val="24"/>
        </w:rPr>
        <w:t xml:space="preserve"> (f.eks. mindre nerveblokader og infiltration) </w:t>
      </w:r>
    </w:p>
    <w:p w:rsidR="00074F11" w:rsidRPr="00074F11" w:rsidRDefault="00074F11" w:rsidP="00F75836">
      <w:pPr>
        <w:tabs>
          <w:tab w:val="left" w:pos="851"/>
        </w:tabs>
        <w:ind w:left="1134" w:hanging="283"/>
        <w:rPr>
          <w:sz w:val="24"/>
          <w:szCs w:val="24"/>
        </w:rPr>
      </w:pPr>
      <w:r w:rsidRPr="00074F11">
        <w:rPr>
          <w:sz w:val="24"/>
          <w:szCs w:val="24"/>
        </w:rPr>
        <w:t>•</w:t>
      </w:r>
      <w:r w:rsidR="00F75836">
        <w:rPr>
          <w:sz w:val="24"/>
          <w:szCs w:val="24"/>
        </w:rPr>
        <w:tab/>
      </w:r>
      <w:r w:rsidRPr="00074F11">
        <w:rPr>
          <w:sz w:val="24"/>
          <w:szCs w:val="24"/>
        </w:rPr>
        <w:t>Kontinuerlig perifer nerveblokade via kontinuerlig infusion eller intermitterende bolusinjektioner, f.eks. til postoperativ smertebehandling</w:t>
      </w:r>
    </w:p>
    <w:p w:rsidR="00074F11" w:rsidRPr="00074F11" w:rsidRDefault="00074F11" w:rsidP="00074F11">
      <w:pPr>
        <w:tabs>
          <w:tab w:val="left" w:pos="851"/>
        </w:tabs>
        <w:ind w:left="851"/>
        <w:rPr>
          <w:sz w:val="24"/>
          <w:szCs w:val="24"/>
        </w:rPr>
      </w:pPr>
    </w:p>
    <w:p w:rsidR="00074F11" w:rsidRPr="00074F11" w:rsidRDefault="00074F11" w:rsidP="00074F11">
      <w:pPr>
        <w:tabs>
          <w:tab w:val="left" w:pos="851"/>
        </w:tabs>
        <w:ind w:left="851"/>
        <w:rPr>
          <w:sz w:val="24"/>
          <w:szCs w:val="24"/>
        </w:rPr>
      </w:pPr>
      <w:r w:rsidRPr="00074F11">
        <w:rPr>
          <w:sz w:val="24"/>
          <w:szCs w:val="24"/>
        </w:rPr>
        <w:t>Til spædbørn fra 1 år og børn op til og med 12 år for (per- og postoperativ):</w:t>
      </w:r>
    </w:p>
    <w:p w:rsidR="00074F11" w:rsidRPr="00074F11" w:rsidRDefault="00074F11" w:rsidP="00F75836">
      <w:pPr>
        <w:tabs>
          <w:tab w:val="left" w:pos="1134"/>
        </w:tabs>
        <w:ind w:left="1134" w:hanging="283"/>
        <w:rPr>
          <w:sz w:val="24"/>
          <w:szCs w:val="24"/>
        </w:rPr>
      </w:pPr>
      <w:r w:rsidRPr="00074F11">
        <w:rPr>
          <w:sz w:val="24"/>
          <w:szCs w:val="24"/>
        </w:rPr>
        <w:t>•</w:t>
      </w:r>
      <w:r w:rsidRPr="00074F11">
        <w:rPr>
          <w:sz w:val="24"/>
          <w:szCs w:val="24"/>
        </w:rPr>
        <w:tab/>
        <w:t>Enkelt og kontinuerlig perifer nerveblokade</w:t>
      </w:r>
    </w:p>
    <w:p w:rsidR="00074F11" w:rsidRPr="00074F11" w:rsidRDefault="00074F11" w:rsidP="00074F11">
      <w:pPr>
        <w:tabs>
          <w:tab w:val="left" w:pos="851"/>
        </w:tabs>
        <w:ind w:left="851"/>
        <w:rPr>
          <w:sz w:val="24"/>
          <w:szCs w:val="24"/>
        </w:rPr>
      </w:pPr>
    </w:p>
    <w:p w:rsidR="00074F11" w:rsidRPr="00074F11" w:rsidRDefault="00074F11" w:rsidP="00074F11">
      <w:pPr>
        <w:tabs>
          <w:tab w:val="left" w:pos="851"/>
        </w:tabs>
        <w:ind w:left="851"/>
        <w:rPr>
          <w:sz w:val="24"/>
          <w:szCs w:val="24"/>
        </w:rPr>
      </w:pPr>
      <w:r w:rsidRPr="00074F11">
        <w:rPr>
          <w:sz w:val="24"/>
          <w:szCs w:val="24"/>
        </w:rPr>
        <w:t>Til nyfødte, spædbørn og børn op til og med 12 år for (per- og postoperativ):</w:t>
      </w:r>
    </w:p>
    <w:p w:rsidR="00074F11" w:rsidRPr="00074F11" w:rsidRDefault="00074F11" w:rsidP="00F75836">
      <w:pPr>
        <w:tabs>
          <w:tab w:val="left" w:pos="851"/>
        </w:tabs>
        <w:ind w:left="1134" w:hanging="283"/>
        <w:rPr>
          <w:sz w:val="24"/>
          <w:szCs w:val="24"/>
        </w:rPr>
      </w:pPr>
      <w:r w:rsidRPr="00074F11">
        <w:rPr>
          <w:sz w:val="24"/>
          <w:szCs w:val="24"/>
        </w:rPr>
        <w:t>•</w:t>
      </w:r>
      <w:r w:rsidRPr="00074F11">
        <w:rPr>
          <w:sz w:val="24"/>
          <w:szCs w:val="24"/>
        </w:rPr>
        <w:tab/>
        <w:t>Caudal epiduralblokade</w:t>
      </w:r>
    </w:p>
    <w:p w:rsidR="00074F11" w:rsidRPr="00074F11" w:rsidRDefault="00074F11" w:rsidP="00F75836">
      <w:pPr>
        <w:tabs>
          <w:tab w:val="left" w:pos="851"/>
        </w:tabs>
        <w:ind w:left="1134" w:hanging="283"/>
        <w:rPr>
          <w:sz w:val="24"/>
          <w:szCs w:val="24"/>
        </w:rPr>
      </w:pPr>
      <w:r w:rsidRPr="00074F11">
        <w:rPr>
          <w:sz w:val="24"/>
          <w:szCs w:val="24"/>
        </w:rPr>
        <w:t>•</w:t>
      </w:r>
      <w:r w:rsidRPr="00074F11">
        <w:rPr>
          <w:sz w:val="24"/>
          <w:szCs w:val="24"/>
        </w:rPr>
        <w:tab/>
        <w:t>Kontinuerlig epidural infusion</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rsidR="00F75836" w:rsidRPr="00F75836" w:rsidRDefault="00F75836" w:rsidP="00F75836">
      <w:pPr>
        <w:widowControl w:val="0"/>
        <w:ind w:left="851"/>
        <w:rPr>
          <w:rFonts w:asciiTheme="majorBidi" w:hAnsiTheme="majorBidi" w:cstheme="majorBidi"/>
          <w:sz w:val="24"/>
          <w:szCs w:val="24"/>
          <w:lang w:eastAsia="el-GR"/>
        </w:rPr>
      </w:pPr>
      <w:r w:rsidRPr="00F75836">
        <w:rPr>
          <w:rFonts w:asciiTheme="majorBidi" w:hAnsiTheme="majorBidi"/>
          <w:sz w:val="24"/>
          <w:szCs w:val="24"/>
        </w:rPr>
        <w:t>Ropivacaine "Noridem" bør kun anvendes af læger med erfaring i regional anæstesi eller under deres opsyn.</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u w:val="single"/>
        </w:rPr>
      </w:pPr>
      <w:r w:rsidRPr="00F75836">
        <w:rPr>
          <w:rFonts w:asciiTheme="majorBidi" w:hAnsiTheme="majorBidi"/>
          <w:sz w:val="24"/>
          <w:szCs w:val="24"/>
          <w:u w:val="single"/>
        </w:rPr>
        <w:t>Dosering</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i/>
          <w:iCs/>
          <w:sz w:val="24"/>
          <w:szCs w:val="24"/>
        </w:rPr>
      </w:pPr>
      <w:r w:rsidRPr="00F75836">
        <w:rPr>
          <w:rFonts w:asciiTheme="majorBidi" w:hAnsiTheme="majorBidi"/>
          <w:i/>
          <w:sz w:val="24"/>
          <w:szCs w:val="24"/>
        </w:rPr>
        <w:t>Voksne og unge over 12 år</w:t>
      </w:r>
    </w:p>
    <w:p w:rsidR="00F75836" w:rsidRDefault="00F75836" w:rsidP="00F75836">
      <w:pPr>
        <w:widowControl w:val="0"/>
        <w:ind w:left="851"/>
        <w:rPr>
          <w:rFonts w:asciiTheme="majorBidi" w:hAnsiTheme="majorBidi"/>
          <w:sz w:val="24"/>
          <w:szCs w:val="24"/>
        </w:rPr>
      </w:pPr>
      <w:r w:rsidRPr="00F75836">
        <w:rPr>
          <w:rFonts w:asciiTheme="majorBidi" w:hAnsiTheme="majorBidi"/>
          <w:sz w:val="24"/>
          <w:szCs w:val="24"/>
        </w:rPr>
        <w:t>Følgende tabel er en vejledning til dosering af de mest almindeligt anvendte blokader. Den mindste dosis, der kræves, for at skabe en effektiv blokade, bør anvendes. Lægens erfaring med og kendskab til patientens fysiske tilstand er vigtig, når der skal vælges dosis.</w:t>
      </w:r>
    </w:p>
    <w:p w:rsidR="00F75836" w:rsidRDefault="00F75836" w:rsidP="00F75836">
      <w:pPr>
        <w:widowControl w:val="0"/>
        <w:ind w:left="851"/>
        <w:rPr>
          <w:rFonts w:asciiTheme="majorBidi" w:hAnsiTheme="majorBidi" w:cstheme="majorBidi"/>
          <w:sz w:val="24"/>
          <w:szCs w:val="24"/>
          <w:u w:val="single"/>
        </w:rPr>
      </w:pPr>
    </w:p>
    <w:p w:rsidR="00F75836" w:rsidRPr="00F75836" w:rsidRDefault="00F75836" w:rsidP="00F75836">
      <w:pPr>
        <w:widowControl w:val="0"/>
        <w:ind w:left="851"/>
        <w:rPr>
          <w:rFonts w:asciiTheme="majorBidi" w:hAnsiTheme="majorBidi" w:cstheme="majorBidi"/>
          <w:sz w:val="24"/>
          <w:szCs w:val="24"/>
          <w:u w:val="single"/>
        </w:rPr>
      </w:pPr>
    </w:p>
    <w:p w:rsidR="00F75836" w:rsidRDefault="00F75836" w:rsidP="00F75836">
      <w:pPr>
        <w:widowControl w:val="0"/>
        <w:rPr>
          <w:rFonts w:asciiTheme="majorBidi" w:hAnsiTheme="majorBidi" w:cstheme="majorBidi"/>
          <w:lang w:val="nb-NO"/>
        </w:rPr>
      </w:pPr>
    </w:p>
    <w:p w:rsidR="00F75836" w:rsidRDefault="00F75836" w:rsidP="00F75836">
      <w:pPr>
        <w:keepNext/>
        <w:keepLines/>
        <w:widowControl w:val="0"/>
        <w:ind w:left="1134" w:hanging="1134"/>
        <w:rPr>
          <w:rFonts w:asciiTheme="majorBidi" w:hAnsiTheme="majorBidi" w:cstheme="majorBidi"/>
          <w:b/>
        </w:rPr>
      </w:pPr>
      <w:r>
        <w:rPr>
          <w:rFonts w:asciiTheme="majorBidi" w:hAnsiTheme="majorBidi"/>
          <w:b/>
        </w:rPr>
        <w:t>Tabel 1</w:t>
      </w:r>
      <w:r>
        <w:rPr>
          <w:rFonts w:asciiTheme="majorBidi" w:hAnsiTheme="majorBidi"/>
          <w:b/>
        </w:rPr>
        <w:tab/>
        <w:t>Voksne og unge over 12 år</w:t>
      </w:r>
    </w:p>
    <w:tbl>
      <w:tblPr>
        <w:tblStyle w:val="Tabel-Gitter"/>
        <w:tblW w:w="9356" w:type="dxa"/>
        <w:tblInd w:w="108" w:type="dxa"/>
        <w:tblLook w:val="04A0" w:firstRow="1" w:lastRow="0" w:firstColumn="1" w:lastColumn="0" w:noHBand="0" w:noVBand="1"/>
      </w:tblPr>
      <w:tblGrid>
        <w:gridCol w:w="2651"/>
        <w:gridCol w:w="1076"/>
        <w:gridCol w:w="1979"/>
        <w:gridCol w:w="1329"/>
        <w:gridCol w:w="1118"/>
        <w:gridCol w:w="1203"/>
      </w:tblGrid>
      <w:tr w:rsidR="00F75836" w:rsidTr="00F75836">
        <w:tc>
          <w:tcPr>
            <w:tcW w:w="2953" w:type="dxa"/>
            <w:tcBorders>
              <w:top w:val="single" w:sz="12" w:space="0" w:color="auto"/>
              <w:left w:val="nil"/>
              <w:bottom w:val="single" w:sz="12" w:space="0" w:color="auto"/>
              <w:right w:val="nil"/>
            </w:tcBorders>
          </w:tcPr>
          <w:p w:rsidR="00F75836" w:rsidRDefault="00F75836">
            <w:pPr>
              <w:pStyle w:val="Default"/>
              <w:keepNext/>
              <w:keepLines/>
              <w:rPr>
                <w:rFonts w:asciiTheme="majorBidi" w:hAnsiTheme="majorBidi" w:cstheme="majorBidi"/>
                <w:b/>
                <w:bCs/>
                <w:color w:val="auto"/>
                <w:sz w:val="22"/>
                <w:szCs w:val="22"/>
                <w:lang w:val="nb-NO"/>
              </w:rPr>
            </w:pPr>
          </w:p>
        </w:tc>
        <w:tc>
          <w:tcPr>
            <w:tcW w:w="1231" w:type="dxa"/>
            <w:tcBorders>
              <w:top w:val="single" w:sz="12" w:space="0" w:color="auto"/>
              <w:left w:val="nil"/>
              <w:bottom w:val="single" w:sz="12" w:space="0" w:color="auto"/>
              <w:right w:val="nil"/>
            </w:tcBorders>
            <w:hideMark/>
          </w:tcPr>
          <w:p w:rsidR="00F75836" w:rsidRDefault="00F75836">
            <w:pPr>
              <w:keepNext/>
              <w:keepLines/>
              <w:widowControl w:val="0"/>
              <w:jc w:val="both"/>
              <w:rPr>
                <w:rFonts w:asciiTheme="majorBidi" w:hAnsiTheme="majorBidi" w:cstheme="majorBidi"/>
                <w:b/>
                <w:bCs/>
                <w:sz w:val="22"/>
              </w:rPr>
            </w:pPr>
            <w:r>
              <w:rPr>
                <w:rFonts w:asciiTheme="majorBidi" w:hAnsiTheme="majorBidi"/>
                <w:b/>
              </w:rPr>
              <w:t>Konc.</w:t>
            </w:r>
          </w:p>
          <w:p w:rsidR="00F75836" w:rsidRDefault="00F75836">
            <w:pPr>
              <w:widowControl w:val="0"/>
              <w:jc w:val="both"/>
              <w:rPr>
                <w:rFonts w:asciiTheme="majorBidi" w:hAnsiTheme="majorBidi" w:cstheme="majorBidi"/>
                <w:b/>
                <w:bCs/>
              </w:rPr>
            </w:pPr>
            <w:r>
              <w:rPr>
                <w:rFonts w:asciiTheme="majorBidi" w:hAnsiTheme="majorBidi"/>
                <w:b/>
              </w:rPr>
              <w:t>mg/ml</w:t>
            </w:r>
          </w:p>
        </w:tc>
        <w:tc>
          <w:tcPr>
            <w:tcW w:w="1402" w:type="dxa"/>
            <w:tcBorders>
              <w:top w:val="single" w:sz="12" w:space="0" w:color="auto"/>
              <w:left w:val="nil"/>
              <w:bottom w:val="single" w:sz="12" w:space="0" w:color="auto"/>
              <w:right w:val="nil"/>
            </w:tcBorders>
            <w:hideMark/>
          </w:tcPr>
          <w:p w:rsidR="00F75836" w:rsidRDefault="00F75836">
            <w:pPr>
              <w:keepNext/>
              <w:keepLines/>
              <w:widowControl w:val="0"/>
              <w:jc w:val="both"/>
              <w:rPr>
                <w:rFonts w:asciiTheme="majorBidi" w:hAnsiTheme="majorBidi" w:cstheme="majorBidi"/>
                <w:b/>
                <w:bCs/>
              </w:rPr>
            </w:pPr>
            <w:r>
              <w:rPr>
                <w:rFonts w:asciiTheme="majorBidi" w:hAnsiTheme="majorBidi"/>
                <w:b/>
              </w:rPr>
              <w:t>Volumen</w:t>
            </w:r>
          </w:p>
          <w:p w:rsidR="00F75836" w:rsidRDefault="00F75836">
            <w:pPr>
              <w:widowControl w:val="0"/>
              <w:jc w:val="both"/>
              <w:rPr>
                <w:rFonts w:asciiTheme="majorBidi" w:hAnsiTheme="majorBidi" w:cstheme="majorBidi"/>
                <w:b/>
                <w:bCs/>
              </w:rPr>
            </w:pPr>
            <w:r>
              <w:rPr>
                <w:rFonts w:asciiTheme="majorBidi" w:hAnsiTheme="majorBidi"/>
                <w:b/>
              </w:rPr>
              <w:t>ml</w:t>
            </w:r>
          </w:p>
        </w:tc>
        <w:tc>
          <w:tcPr>
            <w:tcW w:w="1382" w:type="dxa"/>
            <w:tcBorders>
              <w:top w:val="single" w:sz="12" w:space="0" w:color="auto"/>
              <w:left w:val="nil"/>
              <w:bottom w:val="single" w:sz="12" w:space="0" w:color="auto"/>
              <w:right w:val="nil"/>
            </w:tcBorders>
            <w:hideMark/>
          </w:tcPr>
          <w:p w:rsidR="00F75836" w:rsidRDefault="00F75836">
            <w:pPr>
              <w:keepNext/>
              <w:keepLines/>
              <w:widowControl w:val="0"/>
              <w:jc w:val="both"/>
              <w:rPr>
                <w:rFonts w:asciiTheme="majorBidi" w:hAnsiTheme="majorBidi" w:cstheme="majorBidi"/>
                <w:b/>
                <w:bCs/>
              </w:rPr>
            </w:pPr>
            <w:r>
              <w:rPr>
                <w:rFonts w:asciiTheme="majorBidi" w:hAnsiTheme="majorBidi"/>
                <w:b/>
              </w:rPr>
              <w:t>Dosis</w:t>
            </w:r>
          </w:p>
          <w:p w:rsidR="00F75836" w:rsidRDefault="00F75836">
            <w:pPr>
              <w:keepNext/>
              <w:keepLines/>
              <w:widowControl w:val="0"/>
              <w:jc w:val="both"/>
              <w:rPr>
                <w:rFonts w:asciiTheme="majorBidi" w:hAnsiTheme="majorBidi" w:cstheme="majorBidi"/>
                <w:b/>
                <w:bCs/>
              </w:rPr>
            </w:pPr>
            <w:r>
              <w:rPr>
                <w:rFonts w:asciiTheme="majorBidi" w:hAnsiTheme="majorBidi"/>
                <w:b/>
              </w:rPr>
              <w:t>mg</w:t>
            </w:r>
          </w:p>
        </w:tc>
        <w:tc>
          <w:tcPr>
            <w:tcW w:w="1140" w:type="dxa"/>
            <w:tcBorders>
              <w:top w:val="single" w:sz="12" w:space="0" w:color="auto"/>
              <w:left w:val="nil"/>
              <w:bottom w:val="single" w:sz="12" w:space="0" w:color="auto"/>
              <w:right w:val="nil"/>
            </w:tcBorders>
            <w:hideMark/>
          </w:tcPr>
          <w:p w:rsidR="00F75836" w:rsidRDefault="00F75836">
            <w:pPr>
              <w:keepNext/>
              <w:keepLines/>
              <w:widowControl w:val="0"/>
              <w:jc w:val="both"/>
              <w:rPr>
                <w:rFonts w:asciiTheme="majorBidi" w:hAnsiTheme="majorBidi" w:cstheme="majorBidi"/>
                <w:b/>
                <w:bCs/>
              </w:rPr>
            </w:pPr>
            <w:r>
              <w:rPr>
                <w:rFonts w:asciiTheme="majorBidi" w:hAnsiTheme="majorBidi"/>
                <w:b/>
              </w:rPr>
              <w:t>Start</w:t>
            </w:r>
          </w:p>
          <w:p w:rsidR="00F75836" w:rsidRDefault="00F75836">
            <w:pPr>
              <w:keepNext/>
              <w:keepLines/>
              <w:widowControl w:val="0"/>
              <w:jc w:val="both"/>
              <w:rPr>
                <w:rFonts w:asciiTheme="majorBidi" w:hAnsiTheme="majorBidi" w:cstheme="majorBidi"/>
                <w:b/>
                <w:bCs/>
              </w:rPr>
            </w:pPr>
            <w:r>
              <w:rPr>
                <w:rFonts w:asciiTheme="majorBidi" w:hAnsiTheme="majorBidi"/>
                <w:b/>
              </w:rPr>
              <w:t>minutter</w:t>
            </w:r>
          </w:p>
        </w:tc>
        <w:tc>
          <w:tcPr>
            <w:tcW w:w="1248" w:type="dxa"/>
            <w:tcBorders>
              <w:top w:val="single" w:sz="12" w:space="0" w:color="auto"/>
              <w:left w:val="nil"/>
              <w:bottom w:val="single" w:sz="12" w:space="0" w:color="auto"/>
              <w:right w:val="nil"/>
            </w:tcBorders>
            <w:hideMark/>
          </w:tcPr>
          <w:p w:rsidR="00F75836" w:rsidRDefault="00F75836">
            <w:pPr>
              <w:keepNext/>
              <w:keepLines/>
              <w:widowControl w:val="0"/>
              <w:jc w:val="both"/>
              <w:rPr>
                <w:rFonts w:asciiTheme="majorBidi" w:hAnsiTheme="majorBidi" w:cstheme="majorBidi"/>
                <w:b/>
                <w:bCs/>
              </w:rPr>
            </w:pPr>
            <w:r>
              <w:rPr>
                <w:rFonts w:asciiTheme="majorBidi" w:hAnsiTheme="majorBidi"/>
                <w:b/>
              </w:rPr>
              <w:t>Varighed</w:t>
            </w:r>
          </w:p>
          <w:p w:rsidR="00F75836" w:rsidRDefault="00F75836">
            <w:pPr>
              <w:keepNext/>
              <w:keepLines/>
              <w:widowControl w:val="0"/>
              <w:jc w:val="both"/>
              <w:rPr>
                <w:rFonts w:asciiTheme="majorBidi" w:hAnsiTheme="majorBidi" w:cstheme="majorBidi"/>
                <w:b/>
                <w:bCs/>
              </w:rPr>
            </w:pPr>
            <w:r>
              <w:rPr>
                <w:rFonts w:asciiTheme="majorBidi" w:hAnsiTheme="majorBidi"/>
                <w:b/>
              </w:rPr>
              <w:t>timer</w:t>
            </w:r>
          </w:p>
        </w:tc>
      </w:tr>
      <w:tr w:rsidR="00F75836" w:rsidTr="00F75836">
        <w:trPr>
          <w:trHeight w:val="348"/>
        </w:trPr>
        <w:tc>
          <w:tcPr>
            <w:tcW w:w="9356" w:type="dxa"/>
            <w:gridSpan w:val="6"/>
            <w:tcBorders>
              <w:top w:val="single" w:sz="12" w:space="0" w:color="auto"/>
              <w:left w:val="nil"/>
              <w:bottom w:val="nil"/>
              <w:right w:val="nil"/>
            </w:tcBorders>
            <w:hideMark/>
          </w:tcPr>
          <w:p w:rsidR="00F75836" w:rsidRDefault="00F75836">
            <w:pPr>
              <w:pStyle w:val="Default"/>
              <w:keepNext/>
              <w:keepLines/>
              <w:jc w:val="both"/>
              <w:rPr>
                <w:rFonts w:asciiTheme="majorBidi" w:hAnsiTheme="majorBidi" w:cstheme="majorBidi"/>
                <w:color w:val="auto"/>
                <w:sz w:val="22"/>
                <w:szCs w:val="22"/>
              </w:rPr>
            </w:pPr>
            <w:r>
              <w:rPr>
                <w:rFonts w:asciiTheme="majorBidi" w:hAnsiTheme="majorBidi"/>
                <w:b/>
                <w:sz w:val="22"/>
              </w:rPr>
              <w:t>KIRURGISK ANÆSTESI</w:t>
            </w:r>
          </w:p>
        </w:tc>
      </w:tr>
      <w:tr w:rsidR="00F75836" w:rsidTr="00F75836">
        <w:trPr>
          <w:trHeight w:val="360"/>
        </w:trPr>
        <w:tc>
          <w:tcPr>
            <w:tcW w:w="9356" w:type="dxa"/>
            <w:gridSpan w:val="6"/>
            <w:tcBorders>
              <w:top w:val="nil"/>
              <w:left w:val="nil"/>
              <w:bottom w:val="nil"/>
              <w:right w:val="nil"/>
            </w:tcBorders>
            <w:hideMark/>
          </w:tcPr>
          <w:p w:rsidR="00F75836" w:rsidRDefault="00F75836">
            <w:pPr>
              <w:pStyle w:val="Default"/>
              <w:keepNext/>
              <w:keepLines/>
              <w:jc w:val="both"/>
              <w:rPr>
                <w:rFonts w:asciiTheme="majorBidi" w:hAnsiTheme="majorBidi" w:cstheme="majorBidi"/>
                <w:color w:val="auto"/>
                <w:sz w:val="22"/>
                <w:szCs w:val="22"/>
              </w:rPr>
            </w:pPr>
            <w:r>
              <w:rPr>
                <w:rFonts w:asciiTheme="majorBidi" w:hAnsiTheme="majorBidi"/>
                <w:b/>
                <w:sz w:val="22"/>
              </w:rPr>
              <w:t>Lumbal epidural administration</w:t>
            </w:r>
          </w:p>
        </w:tc>
      </w:tr>
      <w:tr w:rsidR="00F75836" w:rsidTr="00F75836">
        <w:tc>
          <w:tcPr>
            <w:tcW w:w="2953" w:type="dxa"/>
            <w:vMerge w:val="restart"/>
            <w:tcBorders>
              <w:top w:val="nil"/>
              <w:left w:val="nil"/>
              <w:bottom w:val="nil"/>
              <w:right w:val="nil"/>
            </w:tcBorders>
            <w:hideMark/>
          </w:tcPr>
          <w:p w:rsidR="00F75836" w:rsidRDefault="00F75836">
            <w:pPr>
              <w:keepNext/>
              <w:keepLines/>
              <w:widowControl w:val="0"/>
              <w:rPr>
                <w:rFonts w:asciiTheme="majorBidi" w:hAnsiTheme="majorBidi" w:cstheme="majorBidi"/>
                <w:sz w:val="22"/>
              </w:rPr>
            </w:pPr>
            <w:r>
              <w:rPr>
                <w:rFonts w:asciiTheme="majorBidi" w:hAnsiTheme="majorBidi"/>
              </w:rPr>
              <w:t>Kirurgi</w:t>
            </w:r>
          </w:p>
        </w:tc>
        <w:tc>
          <w:tcPr>
            <w:tcW w:w="1231"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7,5</w:t>
            </w:r>
          </w:p>
        </w:tc>
        <w:tc>
          <w:tcPr>
            <w:tcW w:w="1402"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15</w:t>
            </w:r>
            <w:r>
              <w:noBreakHyphen/>
            </w:r>
            <w:r>
              <w:rPr>
                <w:rFonts w:asciiTheme="majorBidi" w:hAnsiTheme="majorBidi"/>
              </w:rPr>
              <w:t>25</w:t>
            </w:r>
          </w:p>
        </w:tc>
        <w:tc>
          <w:tcPr>
            <w:tcW w:w="1382"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113</w:t>
            </w:r>
            <w:r>
              <w:noBreakHyphen/>
            </w:r>
            <w:r>
              <w:rPr>
                <w:rFonts w:asciiTheme="majorBidi" w:hAnsiTheme="majorBidi"/>
              </w:rPr>
              <w:t>188</w:t>
            </w:r>
          </w:p>
        </w:tc>
        <w:tc>
          <w:tcPr>
            <w:tcW w:w="1140"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10</w:t>
            </w:r>
            <w:r>
              <w:noBreakHyphen/>
            </w:r>
            <w:r>
              <w:rPr>
                <w:rFonts w:asciiTheme="majorBidi" w:hAnsiTheme="majorBidi"/>
              </w:rPr>
              <w:t>20</w:t>
            </w:r>
          </w:p>
        </w:tc>
        <w:tc>
          <w:tcPr>
            <w:tcW w:w="1248"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3</w:t>
            </w:r>
            <w:r>
              <w:noBreakHyphen/>
            </w:r>
            <w:r>
              <w:rPr>
                <w:rFonts w:asciiTheme="majorBidi" w:hAnsiTheme="majorBidi"/>
              </w:rPr>
              <w:t>5</w:t>
            </w:r>
          </w:p>
        </w:tc>
      </w:tr>
      <w:tr w:rsidR="00F75836" w:rsidTr="00F75836">
        <w:trPr>
          <w:trHeight w:val="378"/>
        </w:trPr>
        <w:tc>
          <w:tcPr>
            <w:tcW w:w="0" w:type="auto"/>
            <w:vMerge/>
            <w:tcBorders>
              <w:top w:val="nil"/>
              <w:left w:val="nil"/>
              <w:bottom w:val="nil"/>
              <w:right w:val="nil"/>
            </w:tcBorders>
            <w:vAlign w:val="center"/>
            <w:hideMark/>
          </w:tcPr>
          <w:p w:rsidR="00F75836" w:rsidRDefault="00F75836">
            <w:pPr>
              <w:rPr>
                <w:rFonts w:asciiTheme="majorBidi" w:hAnsiTheme="majorBidi" w:cstheme="majorBidi"/>
                <w:sz w:val="22"/>
                <w:lang w:eastAsia="el-GR"/>
              </w:rPr>
            </w:pPr>
          </w:p>
        </w:tc>
        <w:tc>
          <w:tcPr>
            <w:tcW w:w="1231"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10,0</w:t>
            </w:r>
          </w:p>
        </w:tc>
        <w:tc>
          <w:tcPr>
            <w:tcW w:w="1402"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color w:val="000000"/>
              </w:rPr>
              <w:t>15</w:t>
            </w:r>
            <w:r>
              <w:rPr>
                <w:color w:val="000000"/>
              </w:rPr>
              <w:noBreakHyphen/>
            </w:r>
            <w:r>
              <w:rPr>
                <w:rFonts w:asciiTheme="majorBidi" w:hAnsiTheme="majorBidi"/>
                <w:color w:val="000000"/>
              </w:rPr>
              <w:t>20</w:t>
            </w:r>
          </w:p>
        </w:tc>
        <w:tc>
          <w:tcPr>
            <w:tcW w:w="1382"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150</w:t>
            </w:r>
            <w:r>
              <w:noBreakHyphen/>
            </w:r>
            <w:r>
              <w:rPr>
                <w:rFonts w:asciiTheme="majorBidi" w:hAnsiTheme="majorBidi"/>
              </w:rPr>
              <w:t>200</w:t>
            </w:r>
          </w:p>
        </w:tc>
        <w:tc>
          <w:tcPr>
            <w:tcW w:w="1140"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10</w:t>
            </w:r>
            <w:r>
              <w:noBreakHyphen/>
            </w:r>
            <w:r>
              <w:rPr>
                <w:rFonts w:asciiTheme="majorBidi" w:hAnsiTheme="majorBidi"/>
              </w:rPr>
              <w:t>20</w:t>
            </w:r>
          </w:p>
        </w:tc>
        <w:tc>
          <w:tcPr>
            <w:tcW w:w="1248" w:type="dxa"/>
            <w:tcBorders>
              <w:top w:val="nil"/>
              <w:left w:val="nil"/>
              <w:bottom w:val="nil"/>
              <w:right w:val="nil"/>
            </w:tcBorders>
            <w:hideMark/>
          </w:tcPr>
          <w:p w:rsidR="00F75836" w:rsidRDefault="00F75836">
            <w:pPr>
              <w:keepNext/>
              <w:keepLines/>
              <w:widowControl w:val="0"/>
              <w:jc w:val="both"/>
              <w:rPr>
                <w:rFonts w:asciiTheme="majorBidi" w:hAnsiTheme="majorBidi" w:cstheme="majorBidi"/>
              </w:rPr>
            </w:pPr>
            <w:r>
              <w:rPr>
                <w:rFonts w:asciiTheme="majorBidi" w:hAnsiTheme="majorBidi"/>
              </w:rPr>
              <w:t>4</w:t>
            </w:r>
            <w:r>
              <w:noBreakHyphen/>
            </w:r>
            <w:r>
              <w:rPr>
                <w:rFonts w:asciiTheme="majorBidi" w:hAnsiTheme="majorBidi"/>
              </w:rPr>
              <w:t>6</w:t>
            </w:r>
          </w:p>
        </w:tc>
      </w:tr>
      <w:tr w:rsidR="00F75836" w:rsidTr="00F75836">
        <w:trPr>
          <w:trHeight w:val="441"/>
        </w:trPr>
        <w:tc>
          <w:tcPr>
            <w:tcW w:w="2953" w:type="dxa"/>
            <w:tcBorders>
              <w:top w:val="nil"/>
              <w:left w:val="nil"/>
              <w:bottom w:val="nil"/>
              <w:right w:val="nil"/>
            </w:tcBorders>
            <w:hideMark/>
          </w:tcPr>
          <w:p w:rsidR="00F75836" w:rsidRDefault="00F75836">
            <w:pPr>
              <w:widowControl w:val="0"/>
              <w:rPr>
                <w:rFonts w:asciiTheme="majorBidi" w:hAnsiTheme="majorBidi" w:cstheme="majorBidi"/>
              </w:rPr>
            </w:pPr>
            <w:r>
              <w:rPr>
                <w:rFonts w:asciiTheme="majorBidi" w:hAnsiTheme="majorBidi"/>
              </w:rPr>
              <w:t>Kejsersnit </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7,5</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15</w:t>
            </w:r>
            <w:r>
              <w:noBreakHyphen/>
            </w:r>
            <w:r>
              <w:rPr>
                <w:rFonts w:asciiTheme="majorBidi" w:hAnsiTheme="majorBidi"/>
              </w:rPr>
              <w:t>20</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113</w:t>
            </w:r>
            <w:r>
              <w:rPr>
                <w:rFonts w:ascii="Cambria Math" w:hAnsi="Cambria Math"/>
                <w:color w:val="000000"/>
              </w:rPr>
              <w:noBreakHyphen/>
            </w:r>
            <w:r>
              <w:rPr>
                <w:rFonts w:asciiTheme="majorBidi" w:hAnsiTheme="majorBidi"/>
              </w:rPr>
              <w:t>150</w:t>
            </w:r>
            <w:r>
              <w:rPr>
                <w:rFonts w:asciiTheme="majorBidi" w:hAnsiTheme="majorBidi"/>
                <w:vertAlign w:val="superscript"/>
              </w:rPr>
              <w:t>(1)</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20</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3</w:t>
            </w:r>
            <w:r>
              <w:noBreakHyphen/>
            </w:r>
            <w:r>
              <w:rPr>
                <w:rFonts w:asciiTheme="majorBidi" w:hAnsiTheme="majorBidi"/>
              </w:rPr>
              <w:t>5</w:t>
            </w:r>
          </w:p>
        </w:tc>
      </w:tr>
      <w:tr w:rsidR="00F75836" w:rsidTr="00F75836">
        <w:trPr>
          <w:trHeight w:val="360"/>
        </w:trPr>
        <w:tc>
          <w:tcPr>
            <w:tcW w:w="9356" w:type="dxa"/>
            <w:gridSpan w:val="6"/>
            <w:tcBorders>
              <w:top w:val="nil"/>
              <w:left w:val="nil"/>
              <w:bottom w:val="nil"/>
              <w:right w:val="nil"/>
            </w:tcBorders>
            <w:hideMark/>
          </w:tcPr>
          <w:p w:rsidR="00F75836" w:rsidRDefault="00F75836">
            <w:pPr>
              <w:pStyle w:val="Default"/>
              <w:jc w:val="both"/>
              <w:rPr>
                <w:rFonts w:asciiTheme="majorBidi" w:hAnsiTheme="majorBidi" w:cstheme="majorBidi"/>
                <w:color w:val="auto"/>
                <w:sz w:val="22"/>
                <w:szCs w:val="22"/>
              </w:rPr>
            </w:pPr>
            <w:r>
              <w:rPr>
                <w:rFonts w:asciiTheme="majorBidi" w:hAnsiTheme="majorBidi"/>
                <w:b/>
                <w:sz w:val="22"/>
              </w:rPr>
              <w:lastRenderedPageBreak/>
              <w:t>Thorakal epidural administration</w:t>
            </w:r>
          </w:p>
        </w:tc>
      </w:tr>
      <w:tr w:rsidR="00F75836" w:rsidTr="00F75836">
        <w:trPr>
          <w:trHeight w:val="927"/>
        </w:trPr>
        <w:tc>
          <w:tcPr>
            <w:tcW w:w="2953" w:type="dxa"/>
            <w:tcBorders>
              <w:top w:val="nil"/>
              <w:left w:val="nil"/>
              <w:bottom w:val="nil"/>
              <w:right w:val="nil"/>
            </w:tcBorders>
            <w:hideMark/>
          </w:tcPr>
          <w:p w:rsidR="00F75836" w:rsidRDefault="00F75836">
            <w:pPr>
              <w:widowControl w:val="0"/>
              <w:rPr>
                <w:rFonts w:asciiTheme="majorBidi" w:hAnsiTheme="majorBidi" w:cstheme="majorBidi"/>
                <w:sz w:val="22"/>
              </w:rPr>
            </w:pPr>
            <w:r>
              <w:rPr>
                <w:rFonts w:asciiTheme="majorBidi" w:hAnsiTheme="majorBidi"/>
              </w:rPr>
              <w:t>Til blokade til postoperativ smertelindring</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7,5</w:t>
            </w:r>
          </w:p>
        </w:tc>
        <w:tc>
          <w:tcPr>
            <w:tcW w:w="1402" w:type="dxa"/>
            <w:tcBorders>
              <w:top w:val="nil"/>
              <w:left w:val="nil"/>
              <w:bottom w:val="nil"/>
              <w:right w:val="nil"/>
            </w:tcBorders>
            <w:hideMark/>
          </w:tcPr>
          <w:p w:rsidR="00F75836" w:rsidRDefault="00F75836">
            <w:pPr>
              <w:widowControl w:val="0"/>
              <w:rPr>
                <w:rFonts w:asciiTheme="majorBidi" w:hAnsiTheme="majorBidi" w:cstheme="majorBidi"/>
              </w:rPr>
            </w:pPr>
            <w:r>
              <w:rPr>
                <w:rFonts w:asciiTheme="majorBidi" w:hAnsiTheme="majorBidi"/>
              </w:rPr>
              <w:t>5</w:t>
            </w:r>
            <w:r>
              <w:noBreakHyphen/>
            </w:r>
            <w:r>
              <w:rPr>
                <w:rFonts w:asciiTheme="majorBidi" w:hAnsiTheme="majorBidi"/>
              </w:rPr>
              <w:t>15</w:t>
            </w:r>
          </w:p>
          <w:p w:rsidR="00F75836" w:rsidRDefault="00F75836">
            <w:pPr>
              <w:rPr>
                <w:rFonts w:asciiTheme="majorBidi" w:hAnsiTheme="majorBidi" w:cstheme="majorBidi"/>
              </w:rPr>
            </w:pPr>
            <w:r>
              <w:rPr>
                <w:rFonts w:asciiTheme="majorBidi" w:hAnsiTheme="majorBidi"/>
              </w:rPr>
              <w:t>(afhænger af injektionsniveauet)</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38</w:t>
            </w:r>
            <w:r>
              <w:noBreakHyphen/>
            </w:r>
            <w:r>
              <w:rPr>
                <w:rFonts w:asciiTheme="majorBidi" w:hAnsiTheme="majorBidi"/>
              </w:rPr>
              <w:t>113</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20</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r>
              <w:rPr>
                <w:rFonts w:asciiTheme="majorBidi" w:hAnsiTheme="majorBidi"/>
                <w:vertAlign w:val="superscript"/>
              </w:rPr>
              <w:t>(2)</w:t>
            </w:r>
          </w:p>
        </w:tc>
      </w:tr>
      <w:tr w:rsidR="00F75836" w:rsidTr="00F75836">
        <w:trPr>
          <w:trHeight w:val="351"/>
        </w:trPr>
        <w:tc>
          <w:tcPr>
            <w:tcW w:w="9356" w:type="dxa"/>
            <w:gridSpan w:val="6"/>
            <w:tcBorders>
              <w:top w:val="nil"/>
              <w:left w:val="nil"/>
              <w:bottom w:val="nil"/>
              <w:right w:val="nil"/>
            </w:tcBorders>
            <w:hideMark/>
          </w:tcPr>
          <w:p w:rsidR="00F75836" w:rsidRDefault="00F75836">
            <w:pPr>
              <w:pStyle w:val="Default"/>
              <w:jc w:val="both"/>
              <w:rPr>
                <w:rFonts w:asciiTheme="majorBidi" w:hAnsiTheme="majorBidi" w:cstheme="majorBidi"/>
                <w:color w:val="auto"/>
                <w:sz w:val="22"/>
                <w:szCs w:val="22"/>
              </w:rPr>
            </w:pPr>
            <w:r>
              <w:rPr>
                <w:rFonts w:asciiTheme="majorBidi" w:hAnsiTheme="majorBidi"/>
                <w:b/>
                <w:sz w:val="22"/>
              </w:rPr>
              <w:t>Større nerveblokader (*)</w:t>
            </w:r>
          </w:p>
        </w:tc>
      </w:tr>
      <w:tr w:rsidR="00F75836" w:rsidTr="00F75836">
        <w:trPr>
          <w:trHeight w:val="450"/>
        </w:trPr>
        <w:tc>
          <w:tcPr>
            <w:tcW w:w="2953" w:type="dxa"/>
            <w:tcBorders>
              <w:top w:val="nil"/>
              <w:left w:val="nil"/>
              <w:bottom w:val="nil"/>
              <w:right w:val="nil"/>
            </w:tcBorders>
            <w:hideMark/>
          </w:tcPr>
          <w:p w:rsidR="00F75836" w:rsidRDefault="00F75836">
            <w:pPr>
              <w:widowControl w:val="0"/>
              <w:rPr>
                <w:rFonts w:asciiTheme="majorBidi" w:hAnsiTheme="majorBidi" w:cstheme="majorBidi"/>
                <w:sz w:val="22"/>
              </w:rPr>
            </w:pPr>
            <w:r>
              <w:rPr>
                <w:rFonts w:asciiTheme="majorBidi" w:hAnsiTheme="majorBidi"/>
              </w:rPr>
              <w:t>(Brachial plexus blokade)</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color w:val="000000"/>
              </w:rPr>
              <w:t>7,5</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30</w:t>
            </w:r>
            <w:r>
              <w:noBreakHyphen/>
            </w:r>
            <w:r>
              <w:rPr>
                <w:rFonts w:asciiTheme="majorBidi" w:hAnsiTheme="majorBidi"/>
              </w:rPr>
              <w:t>40</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225</w:t>
            </w:r>
            <w:r>
              <w:rPr>
                <w:rFonts w:ascii="Cambria Math" w:hAnsi="Cambria Math"/>
                <w:color w:val="000000"/>
              </w:rPr>
              <w:noBreakHyphen/>
            </w:r>
            <w:r>
              <w:rPr>
                <w:rFonts w:asciiTheme="majorBidi" w:hAnsiTheme="majorBidi"/>
              </w:rPr>
              <w:t>300</w:t>
            </w:r>
            <w:r>
              <w:rPr>
                <w:rFonts w:asciiTheme="majorBidi" w:hAnsiTheme="majorBidi"/>
                <w:vertAlign w:val="superscript"/>
              </w:rPr>
              <w:t>(3)</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25</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6</w:t>
            </w:r>
            <w:r>
              <w:noBreakHyphen/>
            </w:r>
            <w:r>
              <w:rPr>
                <w:rFonts w:asciiTheme="majorBidi" w:hAnsiTheme="majorBidi"/>
              </w:rPr>
              <w:t>10</w:t>
            </w:r>
          </w:p>
        </w:tc>
      </w:tr>
      <w:tr w:rsidR="00F75836" w:rsidTr="00F75836">
        <w:tc>
          <w:tcPr>
            <w:tcW w:w="2953" w:type="dxa"/>
            <w:tcBorders>
              <w:top w:val="nil"/>
              <w:left w:val="nil"/>
              <w:bottom w:val="nil"/>
              <w:right w:val="nil"/>
            </w:tcBorders>
            <w:hideMark/>
          </w:tcPr>
          <w:p w:rsidR="00F75836" w:rsidRDefault="00B8517D">
            <w:pPr>
              <w:widowControl w:val="0"/>
              <w:rPr>
                <w:rFonts w:asciiTheme="majorBidi" w:hAnsiTheme="majorBidi" w:cstheme="majorBidi"/>
                <w:b/>
              </w:rPr>
            </w:pPr>
            <w:r>
              <w:rPr>
                <w:rFonts w:asciiTheme="majorBidi" w:hAnsiTheme="majorBidi"/>
                <w:b/>
              </w:rPr>
              <w:t>Infiltrationsanalgesi</w:t>
            </w:r>
          </w:p>
          <w:p w:rsidR="00F75836" w:rsidRDefault="00F75836">
            <w:pPr>
              <w:widowControl w:val="0"/>
              <w:rPr>
                <w:rFonts w:asciiTheme="majorBidi" w:hAnsiTheme="majorBidi" w:cstheme="majorBidi"/>
                <w:b/>
              </w:rPr>
            </w:pPr>
            <w:r>
              <w:rPr>
                <w:rFonts w:asciiTheme="majorBidi" w:hAnsiTheme="majorBidi"/>
              </w:rPr>
              <w:t>(f.eks. mindre nerveblokader og infiltration)</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7,5</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w:t>
            </w:r>
            <w:r>
              <w:noBreakHyphen/>
            </w:r>
            <w:r>
              <w:rPr>
                <w:rFonts w:asciiTheme="majorBidi" w:hAnsiTheme="majorBidi"/>
              </w:rPr>
              <w:t>30</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7,5</w:t>
            </w:r>
            <w:r>
              <w:noBreakHyphen/>
            </w:r>
            <w:r>
              <w:rPr>
                <w:rFonts w:asciiTheme="majorBidi" w:hAnsiTheme="majorBidi"/>
              </w:rPr>
              <w:t>225</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w:t>
            </w:r>
            <w:r>
              <w:noBreakHyphen/>
            </w:r>
            <w:r>
              <w:rPr>
                <w:rFonts w:asciiTheme="majorBidi" w:hAnsiTheme="majorBidi"/>
              </w:rPr>
              <w:t>15</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w:t>
            </w:r>
            <w:r>
              <w:noBreakHyphen/>
            </w:r>
            <w:r>
              <w:rPr>
                <w:rFonts w:asciiTheme="majorBidi" w:hAnsiTheme="majorBidi"/>
              </w:rPr>
              <w:t>6</w:t>
            </w:r>
          </w:p>
        </w:tc>
      </w:tr>
      <w:tr w:rsidR="00F75836" w:rsidTr="00F75836">
        <w:tc>
          <w:tcPr>
            <w:tcW w:w="2953" w:type="dxa"/>
            <w:tcBorders>
              <w:top w:val="nil"/>
              <w:left w:val="nil"/>
              <w:bottom w:val="nil"/>
              <w:right w:val="nil"/>
            </w:tcBorders>
          </w:tcPr>
          <w:p w:rsidR="00F75836" w:rsidRDefault="00F75836">
            <w:pPr>
              <w:widowControl w:val="0"/>
              <w:rPr>
                <w:rFonts w:asciiTheme="majorBidi" w:hAnsiTheme="majorBidi" w:cstheme="majorBidi"/>
                <w:b/>
                <w:lang w:val="en-GB"/>
              </w:rPr>
            </w:pPr>
          </w:p>
        </w:tc>
        <w:tc>
          <w:tcPr>
            <w:tcW w:w="1231" w:type="dxa"/>
            <w:tcBorders>
              <w:top w:val="nil"/>
              <w:left w:val="nil"/>
              <w:bottom w:val="nil"/>
              <w:right w:val="nil"/>
            </w:tcBorders>
          </w:tcPr>
          <w:p w:rsidR="00F75836" w:rsidRDefault="00F75836">
            <w:pPr>
              <w:widowControl w:val="0"/>
              <w:jc w:val="both"/>
              <w:rPr>
                <w:rFonts w:asciiTheme="majorBidi" w:hAnsiTheme="majorBidi" w:cstheme="majorBidi"/>
                <w:lang w:val="en-GB"/>
              </w:rPr>
            </w:pPr>
          </w:p>
        </w:tc>
        <w:tc>
          <w:tcPr>
            <w:tcW w:w="1402" w:type="dxa"/>
            <w:tcBorders>
              <w:top w:val="nil"/>
              <w:left w:val="nil"/>
              <w:bottom w:val="nil"/>
              <w:right w:val="nil"/>
            </w:tcBorders>
          </w:tcPr>
          <w:p w:rsidR="00F75836" w:rsidRDefault="00F75836">
            <w:pPr>
              <w:widowControl w:val="0"/>
              <w:jc w:val="both"/>
              <w:rPr>
                <w:rFonts w:asciiTheme="majorBidi" w:hAnsiTheme="majorBidi" w:cstheme="majorBidi"/>
                <w:lang w:val="en-GB"/>
              </w:rPr>
            </w:pPr>
          </w:p>
        </w:tc>
        <w:tc>
          <w:tcPr>
            <w:tcW w:w="1382" w:type="dxa"/>
            <w:tcBorders>
              <w:top w:val="nil"/>
              <w:left w:val="nil"/>
              <w:bottom w:val="nil"/>
              <w:right w:val="nil"/>
            </w:tcBorders>
          </w:tcPr>
          <w:p w:rsidR="00F75836" w:rsidRDefault="00F75836">
            <w:pPr>
              <w:widowControl w:val="0"/>
              <w:jc w:val="both"/>
              <w:rPr>
                <w:rFonts w:asciiTheme="majorBidi" w:hAnsiTheme="majorBidi" w:cstheme="majorBidi"/>
                <w:lang w:val="en-GB"/>
              </w:rPr>
            </w:pPr>
          </w:p>
        </w:tc>
        <w:tc>
          <w:tcPr>
            <w:tcW w:w="1140" w:type="dxa"/>
            <w:tcBorders>
              <w:top w:val="nil"/>
              <w:left w:val="nil"/>
              <w:bottom w:val="nil"/>
              <w:right w:val="nil"/>
            </w:tcBorders>
          </w:tcPr>
          <w:p w:rsidR="00F75836" w:rsidRDefault="00F75836">
            <w:pPr>
              <w:widowControl w:val="0"/>
              <w:jc w:val="both"/>
              <w:rPr>
                <w:rFonts w:asciiTheme="majorBidi" w:hAnsiTheme="majorBidi" w:cstheme="majorBidi"/>
                <w:lang w:val="en-GB"/>
              </w:rPr>
            </w:pPr>
          </w:p>
        </w:tc>
        <w:tc>
          <w:tcPr>
            <w:tcW w:w="1248" w:type="dxa"/>
            <w:tcBorders>
              <w:top w:val="nil"/>
              <w:left w:val="nil"/>
              <w:bottom w:val="nil"/>
              <w:right w:val="nil"/>
            </w:tcBorders>
          </w:tcPr>
          <w:p w:rsidR="00F75836" w:rsidRDefault="00F75836">
            <w:pPr>
              <w:widowControl w:val="0"/>
              <w:jc w:val="both"/>
              <w:rPr>
                <w:rFonts w:asciiTheme="majorBidi" w:hAnsiTheme="majorBidi" w:cstheme="majorBidi"/>
                <w:lang w:val="en-GB"/>
              </w:rPr>
            </w:pPr>
          </w:p>
        </w:tc>
      </w:tr>
      <w:tr w:rsidR="00F75836" w:rsidTr="00F75836">
        <w:trPr>
          <w:trHeight w:val="441"/>
        </w:trPr>
        <w:tc>
          <w:tcPr>
            <w:tcW w:w="9356" w:type="dxa"/>
            <w:gridSpan w:val="6"/>
            <w:tcBorders>
              <w:top w:val="nil"/>
              <w:left w:val="nil"/>
              <w:bottom w:val="nil"/>
              <w:right w:val="nil"/>
            </w:tcBorders>
            <w:hideMark/>
          </w:tcPr>
          <w:p w:rsidR="00F75836" w:rsidRDefault="00F75836">
            <w:pPr>
              <w:pStyle w:val="Default"/>
              <w:jc w:val="both"/>
              <w:rPr>
                <w:rFonts w:asciiTheme="majorBidi" w:hAnsiTheme="majorBidi" w:cstheme="majorBidi"/>
                <w:color w:val="auto"/>
                <w:sz w:val="22"/>
                <w:szCs w:val="22"/>
              </w:rPr>
            </w:pPr>
            <w:r>
              <w:rPr>
                <w:rFonts w:asciiTheme="majorBidi" w:hAnsiTheme="majorBidi"/>
                <w:b/>
                <w:sz w:val="22"/>
              </w:rPr>
              <w:t>AKUT SMERTEBEHANDLING</w:t>
            </w:r>
          </w:p>
        </w:tc>
      </w:tr>
      <w:tr w:rsidR="00F75836" w:rsidTr="00F75836">
        <w:trPr>
          <w:trHeight w:val="342"/>
        </w:trPr>
        <w:tc>
          <w:tcPr>
            <w:tcW w:w="9356" w:type="dxa"/>
            <w:gridSpan w:val="6"/>
            <w:tcBorders>
              <w:top w:val="nil"/>
              <w:left w:val="nil"/>
              <w:bottom w:val="nil"/>
              <w:right w:val="nil"/>
            </w:tcBorders>
            <w:hideMark/>
          </w:tcPr>
          <w:p w:rsidR="00F75836" w:rsidRDefault="00F75836">
            <w:pPr>
              <w:pStyle w:val="Default"/>
              <w:jc w:val="both"/>
              <w:rPr>
                <w:rFonts w:asciiTheme="majorBidi" w:hAnsiTheme="majorBidi" w:cstheme="majorBidi"/>
                <w:color w:val="auto"/>
                <w:sz w:val="22"/>
                <w:szCs w:val="22"/>
              </w:rPr>
            </w:pPr>
            <w:r>
              <w:rPr>
                <w:rFonts w:asciiTheme="majorBidi" w:hAnsiTheme="majorBidi"/>
                <w:b/>
                <w:sz w:val="22"/>
              </w:rPr>
              <w:t>Lumbal epidural administration</w:t>
            </w:r>
          </w:p>
        </w:tc>
      </w:tr>
      <w:tr w:rsidR="00F75836" w:rsidTr="00F75836">
        <w:trPr>
          <w:trHeight w:val="549"/>
        </w:trPr>
        <w:tc>
          <w:tcPr>
            <w:tcW w:w="2953" w:type="dxa"/>
            <w:tcBorders>
              <w:top w:val="nil"/>
              <w:left w:val="nil"/>
              <w:bottom w:val="nil"/>
              <w:right w:val="nil"/>
            </w:tcBorders>
            <w:hideMark/>
          </w:tcPr>
          <w:p w:rsidR="00F75836" w:rsidRDefault="00F75836">
            <w:pPr>
              <w:widowControl w:val="0"/>
              <w:rPr>
                <w:rFonts w:asciiTheme="majorBidi" w:hAnsiTheme="majorBidi" w:cstheme="majorBidi"/>
                <w:sz w:val="22"/>
              </w:rPr>
            </w:pPr>
            <w:r>
              <w:rPr>
                <w:rFonts w:asciiTheme="majorBidi" w:hAnsiTheme="majorBidi"/>
              </w:rPr>
              <w:t>Bolus</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20</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r>
              <w:noBreakHyphen/>
            </w:r>
            <w:r>
              <w:rPr>
                <w:rFonts w:asciiTheme="majorBidi" w:hAnsiTheme="majorBidi"/>
              </w:rPr>
              <w:t>40</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15</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0,5</w:t>
            </w:r>
            <w:r>
              <w:noBreakHyphen/>
            </w:r>
            <w:r>
              <w:rPr>
                <w:rFonts w:asciiTheme="majorBidi" w:hAnsiTheme="majorBidi"/>
              </w:rPr>
              <w:t>1,5</w:t>
            </w:r>
          </w:p>
        </w:tc>
      </w:tr>
      <w:tr w:rsidR="00F75836" w:rsidTr="00F75836">
        <w:trPr>
          <w:trHeight w:val="1170"/>
        </w:trPr>
        <w:tc>
          <w:tcPr>
            <w:tcW w:w="2953" w:type="dxa"/>
            <w:tcBorders>
              <w:top w:val="nil"/>
              <w:left w:val="nil"/>
              <w:bottom w:val="nil"/>
              <w:right w:val="nil"/>
            </w:tcBorders>
            <w:hideMark/>
          </w:tcPr>
          <w:p w:rsidR="00F75836" w:rsidRDefault="00F75836">
            <w:pPr>
              <w:widowControl w:val="0"/>
              <w:rPr>
                <w:rFonts w:asciiTheme="majorBidi" w:hAnsiTheme="majorBidi" w:cstheme="majorBidi"/>
              </w:rPr>
            </w:pPr>
            <w:r>
              <w:rPr>
                <w:rFonts w:asciiTheme="majorBidi" w:hAnsiTheme="majorBidi"/>
              </w:rPr>
              <w:t>Intermitterende injektioner (top-up) (f.eks. smertebehandling under fødsler)</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10</w:t>
            </w:r>
            <w:r>
              <w:noBreakHyphen/>
            </w:r>
            <w:r>
              <w:rPr>
                <w:rFonts w:asciiTheme="majorBidi" w:hAnsiTheme="majorBidi"/>
              </w:rPr>
              <w:t>15</w:t>
            </w:r>
          </w:p>
          <w:p w:rsidR="00F75836" w:rsidRDefault="00F75836">
            <w:pPr>
              <w:widowControl w:val="0"/>
              <w:jc w:val="both"/>
              <w:rPr>
                <w:rFonts w:asciiTheme="majorBidi" w:hAnsiTheme="majorBidi" w:cstheme="majorBidi"/>
              </w:rPr>
            </w:pPr>
            <w:r>
              <w:rPr>
                <w:rFonts w:asciiTheme="majorBidi" w:hAnsiTheme="majorBidi"/>
              </w:rPr>
              <w:t>(minimum</w:t>
            </w:r>
          </w:p>
          <w:p w:rsidR="00F75836" w:rsidRDefault="00F75836">
            <w:pPr>
              <w:rPr>
                <w:rFonts w:asciiTheme="majorBidi" w:hAnsiTheme="majorBidi" w:cstheme="majorBidi"/>
              </w:rPr>
            </w:pPr>
            <w:r>
              <w:rPr>
                <w:rFonts w:asciiTheme="majorBidi" w:hAnsiTheme="majorBidi"/>
              </w:rPr>
              <w:t xml:space="preserve">interval </w:t>
            </w:r>
            <w:r>
              <w:rPr>
                <w:rFonts w:asciiTheme="majorBidi" w:hAnsiTheme="majorBidi"/>
                <w:color w:val="000000"/>
              </w:rPr>
              <w:t>30 </w:t>
            </w:r>
            <w:r>
              <w:rPr>
                <w:rFonts w:asciiTheme="majorBidi" w:hAnsiTheme="majorBidi"/>
              </w:rPr>
              <w:t>minutter)</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r>
              <w:noBreakHyphen/>
            </w:r>
            <w:r>
              <w:rPr>
                <w:rFonts w:asciiTheme="majorBidi" w:hAnsiTheme="majorBidi"/>
              </w:rPr>
              <w:t>30</w:t>
            </w:r>
          </w:p>
        </w:tc>
        <w:tc>
          <w:tcPr>
            <w:tcW w:w="1140" w:type="dxa"/>
            <w:tcBorders>
              <w:top w:val="nil"/>
              <w:left w:val="nil"/>
              <w:bottom w:val="nil"/>
              <w:right w:val="nil"/>
            </w:tcBorders>
          </w:tcPr>
          <w:p w:rsidR="00F75836" w:rsidRDefault="00F75836">
            <w:pPr>
              <w:pStyle w:val="Default"/>
              <w:jc w:val="both"/>
              <w:rPr>
                <w:rFonts w:asciiTheme="majorBidi" w:hAnsiTheme="majorBidi" w:cstheme="majorBidi"/>
                <w:color w:val="auto"/>
                <w:sz w:val="22"/>
                <w:szCs w:val="22"/>
                <w:lang w:val="en-GB"/>
              </w:rPr>
            </w:pPr>
          </w:p>
        </w:tc>
        <w:tc>
          <w:tcPr>
            <w:tcW w:w="1248" w:type="dxa"/>
            <w:tcBorders>
              <w:top w:val="nil"/>
              <w:left w:val="nil"/>
              <w:bottom w:val="nil"/>
              <w:right w:val="nil"/>
            </w:tcBorders>
          </w:tcPr>
          <w:p w:rsidR="00F75836" w:rsidRDefault="00F75836">
            <w:pPr>
              <w:pStyle w:val="Default"/>
              <w:jc w:val="both"/>
              <w:rPr>
                <w:rFonts w:asciiTheme="majorBidi" w:hAnsiTheme="majorBidi" w:cstheme="majorBidi"/>
                <w:color w:val="auto"/>
                <w:sz w:val="22"/>
                <w:szCs w:val="22"/>
                <w:lang w:val="en-GB"/>
              </w:rPr>
            </w:pPr>
          </w:p>
        </w:tc>
      </w:tr>
      <w:tr w:rsidR="00F75836" w:rsidTr="00F75836">
        <w:trPr>
          <w:trHeight w:val="927"/>
        </w:trPr>
        <w:tc>
          <w:tcPr>
            <w:tcW w:w="2953" w:type="dxa"/>
            <w:tcBorders>
              <w:top w:val="nil"/>
              <w:left w:val="nil"/>
              <w:bottom w:val="nil"/>
              <w:right w:val="nil"/>
            </w:tcBorders>
            <w:hideMark/>
          </w:tcPr>
          <w:p w:rsidR="00F75836" w:rsidRDefault="00F75836">
            <w:pPr>
              <w:widowControl w:val="0"/>
              <w:rPr>
                <w:rFonts w:asciiTheme="majorBidi" w:hAnsiTheme="majorBidi" w:cstheme="majorBidi"/>
                <w:sz w:val="22"/>
              </w:rPr>
            </w:pPr>
            <w:r>
              <w:rPr>
                <w:rFonts w:asciiTheme="majorBidi" w:hAnsiTheme="majorBidi"/>
              </w:rPr>
              <w:t>Kontinuerlig infusion f.eks. fødselssmerter</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t>6</w:t>
            </w:r>
            <w:r>
              <w:rPr>
                <w:rFonts w:asciiTheme="majorBidi" w:hAnsiTheme="majorBidi"/>
              </w:rPr>
              <w:noBreakHyphen/>
              <w:t>10 ml/t</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t>12</w:t>
            </w:r>
            <w:r>
              <w:rPr>
                <w:rFonts w:asciiTheme="majorBidi" w:hAnsiTheme="majorBidi"/>
              </w:rPr>
              <w:noBreakHyphen/>
              <w:t>20 mg/</w:t>
            </w:r>
            <w:r>
              <w:t>t</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r>
      <w:tr w:rsidR="00F75836" w:rsidTr="00F75836">
        <w:trPr>
          <w:trHeight w:val="720"/>
        </w:trPr>
        <w:tc>
          <w:tcPr>
            <w:tcW w:w="2953" w:type="dxa"/>
            <w:tcBorders>
              <w:top w:val="nil"/>
              <w:left w:val="nil"/>
              <w:bottom w:val="nil"/>
              <w:right w:val="nil"/>
            </w:tcBorders>
            <w:hideMark/>
          </w:tcPr>
          <w:p w:rsidR="00F75836" w:rsidRDefault="00F75836">
            <w:pPr>
              <w:widowControl w:val="0"/>
              <w:rPr>
                <w:rFonts w:asciiTheme="majorBidi" w:hAnsiTheme="majorBidi" w:cstheme="majorBidi"/>
              </w:rPr>
            </w:pPr>
            <w:r>
              <w:rPr>
                <w:rFonts w:asciiTheme="majorBidi" w:hAnsiTheme="majorBidi"/>
              </w:rPr>
              <w:t>Postoperativ smertebehandling</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t>6</w:t>
            </w:r>
            <w:r>
              <w:rPr>
                <w:rFonts w:asciiTheme="majorBidi" w:hAnsiTheme="majorBidi"/>
              </w:rPr>
              <w:noBreakHyphen/>
              <w:t>14 ml/t</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t>12</w:t>
            </w:r>
            <w:r>
              <w:rPr>
                <w:rFonts w:asciiTheme="majorBidi" w:hAnsiTheme="majorBidi"/>
              </w:rPr>
              <w:noBreakHyphen/>
              <w:t>28 mg/</w:t>
            </w:r>
            <w:r>
              <w:t>t</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r>
      <w:tr w:rsidR="00F75836" w:rsidTr="00F75836">
        <w:trPr>
          <w:trHeight w:val="369"/>
        </w:trPr>
        <w:tc>
          <w:tcPr>
            <w:tcW w:w="9356" w:type="dxa"/>
            <w:gridSpan w:val="6"/>
            <w:tcBorders>
              <w:top w:val="nil"/>
              <w:left w:val="nil"/>
              <w:bottom w:val="nil"/>
              <w:right w:val="nil"/>
            </w:tcBorders>
            <w:hideMark/>
          </w:tcPr>
          <w:p w:rsidR="00F75836" w:rsidRDefault="00F75836">
            <w:pPr>
              <w:pStyle w:val="Default"/>
              <w:jc w:val="both"/>
              <w:rPr>
                <w:rFonts w:asciiTheme="majorBidi" w:hAnsiTheme="majorBidi" w:cstheme="majorBidi"/>
                <w:color w:val="auto"/>
                <w:sz w:val="22"/>
                <w:szCs w:val="22"/>
              </w:rPr>
            </w:pPr>
            <w:r>
              <w:rPr>
                <w:rFonts w:asciiTheme="majorBidi" w:hAnsiTheme="majorBidi"/>
                <w:b/>
                <w:sz w:val="22"/>
              </w:rPr>
              <w:t>Thorakal epidural administration</w:t>
            </w:r>
          </w:p>
        </w:tc>
      </w:tr>
      <w:tr w:rsidR="00F75836" w:rsidTr="00F75836">
        <w:trPr>
          <w:trHeight w:val="981"/>
        </w:trPr>
        <w:tc>
          <w:tcPr>
            <w:tcW w:w="2953" w:type="dxa"/>
            <w:tcBorders>
              <w:top w:val="nil"/>
              <w:left w:val="nil"/>
              <w:bottom w:val="nil"/>
              <w:right w:val="nil"/>
            </w:tcBorders>
            <w:hideMark/>
          </w:tcPr>
          <w:p w:rsidR="00F75836" w:rsidRDefault="00F75836">
            <w:pPr>
              <w:widowControl w:val="0"/>
              <w:rPr>
                <w:rFonts w:asciiTheme="majorBidi" w:hAnsiTheme="majorBidi" w:cstheme="majorBidi"/>
                <w:b/>
                <w:sz w:val="22"/>
              </w:rPr>
            </w:pPr>
            <w:r>
              <w:rPr>
                <w:rFonts w:asciiTheme="majorBidi" w:hAnsiTheme="majorBidi"/>
              </w:rPr>
              <w:t>Kontinuerlig infusion (postoperativ smertebehandling)</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t>6</w:t>
            </w:r>
            <w:r>
              <w:rPr>
                <w:rFonts w:asciiTheme="majorBidi" w:hAnsiTheme="majorBidi"/>
              </w:rPr>
              <w:noBreakHyphen/>
              <w:t>14 ml/t</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t>12</w:t>
            </w:r>
            <w:r>
              <w:rPr>
                <w:rFonts w:asciiTheme="majorBidi" w:hAnsiTheme="majorBidi"/>
              </w:rPr>
              <w:noBreakHyphen/>
              <w:t>28 mg/</w:t>
            </w:r>
            <w:r>
              <w:t>t</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r>
      <w:tr w:rsidR="00F75836" w:rsidTr="00F75836">
        <w:trPr>
          <w:trHeight w:val="360"/>
        </w:trPr>
        <w:tc>
          <w:tcPr>
            <w:tcW w:w="9356" w:type="dxa"/>
            <w:gridSpan w:val="6"/>
            <w:tcBorders>
              <w:top w:val="nil"/>
              <w:left w:val="nil"/>
              <w:bottom w:val="nil"/>
              <w:right w:val="nil"/>
            </w:tcBorders>
            <w:hideMark/>
          </w:tcPr>
          <w:p w:rsidR="00F75836" w:rsidRDefault="00B8517D">
            <w:pPr>
              <w:pStyle w:val="Default"/>
              <w:jc w:val="both"/>
              <w:rPr>
                <w:rFonts w:asciiTheme="majorBidi" w:hAnsiTheme="majorBidi" w:cstheme="majorBidi"/>
                <w:color w:val="auto"/>
                <w:sz w:val="22"/>
                <w:szCs w:val="22"/>
              </w:rPr>
            </w:pPr>
            <w:r>
              <w:rPr>
                <w:rFonts w:asciiTheme="majorBidi" w:hAnsiTheme="majorBidi"/>
                <w:b/>
                <w:sz w:val="22"/>
              </w:rPr>
              <w:t>Infiltrationsanalgesi</w:t>
            </w:r>
          </w:p>
        </w:tc>
      </w:tr>
      <w:tr w:rsidR="00F75836" w:rsidTr="00F75836">
        <w:trPr>
          <w:trHeight w:val="630"/>
        </w:trPr>
        <w:tc>
          <w:tcPr>
            <w:tcW w:w="2953" w:type="dxa"/>
            <w:tcBorders>
              <w:top w:val="nil"/>
              <w:left w:val="nil"/>
              <w:bottom w:val="nil"/>
              <w:right w:val="nil"/>
            </w:tcBorders>
            <w:hideMark/>
          </w:tcPr>
          <w:p w:rsidR="00F75836" w:rsidRDefault="00F75836">
            <w:pPr>
              <w:widowControl w:val="0"/>
              <w:rPr>
                <w:rFonts w:asciiTheme="majorBidi" w:hAnsiTheme="majorBidi" w:cstheme="majorBidi"/>
                <w:b/>
                <w:sz w:val="22"/>
              </w:rPr>
            </w:pPr>
            <w:r>
              <w:rPr>
                <w:rFonts w:asciiTheme="majorBidi" w:hAnsiTheme="majorBidi"/>
              </w:rPr>
              <w:t>(f.eks. mindre nerveblokader og infiltration)</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w:t>
            </w:r>
            <w:r>
              <w:noBreakHyphen/>
            </w:r>
            <w:r>
              <w:rPr>
                <w:rFonts w:asciiTheme="majorBidi" w:hAnsiTheme="majorBidi"/>
              </w:rPr>
              <w:t>100</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w:t>
            </w:r>
            <w:r>
              <w:noBreakHyphen/>
            </w:r>
            <w:r>
              <w:rPr>
                <w:rFonts w:asciiTheme="majorBidi" w:hAnsiTheme="majorBidi"/>
              </w:rPr>
              <w:t>200</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1</w:t>
            </w:r>
            <w:r>
              <w:noBreakHyphen/>
            </w:r>
            <w:r>
              <w:rPr>
                <w:rFonts w:asciiTheme="majorBidi" w:hAnsiTheme="majorBidi"/>
              </w:rPr>
              <w:t>5</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w:t>
            </w:r>
            <w:r>
              <w:noBreakHyphen/>
            </w:r>
            <w:r>
              <w:rPr>
                <w:rFonts w:asciiTheme="majorBidi" w:hAnsiTheme="majorBidi"/>
              </w:rPr>
              <w:t>6</w:t>
            </w:r>
          </w:p>
        </w:tc>
      </w:tr>
      <w:tr w:rsidR="00F75836" w:rsidTr="00F75836">
        <w:trPr>
          <w:trHeight w:val="900"/>
        </w:trPr>
        <w:tc>
          <w:tcPr>
            <w:tcW w:w="2953" w:type="dxa"/>
            <w:tcBorders>
              <w:top w:val="nil"/>
              <w:left w:val="nil"/>
              <w:bottom w:val="nil"/>
              <w:right w:val="nil"/>
            </w:tcBorders>
            <w:hideMark/>
          </w:tcPr>
          <w:p w:rsidR="00F75836" w:rsidRDefault="00F75836">
            <w:pPr>
              <w:widowControl w:val="0"/>
              <w:rPr>
                <w:rFonts w:asciiTheme="majorBidi" w:hAnsiTheme="majorBidi" w:cstheme="majorBidi"/>
                <w:bCs/>
              </w:rPr>
            </w:pPr>
            <w:r>
              <w:rPr>
                <w:rFonts w:asciiTheme="majorBidi" w:hAnsiTheme="majorBidi"/>
              </w:rPr>
              <w:t>Perifer nerveblokade</w:t>
            </w:r>
          </w:p>
          <w:p w:rsidR="00F75836" w:rsidRDefault="00F75836">
            <w:pPr>
              <w:widowControl w:val="0"/>
              <w:rPr>
                <w:rFonts w:asciiTheme="majorBidi" w:hAnsiTheme="majorBidi" w:cstheme="majorBidi"/>
              </w:rPr>
            </w:pPr>
            <w:r>
              <w:rPr>
                <w:rFonts w:asciiTheme="majorBidi" w:hAnsiTheme="majorBidi"/>
              </w:rPr>
              <w:t>(f.eks. femoral eller interscalenus-blokade)</w:t>
            </w:r>
          </w:p>
        </w:tc>
        <w:tc>
          <w:tcPr>
            <w:tcW w:w="6403" w:type="dxa"/>
            <w:gridSpan w:val="5"/>
            <w:tcBorders>
              <w:top w:val="nil"/>
              <w:left w:val="nil"/>
              <w:bottom w:val="nil"/>
              <w:right w:val="nil"/>
            </w:tcBorders>
          </w:tcPr>
          <w:p w:rsidR="00F75836" w:rsidRDefault="00F75836">
            <w:pPr>
              <w:pStyle w:val="Default"/>
              <w:jc w:val="both"/>
              <w:rPr>
                <w:rFonts w:asciiTheme="majorBidi" w:hAnsiTheme="majorBidi" w:cstheme="majorBidi"/>
                <w:color w:val="auto"/>
                <w:sz w:val="22"/>
                <w:szCs w:val="22"/>
                <w:lang w:val="nb-NO"/>
              </w:rPr>
            </w:pPr>
          </w:p>
        </w:tc>
      </w:tr>
      <w:tr w:rsidR="00F75836" w:rsidTr="00F75836">
        <w:trPr>
          <w:trHeight w:val="1175"/>
        </w:trPr>
        <w:tc>
          <w:tcPr>
            <w:tcW w:w="2953" w:type="dxa"/>
            <w:tcBorders>
              <w:top w:val="nil"/>
              <w:left w:val="nil"/>
              <w:bottom w:val="nil"/>
              <w:right w:val="nil"/>
            </w:tcBorders>
            <w:hideMark/>
          </w:tcPr>
          <w:p w:rsidR="00F75836" w:rsidRDefault="00F75836">
            <w:pPr>
              <w:widowControl w:val="0"/>
              <w:rPr>
                <w:rFonts w:asciiTheme="majorBidi" w:hAnsiTheme="majorBidi" w:cstheme="majorBidi"/>
                <w:sz w:val="22"/>
              </w:rPr>
            </w:pPr>
            <w:r>
              <w:rPr>
                <w:rFonts w:asciiTheme="majorBidi" w:hAnsiTheme="majorBidi"/>
              </w:rPr>
              <w:t>Kontinuerlig infusion eller intermitterende injektioner</w:t>
            </w:r>
          </w:p>
          <w:p w:rsidR="00F75836" w:rsidRDefault="00F75836">
            <w:pPr>
              <w:widowControl w:val="0"/>
              <w:rPr>
                <w:rFonts w:asciiTheme="majorBidi" w:hAnsiTheme="majorBidi" w:cstheme="majorBidi"/>
                <w:b/>
              </w:rPr>
            </w:pPr>
            <w:r>
              <w:rPr>
                <w:rFonts w:asciiTheme="majorBidi" w:hAnsiTheme="majorBidi"/>
              </w:rPr>
              <w:t>(f.eks. postoperativ smertebehandling)</w:t>
            </w:r>
          </w:p>
        </w:tc>
        <w:tc>
          <w:tcPr>
            <w:tcW w:w="1231"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2,0</w:t>
            </w:r>
          </w:p>
        </w:tc>
        <w:tc>
          <w:tcPr>
            <w:tcW w:w="1402" w:type="dxa"/>
            <w:tcBorders>
              <w:top w:val="nil"/>
              <w:left w:val="nil"/>
              <w:bottom w:val="nil"/>
              <w:right w:val="nil"/>
            </w:tcBorders>
            <w:hideMark/>
          </w:tcPr>
          <w:p w:rsidR="00F75836" w:rsidRDefault="00F75836">
            <w:pPr>
              <w:widowControl w:val="0"/>
              <w:jc w:val="both"/>
              <w:rPr>
                <w:rFonts w:asciiTheme="majorBidi" w:hAnsiTheme="majorBidi" w:cstheme="majorBidi"/>
              </w:rPr>
            </w:pPr>
            <w:r>
              <w:t>5</w:t>
            </w:r>
            <w:r>
              <w:rPr>
                <w:rFonts w:asciiTheme="majorBidi" w:hAnsiTheme="majorBidi"/>
              </w:rPr>
              <w:noBreakHyphen/>
              <w:t>10 ml/t</w:t>
            </w:r>
          </w:p>
        </w:tc>
        <w:tc>
          <w:tcPr>
            <w:tcW w:w="1382" w:type="dxa"/>
            <w:tcBorders>
              <w:top w:val="nil"/>
              <w:left w:val="nil"/>
              <w:bottom w:val="nil"/>
              <w:right w:val="nil"/>
            </w:tcBorders>
            <w:hideMark/>
          </w:tcPr>
          <w:p w:rsidR="00F75836" w:rsidRDefault="00F75836">
            <w:pPr>
              <w:widowControl w:val="0"/>
              <w:jc w:val="both"/>
              <w:rPr>
                <w:rFonts w:asciiTheme="majorBidi" w:hAnsiTheme="majorBidi" w:cstheme="majorBidi"/>
              </w:rPr>
            </w:pPr>
            <w:r>
              <w:t>10</w:t>
            </w:r>
            <w:r>
              <w:rPr>
                <w:rFonts w:asciiTheme="majorBidi" w:hAnsiTheme="majorBidi"/>
              </w:rPr>
              <w:noBreakHyphen/>
              <w:t>20 mg/</w:t>
            </w:r>
            <w:r>
              <w:t>t</w:t>
            </w:r>
          </w:p>
        </w:tc>
        <w:tc>
          <w:tcPr>
            <w:tcW w:w="1140"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c>
          <w:tcPr>
            <w:tcW w:w="1248"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rPr>
              <w:t>i/r</w:t>
            </w:r>
          </w:p>
        </w:tc>
      </w:tr>
      <w:tr w:rsidR="00F75836" w:rsidRPr="00F75836" w:rsidTr="00F75836">
        <w:tc>
          <w:tcPr>
            <w:tcW w:w="9356" w:type="dxa"/>
            <w:gridSpan w:val="6"/>
            <w:tcBorders>
              <w:top w:val="single" w:sz="12" w:space="0" w:color="auto"/>
              <w:left w:val="nil"/>
              <w:bottom w:val="nil"/>
              <w:right w:val="nil"/>
            </w:tcBorders>
            <w:hideMark/>
          </w:tcPr>
          <w:p w:rsidR="00F75836" w:rsidRPr="00F75836" w:rsidRDefault="00F75836">
            <w:pPr>
              <w:widowControl w:val="0"/>
              <w:rPr>
                <w:rFonts w:asciiTheme="majorBidi" w:hAnsiTheme="majorBidi" w:cstheme="majorBidi"/>
                <w:sz w:val="20"/>
                <w:szCs w:val="20"/>
              </w:rPr>
            </w:pPr>
            <w:r w:rsidRPr="00F75836">
              <w:rPr>
                <w:rFonts w:asciiTheme="majorBidi" w:hAnsiTheme="majorBidi"/>
                <w:color w:val="000000"/>
                <w:sz w:val="20"/>
                <w:szCs w:val="20"/>
              </w:rPr>
              <w:t>De doser, der er angivet i tabellen, er de doser, der anses for nødvendige for at opnå en vellykket blokade, og bør betragtes som retningslinjer for brug hos voksne. Start og varighed kan variere fra person til person. Tallene i kolonnen ”Dosis” afspejler det nødvendige forventede gennemsnitlige dosisinterval. For både faktorer, der påvirker specifikke blokadeteknikker og de enkelte patientkrav henvises der til de gængse lærebøger.</w:t>
            </w:r>
          </w:p>
        </w:tc>
      </w:tr>
      <w:tr w:rsidR="00F75836" w:rsidRPr="00F75836" w:rsidTr="00F75836">
        <w:tc>
          <w:tcPr>
            <w:tcW w:w="9356" w:type="dxa"/>
            <w:gridSpan w:val="6"/>
            <w:tcBorders>
              <w:top w:val="nil"/>
              <w:left w:val="nil"/>
              <w:bottom w:val="nil"/>
              <w:right w:val="nil"/>
            </w:tcBorders>
            <w:hideMark/>
          </w:tcPr>
          <w:p w:rsidR="00F75836" w:rsidRPr="00F75836" w:rsidRDefault="00F75836">
            <w:pPr>
              <w:ind w:left="567" w:hanging="567"/>
              <w:rPr>
                <w:rFonts w:asciiTheme="majorBidi" w:hAnsiTheme="majorBidi" w:cstheme="majorBidi"/>
                <w:sz w:val="20"/>
                <w:szCs w:val="20"/>
              </w:rPr>
            </w:pPr>
            <w:r w:rsidRPr="00F75836">
              <w:rPr>
                <w:rFonts w:asciiTheme="majorBidi" w:hAnsiTheme="majorBidi"/>
                <w:sz w:val="20"/>
                <w:szCs w:val="20"/>
              </w:rPr>
              <w:t>*</w:t>
            </w:r>
            <w:r w:rsidRPr="00F75836">
              <w:rPr>
                <w:rFonts w:asciiTheme="majorBidi" w:hAnsiTheme="majorBidi"/>
                <w:sz w:val="20"/>
                <w:szCs w:val="20"/>
              </w:rPr>
              <w:tab/>
              <w:t>Når det gælder større nerveblokader, er det kun for brachial plexus blokader, at der angives en specifik dosisanbefaling. Lavere doser kan være nødvendige for andre større nerveblokader. Men der er på nuværende tidspunkt ingen erfaring med specifikke dosisanbefalinger for andre blokader.</w:t>
            </w:r>
          </w:p>
        </w:tc>
      </w:tr>
      <w:tr w:rsidR="00F75836" w:rsidRPr="00F75836" w:rsidTr="00F75836">
        <w:trPr>
          <w:trHeight w:val="889"/>
        </w:trPr>
        <w:tc>
          <w:tcPr>
            <w:tcW w:w="9356" w:type="dxa"/>
            <w:gridSpan w:val="6"/>
            <w:tcBorders>
              <w:top w:val="nil"/>
              <w:left w:val="nil"/>
              <w:bottom w:val="nil"/>
              <w:right w:val="nil"/>
            </w:tcBorders>
            <w:hideMark/>
          </w:tcPr>
          <w:p w:rsidR="00F75836" w:rsidRPr="00F75836" w:rsidRDefault="00F75836">
            <w:pPr>
              <w:ind w:left="567" w:hanging="567"/>
              <w:rPr>
                <w:rFonts w:asciiTheme="majorBidi" w:hAnsiTheme="majorBidi" w:cstheme="majorBidi"/>
                <w:sz w:val="20"/>
                <w:szCs w:val="20"/>
              </w:rPr>
            </w:pPr>
            <w:r w:rsidRPr="00F75836">
              <w:rPr>
                <w:rFonts w:asciiTheme="majorBidi" w:hAnsiTheme="majorBidi"/>
                <w:sz w:val="20"/>
                <w:szCs w:val="20"/>
              </w:rPr>
              <w:lastRenderedPageBreak/>
              <w:t>(1)</w:t>
            </w:r>
            <w:r w:rsidRPr="00F75836">
              <w:rPr>
                <w:rFonts w:asciiTheme="majorBidi" w:hAnsiTheme="majorBidi"/>
                <w:sz w:val="20"/>
                <w:szCs w:val="20"/>
              </w:rPr>
              <w:tab/>
              <w:t>Dosis bør administreres gradvist, med en startdosis på ca. 100 mg (97,5 mg = 13 ml; 105 mg = 14 ml), der gives over 3-5 minutter. Der kan gives to ekstra doser, dvs. i alt 50 mg yderligere, efter behov.</w:t>
            </w:r>
          </w:p>
          <w:p w:rsidR="00F75836" w:rsidRPr="00F75836" w:rsidRDefault="00F75836">
            <w:pPr>
              <w:widowControl w:val="0"/>
              <w:ind w:left="601" w:hanging="601"/>
              <w:jc w:val="both"/>
              <w:rPr>
                <w:rFonts w:asciiTheme="majorBidi" w:hAnsiTheme="majorBidi" w:cstheme="majorBidi"/>
                <w:sz w:val="20"/>
                <w:szCs w:val="20"/>
              </w:rPr>
            </w:pPr>
            <w:r w:rsidRPr="00F75836">
              <w:rPr>
                <w:rFonts w:asciiTheme="majorBidi" w:hAnsiTheme="majorBidi"/>
                <w:sz w:val="20"/>
                <w:szCs w:val="20"/>
              </w:rPr>
              <w:t>(2)</w:t>
            </w:r>
            <w:r w:rsidRPr="00F75836">
              <w:rPr>
                <w:rFonts w:asciiTheme="majorBidi" w:hAnsiTheme="majorBidi"/>
                <w:sz w:val="20"/>
                <w:szCs w:val="20"/>
              </w:rPr>
              <w:tab/>
              <w:t>i/r = ikke relevant.</w:t>
            </w:r>
          </w:p>
          <w:p w:rsidR="00F75836" w:rsidRPr="00F75836" w:rsidRDefault="00F75836">
            <w:pPr>
              <w:ind w:left="567" w:hanging="567"/>
              <w:rPr>
                <w:rFonts w:asciiTheme="majorBidi" w:hAnsiTheme="majorBidi" w:cstheme="majorBidi"/>
                <w:color w:val="000000"/>
                <w:sz w:val="20"/>
                <w:szCs w:val="20"/>
              </w:rPr>
            </w:pPr>
            <w:r w:rsidRPr="00F75836">
              <w:rPr>
                <w:rFonts w:asciiTheme="majorBidi" w:hAnsiTheme="majorBidi"/>
                <w:sz w:val="20"/>
                <w:szCs w:val="20"/>
              </w:rPr>
              <w:t>(3)</w:t>
            </w:r>
            <w:r w:rsidRPr="00F75836">
              <w:rPr>
                <w:rFonts w:asciiTheme="majorBidi" w:hAnsiTheme="majorBidi"/>
                <w:sz w:val="20"/>
                <w:szCs w:val="20"/>
              </w:rPr>
              <w:tab/>
              <w:t>Dosis for større nerveblokader skal tilpasses til administrationssted og patientstatus. Interscalenus- og supraclavicularis brachial plexus blokader kan være forbundet med en højere frekvens af alvorlige bivirkninger, uanset hvilket lokalanæstetikum, der anvendes (se punkt 4.4).</w:t>
            </w:r>
          </w:p>
        </w:tc>
      </w:tr>
    </w:tbl>
    <w:p w:rsidR="00F75836" w:rsidRPr="00F75836" w:rsidRDefault="00F75836" w:rsidP="00F75836">
      <w:pPr>
        <w:widowControl w:val="0"/>
        <w:ind w:left="851"/>
        <w:rPr>
          <w:rFonts w:asciiTheme="majorBidi" w:eastAsiaTheme="minorEastAsia" w:hAnsiTheme="majorBidi" w:cstheme="majorBidi"/>
          <w:sz w:val="24"/>
          <w:szCs w:val="24"/>
          <w:lang w:val="nb-NO" w:eastAsia="el-GR"/>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Generelt kræver en kirurgisk anæstesi (f.eks. epidural administration) brug af de højere koncentrationer og doser. Ropivacaine "Noridem" 10 mg/ml anbefales til epiduralbedøvelse, hvor en komplet motorisk blokade er afgørende for at kunne udføre kirurgi. Ved analgesi (f.eks. epidural administration til akut smertebehandling) anbefales de lavere koncentrationer og doser.</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u w:val="single"/>
        </w:rPr>
      </w:pPr>
      <w:r w:rsidRPr="00F75836">
        <w:rPr>
          <w:rFonts w:asciiTheme="majorBidi" w:hAnsiTheme="majorBidi"/>
          <w:sz w:val="24"/>
          <w:szCs w:val="24"/>
          <w:u w:val="single"/>
        </w:rPr>
        <w:t>Administrationsmåde</w:t>
      </w:r>
    </w:p>
    <w:p w:rsidR="00F75836" w:rsidRPr="00F75836" w:rsidRDefault="00F75836" w:rsidP="00F75836">
      <w:pPr>
        <w:widowControl w:val="0"/>
        <w:ind w:left="851"/>
        <w:rPr>
          <w:rFonts w:asciiTheme="majorBidi" w:hAnsiTheme="majorBidi" w:cstheme="majorBidi"/>
          <w:i/>
          <w:sz w:val="24"/>
          <w:szCs w:val="24"/>
        </w:rPr>
      </w:pPr>
      <w:r w:rsidRPr="00F75836">
        <w:rPr>
          <w:rFonts w:asciiTheme="majorBidi" w:hAnsiTheme="majorBidi"/>
          <w:sz w:val="24"/>
          <w:szCs w:val="24"/>
        </w:rPr>
        <w:t>For at forhindre utilsigtet intravaskulær administration bør der foretages omhyggelig aspiration før og under injektionen. Hvis der skal injiceres en stor dosis, anbefales en testdosis på 3</w:t>
      </w:r>
      <w:r w:rsidRPr="00F75836">
        <w:rPr>
          <w:rFonts w:asciiTheme="majorBidi" w:hAnsiTheme="majorBidi"/>
          <w:sz w:val="24"/>
          <w:szCs w:val="24"/>
        </w:rPr>
        <w:noBreakHyphen/>
        <w:t>5 ml lidocain (lignocain) med adrenalin (epinephrin). En utilsigtet intravaskulær injektion genkendes ved en midlertidig stigning i hjertefrekvensen og en fejlagtig injektion genkendes ved tegn på en rygmarvsblokade.</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Aspirationen skal foretages før og under administrationen af hoveddosen, som skal injiceres langsomt eller i trinvise doser med en hastighed på 25-50 mg/minut, mens patientens vitale funktioner observeres nøje og verbal kontakt opretholdes. Injektionen skal stoppes med det samme, hvis der opstår toksiske symptomer.</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Til epiduralblokade i forbindelse med kirurgi er der anvendt enkeltdoser på op til 250 mg ropivacain, hvilket blev tålt godt.</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lang w:val="nb-NO"/>
        </w:rPr>
      </w:pPr>
      <w:r w:rsidRPr="00F75836">
        <w:rPr>
          <w:rFonts w:asciiTheme="majorBidi" w:hAnsiTheme="majorBidi"/>
          <w:sz w:val="24"/>
          <w:szCs w:val="24"/>
        </w:rPr>
        <w:t>Til plexus brachialis blokade er der anvendt enkeltdoser på op til 300 mg hos et begrænset antal patienter. Denne dosis blev veltolereret.</w:t>
      </w:r>
    </w:p>
    <w:p w:rsidR="00F75836" w:rsidRPr="00F75836" w:rsidRDefault="00F75836" w:rsidP="00F75836">
      <w:pPr>
        <w:widowControl w:val="0"/>
        <w:ind w:left="851"/>
        <w:rPr>
          <w:sz w:val="24"/>
          <w:szCs w:val="24"/>
        </w:rPr>
      </w:pPr>
      <w:r w:rsidRPr="00F75836">
        <w:rPr>
          <w:rFonts w:asciiTheme="majorBidi" w:hAnsiTheme="majorBidi"/>
          <w:sz w:val="24"/>
          <w:szCs w:val="24"/>
        </w:rPr>
        <w:t xml:space="preserve">Ved langvarige blokader enten ved kontinuerlig infusion eller gentagen bolus-administration skal </w:t>
      </w:r>
      <w:r w:rsidRPr="00F75836">
        <w:rPr>
          <w:sz w:val="24"/>
          <w:szCs w:val="24"/>
        </w:rPr>
        <w:t>risikoen for at nå en toksisk plasmakoncentration eller for at forårsage lokale nerveskader overvejes. Kumulative doser på op til 675 mg ropivacain, administreret over 24 timer i forbindelse med kirurgi og postoperativ analgesi, var veltolereret hos voksne. Det samme var tilfældet med postoperativ kontinuerlig epidural infusion med infusionshastigheder på op til 28 mg/time i 72 timer. Til et begrænset antal patienter er der blevet givet doser på op til 800 mg/dag med relativt få bivirkninger.</w:t>
      </w:r>
    </w:p>
    <w:p w:rsidR="00F75836" w:rsidRPr="00F75836" w:rsidRDefault="00F75836" w:rsidP="00F75836">
      <w:pPr>
        <w:widowControl w:val="0"/>
        <w:ind w:left="851"/>
        <w:rPr>
          <w:sz w:val="24"/>
          <w:szCs w:val="24"/>
          <w:lang w:val="nb-NO"/>
        </w:rPr>
      </w:pPr>
    </w:p>
    <w:p w:rsidR="00F75836" w:rsidRPr="00F75836" w:rsidRDefault="00F75836" w:rsidP="00F75836">
      <w:pPr>
        <w:widowControl w:val="0"/>
        <w:ind w:left="851"/>
        <w:rPr>
          <w:sz w:val="24"/>
          <w:szCs w:val="24"/>
        </w:rPr>
      </w:pPr>
      <w:r w:rsidRPr="00F75836">
        <w:rPr>
          <w:sz w:val="24"/>
          <w:szCs w:val="24"/>
        </w:rPr>
        <w:t>Følgende teknik anbefales til behandling af postoperative smerter:</w:t>
      </w:r>
    </w:p>
    <w:p w:rsidR="00F75836" w:rsidRPr="00F75836" w:rsidRDefault="00F75836" w:rsidP="00F75836">
      <w:pPr>
        <w:ind w:left="851"/>
        <w:rPr>
          <w:sz w:val="24"/>
          <w:szCs w:val="24"/>
        </w:rPr>
      </w:pPr>
      <w:r w:rsidRPr="00F75836">
        <w:rPr>
          <w:sz w:val="24"/>
          <w:szCs w:val="24"/>
        </w:rPr>
        <w:t>Medmindre epiduralblokaden er etableret præoperativt, administreres Ropivacaine "Noridem" 7,5 mg/ml via et epiduralkateter. Analgesi opretholdes med Ropivacaine "Noridem" 2 mg/ml infusion. Infusionshastigheder for 6</w:t>
      </w:r>
      <w:r w:rsidRPr="00F75836">
        <w:rPr>
          <w:sz w:val="24"/>
          <w:szCs w:val="24"/>
        </w:rPr>
        <w:noBreakHyphen/>
        <w:t>14 ml (12</w:t>
      </w:r>
      <w:r w:rsidRPr="00F75836">
        <w:rPr>
          <w:sz w:val="24"/>
          <w:szCs w:val="24"/>
        </w:rPr>
        <w:noBreakHyphen/>
        <w:t>28 mg) pr. time giver tilstrækkelig analgesi med kun en lille og ikke-progressiv motorisk blokade i de fleste tilfælde af moderate til stærke postoperative smerter. Den maksimale varighed for en epiduralblokade er 3 dage. Den smertestillende effekt skal dog nøje overvåges for at kunne fjerne kateteret, så snart patientens smertetilstand tillader det. Denne teknik har vist sig at reducere behovet for opioider betydeligt.</w:t>
      </w:r>
    </w:p>
    <w:p w:rsidR="00F75836" w:rsidRPr="00F75836" w:rsidRDefault="00F75836" w:rsidP="00F75836">
      <w:pPr>
        <w:widowControl w:val="0"/>
        <w:ind w:left="851"/>
        <w:rPr>
          <w:color w:val="000000"/>
          <w:sz w:val="24"/>
          <w:szCs w:val="24"/>
          <w:lang w:val="nb-NO"/>
        </w:rPr>
      </w:pPr>
    </w:p>
    <w:p w:rsidR="00F75836" w:rsidRPr="00F75836" w:rsidRDefault="00F75836" w:rsidP="00F75836">
      <w:pPr>
        <w:ind w:left="851"/>
        <w:rPr>
          <w:sz w:val="24"/>
          <w:szCs w:val="24"/>
        </w:rPr>
      </w:pPr>
      <w:r w:rsidRPr="00F75836">
        <w:rPr>
          <w:sz w:val="24"/>
          <w:szCs w:val="24"/>
        </w:rPr>
        <w:t xml:space="preserve">Der er i kliniske forsøg indgivet epidural infusion med </w:t>
      </w:r>
      <w:r w:rsidRPr="00F75836">
        <w:rPr>
          <w:color w:val="000000" w:themeColor="text1"/>
          <w:sz w:val="24"/>
          <w:szCs w:val="24"/>
        </w:rPr>
        <w:t xml:space="preserve">ropivacain </w:t>
      </w:r>
      <w:r w:rsidRPr="00F75836">
        <w:rPr>
          <w:sz w:val="24"/>
          <w:szCs w:val="24"/>
        </w:rPr>
        <w:t>2 mg/ml alene eller blandet med fentanyl 1</w:t>
      </w:r>
      <w:r w:rsidRPr="00F75836">
        <w:rPr>
          <w:sz w:val="24"/>
          <w:szCs w:val="24"/>
        </w:rPr>
        <w:noBreakHyphen/>
        <w:t xml:space="preserve">4 μg/ml til postoperativ smertebehandling i op til 72 timer. Kombinationen af ropivacain og fentanyl gav forbedret smertelindring, men gav opioide </w:t>
      </w:r>
      <w:r w:rsidRPr="00F75836">
        <w:rPr>
          <w:sz w:val="24"/>
          <w:szCs w:val="24"/>
        </w:rPr>
        <w:lastRenderedPageBreak/>
        <w:t>bivirkninger. Kombinationen af ropivacain og fentanyl er kun undersøgt for ropivacain 2 mg/ml.</w:t>
      </w:r>
    </w:p>
    <w:p w:rsidR="00F75836" w:rsidRPr="00F75836" w:rsidRDefault="00F75836" w:rsidP="00F75836">
      <w:pPr>
        <w:ind w:left="851"/>
        <w:rPr>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sz w:val="24"/>
          <w:szCs w:val="24"/>
        </w:rPr>
        <w:t>Når langvarige perifere nerveblokader anvendes, enten ved kontinuerlig infusion</w:t>
      </w:r>
      <w:r w:rsidRPr="00F75836">
        <w:rPr>
          <w:rFonts w:asciiTheme="majorBidi" w:hAnsiTheme="majorBidi"/>
          <w:sz w:val="24"/>
          <w:szCs w:val="24"/>
        </w:rPr>
        <w:t xml:space="preserve"> eller gentagne injektioner, skal risikoen for at nå en toksisk plasmakoncentration eller for at forårsage lokale nerveskader overvejes. Der er i kliniske forsøg anlagt femoral nerveblokade med hhv. 300 mg ropivacain 7,5 mg/ml eller interscalenus-blokade med 225 mg ropivacain 7,5 mg/ml før operation. Analgesi blev derefter opretholdt med ropivacain 2 mg/ml. Infusionshastigheder eller intermitterende injektioner på 10-20 mg pr. time i 48 timer gav tilstrækkelig analgesi og var vel tolereret.</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Koncentrationer over 7,5 mg/ml ropivacain er ikke dokumenteret i forbindelse med kejsersnit.</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i/>
          <w:iCs/>
          <w:sz w:val="24"/>
          <w:szCs w:val="24"/>
        </w:rPr>
      </w:pPr>
      <w:r w:rsidRPr="00F75836">
        <w:rPr>
          <w:rFonts w:asciiTheme="majorBidi" w:hAnsiTheme="majorBidi"/>
          <w:i/>
          <w:sz w:val="24"/>
          <w:szCs w:val="24"/>
        </w:rPr>
        <w:t>Pædiatrisk patientgruppe</w:t>
      </w:r>
    </w:p>
    <w:p w:rsidR="00F75836" w:rsidRDefault="00F75836" w:rsidP="00F75836">
      <w:pPr>
        <w:widowControl w:val="0"/>
        <w:rPr>
          <w:rFonts w:asciiTheme="majorBidi" w:hAnsiTheme="majorBidi" w:cstheme="majorBidi"/>
          <w:lang w:val="nb-NO"/>
        </w:rPr>
      </w:pPr>
    </w:p>
    <w:p w:rsidR="00F75836" w:rsidRDefault="00F75836" w:rsidP="00F75836">
      <w:pPr>
        <w:widowControl w:val="0"/>
        <w:ind w:left="1134" w:hanging="1134"/>
        <w:rPr>
          <w:rFonts w:asciiTheme="majorBidi" w:hAnsiTheme="majorBidi" w:cstheme="majorBidi"/>
          <w:b/>
        </w:rPr>
      </w:pPr>
      <w:r>
        <w:rPr>
          <w:rFonts w:asciiTheme="majorBidi" w:hAnsiTheme="majorBidi"/>
          <w:b/>
        </w:rPr>
        <w:t>Tabel 2</w:t>
      </w:r>
      <w:r>
        <w:rPr>
          <w:rFonts w:asciiTheme="majorBidi" w:hAnsiTheme="majorBidi"/>
          <w:b/>
        </w:rPr>
        <w:tab/>
        <w:t>Epiduralblokade: Pædiatrisk patientgruppe i alderen 0 (nyfødte til terminen, dog ikke for tidligt fødte) til og med 12 år</w:t>
      </w:r>
    </w:p>
    <w:p w:rsidR="00F75836" w:rsidRDefault="00F75836" w:rsidP="00F75836">
      <w:pPr>
        <w:widowControl w:val="0"/>
        <w:rPr>
          <w:rFonts w:asciiTheme="majorBidi" w:hAnsiTheme="majorBidi" w:cstheme="majorBidi"/>
          <w:lang w:val="nb-NO"/>
        </w:rPr>
      </w:pPr>
    </w:p>
    <w:tbl>
      <w:tblPr>
        <w:tblStyle w:val="Tabel-Gitter"/>
        <w:tblW w:w="97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985"/>
        <w:gridCol w:w="1701"/>
        <w:gridCol w:w="1518"/>
      </w:tblGrid>
      <w:tr w:rsidR="00F75836" w:rsidTr="00F75836">
        <w:tc>
          <w:tcPr>
            <w:tcW w:w="4537" w:type="dxa"/>
            <w:tcBorders>
              <w:top w:val="single" w:sz="12" w:space="0" w:color="auto"/>
              <w:left w:val="nil"/>
              <w:bottom w:val="single" w:sz="12" w:space="0" w:color="auto"/>
              <w:right w:val="nil"/>
            </w:tcBorders>
          </w:tcPr>
          <w:p w:rsidR="00F75836" w:rsidRDefault="00F75836">
            <w:pPr>
              <w:pStyle w:val="CM30"/>
              <w:spacing w:after="0"/>
              <w:ind w:right="355"/>
              <w:jc w:val="both"/>
              <w:rPr>
                <w:rFonts w:asciiTheme="majorBidi" w:hAnsiTheme="majorBidi" w:cstheme="majorBidi"/>
                <w:b/>
                <w:bCs/>
                <w:sz w:val="22"/>
                <w:szCs w:val="22"/>
                <w:lang w:val="nb-NO"/>
              </w:rPr>
            </w:pPr>
          </w:p>
        </w:tc>
        <w:tc>
          <w:tcPr>
            <w:tcW w:w="1985"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sz w:val="22"/>
              </w:rPr>
            </w:pPr>
            <w:r>
              <w:rPr>
                <w:rFonts w:asciiTheme="majorBidi" w:hAnsiTheme="majorBidi"/>
                <w:b/>
              </w:rPr>
              <w:t>Konc.</w:t>
            </w:r>
          </w:p>
          <w:p w:rsidR="00F75836" w:rsidRDefault="00F75836">
            <w:pPr>
              <w:widowControl w:val="0"/>
              <w:jc w:val="center"/>
              <w:rPr>
                <w:rFonts w:asciiTheme="majorBidi" w:hAnsiTheme="majorBidi" w:cstheme="majorBidi"/>
                <w:b/>
                <w:bCs/>
              </w:rPr>
            </w:pPr>
            <w:r>
              <w:rPr>
                <w:rFonts w:asciiTheme="majorBidi" w:hAnsiTheme="majorBidi"/>
                <w:b/>
                <w:color w:val="000000"/>
              </w:rPr>
              <w:t>mg/ml</w:t>
            </w:r>
          </w:p>
        </w:tc>
        <w:tc>
          <w:tcPr>
            <w:tcW w:w="1701"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rPr>
            </w:pPr>
            <w:r>
              <w:rPr>
                <w:rFonts w:asciiTheme="majorBidi" w:hAnsiTheme="majorBidi"/>
                <w:b/>
              </w:rPr>
              <w:t>Volumen ml/kg</w:t>
            </w:r>
          </w:p>
        </w:tc>
        <w:tc>
          <w:tcPr>
            <w:tcW w:w="1518"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rPr>
            </w:pPr>
            <w:r>
              <w:rPr>
                <w:rFonts w:asciiTheme="majorBidi" w:hAnsiTheme="majorBidi"/>
                <w:b/>
              </w:rPr>
              <w:t>Dosis</w:t>
            </w:r>
          </w:p>
          <w:p w:rsidR="00F75836" w:rsidRDefault="00F75836">
            <w:pPr>
              <w:widowControl w:val="0"/>
              <w:jc w:val="center"/>
              <w:rPr>
                <w:rFonts w:asciiTheme="majorBidi" w:hAnsiTheme="majorBidi" w:cstheme="majorBidi"/>
                <w:b/>
                <w:bCs/>
              </w:rPr>
            </w:pPr>
            <w:r>
              <w:rPr>
                <w:rFonts w:asciiTheme="majorBidi" w:hAnsiTheme="majorBidi"/>
                <w:b/>
              </w:rPr>
              <w:t>mg/kg</w:t>
            </w:r>
          </w:p>
        </w:tc>
      </w:tr>
      <w:tr w:rsidR="00F75836" w:rsidTr="00F75836">
        <w:trPr>
          <w:trHeight w:val="665"/>
        </w:trPr>
        <w:tc>
          <w:tcPr>
            <w:tcW w:w="9741" w:type="dxa"/>
            <w:gridSpan w:val="4"/>
            <w:tcBorders>
              <w:top w:val="single" w:sz="12" w:space="0" w:color="auto"/>
              <w:left w:val="nil"/>
              <w:bottom w:val="nil"/>
              <w:right w:val="nil"/>
            </w:tcBorders>
            <w:hideMark/>
          </w:tcPr>
          <w:p w:rsidR="00F75836" w:rsidRDefault="00F75836">
            <w:pPr>
              <w:rPr>
                <w:rFonts w:asciiTheme="majorBidi" w:hAnsiTheme="majorBidi" w:cstheme="majorBidi"/>
                <w:b/>
              </w:rPr>
            </w:pPr>
            <w:r>
              <w:rPr>
                <w:rFonts w:asciiTheme="majorBidi" w:hAnsiTheme="majorBidi"/>
                <w:b/>
              </w:rPr>
              <w:t xml:space="preserve">AKUT SMERTEBEHANDLING </w:t>
            </w:r>
          </w:p>
          <w:p w:rsidR="00F75836" w:rsidRDefault="00F75836">
            <w:pPr>
              <w:widowControl w:val="0"/>
              <w:rPr>
                <w:rFonts w:asciiTheme="majorBidi" w:hAnsiTheme="majorBidi" w:cstheme="majorBidi"/>
              </w:rPr>
            </w:pPr>
            <w:r>
              <w:rPr>
                <w:rFonts w:asciiTheme="majorBidi" w:hAnsiTheme="majorBidi"/>
                <w:b/>
              </w:rPr>
              <w:t>(per- og postoperativ)</w:t>
            </w:r>
          </w:p>
        </w:tc>
      </w:tr>
      <w:tr w:rsidR="00F75836" w:rsidTr="00F75836">
        <w:trPr>
          <w:trHeight w:val="1070"/>
        </w:trPr>
        <w:tc>
          <w:tcPr>
            <w:tcW w:w="4537" w:type="dxa"/>
            <w:hideMark/>
          </w:tcPr>
          <w:p w:rsidR="00F75836" w:rsidRDefault="00F75836">
            <w:pPr>
              <w:widowControl w:val="0"/>
              <w:jc w:val="both"/>
              <w:rPr>
                <w:rFonts w:asciiTheme="majorBidi" w:hAnsiTheme="majorBidi" w:cstheme="majorBidi"/>
                <w:b/>
              </w:rPr>
            </w:pPr>
            <w:r>
              <w:rPr>
                <w:rFonts w:asciiTheme="majorBidi" w:hAnsiTheme="majorBidi"/>
                <w:b/>
              </w:rPr>
              <w:t>Enkelt caudal epidural administration</w:t>
            </w:r>
          </w:p>
          <w:p w:rsidR="00F75836" w:rsidRDefault="00F75836">
            <w:pPr>
              <w:widowControl w:val="0"/>
              <w:jc w:val="both"/>
              <w:rPr>
                <w:rFonts w:asciiTheme="majorBidi" w:hAnsiTheme="majorBidi" w:cstheme="majorBidi"/>
                <w:b/>
                <w:bCs/>
              </w:rPr>
            </w:pPr>
            <w:r>
              <w:rPr>
                <w:rFonts w:asciiTheme="majorBidi" w:hAnsiTheme="majorBidi"/>
                <w:color w:val="000000"/>
              </w:rPr>
              <w:t>Blokader under T12, hos børn med en kropsvægt på op til 25 kg</w:t>
            </w:r>
          </w:p>
        </w:tc>
        <w:tc>
          <w:tcPr>
            <w:tcW w:w="1985" w:type="dxa"/>
            <w:hideMark/>
          </w:tcPr>
          <w:p w:rsidR="00F75836" w:rsidRDefault="00F75836">
            <w:pPr>
              <w:pStyle w:val="CM30"/>
              <w:spacing w:after="0"/>
              <w:ind w:right="69"/>
              <w:jc w:val="center"/>
              <w:rPr>
                <w:rFonts w:asciiTheme="majorBidi" w:hAnsiTheme="majorBidi" w:cstheme="majorBidi"/>
                <w:b/>
                <w:bCs/>
                <w:sz w:val="22"/>
                <w:szCs w:val="22"/>
              </w:rPr>
            </w:pPr>
            <w:r>
              <w:rPr>
                <w:rFonts w:asciiTheme="majorBidi" w:hAnsiTheme="majorBidi"/>
              </w:rPr>
              <w:t>2,0</w:t>
            </w:r>
          </w:p>
        </w:tc>
        <w:tc>
          <w:tcPr>
            <w:tcW w:w="1701" w:type="dxa"/>
            <w:hideMark/>
          </w:tcPr>
          <w:p w:rsidR="00F75836" w:rsidRDefault="00F75836">
            <w:pPr>
              <w:pStyle w:val="CM30"/>
              <w:spacing w:after="0"/>
              <w:ind w:right="69"/>
              <w:jc w:val="center"/>
              <w:rPr>
                <w:rFonts w:asciiTheme="majorBidi" w:hAnsiTheme="majorBidi" w:cstheme="majorBidi"/>
                <w:bCs/>
                <w:sz w:val="22"/>
                <w:szCs w:val="22"/>
              </w:rPr>
            </w:pPr>
            <w:r>
              <w:rPr>
                <w:rFonts w:asciiTheme="majorBidi" w:hAnsiTheme="majorBidi"/>
                <w:sz w:val="22"/>
              </w:rPr>
              <w:t>1</w:t>
            </w:r>
          </w:p>
        </w:tc>
        <w:tc>
          <w:tcPr>
            <w:tcW w:w="1518" w:type="dxa"/>
            <w:hideMark/>
          </w:tcPr>
          <w:p w:rsidR="00F75836" w:rsidRDefault="00F75836">
            <w:pPr>
              <w:pStyle w:val="CM30"/>
              <w:spacing w:after="0"/>
              <w:ind w:right="69"/>
              <w:jc w:val="center"/>
              <w:rPr>
                <w:rFonts w:asciiTheme="majorBidi" w:hAnsiTheme="majorBidi" w:cstheme="majorBidi"/>
                <w:bCs/>
                <w:sz w:val="22"/>
                <w:szCs w:val="22"/>
              </w:rPr>
            </w:pPr>
            <w:r>
              <w:rPr>
                <w:rFonts w:asciiTheme="majorBidi" w:hAnsiTheme="majorBidi"/>
                <w:sz w:val="22"/>
              </w:rPr>
              <w:t>2</w:t>
            </w:r>
          </w:p>
        </w:tc>
      </w:tr>
      <w:tr w:rsidR="00F75836" w:rsidTr="00F75836">
        <w:trPr>
          <w:trHeight w:val="350"/>
        </w:trPr>
        <w:tc>
          <w:tcPr>
            <w:tcW w:w="4537" w:type="dxa"/>
            <w:hideMark/>
          </w:tcPr>
          <w:p w:rsidR="00F75836" w:rsidRDefault="00F75836">
            <w:pPr>
              <w:widowControl w:val="0"/>
              <w:jc w:val="both"/>
              <w:rPr>
                <w:rFonts w:asciiTheme="majorBidi" w:hAnsiTheme="majorBidi" w:cstheme="majorBidi"/>
                <w:sz w:val="22"/>
              </w:rPr>
            </w:pPr>
            <w:r>
              <w:rPr>
                <w:rFonts w:asciiTheme="majorBidi" w:hAnsiTheme="majorBidi"/>
                <w:b/>
                <w:color w:val="000000"/>
              </w:rPr>
              <w:t>Kontinuerlig epidural infusion</w:t>
            </w:r>
          </w:p>
        </w:tc>
        <w:tc>
          <w:tcPr>
            <w:tcW w:w="1985" w:type="dxa"/>
          </w:tcPr>
          <w:p w:rsidR="00F75836" w:rsidRDefault="00F75836">
            <w:pPr>
              <w:widowControl w:val="0"/>
              <w:jc w:val="center"/>
              <w:rPr>
                <w:rFonts w:asciiTheme="majorBidi" w:hAnsiTheme="majorBidi" w:cstheme="majorBidi"/>
                <w:b/>
                <w:bCs/>
                <w:lang w:val="en-GB"/>
              </w:rPr>
            </w:pPr>
          </w:p>
        </w:tc>
        <w:tc>
          <w:tcPr>
            <w:tcW w:w="1701" w:type="dxa"/>
          </w:tcPr>
          <w:p w:rsidR="00F75836" w:rsidRDefault="00F75836">
            <w:pPr>
              <w:widowControl w:val="0"/>
              <w:jc w:val="center"/>
              <w:rPr>
                <w:rFonts w:asciiTheme="majorBidi" w:hAnsiTheme="majorBidi" w:cstheme="majorBidi"/>
                <w:b/>
                <w:bCs/>
                <w:lang w:val="en-GB"/>
              </w:rPr>
            </w:pPr>
          </w:p>
        </w:tc>
        <w:tc>
          <w:tcPr>
            <w:tcW w:w="1518" w:type="dxa"/>
          </w:tcPr>
          <w:p w:rsidR="00F75836" w:rsidRDefault="00F75836">
            <w:pPr>
              <w:widowControl w:val="0"/>
              <w:jc w:val="center"/>
              <w:rPr>
                <w:rFonts w:asciiTheme="majorBidi" w:hAnsiTheme="majorBidi" w:cstheme="majorBidi"/>
                <w:b/>
                <w:bCs/>
                <w:lang w:val="en-GB"/>
              </w:rPr>
            </w:pPr>
          </w:p>
        </w:tc>
      </w:tr>
      <w:tr w:rsidR="00F75836" w:rsidTr="00F75836">
        <w:trPr>
          <w:trHeight w:val="350"/>
        </w:trPr>
        <w:tc>
          <w:tcPr>
            <w:tcW w:w="4537" w:type="dxa"/>
            <w:hideMark/>
          </w:tcPr>
          <w:p w:rsidR="00F75836" w:rsidRDefault="00F75836">
            <w:pPr>
              <w:widowControl w:val="0"/>
              <w:jc w:val="both"/>
              <w:rPr>
                <w:rFonts w:asciiTheme="majorBidi" w:hAnsiTheme="majorBidi" w:cstheme="majorBidi"/>
              </w:rPr>
            </w:pPr>
            <w:r>
              <w:rPr>
                <w:rFonts w:asciiTheme="majorBidi" w:hAnsiTheme="majorBidi"/>
                <w:color w:val="000000"/>
              </w:rPr>
              <w:t>Hos børn med en kropsvægt på op til 25 kg</w:t>
            </w:r>
          </w:p>
        </w:tc>
        <w:tc>
          <w:tcPr>
            <w:tcW w:w="1985" w:type="dxa"/>
          </w:tcPr>
          <w:p w:rsidR="00F75836" w:rsidRDefault="00F75836">
            <w:pPr>
              <w:widowControl w:val="0"/>
              <w:jc w:val="center"/>
              <w:rPr>
                <w:rFonts w:asciiTheme="majorBidi" w:hAnsiTheme="majorBidi" w:cstheme="majorBidi"/>
                <w:lang w:val="nb-NO"/>
              </w:rPr>
            </w:pPr>
          </w:p>
        </w:tc>
        <w:tc>
          <w:tcPr>
            <w:tcW w:w="1701" w:type="dxa"/>
          </w:tcPr>
          <w:p w:rsidR="00F75836" w:rsidRDefault="00F75836">
            <w:pPr>
              <w:widowControl w:val="0"/>
              <w:jc w:val="center"/>
              <w:rPr>
                <w:rFonts w:asciiTheme="majorBidi" w:hAnsiTheme="majorBidi" w:cstheme="majorBidi"/>
                <w:lang w:val="pt-PT"/>
              </w:rPr>
            </w:pPr>
          </w:p>
        </w:tc>
        <w:tc>
          <w:tcPr>
            <w:tcW w:w="1518" w:type="dxa"/>
          </w:tcPr>
          <w:p w:rsidR="00F75836" w:rsidRDefault="00F75836">
            <w:pPr>
              <w:widowControl w:val="0"/>
              <w:jc w:val="center"/>
              <w:rPr>
                <w:rFonts w:asciiTheme="majorBidi" w:hAnsiTheme="majorBidi" w:cstheme="majorBidi"/>
                <w:lang w:val="pt-PT"/>
              </w:rPr>
            </w:pPr>
          </w:p>
        </w:tc>
      </w:tr>
      <w:tr w:rsidR="00F75836" w:rsidTr="00F75836">
        <w:trPr>
          <w:trHeight w:val="890"/>
        </w:trPr>
        <w:tc>
          <w:tcPr>
            <w:tcW w:w="4537" w:type="dxa"/>
            <w:hideMark/>
          </w:tcPr>
          <w:p w:rsidR="00F75836" w:rsidRDefault="00F75836">
            <w:pPr>
              <w:widowControl w:val="0"/>
              <w:jc w:val="both"/>
              <w:rPr>
                <w:rFonts w:asciiTheme="majorBidi" w:hAnsiTheme="majorBidi" w:cstheme="majorBidi"/>
              </w:rPr>
            </w:pPr>
            <w:r>
              <w:rPr>
                <w:rFonts w:asciiTheme="majorBidi" w:hAnsiTheme="majorBidi"/>
                <w:color w:val="000000"/>
              </w:rPr>
              <w:t>0 op til 6 måneder</w:t>
            </w:r>
          </w:p>
          <w:p w:rsidR="00F75836" w:rsidRDefault="00F75836">
            <w:pPr>
              <w:widowControl w:val="0"/>
              <w:jc w:val="both"/>
              <w:rPr>
                <w:rFonts w:asciiTheme="majorBidi" w:hAnsiTheme="majorBidi" w:cstheme="majorBidi"/>
              </w:rPr>
            </w:pPr>
            <w:r>
              <w:rPr>
                <w:rFonts w:asciiTheme="majorBidi" w:hAnsiTheme="majorBidi"/>
              </w:rPr>
              <w:t>Bolus</w:t>
            </w:r>
            <w:r>
              <w:rPr>
                <w:rFonts w:asciiTheme="majorBidi" w:hAnsiTheme="majorBidi"/>
                <w:vertAlign w:val="superscript"/>
              </w:rPr>
              <w:t>a</w:t>
            </w:r>
          </w:p>
          <w:p w:rsidR="00F75836" w:rsidRDefault="00F75836">
            <w:pPr>
              <w:widowControl w:val="0"/>
              <w:jc w:val="both"/>
              <w:rPr>
                <w:rFonts w:asciiTheme="majorBidi" w:hAnsiTheme="majorBidi" w:cstheme="majorBidi"/>
              </w:rPr>
            </w:pPr>
            <w:r>
              <w:rPr>
                <w:rFonts w:asciiTheme="majorBidi" w:hAnsiTheme="majorBidi"/>
                <w:color w:val="000000"/>
              </w:rPr>
              <w:t>Infusion op til 72 timer</w:t>
            </w:r>
          </w:p>
        </w:tc>
        <w:tc>
          <w:tcPr>
            <w:tcW w:w="1985" w:type="dxa"/>
          </w:tcPr>
          <w:p w:rsidR="00F75836" w:rsidRDefault="00F75836">
            <w:pPr>
              <w:widowControl w:val="0"/>
              <w:jc w:val="center"/>
              <w:rPr>
                <w:rFonts w:asciiTheme="majorBidi" w:hAnsiTheme="majorBidi" w:cstheme="majorBidi"/>
                <w:lang w:val="nb-NO"/>
              </w:rPr>
            </w:pPr>
          </w:p>
          <w:p w:rsidR="00F75836" w:rsidRDefault="00F75836">
            <w:pPr>
              <w:widowControl w:val="0"/>
              <w:jc w:val="center"/>
              <w:rPr>
                <w:rFonts w:asciiTheme="majorBidi" w:hAnsiTheme="majorBidi" w:cstheme="majorBidi"/>
                <w:b/>
                <w:bCs/>
              </w:rPr>
            </w:pPr>
            <w:r>
              <w:rPr>
                <w:rFonts w:asciiTheme="majorBidi" w:hAnsiTheme="majorBidi"/>
              </w:rPr>
              <w:t>2,0</w:t>
            </w:r>
          </w:p>
          <w:p w:rsidR="00F75836" w:rsidRDefault="00F75836">
            <w:pPr>
              <w:widowControl w:val="0"/>
              <w:jc w:val="center"/>
              <w:rPr>
                <w:rFonts w:asciiTheme="majorBidi" w:hAnsiTheme="majorBidi" w:cstheme="majorBidi"/>
                <w:b/>
                <w:bCs/>
              </w:rPr>
            </w:pPr>
            <w:r>
              <w:rPr>
                <w:rFonts w:asciiTheme="majorBidi" w:hAnsiTheme="majorBidi"/>
                <w:color w:val="000000"/>
              </w:rPr>
              <w:t>2,0</w:t>
            </w:r>
          </w:p>
        </w:tc>
        <w:tc>
          <w:tcPr>
            <w:tcW w:w="1701" w:type="dxa"/>
          </w:tcPr>
          <w:p w:rsidR="00F75836" w:rsidRDefault="00F75836">
            <w:pPr>
              <w:widowControl w:val="0"/>
              <w:jc w:val="center"/>
              <w:rPr>
                <w:rFonts w:asciiTheme="majorBidi" w:hAnsiTheme="majorBidi" w:cstheme="majorBidi"/>
                <w:color w:val="000000"/>
                <w:lang w:val="pt-PT"/>
              </w:rPr>
            </w:pPr>
          </w:p>
          <w:p w:rsidR="00F75836" w:rsidRDefault="00F75836">
            <w:pPr>
              <w:widowControl w:val="0"/>
              <w:jc w:val="center"/>
              <w:rPr>
                <w:rFonts w:asciiTheme="majorBidi" w:hAnsiTheme="majorBidi" w:cstheme="majorBidi"/>
                <w:b/>
                <w:bCs/>
              </w:rPr>
            </w:pPr>
            <w:r>
              <w:rPr>
                <w:rFonts w:asciiTheme="majorBidi" w:hAnsiTheme="majorBidi"/>
                <w:color w:val="000000"/>
              </w:rPr>
              <w:t>0,5</w:t>
            </w:r>
            <w:r>
              <w:rPr>
                <w:color w:val="000000"/>
              </w:rPr>
              <w:noBreakHyphen/>
            </w:r>
            <w:r>
              <w:rPr>
                <w:rFonts w:asciiTheme="majorBidi" w:hAnsiTheme="majorBidi"/>
                <w:color w:val="000000"/>
              </w:rPr>
              <w:t>1</w:t>
            </w:r>
          </w:p>
          <w:p w:rsidR="00F75836" w:rsidRDefault="00F75836">
            <w:pPr>
              <w:widowControl w:val="0"/>
              <w:jc w:val="center"/>
              <w:rPr>
                <w:rFonts w:asciiTheme="majorBidi" w:hAnsiTheme="majorBidi" w:cstheme="majorBidi"/>
              </w:rPr>
            </w:pPr>
            <w:r>
              <w:rPr>
                <w:rFonts w:asciiTheme="majorBidi" w:hAnsiTheme="majorBidi"/>
                <w:color w:val="000000"/>
              </w:rPr>
              <w:t>0,1 ml/kg/t</w:t>
            </w:r>
          </w:p>
        </w:tc>
        <w:tc>
          <w:tcPr>
            <w:tcW w:w="1518" w:type="dxa"/>
          </w:tcPr>
          <w:p w:rsidR="00F75836" w:rsidRDefault="00F75836">
            <w:pPr>
              <w:widowControl w:val="0"/>
              <w:jc w:val="center"/>
              <w:rPr>
                <w:rFonts w:asciiTheme="majorBidi" w:hAnsiTheme="majorBidi" w:cstheme="majorBidi"/>
                <w:lang w:val="pt-PT"/>
              </w:rPr>
            </w:pPr>
          </w:p>
          <w:p w:rsidR="00F75836" w:rsidRDefault="00F75836">
            <w:pPr>
              <w:widowControl w:val="0"/>
              <w:jc w:val="center"/>
              <w:rPr>
                <w:rFonts w:asciiTheme="majorBidi" w:hAnsiTheme="majorBidi" w:cstheme="majorBidi"/>
                <w:b/>
                <w:bCs/>
              </w:rPr>
            </w:pPr>
            <w:r>
              <w:rPr>
                <w:rFonts w:asciiTheme="majorBidi" w:hAnsiTheme="majorBidi"/>
              </w:rPr>
              <w:t>1</w:t>
            </w:r>
            <w:r>
              <w:noBreakHyphen/>
            </w:r>
            <w:r>
              <w:rPr>
                <w:rFonts w:asciiTheme="majorBidi" w:hAnsiTheme="majorBidi"/>
              </w:rPr>
              <w:t>2</w:t>
            </w:r>
          </w:p>
          <w:p w:rsidR="00F75836" w:rsidRDefault="00F75836">
            <w:pPr>
              <w:widowControl w:val="0"/>
              <w:jc w:val="center"/>
              <w:rPr>
                <w:rFonts w:asciiTheme="majorBidi" w:hAnsiTheme="majorBidi" w:cstheme="majorBidi"/>
              </w:rPr>
            </w:pPr>
            <w:r>
              <w:rPr>
                <w:rFonts w:asciiTheme="majorBidi" w:hAnsiTheme="majorBidi"/>
                <w:color w:val="000000"/>
              </w:rPr>
              <w:t>0,2 mg/kg/t</w:t>
            </w:r>
          </w:p>
        </w:tc>
      </w:tr>
      <w:tr w:rsidR="00F75836" w:rsidTr="00F75836">
        <w:trPr>
          <w:trHeight w:val="881"/>
        </w:trPr>
        <w:tc>
          <w:tcPr>
            <w:tcW w:w="4537" w:type="dxa"/>
            <w:hideMark/>
          </w:tcPr>
          <w:p w:rsidR="00F75836" w:rsidRDefault="00F75836">
            <w:pPr>
              <w:widowControl w:val="0"/>
              <w:jc w:val="both"/>
              <w:rPr>
                <w:rFonts w:asciiTheme="majorBidi" w:hAnsiTheme="majorBidi" w:cstheme="majorBidi"/>
              </w:rPr>
            </w:pPr>
            <w:r>
              <w:rPr>
                <w:rFonts w:asciiTheme="majorBidi" w:hAnsiTheme="majorBidi"/>
                <w:color w:val="000000"/>
              </w:rPr>
              <w:t>6 op til 12 måneder</w:t>
            </w:r>
          </w:p>
          <w:p w:rsidR="00F75836" w:rsidRDefault="00F75836">
            <w:pPr>
              <w:widowControl w:val="0"/>
              <w:jc w:val="both"/>
              <w:rPr>
                <w:rFonts w:asciiTheme="majorBidi" w:hAnsiTheme="majorBidi" w:cstheme="majorBidi"/>
              </w:rPr>
            </w:pPr>
            <w:r>
              <w:rPr>
                <w:rFonts w:asciiTheme="majorBidi" w:hAnsiTheme="majorBidi"/>
                <w:color w:val="000000"/>
              </w:rPr>
              <w:t>Bolus</w:t>
            </w:r>
            <w:r>
              <w:rPr>
                <w:rFonts w:asciiTheme="majorBidi" w:hAnsiTheme="majorBidi"/>
                <w:color w:val="000000"/>
                <w:vertAlign w:val="superscript"/>
              </w:rPr>
              <w:t>a</w:t>
            </w:r>
          </w:p>
          <w:p w:rsidR="00F75836" w:rsidRDefault="00F75836">
            <w:pPr>
              <w:widowControl w:val="0"/>
              <w:jc w:val="both"/>
              <w:rPr>
                <w:rFonts w:asciiTheme="majorBidi" w:hAnsiTheme="majorBidi" w:cstheme="majorBidi"/>
              </w:rPr>
            </w:pPr>
            <w:r>
              <w:rPr>
                <w:rFonts w:asciiTheme="majorBidi" w:hAnsiTheme="majorBidi"/>
                <w:color w:val="000000"/>
              </w:rPr>
              <w:t>Infusion op til 72 timer</w:t>
            </w:r>
          </w:p>
        </w:tc>
        <w:tc>
          <w:tcPr>
            <w:tcW w:w="1985" w:type="dxa"/>
          </w:tcPr>
          <w:p w:rsidR="00F75836" w:rsidRDefault="00F75836">
            <w:pPr>
              <w:widowControl w:val="0"/>
              <w:jc w:val="center"/>
              <w:rPr>
                <w:rFonts w:asciiTheme="majorBidi" w:hAnsiTheme="majorBidi" w:cstheme="majorBidi"/>
                <w:lang w:val="nb-NO"/>
              </w:rPr>
            </w:pPr>
          </w:p>
          <w:p w:rsidR="00F75836" w:rsidRDefault="00F75836">
            <w:pPr>
              <w:widowControl w:val="0"/>
              <w:jc w:val="center"/>
              <w:rPr>
                <w:rFonts w:asciiTheme="majorBidi" w:hAnsiTheme="majorBidi" w:cstheme="majorBidi"/>
                <w:b/>
                <w:bCs/>
              </w:rPr>
            </w:pPr>
            <w:r>
              <w:rPr>
                <w:rFonts w:asciiTheme="majorBidi" w:hAnsiTheme="majorBidi"/>
                <w:color w:val="000000"/>
              </w:rPr>
              <w:t>2,0</w:t>
            </w:r>
          </w:p>
          <w:p w:rsidR="00F75836" w:rsidRDefault="00F75836">
            <w:pPr>
              <w:widowControl w:val="0"/>
              <w:jc w:val="center"/>
              <w:rPr>
                <w:rFonts w:asciiTheme="majorBidi" w:hAnsiTheme="majorBidi" w:cstheme="majorBidi"/>
                <w:b/>
                <w:bCs/>
              </w:rPr>
            </w:pPr>
            <w:r>
              <w:rPr>
                <w:rFonts w:asciiTheme="majorBidi" w:hAnsiTheme="majorBidi"/>
                <w:color w:val="000000"/>
              </w:rPr>
              <w:t>2,0</w:t>
            </w:r>
          </w:p>
        </w:tc>
        <w:tc>
          <w:tcPr>
            <w:tcW w:w="1701" w:type="dxa"/>
          </w:tcPr>
          <w:p w:rsidR="00F75836" w:rsidRDefault="00F75836">
            <w:pPr>
              <w:widowControl w:val="0"/>
              <w:jc w:val="center"/>
              <w:rPr>
                <w:rFonts w:asciiTheme="majorBidi" w:hAnsiTheme="majorBidi" w:cstheme="majorBidi"/>
                <w:color w:val="000000"/>
                <w:lang w:val="pt-PT"/>
              </w:rPr>
            </w:pPr>
          </w:p>
          <w:p w:rsidR="00F75836" w:rsidRDefault="00F75836">
            <w:pPr>
              <w:widowControl w:val="0"/>
              <w:jc w:val="center"/>
              <w:rPr>
                <w:rFonts w:asciiTheme="majorBidi" w:hAnsiTheme="majorBidi" w:cstheme="majorBidi"/>
                <w:b/>
                <w:bCs/>
              </w:rPr>
            </w:pPr>
            <w:r>
              <w:rPr>
                <w:rFonts w:asciiTheme="majorBidi" w:hAnsiTheme="majorBidi"/>
                <w:color w:val="000000"/>
              </w:rPr>
              <w:t>0,5</w:t>
            </w:r>
            <w:r>
              <w:rPr>
                <w:color w:val="000000"/>
              </w:rPr>
              <w:noBreakHyphen/>
            </w:r>
            <w:r>
              <w:rPr>
                <w:rFonts w:asciiTheme="majorBidi" w:hAnsiTheme="majorBidi"/>
                <w:color w:val="000000"/>
              </w:rPr>
              <w:t>1</w:t>
            </w:r>
          </w:p>
          <w:p w:rsidR="00F75836" w:rsidRDefault="00F75836">
            <w:pPr>
              <w:widowControl w:val="0"/>
              <w:jc w:val="center"/>
              <w:rPr>
                <w:rFonts w:asciiTheme="majorBidi" w:hAnsiTheme="majorBidi" w:cstheme="majorBidi"/>
              </w:rPr>
            </w:pPr>
            <w:r>
              <w:rPr>
                <w:rFonts w:asciiTheme="majorBidi" w:hAnsiTheme="majorBidi"/>
                <w:color w:val="000000"/>
              </w:rPr>
              <w:t>0,2 ml/kg/t</w:t>
            </w:r>
          </w:p>
        </w:tc>
        <w:tc>
          <w:tcPr>
            <w:tcW w:w="1518" w:type="dxa"/>
          </w:tcPr>
          <w:p w:rsidR="00F75836" w:rsidRDefault="00F75836">
            <w:pPr>
              <w:widowControl w:val="0"/>
              <w:jc w:val="center"/>
              <w:rPr>
                <w:rFonts w:asciiTheme="majorBidi" w:hAnsiTheme="majorBidi" w:cstheme="majorBidi"/>
                <w:color w:val="000000"/>
                <w:lang w:val="pt-PT"/>
              </w:rPr>
            </w:pPr>
          </w:p>
          <w:p w:rsidR="00F75836" w:rsidRDefault="00F75836">
            <w:pPr>
              <w:widowControl w:val="0"/>
              <w:jc w:val="center"/>
              <w:rPr>
                <w:rFonts w:asciiTheme="majorBidi" w:hAnsiTheme="majorBidi" w:cstheme="majorBidi"/>
                <w:b/>
                <w:bCs/>
              </w:rPr>
            </w:pPr>
            <w:r>
              <w:rPr>
                <w:rFonts w:asciiTheme="majorBidi" w:hAnsiTheme="majorBidi"/>
                <w:color w:val="000000"/>
              </w:rPr>
              <w:t>1</w:t>
            </w:r>
            <w:r>
              <w:rPr>
                <w:color w:val="000000"/>
              </w:rPr>
              <w:noBreakHyphen/>
            </w:r>
            <w:r>
              <w:rPr>
                <w:rFonts w:asciiTheme="majorBidi" w:hAnsiTheme="majorBidi"/>
                <w:color w:val="000000"/>
              </w:rPr>
              <w:t>2</w:t>
            </w:r>
          </w:p>
          <w:p w:rsidR="00F75836" w:rsidRDefault="00F75836">
            <w:pPr>
              <w:widowControl w:val="0"/>
              <w:jc w:val="center"/>
              <w:rPr>
                <w:rFonts w:asciiTheme="majorBidi" w:hAnsiTheme="majorBidi" w:cstheme="majorBidi"/>
              </w:rPr>
            </w:pPr>
            <w:r>
              <w:rPr>
                <w:rFonts w:asciiTheme="majorBidi" w:hAnsiTheme="majorBidi"/>
                <w:color w:val="000000"/>
              </w:rPr>
              <w:t>0,4 mg/kg/t</w:t>
            </w:r>
          </w:p>
        </w:tc>
      </w:tr>
      <w:tr w:rsidR="00F75836" w:rsidTr="00F75836">
        <w:trPr>
          <w:trHeight w:val="918"/>
        </w:trPr>
        <w:tc>
          <w:tcPr>
            <w:tcW w:w="4537" w:type="dxa"/>
            <w:tcBorders>
              <w:top w:val="nil"/>
              <w:left w:val="nil"/>
              <w:bottom w:val="single" w:sz="12" w:space="0" w:color="auto"/>
              <w:right w:val="nil"/>
            </w:tcBorders>
            <w:hideMark/>
          </w:tcPr>
          <w:p w:rsidR="00F75836" w:rsidRDefault="00F75836">
            <w:pPr>
              <w:widowControl w:val="0"/>
              <w:jc w:val="both"/>
              <w:rPr>
                <w:rFonts w:asciiTheme="majorBidi" w:hAnsiTheme="majorBidi" w:cstheme="majorBidi"/>
              </w:rPr>
            </w:pPr>
            <w:r>
              <w:rPr>
                <w:rFonts w:asciiTheme="majorBidi" w:hAnsiTheme="majorBidi"/>
                <w:color w:val="000000"/>
              </w:rPr>
              <w:t>1 til 12 år</w:t>
            </w:r>
          </w:p>
          <w:p w:rsidR="00F75836" w:rsidRDefault="00F75836">
            <w:pPr>
              <w:widowControl w:val="0"/>
              <w:jc w:val="both"/>
              <w:rPr>
                <w:rFonts w:asciiTheme="majorBidi" w:hAnsiTheme="majorBidi" w:cstheme="majorBidi"/>
              </w:rPr>
            </w:pPr>
            <w:r>
              <w:rPr>
                <w:rFonts w:asciiTheme="majorBidi" w:hAnsiTheme="majorBidi"/>
                <w:color w:val="000000"/>
              </w:rPr>
              <w:t>Bolus</w:t>
            </w:r>
            <w:r>
              <w:rPr>
                <w:rFonts w:asciiTheme="majorBidi" w:hAnsiTheme="majorBidi"/>
                <w:color w:val="000000"/>
                <w:vertAlign w:val="superscript"/>
              </w:rPr>
              <w:t>b</w:t>
            </w:r>
          </w:p>
          <w:p w:rsidR="00F75836" w:rsidRDefault="00F75836">
            <w:pPr>
              <w:widowControl w:val="0"/>
              <w:jc w:val="both"/>
              <w:rPr>
                <w:rFonts w:asciiTheme="majorBidi" w:hAnsiTheme="majorBidi" w:cstheme="majorBidi"/>
                <w:b/>
                <w:color w:val="000000"/>
              </w:rPr>
            </w:pPr>
            <w:r>
              <w:rPr>
                <w:rFonts w:asciiTheme="majorBidi" w:hAnsiTheme="majorBidi"/>
                <w:color w:val="000000"/>
              </w:rPr>
              <w:t>Infusion op til 72 timer</w:t>
            </w:r>
          </w:p>
        </w:tc>
        <w:tc>
          <w:tcPr>
            <w:tcW w:w="1985" w:type="dxa"/>
            <w:tcBorders>
              <w:top w:val="nil"/>
              <w:left w:val="nil"/>
              <w:bottom w:val="single" w:sz="12" w:space="0" w:color="auto"/>
              <w:right w:val="nil"/>
            </w:tcBorders>
          </w:tcPr>
          <w:p w:rsidR="00F75836" w:rsidRDefault="00F75836">
            <w:pPr>
              <w:widowControl w:val="0"/>
              <w:jc w:val="center"/>
              <w:rPr>
                <w:rFonts w:asciiTheme="majorBidi" w:hAnsiTheme="majorBidi" w:cstheme="majorBidi"/>
                <w:lang w:val="nb-NO"/>
              </w:rPr>
            </w:pPr>
          </w:p>
          <w:p w:rsidR="00F75836" w:rsidRDefault="00F75836">
            <w:pPr>
              <w:widowControl w:val="0"/>
              <w:jc w:val="center"/>
              <w:rPr>
                <w:rFonts w:asciiTheme="majorBidi" w:hAnsiTheme="majorBidi" w:cstheme="majorBidi"/>
                <w:b/>
                <w:bCs/>
              </w:rPr>
            </w:pPr>
            <w:r>
              <w:rPr>
                <w:rFonts w:asciiTheme="majorBidi" w:hAnsiTheme="majorBidi"/>
                <w:color w:val="000000"/>
              </w:rPr>
              <w:t>2,0</w:t>
            </w:r>
          </w:p>
          <w:p w:rsidR="00F75836" w:rsidRDefault="00F75836">
            <w:pPr>
              <w:widowControl w:val="0"/>
              <w:jc w:val="center"/>
              <w:rPr>
                <w:rFonts w:asciiTheme="majorBidi" w:hAnsiTheme="majorBidi" w:cstheme="majorBidi"/>
              </w:rPr>
            </w:pPr>
            <w:r>
              <w:rPr>
                <w:rFonts w:asciiTheme="majorBidi" w:hAnsiTheme="majorBidi"/>
                <w:color w:val="000000"/>
              </w:rPr>
              <w:t>2,0</w:t>
            </w:r>
          </w:p>
        </w:tc>
        <w:tc>
          <w:tcPr>
            <w:tcW w:w="1701" w:type="dxa"/>
            <w:tcBorders>
              <w:top w:val="nil"/>
              <w:left w:val="nil"/>
              <w:bottom w:val="single" w:sz="12" w:space="0" w:color="auto"/>
              <w:right w:val="nil"/>
            </w:tcBorders>
          </w:tcPr>
          <w:p w:rsidR="00F75836" w:rsidRDefault="00F75836">
            <w:pPr>
              <w:widowControl w:val="0"/>
              <w:jc w:val="center"/>
              <w:rPr>
                <w:rFonts w:asciiTheme="majorBidi" w:hAnsiTheme="majorBidi" w:cstheme="majorBidi"/>
                <w:color w:val="000000"/>
                <w:lang w:val="pt-PT"/>
              </w:rPr>
            </w:pPr>
          </w:p>
          <w:p w:rsidR="00F75836" w:rsidRDefault="00F75836">
            <w:pPr>
              <w:widowControl w:val="0"/>
              <w:jc w:val="center"/>
              <w:rPr>
                <w:rFonts w:asciiTheme="majorBidi" w:hAnsiTheme="majorBidi" w:cstheme="majorBidi"/>
              </w:rPr>
            </w:pPr>
            <w:r>
              <w:rPr>
                <w:rFonts w:asciiTheme="majorBidi" w:hAnsiTheme="majorBidi"/>
                <w:color w:val="000000"/>
              </w:rPr>
              <w:t>1</w:t>
            </w:r>
          </w:p>
          <w:p w:rsidR="00F75836" w:rsidRDefault="00F75836">
            <w:pPr>
              <w:widowControl w:val="0"/>
              <w:jc w:val="center"/>
              <w:rPr>
                <w:rFonts w:asciiTheme="majorBidi" w:hAnsiTheme="majorBidi" w:cstheme="majorBidi"/>
              </w:rPr>
            </w:pPr>
            <w:r>
              <w:rPr>
                <w:rFonts w:asciiTheme="majorBidi" w:hAnsiTheme="majorBidi"/>
                <w:color w:val="000000"/>
              </w:rPr>
              <w:t>0,2 ml/kg/t</w:t>
            </w:r>
          </w:p>
        </w:tc>
        <w:tc>
          <w:tcPr>
            <w:tcW w:w="1518" w:type="dxa"/>
            <w:tcBorders>
              <w:top w:val="nil"/>
              <w:left w:val="nil"/>
              <w:bottom w:val="single" w:sz="12" w:space="0" w:color="auto"/>
              <w:right w:val="nil"/>
            </w:tcBorders>
          </w:tcPr>
          <w:p w:rsidR="00F75836" w:rsidRDefault="00F75836">
            <w:pPr>
              <w:widowControl w:val="0"/>
              <w:jc w:val="center"/>
              <w:rPr>
                <w:rFonts w:asciiTheme="majorBidi" w:hAnsiTheme="majorBidi" w:cstheme="majorBidi"/>
                <w:color w:val="000000"/>
                <w:lang w:val="pt-PT"/>
              </w:rPr>
            </w:pPr>
          </w:p>
          <w:p w:rsidR="00F75836" w:rsidRDefault="00F75836">
            <w:pPr>
              <w:widowControl w:val="0"/>
              <w:jc w:val="center"/>
              <w:rPr>
                <w:rFonts w:asciiTheme="majorBidi" w:hAnsiTheme="majorBidi" w:cstheme="majorBidi"/>
              </w:rPr>
            </w:pPr>
            <w:r>
              <w:rPr>
                <w:rFonts w:asciiTheme="majorBidi" w:hAnsiTheme="majorBidi"/>
                <w:color w:val="000000"/>
              </w:rPr>
              <w:t>2</w:t>
            </w:r>
          </w:p>
          <w:p w:rsidR="00F75836" w:rsidRDefault="00F75836">
            <w:pPr>
              <w:widowControl w:val="0"/>
              <w:jc w:val="center"/>
              <w:rPr>
                <w:rFonts w:asciiTheme="majorBidi" w:hAnsiTheme="majorBidi" w:cstheme="majorBidi"/>
              </w:rPr>
            </w:pPr>
            <w:r>
              <w:rPr>
                <w:rFonts w:asciiTheme="majorBidi" w:hAnsiTheme="majorBidi"/>
                <w:color w:val="000000"/>
              </w:rPr>
              <w:t>0,4 mg/kg/t</w:t>
            </w:r>
          </w:p>
        </w:tc>
      </w:tr>
      <w:tr w:rsidR="00F75836" w:rsidRPr="00F75836" w:rsidTr="00F75836">
        <w:tc>
          <w:tcPr>
            <w:tcW w:w="9741" w:type="dxa"/>
            <w:gridSpan w:val="4"/>
            <w:tcBorders>
              <w:top w:val="single" w:sz="12" w:space="0" w:color="auto"/>
              <w:left w:val="nil"/>
              <w:bottom w:val="nil"/>
              <w:right w:val="nil"/>
            </w:tcBorders>
            <w:vAlign w:val="center"/>
            <w:hideMark/>
          </w:tcPr>
          <w:p w:rsidR="00F75836" w:rsidRPr="00F75836" w:rsidRDefault="00F75836">
            <w:pPr>
              <w:rPr>
                <w:rFonts w:asciiTheme="majorBidi" w:hAnsiTheme="majorBidi" w:cstheme="majorBidi"/>
                <w:color w:val="000000"/>
                <w:sz w:val="20"/>
                <w:szCs w:val="20"/>
              </w:rPr>
            </w:pPr>
            <w:r w:rsidRPr="00F75836">
              <w:rPr>
                <w:rFonts w:asciiTheme="majorBidi" w:hAnsiTheme="majorBidi"/>
                <w:sz w:val="20"/>
                <w:szCs w:val="20"/>
              </w:rPr>
              <w:t>Doserne i tabellen skal ses som retningslinjer for brug inden for pædiatrien. Der kan forekomme individuelle variationer. Det er ofte nødvendigt med en gradvis reduktion af dosis hos børn med en høj kropsvægt. Dosis skal baseres på den ideelle kropsvægt. Volumenet for enkelt caudal epiduralblokade og volumenet for epidurale bolusdoser bør ikke overstige 25 ml hos nogen patienter. For faktorer, der påvirker specifikke blokadeteknikker og de enkelte patientkrav henvises der til de gængse lærebøger.</w:t>
            </w:r>
          </w:p>
        </w:tc>
      </w:tr>
      <w:tr w:rsidR="00F75836" w:rsidRPr="00F75836" w:rsidTr="00F75836">
        <w:tc>
          <w:tcPr>
            <w:tcW w:w="9741" w:type="dxa"/>
            <w:gridSpan w:val="4"/>
            <w:vAlign w:val="center"/>
            <w:hideMark/>
          </w:tcPr>
          <w:p w:rsidR="00F75836" w:rsidRPr="00F75836" w:rsidRDefault="00F75836">
            <w:pPr>
              <w:rPr>
                <w:rFonts w:asciiTheme="majorBidi" w:hAnsiTheme="majorBidi" w:cstheme="majorBidi"/>
                <w:sz w:val="20"/>
                <w:szCs w:val="20"/>
              </w:rPr>
            </w:pPr>
            <w:r w:rsidRPr="00F75836">
              <w:rPr>
                <w:rFonts w:asciiTheme="majorBidi" w:hAnsiTheme="majorBidi"/>
                <w:color w:val="000000"/>
                <w:sz w:val="20"/>
                <w:szCs w:val="20"/>
                <w:vertAlign w:val="superscript"/>
              </w:rPr>
              <w:t xml:space="preserve">a </w:t>
            </w:r>
            <w:r w:rsidRPr="00F75836">
              <w:rPr>
                <w:rFonts w:asciiTheme="majorBidi" w:hAnsiTheme="majorBidi"/>
                <w:color w:val="000000"/>
                <w:sz w:val="20"/>
                <w:szCs w:val="20"/>
              </w:rPr>
              <w:t>Doser i den lave ende af dosisintervallet anbefales til thorakale epiduralblokader, mens doser i den høje ende anbefales til lumbale eller caudale epiduralblokader</w:t>
            </w:r>
            <w:r w:rsidRPr="00F75836">
              <w:rPr>
                <w:rFonts w:asciiTheme="majorBidi" w:hAnsiTheme="majorBidi"/>
                <w:sz w:val="20"/>
                <w:szCs w:val="20"/>
              </w:rPr>
              <w:t>.</w:t>
            </w:r>
          </w:p>
        </w:tc>
      </w:tr>
      <w:tr w:rsidR="00F75836" w:rsidRPr="00F75836" w:rsidTr="00F75836">
        <w:tc>
          <w:tcPr>
            <w:tcW w:w="9741" w:type="dxa"/>
            <w:gridSpan w:val="4"/>
            <w:vAlign w:val="center"/>
            <w:hideMark/>
          </w:tcPr>
          <w:p w:rsidR="00F75836" w:rsidRPr="00F75836" w:rsidRDefault="00F75836">
            <w:pPr>
              <w:rPr>
                <w:rFonts w:asciiTheme="majorBidi" w:hAnsiTheme="majorBidi" w:cstheme="majorBidi"/>
                <w:sz w:val="20"/>
                <w:szCs w:val="20"/>
              </w:rPr>
            </w:pPr>
            <w:r w:rsidRPr="00F75836">
              <w:rPr>
                <w:rFonts w:asciiTheme="majorBidi" w:hAnsiTheme="majorBidi"/>
                <w:sz w:val="20"/>
                <w:szCs w:val="20"/>
                <w:vertAlign w:val="superscript"/>
              </w:rPr>
              <w:t xml:space="preserve">b </w:t>
            </w:r>
            <w:r w:rsidRPr="00F75836">
              <w:rPr>
                <w:rFonts w:asciiTheme="majorBidi" w:hAnsiTheme="majorBidi"/>
                <w:sz w:val="20"/>
                <w:szCs w:val="20"/>
              </w:rPr>
              <w:t>Anbefales til lumbale epiduralblokader. Det er god praksis at mindske bolusdosis til thorakal epidural bedøvelse.</w:t>
            </w:r>
          </w:p>
        </w:tc>
      </w:tr>
    </w:tbl>
    <w:p w:rsidR="00F75836" w:rsidRPr="00F75836" w:rsidRDefault="00F75836" w:rsidP="00F75836">
      <w:pPr>
        <w:ind w:left="851"/>
        <w:rPr>
          <w:rFonts w:asciiTheme="majorBidi" w:eastAsiaTheme="minorEastAsia" w:hAnsiTheme="majorBidi" w:cstheme="majorBidi"/>
          <w:sz w:val="24"/>
          <w:szCs w:val="24"/>
          <w:lang w:val="nb-NO" w:eastAsia="el-GR"/>
        </w:rPr>
      </w:pPr>
    </w:p>
    <w:p w:rsidR="00F75836" w:rsidRPr="00F75836" w:rsidRDefault="00F75836" w:rsidP="00F75836">
      <w:pPr>
        <w:ind w:left="851"/>
        <w:rPr>
          <w:rFonts w:asciiTheme="majorBidi" w:hAnsiTheme="majorBidi" w:cstheme="majorBidi"/>
          <w:sz w:val="24"/>
          <w:szCs w:val="24"/>
        </w:rPr>
      </w:pPr>
      <w:r w:rsidRPr="00F75836">
        <w:rPr>
          <w:rFonts w:asciiTheme="majorBidi" w:hAnsiTheme="majorBidi"/>
          <w:sz w:val="24"/>
          <w:szCs w:val="24"/>
        </w:rPr>
        <w:t>Brugen af ropivacain 7,5 og 10 mg/ml kan være knyttet til systemiske og centrale toksiske hændelser hos børn. Lavere styrke (Ropivacaine "Noridem" 2 mg/ml) er mere passende til administration i denne patientgruppe.</w:t>
      </w:r>
    </w:p>
    <w:p w:rsidR="00F75836" w:rsidRPr="00F75836" w:rsidRDefault="00F75836" w:rsidP="00F75836">
      <w:pPr>
        <w:widowControl w:val="0"/>
        <w:ind w:left="851"/>
        <w:rPr>
          <w:rFonts w:asciiTheme="majorBidi" w:hAnsiTheme="majorBidi" w:cstheme="majorBidi"/>
          <w:color w:val="000000"/>
          <w:sz w:val="24"/>
          <w:szCs w:val="24"/>
          <w:lang w:val="nb-NO"/>
        </w:rPr>
      </w:pPr>
    </w:p>
    <w:p w:rsidR="00F75836" w:rsidRPr="00F75836" w:rsidRDefault="00F75836" w:rsidP="00F75836">
      <w:pPr>
        <w:widowControl w:val="0"/>
        <w:ind w:left="851"/>
        <w:rPr>
          <w:rFonts w:asciiTheme="majorBidi" w:hAnsiTheme="majorBidi"/>
          <w:sz w:val="24"/>
          <w:szCs w:val="24"/>
        </w:rPr>
      </w:pPr>
      <w:r w:rsidRPr="00F75836">
        <w:rPr>
          <w:rFonts w:asciiTheme="majorBidi" w:hAnsiTheme="majorBidi"/>
          <w:sz w:val="24"/>
          <w:szCs w:val="24"/>
        </w:rPr>
        <w:lastRenderedPageBreak/>
        <w:t xml:space="preserve">Brugen af ropivacain hos </w:t>
      </w:r>
      <w:bookmarkStart w:id="1" w:name="_Hlk160536866"/>
      <w:r w:rsidRPr="00F75836">
        <w:rPr>
          <w:rFonts w:asciiTheme="majorBidi" w:hAnsiTheme="majorBidi"/>
          <w:sz w:val="24"/>
          <w:szCs w:val="24"/>
        </w:rPr>
        <w:t>for tidligt fødte børn</w:t>
      </w:r>
      <w:bookmarkEnd w:id="1"/>
      <w:r w:rsidRPr="00F75836">
        <w:rPr>
          <w:rFonts w:asciiTheme="majorBidi" w:hAnsiTheme="majorBidi"/>
          <w:sz w:val="24"/>
          <w:szCs w:val="24"/>
        </w:rPr>
        <w:t xml:space="preserve"> er ikke blevet dokumenteret.</w:t>
      </w:r>
    </w:p>
    <w:p w:rsidR="00F75836" w:rsidRDefault="00F75836" w:rsidP="00F75836">
      <w:pPr>
        <w:widowControl w:val="0"/>
        <w:rPr>
          <w:rFonts w:asciiTheme="majorBidi" w:hAnsiTheme="majorBidi" w:cstheme="majorBidi"/>
          <w:lang w:val="nb-NO"/>
        </w:rPr>
      </w:pPr>
    </w:p>
    <w:p w:rsidR="00F75836" w:rsidRDefault="00F75836" w:rsidP="00F75836">
      <w:pPr>
        <w:widowControl w:val="0"/>
        <w:ind w:left="1134" w:hanging="1134"/>
        <w:rPr>
          <w:rFonts w:asciiTheme="majorBidi" w:hAnsiTheme="majorBidi" w:cstheme="majorBidi"/>
          <w:b/>
        </w:rPr>
      </w:pPr>
      <w:r>
        <w:rPr>
          <w:rFonts w:asciiTheme="majorBidi" w:hAnsiTheme="majorBidi"/>
          <w:b/>
        </w:rPr>
        <w:t>Tabel 3</w:t>
      </w:r>
      <w:r>
        <w:rPr>
          <w:rFonts w:asciiTheme="majorBidi" w:hAnsiTheme="majorBidi"/>
          <w:b/>
        </w:rPr>
        <w:tab/>
        <w:t>Perifer nerveblokade: Småbørn i alderen 1 år og børn op til 12 år</w:t>
      </w:r>
    </w:p>
    <w:p w:rsidR="00F75836" w:rsidRDefault="00F75836" w:rsidP="00F75836">
      <w:pPr>
        <w:widowControl w:val="0"/>
        <w:rPr>
          <w:rFonts w:asciiTheme="majorBidi" w:hAnsiTheme="majorBidi" w:cstheme="majorBidi"/>
          <w:lang w:val="nb-NO"/>
        </w:rPr>
      </w:pPr>
    </w:p>
    <w:tbl>
      <w:tblPr>
        <w:tblStyle w:val="Tabel-Gitter"/>
        <w:tblW w:w="9599" w:type="dxa"/>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800"/>
        <w:gridCol w:w="1774"/>
      </w:tblGrid>
      <w:tr w:rsidR="00F75836" w:rsidTr="00F75836">
        <w:trPr>
          <w:tblHeader/>
        </w:trPr>
        <w:tc>
          <w:tcPr>
            <w:tcW w:w="4225" w:type="dxa"/>
            <w:tcBorders>
              <w:top w:val="single" w:sz="12" w:space="0" w:color="auto"/>
              <w:left w:val="nil"/>
              <w:bottom w:val="single" w:sz="12" w:space="0" w:color="auto"/>
              <w:right w:val="nil"/>
            </w:tcBorders>
          </w:tcPr>
          <w:p w:rsidR="00F75836" w:rsidRDefault="00F75836">
            <w:pPr>
              <w:pStyle w:val="Default"/>
              <w:jc w:val="both"/>
              <w:rPr>
                <w:rFonts w:asciiTheme="majorBidi" w:hAnsiTheme="majorBidi" w:cstheme="majorBidi"/>
                <w:sz w:val="22"/>
                <w:szCs w:val="22"/>
                <w:lang w:val="nb-NO"/>
              </w:rPr>
            </w:pPr>
          </w:p>
        </w:tc>
        <w:tc>
          <w:tcPr>
            <w:tcW w:w="1800"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sz w:val="22"/>
              </w:rPr>
            </w:pPr>
            <w:r>
              <w:rPr>
                <w:rFonts w:asciiTheme="majorBidi" w:hAnsiTheme="majorBidi"/>
                <w:b/>
                <w:color w:val="000000"/>
              </w:rPr>
              <w:t>Konc.</w:t>
            </w:r>
          </w:p>
          <w:p w:rsidR="00F75836" w:rsidRDefault="00F75836">
            <w:pPr>
              <w:widowControl w:val="0"/>
              <w:jc w:val="center"/>
              <w:rPr>
                <w:rFonts w:asciiTheme="majorBidi" w:hAnsiTheme="majorBidi" w:cstheme="majorBidi"/>
                <w:b/>
                <w:bCs/>
              </w:rPr>
            </w:pPr>
            <w:r>
              <w:rPr>
                <w:rFonts w:asciiTheme="majorBidi" w:hAnsiTheme="majorBidi"/>
                <w:b/>
                <w:color w:val="000000"/>
              </w:rPr>
              <w:t>mg/ml</w:t>
            </w:r>
          </w:p>
        </w:tc>
        <w:tc>
          <w:tcPr>
            <w:tcW w:w="1800"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rPr>
            </w:pPr>
            <w:r>
              <w:rPr>
                <w:rFonts w:asciiTheme="majorBidi" w:hAnsiTheme="majorBidi"/>
                <w:b/>
                <w:color w:val="000000"/>
              </w:rPr>
              <w:t>Volumen</w:t>
            </w:r>
          </w:p>
          <w:p w:rsidR="00F75836" w:rsidRDefault="00F75836">
            <w:pPr>
              <w:widowControl w:val="0"/>
              <w:jc w:val="center"/>
              <w:rPr>
                <w:rFonts w:asciiTheme="majorBidi" w:hAnsiTheme="majorBidi" w:cstheme="majorBidi"/>
                <w:b/>
                <w:bCs/>
              </w:rPr>
            </w:pPr>
            <w:r>
              <w:rPr>
                <w:rFonts w:asciiTheme="majorBidi" w:hAnsiTheme="majorBidi"/>
                <w:b/>
                <w:color w:val="000000"/>
              </w:rPr>
              <w:t>ml/kg</w:t>
            </w:r>
          </w:p>
        </w:tc>
        <w:tc>
          <w:tcPr>
            <w:tcW w:w="1774" w:type="dxa"/>
            <w:tcBorders>
              <w:top w:val="single" w:sz="12" w:space="0" w:color="auto"/>
              <w:left w:val="nil"/>
              <w:bottom w:val="single" w:sz="12" w:space="0" w:color="auto"/>
              <w:right w:val="nil"/>
            </w:tcBorders>
            <w:hideMark/>
          </w:tcPr>
          <w:p w:rsidR="00F75836" w:rsidRDefault="00F75836">
            <w:pPr>
              <w:widowControl w:val="0"/>
              <w:jc w:val="center"/>
              <w:rPr>
                <w:rFonts w:asciiTheme="majorBidi" w:hAnsiTheme="majorBidi" w:cstheme="majorBidi"/>
                <w:b/>
                <w:bCs/>
              </w:rPr>
            </w:pPr>
            <w:r>
              <w:rPr>
                <w:rFonts w:asciiTheme="majorBidi" w:hAnsiTheme="majorBidi"/>
                <w:b/>
                <w:color w:val="000000"/>
              </w:rPr>
              <w:t>Dosis</w:t>
            </w:r>
          </w:p>
          <w:p w:rsidR="00F75836" w:rsidRDefault="00F75836">
            <w:pPr>
              <w:widowControl w:val="0"/>
              <w:jc w:val="center"/>
              <w:rPr>
                <w:rFonts w:asciiTheme="majorBidi" w:hAnsiTheme="majorBidi" w:cstheme="majorBidi"/>
                <w:b/>
                <w:bCs/>
              </w:rPr>
            </w:pPr>
            <w:r>
              <w:rPr>
                <w:rFonts w:asciiTheme="majorBidi" w:hAnsiTheme="majorBidi"/>
                <w:b/>
                <w:color w:val="000000"/>
              </w:rPr>
              <w:t>mg/kg</w:t>
            </w:r>
          </w:p>
        </w:tc>
      </w:tr>
      <w:tr w:rsidR="00F75836" w:rsidTr="00F75836">
        <w:tc>
          <w:tcPr>
            <w:tcW w:w="9599" w:type="dxa"/>
            <w:gridSpan w:val="4"/>
            <w:tcBorders>
              <w:top w:val="single" w:sz="4" w:space="0" w:color="auto"/>
              <w:left w:val="nil"/>
              <w:bottom w:val="nil"/>
              <w:right w:val="nil"/>
            </w:tcBorders>
            <w:hideMark/>
          </w:tcPr>
          <w:p w:rsidR="00F75836" w:rsidRDefault="00F75836">
            <w:pPr>
              <w:widowControl w:val="0"/>
              <w:rPr>
                <w:rFonts w:asciiTheme="majorBidi" w:hAnsiTheme="majorBidi" w:cstheme="majorBidi"/>
                <w:b/>
              </w:rPr>
            </w:pPr>
            <w:r>
              <w:rPr>
                <w:rFonts w:asciiTheme="majorBidi" w:hAnsiTheme="majorBidi"/>
                <w:b/>
              </w:rPr>
              <w:t xml:space="preserve">AKUT SMERTEBEHANDLING </w:t>
            </w:r>
          </w:p>
          <w:p w:rsidR="00F75836" w:rsidRDefault="00F75836">
            <w:pPr>
              <w:widowControl w:val="0"/>
              <w:rPr>
                <w:rFonts w:asciiTheme="majorBidi" w:hAnsiTheme="majorBidi" w:cstheme="majorBidi"/>
              </w:rPr>
            </w:pPr>
            <w:r>
              <w:rPr>
                <w:rFonts w:asciiTheme="majorBidi" w:hAnsiTheme="majorBidi"/>
                <w:b/>
              </w:rPr>
              <w:t>(per</w:t>
            </w:r>
            <w:r>
              <w:rPr>
                <w:rFonts w:asciiTheme="majorBidi" w:hAnsiTheme="majorBidi"/>
                <w:b/>
                <w:color w:val="000000"/>
              </w:rPr>
              <w:t>- og postoperativ)</w:t>
            </w:r>
          </w:p>
        </w:tc>
      </w:tr>
      <w:tr w:rsidR="00F75836" w:rsidTr="00F75836">
        <w:trPr>
          <w:trHeight w:val="1107"/>
        </w:trPr>
        <w:tc>
          <w:tcPr>
            <w:tcW w:w="4225" w:type="dxa"/>
            <w:tcBorders>
              <w:top w:val="nil"/>
              <w:left w:val="nil"/>
              <w:bottom w:val="nil"/>
              <w:right w:val="nil"/>
            </w:tcBorders>
            <w:hideMark/>
          </w:tcPr>
          <w:p w:rsidR="00F75836" w:rsidRDefault="00F75836">
            <w:pPr>
              <w:rPr>
                <w:rFonts w:asciiTheme="majorBidi" w:hAnsiTheme="majorBidi" w:cstheme="majorBidi"/>
              </w:rPr>
            </w:pPr>
            <w:r>
              <w:rPr>
                <w:rFonts w:asciiTheme="majorBidi" w:hAnsiTheme="majorBidi"/>
                <w:b/>
              </w:rPr>
              <w:t>Enkelte injektioner til perifer nerveblokade</w:t>
            </w:r>
            <w:r>
              <w:rPr>
                <w:rFonts w:asciiTheme="majorBidi" w:hAnsiTheme="majorBidi"/>
              </w:rPr>
              <w:t xml:space="preserve"> </w:t>
            </w:r>
          </w:p>
          <w:p w:rsidR="00F75836" w:rsidRDefault="00F75836">
            <w:pPr>
              <w:rPr>
                <w:rFonts w:asciiTheme="majorBidi" w:hAnsiTheme="majorBidi" w:cstheme="majorBidi"/>
              </w:rPr>
            </w:pPr>
            <w:r>
              <w:rPr>
                <w:rFonts w:asciiTheme="majorBidi" w:hAnsiTheme="majorBidi"/>
              </w:rPr>
              <w:t>f.eks. ilioinguinal nerveblokade, brachial plexus blokade, fascia iliaca compartment-blokade</w:t>
            </w:r>
          </w:p>
        </w:tc>
        <w:tc>
          <w:tcPr>
            <w:tcW w:w="1800" w:type="dxa"/>
            <w:tcBorders>
              <w:top w:val="nil"/>
              <w:left w:val="nil"/>
              <w:bottom w:val="nil"/>
              <w:right w:val="nil"/>
            </w:tcBorders>
            <w:hideMark/>
          </w:tcPr>
          <w:p w:rsidR="00F75836" w:rsidRDefault="00F75836">
            <w:pPr>
              <w:pStyle w:val="Default"/>
              <w:jc w:val="center"/>
              <w:rPr>
                <w:rFonts w:asciiTheme="majorBidi" w:hAnsiTheme="majorBidi" w:cstheme="majorBidi"/>
                <w:sz w:val="22"/>
                <w:szCs w:val="22"/>
              </w:rPr>
            </w:pPr>
            <w:r>
              <w:rPr>
                <w:rFonts w:asciiTheme="majorBidi" w:hAnsiTheme="majorBidi"/>
              </w:rPr>
              <w:t>2,0</w:t>
            </w:r>
          </w:p>
        </w:tc>
        <w:tc>
          <w:tcPr>
            <w:tcW w:w="1800" w:type="dxa"/>
            <w:tcBorders>
              <w:top w:val="nil"/>
              <w:left w:val="nil"/>
              <w:bottom w:val="nil"/>
              <w:right w:val="nil"/>
            </w:tcBorders>
            <w:hideMark/>
          </w:tcPr>
          <w:p w:rsidR="00F75836" w:rsidRDefault="00F75836">
            <w:pPr>
              <w:pStyle w:val="Default"/>
              <w:jc w:val="center"/>
              <w:rPr>
                <w:rFonts w:asciiTheme="majorBidi" w:hAnsiTheme="majorBidi" w:cstheme="majorBidi"/>
                <w:sz w:val="22"/>
                <w:szCs w:val="22"/>
              </w:rPr>
            </w:pPr>
            <w:r>
              <w:rPr>
                <w:rFonts w:asciiTheme="majorBidi" w:hAnsiTheme="majorBidi"/>
              </w:rPr>
              <w:t>0,5</w:t>
            </w:r>
            <w:r>
              <w:noBreakHyphen/>
            </w:r>
            <w:r>
              <w:rPr>
                <w:rFonts w:asciiTheme="majorBidi" w:hAnsiTheme="majorBidi"/>
              </w:rPr>
              <w:t>0,75</w:t>
            </w:r>
          </w:p>
        </w:tc>
        <w:tc>
          <w:tcPr>
            <w:tcW w:w="1774" w:type="dxa"/>
            <w:tcBorders>
              <w:top w:val="nil"/>
              <w:left w:val="nil"/>
              <w:bottom w:val="nil"/>
              <w:right w:val="nil"/>
            </w:tcBorders>
            <w:hideMark/>
          </w:tcPr>
          <w:p w:rsidR="00F75836" w:rsidRDefault="00F75836">
            <w:pPr>
              <w:widowControl w:val="0"/>
              <w:jc w:val="center"/>
              <w:rPr>
                <w:rFonts w:asciiTheme="majorBidi" w:hAnsiTheme="majorBidi" w:cstheme="majorBidi"/>
                <w:sz w:val="22"/>
              </w:rPr>
            </w:pPr>
            <w:r>
              <w:rPr>
                <w:rFonts w:asciiTheme="majorBidi" w:hAnsiTheme="majorBidi"/>
              </w:rPr>
              <w:t>1,0</w:t>
            </w:r>
            <w:r>
              <w:noBreakHyphen/>
            </w:r>
            <w:r>
              <w:rPr>
                <w:rFonts w:asciiTheme="majorBidi" w:hAnsiTheme="majorBidi"/>
              </w:rPr>
              <w:t>1,5</w:t>
            </w:r>
          </w:p>
        </w:tc>
      </w:tr>
      <w:tr w:rsidR="00F75836" w:rsidTr="00F75836">
        <w:trPr>
          <w:trHeight w:val="386"/>
        </w:trPr>
        <w:tc>
          <w:tcPr>
            <w:tcW w:w="4225" w:type="dxa"/>
            <w:tcBorders>
              <w:top w:val="nil"/>
              <w:left w:val="nil"/>
              <w:bottom w:val="nil"/>
              <w:right w:val="nil"/>
            </w:tcBorders>
            <w:hideMark/>
          </w:tcPr>
          <w:p w:rsidR="00F75836" w:rsidRDefault="00F75836">
            <w:pPr>
              <w:widowControl w:val="0"/>
              <w:jc w:val="both"/>
              <w:rPr>
                <w:rFonts w:asciiTheme="majorBidi" w:hAnsiTheme="majorBidi" w:cstheme="majorBidi"/>
              </w:rPr>
            </w:pPr>
            <w:r>
              <w:rPr>
                <w:rFonts w:asciiTheme="majorBidi" w:hAnsiTheme="majorBidi"/>
                <w:color w:val="000000"/>
              </w:rPr>
              <w:t>flere blokader</w:t>
            </w:r>
          </w:p>
        </w:tc>
        <w:tc>
          <w:tcPr>
            <w:tcW w:w="1800" w:type="dxa"/>
            <w:tcBorders>
              <w:top w:val="nil"/>
              <w:left w:val="nil"/>
              <w:bottom w:val="nil"/>
              <w:right w:val="nil"/>
            </w:tcBorders>
            <w:hideMark/>
          </w:tcPr>
          <w:p w:rsidR="00F75836" w:rsidRDefault="00F75836">
            <w:pPr>
              <w:widowControl w:val="0"/>
              <w:jc w:val="center"/>
              <w:rPr>
                <w:rFonts w:asciiTheme="majorBidi" w:hAnsiTheme="majorBidi" w:cstheme="majorBidi"/>
              </w:rPr>
            </w:pPr>
            <w:r>
              <w:rPr>
                <w:rFonts w:asciiTheme="majorBidi" w:hAnsiTheme="majorBidi"/>
                <w:color w:val="000000"/>
              </w:rPr>
              <w:t>2,0</w:t>
            </w:r>
          </w:p>
        </w:tc>
        <w:tc>
          <w:tcPr>
            <w:tcW w:w="1800" w:type="dxa"/>
            <w:tcBorders>
              <w:top w:val="nil"/>
              <w:left w:val="nil"/>
              <w:bottom w:val="nil"/>
              <w:right w:val="nil"/>
            </w:tcBorders>
            <w:hideMark/>
          </w:tcPr>
          <w:p w:rsidR="00F75836" w:rsidRDefault="00F75836">
            <w:pPr>
              <w:widowControl w:val="0"/>
              <w:jc w:val="center"/>
              <w:rPr>
                <w:rFonts w:asciiTheme="majorBidi" w:hAnsiTheme="majorBidi" w:cstheme="majorBidi"/>
              </w:rPr>
            </w:pPr>
            <w:r>
              <w:rPr>
                <w:rFonts w:asciiTheme="majorBidi" w:hAnsiTheme="majorBidi"/>
                <w:color w:val="000000"/>
              </w:rPr>
              <w:t>0,5</w:t>
            </w:r>
            <w:r>
              <w:rPr>
                <w:color w:val="000000"/>
              </w:rPr>
              <w:noBreakHyphen/>
            </w:r>
            <w:r>
              <w:rPr>
                <w:rFonts w:asciiTheme="majorBidi" w:hAnsiTheme="majorBidi"/>
                <w:color w:val="000000"/>
              </w:rPr>
              <w:t>1,5</w:t>
            </w:r>
          </w:p>
        </w:tc>
        <w:tc>
          <w:tcPr>
            <w:tcW w:w="1774" w:type="dxa"/>
            <w:tcBorders>
              <w:top w:val="nil"/>
              <w:left w:val="nil"/>
              <w:bottom w:val="nil"/>
              <w:right w:val="nil"/>
            </w:tcBorders>
          </w:tcPr>
          <w:p w:rsidR="00F75836" w:rsidRDefault="00F75836">
            <w:pPr>
              <w:widowControl w:val="0"/>
              <w:jc w:val="center"/>
              <w:rPr>
                <w:rFonts w:asciiTheme="majorBidi" w:hAnsiTheme="majorBidi" w:cstheme="majorBidi"/>
              </w:rPr>
            </w:pPr>
            <w:r>
              <w:rPr>
                <w:rFonts w:asciiTheme="majorBidi" w:hAnsiTheme="majorBidi"/>
              </w:rPr>
              <w:t>1,0</w:t>
            </w:r>
            <w:r>
              <w:noBreakHyphen/>
            </w:r>
            <w:r>
              <w:rPr>
                <w:rFonts w:asciiTheme="majorBidi" w:hAnsiTheme="majorBidi"/>
              </w:rPr>
              <w:t>3,0</w:t>
            </w:r>
          </w:p>
          <w:p w:rsidR="00F75836" w:rsidRDefault="00F75836">
            <w:pPr>
              <w:pStyle w:val="Default"/>
              <w:jc w:val="center"/>
              <w:rPr>
                <w:rFonts w:asciiTheme="majorBidi" w:hAnsiTheme="majorBidi" w:cstheme="majorBidi"/>
                <w:sz w:val="22"/>
                <w:szCs w:val="22"/>
                <w:lang w:val="en-GB"/>
              </w:rPr>
            </w:pPr>
          </w:p>
        </w:tc>
      </w:tr>
      <w:tr w:rsidR="00F75836" w:rsidTr="00F75836">
        <w:trPr>
          <w:trHeight w:val="872"/>
        </w:trPr>
        <w:tc>
          <w:tcPr>
            <w:tcW w:w="4225" w:type="dxa"/>
            <w:tcBorders>
              <w:top w:val="nil"/>
              <w:left w:val="nil"/>
              <w:bottom w:val="single" w:sz="12" w:space="0" w:color="auto"/>
              <w:right w:val="nil"/>
            </w:tcBorders>
            <w:hideMark/>
          </w:tcPr>
          <w:p w:rsidR="00F75836" w:rsidRDefault="00F75836">
            <w:pPr>
              <w:widowControl w:val="0"/>
              <w:rPr>
                <w:rFonts w:asciiTheme="majorBidi" w:hAnsiTheme="majorBidi" w:cstheme="majorBidi"/>
                <w:b/>
                <w:sz w:val="22"/>
              </w:rPr>
            </w:pPr>
            <w:r>
              <w:rPr>
                <w:rFonts w:asciiTheme="majorBidi" w:hAnsiTheme="majorBidi"/>
                <w:b/>
                <w:color w:val="000000"/>
              </w:rPr>
              <w:t>Kontinuerlig infusion til perifer nerveblokade</w:t>
            </w:r>
          </w:p>
          <w:p w:rsidR="00F75836" w:rsidRDefault="00F75836">
            <w:pPr>
              <w:widowControl w:val="0"/>
              <w:jc w:val="both"/>
            </w:pPr>
            <w:r>
              <w:rPr>
                <w:rFonts w:asciiTheme="majorBidi" w:hAnsiTheme="majorBidi"/>
              </w:rPr>
              <w:t>Infusion op til 72 timer</w:t>
            </w:r>
          </w:p>
        </w:tc>
        <w:tc>
          <w:tcPr>
            <w:tcW w:w="1800" w:type="dxa"/>
            <w:tcBorders>
              <w:top w:val="nil"/>
              <w:left w:val="nil"/>
              <w:bottom w:val="single" w:sz="12" w:space="0" w:color="auto"/>
              <w:right w:val="nil"/>
            </w:tcBorders>
            <w:hideMark/>
          </w:tcPr>
          <w:p w:rsidR="00F75836" w:rsidRDefault="00F75836">
            <w:pPr>
              <w:widowControl w:val="0"/>
              <w:jc w:val="center"/>
              <w:rPr>
                <w:rFonts w:asciiTheme="majorBidi" w:hAnsiTheme="majorBidi" w:cstheme="majorBidi"/>
              </w:rPr>
            </w:pPr>
            <w:r>
              <w:rPr>
                <w:rFonts w:asciiTheme="majorBidi" w:hAnsiTheme="majorBidi"/>
                <w:color w:val="000000"/>
              </w:rPr>
              <w:t>2,0</w:t>
            </w:r>
          </w:p>
        </w:tc>
        <w:tc>
          <w:tcPr>
            <w:tcW w:w="1800" w:type="dxa"/>
            <w:tcBorders>
              <w:top w:val="nil"/>
              <w:left w:val="nil"/>
              <w:bottom w:val="single" w:sz="12" w:space="0" w:color="auto"/>
              <w:right w:val="nil"/>
            </w:tcBorders>
            <w:hideMark/>
          </w:tcPr>
          <w:p w:rsidR="00F75836" w:rsidRDefault="00F75836">
            <w:pPr>
              <w:widowControl w:val="0"/>
              <w:jc w:val="center"/>
              <w:rPr>
                <w:rFonts w:asciiTheme="majorBidi" w:hAnsiTheme="majorBidi"/>
                <w:color w:val="000000"/>
              </w:rPr>
            </w:pPr>
            <w:r>
              <w:rPr>
                <w:color w:val="000000"/>
              </w:rPr>
              <w:t>0,1</w:t>
            </w:r>
            <w:r>
              <w:rPr>
                <w:rFonts w:asciiTheme="majorBidi" w:hAnsiTheme="majorBidi"/>
                <w:color w:val="000000"/>
              </w:rPr>
              <w:noBreakHyphen/>
              <w:t xml:space="preserve">0,3 </w:t>
            </w:r>
          </w:p>
          <w:p w:rsidR="00F75836" w:rsidRDefault="00F75836">
            <w:pPr>
              <w:widowControl w:val="0"/>
              <w:jc w:val="center"/>
              <w:rPr>
                <w:rFonts w:asciiTheme="majorBidi" w:hAnsiTheme="majorBidi" w:cstheme="majorBidi"/>
              </w:rPr>
            </w:pPr>
            <w:r>
              <w:rPr>
                <w:rFonts w:asciiTheme="majorBidi" w:hAnsiTheme="majorBidi"/>
                <w:color w:val="000000"/>
              </w:rPr>
              <w:t>ml/kg/t</w:t>
            </w:r>
          </w:p>
        </w:tc>
        <w:tc>
          <w:tcPr>
            <w:tcW w:w="1774" w:type="dxa"/>
            <w:tcBorders>
              <w:top w:val="nil"/>
              <w:left w:val="nil"/>
              <w:bottom w:val="single" w:sz="12" w:space="0" w:color="auto"/>
              <w:right w:val="nil"/>
            </w:tcBorders>
            <w:hideMark/>
          </w:tcPr>
          <w:p w:rsidR="00F75836" w:rsidRDefault="00F75836">
            <w:pPr>
              <w:widowControl w:val="0"/>
              <w:jc w:val="center"/>
              <w:rPr>
                <w:rFonts w:asciiTheme="majorBidi" w:hAnsiTheme="majorBidi"/>
                <w:color w:val="000000"/>
              </w:rPr>
            </w:pPr>
            <w:r>
              <w:rPr>
                <w:rFonts w:asciiTheme="majorBidi" w:hAnsiTheme="majorBidi"/>
                <w:color w:val="000000"/>
              </w:rPr>
              <w:t>0,2</w:t>
            </w:r>
            <w:r>
              <w:rPr>
                <w:rFonts w:asciiTheme="majorBidi" w:hAnsiTheme="majorBidi"/>
                <w:color w:val="000000"/>
              </w:rPr>
              <w:noBreakHyphen/>
              <w:t>0,6 </w:t>
            </w:r>
          </w:p>
          <w:p w:rsidR="00F75836" w:rsidRDefault="00F75836">
            <w:pPr>
              <w:widowControl w:val="0"/>
              <w:jc w:val="center"/>
              <w:rPr>
                <w:rFonts w:asciiTheme="majorBidi" w:hAnsiTheme="majorBidi"/>
                <w:color w:val="000000"/>
              </w:rPr>
            </w:pPr>
            <w:r>
              <w:rPr>
                <w:rFonts w:asciiTheme="majorBidi" w:hAnsiTheme="majorBidi"/>
                <w:color w:val="000000"/>
              </w:rPr>
              <w:t>mg/kg/t</w:t>
            </w:r>
          </w:p>
        </w:tc>
      </w:tr>
      <w:tr w:rsidR="00F75836" w:rsidRPr="00F75836" w:rsidTr="00F75836">
        <w:trPr>
          <w:trHeight w:val="1092"/>
        </w:trPr>
        <w:tc>
          <w:tcPr>
            <w:tcW w:w="9599" w:type="dxa"/>
            <w:gridSpan w:val="4"/>
            <w:tcBorders>
              <w:top w:val="single" w:sz="4" w:space="0" w:color="auto"/>
              <w:left w:val="nil"/>
              <w:bottom w:val="nil"/>
              <w:right w:val="nil"/>
            </w:tcBorders>
            <w:hideMark/>
          </w:tcPr>
          <w:p w:rsidR="00F75836" w:rsidRPr="00F75836" w:rsidRDefault="00F75836">
            <w:pPr>
              <w:widowControl w:val="0"/>
              <w:rPr>
                <w:rFonts w:asciiTheme="majorBidi" w:hAnsiTheme="majorBidi" w:cstheme="majorBidi"/>
                <w:sz w:val="20"/>
                <w:szCs w:val="20"/>
              </w:rPr>
            </w:pPr>
            <w:r w:rsidRPr="00F75836">
              <w:rPr>
                <w:rFonts w:asciiTheme="majorBidi" w:hAnsiTheme="majorBidi"/>
                <w:sz w:val="20"/>
                <w:szCs w:val="20"/>
              </w:rPr>
              <w:t>Doserne i tabellen skal ses som retningslinjer for brug inden for pædiatrien. Der kan forekomme individuelle variationer. Det er ofte nødvendigt med en gradvis reduktion af dosis hos børn med en høj kropsvægt. Dosis skal baseres på den ideelle kropsvægt. For faktorer, der påvirker specifikke blokadeteknikker og de enkelte patientkrav henvises der til de gængse lærebøger.</w:t>
            </w:r>
          </w:p>
        </w:tc>
      </w:tr>
    </w:tbl>
    <w:p w:rsidR="00F75836" w:rsidRDefault="00F75836" w:rsidP="00F75836">
      <w:pPr>
        <w:widowControl w:val="0"/>
        <w:rPr>
          <w:rFonts w:asciiTheme="majorBidi" w:eastAsiaTheme="minorEastAsia" w:hAnsiTheme="majorBidi" w:cstheme="majorBidi"/>
          <w:sz w:val="22"/>
          <w:szCs w:val="22"/>
          <w:lang w:val="nb-NO" w:eastAsia="el-GR"/>
        </w:rPr>
      </w:pPr>
    </w:p>
    <w:p w:rsidR="00F75836" w:rsidRPr="00F75836" w:rsidRDefault="00F75836" w:rsidP="00F75836">
      <w:pPr>
        <w:widowControl w:val="0"/>
        <w:ind w:left="851"/>
        <w:rPr>
          <w:rFonts w:asciiTheme="majorBidi" w:hAnsiTheme="majorBidi"/>
          <w:sz w:val="24"/>
          <w:szCs w:val="24"/>
        </w:rPr>
      </w:pPr>
      <w:r w:rsidRPr="00F75836">
        <w:rPr>
          <w:rFonts w:asciiTheme="majorBidi" w:hAnsiTheme="majorBidi"/>
          <w:sz w:val="24"/>
          <w:szCs w:val="24"/>
        </w:rPr>
        <w:t>Enkelt injektion til perifer nerveblokade (f.eks. ilioinguinal nerveblokade, brachial plexus blokade, fascia iliaca compartment-blokade) bør ikke overstige en dosis på 2,5</w:t>
      </w:r>
      <w:r w:rsidRPr="00F75836">
        <w:rPr>
          <w:rFonts w:asciiTheme="majorBidi" w:hAnsiTheme="majorBidi"/>
          <w:sz w:val="24"/>
          <w:szCs w:val="24"/>
        </w:rPr>
        <w:noBreakHyphen/>
        <w:t>3,0 mg/kg.</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lang w:val="nb-NO"/>
        </w:rPr>
      </w:pPr>
      <w:r w:rsidRPr="00F75836">
        <w:rPr>
          <w:rFonts w:asciiTheme="majorBidi" w:hAnsiTheme="majorBidi"/>
          <w:sz w:val="24"/>
          <w:szCs w:val="24"/>
        </w:rPr>
        <w:t>Doserne af perifer blokade hos spædbørn og børn angiver retningslinjer til brug til børn uden alvorlig sygdom. Mere konservative doser og tæt monitorering er anbefalet til børn med alvorlige sygdomme.</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u w:val="single"/>
        </w:rPr>
      </w:pPr>
      <w:bookmarkStart w:id="2" w:name="_Hlk202470788"/>
      <w:r w:rsidRPr="00F75836">
        <w:rPr>
          <w:rFonts w:asciiTheme="majorBidi" w:hAnsiTheme="majorBidi"/>
          <w:sz w:val="24"/>
          <w:szCs w:val="24"/>
          <w:u w:val="single"/>
        </w:rPr>
        <w:t>Administrationsmåde</w:t>
      </w:r>
    </w:p>
    <w:bookmarkEnd w:id="2"/>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For at forhindre utilsigtet intravaskulær administration bør der foretages omhyggelig aspiration før og under injektionen. Patientens vitale funktioner skal overvåges nøje under injektionen. Injektionen skal stoppes med det samme, hvis der opstår toksiske symptomer.</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En enkelt caudal epiduralinjektion med ropivacain 2 mg/ml giver tilstrækkelig postoperativ analgesi under T12 hos størstedelen af patienterne, når der anvendes en dosis på 2 mg/kg i et volumen på 1 ml/kg. Man kan tilpasse volumenet af den caudale epidurale injektion for at ændre fordelingen af sensoriske blokader, som anbefalet i de gængse lærebøger. Hos børn over 4 år er doser på op til 3 mg/kg ropivacain i en koncentration på 3 mg/ml blevet undersøgt. Denne koncentration er dog forbundet med en højere forekomst af motorisk blokade.</w:t>
      </w:r>
    </w:p>
    <w:p w:rsidR="00F75836" w:rsidRPr="00F75836" w:rsidRDefault="00F75836" w:rsidP="00F75836">
      <w:pPr>
        <w:widowControl w:val="0"/>
        <w:ind w:left="851"/>
        <w:rPr>
          <w:rFonts w:asciiTheme="majorBidi" w:hAnsiTheme="majorBidi" w:cstheme="majorBidi"/>
          <w:sz w:val="24"/>
          <w:szCs w:val="24"/>
          <w:lang w:val="nb-NO"/>
        </w:rPr>
      </w:pPr>
    </w:p>
    <w:p w:rsidR="00F75836" w:rsidRPr="00F75836" w:rsidRDefault="00F75836" w:rsidP="00F75836">
      <w:pPr>
        <w:widowControl w:val="0"/>
        <w:ind w:left="851"/>
        <w:rPr>
          <w:rFonts w:asciiTheme="majorBidi" w:hAnsiTheme="majorBidi" w:cstheme="majorBidi"/>
          <w:sz w:val="24"/>
          <w:szCs w:val="24"/>
        </w:rPr>
      </w:pPr>
      <w:r w:rsidRPr="00F75836">
        <w:rPr>
          <w:rFonts w:asciiTheme="majorBidi" w:hAnsiTheme="majorBidi"/>
          <w:sz w:val="24"/>
          <w:szCs w:val="24"/>
        </w:rPr>
        <w:t>Uanset administrationsmåden bør den beregnede dosis lokalanæstetikum gives i fraktioner.</w:t>
      </w:r>
    </w:p>
    <w:p w:rsidR="009260DE" w:rsidRPr="00F75836" w:rsidRDefault="009260DE" w:rsidP="00F75836">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E261B1" w:rsidRPr="00E261B1" w:rsidRDefault="00E261B1" w:rsidP="00E261B1">
      <w:pPr>
        <w:tabs>
          <w:tab w:val="left" w:pos="1134"/>
        </w:tabs>
        <w:ind w:left="1134" w:hanging="283"/>
        <w:rPr>
          <w:sz w:val="24"/>
          <w:szCs w:val="24"/>
        </w:rPr>
      </w:pPr>
      <w:r w:rsidRPr="00E261B1">
        <w:rPr>
          <w:sz w:val="24"/>
          <w:szCs w:val="24"/>
        </w:rPr>
        <w:t>•</w:t>
      </w:r>
      <w:r w:rsidRPr="00E261B1">
        <w:rPr>
          <w:sz w:val="24"/>
          <w:szCs w:val="24"/>
        </w:rPr>
        <w:tab/>
        <w:t>Overfølsomhed over for ropivacain eller andre lokalanæstetika af amidtypen eller over for et eller flere af hjælpestofferne anført i pkt. 6.1.</w:t>
      </w:r>
    </w:p>
    <w:p w:rsidR="00E261B1" w:rsidRPr="00E261B1" w:rsidRDefault="00E261B1" w:rsidP="00E261B1">
      <w:pPr>
        <w:tabs>
          <w:tab w:val="left" w:pos="1134"/>
        </w:tabs>
        <w:ind w:left="1134" w:hanging="283"/>
        <w:rPr>
          <w:sz w:val="24"/>
          <w:szCs w:val="24"/>
        </w:rPr>
      </w:pPr>
      <w:r w:rsidRPr="00E261B1">
        <w:rPr>
          <w:sz w:val="24"/>
          <w:szCs w:val="24"/>
        </w:rPr>
        <w:t>•</w:t>
      </w:r>
      <w:r w:rsidRPr="00E261B1">
        <w:rPr>
          <w:sz w:val="24"/>
          <w:szCs w:val="24"/>
        </w:rPr>
        <w:tab/>
        <w:t>Generelle kontraindikationer i relation til epidural anæstesi, uanset hvilken lokal anæstesi, der anvendes, bør overvejes.</w:t>
      </w:r>
    </w:p>
    <w:p w:rsidR="00E261B1" w:rsidRPr="00E261B1" w:rsidRDefault="00E261B1" w:rsidP="00E261B1">
      <w:pPr>
        <w:tabs>
          <w:tab w:val="left" w:pos="1134"/>
        </w:tabs>
        <w:ind w:left="1134" w:hanging="283"/>
        <w:rPr>
          <w:sz w:val="24"/>
          <w:szCs w:val="24"/>
        </w:rPr>
      </w:pPr>
      <w:r w:rsidRPr="00E261B1">
        <w:rPr>
          <w:sz w:val="24"/>
          <w:szCs w:val="24"/>
        </w:rPr>
        <w:t>•</w:t>
      </w:r>
      <w:r w:rsidRPr="00E261B1">
        <w:rPr>
          <w:sz w:val="24"/>
          <w:szCs w:val="24"/>
        </w:rPr>
        <w:tab/>
        <w:t>Intravenøs regional anæstesi.</w:t>
      </w:r>
    </w:p>
    <w:p w:rsidR="00E261B1" w:rsidRPr="00E261B1" w:rsidRDefault="00E261B1" w:rsidP="00E261B1">
      <w:pPr>
        <w:tabs>
          <w:tab w:val="left" w:pos="1134"/>
        </w:tabs>
        <w:ind w:left="1134" w:hanging="283"/>
        <w:rPr>
          <w:sz w:val="24"/>
          <w:szCs w:val="24"/>
        </w:rPr>
      </w:pPr>
      <w:r w:rsidRPr="00E261B1">
        <w:rPr>
          <w:sz w:val="24"/>
          <w:szCs w:val="24"/>
        </w:rPr>
        <w:lastRenderedPageBreak/>
        <w:t>•</w:t>
      </w:r>
      <w:r w:rsidRPr="00E261B1">
        <w:rPr>
          <w:sz w:val="24"/>
          <w:szCs w:val="24"/>
        </w:rPr>
        <w:tab/>
        <w:t>Obstetrisk paracervikal anæstesi.</w:t>
      </w:r>
    </w:p>
    <w:p w:rsidR="00E261B1" w:rsidRPr="00E261B1" w:rsidRDefault="00E261B1" w:rsidP="00E261B1">
      <w:pPr>
        <w:tabs>
          <w:tab w:val="left" w:pos="1134"/>
        </w:tabs>
        <w:ind w:left="1134" w:hanging="283"/>
        <w:rPr>
          <w:sz w:val="24"/>
          <w:szCs w:val="24"/>
        </w:rPr>
      </w:pPr>
      <w:r w:rsidRPr="00E261B1">
        <w:rPr>
          <w:sz w:val="24"/>
          <w:szCs w:val="24"/>
        </w:rPr>
        <w:t>•</w:t>
      </w:r>
      <w:r w:rsidRPr="00E261B1">
        <w:rPr>
          <w:sz w:val="24"/>
          <w:szCs w:val="24"/>
        </w:rPr>
        <w:tab/>
        <w:t>Hypovolæmi</w:t>
      </w:r>
      <w:r>
        <w:rPr>
          <w:sz w:val="24"/>
          <w:szCs w:val="24"/>
        </w:rPr>
        <w: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E261B1" w:rsidRPr="00E261B1" w:rsidRDefault="00E261B1" w:rsidP="00E261B1">
      <w:pPr>
        <w:tabs>
          <w:tab w:val="left" w:pos="851"/>
        </w:tabs>
        <w:ind w:left="851"/>
        <w:rPr>
          <w:sz w:val="24"/>
          <w:szCs w:val="24"/>
        </w:rPr>
      </w:pPr>
      <w:r w:rsidRPr="00E261B1">
        <w:rPr>
          <w:sz w:val="24"/>
          <w:szCs w:val="24"/>
        </w:rPr>
        <w:t>Udførelse af regionale anæstesiteknikker skal altid foregå i et område med korrekt udstyr og uddannet personale. Udstyr og lægemidler til monitorering og genoplivning skal være let tilgængelige.</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sz w:val="24"/>
          <w:szCs w:val="24"/>
        </w:rPr>
      </w:pPr>
      <w:r w:rsidRPr="00E261B1">
        <w:rPr>
          <w:sz w:val="24"/>
          <w:szCs w:val="24"/>
        </w:rPr>
        <w:t>Patienter, der skal have en større blokade, bør være i en optimal almentilstand og have en intravenøs adgang, før blokaden påbegyndes.</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sz w:val="24"/>
          <w:szCs w:val="24"/>
        </w:rPr>
      </w:pPr>
      <w:r w:rsidRPr="00E261B1">
        <w:rPr>
          <w:sz w:val="24"/>
          <w:szCs w:val="24"/>
        </w:rPr>
        <w:t>Den ansvarlige læge bør tage de nødvendige forholdsregler for at forhindre intravaskulær injektion (se pkt. 4.2). Lægen skal være korrekt oplært i teknikkerne og bekendt med diagnosticering og behandling af bivirkninger, systemisk toksicitet og andre komplikationer (se pkt. 4.8 og 4.9), såsom utilsigtet subaraknoidal injektion, som kan medføre en større rygmarvsblokade med apnø og hypotension. Kramper er oftest optrådt efter brachial plexus blokade og epiduralblokade. Dette er sandsynligvis en følge af enten utilsigtet intravaskulær injektion eller hurtig absorption fra injektionsstedet.</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sz w:val="24"/>
          <w:szCs w:val="24"/>
        </w:rPr>
      </w:pPr>
      <w:r w:rsidRPr="00E261B1">
        <w:rPr>
          <w:sz w:val="24"/>
          <w:szCs w:val="24"/>
        </w:rPr>
        <w:t>Forsigtighed er påkrævet for at undgå injektion i inflammerede områder.</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Kardiovaskulær</w:t>
      </w:r>
    </w:p>
    <w:p w:rsidR="00E261B1" w:rsidRPr="00E261B1" w:rsidRDefault="00E261B1" w:rsidP="00E261B1">
      <w:pPr>
        <w:tabs>
          <w:tab w:val="left" w:pos="851"/>
        </w:tabs>
        <w:ind w:left="851"/>
        <w:rPr>
          <w:sz w:val="24"/>
          <w:szCs w:val="24"/>
        </w:rPr>
      </w:pPr>
      <w:r w:rsidRPr="00E261B1">
        <w:rPr>
          <w:sz w:val="24"/>
          <w:szCs w:val="24"/>
        </w:rPr>
        <w:t>Epidural og intratekal anæstesi kan føre til hypotension og bradykardi. Hypotension skal behandles med det samme intravenøst med en vasopressor og en passende vaskulær fyldning.</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bCs/>
          <w:sz w:val="24"/>
          <w:szCs w:val="24"/>
        </w:rPr>
      </w:pPr>
      <w:r w:rsidRPr="00E261B1">
        <w:rPr>
          <w:sz w:val="24"/>
          <w:szCs w:val="24"/>
        </w:rPr>
        <w:t>Patienter i behandling med anti-arytmika af klasse III-typen (f.eks. amiodaron) bør være under tæt overvågning, og EKG-monitorering skal overvejes, da hjertepåvirkninger kan være additive.</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sz w:val="24"/>
          <w:szCs w:val="24"/>
        </w:rPr>
      </w:pPr>
      <w:r w:rsidRPr="00E261B1">
        <w:rPr>
          <w:sz w:val="24"/>
          <w:szCs w:val="24"/>
        </w:rPr>
        <w:t>Der har i sjældne tilfælde været rapporteret om hjertestop under brugen af ropivacain til epidural anæstesi eller perifer nerveblokade, specielt efter utilsigtet intravaskulær injektion hos ældre patienter og hos patienter med ledsagende hjertesygdom. I nogle tilfælde har genoplivning været vanskelig. Hvis hjertestop forekommer, kan det være nødvendigt med forlænget forsøg på genoplivning for at øge chancen for et succesfuldt udfald.</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Hoved- og nakkeblokader</w:t>
      </w:r>
    </w:p>
    <w:p w:rsidR="00E261B1" w:rsidRPr="00E261B1" w:rsidRDefault="00E261B1" w:rsidP="00E261B1">
      <w:pPr>
        <w:tabs>
          <w:tab w:val="left" w:pos="851"/>
        </w:tabs>
        <w:ind w:left="851"/>
        <w:rPr>
          <w:sz w:val="24"/>
          <w:szCs w:val="24"/>
        </w:rPr>
      </w:pPr>
      <w:r w:rsidRPr="00E261B1">
        <w:rPr>
          <w:sz w:val="24"/>
          <w:szCs w:val="24"/>
        </w:rPr>
        <w:t xml:space="preserve">I visse tilfælde, f.eks. ved injektion i hoved- og halsregionen, kan lokalanæstesi-teknikker være forbundet med en øget forekomst af alvorlige bivirkninger, uafhængigt af det anvendte lokalanæstetikum. </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Større perifere nerveblokader</w:t>
      </w:r>
    </w:p>
    <w:p w:rsidR="00E261B1" w:rsidRPr="00E261B1" w:rsidRDefault="00E261B1" w:rsidP="00E261B1">
      <w:pPr>
        <w:tabs>
          <w:tab w:val="left" w:pos="851"/>
        </w:tabs>
        <w:ind w:left="851"/>
        <w:rPr>
          <w:b/>
          <w:bCs/>
          <w:sz w:val="24"/>
          <w:szCs w:val="24"/>
        </w:rPr>
      </w:pPr>
      <w:r w:rsidRPr="00E261B1">
        <w:rPr>
          <w:sz w:val="24"/>
          <w:szCs w:val="24"/>
        </w:rPr>
        <w:t>Større perifere nerveblokader kan indebære administration af et stort volumen af lokalanæstetikum i udbredt karførende områder, ofte tæt ved store blodkar, hvor der er en øget risiko for intravaskulær injektion og/eller hurtig systemisk absorption, hvilket kan medføre høje plasmakoncentrationer.</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Overfølsomhed</w:t>
      </w:r>
    </w:p>
    <w:p w:rsidR="00E261B1" w:rsidRPr="00E261B1" w:rsidRDefault="00E261B1" w:rsidP="00E261B1">
      <w:pPr>
        <w:tabs>
          <w:tab w:val="left" w:pos="851"/>
        </w:tabs>
        <w:ind w:left="851"/>
        <w:rPr>
          <w:sz w:val="24"/>
          <w:szCs w:val="24"/>
        </w:rPr>
      </w:pPr>
      <w:r w:rsidRPr="00E261B1">
        <w:rPr>
          <w:sz w:val="24"/>
          <w:szCs w:val="24"/>
        </w:rPr>
        <w:t>Der bør tages hensyn til en potentiel krydsoverfølsomhed med andre lokalanæstetika af amidtypen.</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lastRenderedPageBreak/>
        <w:t>Hypovolæmi</w:t>
      </w:r>
    </w:p>
    <w:p w:rsidR="00E261B1" w:rsidRPr="00E261B1" w:rsidRDefault="00E261B1" w:rsidP="00E261B1">
      <w:pPr>
        <w:tabs>
          <w:tab w:val="left" w:pos="851"/>
        </w:tabs>
        <w:ind w:left="851"/>
        <w:rPr>
          <w:b/>
          <w:bCs/>
          <w:sz w:val="24"/>
          <w:szCs w:val="24"/>
        </w:rPr>
      </w:pPr>
      <w:r w:rsidRPr="00E261B1">
        <w:rPr>
          <w:sz w:val="24"/>
          <w:szCs w:val="24"/>
        </w:rPr>
        <w:t>Patienter med hypovolæmi kan, uanset årsag til denne tilstand, udvikle pludselig og alvorlig hypotension under epidural anæstesi, uafhængigt af det anvendte lokalanæstetikum.</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Patienter i dårlig almentilstand</w:t>
      </w:r>
    </w:p>
    <w:p w:rsidR="00E261B1" w:rsidRPr="00E261B1" w:rsidRDefault="00E261B1" w:rsidP="00E261B1">
      <w:pPr>
        <w:tabs>
          <w:tab w:val="left" w:pos="851"/>
        </w:tabs>
        <w:ind w:left="851"/>
        <w:rPr>
          <w:b/>
          <w:bCs/>
          <w:sz w:val="24"/>
          <w:szCs w:val="24"/>
        </w:rPr>
      </w:pPr>
      <w:r w:rsidRPr="00E261B1">
        <w:rPr>
          <w:sz w:val="24"/>
          <w:szCs w:val="24"/>
        </w:rPr>
        <w:t>Patienter i dårlig almentilstand på grund af alder eller andre kompromitterende faktorer, såsom partielt eller totalt kardialt overledningsblok, fremskreden leversygdom eller stærkt nedsat nyrefunktion kræver særlig forsigtighed, selvom regional anæstesi ofte er indiceret til disse patienter.</w:t>
      </w:r>
    </w:p>
    <w:p w:rsidR="00E261B1" w:rsidRPr="00E261B1" w:rsidRDefault="00E261B1" w:rsidP="00E261B1">
      <w:pPr>
        <w:tabs>
          <w:tab w:val="left" w:pos="851"/>
        </w:tabs>
        <w:ind w:left="851"/>
        <w:rPr>
          <w:b/>
          <w:sz w:val="24"/>
          <w:szCs w:val="24"/>
          <w:lang w:val="nb-NO"/>
        </w:rPr>
      </w:pPr>
    </w:p>
    <w:p w:rsidR="00E261B1" w:rsidRPr="00E261B1" w:rsidRDefault="00E261B1" w:rsidP="00E261B1">
      <w:pPr>
        <w:tabs>
          <w:tab w:val="left" w:pos="851"/>
        </w:tabs>
        <w:ind w:left="851"/>
        <w:rPr>
          <w:b/>
          <w:sz w:val="24"/>
          <w:szCs w:val="24"/>
        </w:rPr>
      </w:pPr>
      <w:r w:rsidRPr="00E261B1">
        <w:rPr>
          <w:b/>
          <w:sz w:val="24"/>
          <w:szCs w:val="24"/>
        </w:rPr>
        <w:t>Patienter med nedsat lever- og nyrefunktion</w:t>
      </w:r>
    </w:p>
    <w:p w:rsidR="00E261B1" w:rsidRPr="00E261B1" w:rsidRDefault="00E261B1" w:rsidP="00E261B1">
      <w:pPr>
        <w:tabs>
          <w:tab w:val="left" w:pos="851"/>
        </w:tabs>
        <w:ind w:left="851"/>
        <w:rPr>
          <w:b/>
          <w:bCs/>
          <w:sz w:val="24"/>
          <w:szCs w:val="24"/>
        </w:rPr>
      </w:pPr>
      <w:r w:rsidRPr="00E261B1">
        <w:rPr>
          <w:sz w:val="24"/>
          <w:szCs w:val="24"/>
        </w:rPr>
        <w:t>Ropivacain metaboliseres i leveren og skal derfor anvendes med forsigtighed til patienter med alvorlig leversygdom. Det kan være nødvendigt at nedsætte antallet af gentagne doseringer på grund af forsinket elimination. Det er sædvanligvis ikke nødvendigt at ændre dosis til patienter med nedsat nyrefunktion, når det gives som enkelte doser eller som korttidsbehandling. Acidose og reduceret plasmaproteinkoncentration, som ofte ses hos patienter med kronisk nyresvigt, kan øge risikoen for systemisk toksicitet.</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Akut porfyri</w:t>
      </w:r>
    </w:p>
    <w:p w:rsidR="00E261B1" w:rsidRPr="00E261B1" w:rsidRDefault="00E261B1" w:rsidP="00E261B1">
      <w:pPr>
        <w:tabs>
          <w:tab w:val="left" w:pos="851"/>
        </w:tabs>
        <w:ind w:left="851"/>
        <w:rPr>
          <w:sz w:val="24"/>
          <w:szCs w:val="24"/>
        </w:rPr>
      </w:pPr>
      <w:r w:rsidRPr="00E261B1">
        <w:rPr>
          <w:sz w:val="24"/>
          <w:szCs w:val="24"/>
        </w:rPr>
        <w:t>Ropivacain er muligvis porfyrint og bør kun ordineres til patienter med akut porfyri, når der ikke findes noget sikrere alternativ.</w:t>
      </w:r>
    </w:p>
    <w:p w:rsidR="00E261B1" w:rsidRPr="00E261B1" w:rsidRDefault="00E261B1" w:rsidP="00E261B1">
      <w:pPr>
        <w:tabs>
          <w:tab w:val="left" w:pos="851"/>
        </w:tabs>
        <w:ind w:left="851"/>
        <w:rPr>
          <w:b/>
          <w:bCs/>
          <w:sz w:val="24"/>
          <w:szCs w:val="24"/>
        </w:rPr>
      </w:pPr>
      <w:r w:rsidRPr="00E261B1">
        <w:rPr>
          <w:sz w:val="24"/>
          <w:szCs w:val="24"/>
        </w:rPr>
        <w:t>Der bør tages passende forholdsregler hos sårbare patienter i henhold til gængse lærebøger og/eller ved konsultation med eksperter inden for sygdomsområdet.</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Kondrolyse</w:t>
      </w:r>
    </w:p>
    <w:p w:rsidR="00E261B1" w:rsidRPr="00E261B1" w:rsidRDefault="00E261B1" w:rsidP="00E261B1">
      <w:pPr>
        <w:tabs>
          <w:tab w:val="left" w:pos="851"/>
        </w:tabs>
        <w:ind w:left="851"/>
        <w:rPr>
          <w:b/>
          <w:bCs/>
          <w:sz w:val="24"/>
          <w:szCs w:val="24"/>
        </w:rPr>
      </w:pPr>
      <w:r w:rsidRPr="00E261B1">
        <w:rPr>
          <w:sz w:val="24"/>
          <w:szCs w:val="24"/>
        </w:rPr>
        <w:t>Der er efter markedsføring blevet rapporteret om kondrolyse hos patienter, der havde modtaget postoperativ, kontinuerlig intraartikulær infusion med lokalanæstetika (inklusiv ropivacain). Størstedelen af de indberettede tilfælde af kondrolyse involverede skulderleddet. Kontinuerlig intraartikulær infusion er ikke en godkendt indikation for ropivacain. Kontinuerlig intraartikulær infusion med ropivacain bør undgås, da virkning og sikkerhed ikke er klarlagt.</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Hjælpestoffer med virkning/effekt</w:t>
      </w:r>
    </w:p>
    <w:p w:rsidR="00E261B1" w:rsidRPr="00E261B1" w:rsidRDefault="00E261B1" w:rsidP="00E261B1">
      <w:pPr>
        <w:tabs>
          <w:tab w:val="left" w:pos="851"/>
        </w:tabs>
        <w:ind w:left="851"/>
        <w:rPr>
          <w:sz w:val="24"/>
          <w:szCs w:val="24"/>
        </w:rPr>
      </w:pPr>
      <w:r w:rsidRPr="00E261B1">
        <w:rPr>
          <w:sz w:val="24"/>
          <w:szCs w:val="24"/>
        </w:rPr>
        <w:t>100 ml pose eller flaske: Dette lægemiddel indeholder 338 mg natrium pr. pose eller flaske, svarende til 16,9 % af den WHO-anbefalede maksimale daglige indtagelse på 2 g natrium for en voksen.</w:t>
      </w:r>
    </w:p>
    <w:p w:rsidR="00E261B1" w:rsidRPr="00E261B1" w:rsidRDefault="00E261B1" w:rsidP="00E261B1">
      <w:pPr>
        <w:tabs>
          <w:tab w:val="left" w:pos="851"/>
        </w:tabs>
        <w:ind w:left="851"/>
        <w:rPr>
          <w:sz w:val="24"/>
          <w:szCs w:val="24"/>
        </w:rPr>
      </w:pPr>
      <w:r w:rsidRPr="00E261B1">
        <w:rPr>
          <w:sz w:val="24"/>
          <w:szCs w:val="24"/>
        </w:rPr>
        <w:t>200 ml pose eller flaske: Dette lægemiddel indeholder 676 mg natrium pr. pose eller flaske, svarende til 33,8 % af den WHO-anbefalede maksimale daglige indtagelse på 2 g natrium for en voksen</w:t>
      </w:r>
    </w:p>
    <w:p w:rsidR="00E261B1" w:rsidRPr="00E261B1" w:rsidRDefault="00E261B1" w:rsidP="00E261B1">
      <w:pPr>
        <w:tabs>
          <w:tab w:val="left" w:pos="851"/>
        </w:tabs>
        <w:ind w:left="851"/>
        <w:rPr>
          <w:sz w:val="24"/>
          <w:szCs w:val="24"/>
        </w:rPr>
      </w:pPr>
      <w:r w:rsidRPr="00E261B1">
        <w:rPr>
          <w:sz w:val="24"/>
          <w:szCs w:val="24"/>
        </w:rPr>
        <w:t>Dette bør overvejes, hvis du følger en diæt med begrænset natriumindtag.</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
          <w:sz w:val="24"/>
          <w:szCs w:val="24"/>
        </w:rPr>
      </w:pPr>
      <w:r w:rsidRPr="00E261B1">
        <w:rPr>
          <w:b/>
          <w:sz w:val="24"/>
          <w:szCs w:val="24"/>
        </w:rPr>
        <w:t>Længerevarende administration</w:t>
      </w:r>
    </w:p>
    <w:p w:rsidR="00E261B1" w:rsidRPr="00E261B1" w:rsidRDefault="00E261B1" w:rsidP="00E261B1">
      <w:pPr>
        <w:tabs>
          <w:tab w:val="left" w:pos="851"/>
        </w:tabs>
        <w:ind w:left="851"/>
        <w:rPr>
          <w:b/>
          <w:bCs/>
          <w:sz w:val="24"/>
          <w:szCs w:val="24"/>
        </w:rPr>
      </w:pPr>
      <w:r w:rsidRPr="00E261B1">
        <w:rPr>
          <w:sz w:val="24"/>
          <w:szCs w:val="24"/>
        </w:rPr>
        <w:t>Længerevarende administration af ropivacain bør undgås hos patienter i samtidig behandling med stærke CYP1A2-hæmmere, som f.eks. fluvoxamin og enoxacin (se pkt. 4.5).</w:t>
      </w:r>
    </w:p>
    <w:p w:rsidR="00E261B1" w:rsidRPr="00E261B1" w:rsidRDefault="00E261B1" w:rsidP="00E261B1">
      <w:pPr>
        <w:tabs>
          <w:tab w:val="left" w:pos="851"/>
        </w:tabs>
        <w:ind w:left="851"/>
        <w:rPr>
          <w:sz w:val="24"/>
          <w:szCs w:val="24"/>
          <w:lang w:val="nb-NO"/>
        </w:rPr>
      </w:pPr>
    </w:p>
    <w:p w:rsidR="00E261B1" w:rsidRPr="00E261B1" w:rsidRDefault="00E261B1" w:rsidP="00E261B1">
      <w:pPr>
        <w:tabs>
          <w:tab w:val="left" w:pos="851"/>
        </w:tabs>
        <w:ind w:left="851"/>
        <w:rPr>
          <w:bCs/>
          <w:sz w:val="24"/>
          <w:szCs w:val="24"/>
          <w:u w:val="single"/>
        </w:rPr>
      </w:pPr>
      <w:r w:rsidRPr="00E261B1">
        <w:rPr>
          <w:sz w:val="24"/>
          <w:szCs w:val="24"/>
          <w:u w:val="single"/>
        </w:rPr>
        <w:t>Pædiatrisk patientgruppe</w:t>
      </w:r>
    </w:p>
    <w:p w:rsidR="00E261B1" w:rsidRPr="00E261B1" w:rsidRDefault="00E261B1" w:rsidP="00E261B1">
      <w:pPr>
        <w:tabs>
          <w:tab w:val="left" w:pos="851"/>
        </w:tabs>
        <w:ind w:left="851"/>
        <w:rPr>
          <w:sz w:val="24"/>
          <w:szCs w:val="24"/>
        </w:rPr>
      </w:pPr>
      <w:r w:rsidRPr="00E261B1">
        <w:rPr>
          <w:sz w:val="24"/>
          <w:szCs w:val="24"/>
        </w:rPr>
        <w:t xml:space="preserve">Nyfødte kan have behov for særlig opmærksomhed på grund af umodne metaboliske veje. I kliniske studier hos nyfødte er der set større variationer i ropivacains </w:t>
      </w:r>
      <w:r w:rsidRPr="00E261B1">
        <w:rPr>
          <w:sz w:val="24"/>
          <w:szCs w:val="24"/>
        </w:rPr>
        <w:lastRenderedPageBreak/>
        <w:t>plasmakoncentrationer som indikerer, at der kan være en forøget risiko for systemisk toksicitet i denne aldersgruppe, særligt under kontinuerlig epidural infusion.</w:t>
      </w:r>
    </w:p>
    <w:p w:rsidR="00E261B1" w:rsidRPr="00E261B1" w:rsidRDefault="00E261B1" w:rsidP="00E261B1">
      <w:pPr>
        <w:tabs>
          <w:tab w:val="left" w:pos="851"/>
        </w:tabs>
        <w:ind w:left="851"/>
        <w:rPr>
          <w:sz w:val="24"/>
          <w:szCs w:val="24"/>
        </w:rPr>
      </w:pPr>
      <w:r w:rsidRPr="00E261B1">
        <w:rPr>
          <w:sz w:val="24"/>
          <w:szCs w:val="24"/>
        </w:rPr>
        <w:t>Den anbefalede dosis til nyfødte er baseret på begrænsede kliniske data. Når ropivacain anvendes til denne patientgruppe, er det nødvendigt med regelmæssig overvågning af systemisk toksicitet (f.eks. ved tegn på CNS-forgiftning, ECG, SpO2) og lokal neurotoksicitet (f.eks. længerevarende restitution), hvilket bør fortsættes efter endt infusion på grund af langsom eliminering hos nyfødte.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73049E" w:rsidRPr="0073049E" w:rsidRDefault="0073049E" w:rsidP="0073049E">
      <w:pPr>
        <w:tabs>
          <w:tab w:val="left" w:pos="851"/>
        </w:tabs>
        <w:ind w:left="851"/>
        <w:rPr>
          <w:sz w:val="24"/>
          <w:szCs w:val="24"/>
        </w:rPr>
      </w:pPr>
      <w:r w:rsidRPr="0073049E">
        <w:rPr>
          <w:sz w:val="24"/>
          <w:szCs w:val="24"/>
        </w:rPr>
        <w:t>Ropivacain skal anvendes med forsigtighed til patienter, der får andre lokalanæstetika eller lægemidler, der strukturelt er relateret til lokalanæstetika af amidtypen, f.eks. visse antiarytmika, som lidocain og mexiletin, eftersom de systemiske toksiske virkninger er additive. Samtidig anvendelse af ropivacain og midler til generel anæstesi eller opioider kan forstærke de enkelte lægemidlers (bi)virkninger. Specifikke interaktionsstudier med ropivacain og anti-arytmika af klasse III-typen (f.eks. amiodaron) er ikke foretaget, men forsigtighed tilrådes (se pkt. 4.4).</w:t>
      </w:r>
    </w:p>
    <w:p w:rsidR="0073049E" w:rsidRPr="0073049E" w:rsidRDefault="0073049E" w:rsidP="0073049E">
      <w:pPr>
        <w:tabs>
          <w:tab w:val="left" w:pos="851"/>
        </w:tabs>
        <w:ind w:left="851"/>
        <w:rPr>
          <w:sz w:val="24"/>
          <w:szCs w:val="24"/>
          <w:lang w:val="nb-NO"/>
        </w:rPr>
      </w:pPr>
    </w:p>
    <w:p w:rsidR="0073049E" w:rsidRPr="0073049E" w:rsidRDefault="0073049E" w:rsidP="0073049E">
      <w:pPr>
        <w:tabs>
          <w:tab w:val="left" w:pos="851"/>
        </w:tabs>
        <w:ind w:left="851"/>
        <w:rPr>
          <w:sz w:val="24"/>
          <w:szCs w:val="24"/>
        </w:rPr>
      </w:pPr>
      <w:r w:rsidRPr="0073049E">
        <w:rPr>
          <w:sz w:val="24"/>
          <w:szCs w:val="24"/>
        </w:rPr>
        <w:t xml:space="preserve">Cytochrom P450 (CYP) 1A2 indgår i dannelsen af 3-hydroxy ropivacain, den største metabolit. </w:t>
      </w:r>
      <w:r w:rsidRPr="0073049E">
        <w:rPr>
          <w:i/>
          <w:iCs/>
          <w:sz w:val="24"/>
          <w:szCs w:val="24"/>
        </w:rPr>
        <w:t>In vivo</w:t>
      </w:r>
      <w:r w:rsidRPr="0073049E">
        <w:rPr>
          <w:sz w:val="24"/>
          <w:szCs w:val="24"/>
        </w:rPr>
        <w:t xml:space="preserve"> blev plasmaclearance af ropivacain reduceret med 77 % ved samtidig administration af fluvoxamin, en selektiv og potent CYP1A2-inhibitor. Således kan stærke inhibitorer af CYP1A2, f.eks. fluvoxamin og enoxacin, interagere med ropivacain, hvis de gives samtidigt i forbindelse med længerevarende administration af ropivacain. Længerevarende administration af ropivacain skal undgås til patienter, der samtidig bliver behandlet med stærke CYP1A2-inhibitorer. Se desuden pkt. 4.4.</w:t>
      </w:r>
    </w:p>
    <w:p w:rsidR="0073049E" w:rsidRPr="0073049E" w:rsidRDefault="0073049E" w:rsidP="0073049E">
      <w:pPr>
        <w:tabs>
          <w:tab w:val="left" w:pos="851"/>
        </w:tabs>
        <w:ind w:left="851"/>
        <w:rPr>
          <w:sz w:val="24"/>
          <w:szCs w:val="24"/>
        </w:rPr>
      </w:pPr>
    </w:p>
    <w:p w:rsidR="0073049E" w:rsidRPr="0073049E" w:rsidRDefault="0073049E" w:rsidP="0073049E">
      <w:pPr>
        <w:tabs>
          <w:tab w:val="left" w:pos="851"/>
        </w:tabs>
        <w:ind w:left="851"/>
        <w:rPr>
          <w:sz w:val="24"/>
          <w:szCs w:val="24"/>
        </w:rPr>
      </w:pPr>
      <w:r w:rsidRPr="0073049E">
        <w:rPr>
          <w:i/>
          <w:iCs/>
          <w:sz w:val="24"/>
          <w:szCs w:val="24"/>
        </w:rPr>
        <w:t>In vivo</w:t>
      </w:r>
      <w:r w:rsidRPr="0073049E">
        <w:rPr>
          <w:sz w:val="24"/>
          <w:szCs w:val="24"/>
        </w:rPr>
        <w:t xml:space="preserve"> blev plasmaclearance af ropivacain reduceret med 15 % ved samtidig administration af ketoconazol, en selektiv og potent CYP3A4-inhibitor. Hæmningen af dette isozym har dog sandsynligvis ingen klinisk relevans.</w:t>
      </w:r>
    </w:p>
    <w:p w:rsidR="0073049E" w:rsidRPr="0073049E" w:rsidRDefault="0073049E" w:rsidP="0073049E">
      <w:pPr>
        <w:tabs>
          <w:tab w:val="left" w:pos="851"/>
        </w:tabs>
        <w:ind w:left="851"/>
        <w:rPr>
          <w:sz w:val="24"/>
          <w:szCs w:val="24"/>
          <w:lang w:val="nb-NO"/>
        </w:rPr>
      </w:pPr>
    </w:p>
    <w:p w:rsidR="0073049E" w:rsidRPr="0073049E" w:rsidRDefault="0073049E" w:rsidP="0073049E">
      <w:pPr>
        <w:tabs>
          <w:tab w:val="left" w:pos="851"/>
        </w:tabs>
        <w:ind w:left="851"/>
        <w:rPr>
          <w:sz w:val="24"/>
          <w:szCs w:val="24"/>
        </w:rPr>
      </w:pPr>
      <w:r w:rsidRPr="0073049E">
        <w:rPr>
          <w:i/>
          <w:iCs/>
          <w:sz w:val="24"/>
          <w:szCs w:val="24"/>
        </w:rPr>
        <w:t>In vitro</w:t>
      </w:r>
      <w:r w:rsidRPr="0073049E">
        <w:rPr>
          <w:sz w:val="24"/>
          <w:szCs w:val="24"/>
        </w:rPr>
        <w:t xml:space="preserve"> er ropivacain en kompetitiv inhibitor af CYP2D6, men synes ikke at hæmme dette isozym ved klinisk opnåede plasmakoncentrationer.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rsidR="0073049E" w:rsidRDefault="0073049E" w:rsidP="0073049E">
      <w:pPr>
        <w:tabs>
          <w:tab w:val="left" w:pos="851"/>
        </w:tabs>
        <w:ind w:left="851"/>
        <w:rPr>
          <w:sz w:val="24"/>
          <w:szCs w:val="24"/>
          <w:u w:val="single"/>
        </w:rPr>
      </w:pPr>
    </w:p>
    <w:p w:rsidR="0073049E" w:rsidRPr="0073049E" w:rsidRDefault="0073049E" w:rsidP="0073049E">
      <w:pPr>
        <w:tabs>
          <w:tab w:val="left" w:pos="851"/>
        </w:tabs>
        <w:ind w:left="851"/>
        <w:rPr>
          <w:iCs/>
          <w:sz w:val="24"/>
          <w:szCs w:val="24"/>
          <w:u w:val="single"/>
        </w:rPr>
      </w:pPr>
      <w:r w:rsidRPr="0073049E">
        <w:rPr>
          <w:sz w:val="24"/>
          <w:szCs w:val="24"/>
          <w:u w:val="single"/>
        </w:rPr>
        <w:t>Graviditet</w:t>
      </w:r>
    </w:p>
    <w:p w:rsidR="0073049E" w:rsidRPr="0073049E" w:rsidRDefault="0073049E" w:rsidP="0073049E">
      <w:pPr>
        <w:tabs>
          <w:tab w:val="left" w:pos="851"/>
        </w:tabs>
        <w:ind w:left="851"/>
        <w:rPr>
          <w:sz w:val="24"/>
          <w:szCs w:val="24"/>
        </w:rPr>
      </w:pPr>
      <w:r w:rsidRPr="0073049E">
        <w:rPr>
          <w:sz w:val="24"/>
          <w:szCs w:val="24"/>
        </w:rPr>
        <w:t>Der er bortset fra i forbindelse med epidural administration til obstetrisk brug,  utilstrækkelige data for anvendelse af ropivacain ved human graviditet. Dyrestudier indikerer hverken direkte eller indirekte skadelige virkninger i forbindelse med graviditet, embryonal/føtal udvikling, fødsel eller postnatal udvikling (se pkt. 5.3).</w:t>
      </w:r>
    </w:p>
    <w:p w:rsidR="0073049E" w:rsidRPr="0073049E" w:rsidRDefault="0073049E" w:rsidP="0073049E">
      <w:pPr>
        <w:tabs>
          <w:tab w:val="left" w:pos="851"/>
        </w:tabs>
        <w:ind w:left="851"/>
        <w:rPr>
          <w:sz w:val="24"/>
          <w:szCs w:val="24"/>
          <w:lang w:val="nb-NO"/>
        </w:rPr>
      </w:pPr>
    </w:p>
    <w:p w:rsidR="0073049E" w:rsidRPr="0073049E" w:rsidRDefault="0073049E" w:rsidP="0073049E">
      <w:pPr>
        <w:tabs>
          <w:tab w:val="left" w:pos="851"/>
        </w:tabs>
        <w:ind w:left="851"/>
        <w:rPr>
          <w:iCs/>
          <w:sz w:val="24"/>
          <w:szCs w:val="24"/>
          <w:u w:val="single"/>
        </w:rPr>
      </w:pPr>
      <w:r w:rsidRPr="0073049E">
        <w:rPr>
          <w:sz w:val="24"/>
          <w:szCs w:val="24"/>
          <w:u w:val="single"/>
        </w:rPr>
        <w:t>Amning</w:t>
      </w:r>
    </w:p>
    <w:p w:rsidR="0073049E" w:rsidRPr="0073049E" w:rsidRDefault="0073049E" w:rsidP="0073049E">
      <w:pPr>
        <w:tabs>
          <w:tab w:val="left" w:pos="851"/>
        </w:tabs>
        <w:ind w:left="851"/>
        <w:rPr>
          <w:sz w:val="24"/>
          <w:szCs w:val="24"/>
        </w:rPr>
      </w:pPr>
      <w:r w:rsidRPr="0073049E">
        <w:rPr>
          <w:sz w:val="24"/>
          <w:szCs w:val="24"/>
        </w:rPr>
        <w:t>Der er ingen oplysninger om, hvorvidt ropivacain udskilles i modermælk.</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rsidR="0073049E" w:rsidRPr="0073049E" w:rsidRDefault="0073049E" w:rsidP="0073049E">
      <w:pPr>
        <w:tabs>
          <w:tab w:val="left" w:pos="851"/>
        </w:tabs>
        <w:ind w:left="851"/>
        <w:rPr>
          <w:sz w:val="24"/>
          <w:szCs w:val="24"/>
        </w:rPr>
      </w:pPr>
      <w:r w:rsidRPr="0073049E">
        <w:rPr>
          <w:sz w:val="24"/>
          <w:szCs w:val="24"/>
        </w:rPr>
        <w:t>Der er igen tilgængelige data. Afhængig af dosis kan lokalanæstetika have en beskeden virkning på mentale funktioner og koordination, selv om der ikke er tydelige tegn på CNS-forgiftning, og kan kortvarigt hæmme bevægelsesevne og opmærksomhed.</w:t>
      </w:r>
    </w:p>
    <w:p w:rsidR="0073049E" w:rsidRDefault="0073049E">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73049E" w:rsidRPr="0073049E" w:rsidRDefault="0073049E" w:rsidP="0073049E">
      <w:pPr>
        <w:widowControl w:val="0"/>
        <w:ind w:left="851"/>
        <w:rPr>
          <w:rFonts w:asciiTheme="majorBidi" w:hAnsiTheme="majorBidi" w:cstheme="majorBidi"/>
          <w:sz w:val="24"/>
          <w:szCs w:val="24"/>
          <w:lang w:val="nb-NO" w:eastAsia="el-GR"/>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Generelt</w:t>
      </w:r>
    </w:p>
    <w:p w:rsidR="0073049E" w:rsidRPr="0073049E" w:rsidRDefault="0073049E" w:rsidP="0073049E">
      <w:pPr>
        <w:ind w:left="851"/>
        <w:rPr>
          <w:rFonts w:asciiTheme="majorBidi" w:hAnsiTheme="majorBidi" w:cstheme="majorBidi"/>
          <w:sz w:val="24"/>
          <w:szCs w:val="24"/>
        </w:rPr>
      </w:pPr>
      <w:r w:rsidRPr="0073049E">
        <w:rPr>
          <w:rFonts w:asciiTheme="majorBidi" w:hAnsiTheme="majorBidi"/>
          <w:sz w:val="24"/>
          <w:szCs w:val="24"/>
        </w:rPr>
        <w:t>Bivirkningsprofilen for Ropivacain svarer til, hvad der forekommer for andre langtidsvirkende lokalanæstetika af amidtypen.</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color w:val="000000"/>
          <w:sz w:val="24"/>
          <w:szCs w:val="24"/>
        </w:rPr>
        <w:t>Bivirkninger skal ikke forveksles med de fysiologiske virkninger af selve nerveblokaden, såsom fald i blodtrykket og bradykardi under rygmarvs-/epiduralblokade.</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tabs>
          <w:tab w:val="left" w:pos="1985"/>
        </w:tabs>
        <w:ind w:left="851"/>
        <w:rPr>
          <w:rFonts w:asciiTheme="majorBidi" w:hAnsiTheme="majorBidi" w:cstheme="majorBidi"/>
          <w:b/>
          <w:sz w:val="24"/>
          <w:szCs w:val="24"/>
        </w:rPr>
      </w:pPr>
      <w:r w:rsidRPr="0073049E">
        <w:rPr>
          <w:rFonts w:asciiTheme="majorBidi" w:hAnsiTheme="majorBidi"/>
          <w:b/>
          <w:sz w:val="24"/>
          <w:szCs w:val="24"/>
        </w:rPr>
        <w:t>Tabel 4</w:t>
      </w:r>
      <w:r w:rsidRPr="0073049E">
        <w:rPr>
          <w:rFonts w:asciiTheme="majorBidi" w:hAnsiTheme="majorBidi"/>
          <w:b/>
          <w:sz w:val="24"/>
          <w:szCs w:val="24"/>
        </w:rPr>
        <w:tab/>
        <w:t>Tabel over bivirkninger fra lægemidler</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eastAsia="EFGFM O+ T T 3 A A 5o 00" w:hAnsiTheme="majorBidi" w:cstheme="majorBidi"/>
          <w:sz w:val="24"/>
          <w:szCs w:val="24"/>
        </w:rPr>
      </w:pPr>
      <w:r w:rsidRPr="0073049E">
        <w:rPr>
          <w:rFonts w:asciiTheme="majorBidi" w:hAnsiTheme="majorBidi"/>
          <w:color w:val="000000"/>
          <w:sz w:val="24"/>
          <w:szCs w:val="24"/>
        </w:rPr>
        <w:t xml:space="preserve">De anvendte hyppigheder i tabellen i punkt 4.8 er: </w:t>
      </w:r>
      <w:r>
        <w:rPr>
          <w:rFonts w:asciiTheme="majorBidi" w:hAnsiTheme="majorBidi"/>
          <w:color w:val="000000"/>
          <w:sz w:val="24"/>
          <w:szCs w:val="24"/>
        </w:rPr>
        <w:t>M</w:t>
      </w:r>
      <w:r w:rsidRPr="0073049E">
        <w:rPr>
          <w:rFonts w:asciiTheme="majorBidi" w:hAnsiTheme="majorBidi"/>
          <w:color w:val="000000"/>
          <w:sz w:val="24"/>
          <w:szCs w:val="24"/>
        </w:rPr>
        <w:t>eget almindelig (≥1/10), almindelig (≥1/100 til &lt; 1/10), ikke almindelig (≥1/1.000 til &lt; 1/100), sjælden (≥1/10.000 til &lt;1/1.000), meget sjælden (&lt;1/10.000) og ikke kendt (kan ikke estimeres ud fra forhåndenværende data).</w:t>
      </w:r>
    </w:p>
    <w:p w:rsidR="0073049E" w:rsidRDefault="0073049E" w:rsidP="0073049E">
      <w:pPr>
        <w:widowControl w:val="0"/>
        <w:rPr>
          <w:rFonts w:asciiTheme="majorBidi" w:eastAsiaTheme="minorEastAsia" w:hAnsiTheme="majorBidi" w:cstheme="majorBidi"/>
          <w:lang w:val="nb-NO"/>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828"/>
        <w:gridCol w:w="4607"/>
      </w:tblGrid>
      <w:tr w:rsidR="0073049E" w:rsidTr="0073049E">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b/>
              </w:rPr>
            </w:pPr>
            <w:r>
              <w:rPr>
                <w:rFonts w:asciiTheme="majorBidi" w:hAnsiTheme="majorBidi"/>
                <w:b/>
                <w:color w:val="000000"/>
              </w:rPr>
              <w:t>Systemorganklasser</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b/>
              </w:rPr>
            </w:pPr>
            <w:r>
              <w:rPr>
                <w:rFonts w:asciiTheme="majorBidi" w:hAnsiTheme="majorBidi"/>
                <w:b/>
                <w:color w:val="000000"/>
              </w:rPr>
              <w:t>Hyppighed</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b/>
              </w:rPr>
            </w:pPr>
            <w:r>
              <w:rPr>
                <w:rFonts w:asciiTheme="majorBidi" w:hAnsiTheme="majorBidi"/>
                <w:b/>
                <w:color w:val="000000"/>
              </w:rPr>
              <w:t>Bivirkninger</w:t>
            </w:r>
          </w:p>
        </w:tc>
      </w:tr>
      <w:tr w:rsidR="0073049E" w:rsidTr="0073049E">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Immunsystemet</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Sjælden</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Allergiske reaktioner (anafylaktiske reaktioner, anafylaktisk shock, angioneurotisk ødem og urticaria)</w:t>
            </w:r>
          </w:p>
        </w:tc>
      </w:tr>
      <w:tr w:rsidR="0073049E" w:rsidTr="0073049E">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Psykiske forstyrrelser</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Angst</w:t>
            </w:r>
          </w:p>
        </w:tc>
      </w:tr>
      <w:tr w:rsidR="0073049E" w:rsidTr="0073049E">
        <w:trPr>
          <w:trHeight w:val="395"/>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Nervesystemet</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Paræstesier, svimmelhed, hovedpine</w:t>
            </w:r>
          </w:p>
        </w:tc>
      </w:tr>
      <w:tr w:rsidR="0073049E" w:rsidTr="0073049E">
        <w:trPr>
          <w:trHeight w:val="1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Symptomer på CNS-forgiftning (kramper, tonisk-kloniske kramper, krampeanfald, omtågethed, circumoral paræstesi, følelsesløshed i tungen, hyperacusis, tinnitus, synsforstyrrelser, artikulationsforstyrrelser, muskeltrækninger, tremor)*, hypoæstesi</w:t>
            </w:r>
          </w:p>
        </w:tc>
      </w:tr>
      <w:tr w:rsidR="0073049E" w:rsidTr="0073049E">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Ikke kendt</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Dyskinesi, Horners syndrom</w:t>
            </w:r>
          </w:p>
        </w:tc>
      </w:tr>
      <w:tr w:rsidR="0073049E" w:rsidTr="0073049E">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inorHAnsi" w:hAnsiTheme="minorHAnsi"/>
              </w:rPr>
            </w:pPr>
            <w:r>
              <w:rPr>
                <w:rFonts w:asciiTheme="majorBidi" w:hAnsiTheme="majorBidi"/>
                <w:color w:val="000000"/>
              </w:rPr>
              <w:t>Hjerte</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Bradykardi, takykardi</w:t>
            </w:r>
          </w:p>
        </w:tc>
      </w:tr>
      <w:tr w:rsidR="0073049E" w:rsidTr="0073049E">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eastAsiaTheme="minorEastAsia"/>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Sjælden</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Hjertestop, hjertearytmier</w:t>
            </w:r>
          </w:p>
        </w:tc>
      </w:tr>
      <w:tr w:rsidR="0073049E" w:rsidTr="0073049E">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Vaskulære sygdomme</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Meget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Hypotension</w:t>
            </w:r>
            <w:r>
              <w:rPr>
                <w:rFonts w:asciiTheme="majorBidi" w:hAnsiTheme="majorBidi"/>
                <w:color w:val="000000"/>
                <w:vertAlign w:val="superscript"/>
              </w:rPr>
              <w:t>a</w:t>
            </w:r>
          </w:p>
        </w:tc>
      </w:tr>
      <w:tr w:rsidR="0073049E" w:rsidTr="0073049E">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Hypertension</w:t>
            </w:r>
          </w:p>
        </w:tc>
      </w:tr>
      <w:tr w:rsidR="0073049E" w:rsidTr="0073049E">
        <w:trPr>
          <w:trHeight w:val="3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Synkope</w:t>
            </w:r>
          </w:p>
        </w:tc>
      </w:tr>
      <w:tr w:rsidR="0073049E" w:rsidTr="0073049E">
        <w:trPr>
          <w:trHeight w:val="629"/>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inorHAnsi" w:hAnsiTheme="minorHAnsi"/>
              </w:rPr>
            </w:pPr>
            <w:r>
              <w:rPr>
                <w:rFonts w:asciiTheme="majorBidi" w:hAnsiTheme="majorBidi"/>
                <w:color w:val="000000"/>
              </w:rPr>
              <w:t>Luft, thorax og mediastinum</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Dyspnø</w:t>
            </w:r>
          </w:p>
        </w:tc>
      </w:tr>
      <w:tr w:rsidR="0073049E" w:rsidTr="0073049E">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Mave-tarmkanalen</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Meget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Kvalme</w:t>
            </w:r>
          </w:p>
        </w:tc>
      </w:tr>
      <w:tr w:rsidR="0073049E" w:rsidTr="0073049E">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Opkastning</w:t>
            </w:r>
            <w:r>
              <w:rPr>
                <w:rFonts w:asciiTheme="majorBidi" w:hAnsiTheme="majorBidi"/>
                <w:color w:val="000000"/>
                <w:vertAlign w:val="superscript"/>
              </w:rPr>
              <w:t>b</w:t>
            </w:r>
          </w:p>
        </w:tc>
      </w:tr>
      <w:tr w:rsidR="0073049E" w:rsidTr="0073049E">
        <w:trPr>
          <w:trHeight w:val="385"/>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pStyle w:val="Default"/>
              <w:spacing w:line="276" w:lineRule="auto"/>
              <w:rPr>
                <w:rFonts w:asciiTheme="majorBidi" w:hAnsiTheme="majorBidi" w:cstheme="majorBidi"/>
                <w:color w:val="auto"/>
                <w:sz w:val="22"/>
                <w:szCs w:val="22"/>
              </w:rPr>
            </w:pPr>
            <w:r>
              <w:rPr>
                <w:rFonts w:asciiTheme="majorBidi" w:hAnsiTheme="majorBidi"/>
                <w:color w:val="auto"/>
                <w:sz w:val="22"/>
              </w:rPr>
              <w:t>Knogler, led, muskler og bindevæv</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pStyle w:val="Default"/>
              <w:spacing w:line="276" w:lineRule="auto"/>
            </w:pPr>
            <w:r>
              <w:rPr>
                <w:sz w:val="22"/>
              </w:rPr>
              <w:t xml:space="preserve">Almindelig </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color w:val="000000"/>
              </w:rPr>
            </w:pPr>
            <w:r>
              <w:rPr>
                <w:rFonts w:asciiTheme="majorBidi" w:hAnsiTheme="majorBidi"/>
                <w:color w:val="000000"/>
              </w:rPr>
              <w:t>Rygsmerter</w:t>
            </w:r>
          </w:p>
        </w:tc>
      </w:tr>
      <w:tr w:rsidR="0073049E" w:rsidTr="0073049E">
        <w:trPr>
          <w:trHeight w:val="635"/>
        </w:trPr>
        <w:tc>
          <w:tcPr>
            <w:tcW w:w="2921"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Nyrer- og urinveje</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Urinretention</w:t>
            </w:r>
          </w:p>
        </w:tc>
      </w:tr>
      <w:tr w:rsidR="0073049E" w:rsidTr="0073049E">
        <w:trPr>
          <w:trHeight w:val="385"/>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rPr>
              <w:t xml:space="preserve">Almene symptomer og </w:t>
            </w:r>
            <w:r>
              <w:rPr>
                <w:rFonts w:asciiTheme="majorBidi" w:hAnsiTheme="majorBidi"/>
              </w:rPr>
              <w:lastRenderedPageBreak/>
              <w:t>reaktioner på administrationsstedet</w:t>
            </w: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rPr>
              <w:lastRenderedPageBreak/>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Temperaturstigning, kulderystelser</w:t>
            </w:r>
          </w:p>
        </w:tc>
      </w:tr>
      <w:tr w:rsidR="0073049E" w:rsidTr="0073049E">
        <w:trPr>
          <w:trHeight w:val="4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3049E" w:rsidRDefault="0073049E">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73049E" w:rsidRDefault="0073049E">
            <w:pPr>
              <w:widowControl w:val="0"/>
              <w:rPr>
                <w:rFonts w:asciiTheme="majorBidi" w:hAnsiTheme="majorBidi" w:cstheme="majorBidi"/>
              </w:rPr>
            </w:pPr>
            <w:r>
              <w:rPr>
                <w:rFonts w:asciiTheme="majorBidi" w:hAnsiTheme="majorBidi"/>
                <w:color w:val="000000"/>
              </w:rPr>
              <w:t>Hypotermi</w:t>
            </w:r>
          </w:p>
        </w:tc>
      </w:tr>
    </w:tbl>
    <w:p w:rsidR="0073049E" w:rsidRPr="0073049E" w:rsidRDefault="0073049E" w:rsidP="0073049E">
      <w:pPr>
        <w:widowControl w:val="0"/>
        <w:rPr>
          <w:rFonts w:asciiTheme="majorBidi" w:eastAsiaTheme="minorEastAsia" w:hAnsiTheme="majorBidi" w:cstheme="majorBidi"/>
          <w:sz w:val="20"/>
          <w:lang w:eastAsia="el-GR"/>
        </w:rPr>
      </w:pPr>
      <w:r w:rsidRPr="0073049E">
        <w:rPr>
          <w:rFonts w:asciiTheme="majorBidi" w:hAnsiTheme="majorBidi"/>
          <w:sz w:val="20"/>
          <w:vertAlign w:val="superscript"/>
        </w:rPr>
        <w:t>a</w:t>
      </w:r>
      <w:r>
        <w:rPr>
          <w:rFonts w:asciiTheme="majorBidi" w:hAnsiTheme="majorBidi"/>
          <w:sz w:val="20"/>
          <w:vertAlign w:val="superscript"/>
        </w:rPr>
        <w:t xml:space="preserve"> </w:t>
      </w:r>
      <w:r w:rsidRPr="0073049E">
        <w:rPr>
          <w:rFonts w:asciiTheme="majorBidi" w:hAnsiTheme="majorBidi"/>
          <w:sz w:val="20"/>
        </w:rPr>
        <w:t>Hypotension ses sjældnere hos børn (&gt; 1/100).</w:t>
      </w:r>
    </w:p>
    <w:p w:rsidR="0073049E" w:rsidRPr="0073049E" w:rsidRDefault="0073049E" w:rsidP="0073049E">
      <w:pPr>
        <w:widowControl w:val="0"/>
        <w:rPr>
          <w:rFonts w:asciiTheme="majorBidi" w:hAnsiTheme="majorBidi" w:cstheme="majorBidi"/>
          <w:sz w:val="20"/>
        </w:rPr>
      </w:pPr>
      <w:r w:rsidRPr="0073049E">
        <w:rPr>
          <w:rFonts w:asciiTheme="majorBidi" w:hAnsiTheme="majorBidi"/>
          <w:sz w:val="20"/>
          <w:vertAlign w:val="superscript"/>
        </w:rPr>
        <w:t>b</w:t>
      </w:r>
      <w:r>
        <w:rPr>
          <w:rFonts w:asciiTheme="majorBidi" w:hAnsiTheme="majorBidi"/>
          <w:sz w:val="20"/>
          <w:vertAlign w:val="superscript"/>
        </w:rPr>
        <w:t xml:space="preserve"> </w:t>
      </w:r>
      <w:r w:rsidRPr="0073049E">
        <w:rPr>
          <w:rFonts w:asciiTheme="majorBidi" w:hAnsiTheme="majorBidi"/>
          <w:sz w:val="20"/>
        </w:rPr>
        <w:t>Opkastning ses oftere hos børn (&gt; 1/10).</w:t>
      </w:r>
    </w:p>
    <w:p w:rsidR="0073049E" w:rsidRPr="0073049E" w:rsidRDefault="0073049E" w:rsidP="0073049E">
      <w:pPr>
        <w:rPr>
          <w:rFonts w:asciiTheme="majorBidi" w:hAnsiTheme="majorBidi" w:cstheme="majorBidi"/>
          <w:sz w:val="20"/>
        </w:rPr>
      </w:pPr>
      <w:r w:rsidRPr="0073049E">
        <w:rPr>
          <w:rFonts w:asciiTheme="majorBidi" w:hAnsiTheme="majorBidi"/>
          <w:sz w:val="20"/>
        </w:rPr>
        <w:t>*</w:t>
      </w:r>
      <w:r>
        <w:rPr>
          <w:rFonts w:asciiTheme="majorBidi" w:hAnsiTheme="majorBidi"/>
          <w:sz w:val="20"/>
        </w:rPr>
        <w:t xml:space="preserve"> </w:t>
      </w:r>
      <w:r w:rsidRPr="0073049E">
        <w:rPr>
          <w:rFonts w:asciiTheme="majorBidi" w:hAnsiTheme="majorBidi"/>
          <w:sz w:val="20"/>
        </w:rPr>
        <w:t>Disse symptomer ses oftere efter utilsigtet intravaskulær injektion, overdosering eller hurtig absorption, se pkt. 4.9.</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b/>
          <w:sz w:val="24"/>
          <w:szCs w:val="24"/>
        </w:rPr>
      </w:pPr>
      <w:r w:rsidRPr="0073049E">
        <w:rPr>
          <w:rFonts w:asciiTheme="majorBidi" w:hAnsiTheme="majorBidi"/>
          <w:b/>
          <w:color w:val="000000"/>
          <w:sz w:val="24"/>
          <w:szCs w:val="24"/>
        </w:rPr>
        <w:t>Klasserelaterede bivirkninger på lægemidler:</w:t>
      </w:r>
    </w:p>
    <w:p w:rsidR="0073049E" w:rsidRDefault="0073049E" w:rsidP="0073049E">
      <w:pPr>
        <w:widowControl w:val="0"/>
        <w:ind w:left="851"/>
        <w:rPr>
          <w:rFonts w:asciiTheme="majorBidi" w:hAnsiTheme="majorBidi"/>
          <w:color w:val="000000"/>
          <w:sz w:val="24"/>
          <w:szCs w:val="24"/>
          <w:u w:val="single"/>
        </w:rPr>
      </w:pPr>
    </w:p>
    <w:p w:rsidR="0073049E" w:rsidRPr="0073049E" w:rsidRDefault="0073049E" w:rsidP="0073049E">
      <w:pPr>
        <w:widowControl w:val="0"/>
        <w:ind w:left="851"/>
        <w:rPr>
          <w:rFonts w:asciiTheme="majorBidi" w:hAnsiTheme="majorBidi" w:cstheme="majorBidi"/>
          <w:b/>
          <w:bCs/>
          <w:sz w:val="24"/>
          <w:szCs w:val="24"/>
          <w:u w:val="single"/>
        </w:rPr>
      </w:pPr>
      <w:r w:rsidRPr="0073049E">
        <w:rPr>
          <w:rFonts w:asciiTheme="majorBidi" w:hAnsiTheme="majorBidi"/>
          <w:color w:val="000000"/>
          <w:sz w:val="24"/>
          <w:szCs w:val="24"/>
          <w:u w:val="single"/>
        </w:rPr>
        <w:t>Neurologiske komplikationer</w:t>
      </w:r>
    </w:p>
    <w:p w:rsidR="0073049E" w:rsidRPr="0073049E" w:rsidRDefault="0073049E" w:rsidP="0073049E">
      <w:pPr>
        <w:widowControl w:val="0"/>
        <w:ind w:left="851"/>
        <w:rPr>
          <w:rFonts w:asciiTheme="majorBidi" w:hAnsiTheme="majorBidi" w:cstheme="majorBidi"/>
          <w:color w:val="000000"/>
          <w:sz w:val="24"/>
          <w:szCs w:val="24"/>
        </w:rPr>
      </w:pPr>
      <w:r w:rsidRPr="0073049E">
        <w:rPr>
          <w:rFonts w:asciiTheme="majorBidi" w:hAnsiTheme="majorBidi"/>
          <w:color w:val="000000"/>
          <w:sz w:val="24"/>
          <w:szCs w:val="24"/>
        </w:rPr>
        <w:t>Neuropati og rygmarvsdysfunktioner (f.eks. anterior spinal arteriesyndrom, arachnoiditis, cauda equina), der i sjældne tilfælde kan få permanente følger, er set i forbindelse med regionalanæstesi, uafhængigt af anvendt lokalanæstetikum.</w:t>
      </w:r>
    </w:p>
    <w:p w:rsidR="0073049E" w:rsidRPr="0073049E" w:rsidRDefault="0073049E" w:rsidP="0073049E">
      <w:pPr>
        <w:widowControl w:val="0"/>
        <w:ind w:left="851"/>
        <w:rPr>
          <w:rFonts w:asciiTheme="majorBidi" w:hAnsiTheme="majorBidi" w:cstheme="majorBidi"/>
          <w:color w:val="000000"/>
          <w:sz w:val="24"/>
          <w:szCs w:val="24"/>
        </w:rPr>
      </w:pPr>
    </w:p>
    <w:p w:rsidR="0073049E" w:rsidRPr="0073049E" w:rsidRDefault="0073049E" w:rsidP="0073049E">
      <w:pPr>
        <w:pStyle w:val="Bodytext20"/>
        <w:shd w:val="clear" w:color="auto" w:fill="auto"/>
        <w:spacing w:after="0" w:line="254" w:lineRule="exact"/>
        <w:ind w:left="851" w:firstLine="0"/>
        <w:rPr>
          <w:sz w:val="24"/>
          <w:szCs w:val="24"/>
        </w:rPr>
      </w:pPr>
      <w:r w:rsidRPr="0073049E">
        <w:rPr>
          <w:sz w:val="24"/>
          <w:szCs w:val="24"/>
        </w:rPr>
        <w:t>Efter epidural administration kan kraniel spredning af lokalanæstetikum især hos gravide lejlighedsvis føre til udvikling af Horners syndrom, der er kendetegnet ved miose, ptose og anhidrose. Tilstanden bedres spontant ved seponering af behandlingen.</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Total rygmarvsblokade</w:t>
      </w:r>
    </w:p>
    <w:p w:rsidR="0073049E" w:rsidRPr="0073049E" w:rsidRDefault="0073049E" w:rsidP="0073049E">
      <w:pPr>
        <w:widowControl w:val="0"/>
        <w:ind w:left="851"/>
        <w:rPr>
          <w:rFonts w:asciiTheme="majorBidi" w:hAnsiTheme="majorBidi" w:cstheme="majorBidi"/>
          <w:iCs/>
          <w:sz w:val="24"/>
          <w:szCs w:val="24"/>
          <w:u w:val="single"/>
        </w:rPr>
      </w:pPr>
      <w:r w:rsidRPr="0073049E">
        <w:rPr>
          <w:rFonts w:asciiTheme="majorBidi" w:hAnsiTheme="majorBidi"/>
          <w:color w:val="000000"/>
          <w:sz w:val="24"/>
          <w:szCs w:val="24"/>
        </w:rPr>
        <w:t>Total rygmarvsblokade kan forekomme, hvis en epidural dosis utilsigtet indgives intratekalt.</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Akut systemisk toksicitet</w:t>
      </w:r>
    </w:p>
    <w:p w:rsidR="0073049E" w:rsidRPr="0073049E" w:rsidRDefault="0073049E" w:rsidP="0073049E">
      <w:pPr>
        <w:widowControl w:val="0"/>
        <w:ind w:left="851"/>
        <w:rPr>
          <w:rFonts w:asciiTheme="majorBidi" w:hAnsiTheme="majorBidi" w:cstheme="majorBidi"/>
          <w:iCs/>
          <w:sz w:val="24"/>
          <w:szCs w:val="24"/>
          <w:u w:val="single"/>
        </w:rPr>
      </w:pPr>
      <w:r w:rsidRPr="0073049E">
        <w:rPr>
          <w:rFonts w:asciiTheme="majorBidi" w:hAnsiTheme="majorBidi"/>
          <w:color w:val="000000"/>
          <w:sz w:val="24"/>
          <w:szCs w:val="24"/>
        </w:rPr>
        <w:t xml:space="preserve">Systemiske toksiske reaktioner berører primært centralnervesystemet (CNS) og det kardiovaskulære system (CVS). Sådanne reaktioner er forårsaget af høje blodkoncentrationer af et lokalanæstetikum, som kan forekomme på grund af (utilsigtet) intravaskulær injektion, overdosering eller usædvanligt hurtig absorption fra stærkt karførende områder (se </w:t>
      </w:r>
      <w:bookmarkStart w:id="3" w:name="_Hlk202470973"/>
      <w:r w:rsidRPr="0073049E">
        <w:rPr>
          <w:rFonts w:asciiTheme="majorBidi" w:hAnsiTheme="majorBidi"/>
          <w:color w:val="000000"/>
          <w:sz w:val="24"/>
          <w:szCs w:val="24"/>
        </w:rPr>
        <w:t>også</w:t>
      </w:r>
      <w:bookmarkEnd w:id="3"/>
      <w:r w:rsidRPr="0073049E">
        <w:rPr>
          <w:rFonts w:asciiTheme="majorBidi" w:hAnsiTheme="majorBidi"/>
          <w:color w:val="000000"/>
          <w:sz w:val="24"/>
          <w:szCs w:val="24"/>
        </w:rPr>
        <w:t xml:space="preserve"> pkt. 4.4). CNS-reaktioner er de samme for alle lokalanæstetika af amidtypen, mens kardielle reaktioner er mere afhængige af den aktive substans, både kvantitativt og kvalitativt.</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Toksisk påvirkning af centralnervesystemet</w:t>
      </w: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color w:val="000000"/>
          <w:sz w:val="24"/>
          <w:szCs w:val="24"/>
        </w:rPr>
        <w:t>Ved toksisk påvirkning af centralnervesystemet forekommer symptomer og tegn gradvist med stigende sværhedsgrad. De initiale symptomer omfatter syns- eller høreforstyrrelser, perioral følelsesløshed, svimmelhed, omtågethed, snurrende fornemmelse og paræstesi. Alvorligere er dysarthri, muskelrigiditet og muskeltrækninger, som kan gå forud for universelle kramper. Disse tegn må ikke forveksles med neurotisk adfærd. Bevidstløshed og tonisk-kloniske kramper af få sekunders til flere minutters varighed kan følge. Hypoxi og hyperkapni opstår hurtigt under kramperne på grund af øget muskelaktivitet, sammen med ændringer i respirationen. I alvorlige tilfælde kan der endda optræde apnø. Den respiratoriske og metaboliske acidose øger og forlænger de toksiske virkninger af lokalanæstetika.</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olor w:val="000000"/>
          <w:sz w:val="24"/>
          <w:szCs w:val="24"/>
        </w:rPr>
      </w:pPr>
      <w:r w:rsidRPr="0073049E">
        <w:rPr>
          <w:rFonts w:asciiTheme="majorBidi" w:hAnsiTheme="majorBidi"/>
          <w:color w:val="000000"/>
          <w:sz w:val="24"/>
          <w:szCs w:val="24"/>
        </w:rPr>
        <w:t>Bedring følger med redistribution af det lokalbedøvende</w:t>
      </w:r>
      <w:bookmarkStart w:id="4" w:name="_Hlk160615288"/>
      <w:r w:rsidRPr="0073049E">
        <w:rPr>
          <w:rFonts w:asciiTheme="majorBidi" w:hAnsiTheme="majorBidi"/>
          <w:color w:val="000000"/>
          <w:sz w:val="24"/>
          <w:szCs w:val="24"/>
        </w:rPr>
        <w:t xml:space="preserve"> lægemiddel</w:t>
      </w:r>
      <w:bookmarkEnd w:id="4"/>
      <w:r w:rsidRPr="0073049E">
        <w:rPr>
          <w:rFonts w:asciiTheme="majorBidi" w:hAnsiTheme="majorBidi"/>
          <w:color w:val="000000"/>
          <w:sz w:val="24"/>
          <w:szCs w:val="24"/>
        </w:rPr>
        <w:t xml:space="preserve"> fra centralnervesystemet og den efterfølgende metabolisering og udskillelse. Der kan ske en hurtig bedring, medmindre der er injiceret store mængder af </w:t>
      </w:r>
      <w:bookmarkStart w:id="5" w:name="_Hlk160615329"/>
      <w:r w:rsidRPr="0073049E">
        <w:rPr>
          <w:rFonts w:asciiTheme="majorBidi" w:hAnsiTheme="majorBidi"/>
          <w:color w:val="000000"/>
          <w:sz w:val="24"/>
          <w:szCs w:val="24"/>
        </w:rPr>
        <w:t>lægemidlet</w:t>
      </w:r>
      <w:bookmarkEnd w:id="5"/>
      <w:r w:rsidRPr="0073049E">
        <w:rPr>
          <w:rFonts w:asciiTheme="majorBidi" w:hAnsiTheme="majorBidi"/>
          <w:color w:val="000000"/>
          <w:sz w:val="24"/>
          <w:szCs w:val="24"/>
        </w:rPr>
        <w:t>.</w:t>
      </w:r>
    </w:p>
    <w:p w:rsidR="0073049E" w:rsidRPr="0073049E" w:rsidRDefault="0073049E" w:rsidP="0073049E">
      <w:pPr>
        <w:widowControl w:val="0"/>
        <w:ind w:left="851"/>
        <w:rPr>
          <w:rFonts w:asciiTheme="majorBidi" w:hAnsiTheme="majorBidi"/>
          <w:color w:val="000000"/>
          <w:sz w:val="24"/>
          <w:szCs w:val="24"/>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Kardiovaskulær toksicitet</w:t>
      </w: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color w:val="000000"/>
          <w:sz w:val="24"/>
          <w:szCs w:val="24"/>
        </w:rPr>
        <w:t>Kardiovaskulær toksicitet udgør en mere alvorlig situation. Hypotension, bradykardi, arytmi og eventuelt hjertestop kan opstå som følge af høj systemisk koncentration af lokalanæstetika. Hos frivillige forsøgspersoner resulterede intravenøs infusion af ropivacain i tegn på nedsat overledning og kontraktilitet.</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color w:val="000000"/>
          <w:sz w:val="24"/>
          <w:szCs w:val="24"/>
        </w:rPr>
      </w:pPr>
      <w:r w:rsidRPr="0073049E">
        <w:rPr>
          <w:rFonts w:asciiTheme="majorBidi" w:hAnsiTheme="majorBidi"/>
          <w:color w:val="000000"/>
          <w:sz w:val="24"/>
          <w:szCs w:val="24"/>
        </w:rPr>
        <w:lastRenderedPageBreak/>
        <w:t>Symptomer på toksicitet i centralnervesystemet går som oftest forud for kardiovaskulær toksisk effekt, medmindre patienten er i generel anæstesi eller kraftigt sederet med lægemidler som f.eks. benzodiazepiner eller barbiturater.</w:t>
      </w:r>
    </w:p>
    <w:p w:rsidR="0073049E" w:rsidRPr="0073049E" w:rsidRDefault="0073049E" w:rsidP="0073049E">
      <w:pPr>
        <w:widowControl w:val="0"/>
        <w:ind w:left="851"/>
        <w:rPr>
          <w:rFonts w:asciiTheme="majorBidi" w:hAnsiTheme="majorBidi" w:cstheme="majorBidi"/>
          <w:color w:val="000000"/>
          <w:sz w:val="24"/>
          <w:szCs w:val="24"/>
          <w:lang w:val="nb-NO"/>
        </w:rPr>
      </w:pP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sz w:val="24"/>
          <w:szCs w:val="24"/>
        </w:rPr>
        <w:t>Hos børn kan det være svært at opdage tidlige tegn på lokal anæstetisk toksicitet, da børnene ikke altid kan forklare sig verbalt. Se også pkt. 4,4.</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b/>
          <w:sz w:val="24"/>
          <w:szCs w:val="24"/>
          <w:u w:val="single"/>
        </w:rPr>
      </w:pPr>
      <w:r w:rsidRPr="0073049E">
        <w:rPr>
          <w:rFonts w:asciiTheme="majorBidi" w:hAnsiTheme="majorBidi"/>
          <w:color w:val="000000"/>
          <w:sz w:val="24"/>
          <w:szCs w:val="24"/>
          <w:u w:val="single"/>
        </w:rPr>
        <w:t>Pædiatrisk patientgruppe</w:t>
      </w: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color w:val="000000"/>
          <w:sz w:val="24"/>
          <w:szCs w:val="24"/>
        </w:rPr>
        <w:t>Bivirkningernes hyppighed, art og sværhedsgrad hos børn forventes at være de samme som hos voksne undtagen for hypotension, som forekommer mindre hyppigt hos børn (&lt; 1 ud af 10) og opkastning, som forekommer hyppigere hos børn (&gt;1 ud af 10).</w:t>
      </w:r>
    </w:p>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color w:val="000000"/>
          <w:sz w:val="24"/>
          <w:szCs w:val="24"/>
        </w:rPr>
      </w:pPr>
      <w:r w:rsidRPr="0073049E">
        <w:rPr>
          <w:rFonts w:asciiTheme="majorBidi" w:hAnsiTheme="majorBidi"/>
          <w:color w:val="000000"/>
          <w:sz w:val="24"/>
          <w:szCs w:val="24"/>
        </w:rPr>
        <w:t>Hos børn kan det være svært at opdage tidlige tegn på lokal anæstetisk toksicitet, da børnene ikke altid kan forklare sig verbalt (se også pkt. 4.4).</w:t>
      </w:r>
    </w:p>
    <w:p w:rsidR="0073049E" w:rsidRPr="0073049E" w:rsidRDefault="0073049E" w:rsidP="0073049E">
      <w:pPr>
        <w:widowControl w:val="0"/>
        <w:ind w:left="851"/>
        <w:rPr>
          <w:rFonts w:asciiTheme="majorBidi" w:hAnsiTheme="majorBidi" w:cstheme="majorBidi"/>
          <w:color w:val="000000"/>
          <w:sz w:val="24"/>
          <w:szCs w:val="24"/>
          <w:lang w:val="nb-NO"/>
        </w:rPr>
      </w:pPr>
    </w:p>
    <w:p w:rsidR="0073049E" w:rsidRPr="0073049E" w:rsidRDefault="0073049E" w:rsidP="0073049E">
      <w:pPr>
        <w:widowControl w:val="0"/>
        <w:ind w:left="851"/>
        <w:rPr>
          <w:rFonts w:asciiTheme="majorBidi" w:hAnsiTheme="majorBidi" w:cstheme="majorBidi"/>
          <w:sz w:val="24"/>
          <w:szCs w:val="24"/>
          <w:u w:val="single"/>
        </w:rPr>
      </w:pPr>
      <w:bookmarkStart w:id="6" w:name="_Hlk160615370"/>
      <w:r w:rsidRPr="0073049E">
        <w:rPr>
          <w:rFonts w:asciiTheme="majorBidi" w:hAnsiTheme="majorBidi"/>
          <w:sz w:val="24"/>
          <w:szCs w:val="24"/>
          <w:u w:val="single"/>
        </w:rPr>
        <w:t>Behandling af akut systemisk toksicitet</w:t>
      </w:r>
    </w:p>
    <w:p w:rsidR="0073049E" w:rsidRPr="0073049E" w:rsidRDefault="0073049E" w:rsidP="0073049E">
      <w:pPr>
        <w:widowControl w:val="0"/>
        <w:ind w:left="851"/>
        <w:rPr>
          <w:rFonts w:asciiTheme="majorBidi" w:hAnsiTheme="majorBidi" w:cstheme="majorBidi"/>
          <w:sz w:val="24"/>
          <w:szCs w:val="24"/>
        </w:rPr>
      </w:pPr>
      <w:r w:rsidRPr="0073049E">
        <w:rPr>
          <w:rFonts w:asciiTheme="majorBidi" w:hAnsiTheme="majorBidi"/>
          <w:sz w:val="24"/>
          <w:szCs w:val="24"/>
        </w:rPr>
        <w:t>Se pkt. 4</w:t>
      </w:r>
      <w:r>
        <w:rPr>
          <w:rFonts w:asciiTheme="majorBidi" w:hAnsiTheme="majorBidi"/>
          <w:sz w:val="24"/>
          <w:szCs w:val="24"/>
        </w:rPr>
        <w:t>.</w:t>
      </w:r>
      <w:r w:rsidRPr="0073049E">
        <w:rPr>
          <w:rFonts w:asciiTheme="majorBidi" w:hAnsiTheme="majorBidi"/>
          <w:sz w:val="24"/>
          <w:szCs w:val="24"/>
        </w:rPr>
        <w:t>9.</w:t>
      </w:r>
    </w:p>
    <w:bookmarkEnd w:id="6"/>
    <w:p w:rsidR="0073049E" w:rsidRPr="0073049E" w:rsidRDefault="0073049E" w:rsidP="0073049E">
      <w:pPr>
        <w:widowControl w:val="0"/>
        <w:ind w:left="851"/>
        <w:rPr>
          <w:rFonts w:asciiTheme="majorBidi" w:hAnsiTheme="majorBidi" w:cstheme="majorBidi"/>
          <w:sz w:val="24"/>
          <w:szCs w:val="24"/>
          <w:lang w:val="nb-NO"/>
        </w:rPr>
      </w:pPr>
    </w:p>
    <w:p w:rsidR="0073049E" w:rsidRPr="0073049E" w:rsidRDefault="0073049E" w:rsidP="0073049E">
      <w:pPr>
        <w:widowControl w:val="0"/>
        <w:ind w:left="851"/>
        <w:rPr>
          <w:rFonts w:asciiTheme="majorBidi" w:hAnsiTheme="majorBidi" w:cstheme="majorBidi"/>
          <w:sz w:val="24"/>
          <w:szCs w:val="24"/>
          <w:u w:val="single"/>
        </w:rPr>
      </w:pPr>
      <w:r w:rsidRPr="0073049E">
        <w:rPr>
          <w:rFonts w:asciiTheme="majorBidi" w:hAnsiTheme="majorBidi"/>
          <w:color w:val="000000"/>
          <w:sz w:val="24"/>
          <w:szCs w:val="24"/>
          <w:u w:val="single"/>
        </w:rPr>
        <w:t>Indberetning af formodede bivirkninger</w:t>
      </w:r>
    </w:p>
    <w:p w:rsidR="0073049E" w:rsidRPr="0073049E" w:rsidRDefault="0073049E" w:rsidP="0073049E">
      <w:pPr>
        <w:ind w:left="851"/>
        <w:rPr>
          <w:rFonts w:asciiTheme="majorBidi" w:hAnsiTheme="majorBidi"/>
          <w:sz w:val="24"/>
          <w:szCs w:val="24"/>
        </w:rPr>
      </w:pPr>
      <w:bookmarkStart w:id="7" w:name="_Hlk202470999"/>
      <w:r w:rsidRPr="0073049E">
        <w:rPr>
          <w:rFonts w:asciiTheme="majorBidi" w:hAnsiTheme="majorBidi"/>
          <w:sz w:val="24"/>
          <w:szCs w:val="24"/>
        </w:rPr>
        <w:t>Når lægemidlet er godkendt, er indberetning af formodede bivirkninger vigtig. Det muliggør løbende overvågning af benefit/risk-forholdet for lægemidlet. Sundhedspersoner anmodes om at indberette alle formodede bivirkninger via</w:t>
      </w:r>
      <w:r>
        <w:rPr>
          <w:rFonts w:asciiTheme="majorBidi" w:hAnsiTheme="majorBidi"/>
          <w:sz w:val="24"/>
          <w:szCs w:val="24"/>
        </w:rPr>
        <w:t>:</w:t>
      </w:r>
    </w:p>
    <w:p w:rsidR="0073049E" w:rsidRPr="0073049E" w:rsidRDefault="0073049E" w:rsidP="0073049E">
      <w:pPr>
        <w:ind w:left="851"/>
        <w:rPr>
          <w:rFonts w:asciiTheme="majorBidi" w:hAnsiTheme="majorBidi"/>
          <w:sz w:val="24"/>
          <w:szCs w:val="24"/>
        </w:rPr>
      </w:pPr>
    </w:p>
    <w:p w:rsidR="0073049E" w:rsidRPr="0073049E" w:rsidRDefault="0073049E" w:rsidP="0073049E">
      <w:pPr>
        <w:ind w:left="851"/>
        <w:rPr>
          <w:rFonts w:asciiTheme="majorBidi" w:hAnsiTheme="majorBidi"/>
          <w:sz w:val="24"/>
          <w:szCs w:val="24"/>
        </w:rPr>
      </w:pPr>
      <w:r w:rsidRPr="0073049E">
        <w:rPr>
          <w:rFonts w:asciiTheme="majorBidi" w:hAnsiTheme="majorBidi"/>
          <w:sz w:val="24"/>
          <w:szCs w:val="24"/>
        </w:rPr>
        <w:t xml:space="preserve">Lægemiddelstyrelsen </w:t>
      </w:r>
    </w:p>
    <w:p w:rsidR="0073049E" w:rsidRPr="0073049E" w:rsidRDefault="0073049E" w:rsidP="0073049E">
      <w:pPr>
        <w:ind w:left="851"/>
        <w:rPr>
          <w:rFonts w:asciiTheme="majorBidi" w:hAnsiTheme="majorBidi"/>
          <w:sz w:val="24"/>
          <w:szCs w:val="24"/>
        </w:rPr>
      </w:pPr>
      <w:r w:rsidRPr="0073049E">
        <w:rPr>
          <w:rFonts w:asciiTheme="majorBidi" w:hAnsiTheme="majorBidi"/>
          <w:sz w:val="24"/>
          <w:szCs w:val="24"/>
        </w:rPr>
        <w:t xml:space="preserve">Axel Heides Gade 1 </w:t>
      </w:r>
    </w:p>
    <w:p w:rsidR="0073049E" w:rsidRPr="0073049E" w:rsidRDefault="0073049E" w:rsidP="0073049E">
      <w:pPr>
        <w:ind w:left="851"/>
        <w:rPr>
          <w:rFonts w:asciiTheme="majorBidi" w:hAnsiTheme="majorBidi"/>
          <w:sz w:val="24"/>
          <w:szCs w:val="24"/>
        </w:rPr>
      </w:pPr>
      <w:r w:rsidRPr="0073049E">
        <w:rPr>
          <w:rFonts w:asciiTheme="majorBidi" w:hAnsiTheme="majorBidi"/>
          <w:sz w:val="24"/>
          <w:szCs w:val="24"/>
        </w:rPr>
        <w:t xml:space="preserve">DK-2300 København S </w:t>
      </w:r>
    </w:p>
    <w:p w:rsidR="0073049E" w:rsidRPr="0073049E" w:rsidRDefault="0073049E" w:rsidP="0073049E">
      <w:pPr>
        <w:ind w:left="851"/>
        <w:rPr>
          <w:rFonts w:asciiTheme="majorBidi" w:hAnsiTheme="majorBidi"/>
          <w:sz w:val="24"/>
          <w:szCs w:val="24"/>
        </w:rPr>
      </w:pPr>
      <w:r w:rsidRPr="0073049E">
        <w:rPr>
          <w:rFonts w:asciiTheme="majorBidi" w:hAnsiTheme="majorBidi"/>
          <w:sz w:val="24"/>
          <w:szCs w:val="24"/>
        </w:rPr>
        <w:t>Website: www.meldenbivirkning.dk</w:t>
      </w:r>
      <w:bookmarkEnd w:id="7"/>
    </w:p>
    <w:p w:rsidR="009260DE" w:rsidRPr="00A10294" w:rsidRDefault="009260DE" w:rsidP="00A10294">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rsidR="006C1C28" w:rsidRPr="006C1C28" w:rsidRDefault="006C1C28" w:rsidP="006C1C28">
      <w:pPr>
        <w:tabs>
          <w:tab w:val="left" w:pos="851"/>
        </w:tabs>
        <w:ind w:left="851"/>
        <w:rPr>
          <w:sz w:val="24"/>
          <w:szCs w:val="24"/>
          <w:lang w:val="nb-NO"/>
        </w:rPr>
      </w:pPr>
    </w:p>
    <w:p w:rsidR="006C1C28" w:rsidRPr="006C1C28" w:rsidRDefault="006C1C28" w:rsidP="006C1C28">
      <w:pPr>
        <w:tabs>
          <w:tab w:val="left" w:pos="851"/>
        </w:tabs>
        <w:ind w:left="851"/>
        <w:rPr>
          <w:sz w:val="24"/>
          <w:szCs w:val="24"/>
          <w:u w:val="single"/>
        </w:rPr>
      </w:pPr>
      <w:r w:rsidRPr="006C1C28">
        <w:rPr>
          <w:sz w:val="24"/>
          <w:szCs w:val="24"/>
          <w:u w:val="single"/>
        </w:rPr>
        <w:t>Symptomer</w:t>
      </w:r>
    </w:p>
    <w:p w:rsidR="006C1C28" w:rsidRPr="006C1C28" w:rsidRDefault="006C1C28" w:rsidP="006C1C28">
      <w:pPr>
        <w:tabs>
          <w:tab w:val="left" w:pos="851"/>
        </w:tabs>
        <w:ind w:left="851"/>
        <w:rPr>
          <w:sz w:val="24"/>
          <w:szCs w:val="24"/>
        </w:rPr>
      </w:pPr>
      <w:r w:rsidRPr="006C1C28">
        <w:rPr>
          <w:sz w:val="24"/>
          <w:szCs w:val="24"/>
        </w:rPr>
        <w:t>Utilsigtede intravaskulære injektioner med lokalanæstetika kan forårsage omgående (inden for sekunder til få minutter) systemisk toksisk reaktion. Ved overdosering opnås de maksimale plasmakoncentrationer eventuelt først efter 1-2 timer afhængigt af injektionssted, og tegn på toksicitet kan derfor være forsinket (se pkt. 4.8).</w:t>
      </w:r>
    </w:p>
    <w:p w:rsidR="006C1C28" w:rsidRPr="006C1C28" w:rsidRDefault="006C1C28" w:rsidP="006C1C28">
      <w:pPr>
        <w:tabs>
          <w:tab w:val="left" w:pos="851"/>
        </w:tabs>
        <w:ind w:left="851"/>
        <w:rPr>
          <w:sz w:val="24"/>
          <w:szCs w:val="24"/>
          <w:lang w:val="nb-NO"/>
        </w:rPr>
      </w:pPr>
    </w:p>
    <w:p w:rsidR="006C1C28" w:rsidRPr="006C1C28" w:rsidRDefault="006C1C28" w:rsidP="006C1C28">
      <w:pPr>
        <w:tabs>
          <w:tab w:val="left" w:pos="851"/>
        </w:tabs>
        <w:ind w:left="851"/>
        <w:rPr>
          <w:sz w:val="24"/>
          <w:szCs w:val="24"/>
          <w:u w:val="single"/>
        </w:rPr>
      </w:pPr>
      <w:r w:rsidRPr="006C1C28">
        <w:rPr>
          <w:sz w:val="24"/>
          <w:szCs w:val="24"/>
          <w:u w:val="single"/>
        </w:rPr>
        <w:t>Behandling</w:t>
      </w:r>
    </w:p>
    <w:p w:rsidR="006C1C28" w:rsidRPr="006C1C28" w:rsidRDefault="006C1C28" w:rsidP="006C1C28">
      <w:pPr>
        <w:tabs>
          <w:tab w:val="left" w:pos="851"/>
        </w:tabs>
        <w:ind w:left="851"/>
        <w:rPr>
          <w:sz w:val="24"/>
          <w:szCs w:val="24"/>
        </w:rPr>
      </w:pPr>
      <w:r w:rsidRPr="006C1C28">
        <w:rPr>
          <w:sz w:val="24"/>
          <w:szCs w:val="24"/>
        </w:rPr>
        <w:t>Hvis der optræder tegn på akut toksicitet, skal injektionen af lokalanæstetikum stoppes øjeblikkeligt, og CNS symptomer (kramper, CNS-depression) skal behandles straks med passende luftvejs-/respiratorisk støtte og administration af antikonvulsiva.</w:t>
      </w:r>
    </w:p>
    <w:p w:rsidR="006C1C28" w:rsidRPr="006C1C28" w:rsidRDefault="006C1C28" w:rsidP="006C1C28">
      <w:pPr>
        <w:tabs>
          <w:tab w:val="left" w:pos="851"/>
        </w:tabs>
        <w:ind w:left="851"/>
        <w:rPr>
          <w:sz w:val="24"/>
          <w:szCs w:val="24"/>
          <w:lang w:val="nb-NO"/>
        </w:rPr>
      </w:pPr>
    </w:p>
    <w:p w:rsidR="006C1C28" w:rsidRPr="006C1C28" w:rsidRDefault="006C1C28" w:rsidP="006C1C28">
      <w:pPr>
        <w:tabs>
          <w:tab w:val="left" w:pos="851"/>
        </w:tabs>
        <w:ind w:left="851"/>
        <w:rPr>
          <w:sz w:val="24"/>
          <w:szCs w:val="24"/>
        </w:rPr>
      </w:pPr>
      <w:r w:rsidRPr="006C1C28">
        <w:rPr>
          <w:sz w:val="24"/>
          <w:szCs w:val="24"/>
        </w:rPr>
        <w:t>Hvis der opstår kredsløbskollaps, skal der omgående startes genoplivning. Optimal ilttilførsel, ventilation og lettelse af cirkulationen samt behandling af acidose er af vital betydning.</w:t>
      </w:r>
    </w:p>
    <w:p w:rsidR="006C1C28" w:rsidRPr="006C1C28" w:rsidRDefault="006C1C28" w:rsidP="006C1C28">
      <w:pPr>
        <w:tabs>
          <w:tab w:val="left" w:pos="851"/>
        </w:tabs>
        <w:ind w:left="851"/>
        <w:rPr>
          <w:sz w:val="24"/>
          <w:szCs w:val="24"/>
          <w:lang w:val="nb-NO"/>
        </w:rPr>
      </w:pPr>
    </w:p>
    <w:p w:rsidR="006C1C28" w:rsidRPr="006C1C28" w:rsidRDefault="006C1C28" w:rsidP="006C1C28">
      <w:pPr>
        <w:tabs>
          <w:tab w:val="left" w:pos="851"/>
        </w:tabs>
        <w:ind w:left="851"/>
        <w:rPr>
          <w:sz w:val="24"/>
          <w:szCs w:val="24"/>
        </w:rPr>
      </w:pPr>
      <w:r w:rsidRPr="006C1C28">
        <w:rPr>
          <w:sz w:val="24"/>
          <w:szCs w:val="24"/>
        </w:rPr>
        <w:t>Hvis der viser sig tegn på kardiovaskulær depression (hypotension, bradykardi), skal det overvejes at indgive intravenøs væske, vasopressor og/eller stoffer med inotrop virkning. Børn skal gives doser, der er i overensstemmelse med deres alder og vægt.</w:t>
      </w:r>
    </w:p>
    <w:p w:rsidR="006C1C28" w:rsidRPr="006C1C28" w:rsidRDefault="006C1C28" w:rsidP="006C1C28">
      <w:pPr>
        <w:tabs>
          <w:tab w:val="left" w:pos="851"/>
        </w:tabs>
        <w:ind w:left="851"/>
        <w:rPr>
          <w:sz w:val="24"/>
          <w:szCs w:val="24"/>
          <w:lang w:val="nb-NO"/>
        </w:rPr>
      </w:pPr>
    </w:p>
    <w:p w:rsidR="006C1C28" w:rsidRPr="006C1C28" w:rsidRDefault="006C1C28" w:rsidP="006C1C28">
      <w:pPr>
        <w:tabs>
          <w:tab w:val="left" w:pos="851"/>
        </w:tabs>
        <w:ind w:left="851"/>
        <w:rPr>
          <w:sz w:val="24"/>
          <w:szCs w:val="24"/>
        </w:rPr>
      </w:pPr>
      <w:r w:rsidRPr="006C1C28">
        <w:rPr>
          <w:sz w:val="24"/>
          <w:szCs w:val="24"/>
        </w:rPr>
        <w:t>Hvis der opstår hjertestop, kan et vellykket udfald være betinget af en længerevarende genoplivningsprocedure.</w:t>
      </w:r>
    </w:p>
    <w:p w:rsidR="006C1C28" w:rsidRPr="006C1C28" w:rsidRDefault="006C1C28" w:rsidP="006C1C28">
      <w:pPr>
        <w:tabs>
          <w:tab w:val="left" w:pos="851"/>
        </w:tabs>
        <w:ind w:left="851"/>
        <w:rPr>
          <w:sz w:val="24"/>
          <w:szCs w:val="24"/>
          <w:lang w:val="nb-NO"/>
        </w:rPr>
      </w:pPr>
    </w:p>
    <w:p w:rsidR="009260DE" w:rsidRPr="006C1C28" w:rsidRDefault="009260DE" w:rsidP="009260DE">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D33542"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A1396E" w:rsidRPr="00A1396E" w:rsidRDefault="00A1396E" w:rsidP="00A1396E">
      <w:pPr>
        <w:tabs>
          <w:tab w:val="left" w:pos="851"/>
        </w:tabs>
        <w:ind w:left="851"/>
        <w:rPr>
          <w:sz w:val="24"/>
          <w:szCs w:val="24"/>
        </w:rPr>
      </w:pPr>
      <w:r w:rsidRPr="00A1396E">
        <w:rPr>
          <w:sz w:val="24"/>
          <w:szCs w:val="24"/>
        </w:rPr>
        <w:t>Farmakoterapeutisk klassifikation: Lokalanæstetikum af amidtypen, ATC-kode: N01BB09</w:t>
      </w:r>
      <w:r>
        <w:rPr>
          <w:sz w:val="24"/>
          <w:szCs w:val="24"/>
        </w:rPr>
        <w:t>.</w:t>
      </w:r>
    </w:p>
    <w:p w:rsidR="00A1396E" w:rsidRPr="00A1396E" w:rsidRDefault="00A1396E" w:rsidP="00A1396E">
      <w:pPr>
        <w:tabs>
          <w:tab w:val="left" w:pos="851"/>
        </w:tabs>
        <w:ind w:left="851"/>
        <w:rPr>
          <w:sz w:val="24"/>
          <w:szCs w:val="24"/>
          <w:lang w:val="nb-NO"/>
        </w:rPr>
      </w:pPr>
    </w:p>
    <w:p w:rsidR="00A1396E" w:rsidRPr="00A1396E" w:rsidRDefault="00A1396E" w:rsidP="00A1396E">
      <w:pPr>
        <w:tabs>
          <w:tab w:val="left" w:pos="851"/>
        </w:tabs>
        <w:ind w:left="851"/>
        <w:rPr>
          <w:sz w:val="24"/>
          <w:szCs w:val="24"/>
        </w:rPr>
      </w:pPr>
      <w:r w:rsidRPr="00A1396E">
        <w:rPr>
          <w:sz w:val="24"/>
          <w:szCs w:val="24"/>
        </w:rPr>
        <w:t>Ropivacain er et langtidsvirkende lokalanalgetikum af amidtypen med både anæstetiske og analgetiske virkninger. Ved høje doser fremkalder det kirurgisk anæstesi, og ved lavere doser fremkalder det sensorisk blokade med begrænset og non-progressiv motorisk blokade.</w:t>
      </w:r>
    </w:p>
    <w:p w:rsidR="00A1396E" w:rsidRPr="00A1396E" w:rsidRDefault="00A1396E" w:rsidP="00A1396E">
      <w:pPr>
        <w:tabs>
          <w:tab w:val="left" w:pos="851"/>
        </w:tabs>
        <w:ind w:left="851"/>
        <w:rPr>
          <w:sz w:val="24"/>
          <w:szCs w:val="24"/>
          <w:lang w:val="nb-NO"/>
        </w:rPr>
      </w:pPr>
    </w:p>
    <w:p w:rsidR="00A1396E" w:rsidRPr="00A1396E" w:rsidRDefault="00A1396E" w:rsidP="00A1396E">
      <w:pPr>
        <w:tabs>
          <w:tab w:val="left" w:pos="851"/>
        </w:tabs>
        <w:ind w:left="851"/>
        <w:rPr>
          <w:sz w:val="24"/>
          <w:szCs w:val="24"/>
        </w:rPr>
      </w:pPr>
      <w:r w:rsidRPr="00A1396E">
        <w:rPr>
          <w:sz w:val="24"/>
          <w:szCs w:val="24"/>
        </w:rPr>
        <w:t>Ropivacain virker gennem en reversibel reduktion af nervefiber-membranernes permeabilitet for natriumioner. Som følge heraf nedsættes depolarisationshastigheden, mens eksitationstærsklen hæves, hvilket fører til en lokal blokade af nerveimpulserne.</w:t>
      </w:r>
    </w:p>
    <w:p w:rsidR="00A1396E" w:rsidRPr="00A1396E" w:rsidRDefault="00A1396E" w:rsidP="00A1396E">
      <w:pPr>
        <w:tabs>
          <w:tab w:val="left" w:pos="851"/>
        </w:tabs>
        <w:ind w:left="851"/>
        <w:rPr>
          <w:sz w:val="24"/>
          <w:szCs w:val="24"/>
          <w:lang w:val="nb-NO"/>
        </w:rPr>
      </w:pPr>
    </w:p>
    <w:p w:rsidR="00A1396E" w:rsidRPr="00A1396E" w:rsidRDefault="00A1396E" w:rsidP="00A1396E">
      <w:pPr>
        <w:tabs>
          <w:tab w:val="left" w:pos="851"/>
        </w:tabs>
        <w:ind w:left="851"/>
        <w:rPr>
          <w:sz w:val="24"/>
          <w:szCs w:val="24"/>
        </w:rPr>
      </w:pPr>
      <w:r w:rsidRPr="00A1396E">
        <w:rPr>
          <w:sz w:val="24"/>
          <w:szCs w:val="24"/>
        </w:rPr>
        <w:t xml:space="preserve">Den mest karakteristiske egenskab ved ropivacain er den lange virkningstid. Start og varighed af den lokalanæstetiske effekt afhænger af stedet for injektion samt dosis, men påvirkes ikke af tilstedeværelsen af en vasokonstriktor (f.eks. adrenalin (epinephrin)). For oplysninger </w:t>
      </w:r>
      <w:bookmarkStart w:id="8" w:name="_Hlk160615735"/>
      <w:r w:rsidRPr="00A1396E">
        <w:rPr>
          <w:sz w:val="24"/>
          <w:szCs w:val="24"/>
        </w:rPr>
        <w:t xml:space="preserve">om start og varighed af virkningen af ropivacain </w:t>
      </w:r>
      <w:bookmarkEnd w:id="8"/>
      <w:r w:rsidRPr="00A1396E">
        <w:rPr>
          <w:sz w:val="24"/>
          <w:szCs w:val="24"/>
        </w:rPr>
        <w:t xml:space="preserve">henvises til tabel 1 </w:t>
      </w:r>
      <w:bookmarkStart w:id="9" w:name="_Hlk160615749"/>
      <w:r w:rsidRPr="00A1396E">
        <w:rPr>
          <w:sz w:val="24"/>
          <w:szCs w:val="24"/>
        </w:rPr>
        <w:t>under dosering og administration</w:t>
      </w:r>
      <w:bookmarkEnd w:id="9"/>
      <w:r w:rsidRPr="00A1396E">
        <w:rPr>
          <w:sz w:val="24"/>
          <w:szCs w:val="24"/>
        </w:rPr>
        <w:t>.</w:t>
      </w:r>
    </w:p>
    <w:p w:rsidR="00A1396E" w:rsidRPr="00A1396E" w:rsidRDefault="00A1396E" w:rsidP="00A1396E">
      <w:pPr>
        <w:tabs>
          <w:tab w:val="left" w:pos="851"/>
        </w:tabs>
        <w:ind w:left="851"/>
        <w:rPr>
          <w:sz w:val="24"/>
          <w:szCs w:val="24"/>
          <w:lang w:val="nb-NO"/>
        </w:rPr>
      </w:pPr>
    </w:p>
    <w:p w:rsidR="00A1396E" w:rsidRPr="00A1396E" w:rsidRDefault="00A1396E" w:rsidP="00A1396E">
      <w:pPr>
        <w:tabs>
          <w:tab w:val="left" w:pos="851"/>
        </w:tabs>
        <w:ind w:left="851"/>
        <w:rPr>
          <w:sz w:val="24"/>
          <w:szCs w:val="24"/>
        </w:rPr>
      </w:pPr>
      <w:r w:rsidRPr="00A1396E">
        <w:rPr>
          <w:sz w:val="24"/>
          <w:szCs w:val="24"/>
        </w:rPr>
        <w:t xml:space="preserve">Raske frivillige forsøgspersoner udsat for intravenøs infusion af ropivacain tålte lægemidlet godt i lave doser og med forventede CNS symptomer ved administration af den maksimale tolererede dosis. De kliniske erfaringer med </w:t>
      </w:r>
      <w:bookmarkStart w:id="10" w:name="_Hlk160615764"/>
      <w:r w:rsidRPr="00A1396E">
        <w:rPr>
          <w:sz w:val="24"/>
          <w:szCs w:val="24"/>
        </w:rPr>
        <w:t>ropivacain</w:t>
      </w:r>
      <w:bookmarkEnd w:id="10"/>
      <w:r w:rsidRPr="00A1396E">
        <w:rPr>
          <w:sz w:val="24"/>
          <w:szCs w:val="24"/>
        </w:rPr>
        <w:t xml:space="preserve"> tyder på, at det har en god sikkerhedsmargen ved korrekt brug i anbefalede doser.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Ropivacain har et chiralt center og er tilgængeligt som den rene S-(-)</w:t>
      </w:r>
      <w:r w:rsidRPr="00A1396E">
        <w:rPr>
          <w:rFonts w:asciiTheme="majorBidi" w:hAnsiTheme="majorBidi"/>
          <w:sz w:val="24"/>
          <w:szCs w:val="24"/>
        </w:rPr>
        <w:noBreakHyphen/>
        <w:t>enantiomer. Det er meget fedtopløseligt. Samtlige metabolitter har en lokalanæstetisk effekt, men med betydelig lavere potens og kortere virkningstid end ropivacain.</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pStyle w:val="Bodytext20"/>
        <w:shd w:val="clear" w:color="auto" w:fill="auto"/>
        <w:spacing w:after="256"/>
        <w:ind w:left="851" w:firstLine="0"/>
        <w:rPr>
          <w:sz w:val="24"/>
          <w:szCs w:val="24"/>
        </w:rPr>
      </w:pPr>
      <w:r w:rsidRPr="00A1396E">
        <w:rPr>
          <w:sz w:val="24"/>
          <w:szCs w:val="24"/>
        </w:rPr>
        <w:t xml:space="preserve">Der er ingen evidens på </w:t>
      </w:r>
      <w:r w:rsidRPr="00A1396E">
        <w:rPr>
          <w:rStyle w:val="Bodytext2Italic"/>
          <w:sz w:val="24"/>
          <w:szCs w:val="24"/>
        </w:rPr>
        <w:t>in vivo</w:t>
      </w:r>
      <w:r w:rsidRPr="00A1396E">
        <w:rPr>
          <w:sz w:val="24"/>
          <w:szCs w:val="24"/>
        </w:rPr>
        <w:t xml:space="preserve"> racemisering af ropivacain.</w:t>
      </w: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Plasmakoncentrationen af ropivacain afhænger af dosis, administrationsvej og karforsyningen i injektionsområdet. Ropivacain følger en lineær farmakokinetik, og Cmax er proportional med dosis.</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Ropivacain absorberes komplet og bifasisk fra epiduralrummet med en halveringstid for de to faser i størrelsesordenen 14 minutter og 4 timer hos voksne. Den langsomme absorption er den hastighedsbestemmende faktor for eliminationen af ropivacain, hvilket forklarer, hvorfor den tilsyneladende halveringstid for eliminationen er længere efter epidural end efter intravenøs administration. Ropivacain absorberes også hos børn bifasisk fra det caudale epiduralrum.</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 xml:space="preserve">Ropivacain har en gennemsnitlig total plasmaclearance på ca. 440 ml/minut, en renal clearance på 1 ml/minut, et fordelingsvolumen i steady-state på 47 l og en terminal </w:t>
      </w:r>
      <w:r w:rsidRPr="00A1396E">
        <w:rPr>
          <w:rFonts w:asciiTheme="majorBidi" w:hAnsiTheme="majorBidi"/>
          <w:sz w:val="24"/>
          <w:szCs w:val="24"/>
        </w:rPr>
        <w:lastRenderedPageBreak/>
        <w:t>halveringstid på 1,8 timer efter i.v. administration. Ropivacain har en intermediær hepatisk ekstraktionsratio på ca. 0,4. Det er hovedsagelig bundet til e α1-syre-glycoproteiner i plasma med en ikke-bundet fraktion på ca. 6 %.</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En stigning i total plasma-koncentration under kontinuerlig epidural og interscalenus-infusion er observeret, og kan relateres til en post-operativ stigning i sure α1-syre-glycoproteiner</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Variationer i ikke-bundet, dvs. farmakologisk aktiv, koncentration er langt mindre end i den totale plasmakoncentration.</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Da ropivacains hepatiske ekstraktionsratio er intermediær til lav, bør elimineringshastigheden afhænge af den ubundne plasmakoncentration. Som det er set i studier med børn og voksne, vil en postoperativ stigning i AAG medføre fald i den ubundne fraktion på grund af øget proteinbinding, som vil få den totale clearance til at falde og resultere i en stigning i total plasmakoncentration. Ropivacains ubundne clearance forbliver uændret, hvilket kan ses ved stabile ubundne koncentrationer under postoperativ infusion. Det er de ubundne plasmakoncentrationer, som kan relateres til de systemiske farmakodynamiske virkninger og toksicitet.</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Ropivacain passerer let placenta, og der vil hurtigt indtræde ligevægt for den ikke-bundne koncentration. Graden af plasmaproteinbinding hos fostret er mindre end hos moderen, hvilket resulterer i en lavere total plasmakoncentration hos fostret end hos moderen.</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Ropivacain undergår en udstrakt metabolisering, overvejende via en aromatisk hydroxylering. I alt 86 % af en dosis udskilles i urinen efter intravenøs administration, og heraf relaterer kun ca. 1 % til uomdannet aktivt stof. Hovedmetabolitten er 3-hydroxy-ropivacain (ca. 37 %), som udskilles i urinen i overvejende konjugeret form. Urinudskillelsen af 4-hydroxy-ropivacain, en N-dealkyleret metabolit (PPX), og 4-hydroxy-dealkyleret udgør 1-3 %. Konjugeret og ikke-konjugeret 3-hydroxy-ropivacain viser kun detekterbar koncentrationer i plasma.</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Et lignende mønster af metabolitter er fundet hos børn over et år.</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Nedsat nyrefunktion har ringe eller ingen indflydelse på farmakokinetikken for ropivacain. Renal clearance af PPX er signifikant korreleret med kreatininclearance. Mangel på korrelation mellem total eksponering, udtrykt som AUC, og kreatininclearance indikerer, at den totale clearance af PPX omfatter en ikke-renal udskillelse udover renal udskillelse. Nogle patienter med nedsat nyrefunktion kan udvise en øget eksponering for PPX, som stammer fra en lav ikke-renal clearance. På grund af den reducerede CNS-toksicitet af PPX sammenlignet med ropivacain anses de kliniske følger som ubetydelige ved korttidsbehandling. Patienter med terminalt nyresvigt, som behandles i dialyse, er ikke undersøgt.</w:t>
      </w:r>
    </w:p>
    <w:p w:rsidR="00A1396E" w:rsidRPr="00A1396E" w:rsidRDefault="00A1396E" w:rsidP="00A1396E">
      <w:pPr>
        <w:widowControl w:val="0"/>
        <w:ind w:left="851"/>
        <w:rPr>
          <w:rFonts w:asciiTheme="majorBidi" w:hAnsiTheme="majorBidi" w:cstheme="majorBidi"/>
          <w:color w:val="000000"/>
          <w:sz w:val="24"/>
          <w:szCs w:val="24"/>
          <w:lang w:val="nb-NO"/>
        </w:rPr>
      </w:pPr>
    </w:p>
    <w:p w:rsidR="00A1396E" w:rsidRPr="00A1396E" w:rsidRDefault="00A1396E" w:rsidP="00A1396E">
      <w:pPr>
        <w:widowControl w:val="0"/>
        <w:ind w:left="851"/>
        <w:rPr>
          <w:rFonts w:asciiTheme="majorBidi" w:hAnsiTheme="majorBidi" w:cstheme="majorBidi"/>
          <w:sz w:val="24"/>
          <w:szCs w:val="24"/>
          <w:u w:val="single"/>
        </w:rPr>
      </w:pPr>
      <w:r w:rsidRPr="00A1396E">
        <w:rPr>
          <w:rFonts w:asciiTheme="majorBidi" w:hAnsiTheme="majorBidi"/>
          <w:sz w:val="24"/>
          <w:szCs w:val="24"/>
          <w:u w:val="single"/>
        </w:rPr>
        <w:t>Pædiatrisk patientgruppe</w:t>
      </w: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 xml:space="preserve">Ropivacains farmakokinetik blev karakteriseret i en poolet farmakokinetisk populationsanalyse med data fra 192 børn i alderen 0-12 år. Ubundet ropivacain og PPX-clearance og ropivacains ubundne fordelingsvolumen afhænger af både kropsvægt og alder indtil modning af leverfunktionen, hvorefter de fortrinsvis afhænger af kropsvægt. Clearance af ubundet ropivacain synes at være modnet fuldstændig ved 3-årsalderen, PPX ved 1-årsalderen og fordelingsvolumen for ubundet ropivacain ved 2-årsalderen. </w:t>
      </w:r>
      <w:r w:rsidRPr="00A1396E">
        <w:rPr>
          <w:rFonts w:asciiTheme="majorBidi" w:hAnsiTheme="majorBidi"/>
          <w:sz w:val="24"/>
          <w:szCs w:val="24"/>
        </w:rPr>
        <w:lastRenderedPageBreak/>
        <w:t>Fordelingsvolumen for ubundet PPX afhænger kun af kropsvægt. Da PPX har en længere halveringstid og en lavere clearance, kan det akkumulere ved epidural infusion.</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Clearance for ubundet ropivacain (CL</w:t>
      </w:r>
      <w:r w:rsidRPr="00A1396E">
        <w:rPr>
          <w:rFonts w:asciiTheme="majorBidi" w:hAnsiTheme="majorBidi"/>
          <w:sz w:val="24"/>
          <w:szCs w:val="24"/>
          <w:vertAlign w:val="subscript"/>
        </w:rPr>
        <w:t>u</w:t>
      </w:r>
      <w:r w:rsidRPr="00A1396E">
        <w:rPr>
          <w:rFonts w:asciiTheme="majorBidi" w:hAnsiTheme="majorBidi"/>
          <w:sz w:val="24"/>
          <w:szCs w:val="24"/>
        </w:rPr>
        <w:t>) har ved en alder på over 6 måneder nået værdier inden for voksenintervallet. Ropivacains totale clearance-værdier (CL) som er angivet i Tabel 5 nedenfor, er dem, som ikke påvirkes af den postoperative stigning i AAG.</w:t>
      </w:r>
    </w:p>
    <w:p w:rsidR="00A1396E" w:rsidRDefault="00A1396E" w:rsidP="00A1396E">
      <w:pPr>
        <w:widowControl w:val="0"/>
        <w:rPr>
          <w:rFonts w:asciiTheme="majorBidi" w:hAnsiTheme="majorBidi" w:cstheme="majorBidi"/>
          <w:lang w:val="nb-NO"/>
        </w:rPr>
      </w:pPr>
    </w:p>
    <w:p w:rsidR="00A1396E" w:rsidRDefault="00A1396E" w:rsidP="00A1396E">
      <w:pPr>
        <w:widowControl w:val="0"/>
        <w:ind w:left="1134" w:hanging="1134"/>
        <w:rPr>
          <w:rFonts w:asciiTheme="majorBidi" w:hAnsiTheme="majorBidi" w:cstheme="majorBidi"/>
          <w:b/>
        </w:rPr>
      </w:pPr>
      <w:r>
        <w:rPr>
          <w:rFonts w:asciiTheme="majorBidi" w:hAnsiTheme="majorBidi"/>
          <w:b/>
        </w:rPr>
        <w:t>Tabel 5</w:t>
      </w:r>
      <w:r>
        <w:rPr>
          <w:rFonts w:asciiTheme="majorBidi" w:hAnsiTheme="majorBidi"/>
          <w:b/>
        </w:rPr>
        <w:tab/>
        <w:t>Estimerede farmakokinetiske parametre ud fra poolet farmakokinetisk pædiatrisk populationsanalyse</w:t>
      </w:r>
    </w:p>
    <w:p w:rsidR="00A1396E" w:rsidRDefault="00A1396E" w:rsidP="00A1396E">
      <w:pPr>
        <w:widowControl w:val="0"/>
        <w:rPr>
          <w:rFonts w:asciiTheme="majorBidi" w:hAnsiTheme="majorBidi" w:cstheme="majorBidi"/>
          <w:lang w:val="nb-NO"/>
        </w:rPr>
      </w:pPr>
    </w:p>
    <w:tbl>
      <w:tblPr>
        <w:tblStyle w:val="Tabel-Gitter"/>
        <w:tblW w:w="949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78"/>
        <w:gridCol w:w="1256"/>
        <w:gridCol w:w="1245"/>
        <w:gridCol w:w="1256"/>
        <w:gridCol w:w="1230"/>
        <w:gridCol w:w="1242"/>
      </w:tblGrid>
      <w:tr w:rsidR="00A1396E" w:rsidTr="00A1396E">
        <w:trPr>
          <w:trHeight w:val="606"/>
        </w:trPr>
        <w:tc>
          <w:tcPr>
            <w:tcW w:w="1922" w:type="dxa"/>
            <w:tcBorders>
              <w:top w:val="single" w:sz="12" w:space="0" w:color="auto"/>
              <w:left w:val="nil"/>
              <w:bottom w:val="single" w:sz="4" w:space="0" w:color="auto"/>
              <w:right w:val="nil"/>
            </w:tcBorders>
            <w:hideMark/>
          </w:tcPr>
          <w:p w:rsidR="00A1396E" w:rsidRDefault="00A1396E">
            <w:pPr>
              <w:widowControl w:val="0"/>
              <w:jc w:val="both"/>
              <w:rPr>
                <w:rFonts w:asciiTheme="majorBidi" w:hAnsiTheme="majorBidi" w:cstheme="majorBidi"/>
                <w:b/>
              </w:rPr>
            </w:pPr>
            <w:r>
              <w:rPr>
                <w:rFonts w:asciiTheme="majorBidi" w:hAnsiTheme="majorBidi"/>
                <w:b/>
              </w:rPr>
              <w:t>Alder</w:t>
            </w:r>
          </w:p>
          <w:p w:rsidR="00A1396E" w:rsidRDefault="00A1396E">
            <w:pPr>
              <w:widowControl w:val="0"/>
              <w:jc w:val="both"/>
              <w:rPr>
                <w:rFonts w:asciiTheme="majorBidi" w:hAnsiTheme="majorBidi" w:cstheme="majorBidi"/>
                <w:b/>
              </w:rPr>
            </w:pPr>
            <w:r>
              <w:rPr>
                <w:rFonts w:asciiTheme="majorBidi" w:hAnsiTheme="majorBidi"/>
                <w:b/>
              </w:rPr>
              <w:t>Gruppe</w:t>
            </w:r>
          </w:p>
        </w:tc>
        <w:tc>
          <w:tcPr>
            <w:tcW w:w="1260"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rPr>
            </w:pPr>
            <w:r>
              <w:rPr>
                <w:rFonts w:asciiTheme="majorBidi" w:hAnsiTheme="majorBidi"/>
                <w:b/>
              </w:rPr>
              <w:t>Kropsvægt</w:t>
            </w:r>
            <w:r>
              <w:rPr>
                <w:rFonts w:asciiTheme="majorBidi" w:hAnsiTheme="majorBidi"/>
                <w:b/>
                <w:vertAlign w:val="superscript"/>
              </w:rPr>
              <w:t>a</w:t>
            </w:r>
          </w:p>
          <w:p w:rsidR="00A1396E" w:rsidRDefault="00A1396E">
            <w:pPr>
              <w:widowControl w:val="0"/>
              <w:jc w:val="center"/>
              <w:rPr>
                <w:rFonts w:asciiTheme="majorBidi" w:hAnsiTheme="majorBidi" w:cstheme="majorBidi"/>
                <w:b/>
              </w:rPr>
            </w:pPr>
            <w:r>
              <w:rPr>
                <w:rFonts w:asciiTheme="majorBidi" w:hAnsiTheme="majorBidi"/>
                <w:b/>
              </w:rPr>
              <w:t>kg</w:t>
            </w:r>
          </w:p>
        </w:tc>
        <w:tc>
          <w:tcPr>
            <w:tcW w:w="1269"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rPr>
            </w:pPr>
            <w:r>
              <w:rPr>
                <w:rFonts w:asciiTheme="majorBidi" w:hAnsiTheme="majorBidi"/>
                <w:b/>
              </w:rPr>
              <w:t>Clu</w:t>
            </w:r>
            <w:r>
              <w:rPr>
                <w:rFonts w:asciiTheme="majorBidi" w:hAnsiTheme="majorBidi"/>
                <w:b/>
                <w:vertAlign w:val="superscript"/>
              </w:rPr>
              <w:t>b</w:t>
            </w:r>
          </w:p>
          <w:p w:rsidR="00A1396E" w:rsidRDefault="00A1396E">
            <w:pPr>
              <w:widowControl w:val="0"/>
              <w:jc w:val="center"/>
              <w:rPr>
                <w:rFonts w:asciiTheme="majorBidi" w:hAnsiTheme="majorBidi" w:cstheme="majorBidi"/>
                <w:b/>
              </w:rPr>
            </w:pPr>
            <w:r>
              <w:rPr>
                <w:rFonts w:asciiTheme="majorBidi" w:hAnsiTheme="majorBidi"/>
                <w:b/>
              </w:rPr>
              <w:t>(l/t/kg)</w:t>
            </w:r>
          </w:p>
        </w:tc>
        <w:tc>
          <w:tcPr>
            <w:tcW w:w="1263"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rPr>
            </w:pPr>
            <w:r>
              <w:rPr>
                <w:rFonts w:asciiTheme="majorBidi" w:hAnsiTheme="majorBidi"/>
                <w:b/>
              </w:rPr>
              <w:t>Vu</w:t>
            </w:r>
            <w:r>
              <w:rPr>
                <w:rFonts w:asciiTheme="majorBidi" w:hAnsiTheme="majorBidi"/>
                <w:b/>
                <w:vertAlign w:val="superscript"/>
              </w:rPr>
              <w:t>c</w:t>
            </w:r>
          </w:p>
          <w:p w:rsidR="00A1396E" w:rsidRDefault="00A1396E">
            <w:pPr>
              <w:widowControl w:val="0"/>
              <w:jc w:val="center"/>
              <w:rPr>
                <w:rFonts w:asciiTheme="majorBidi" w:hAnsiTheme="majorBidi" w:cstheme="majorBidi"/>
                <w:b/>
              </w:rPr>
            </w:pPr>
            <w:r>
              <w:rPr>
                <w:rFonts w:asciiTheme="majorBidi" w:hAnsiTheme="majorBidi"/>
                <w:b/>
              </w:rPr>
              <w:t>(l/kg)</w:t>
            </w:r>
          </w:p>
        </w:tc>
        <w:tc>
          <w:tcPr>
            <w:tcW w:w="1269"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rPr>
            </w:pPr>
            <w:r>
              <w:rPr>
                <w:rFonts w:asciiTheme="majorBidi" w:hAnsiTheme="majorBidi"/>
                <w:b/>
              </w:rPr>
              <w:t>CL</w:t>
            </w:r>
            <w:r>
              <w:rPr>
                <w:rFonts w:asciiTheme="majorBidi" w:hAnsiTheme="majorBidi"/>
                <w:b/>
                <w:vertAlign w:val="superscript"/>
              </w:rPr>
              <w:t>d</w:t>
            </w:r>
          </w:p>
          <w:p w:rsidR="00A1396E" w:rsidRDefault="00A1396E">
            <w:pPr>
              <w:widowControl w:val="0"/>
              <w:jc w:val="center"/>
              <w:rPr>
                <w:rFonts w:asciiTheme="majorBidi" w:hAnsiTheme="majorBidi" w:cstheme="majorBidi"/>
                <w:b/>
              </w:rPr>
            </w:pPr>
            <w:r>
              <w:rPr>
                <w:rFonts w:asciiTheme="majorBidi" w:hAnsiTheme="majorBidi"/>
                <w:b/>
              </w:rPr>
              <w:t>(l/t/kg)</w:t>
            </w:r>
          </w:p>
        </w:tc>
        <w:tc>
          <w:tcPr>
            <w:tcW w:w="1254"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lang w:val="en-GB"/>
              </w:rPr>
            </w:pPr>
            <w:r>
              <w:rPr>
                <w:rFonts w:asciiTheme="majorBidi" w:hAnsiTheme="majorBidi" w:cstheme="majorBidi"/>
                <w:b/>
                <w:lang w:val="en-GB"/>
              </w:rPr>
              <w:t>t</w:t>
            </w:r>
            <w:r>
              <w:rPr>
                <w:rFonts w:asciiTheme="majorBidi" w:hAnsiTheme="majorBidi" w:cstheme="majorBidi"/>
                <w:b/>
                <w:vertAlign w:val="subscript"/>
                <w:lang w:val="en-GB"/>
              </w:rPr>
              <w:t>1/2</w:t>
            </w:r>
            <w:r>
              <w:rPr>
                <w:rFonts w:asciiTheme="majorBidi" w:hAnsiTheme="majorBidi" w:cstheme="majorBidi"/>
                <w:b/>
                <w:position w:val="10"/>
                <w:vertAlign w:val="subscript"/>
                <w:lang w:val="en-GB"/>
              </w:rPr>
              <w:t>e</w:t>
            </w:r>
          </w:p>
          <w:p w:rsidR="00A1396E" w:rsidRDefault="00A1396E">
            <w:pPr>
              <w:widowControl w:val="0"/>
              <w:jc w:val="center"/>
              <w:rPr>
                <w:rFonts w:asciiTheme="majorBidi" w:hAnsiTheme="majorBidi" w:cstheme="majorBidi"/>
                <w:b/>
              </w:rPr>
            </w:pPr>
            <w:r>
              <w:rPr>
                <w:rFonts w:asciiTheme="majorBidi" w:hAnsiTheme="majorBidi"/>
                <w:b/>
              </w:rPr>
              <w:t>(t)</w:t>
            </w:r>
          </w:p>
        </w:tc>
        <w:tc>
          <w:tcPr>
            <w:tcW w:w="1260" w:type="dxa"/>
            <w:tcBorders>
              <w:top w:val="single" w:sz="12" w:space="0" w:color="auto"/>
              <w:left w:val="nil"/>
              <w:bottom w:val="single" w:sz="4" w:space="0" w:color="auto"/>
              <w:right w:val="nil"/>
            </w:tcBorders>
          </w:tcPr>
          <w:p w:rsidR="00A1396E" w:rsidRDefault="00A1396E">
            <w:pPr>
              <w:widowControl w:val="0"/>
              <w:jc w:val="center"/>
              <w:rPr>
                <w:rFonts w:asciiTheme="majorBidi" w:hAnsiTheme="majorBidi" w:cstheme="majorBidi"/>
                <w:b/>
                <w:lang w:val="en-GB"/>
              </w:rPr>
            </w:pPr>
            <w:r>
              <w:rPr>
                <w:rFonts w:asciiTheme="majorBidi" w:hAnsiTheme="majorBidi" w:cstheme="majorBidi"/>
                <w:b/>
                <w:lang w:val="en-GB"/>
              </w:rPr>
              <w:t>t</w:t>
            </w:r>
            <w:r>
              <w:rPr>
                <w:rFonts w:asciiTheme="majorBidi" w:hAnsiTheme="majorBidi" w:cstheme="majorBidi"/>
                <w:b/>
                <w:vertAlign w:val="subscript"/>
                <w:lang w:val="en-GB"/>
              </w:rPr>
              <w:t xml:space="preserve">1/2ppx </w:t>
            </w:r>
            <w:r>
              <w:rPr>
                <w:rFonts w:asciiTheme="majorBidi" w:hAnsiTheme="majorBidi" w:cstheme="majorBidi"/>
                <w:b/>
                <w:position w:val="10"/>
                <w:vertAlign w:val="subscript"/>
                <w:lang w:val="en-GB"/>
              </w:rPr>
              <w:t>f</w:t>
            </w:r>
          </w:p>
          <w:p w:rsidR="00A1396E" w:rsidRDefault="00A1396E">
            <w:pPr>
              <w:widowControl w:val="0"/>
              <w:jc w:val="center"/>
              <w:rPr>
                <w:rFonts w:asciiTheme="majorBidi" w:hAnsiTheme="majorBidi" w:cstheme="majorBidi"/>
                <w:b/>
              </w:rPr>
            </w:pPr>
          </w:p>
          <w:p w:rsidR="00A1396E" w:rsidRDefault="00A1396E">
            <w:pPr>
              <w:widowControl w:val="0"/>
              <w:jc w:val="center"/>
              <w:rPr>
                <w:rFonts w:asciiTheme="majorBidi" w:hAnsiTheme="majorBidi" w:cstheme="majorBidi"/>
                <w:b/>
              </w:rPr>
            </w:pPr>
            <w:r>
              <w:rPr>
                <w:rFonts w:asciiTheme="majorBidi" w:hAnsiTheme="majorBidi"/>
                <w:b/>
              </w:rPr>
              <w:t>(t)</w:t>
            </w:r>
          </w:p>
        </w:tc>
      </w:tr>
      <w:tr w:rsidR="00A1396E" w:rsidTr="00A1396E">
        <w:trPr>
          <w:trHeight w:val="220"/>
        </w:trPr>
        <w:tc>
          <w:tcPr>
            <w:tcW w:w="1922" w:type="dxa"/>
            <w:tcBorders>
              <w:top w:val="single" w:sz="4" w:space="0" w:color="auto"/>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rPr>
              <w:t>Nyfødt</w:t>
            </w:r>
          </w:p>
        </w:tc>
        <w:tc>
          <w:tcPr>
            <w:tcW w:w="1260"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3,27</w:t>
            </w:r>
          </w:p>
        </w:tc>
        <w:tc>
          <w:tcPr>
            <w:tcW w:w="1269"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2,40</w:t>
            </w:r>
          </w:p>
        </w:tc>
        <w:tc>
          <w:tcPr>
            <w:tcW w:w="1263"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21,86</w:t>
            </w:r>
          </w:p>
        </w:tc>
        <w:tc>
          <w:tcPr>
            <w:tcW w:w="1269"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0,096</w:t>
            </w:r>
          </w:p>
        </w:tc>
        <w:tc>
          <w:tcPr>
            <w:tcW w:w="1254"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6,3</w:t>
            </w:r>
          </w:p>
        </w:tc>
        <w:tc>
          <w:tcPr>
            <w:tcW w:w="1260"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b/>
                <w:bCs/>
              </w:rPr>
            </w:pPr>
            <w:r>
              <w:rPr>
                <w:rFonts w:asciiTheme="majorBidi" w:hAnsiTheme="majorBidi"/>
              </w:rPr>
              <w:t>43,3</w:t>
            </w:r>
          </w:p>
        </w:tc>
      </w:tr>
      <w:tr w:rsidR="00A1396E" w:rsidTr="00A1396E">
        <w:trPr>
          <w:trHeight w:val="219"/>
        </w:trPr>
        <w:tc>
          <w:tcPr>
            <w:tcW w:w="1922"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rPr>
              <w:t>1 m</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4,29</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3,60</w:t>
            </w:r>
          </w:p>
        </w:tc>
        <w:tc>
          <w:tcPr>
            <w:tcW w:w="1263"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25,94</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0,143</w:t>
            </w:r>
          </w:p>
        </w:tc>
        <w:tc>
          <w:tcPr>
            <w:tcW w:w="1254"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5,0</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25,7</w:t>
            </w:r>
          </w:p>
        </w:tc>
      </w:tr>
      <w:tr w:rsidR="00A1396E" w:rsidTr="00A1396E">
        <w:trPr>
          <w:trHeight w:val="219"/>
        </w:trPr>
        <w:tc>
          <w:tcPr>
            <w:tcW w:w="1922"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rPr>
              <w:t>6 m</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7,85</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8,03</w:t>
            </w:r>
          </w:p>
        </w:tc>
        <w:tc>
          <w:tcPr>
            <w:tcW w:w="1263"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41,71</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0,320</w:t>
            </w:r>
          </w:p>
        </w:tc>
        <w:tc>
          <w:tcPr>
            <w:tcW w:w="1254"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3,6</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14,5</w:t>
            </w:r>
          </w:p>
        </w:tc>
      </w:tr>
      <w:tr w:rsidR="00A1396E" w:rsidTr="00A1396E">
        <w:trPr>
          <w:trHeight w:val="219"/>
        </w:trPr>
        <w:tc>
          <w:tcPr>
            <w:tcW w:w="1922"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rPr>
              <w:t>1 år</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10,15</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11,32</w:t>
            </w:r>
          </w:p>
        </w:tc>
        <w:tc>
          <w:tcPr>
            <w:tcW w:w="1263"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52,60</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0,451</w:t>
            </w:r>
          </w:p>
        </w:tc>
        <w:tc>
          <w:tcPr>
            <w:tcW w:w="1254"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3,2</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13,6</w:t>
            </w:r>
          </w:p>
        </w:tc>
      </w:tr>
      <w:tr w:rsidR="00A1396E" w:rsidTr="00A1396E">
        <w:trPr>
          <w:trHeight w:val="219"/>
        </w:trPr>
        <w:tc>
          <w:tcPr>
            <w:tcW w:w="1922"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rPr>
              <w:t>4 år</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16,69</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15,91</w:t>
            </w:r>
          </w:p>
        </w:tc>
        <w:tc>
          <w:tcPr>
            <w:tcW w:w="1263"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65,24</w:t>
            </w:r>
          </w:p>
        </w:tc>
        <w:tc>
          <w:tcPr>
            <w:tcW w:w="126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0,633</w:t>
            </w:r>
          </w:p>
        </w:tc>
        <w:tc>
          <w:tcPr>
            <w:tcW w:w="1254"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2,8</w:t>
            </w:r>
          </w:p>
        </w:tc>
        <w:tc>
          <w:tcPr>
            <w:tcW w:w="1260"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rPr>
              <w:t>15,1</w:t>
            </w:r>
          </w:p>
        </w:tc>
      </w:tr>
      <w:tr w:rsidR="00A1396E" w:rsidTr="00A1396E">
        <w:trPr>
          <w:trHeight w:val="219"/>
        </w:trPr>
        <w:tc>
          <w:tcPr>
            <w:tcW w:w="1922" w:type="dxa"/>
            <w:tcBorders>
              <w:top w:val="nil"/>
              <w:left w:val="nil"/>
              <w:bottom w:val="single" w:sz="12" w:space="0" w:color="auto"/>
              <w:right w:val="nil"/>
            </w:tcBorders>
            <w:hideMark/>
          </w:tcPr>
          <w:p w:rsidR="00A1396E" w:rsidRDefault="00A1396E">
            <w:pPr>
              <w:widowControl w:val="0"/>
              <w:jc w:val="both"/>
              <w:rPr>
                <w:rFonts w:asciiTheme="majorBidi" w:hAnsiTheme="majorBidi" w:cstheme="majorBidi"/>
              </w:rPr>
            </w:pPr>
            <w:r>
              <w:rPr>
                <w:rFonts w:asciiTheme="majorBidi" w:hAnsiTheme="majorBidi"/>
              </w:rPr>
              <w:t>10 år</w:t>
            </w:r>
          </w:p>
        </w:tc>
        <w:tc>
          <w:tcPr>
            <w:tcW w:w="1260"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32,19</w:t>
            </w:r>
          </w:p>
        </w:tc>
        <w:tc>
          <w:tcPr>
            <w:tcW w:w="1269"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13,94</w:t>
            </w:r>
          </w:p>
        </w:tc>
        <w:tc>
          <w:tcPr>
            <w:tcW w:w="1263"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65,57</w:t>
            </w:r>
          </w:p>
        </w:tc>
        <w:tc>
          <w:tcPr>
            <w:tcW w:w="1269"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0,555</w:t>
            </w:r>
          </w:p>
        </w:tc>
        <w:tc>
          <w:tcPr>
            <w:tcW w:w="1254"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3,3</w:t>
            </w:r>
          </w:p>
        </w:tc>
        <w:tc>
          <w:tcPr>
            <w:tcW w:w="1260"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rPr>
              <w:t>17,8</w:t>
            </w:r>
          </w:p>
        </w:tc>
      </w:tr>
    </w:tbl>
    <w:tbl>
      <w:tblPr>
        <w:tblW w:w="7318" w:type="dxa"/>
        <w:tblLook w:val="04A0" w:firstRow="1" w:lastRow="0" w:firstColumn="1" w:lastColumn="0" w:noHBand="0" w:noVBand="1"/>
      </w:tblPr>
      <w:tblGrid>
        <w:gridCol w:w="306"/>
        <w:gridCol w:w="7012"/>
      </w:tblGrid>
      <w:tr w:rsidR="00A1396E" w:rsidRPr="00A1396E" w:rsidTr="00A1396E">
        <w:trPr>
          <w:trHeight w:val="228"/>
        </w:trPr>
        <w:tc>
          <w:tcPr>
            <w:tcW w:w="306" w:type="dxa"/>
            <w:hideMark/>
          </w:tcPr>
          <w:p w:rsidR="00A1396E" w:rsidRPr="00A1396E" w:rsidRDefault="00A1396E">
            <w:pPr>
              <w:widowControl w:val="0"/>
              <w:rPr>
                <w:rFonts w:asciiTheme="majorBidi" w:eastAsiaTheme="minorEastAsia" w:hAnsiTheme="majorBidi" w:cstheme="majorBidi"/>
                <w:sz w:val="20"/>
                <w:vertAlign w:val="superscript"/>
                <w:lang w:eastAsia="el-GR"/>
              </w:rPr>
            </w:pPr>
            <w:r w:rsidRPr="00A1396E">
              <w:rPr>
                <w:rFonts w:asciiTheme="majorBidi" w:hAnsiTheme="majorBidi"/>
                <w:color w:val="000000"/>
                <w:sz w:val="20"/>
                <w:vertAlign w:val="superscript"/>
              </w:rPr>
              <w:t>a</w:t>
            </w:r>
          </w:p>
        </w:tc>
        <w:tc>
          <w:tcPr>
            <w:tcW w:w="7012" w:type="dxa"/>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Median kropsvægt for den respektive alder fra WHO’s database</w:t>
            </w:r>
          </w:p>
        </w:tc>
      </w:tr>
      <w:tr w:rsidR="00A1396E" w:rsidRPr="00A1396E" w:rsidTr="00A1396E">
        <w:trPr>
          <w:trHeight w:val="305"/>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b</w:t>
            </w:r>
          </w:p>
        </w:tc>
        <w:tc>
          <w:tcPr>
            <w:tcW w:w="7012"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Clearance for ubundet ropivacain</w:t>
            </w:r>
          </w:p>
        </w:tc>
      </w:tr>
      <w:tr w:rsidR="00A1396E" w:rsidRPr="00A1396E" w:rsidTr="00A1396E">
        <w:trPr>
          <w:trHeight w:val="273"/>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c</w:t>
            </w:r>
          </w:p>
        </w:tc>
        <w:tc>
          <w:tcPr>
            <w:tcW w:w="7012"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Fordelingsvolumen for ubundet ropivacain</w:t>
            </w:r>
          </w:p>
        </w:tc>
      </w:tr>
      <w:tr w:rsidR="00A1396E" w:rsidRPr="00A1396E" w:rsidTr="00A1396E">
        <w:trPr>
          <w:trHeight w:val="308"/>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d</w:t>
            </w:r>
          </w:p>
        </w:tc>
        <w:tc>
          <w:tcPr>
            <w:tcW w:w="7012"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Total clearance  ropivacain</w:t>
            </w:r>
          </w:p>
        </w:tc>
      </w:tr>
      <w:tr w:rsidR="00A1396E" w:rsidRPr="00A1396E" w:rsidTr="00A1396E">
        <w:trPr>
          <w:trHeight w:val="273"/>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e</w:t>
            </w:r>
          </w:p>
        </w:tc>
        <w:tc>
          <w:tcPr>
            <w:tcW w:w="7012"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Terminal halveringstid for ropivacain</w:t>
            </w:r>
          </w:p>
        </w:tc>
      </w:tr>
      <w:tr w:rsidR="00A1396E" w:rsidRPr="00A1396E" w:rsidTr="00A1396E">
        <w:trPr>
          <w:trHeight w:val="215"/>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f</w:t>
            </w:r>
          </w:p>
        </w:tc>
        <w:tc>
          <w:tcPr>
            <w:tcW w:w="7012" w:type="dxa"/>
            <w:vAlign w:val="bottom"/>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Terminal halveringstid for PPX</w:t>
            </w:r>
          </w:p>
        </w:tc>
      </w:tr>
    </w:tbl>
    <w:p w:rsidR="00A1396E" w:rsidRDefault="00A1396E" w:rsidP="00A1396E">
      <w:pPr>
        <w:widowControl w:val="0"/>
        <w:rPr>
          <w:rFonts w:asciiTheme="majorBidi" w:eastAsiaTheme="minorEastAsia" w:hAnsiTheme="majorBidi" w:cstheme="majorBidi"/>
          <w:sz w:val="22"/>
          <w:szCs w:val="22"/>
          <w:lang w:val="en-GB" w:eastAsia="el-GR"/>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Den simulerede gennemsnitlige maksimale plasmakoncentration (Cu</w:t>
      </w:r>
      <w:r w:rsidRPr="00A1396E">
        <w:rPr>
          <w:rFonts w:asciiTheme="majorBidi" w:hAnsiTheme="majorBidi"/>
          <w:sz w:val="24"/>
          <w:szCs w:val="24"/>
          <w:vertAlign w:val="subscript"/>
        </w:rPr>
        <w:t>max</w:t>
      </w:r>
      <w:r w:rsidRPr="00A1396E">
        <w:rPr>
          <w:rFonts w:asciiTheme="majorBidi" w:hAnsiTheme="majorBidi"/>
          <w:sz w:val="24"/>
          <w:szCs w:val="24"/>
        </w:rPr>
        <w:t>) efter en enkel caudal blokade havde en tendens til at være højere hos nyfødte, og tiden til Cu</w:t>
      </w:r>
      <w:r w:rsidRPr="00A1396E">
        <w:rPr>
          <w:rFonts w:asciiTheme="majorBidi" w:hAnsiTheme="majorBidi"/>
          <w:sz w:val="24"/>
          <w:szCs w:val="24"/>
          <w:vertAlign w:val="subscript"/>
        </w:rPr>
        <w:t xml:space="preserve">max </w:t>
      </w:r>
      <w:r w:rsidRPr="00A1396E">
        <w:rPr>
          <w:rFonts w:asciiTheme="majorBidi" w:hAnsiTheme="majorBidi"/>
          <w:sz w:val="24"/>
          <w:szCs w:val="24"/>
        </w:rPr>
        <w:t>(t</w:t>
      </w:r>
      <w:r w:rsidRPr="00A1396E">
        <w:rPr>
          <w:rFonts w:asciiTheme="majorBidi" w:hAnsiTheme="majorBidi"/>
          <w:sz w:val="24"/>
          <w:szCs w:val="24"/>
          <w:vertAlign w:val="subscript"/>
        </w:rPr>
        <w:t>max</w:t>
      </w:r>
      <w:r w:rsidRPr="00A1396E">
        <w:rPr>
          <w:rFonts w:asciiTheme="majorBidi" w:hAnsiTheme="majorBidi"/>
          <w:sz w:val="24"/>
          <w:szCs w:val="24"/>
        </w:rPr>
        <w:t>) faldt med alderen (Tabel 6). Simulerede gennemsnitlige ubundne plasmakoncentrationer ved slutningen af en kontinuerlig epidural infusion over 72 timer ved anbefalet doseringshastighed viste også højere værdier hos nyfødte i forhold til spædbørn og børn. Se også pkt. 4.4.</w:t>
      </w:r>
    </w:p>
    <w:p w:rsidR="00A1396E" w:rsidRDefault="00A1396E" w:rsidP="00A1396E">
      <w:pPr>
        <w:widowControl w:val="0"/>
        <w:rPr>
          <w:rFonts w:asciiTheme="majorBidi" w:hAnsiTheme="majorBidi" w:cstheme="majorBidi"/>
          <w:lang w:val="nb-NO"/>
        </w:rPr>
      </w:pPr>
    </w:p>
    <w:p w:rsidR="00A1396E" w:rsidRDefault="00A1396E" w:rsidP="00A1396E">
      <w:pPr>
        <w:widowControl w:val="0"/>
        <w:ind w:left="1134" w:hanging="1134"/>
        <w:rPr>
          <w:rFonts w:asciiTheme="majorBidi" w:hAnsiTheme="majorBidi" w:cstheme="majorBidi"/>
          <w:b/>
        </w:rPr>
      </w:pPr>
      <w:r>
        <w:rPr>
          <w:rFonts w:asciiTheme="majorBidi" w:hAnsiTheme="majorBidi"/>
          <w:b/>
        </w:rPr>
        <w:t>Tabel 6</w:t>
      </w:r>
      <w:r>
        <w:rPr>
          <w:rFonts w:asciiTheme="majorBidi" w:hAnsiTheme="majorBidi"/>
          <w:b/>
        </w:rPr>
        <w:tab/>
        <w:t>Simuleret gennemsnitlig og observeret interval af ubundet Cu</w:t>
      </w:r>
      <w:r>
        <w:rPr>
          <w:rFonts w:asciiTheme="majorBidi" w:hAnsiTheme="majorBidi"/>
          <w:b/>
          <w:vertAlign w:val="subscript"/>
        </w:rPr>
        <w:t>max</w:t>
      </w:r>
      <w:r>
        <w:rPr>
          <w:rFonts w:asciiTheme="majorBidi" w:hAnsiTheme="majorBidi"/>
          <w:b/>
        </w:rPr>
        <w:t xml:space="preserve"> efter en enkelt caudal blokade</w:t>
      </w:r>
    </w:p>
    <w:p w:rsidR="00A1396E" w:rsidRDefault="00A1396E" w:rsidP="00A1396E">
      <w:pPr>
        <w:widowControl w:val="0"/>
        <w:rPr>
          <w:rFonts w:asciiTheme="majorBidi" w:hAnsiTheme="majorBidi" w:cstheme="majorBidi"/>
          <w:lang w:val="nb-NO"/>
        </w:rPr>
      </w:pPr>
    </w:p>
    <w:tbl>
      <w:tblPr>
        <w:tblStyle w:val="Tabel-Gitter"/>
        <w:tblW w:w="949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779"/>
        <w:gridCol w:w="1779"/>
        <w:gridCol w:w="1617"/>
        <w:gridCol w:w="1942"/>
      </w:tblGrid>
      <w:tr w:rsidR="00A1396E" w:rsidTr="00A1396E">
        <w:tc>
          <w:tcPr>
            <w:tcW w:w="2380" w:type="dxa"/>
            <w:tcBorders>
              <w:top w:val="single" w:sz="12" w:space="0" w:color="auto"/>
              <w:left w:val="nil"/>
              <w:bottom w:val="single" w:sz="4" w:space="0" w:color="auto"/>
              <w:right w:val="nil"/>
            </w:tcBorders>
            <w:hideMark/>
          </w:tcPr>
          <w:p w:rsidR="00A1396E" w:rsidRDefault="00A1396E">
            <w:pPr>
              <w:widowControl w:val="0"/>
              <w:jc w:val="both"/>
              <w:rPr>
                <w:rFonts w:asciiTheme="majorBidi" w:hAnsiTheme="majorBidi" w:cstheme="majorBidi"/>
                <w:b/>
              </w:rPr>
            </w:pPr>
            <w:r>
              <w:rPr>
                <w:rFonts w:asciiTheme="majorBidi" w:hAnsiTheme="majorBidi"/>
                <w:b/>
                <w:color w:val="000000"/>
              </w:rPr>
              <w:t>Aldersgruppe</w:t>
            </w:r>
          </w:p>
        </w:tc>
        <w:tc>
          <w:tcPr>
            <w:tcW w:w="1779"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rPr>
            </w:pPr>
            <w:r>
              <w:rPr>
                <w:rFonts w:asciiTheme="majorBidi" w:hAnsiTheme="majorBidi"/>
                <w:b/>
                <w:color w:val="000000"/>
              </w:rPr>
              <w:t>Dosis</w:t>
            </w:r>
          </w:p>
          <w:p w:rsidR="00A1396E" w:rsidRDefault="00A1396E">
            <w:pPr>
              <w:widowControl w:val="0"/>
              <w:jc w:val="center"/>
              <w:rPr>
                <w:rFonts w:asciiTheme="majorBidi" w:hAnsiTheme="majorBidi" w:cstheme="majorBidi"/>
                <w:b/>
              </w:rPr>
            </w:pPr>
            <w:r>
              <w:rPr>
                <w:rFonts w:asciiTheme="majorBidi" w:hAnsiTheme="majorBidi"/>
                <w:b/>
                <w:color w:val="000000"/>
              </w:rPr>
              <w:t>(mg/kg)</w:t>
            </w:r>
          </w:p>
        </w:tc>
        <w:tc>
          <w:tcPr>
            <w:tcW w:w="1779"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vertAlign w:val="superscript"/>
              </w:rPr>
            </w:pPr>
            <w:r>
              <w:rPr>
                <w:rFonts w:asciiTheme="majorBidi" w:hAnsiTheme="majorBidi"/>
                <w:b/>
                <w:color w:val="000000"/>
              </w:rPr>
              <w:t>Cu</w:t>
            </w:r>
            <w:r>
              <w:rPr>
                <w:rFonts w:asciiTheme="majorBidi" w:hAnsiTheme="majorBidi"/>
                <w:b/>
                <w:color w:val="000000"/>
                <w:vertAlign w:val="subscript"/>
              </w:rPr>
              <w:t xml:space="preserve">max </w:t>
            </w:r>
            <w:r>
              <w:rPr>
                <w:rFonts w:asciiTheme="majorBidi" w:hAnsiTheme="majorBidi"/>
                <w:b/>
                <w:color w:val="000000"/>
                <w:vertAlign w:val="superscript"/>
              </w:rPr>
              <w:t>a</w:t>
            </w:r>
          </w:p>
          <w:p w:rsidR="00A1396E" w:rsidRDefault="00A1396E">
            <w:pPr>
              <w:widowControl w:val="0"/>
              <w:jc w:val="center"/>
              <w:rPr>
                <w:rFonts w:asciiTheme="majorBidi" w:hAnsiTheme="majorBidi" w:cstheme="majorBidi"/>
                <w:b/>
              </w:rPr>
            </w:pPr>
            <w:r>
              <w:rPr>
                <w:rFonts w:asciiTheme="majorBidi" w:hAnsiTheme="majorBidi"/>
                <w:b/>
                <w:color w:val="000000"/>
              </w:rPr>
              <w:t>(mg/ml)</w:t>
            </w:r>
          </w:p>
        </w:tc>
        <w:tc>
          <w:tcPr>
            <w:tcW w:w="1617"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vertAlign w:val="superscript"/>
              </w:rPr>
            </w:pPr>
            <w:r>
              <w:rPr>
                <w:rFonts w:asciiTheme="majorBidi" w:hAnsiTheme="majorBidi"/>
                <w:b/>
                <w:color w:val="000000"/>
              </w:rPr>
              <w:t>t</w:t>
            </w:r>
            <w:r>
              <w:rPr>
                <w:rFonts w:asciiTheme="majorBidi" w:hAnsiTheme="majorBidi"/>
                <w:b/>
                <w:color w:val="000000"/>
                <w:vertAlign w:val="subscript"/>
              </w:rPr>
              <w:t>max</w:t>
            </w:r>
          </w:p>
          <w:p w:rsidR="00A1396E" w:rsidRDefault="00A1396E">
            <w:pPr>
              <w:widowControl w:val="0"/>
              <w:jc w:val="center"/>
              <w:rPr>
                <w:rFonts w:asciiTheme="majorBidi" w:hAnsiTheme="majorBidi" w:cstheme="majorBidi"/>
                <w:b/>
              </w:rPr>
            </w:pPr>
            <w:r>
              <w:rPr>
                <w:rFonts w:asciiTheme="majorBidi" w:hAnsiTheme="majorBidi"/>
                <w:b/>
                <w:color w:val="000000"/>
              </w:rPr>
              <w:t>(t)</w:t>
            </w:r>
          </w:p>
        </w:tc>
        <w:tc>
          <w:tcPr>
            <w:tcW w:w="1942" w:type="dxa"/>
            <w:tcBorders>
              <w:top w:val="single" w:sz="12" w:space="0" w:color="auto"/>
              <w:left w:val="nil"/>
              <w:bottom w:val="single" w:sz="4" w:space="0" w:color="auto"/>
              <w:right w:val="nil"/>
            </w:tcBorders>
            <w:hideMark/>
          </w:tcPr>
          <w:p w:rsidR="00A1396E" w:rsidRDefault="00A1396E">
            <w:pPr>
              <w:widowControl w:val="0"/>
              <w:jc w:val="center"/>
              <w:rPr>
                <w:rFonts w:asciiTheme="majorBidi" w:hAnsiTheme="majorBidi" w:cstheme="majorBidi"/>
                <w:b/>
                <w:vertAlign w:val="superscript"/>
              </w:rPr>
            </w:pPr>
            <w:r>
              <w:rPr>
                <w:rFonts w:asciiTheme="majorBidi" w:hAnsiTheme="majorBidi"/>
                <w:b/>
                <w:color w:val="000000"/>
              </w:rPr>
              <w:t>Cu</w:t>
            </w:r>
            <w:r>
              <w:rPr>
                <w:rFonts w:asciiTheme="majorBidi" w:hAnsiTheme="majorBidi"/>
                <w:b/>
                <w:color w:val="000000"/>
                <w:vertAlign w:val="subscript"/>
              </w:rPr>
              <w:t>max</w:t>
            </w:r>
          </w:p>
          <w:p w:rsidR="00A1396E" w:rsidRDefault="00A1396E">
            <w:pPr>
              <w:widowControl w:val="0"/>
              <w:jc w:val="center"/>
              <w:rPr>
                <w:rFonts w:asciiTheme="majorBidi" w:hAnsiTheme="majorBidi" w:cstheme="majorBidi"/>
                <w:b/>
              </w:rPr>
            </w:pPr>
            <w:r>
              <w:rPr>
                <w:rFonts w:asciiTheme="majorBidi" w:hAnsiTheme="majorBidi"/>
                <w:b/>
                <w:color w:val="000000"/>
              </w:rPr>
              <w:t>(mg/ml)</w:t>
            </w:r>
          </w:p>
        </w:tc>
      </w:tr>
      <w:tr w:rsidR="00A1396E" w:rsidTr="00A1396E">
        <w:tc>
          <w:tcPr>
            <w:tcW w:w="2380" w:type="dxa"/>
            <w:tcBorders>
              <w:top w:val="single" w:sz="4" w:space="0" w:color="auto"/>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color w:val="000000"/>
              </w:rPr>
              <w:t>0</w:t>
            </w:r>
            <w:r>
              <w:rPr>
                <w:rFonts w:ascii="Cambria Math" w:hAnsi="Cambria Math"/>
                <w:color w:val="000000"/>
              </w:rPr>
              <w:noBreakHyphen/>
            </w:r>
            <w:r>
              <w:rPr>
                <w:rFonts w:asciiTheme="majorBidi" w:hAnsiTheme="majorBidi"/>
                <w:color w:val="000000"/>
              </w:rPr>
              <w:t>1 m</w:t>
            </w:r>
          </w:p>
        </w:tc>
        <w:tc>
          <w:tcPr>
            <w:tcW w:w="1779"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2,00</w:t>
            </w:r>
          </w:p>
        </w:tc>
        <w:tc>
          <w:tcPr>
            <w:tcW w:w="1779"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0,0582</w:t>
            </w:r>
          </w:p>
        </w:tc>
        <w:tc>
          <w:tcPr>
            <w:tcW w:w="1617"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2,00</w:t>
            </w:r>
          </w:p>
        </w:tc>
        <w:tc>
          <w:tcPr>
            <w:tcW w:w="1942" w:type="dxa"/>
            <w:tcBorders>
              <w:top w:val="single" w:sz="4" w:space="0" w:color="auto"/>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0,05</w:t>
            </w:r>
            <w:r>
              <w:rPr>
                <w:rFonts w:ascii="Cambria Math" w:hAnsi="Cambria Math"/>
                <w:color w:val="000000"/>
              </w:rPr>
              <w:noBreakHyphen/>
            </w:r>
            <w:r>
              <w:rPr>
                <w:rFonts w:asciiTheme="majorBidi" w:hAnsiTheme="majorBidi"/>
                <w:color w:val="000000"/>
              </w:rPr>
              <w:t>0,08 (n = 5)</w:t>
            </w:r>
          </w:p>
        </w:tc>
      </w:tr>
      <w:tr w:rsidR="00A1396E" w:rsidTr="00A1396E">
        <w:tc>
          <w:tcPr>
            <w:tcW w:w="2380"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color w:val="000000"/>
              </w:rPr>
              <w:t>1</w:t>
            </w:r>
            <w:r>
              <w:rPr>
                <w:rFonts w:ascii="Cambria Math" w:hAnsi="Cambria Math"/>
                <w:color w:val="000000"/>
              </w:rPr>
              <w:noBreakHyphen/>
            </w:r>
            <w:r>
              <w:rPr>
                <w:rFonts w:asciiTheme="majorBidi" w:hAnsiTheme="majorBidi"/>
                <w:color w:val="000000"/>
              </w:rPr>
              <w:t>6 m</w:t>
            </w:r>
          </w:p>
        </w:tc>
        <w:tc>
          <w:tcPr>
            <w:tcW w:w="177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0,0375</w:t>
            </w:r>
          </w:p>
        </w:tc>
        <w:tc>
          <w:tcPr>
            <w:tcW w:w="1617"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1,50</w:t>
            </w:r>
          </w:p>
        </w:tc>
        <w:tc>
          <w:tcPr>
            <w:tcW w:w="1942"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0,02</w:t>
            </w:r>
            <w:r>
              <w:rPr>
                <w:rFonts w:ascii="Cambria Math" w:hAnsi="Cambria Math"/>
                <w:color w:val="000000"/>
              </w:rPr>
              <w:noBreakHyphen/>
            </w:r>
            <w:r>
              <w:rPr>
                <w:rFonts w:asciiTheme="majorBidi" w:hAnsiTheme="majorBidi"/>
                <w:color w:val="000000"/>
              </w:rPr>
              <w:t>0,09 (n = 18)</w:t>
            </w:r>
          </w:p>
        </w:tc>
      </w:tr>
      <w:tr w:rsidR="00A1396E" w:rsidTr="00A1396E">
        <w:tc>
          <w:tcPr>
            <w:tcW w:w="2380" w:type="dxa"/>
            <w:tcBorders>
              <w:top w:val="nil"/>
              <w:left w:val="nil"/>
              <w:bottom w:val="nil"/>
              <w:right w:val="nil"/>
            </w:tcBorders>
            <w:hideMark/>
          </w:tcPr>
          <w:p w:rsidR="00A1396E" w:rsidRDefault="00A1396E">
            <w:pPr>
              <w:widowControl w:val="0"/>
              <w:jc w:val="both"/>
              <w:rPr>
                <w:rFonts w:asciiTheme="majorBidi" w:hAnsiTheme="majorBidi" w:cstheme="majorBidi"/>
              </w:rPr>
            </w:pPr>
            <w:r>
              <w:rPr>
                <w:rFonts w:asciiTheme="majorBidi" w:hAnsiTheme="majorBidi"/>
                <w:color w:val="000000"/>
              </w:rPr>
              <w:t>6</w:t>
            </w:r>
            <w:r>
              <w:rPr>
                <w:rFonts w:ascii="Cambria Math" w:hAnsi="Cambria Math"/>
                <w:color w:val="000000"/>
              </w:rPr>
              <w:noBreakHyphen/>
            </w:r>
            <w:r>
              <w:rPr>
                <w:rFonts w:asciiTheme="majorBidi" w:hAnsiTheme="majorBidi"/>
                <w:color w:val="000000"/>
              </w:rPr>
              <w:t>12 m</w:t>
            </w:r>
          </w:p>
        </w:tc>
        <w:tc>
          <w:tcPr>
            <w:tcW w:w="177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0,0283</w:t>
            </w:r>
          </w:p>
        </w:tc>
        <w:tc>
          <w:tcPr>
            <w:tcW w:w="1617"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1,00</w:t>
            </w:r>
          </w:p>
        </w:tc>
        <w:tc>
          <w:tcPr>
            <w:tcW w:w="1942" w:type="dxa"/>
            <w:tcBorders>
              <w:top w:val="nil"/>
              <w:left w:val="nil"/>
              <w:bottom w:val="nil"/>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0,01</w:t>
            </w:r>
            <w:r>
              <w:rPr>
                <w:rFonts w:ascii="Cambria Math" w:hAnsi="Cambria Math"/>
                <w:color w:val="000000"/>
              </w:rPr>
              <w:noBreakHyphen/>
            </w:r>
            <w:r>
              <w:rPr>
                <w:rFonts w:asciiTheme="majorBidi" w:hAnsiTheme="majorBidi"/>
                <w:color w:val="000000"/>
              </w:rPr>
              <w:t>0,05 (n = 9)</w:t>
            </w:r>
          </w:p>
        </w:tc>
      </w:tr>
      <w:tr w:rsidR="00A1396E" w:rsidTr="00A1396E">
        <w:trPr>
          <w:trHeight w:val="279"/>
        </w:trPr>
        <w:tc>
          <w:tcPr>
            <w:tcW w:w="2380" w:type="dxa"/>
            <w:tcBorders>
              <w:top w:val="nil"/>
              <w:left w:val="nil"/>
              <w:bottom w:val="single" w:sz="12" w:space="0" w:color="auto"/>
              <w:right w:val="nil"/>
            </w:tcBorders>
            <w:hideMark/>
          </w:tcPr>
          <w:p w:rsidR="00A1396E" w:rsidRDefault="00A1396E">
            <w:pPr>
              <w:widowControl w:val="0"/>
              <w:rPr>
                <w:rFonts w:asciiTheme="majorBidi" w:hAnsiTheme="majorBidi" w:cstheme="majorBidi"/>
              </w:rPr>
            </w:pPr>
            <w:r>
              <w:rPr>
                <w:rFonts w:asciiTheme="majorBidi" w:hAnsiTheme="majorBidi"/>
                <w:color w:val="000000"/>
              </w:rPr>
              <w:t>1</w:t>
            </w:r>
            <w:r>
              <w:rPr>
                <w:rFonts w:ascii="Cambria Math" w:hAnsi="Cambria Math"/>
                <w:color w:val="000000"/>
              </w:rPr>
              <w:noBreakHyphen/>
            </w:r>
            <w:r>
              <w:rPr>
                <w:rFonts w:asciiTheme="majorBidi" w:hAnsiTheme="majorBidi"/>
                <w:color w:val="000000"/>
              </w:rPr>
              <w:t>10 år</w:t>
            </w:r>
          </w:p>
        </w:tc>
        <w:tc>
          <w:tcPr>
            <w:tcW w:w="1779"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0,0221</w:t>
            </w:r>
          </w:p>
        </w:tc>
        <w:tc>
          <w:tcPr>
            <w:tcW w:w="1617"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0,50</w:t>
            </w:r>
          </w:p>
        </w:tc>
        <w:tc>
          <w:tcPr>
            <w:tcW w:w="1942" w:type="dxa"/>
            <w:tcBorders>
              <w:top w:val="nil"/>
              <w:left w:val="nil"/>
              <w:bottom w:val="single" w:sz="12" w:space="0" w:color="auto"/>
              <w:right w:val="nil"/>
            </w:tcBorders>
            <w:hideMark/>
          </w:tcPr>
          <w:p w:rsidR="00A1396E" w:rsidRDefault="00A1396E">
            <w:pPr>
              <w:widowControl w:val="0"/>
              <w:jc w:val="center"/>
              <w:rPr>
                <w:rFonts w:asciiTheme="majorBidi" w:hAnsiTheme="majorBidi" w:cstheme="majorBidi"/>
              </w:rPr>
            </w:pPr>
            <w:r>
              <w:rPr>
                <w:rFonts w:asciiTheme="majorBidi" w:hAnsiTheme="majorBidi"/>
                <w:color w:val="000000"/>
              </w:rPr>
              <w:t>0,01</w:t>
            </w:r>
            <w:r>
              <w:rPr>
                <w:rFonts w:ascii="Cambria Math" w:hAnsi="Cambria Math"/>
                <w:color w:val="000000"/>
              </w:rPr>
              <w:noBreakHyphen/>
            </w:r>
            <w:r>
              <w:rPr>
                <w:rFonts w:asciiTheme="majorBidi" w:hAnsiTheme="majorBidi"/>
                <w:color w:val="000000"/>
              </w:rPr>
              <w:t>0,05 (n = 60)</w:t>
            </w:r>
          </w:p>
        </w:tc>
      </w:tr>
    </w:tbl>
    <w:tbl>
      <w:tblPr>
        <w:tblW w:w="7293" w:type="dxa"/>
        <w:tblLook w:val="04A0" w:firstRow="1" w:lastRow="0" w:firstColumn="1" w:lastColumn="0" w:noHBand="0" w:noVBand="1"/>
      </w:tblPr>
      <w:tblGrid>
        <w:gridCol w:w="306"/>
        <w:gridCol w:w="6987"/>
      </w:tblGrid>
      <w:tr w:rsidR="00A1396E" w:rsidRPr="00A1396E" w:rsidTr="00A1396E">
        <w:trPr>
          <w:trHeight w:val="228"/>
        </w:trPr>
        <w:tc>
          <w:tcPr>
            <w:tcW w:w="306" w:type="dxa"/>
            <w:hideMark/>
          </w:tcPr>
          <w:p w:rsidR="00A1396E" w:rsidRPr="00A1396E" w:rsidRDefault="00A1396E">
            <w:pPr>
              <w:widowControl w:val="0"/>
              <w:rPr>
                <w:rFonts w:asciiTheme="majorBidi" w:eastAsiaTheme="minorEastAsia" w:hAnsiTheme="majorBidi" w:cstheme="majorBidi"/>
                <w:sz w:val="20"/>
                <w:vertAlign w:val="superscript"/>
                <w:lang w:eastAsia="el-GR"/>
              </w:rPr>
            </w:pPr>
            <w:r w:rsidRPr="00A1396E">
              <w:rPr>
                <w:rFonts w:asciiTheme="majorBidi" w:hAnsiTheme="majorBidi"/>
                <w:color w:val="000000"/>
                <w:sz w:val="20"/>
                <w:vertAlign w:val="superscript"/>
              </w:rPr>
              <w:t>a</w:t>
            </w:r>
          </w:p>
        </w:tc>
        <w:tc>
          <w:tcPr>
            <w:tcW w:w="6987" w:type="dxa"/>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Ubundet maksimal plasmakoncentration</w:t>
            </w:r>
          </w:p>
        </w:tc>
      </w:tr>
      <w:tr w:rsidR="00A1396E" w:rsidRPr="00A1396E" w:rsidTr="00A1396E">
        <w:trPr>
          <w:trHeight w:val="308"/>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b</w:t>
            </w:r>
          </w:p>
        </w:tc>
        <w:tc>
          <w:tcPr>
            <w:tcW w:w="6987"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Tid til ubundet maksimal plasmakoncentration</w:t>
            </w:r>
          </w:p>
        </w:tc>
      </w:tr>
      <w:tr w:rsidR="00A1396E" w:rsidRPr="00A1396E" w:rsidTr="00A1396E">
        <w:trPr>
          <w:trHeight w:val="240"/>
        </w:trPr>
        <w:tc>
          <w:tcPr>
            <w:tcW w:w="306" w:type="dxa"/>
            <w:hideMark/>
          </w:tcPr>
          <w:p w:rsidR="00A1396E" w:rsidRPr="00A1396E" w:rsidRDefault="00A1396E">
            <w:pPr>
              <w:widowControl w:val="0"/>
              <w:jc w:val="both"/>
              <w:rPr>
                <w:rFonts w:asciiTheme="majorBidi" w:hAnsiTheme="majorBidi" w:cstheme="majorBidi"/>
                <w:sz w:val="20"/>
                <w:vertAlign w:val="superscript"/>
              </w:rPr>
            </w:pPr>
            <w:r w:rsidRPr="00A1396E">
              <w:rPr>
                <w:rFonts w:asciiTheme="majorBidi" w:hAnsiTheme="majorBidi"/>
                <w:color w:val="000000"/>
                <w:sz w:val="20"/>
                <w:vertAlign w:val="superscript"/>
              </w:rPr>
              <w:t>c</w:t>
            </w:r>
          </w:p>
        </w:tc>
        <w:tc>
          <w:tcPr>
            <w:tcW w:w="6987" w:type="dxa"/>
            <w:vAlign w:val="center"/>
            <w:hideMark/>
          </w:tcPr>
          <w:p w:rsidR="00A1396E" w:rsidRPr="00A1396E" w:rsidRDefault="00A1396E">
            <w:pPr>
              <w:widowControl w:val="0"/>
              <w:jc w:val="both"/>
              <w:rPr>
                <w:rFonts w:asciiTheme="majorBidi" w:hAnsiTheme="majorBidi" w:cstheme="majorBidi"/>
                <w:sz w:val="20"/>
              </w:rPr>
            </w:pPr>
            <w:r w:rsidRPr="00A1396E">
              <w:rPr>
                <w:rFonts w:asciiTheme="majorBidi" w:hAnsiTheme="majorBidi"/>
                <w:color w:val="000000"/>
                <w:sz w:val="20"/>
              </w:rPr>
              <w:t>Observeret og dosisnormaliseret ubundet maksimal plasmakoncentration</w:t>
            </w:r>
          </w:p>
        </w:tc>
      </w:tr>
    </w:tbl>
    <w:p w:rsidR="00A1396E" w:rsidRPr="00A1396E" w:rsidRDefault="00A1396E" w:rsidP="00A1396E">
      <w:pPr>
        <w:widowControl w:val="0"/>
        <w:ind w:left="851"/>
        <w:rPr>
          <w:rFonts w:asciiTheme="majorBidi" w:eastAsiaTheme="minorEastAsia" w:hAnsiTheme="majorBidi" w:cstheme="majorBidi"/>
          <w:sz w:val="24"/>
          <w:szCs w:val="24"/>
          <w:lang w:val="nb-NO" w:eastAsia="el-GR"/>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 xml:space="preserve">Ved 6 måneder, som er vendepunktet for ændring i anbefalet dosishastighed ved kontinuerlig epidural infusion, har ubundet ropivacain-clearance nået 34 % og ubundet PPX 71 % i forhold til den modne værdi. Den systemiske eksponering er højere hos spædbørn og også noget højere hos børn mellem 1 og 6 måneder i forhold til ældre børn, hvilket hænger sammen med en umoden leverfunktion. Dette kompenseres dog delvist af den 50 % lavere anbefalede dosishastighed ved kontinuerlig infusion hos spædbørn under 6 </w:t>
      </w:r>
      <w:r w:rsidRPr="00A1396E">
        <w:rPr>
          <w:rFonts w:asciiTheme="majorBidi" w:hAnsiTheme="majorBidi"/>
          <w:sz w:val="24"/>
          <w:szCs w:val="24"/>
        </w:rPr>
        <w:lastRenderedPageBreak/>
        <w:t>måneder.</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Simulationer omkring summen af ropivacains og PPX’s ubundne plasmakoncentrationer baseret på farmakokinetiske parametre og deres variation i populationsanalysen indikerer, at for en enkel caudal blokade skal den anbefalede dosis øges med en faktor 2,7 i den yngste gruppe og en faktor 7,4 i aldersgruppen 1-10 år for, at grænsen for det øvre forudbestemte konfidensinterval på 90 % når tærsklen for systemisk toksicitet. Tilsvarende faktorer for kontinuerlig epidural infusion er henholdsvis 1,8 og 3,8.</w:t>
      </w:r>
    </w:p>
    <w:p w:rsidR="00A1396E" w:rsidRPr="00A1396E" w:rsidRDefault="00A1396E" w:rsidP="00A1396E">
      <w:pPr>
        <w:widowControl w:val="0"/>
        <w:ind w:left="851"/>
        <w:rPr>
          <w:rFonts w:asciiTheme="majorBidi" w:hAnsiTheme="majorBidi" w:cstheme="majorBidi"/>
          <w:sz w:val="24"/>
          <w:szCs w:val="24"/>
          <w:lang w:val="nb-NO"/>
        </w:rPr>
      </w:pPr>
    </w:p>
    <w:p w:rsidR="00A1396E" w:rsidRPr="00A1396E" w:rsidRDefault="00A1396E" w:rsidP="00A1396E">
      <w:pPr>
        <w:widowControl w:val="0"/>
        <w:ind w:left="851"/>
        <w:rPr>
          <w:rFonts w:asciiTheme="majorBidi" w:hAnsiTheme="majorBidi" w:cstheme="majorBidi"/>
          <w:sz w:val="24"/>
          <w:szCs w:val="24"/>
        </w:rPr>
      </w:pPr>
      <w:r w:rsidRPr="00A1396E">
        <w:rPr>
          <w:rFonts w:asciiTheme="majorBidi" w:hAnsiTheme="majorBidi"/>
          <w:sz w:val="24"/>
          <w:szCs w:val="24"/>
        </w:rPr>
        <w:t>Simulationer omkring summen af ropivacains og PPX’s ubundne plasmakoncentrationer baseret på farmakokinetiske parametre og deres variation i populationsanalysen indikerer, at for 1-12 årige spædbørn og børn, der får 3 mg/kg enkelt perifer ilioinguinal nerveblokade, er den opnåede  gennemsnitlige ubundne plasmakoncentration efter 0,8 timer på 0.0347 mg/l, en tiendedel af toksicitetstærsklen (0.34 mg/l). Det øvre konfidensinterval på 90 % for maksimal bundet plasmakoncentration er på 0,074 mg/l, en femtedel af toksicitetstærsklen. Tilsvarende for kontinuerlig perifer blokade (0,6 mg ropivacain/kg i 72 timer) forudgået af en 3 mg/kg enkelt perifer nerveblokade. Den  gennemsnitlige ubundne peakkoncentration er 0,053 mg/l. Det øvre konfidensinterval på 90 % for maksimal bundet plasmakoncentration er på 0,088 mg/l, en fjerdedel af toksicitetstærsklen.</w:t>
      </w:r>
    </w:p>
    <w:p w:rsidR="009260DE" w:rsidRPr="00A1396E" w:rsidRDefault="009260DE" w:rsidP="009260DE">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rsidR="00C03624" w:rsidRPr="00C03624" w:rsidRDefault="00C03624" w:rsidP="00C03624">
      <w:pPr>
        <w:tabs>
          <w:tab w:val="left" w:pos="851"/>
        </w:tabs>
        <w:ind w:left="851"/>
        <w:rPr>
          <w:sz w:val="24"/>
          <w:szCs w:val="24"/>
        </w:rPr>
      </w:pPr>
      <w:r w:rsidRPr="00C03624">
        <w:rPr>
          <w:sz w:val="24"/>
          <w:szCs w:val="24"/>
        </w:rPr>
        <w:t>Resultater baseret på konventionelle sikkerhedsfarmakologiske studier, toksicitet af henholdsvis enkeltdosis og gentagne doser, reproduktionstoksicitet, mutagent potentiale og lokal toksicitet tyder ikke på specielle risici for mennesker ud over de der kan forventes på baggrund af den farmakodynamiske virkning af høje doser ropivacain (f.eks. CNS-symptomer inkl. kramper samt kardiotoksicitet).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0F0815" w:rsidRPr="000F0815" w:rsidRDefault="000F0815" w:rsidP="000F0815">
      <w:pPr>
        <w:tabs>
          <w:tab w:val="left" w:pos="851"/>
        </w:tabs>
        <w:ind w:left="851"/>
        <w:rPr>
          <w:sz w:val="24"/>
          <w:szCs w:val="24"/>
        </w:rPr>
      </w:pPr>
      <w:r w:rsidRPr="000F0815">
        <w:rPr>
          <w:sz w:val="24"/>
          <w:szCs w:val="24"/>
        </w:rPr>
        <w:t>Natriumchlorid</w:t>
      </w:r>
    </w:p>
    <w:p w:rsidR="000F0815" w:rsidRPr="000F0815" w:rsidRDefault="000F0815" w:rsidP="000F0815">
      <w:pPr>
        <w:tabs>
          <w:tab w:val="left" w:pos="851"/>
        </w:tabs>
        <w:ind w:left="851"/>
        <w:rPr>
          <w:sz w:val="24"/>
          <w:szCs w:val="24"/>
        </w:rPr>
      </w:pPr>
      <w:r w:rsidRPr="000F0815">
        <w:rPr>
          <w:sz w:val="24"/>
          <w:szCs w:val="24"/>
        </w:rPr>
        <w:t>Natriumhydroxid (til pH-justering)</w:t>
      </w:r>
    </w:p>
    <w:p w:rsidR="000F0815" w:rsidRPr="000F0815" w:rsidRDefault="000F0815" w:rsidP="000F0815">
      <w:pPr>
        <w:tabs>
          <w:tab w:val="left" w:pos="851"/>
        </w:tabs>
        <w:ind w:left="851"/>
        <w:rPr>
          <w:sz w:val="24"/>
          <w:szCs w:val="24"/>
        </w:rPr>
      </w:pPr>
      <w:r w:rsidRPr="000F0815">
        <w:rPr>
          <w:sz w:val="24"/>
          <w:szCs w:val="24"/>
        </w:rPr>
        <w:t>Saltsyre (3,6 %) (til pH-justering)</w:t>
      </w:r>
    </w:p>
    <w:p w:rsidR="000F0815" w:rsidRPr="000F0815" w:rsidRDefault="000F0815" w:rsidP="000F0815">
      <w:pPr>
        <w:tabs>
          <w:tab w:val="left" w:pos="851"/>
        </w:tabs>
        <w:ind w:left="851"/>
        <w:rPr>
          <w:sz w:val="24"/>
          <w:szCs w:val="24"/>
        </w:rPr>
      </w:pPr>
      <w:r w:rsidRPr="000F0815">
        <w:rPr>
          <w:sz w:val="24"/>
          <w:szCs w:val="24"/>
        </w:rPr>
        <w:t>Vand til injektio</w:t>
      </w:r>
      <w:r>
        <w:rPr>
          <w:sz w:val="24"/>
          <w:szCs w:val="24"/>
        </w:rPr>
        <w:t>nsvæsker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0F0815" w:rsidRPr="000F0815" w:rsidRDefault="000F0815" w:rsidP="000F0815">
      <w:pPr>
        <w:tabs>
          <w:tab w:val="left" w:pos="851"/>
        </w:tabs>
        <w:ind w:left="851"/>
        <w:rPr>
          <w:sz w:val="24"/>
          <w:szCs w:val="24"/>
        </w:rPr>
      </w:pPr>
      <w:r w:rsidRPr="000F0815">
        <w:rPr>
          <w:sz w:val="24"/>
          <w:szCs w:val="24"/>
        </w:rPr>
        <w:t>Dette lægemiddel må ikke blandes med andre lægemidler end dem, der er anført under pkt. 6.6. I alkaliske væsker kan der forekomme udfældning, da ropivacain er tungtopløseligt ved pH over 6.</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0F0815" w:rsidRPr="000F0815" w:rsidRDefault="000F0815" w:rsidP="000F0815">
      <w:pPr>
        <w:tabs>
          <w:tab w:val="left" w:pos="851"/>
        </w:tabs>
        <w:ind w:left="851"/>
        <w:rPr>
          <w:sz w:val="24"/>
          <w:szCs w:val="24"/>
        </w:rPr>
      </w:pPr>
      <w:r w:rsidRPr="000F0815">
        <w:rPr>
          <w:sz w:val="24"/>
          <w:szCs w:val="24"/>
        </w:rPr>
        <w:t>3 år</w:t>
      </w:r>
      <w:r>
        <w:rPr>
          <w:sz w:val="24"/>
          <w:szCs w:val="24"/>
        </w:rPr>
        <w:t>.</w:t>
      </w:r>
    </w:p>
    <w:p w:rsidR="000F0815" w:rsidRPr="000F0815" w:rsidRDefault="000F0815" w:rsidP="000F0815">
      <w:pPr>
        <w:tabs>
          <w:tab w:val="left" w:pos="851"/>
        </w:tabs>
        <w:ind w:left="851"/>
        <w:rPr>
          <w:sz w:val="24"/>
          <w:szCs w:val="24"/>
          <w:lang w:val="nb-NO"/>
        </w:rPr>
      </w:pPr>
    </w:p>
    <w:p w:rsidR="000F0815" w:rsidRPr="000F0815" w:rsidRDefault="000F0815" w:rsidP="000F0815">
      <w:pPr>
        <w:tabs>
          <w:tab w:val="left" w:pos="851"/>
        </w:tabs>
        <w:ind w:left="851"/>
        <w:rPr>
          <w:sz w:val="24"/>
          <w:szCs w:val="24"/>
          <w:u w:val="single"/>
        </w:rPr>
      </w:pPr>
      <w:r w:rsidRPr="000F0815">
        <w:rPr>
          <w:sz w:val="24"/>
          <w:szCs w:val="24"/>
          <w:u w:val="single"/>
        </w:rPr>
        <w:t>Opbevaringstid efter første anbrud</w:t>
      </w:r>
    </w:p>
    <w:p w:rsidR="000F0815" w:rsidRPr="000F0815" w:rsidRDefault="000F0815" w:rsidP="000F0815">
      <w:pPr>
        <w:tabs>
          <w:tab w:val="left" w:pos="851"/>
        </w:tabs>
        <w:ind w:left="851"/>
        <w:rPr>
          <w:sz w:val="24"/>
          <w:szCs w:val="24"/>
        </w:rPr>
      </w:pPr>
      <w:r w:rsidRPr="000F0815">
        <w:rPr>
          <w:sz w:val="24"/>
          <w:szCs w:val="24"/>
        </w:rPr>
        <w:t>Kemisk og fysisk stabilitet er dokumenteret i 24 timer ved 2-8 °C.</w:t>
      </w:r>
    </w:p>
    <w:p w:rsidR="000F0815" w:rsidRPr="000F0815" w:rsidRDefault="000F0815" w:rsidP="000F0815">
      <w:pPr>
        <w:tabs>
          <w:tab w:val="left" w:pos="851"/>
        </w:tabs>
        <w:ind w:left="851"/>
        <w:rPr>
          <w:sz w:val="24"/>
          <w:szCs w:val="24"/>
          <w:lang w:val="nb-NO"/>
        </w:rPr>
      </w:pPr>
    </w:p>
    <w:p w:rsidR="000F0815" w:rsidRPr="000F0815" w:rsidRDefault="000F0815" w:rsidP="000F0815">
      <w:pPr>
        <w:tabs>
          <w:tab w:val="left" w:pos="851"/>
        </w:tabs>
        <w:ind w:left="851"/>
        <w:rPr>
          <w:sz w:val="24"/>
          <w:szCs w:val="24"/>
        </w:rPr>
      </w:pPr>
      <w:r w:rsidRPr="000F0815">
        <w:rPr>
          <w:sz w:val="24"/>
          <w:szCs w:val="24"/>
        </w:rPr>
        <w:t>Set fra et mikrobiologisk synspunkt skal produktet anvendes straks, medmindre åbningsmetoden udelukker risiko for mikrobiologisk forurening.</w:t>
      </w:r>
    </w:p>
    <w:p w:rsidR="000F0815" w:rsidRPr="000F0815" w:rsidRDefault="000F0815" w:rsidP="000F0815">
      <w:pPr>
        <w:tabs>
          <w:tab w:val="left" w:pos="851"/>
        </w:tabs>
        <w:ind w:left="851"/>
        <w:rPr>
          <w:sz w:val="24"/>
          <w:szCs w:val="24"/>
        </w:rPr>
      </w:pPr>
      <w:r w:rsidRPr="000F0815">
        <w:rPr>
          <w:sz w:val="24"/>
          <w:szCs w:val="24"/>
        </w:rPr>
        <w:lastRenderedPageBreak/>
        <w:t>Hvis produktet ikke anvendes straks, er opbevaringstid og -betingelser efter anbrud brugerens ansvar.</w:t>
      </w:r>
    </w:p>
    <w:p w:rsidR="000F0815" w:rsidRPr="000F0815" w:rsidRDefault="000F0815" w:rsidP="000F0815">
      <w:pPr>
        <w:tabs>
          <w:tab w:val="left" w:pos="851"/>
        </w:tabs>
        <w:ind w:left="851"/>
        <w:rPr>
          <w:sz w:val="24"/>
          <w:szCs w:val="24"/>
          <w:lang w:val="nb-NO"/>
        </w:rPr>
      </w:pPr>
    </w:p>
    <w:p w:rsidR="000F0815" w:rsidRPr="000F0815" w:rsidRDefault="000F0815" w:rsidP="000F0815">
      <w:pPr>
        <w:tabs>
          <w:tab w:val="left" w:pos="851"/>
        </w:tabs>
        <w:ind w:left="851"/>
        <w:rPr>
          <w:sz w:val="24"/>
          <w:szCs w:val="24"/>
          <w:u w:val="single"/>
        </w:rPr>
      </w:pPr>
      <w:r w:rsidRPr="000F0815">
        <w:rPr>
          <w:sz w:val="24"/>
          <w:szCs w:val="24"/>
          <w:u w:val="single"/>
        </w:rPr>
        <w:t>Opbevaring efter blanding</w:t>
      </w:r>
    </w:p>
    <w:p w:rsidR="000F0815" w:rsidRPr="000F0815" w:rsidRDefault="000F0815" w:rsidP="000F0815">
      <w:pPr>
        <w:tabs>
          <w:tab w:val="left" w:pos="851"/>
        </w:tabs>
        <w:ind w:left="851"/>
        <w:rPr>
          <w:sz w:val="24"/>
          <w:szCs w:val="24"/>
        </w:rPr>
      </w:pPr>
      <w:r w:rsidRPr="000F0815">
        <w:rPr>
          <w:sz w:val="24"/>
          <w:szCs w:val="24"/>
        </w:rPr>
        <w:t>Kemisk og fysisk stabilitet er dokumenteret i 30 dage ved 20</w:t>
      </w:r>
      <w:r w:rsidRPr="000F0815">
        <w:rPr>
          <w:sz w:val="24"/>
          <w:szCs w:val="24"/>
        </w:rPr>
        <w:noBreakHyphen/>
        <w:t>30 °C.</w:t>
      </w:r>
    </w:p>
    <w:p w:rsidR="000F0815" w:rsidRPr="000F0815" w:rsidRDefault="000F0815" w:rsidP="000F0815">
      <w:pPr>
        <w:tabs>
          <w:tab w:val="left" w:pos="851"/>
        </w:tabs>
        <w:ind w:left="851"/>
        <w:rPr>
          <w:sz w:val="24"/>
          <w:szCs w:val="24"/>
          <w:lang w:val="nb-NO"/>
        </w:rPr>
      </w:pPr>
    </w:p>
    <w:p w:rsidR="000F0815" w:rsidRPr="000F0815" w:rsidRDefault="000F0815" w:rsidP="000F0815">
      <w:pPr>
        <w:tabs>
          <w:tab w:val="left" w:pos="851"/>
        </w:tabs>
        <w:ind w:left="851"/>
        <w:rPr>
          <w:sz w:val="24"/>
          <w:szCs w:val="24"/>
        </w:rPr>
      </w:pPr>
      <w:r w:rsidRPr="000F0815">
        <w:rPr>
          <w:sz w:val="24"/>
          <w:szCs w:val="24"/>
        </w:rPr>
        <w:t>Fra et mikrobiologisk synspunkt skal blandingen anvendes straks. Hvis præparatet ikke anvendes straks, er brugeren ansvarlig for opbevaringstid og -betingelser inden anvendelse, som normalt ikke bør overstige 24 timer ved 2</w:t>
      </w:r>
      <w:r w:rsidRPr="000F0815">
        <w:rPr>
          <w:sz w:val="24"/>
          <w:szCs w:val="24"/>
        </w:rPr>
        <w:noBreakHyphen/>
        <w:t>8 °C, medmindre blandingen har fundet sted under kontrollerede og validerede forhold.</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0F0815" w:rsidRPr="000F0815" w:rsidRDefault="000F0815" w:rsidP="000F0815">
      <w:pPr>
        <w:tabs>
          <w:tab w:val="left" w:pos="851"/>
        </w:tabs>
        <w:ind w:left="851"/>
        <w:rPr>
          <w:sz w:val="24"/>
          <w:szCs w:val="24"/>
        </w:rPr>
      </w:pPr>
      <w:r w:rsidRPr="000F0815">
        <w:rPr>
          <w:sz w:val="24"/>
          <w:szCs w:val="24"/>
        </w:rPr>
        <w:t>Må ikke opbevares ved temperaturer over 30 °C. Må ikke nedfryses.</w:t>
      </w:r>
    </w:p>
    <w:p w:rsidR="000F0815" w:rsidRPr="000F0815" w:rsidRDefault="000F0815" w:rsidP="000F0815">
      <w:pPr>
        <w:tabs>
          <w:tab w:val="left" w:pos="851"/>
        </w:tabs>
        <w:ind w:left="851"/>
        <w:rPr>
          <w:sz w:val="24"/>
          <w:szCs w:val="24"/>
          <w:lang w:val="nb-NO"/>
        </w:rPr>
      </w:pPr>
    </w:p>
    <w:p w:rsidR="000F0815" w:rsidRPr="000F0815" w:rsidRDefault="000F0815" w:rsidP="000F0815">
      <w:pPr>
        <w:tabs>
          <w:tab w:val="left" w:pos="851"/>
        </w:tabs>
        <w:ind w:left="851"/>
        <w:rPr>
          <w:sz w:val="24"/>
          <w:szCs w:val="24"/>
        </w:rPr>
      </w:pPr>
      <w:r w:rsidRPr="000F0815">
        <w:rPr>
          <w:sz w:val="24"/>
          <w:szCs w:val="24"/>
        </w:rPr>
        <w:t>Opbevaringsforhold efter første anbrud/blanding af lægemidlet, se pkt. 6.3.</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0F0815" w:rsidRPr="000F0815" w:rsidRDefault="000F0815" w:rsidP="000F0815">
      <w:pPr>
        <w:tabs>
          <w:tab w:val="left" w:pos="851"/>
        </w:tabs>
        <w:ind w:left="851"/>
        <w:rPr>
          <w:sz w:val="24"/>
          <w:szCs w:val="24"/>
        </w:rPr>
      </w:pPr>
      <w:r w:rsidRPr="000F0815">
        <w:rPr>
          <w:sz w:val="24"/>
          <w:szCs w:val="24"/>
        </w:rPr>
        <w:t>Polypropylenpose i steril emballage</w:t>
      </w:r>
      <w:r>
        <w:rPr>
          <w:sz w:val="24"/>
          <w:szCs w:val="24"/>
        </w:rPr>
        <w:t>.</w:t>
      </w:r>
    </w:p>
    <w:p w:rsidR="000F0815" w:rsidRPr="000F0815" w:rsidRDefault="000F0815" w:rsidP="000F0815">
      <w:pPr>
        <w:tabs>
          <w:tab w:val="left" w:pos="851"/>
        </w:tabs>
        <w:ind w:left="851"/>
        <w:rPr>
          <w:sz w:val="24"/>
          <w:szCs w:val="24"/>
        </w:rPr>
      </w:pPr>
      <w:r w:rsidRPr="000F0815">
        <w:rPr>
          <w:sz w:val="24"/>
          <w:szCs w:val="24"/>
        </w:rPr>
        <w:t>Polypropylenflasker</w:t>
      </w:r>
      <w:r>
        <w:rPr>
          <w:sz w:val="24"/>
          <w:szCs w:val="24"/>
        </w:rPr>
        <w:t>.</w:t>
      </w:r>
    </w:p>
    <w:p w:rsidR="000F0815" w:rsidRPr="000F0815" w:rsidRDefault="000F0815" w:rsidP="000F0815">
      <w:pPr>
        <w:tabs>
          <w:tab w:val="left" w:pos="851"/>
        </w:tabs>
        <w:ind w:left="851"/>
        <w:rPr>
          <w:sz w:val="24"/>
          <w:szCs w:val="24"/>
        </w:rPr>
      </w:pPr>
    </w:p>
    <w:p w:rsidR="000F0815" w:rsidRPr="000F0815" w:rsidRDefault="000F0815" w:rsidP="000F0815">
      <w:pPr>
        <w:tabs>
          <w:tab w:val="left" w:pos="851"/>
        </w:tabs>
        <w:ind w:left="851"/>
        <w:rPr>
          <w:sz w:val="24"/>
          <w:szCs w:val="24"/>
          <w:u w:val="single"/>
        </w:rPr>
      </w:pPr>
      <w:r w:rsidRPr="000F0815">
        <w:rPr>
          <w:sz w:val="24"/>
          <w:szCs w:val="24"/>
          <w:u w:val="single"/>
        </w:rPr>
        <w:t>Pakningsstørrelser</w:t>
      </w:r>
    </w:p>
    <w:p w:rsidR="000F0815" w:rsidRPr="000F0815" w:rsidRDefault="000F0815" w:rsidP="000F0815">
      <w:pPr>
        <w:tabs>
          <w:tab w:val="left" w:pos="851"/>
        </w:tabs>
        <w:ind w:left="851"/>
        <w:rPr>
          <w:sz w:val="24"/>
          <w:szCs w:val="24"/>
        </w:rPr>
      </w:pPr>
      <w:r w:rsidRPr="000F0815">
        <w:rPr>
          <w:sz w:val="24"/>
          <w:szCs w:val="24"/>
        </w:rPr>
        <w:t>5 poser med 100 ml eller 200 ml infusionsvæske</w:t>
      </w:r>
      <w:r w:rsidR="00430A6B">
        <w:rPr>
          <w:sz w:val="24"/>
          <w:szCs w:val="24"/>
        </w:rPr>
        <w:t>, opløsning.</w:t>
      </w:r>
    </w:p>
    <w:p w:rsidR="000F0815" w:rsidRDefault="00430A6B" w:rsidP="000F0815">
      <w:pPr>
        <w:tabs>
          <w:tab w:val="left" w:pos="851"/>
        </w:tabs>
        <w:ind w:left="851"/>
        <w:rPr>
          <w:sz w:val="24"/>
          <w:szCs w:val="24"/>
        </w:rPr>
      </w:pPr>
      <w:r w:rsidRPr="000F0815">
        <w:rPr>
          <w:sz w:val="24"/>
          <w:szCs w:val="24"/>
        </w:rPr>
        <w:t>20 flasker</w:t>
      </w:r>
      <w:r w:rsidRPr="00430A6B">
        <w:rPr>
          <w:sz w:val="24"/>
          <w:szCs w:val="24"/>
        </w:rPr>
        <w:t xml:space="preserve"> </w:t>
      </w:r>
      <w:r w:rsidRPr="000F0815">
        <w:rPr>
          <w:sz w:val="24"/>
          <w:szCs w:val="24"/>
        </w:rPr>
        <w:t>med 100 ml eller 200 ml infusionsvæske</w:t>
      </w:r>
      <w:r>
        <w:rPr>
          <w:sz w:val="24"/>
          <w:szCs w:val="24"/>
        </w:rPr>
        <w:t>, opløsning.</w:t>
      </w:r>
    </w:p>
    <w:p w:rsidR="00430A6B" w:rsidRPr="000F0815" w:rsidRDefault="00430A6B" w:rsidP="000F0815">
      <w:pPr>
        <w:tabs>
          <w:tab w:val="left" w:pos="851"/>
        </w:tabs>
        <w:ind w:left="851"/>
        <w:rPr>
          <w:sz w:val="24"/>
          <w:szCs w:val="24"/>
        </w:rPr>
      </w:pPr>
    </w:p>
    <w:p w:rsidR="000F0815" w:rsidRDefault="000F0815" w:rsidP="000F0815">
      <w:pPr>
        <w:tabs>
          <w:tab w:val="left" w:pos="851"/>
        </w:tabs>
        <w:ind w:left="851"/>
        <w:rPr>
          <w:sz w:val="24"/>
          <w:szCs w:val="24"/>
        </w:rPr>
      </w:pPr>
      <w:r w:rsidRPr="000F0815">
        <w:rPr>
          <w:sz w:val="24"/>
          <w:szCs w:val="24"/>
        </w:rPr>
        <w:t>Ikke alle pakningsstørrelser er nødvendigvis markedsført.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rsidR="00430A6B" w:rsidRPr="00430A6B" w:rsidRDefault="00430A6B" w:rsidP="00430A6B">
      <w:pPr>
        <w:tabs>
          <w:tab w:val="left" w:pos="851"/>
        </w:tabs>
        <w:ind w:left="851"/>
        <w:rPr>
          <w:sz w:val="24"/>
          <w:szCs w:val="24"/>
        </w:rPr>
      </w:pPr>
      <w:r w:rsidRPr="00430A6B">
        <w:rPr>
          <w:sz w:val="24"/>
          <w:szCs w:val="24"/>
        </w:rPr>
        <w:t>Før brug skal lægemidlet inspiceres visuelt. Væsken må kun anvendes, hvis den er klar og næsten fri for partikler, og hvis beholderen er uskadet.</w:t>
      </w:r>
    </w:p>
    <w:p w:rsidR="00430A6B" w:rsidRPr="00430A6B" w:rsidRDefault="00430A6B" w:rsidP="00430A6B">
      <w:pPr>
        <w:tabs>
          <w:tab w:val="left" w:pos="851"/>
        </w:tabs>
        <w:ind w:left="851"/>
        <w:rPr>
          <w:sz w:val="24"/>
          <w:szCs w:val="24"/>
        </w:rPr>
      </w:pPr>
      <w:r w:rsidRPr="00430A6B">
        <w:rPr>
          <w:sz w:val="24"/>
          <w:szCs w:val="24"/>
        </w:rPr>
        <w:t xml:space="preserve">Hele beholderen må ikke autoklaveres igen. </w:t>
      </w:r>
    </w:p>
    <w:p w:rsidR="00430A6B" w:rsidRPr="00430A6B" w:rsidRDefault="00430A6B" w:rsidP="00430A6B">
      <w:pPr>
        <w:tabs>
          <w:tab w:val="left" w:pos="851"/>
        </w:tabs>
        <w:ind w:left="851"/>
        <w:rPr>
          <w:i/>
          <w:sz w:val="24"/>
          <w:szCs w:val="24"/>
          <w:u w:val="single"/>
          <w:lang w:val="nb-NO"/>
        </w:rPr>
      </w:pPr>
    </w:p>
    <w:p w:rsidR="00430A6B" w:rsidRPr="00430A6B" w:rsidRDefault="00430A6B" w:rsidP="00430A6B">
      <w:pPr>
        <w:tabs>
          <w:tab w:val="left" w:pos="851"/>
        </w:tabs>
        <w:ind w:left="851"/>
        <w:rPr>
          <w:sz w:val="24"/>
          <w:szCs w:val="24"/>
        </w:rPr>
      </w:pPr>
      <w:r w:rsidRPr="00430A6B">
        <w:rPr>
          <w:sz w:val="24"/>
          <w:szCs w:val="24"/>
        </w:rPr>
        <w:t xml:space="preserve">Ropivacaine "Noridem" 2 mg/ml infusionsvæske, opløsning i infusionsposer er kemisk og fysisk kompatibel med følgende produkter: </w:t>
      </w:r>
    </w:p>
    <w:p w:rsidR="00430A6B" w:rsidRPr="00430A6B" w:rsidRDefault="00430A6B" w:rsidP="00430A6B">
      <w:pPr>
        <w:tabs>
          <w:tab w:val="left" w:pos="851"/>
        </w:tabs>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3155"/>
      </w:tblGrid>
      <w:tr w:rsidR="00430A6B" w:rsidRPr="00430A6B" w:rsidTr="00430A6B">
        <w:tc>
          <w:tcPr>
            <w:tcW w:w="7406" w:type="dxa"/>
            <w:gridSpan w:val="2"/>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Koncentrationen af ropivacain: 1 til 2 mg/ml</w:t>
            </w:r>
          </w:p>
        </w:tc>
      </w:tr>
      <w:tr w:rsidR="00430A6B" w:rsidRPr="00430A6B" w:rsidTr="00430A6B">
        <w:tc>
          <w:tcPr>
            <w:tcW w:w="4251"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Additiv</w:t>
            </w:r>
          </w:p>
        </w:tc>
        <w:tc>
          <w:tcPr>
            <w:tcW w:w="3155"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Koncentration</w:t>
            </w:r>
            <w:r w:rsidRPr="00430A6B">
              <w:rPr>
                <w:sz w:val="24"/>
                <w:szCs w:val="24"/>
                <w:lang w:val="en-GB"/>
              </w:rPr>
              <w:t>*</w:t>
            </w:r>
          </w:p>
        </w:tc>
      </w:tr>
      <w:tr w:rsidR="00430A6B" w:rsidRPr="00430A6B" w:rsidTr="00430A6B">
        <w:tc>
          <w:tcPr>
            <w:tcW w:w="4251"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Fentanylcitrat</w:t>
            </w:r>
          </w:p>
        </w:tc>
        <w:tc>
          <w:tcPr>
            <w:tcW w:w="3155"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1,0-10,0 µg/ml</w:t>
            </w:r>
          </w:p>
        </w:tc>
      </w:tr>
      <w:tr w:rsidR="00430A6B" w:rsidRPr="00430A6B" w:rsidTr="00430A6B">
        <w:tc>
          <w:tcPr>
            <w:tcW w:w="4251"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Sufentanilcitrat</w:t>
            </w:r>
          </w:p>
        </w:tc>
        <w:tc>
          <w:tcPr>
            <w:tcW w:w="3155"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0,4</w:t>
            </w:r>
            <w:r w:rsidRPr="00430A6B">
              <w:rPr>
                <w:sz w:val="24"/>
                <w:szCs w:val="24"/>
              </w:rPr>
              <w:noBreakHyphen/>
              <w:t>4,0 µg/ml</w:t>
            </w:r>
          </w:p>
        </w:tc>
      </w:tr>
      <w:tr w:rsidR="00430A6B" w:rsidRPr="00430A6B" w:rsidTr="00430A6B">
        <w:tc>
          <w:tcPr>
            <w:tcW w:w="4251"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Morfinsulfat</w:t>
            </w:r>
          </w:p>
        </w:tc>
        <w:tc>
          <w:tcPr>
            <w:tcW w:w="3155"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20,0</w:t>
            </w:r>
            <w:r w:rsidRPr="00430A6B">
              <w:rPr>
                <w:sz w:val="24"/>
                <w:szCs w:val="24"/>
              </w:rPr>
              <w:noBreakHyphen/>
              <w:t>100,0 µg/ml</w:t>
            </w:r>
          </w:p>
        </w:tc>
      </w:tr>
      <w:tr w:rsidR="00430A6B" w:rsidRPr="00430A6B" w:rsidTr="00430A6B">
        <w:tc>
          <w:tcPr>
            <w:tcW w:w="4251"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Clonidinhydrochlorid</w:t>
            </w:r>
          </w:p>
        </w:tc>
        <w:tc>
          <w:tcPr>
            <w:tcW w:w="3155" w:type="dxa"/>
            <w:tcBorders>
              <w:top w:val="single" w:sz="4" w:space="0" w:color="auto"/>
              <w:left w:val="single" w:sz="4" w:space="0" w:color="auto"/>
              <w:bottom w:val="single" w:sz="4" w:space="0" w:color="auto"/>
              <w:right w:val="single" w:sz="4" w:space="0" w:color="auto"/>
            </w:tcBorders>
            <w:hideMark/>
          </w:tcPr>
          <w:p w:rsidR="00430A6B" w:rsidRPr="00430A6B" w:rsidRDefault="00430A6B" w:rsidP="00430A6B">
            <w:pPr>
              <w:ind w:left="33"/>
              <w:rPr>
                <w:sz w:val="24"/>
                <w:szCs w:val="24"/>
              </w:rPr>
            </w:pPr>
            <w:r w:rsidRPr="00430A6B">
              <w:rPr>
                <w:sz w:val="24"/>
                <w:szCs w:val="24"/>
              </w:rPr>
              <w:t>5,0</w:t>
            </w:r>
            <w:r w:rsidRPr="00430A6B">
              <w:rPr>
                <w:sz w:val="24"/>
                <w:szCs w:val="24"/>
              </w:rPr>
              <w:noBreakHyphen/>
              <w:t>50,0 µg/ml</w:t>
            </w:r>
          </w:p>
        </w:tc>
      </w:tr>
    </w:tbl>
    <w:p w:rsidR="00430A6B" w:rsidRPr="00430A6B" w:rsidRDefault="00430A6B" w:rsidP="00430A6B">
      <w:pPr>
        <w:tabs>
          <w:tab w:val="left" w:pos="851"/>
        </w:tabs>
        <w:ind w:left="851"/>
        <w:rPr>
          <w:i/>
          <w:sz w:val="24"/>
          <w:szCs w:val="24"/>
        </w:rPr>
      </w:pPr>
    </w:p>
    <w:p w:rsidR="00430A6B" w:rsidRPr="00430A6B" w:rsidRDefault="00430A6B" w:rsidP="00430A6B">
      <w:pPr>
        <w:tabs>
          <w:tab w:val="left" w:pos="851"/>
        </w:tabs>
        <w:ind w:left="851"/>
        <w:rPr>
          <w:sz w:val="20"/>
        </w:rPr>
      </w:pPr>
      <w:r w:rsidRPr="00430A6B">
        <w:rPr>
          <w:sz w:val="20"/>
        </w:rPr>
        <w:t>(*) Koncentrationsniveauerne for de procedurer, der er angivet i tabellen, overstiger dem, der typisk anvendes i klinisk praksis. Epiduralinfusion med ropivacain kombineret med enten sufentanilcitrat, morfinsulfat eller clonidinhydrochlorid er ikke blevet undersøgt i kliniske studier.</w:t>
      </w:r>
    </w:p>
    <w:p w:rsidR="00430A6B" w:rsidRPr="00430A6B" w:rsidRDefault="00430A6B" w:rsidP="00430A6B">
      <w:pPr>
        <w:tabs>
          <w:tab w:val="left" w:pos="851"/>
        </w:tabs>
        <w:ind w:left="851"/>
        <w:rPr>
          <w:sz w:val="24"/>
          <w:szCs w:val="24"/>
        </w:rPr>
      </w:pPr>
    </w:p>
    <w:p w:rsidR="00430A6B" w:rsidRPr="00430A6B" w:rsidRDefault="00430A6B" w:rsidP="00430A6B">
      <w:pPr>
        <w:tabs>
          <w:tab w:val="left" w:pos="851"/>
        </w:tabs>
        <w:ind w:left="851"/>
        <w:rPr>
          <w:sz w:val="24"/>
          <w:szCs w:val="24"/>
        </w:rPr>
      </w:pPr>
      <w:r w:rsidRPr="00430A6B">
        <w:rPr>
          <w:sz w:val="24"/>
          <w:szCs w:val="24"/>
        </w:rPr>
        <w:t xml:space="preserve">Denne infusionsvæske er kun til engangsbrug. </w:t>
      </w:r>
    </w:p>
    <w:p w:rsidR="00430A6B" w:rsidRPr="00430A6B" w:rsidRDefault="00430A6B" w:rsidP="00430A6B">
      <w:pPr>
        <w:tabs>
          <w:tab w:val="left" w:pos="851"/>
        </w:tabs>
        <w:ind w:left="851"/>
        <w:rPr>
          <w:sz w:val="24"/>
          <w:szCs w:val="24"/>
        </w:rPr>
      </w:pPr>
    </w:p>
    <w:p w:rsidR="00430A6B" w:rsidRPr="00430A6B" w:rsidRDefault="00430A6B" w:rsidP="00430A6B">
      <w:pPr>
        <w:tabs>
          <w:tab w:val="left" w:pos="851"/>
        </w:tabs>
        <w:ind w:left="851"/>
        <w:rPr>
          <w:sz w:val="24"/>
          <w:szCs w:val="24"/>
        </w:rPr>
      </w:pPr>
      <w:r w:rsidRPr="00430A6B">
        <w:rPr>
          <w:sz w:val="24"/>
          <w:szCs w:val="24"/>
        </w:rPr>
        <w:t xml:space="preserve">Ikke anvendt lægemiddel samt affald heraf bør bortskaffes i henhold til lokale retningslinjer. </w:t>
      </w:r>
    </w:p>
    <w:p w:rsidR="00430A6B" w:rsidRDefault="00430A6B">
      <w:pPr>
        <w:rPr>
          <w:sz w:val="24"/>
          <w:szCs w:val="24"/>
        </w:rPr>
      </w:pPr>
      <w:r>
        <w:rPr>
          <w:sz w:val="24"/>
          <w:szCs w:val="24"/>
        </w:rPr>
        <w:br w:type="page"/>
      </w:r>
    </w:p>
    <w:p w:rsidR="009260DE" w:rsidRPr="00C84483" w:rsidRDefault="009260DE" w:rsidP="000730CA">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430A6B" w:rsidRPr="006B7468" w:rsidRDefault="00430A6B" w:rsidP="00430A6B">
      <w:pPr>
        <w:tabs>
          <w:tab w:val="left" w:pos="851"/>
        </w:tabs>
        <w:ind w:left="851"/>
        <w:rPr>
          <w:sz w:val="24"/>
          <w:szCs w:val="24"/>
        </w:rPr>
      </w:pPr>
      <w:r w:rsidRPr="006B7468">
        <w:rPr>
          <w:sz w:val="24"/>
          <w:szCs w:val="24"/>
        </w:rPr>
        <w:t xml:space="preserve">Noridem Enterprises Limited </w:t>
      </w:r>
    </w:p>
    <w:p w:rsidR="00430A6B" w:rsidRPr="00430A6B" w:rsidRDefault="00430A6B" w:rsidP="00430A6B">
      <w:pPr>
        <w:tabs>
          <w:tab w:val="left" w:pos="851"/>
        </w:tabs>
        <w:ind w:left="851"/>
        <w:rPr>
          <w:sz w:val="24"/>
          <w:szCs w:val="24"/>
          <w:lang w:val="en-US"/>
        </w:rPr>
      </w:pPr>
      <w:r w:rsidRPr="00430A6B">
        <w:rPr>
          <w:sz w:val="24"/>
          <w:szCs w:val="24"/>
          <w:lang w:val="en-US"/>
        </w:rPr>
        <w:t xml:space="preserve">Evagorou &amp; Makariou </w:t>
      </w:r>
    </w:p>
    <w:p w:rsidR="00430A6B" w:rsidRPr="00430A6B" w:rsidRDefault="00430A6B" w:rsidP="00430A6B">
      <w:pPr>
        <w:tabs>
          <w:tab w:val="left" w:pos="851"/>
        </w:tabs>
        <w:ind w:left="851"/>
        <w:rPr>
          <w:sz w:val="24"/>
          <w:szCs w:val="24"/>
          <w:lang w:val="en-US"/>
        </w:rPr>
      </w:pPr>
      <w:r w:rsidRPr="00430A6B">
        <w:rPr>
          <w:sz w:val="24"/>
          <w:szCs w:val="24"/>
          <w:lang w:val="en-US"/>
        </w:rPr>
        <w:t xml:space="preserve">Mitsi Building 3, Office 115 </w:t>
      </w:r>
    </w:p>
    <w:p w:rsidR="00430A6B" w:rsidRDefault="00430A6B" w:rsidP="00430A6B">
      <w:pPr>
        <w:tabs>
          <w:tab w:val="left" w:pos="851"/>
        </w:tabs>
        <w:ind w:left="851"/>
        <w:rPr>
          <w:sz w:val="24"/>
          <w:szCs w:val="24"/>
          <w:lang w:val="en-US"/>
        </w:rPr>
      </w:pPr>
      <w:r w:rsidRPr="00430A6B">
        <w:rPr>
          <w:sz w:val="24"/>
          <w:szCs w:val="24"/>
          <w:lang w:val="en-US"/>
        </w:rPr>
        <w:t>1065 Nicosia</w:t>
      </w:r>
    </w:p>
    <w:p w:rsidR="00430A6B" w:rsidRPr="00430A6B" w:rsidRDefault="00430A6B" w:rsidP="00430A6B">
      <w:pPr>
        <w:tabs>
          <w:tab w:val="left" w:pos="851"/>
        </w:tabs>
        <w:ind w:left="851"/>
        <w:rPr>
          <w:sz w:val="24"/>
          <w:szCs w:val="24"/>
          <w:lang w:val="en-US"/>
        </w:rPr>
      </w:pPr>
      <w:r>
        <w:rPr>
          <w:sz w:val="24"/>
          <w:szCs w:val="24"/>
          <w:lang w:val="en-US"/>
        </w:rPr>
        <w:t>Cypern</w:t>
      </w:r>
    </w:p>
    <w:p w:rsidR="00430A6B" w:rsidRPr="00430A6B" w:rsidRDefault="00430A6B" w:rsidP="00430A6B">
      <w:pPr>
        <w:tabs>
          <w:tab w:val="left" w:pos="851"/>
        </w:tabs>
        <w:ind w:left="851"/>
        <w:rPr>
          <w:sz w:val="24"/>
          <w:szCs w:val="24"/>
          <w:lang w:val="en-US"/>
        </w:rPr>
      </w:pPr>
    </w:p>
    <w:p w:rsidR="00430A6B" w:rsidRPr="00430A6B" w:rsidRDefault="00430A6B" w:rsidP="00430A6B">
      <w:pPr>
        <w:tabs>
          <w:tab w:val="left" w:pos="851"/>
        </w:tabs>
        <w:ind w:left="851"/>
        <w:rPr>
          <w:sz w:val="24"/>
          <w:szCs w:val="24"/>
          <w:lang w:val="sv-SE"/>
        </w:rPr>
      </w:pPr>
      <w:r w:rsidRPr="00430A6B">
        <w:rPr>
          <w:b/>
          <w:bCs/>
          <w:sz w:val="24"/>
          <w:szCs w:val="24"/>
          <w:lang w:val="sv-SE"/>
        </w:rPr>
        <w:t>Repræsentant</w:t>
      </w:r>
      <w:r w:rsidRPr="00430A6B">
        <w:rPr>
          <w:sz w:val="24"/>
          <w:szCs w:val="24"/>
          <w:lang w:val="sv-SE"/>
        </w:rPr>
        <w:t> </w:t>
      </w:r>
    </w:p>
    <w:p w:rsidR="00430A6B" w:rsidRPr="00430A6B" w:rsidRDefault="00430A6B" w:rsidP="00430A6B">
      <w:pPr>
        <w:tabs>
          <w:tab w:val="left" w:pos="851"/>
        </w:tabs>
        <w:ind w:left="851"/>
        <w:rPr>
          <w:sz w:val="24"/>
          <w:szCs w:val="24"/>
          <w:lang w:val="sv-SE"/>
        </w:rPr>
      </w:pPr>
      <w:r w:rsidRPr="00430A6B">
        <w:rPr>
          <w:sz w:val="24"/>
          <w:szCs w:val="24"/>
          <w:lang w:val="sv-SE"/>
        </w:rPr>
        <w:t>FrostPharma AB </w:t>
      </w:r>
    </w:p>
    <w:p w:rsidR="00430A6B" w:rsidRPr="00430A6B" w:rsidRDefault="00430A6B" w:rsidP="00430A6B">
      <w:pPr>
        <w:tabs>
          <w:tab w:val="left" w:pos="851"/>
        </w:tabs>
        <w:ind w:left="851"/>
        <w:rPr>
          <w:sz w:val="24"/>
          <w:szCs w:val="24"/>
          <w:lang w:val="sv-SE"/>
        </w:rPr>
      </w:pPr>
      <w:r w:rsidRPr="00430A6B">
        <w:rPr>
          <w:sz w:val="24"/>
          <w:szCs w:val="24"/>
          <w:lang w:val="sv-SE"/>
        </w:rPr>
        <w:t>Berga Backe 2 </w:t>
      </w:r>
    </w:p>
    <w:p w:rsidR="00430A6B" w:rsidRPr="00430A6B" w:rsidRDefault="00430A6B" w:rsidP="00430A6B">
      <w:pPr>
        <w:tabs>
          <w:tab w:val="left" w:pos="851"/>
        </w:tabs>
        <w:ind w:left="851"/>
        <w:rPr>
          <w:sz w:val="24"/>
          <w:szCs w:val="24"/>
          <w:lang w:val="sv-SE"/>
        </w:rPr>
      </w:pPr>
      <w:r w:rsidRPr="00430A6B">
        <w:rPr>
          <w:sz w:val="24"/>
          <w:szCs w:val="24"/>
          <w:lang w:val="sv-SE"/>
        </w:rPr>
        <w:t>182 53 Danderyd </w:t>
      </w:r>
    </w:p>
    <w:p w:rsidR="00430A6B" w:rsidRPr="00430A6B" w:rsidRDefault="00430A6B" w:rsidP="00430A6B">
      <w:pPr>
        <w:tabs>
          <w:tab w:val="left" w:pos="851"/>
        </w:tabs>
        <w:ind w:left="851"/>
        <w:rPr>
          <w:sz w:val="24"/>
          <w:szCs w:val="24"/>
          <w:lang w:val="sv-SE"/>
        </w:rPr>
      </w:pPr>
      <w:r w:rsidRPr="00430A6B">
        <w:rPr>
          <w:sz w:val="24"/>
          <w:szCs w:val="24"/>
          <w:lang w:val="sv-SE"/>
        </w:rPr>
        <w:t>Sverige </w:t>
      </w:r>
    </w:p>
    <w:p w:rsidR="00641C65" w:rsidRPr="00641C65" w:rsidRDefault="00641C65"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rsidR="009260DE" w:rsidRPr="00C84483" w:rsidRDefault="003376A1" w:rsidP="009260DE">
      <w:pPr>
        <w:tabs>
          <w:tab w:val="left" w:pos="851"/>
        </w:tabs>
        <w:ind w:left="851"/>
        <w:rPr>
          <w:sz w:val="24"/>
          <w:szCs w:val="24"/>
        </w:rPr>
      </w:pPr>
      <w:r>
        <w:rPr>
          <w:sz w:val="24"/>
          <w:szCs w:val="24"/>
        </w:rPr>
        <w:t>73165</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6B7468" w:rsidP="009260DE">
      <w:pPr>
        <w:tabs>
          <w:tab w:val="left" w:pos="851"/>
        </w:tabs>
        <w:ind w:left="851"/>
        <w:rPr>
          <w:sz w:val="24"/>
          <w:szCs w:val="24"/>
        </w:rPr>
      </w:pPr>
      <w:r>
        <w:rPr>
          <w:sz w:val="24"/>
          <w:szCs w:val="24"/>
        </w:rPr>
        <w:t>21. august 2025</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430A6B"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C28" w:rsidRDefault="006C1C28">
      <w:r>
        <w:separator/>
      </w:r>
    </w:p>
  </w:endnote>
  <w:endnote w:type="continuationSeparator" w:id="0">
    <w:p w:rsidR="006C1C28" w:rsidRDefault="006C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FGFM O+ T T 3 A A 5o 00">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28" w:rsidRDefault="006C1C28">
    <w:pPr>
      <w:pStyle w:val="Sidefod"/>
      <w:pBdr>
        <w:bottom w:val="single" w:sz="6" w:space="1" w:color="auto"/>
      </w:pBdr>
    </w:pPr>
  </w:p>
  <w:p w:rsidR="006C1C28" w:rsidRDefault="006C1C28" w:rsidP="00C42586">
    <w:pPr>
      <w:pStyle w:val="Sidefod"/>
      <w:tabs>
        <w:tab w:val="clear" w:pos="4819"/>
        <w:tab w:val="left" w:pos="8505"/>
      </w:tabs>
      <w:rPr>
        <w:i/>
        <w:sz w:val="18"/>
        <w:szCs w:val="18"/>
      </w:rPr>
    </w:pPr>
  </w:p>
  <w:p w:rsidR="006C1C28" w:rsidRPr="00B373D7" w:rsidRDefault="006C1C2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Ropivacaine Noridem, infusionsvæske, opløsning 2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C28" w:rsidRDefault="006C1C28">
      <w:r>
        <w:separator/>
      </w:r>
    </w:p>
  </w:footnote>
  <w:footnote w:type="continuationSeparator" w:id="0">
    <w:p w:rsidR="006C1C28" w:rsidRDefault="006C1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A1"/>
    <w:rsid w:val="000259B9"/>
    <w:rsid w:val="00041491"/>
    <w:rsid w:val="00050D16"/>
    <w:rsid w:val="000730CA"/>
    <w:rsid w:val="00074F11"/>
    <w:rsid w:val="00074F2A"/>
    <w:rsid w:val="000A1CA8"/>
    <w:rsid w:val="000A466B"/>
    <w:rsid w:val="000B058C"/>
    <w:rsid w:val="000D68B0"/>
    <w:rsid w:val="000E4EE6"/>
    <w:rsid w:val="000F0815"/>
    <w:rsid w:val="001454E2"/>
    <w:rsid w:val="00206CE8"/>
    <w:rsid w:val="0021526C"/>
    <w:rsid w:val="00283A2B"/>
    <w:rsid w:val="002B30AD"/>
    <w:rsid w:val="002C1EC0"/>
    <w:rsid w:val="002C2C01"/>
    <w:rsid w:val="003376A1"/>
    <w:rsid w:val="003A29AE"/>
    <w:rsid w:val="003A32D7"/>
    <w:rsid w:val="003B4074"/>
    <w:rsid w:val="003C769A"/>
    <w:rsid w:val="003D3A90"/>
    <w:rsid w:val="003F1838"/>
    <w:rsid w:val="004251C1"/>
    <w:rsid w:val="00430A6B"/>
    <w:rsid w:val="0045746C"/>
    <w:rsid w:val="0049104B"/>
    <w:rsid w:val="004E3B12"/>
    <w:rsid w:val="00532310"/>
    <w:rsid w:val="00565F0F"/>
    <w:rsid w:val="00594A86"/>
    <w:rsid w:val="00596D86"/>
    <w:rsid w:val="00637F5A"/>
    <w:rsid w:val="00641C65"/>
    <w:rsid w:val="006560B1"/>
    <w:rsid w:val="006756DD"/>
    <w:rsid w:val="006B7468"/>
    <w:rsid w:val="006C1C28"/>
    <w:rsid w:val="0071241E"/>
    <w:rsid w:val="0073049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396E"/>
    <w:rsid w:val="00A85EDD"/>
    <w:rsid w:val="00B003BF"/>
    <w:rsid w:val="00B373D7"/>
    <w:rsid w:val="00B55271"/>
    <w:rsid w:val="00B605C8"/>
    <w:rsid w:val="00B8517D"/>
    <w:rsid w:val="00BD7931"/>
    <w:rsid w:val="00BF6243"/>
    <w:rsid w:val="00C03624"/>
    <w:rsid w:val="00C36276"/>
    <w:rsid w:val="00C42586"/>
    <w:rsid w:val="00C45F6B"/>
    <w:rsid w:val="00C60CCD"/>
    <w:rsid w:val="00C84483"/>
    <w:rsid w:val="00C95551"/>
    <w:rsid w:val="00CB20D7"/>
    <w:rsid w:val="00CC2F1D"/>
    <w:rsid w:val="00D020B0"/>
    <w:rsid w:val="00D11748"/>
    <w:rsid w:val="00D237F6"/>
    <w:rsid w:val="00D33542"/>
    <w:rsid w:val="00D34D98"/>
    <w:rsid w:val="00D366CF"/>
    <w:rsid w:val="00D93992"/>
    <w:rsid w:val="00E108AA"/>
    <w:rsid w:val="00E261B1"/>
    <w:rsid w:val="00E3749A"/>
    <w:rsid w:val="00E7437F"/>
    <w:rsid w:val="00E865B8"/>
    <w:rsid w:val="00EC0B9B"/>
    <w:rsid w:val="00ED5E9F"/>
    <w:rsid w:val="00F66D4F"/>
    <w:rsid w:val="00F75836"/>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9ECF7"/>
  <w15:chartTrackingRefBased/>
  <w15:docId w15:val="{124B6EAB-F39E-4541-876F-5509D7DC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F75836"/>
    <w:pPr>
      <w:widowControl w:val="0"/>
      <w:autoSpaceDE w:val="0"/>
      <w:autoSpaceDN w:val="0"/>
      <w:adjustRightInd w:val="0"/>
    </w:pPr>
    <w:rPr>
      <w:rFonts w:eastAsiaTheme="minorEastAsia"/>
      <w:color w:val="000000"/>
      <w:sz w:val="24"/>
      <w:szCs w:val="24"/>
      <w:lang w:eastAsia="el-GR"/>
    </w:rPr>
  </w:style>
  <w:style w:type="paragraph" w:customStyle="1" w:styleId="CM30">
    <w:name w:val="CM30"/>
    <w:basedOn w:val="Default"/>
    <w:next w:val="Default"/>
    <w:uiPriority w:val="99"/>
    <w:rsid w:val="00F75836"/>
    <w:pPr>
      <w:spacing w:after="243"/>
    </w:pPr>
    <w:rPr>
      <w:color w:val="auto"/>
    </w:rPr>
  </w:style>
  <w:style w:type="table" w:styleId="Tabel-Gitter">
    <w:name w:val="Table Grid"/>
    <w:basedOn w:val="Tabel-Normal"/>
    <w:uiPriority w:val="59"/>
    <w:rsid w:val="00F75836"/>
    <w:rPr>
      <w:rFonts w:asciiTheme="minorHAnsi" w:eastAsiaTheme="minorEastAsia" w:hAnsiTheme="minorHAnsi"/>
      <w:sz w:val="22"/>
      <w:szCs w:val="22"/>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73049E"/>
    <w:rPr>
      <w:color w:val="0563C1" w:themeColor="hyperlink"/>
      <w:u w:val="single"/>
    </w:rPr>
  </w:style>
  <w:style w:type="character" w:customStyle="1" w:styleId="Bodytext2">
    <w:name w:val="Body text (2)_"/>
    <w:basedOn w:val="Standardskrifttypeiafsnit"/>
    <w:link w:val="Bodytext20"/>
    <w:locked/>
    <w:rsid w:val="0073049E"/>
    <w:rPr>
      <w:shd w:val="clear" w:color="auto" w:fill="FFFFFF"/>
    </w:rPr>
  </w:style>
  <w:style w:type="paragraph" w:customStyle="1" w:styleId="Bodytext20">
    <w:name w:val="Body text (2)"/>
    <w:basedOn w:val="Normal"/>
    <w:link w:val="Bodytext2"/>
    <w:rsid w:val="0073049E"/>
    <w:pPr>
      <w:widowControl w:val="0"/>
      <w:shd w:val="clear" w:color="auto" w:fill="FFFFFF"/>
      <w:spacing w:after="260" w:line="244" w:lineRule="exact"/>
      <w:ind w:hanging="660"/>
    </w:pPr>
    <w:rPr>
      <w:sz w:val="20"/>
      <w:lang w:eastAsia="da-DK"/>
    </w:rPr>
  </w:style>
  <w:style w:type="character" w:customStyle="1" w:styleId="Bodytext2Italic">
    <w:name w:val="Body text (2) + Italic"/>
    <w:basedOn w:val="Bodytext2"/>
    <w:rsid w:val="00A1396E"/>
    <w:rPr>
      <w:i/>
      <w:iCs/>
      <w:color w:val="000000"/>
      <w:spacing w:val="0"/>
      <w:w w:val="100"/>
      <w:position w:val="0"/>
      <w:sz w:val="22"/>
      <w:szCs w:val="22"/>
      <w:shd w:val="clear" w:color="auto" w:fill="FFFFFF"/>
      <w:lang w:val="da-DK"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8054">
      <w:bodyDiv w:val="1"/>
      <w:marLeft w:val="0"/>
      <w:marRight w:val="0"/>
      <w:marTop w:val="0"/>
      <w:marBottom w:val="0"/>
      <w:divBdr>
        <w:top w:val="none" w:sz="0" w:space="0" w:color="auto"/>
        <w:left w:val="none" w:sz="0" w:space="0" w:color="auto"/>
        <w:bottom w:val="none" w:sz="0" w:space="0" w:color="auto"/>
        <w:right w:val="none" w:sz="0" w:space="0" w:color="auto"/>
      </w:divBdr>
    </w:div>
    <w:div w:id="14598113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8908476">
      <w:bodyDiv w:val="1"/>
      <w:marLeft w:val="0"/>
      <w:marRight w:val="0"/>
      <w:marTop w:val="0"/>
      <w:marBottom w:val="0"/>
      <w:divBdr>
        <w:top w:val="none" w:sz="0" w:space="0" w:color="auto"/>
        <w:left w:val="none" w:sz="0" w:space="0" w:color="auto"/>
        <w:bottom w:val="none" w:sz="0" w:space="0" w:color="auto"/>
        <w:right w:val="none" w:sz="0" w:space="0" w:color="auto"/>
      </w:divBdr>
    </w:div>
    <w:div w:id="186335327">
      <w:bodyDiv w:val="1"/>
      <w:marLeft w:val="0"/>
      <w:marRight w:val="0"/>
      <w:marTop w:val="0"/>
      <w:marBottom w:val="0"/>
      <w:divBdr>
        <w:top w:val="none" w:sz="0" w:space="0" w:color="auto"/>
        <w:left w:val="none" w:sz="0" w:space="0" w:color="auto"/>
        <w:bottom w:val="none" w:sz="0" w:space="0" w:color="auto"/>
        <w:right w:val="none" w:sz="0" w:space="0" w:color="auto"/>
      </w:divBdr>
    </w:div>
    <w:div w:id="297075568">
      <w:bodyDiv w:val="1"/>
      <w:marLeft w:val="0"/>
      <w:marRight w:val="0"/>
      <w:marTop w:val="0"/>
      <w:marBottom w:val="0"/>
      <w:divBdr>
        <w:top w:val="none" w:sz="0" w:space="0" w:color="auto"/>
        <w:left w:val="none" w:sz="0" w:space="0" w:color="auto"/>
        <w:bottom w:val="none" w:sz="0" w:space="0" w:color="auto"/>
        <w:right w:val="none" w:sz="0" w:space="0" w:color="auto"/>
      </w:divBdr>
    </w:div>
    <w:div w:id="298651963">
      <w:bodyDiv w:val="1"/>
      <w:marLeft w:val="0"/>
      <w:marRight w:val="0"/>
      <w:marTop w:val="0"/>
      <w:marBottom w:val="0"/>
      <w:divBdr>
        <w:top w:val="none" w:sz="0" w:space="0" w:color="auto"/>
        <w:left w:val="none" w:sz="0" w:space="0" w:color="auto"/>
        <w:bottom w:val="none" w:sz="0" w:space="0" w:color="auto"/>
        <w:right w:val="none" w:sz="0" w:space="0" w:color="auto"/>
      </w:divBdr>
    </w:div>
    <w:div w:id="345903853">
      <w:bodyDiv w:val="1"/>
      <w:marLeft w:val="0"/>
      <w:marRight w:val="0"/>
      <w:marTop w:val="0"/>
      <w:marBottom w:val="0"/>
      <w:divBdr>
        <w:top w:val="none" w:sz="0" w:space="0" w:color="auto"/>
        <w:left w:val="none" w:sz="0" w:space="0" w:color="auto"/>
        <w:bottom w:val="none" w:sz="0" w:space="0" w:color="auto"/>
        <w:right w:val="none" w:sz="0" w:space="0" w:color="auto"/>
      </w:divBdr>
    </w:div>
    <w:div w:id="351496916">
      <w:bodyDiv w:val="1"/>
      <w:marLeft w:val="0"/>
      <w:marRight w:val="0"/>
      <w:marTop w:val="0"/>
      <w:marBottom w:val="0"/>
      <w:divBdr>
        <w:top w:val="none" w:sz="0" w:space="0" w:color="auto"/>
        <w:left w:val="none" w:sz="0" w:space="0" w:color="auto"/>
        <w:bottom w:val="none" w:sz="0" w:space="0" w:color="auto"/>
        <w:right w:val="none" w:sz="0" w:space="0" w:color="auto"/>
      </w:divBdr>
    </w:div>
    <w:div w:id="372971303">
      <w:bodyDiv w:val="1"/>
      <w:marLeft w:val="0"/>
      <w:marRight w:val="0"/>
      <w:marTop w:val="0"/>
      <w:marBottom w:val="0"/>
      <w:divBdr>
        <w:top w:val="none" w:sz="0" w:space="0" w:color="auto"/>
        <w:left w:val="none" w:sz="0" w:space="0" w:color="auto"/>
        <w:bottom w:val="none" w:sz="0" w:space="0" w:color="auto"/>
        <w:right w:val="none" w:sz="0" w:space="0" w:color="auto"/>
      </w:divBdr>
    </w:div>
    <w:div w:id="397746692">
      <w:bodyDiv w:val="1"/>
      <w:marLeft w:val="0"/>
      <w:marRight w:val="0"/>
      <w:marTop w:val="0"/>
      <w:marBottom w:val="0"/>
      <w:divBdr>
        <w:top w:val="none" w:sz="0" w:space="0" w:color="auto"/>
        <w:left w:val="none" w:sz="0" w:space="0" w:color="auto"/>
        <w:bottom w:val="none" w:sz="0" w:space="0" w:color="auto"/>
        <w:right w:val="none" w:sz="0" w:space="0" w:color="auto"/>
      </w:divBdr>
    </w:div>
    <w:div w:id="451480381">
      <w:bodyDiv w:val="1"/>
      <w:marLeft w:val="0"/>
      <w:marRight w:val="0"/>
      <w:marTop w:val="0"/>
      <w:marBottom w:val="0"/>
      <w:divBdr>
        <w:top w:val="none" w:sz="0" w:space="0" w:color="auto"/>
        <w:left w:val="none" w:sz="0" w:space="0" w:color="auto"/>
        <w:bottom w:val="none" w:sz="0" w:space="0" w:color="auto"/>
        <w:right w:val="none" w:sz="0" w:space="0" w:color="auto"/>
      </w:divBdr>
    </w:div>
    <w:div w:id="473958362">
      <w:bodyDiv w:val="1"/>
      <w:marLeft w:val="0"/>
      <w:marRight w:val="0"/>
      <w:marTop w:val="0"/>
      <w:marBottom w:val="0"/>
      <w:divBdr>
        <w:top w:val="none" w:sz="0" w:space="0" w:color="auto"/>
        <w:left w:val="none" w:sz="0" w:space="0" w:color="auto"/>
        <w:bottom w:val="none" w:sz="0" w:space="0" w:color="auto"/>
        <w:right w:val="none" w:sz="0" w:space="0" w:color="auto"/>
      </w:divBdr>
    </w:div>
    <w:div w:id="517432232">
      <w:bodyDiv w:val="1"/>
      <w:marLeft w:val="0"/>
      <w:marRight w:val="0"/>
      <w:marTop w:val="0"/>
      <w:marBottom w:val="0"/>
      <w:divBdr>
        <w:top w:val="none" w:sz="0" w:space="0" w:color="auto"/>
        <w:left w:val="none" w:sz="0" w:space="0" w:color="auto"/>
        <w:bottom w:val="none" w:sz="0" w:space="0" w:color="auto"/>
        <w:right w:val="none" w:sz="0" w:space="0" w:color="auto"/>
      </w:divBdr>
    </w:div>
    <w:div w:id="580220552">
      <w:bodyDiv w:val="1"/>
      <w:marLeft w:val="0"/>
      <w:marRight w:val="0"/>
      <w:marTop w:val="0"/>
      <w:marBottom w:val="0"/>
      <w:divBdr>
        <w:top w:val="none" w:sz="0" w:space="0" w:color="auto"/>
        <w:left w:val="none" w:sz="0" w:space="0" w:color="auto"/>
        <w:bottom w:val="none" w:sz="0" w:space="0" w:color="auto"/>
        <w:right w:val="none" w:sz="0" w:space="0" w:color="auto"/>
      </w:divBdr>
    </w:div>
    <w:div w:id="599526178">
      <w:bodyDiv w:val="1"/>
      <w:marLeft w:val="0"/>
      <w:marRight w:val="0"/>
      <w:marTop w:val="0"/>
      <w:marBottom w:val="0"/>
      <w:divBdr>
        <w:top w:val="none" w:sz="0" w:space="0" w:color="auto"/>
        <w:left w:val="none" w:sz="0" w:space="0" w:color="auto"/>
        <w:bottom w:val="none" w:sz="0" w:space="0" w:color="auto"/>
        <w:right w:val="none" w:sz="0" w:space="0" w:color="auto"/>
      </w:divBdr>
    </w:div>
    <w:div w:id="667831158">
      <w:bodyDiv w:val="1"/>
      <w:marLeft w:val="0"/>
      <w:marRight w:val="0"/>
      <w:marTop w:val="0"/>
      <w:marBottom w:val="0"/>
      <w:divBdr>
        <w:top w:val="none" w:sz="0" w:space="0" w:color="auto"/>
        <w:left w:val="none" w:sz="0" w:space="0" w:color="auto"/>
        <w:bottom w:val="none" w:sz="0" w:space="0" w:color="auto"/>
        <w:right w:val="none" w:sz="0" w:space="0" w:color="auto"/>
      </w:divBdr>
    </w:div>
    <w:div w:id="709375575">
      <w:bodyDiv w:val="1"/>
      <w:marLeft w:val="0"/>
      <w:marRight w:val="0"/>
      <w:marTop w:val="0"/>
      <w:marBottom w:val="0"/>
      <w:divBdr>
        <w:top w:val="none" w:sz="0" w:space="0" w:color="auto"/>
        <w:left w:val="none" w:sz="0" w:space="0" w:color="auto"/>
        <w:bottom w:val="none" w:sz="0" w:space="0" w:color="auto"/>
        <w:right w:val="none" w:sz="0" w:space="0" w:color="auto"/>
      </w:divBdr>
    </w:div>
    <w:div w:id="728765958">
      <w:bodyDiv w:val="1"/>
      <w:marLeft w:val="0"/>
      <w:marRight w:val="0"/>
      <w:marTop w:val="0"/>
      <w:marBottom w:val="0"/>
      <w:divBdr>
        <w:top w:val="none" w:sz="0" w:space="0" w:color="auto"/>
        <w:left w:val="none" w:sz="0" w:space="0" w:color="auto"/>
        <w:bottom w:val="none" w:sz="0" w:space="0" w:color="auto"/>
        <w:right w:val="none" w:sz="0" w:space="0" w:color="auto"/>
      </w:divBdr>
    </w:div>
    <w:div w:id="797574601">
      <w:bodyDiv w:val="1"/>
      <w:marLeft w:val="0"/>
      <w:marRight w:val="0"/>
      <w:marTop w:val="0"/>
      <w:marBottom w:val="0"/>
      <w:divBdr>
        <w:top w:val="none" w:sz="0" w:space="0" w:color="auto"/>
        <w:left w:val="none" w:sz="0" w:space="0" w:color="auto"/>
        <w:bottom w:val="none" w:sz="0" w:space="0" w:color="auto"/>
        <w:right w:val="none" w:sz="0" w:space="0" w:color="auto"/>
      </w:divBdr>
    </w:div>
    <w:div w:id="828903344">
      <w:bodyDiv w:val="1"/>
      <w:marLeft w:val="0"/>
      <w:marRight w:val="0"/>
      <w:marTop w:val="0"/>
      <w:marBottom w:val="0"/>
      <w:divBdr>
        <w:top w:val="none" w:sz="0" w:space="0" w:color="auto"/>
        <w:left w:val="none" w:sz="0" w:space="0" w:color="auto"/>
        <w:bottom w:val="none" w:sz="0" w:space="0" w:color="auto"/>
        <w:right w:val="none" w:sz="0" w:space="0" w:color="auto"/>
      </w:divBdr>
    </w:div>
    <w:div w:id="919632188">
      <w:bodyDiv w:val="1"/>
      <w:marLeft w:val="0"/>
      <w:marRight w:val="0"/>
      <w:marTop w:val="0"/>
      <w:marBottom w:val="0"/>
      <w:divBdr>
        <w:top w:val="none" w:sz="0" w:space="0" w:color="auto"/>
        <w:left w:val="none" w:sz="0" w:space="0" w:color="auto"/>
        <w:bottom w:val="none" w:sz="0" w:space="0" w:color="auto"/>
        <w:right w:val="none" w:sz="0" w:space="0" w:color="auto"/>
      </w:divBdr>
    </w:div>
    <w:div w:id="987394441">
      <w:bodyDiv w:val="1"/>
      <w:marLeft w:val="0"/>
      <w:marRight w:val="0"/>
      <w:marTop w:val="0"/>
      <w:marBottom w:val="0"/>
      <w:divBdr>
        <w:top w:val="none" w:sz="0" w:space="0" w:color="auto"/>
        <w:left w:val="none" w:sz="0" w:space="0" w:color="auto"/>
        <w:bottom w:val="none" w:sz="0" w:space="0" w:color="auto"/>
        <w:right w:val="none" w:sz="0" w:space="0" w:color="auto"/>
      </w:divBdr>
    </w:div>
    <w:div w:id="1004746585">
      <w:bodyDiv w:val="1"/>
      <w:marLeft w:val="0"/>
      <w:marRight w:val="0"/>
      <w:marTop w:val="0"/>
      <w:marBottom w:val="0"/>
      <w:divBdr>
        <w:top w:val="none" w:sz="0" w:space="0" w:color="auto"/>
        <w:left w:val="none" w:sz="0" w:space="0" w:color="auto"/>
        <w:bottom w:val="none" w:sz="0" w:space="0" w:color="auto"/>
        <w:right w:val="none" w:sz="0" w:space="0" w:color="auto"/>
      </w:divBdr>
    </w:div>
    <w:div w:id="1036663048">
      <w:bodyDiv w:val="1"/>
      <w:marLeft w:val="0"/>
      <w:marRight w:val="0"/>
      <w:marTop w:val="0"/>
      <w:marBottom w:val="0"/>
      <w:divBdr>
        <w:top w:val="none" w:sz="0" w:space="0" w:color="auto"/>
        <w:left w:val="none" w:sz="0" w:space="0" w:color="auto"/>
        <w:bottom w:val="none" w:sz="0" w:space="0" w:color="auto"/>
        <w:right w:val="none" w:sz="0" w:space="0" w:color="auto"/>
      </w:divBdr>
    </w:div>
    <w:div w:id="1111432018">
      <w:bodyDiv w:val="1"/>
      <w:marLeft w:val="0"/>
      <w:marRight w:val="0"/>
      <w:marTop w:val="0"/>
      <w:marBottom w:val="0"/>
      <w:divBdr>
        <w:top w:val="none" w:sz="0" w:space="0" w:color="auto"/>
        <w:left w:val="none" w:sz="0" w:space="0" w:color="auto"/>
        <w:bottom w:val="none" w:sz="0" w:space="0" w:color="auto"/>
        <w:right w:val="none" w:sz="0" w:space="0" w:color="auto"/>
      </w:divBdr>
    </w:div>
    <w:div w:id="1147160753">
      <w:bodyDiv w:val="1"/>
      <w:marLeft w:val="0"/>
      <w:marRight w:val="0"/>
      <w:marTop w:val="0"/>
      <w:marBottom w:val="0"/>
      <w:divBdr>
        <w:top w:val="none" w:sz="0" w:space="0" w:color="auto"/>
        <w:left w:val="none" w:sz="0" w:space="0" w:color="auto"/>
        <w:bottom w:val="none" w:sz="0" w:space="0" w:color="auto"/>
        <w:right w:val="none" w:sz="0" w:space="0" w:color="auto"/>
      </w:divBdr>
    </w:div>
    <w:div w:id="1272083776">
      <w:bodyDiv w:val="1"/>
      <w:marLeft w:val="0"/>
      <w:marRight w:val="0"/>
      <w:marTop w:val="0"/>
      <w:marBottom w:val="0"/>
      <w:divBdr>
        <w:top w:val="none" w:sz="0" w:space="0" w:color="auto"/>
        <w:left w:val="none" w:sz="0" w:space="0" w:color="auto"/>
        <w:bottom w:val="none" w:sz="0" w:space="0" w:color="auto"/>
        <w:right w:val="none" w:sz="0" w:space="0" w:color="auto"/>
      </w:divBdr>
    </w:div>
    <w:div w:id="1365213104">
      <w:bodyDiv w:val="1"/>
      <w:marLeft w:val="0"/>
      <w:marRight w:val="0"/>
      <w:marTop w:val="0"/>
      <w:marBottom w:val="0"/>
      <w:divBdr>
        <w:top w:val="none" w:sz="0" w:space="0" w:color="auto"/>
        <w:left w:val="none" w:sz="0" w:space="0" w:color="auto"/>
        <w:bottom w:val="none" w:sz="0" w:space="0" w:color="auto"/>
        <w:right w:val="none" w:sz="0" w:space="0" w:color="auto"/>
      </w:divBdr>
    </w:div>
    <w:div w:id="1365474048">
      <w:bodyDiv w:val="1"/>
      <w:marLeft w:val="0"/>
      <w:marRight w:val="0"/>
      <w:marTop w:val="0"/>
      <w:marBottom w:val="0"/>
      <w:divBdr>
        <w:top w:val="none" w:sz="0" w:space="0" w:color="auto"/>
        <w:left w:val="none" w:sz="0" w:space="0" w:color="auto"/>
        <w:bottom w:val="none" w:sz="0" w:space="0" w:color="auto"/>
        <w:right w:val="none" w:sz="0" w:space="0" w:color="auto"/>
      </w:divBdr>
    </w:div>
    <w:div w:id="1431003226">
      <w:bodyDiv w:val="1"/>
      <w:marLeft w:val="0"/>
      <w:marRight w:val="0"/>
      <w:marTop w:val="0"/>
      <w:marBottom w:val="0"/>
      <w:divBdr>
        <w:top w:val="none" w:sz="0" w:space="0" w:color="auto"/>
        <w:left w:val="none" w:sz="0" w:space="0" w:color="auto"/>
        <w:bottom w:val="none" w:sz="0" w:space="0" w:color="auto"/>
        <w:right w:val="none" w:sz="0" w:space="0" w:color="auto"/>
      </w:divBdr>
    </w:div>
    <w:div w:id="1457722145">
      <w:bodyDiv w:val="1"/>
      <w:marLeft w:val="0"/>
      <w:marRight w:val="0"/>
      <w:marTop w:val="0"/>
      <w:marBottom w:val="0"/>
      <w:divBdr>
        <w:top w:val="none" w:sz="0" w:space="0" w:color="auto"/>
        <w:left w:val="none" w:sz="0" w:space="0" w:color="auto"/>
        <w:bottom w:val="none" w:sz="0" w:space="0" w:color="auto"/>
        <w:right w:val="none" w:sz="0" w:space="0" w:color="auto"/>
      </w:divBdr>
    </w:div>
    <w:div w:id="1524005925">
      <w:bodyDiv w:val="1"/>
      <w:marLeft w:val="0"/>
      <w:marRight w:val="0"/>
      <w:marTop w:val="0"/>
      <w:marBottom w:val="0"/>
      <w:divBdr>
        <w:top w:val="none" w:sz="0" w:space="0" w:color="auto"/>
        <w:left w:val="none" w:sz="0" w:space="0" w:color="auto"/>
        <w:bottom w:val="none" w:sz="0" w:space="0" w:color="auto"/>
        <w:right w:val="none" w:sz="0" w:space="0" w:color="auto"/>
      </w:divBdr>
    </w:div>
    <w:div w:id="1536231530">
      <w:bodyDiv w:val="1"/>
      <w:marLeft w:val="0"/>
      <w:marRight w:val="0"/>
      <w:marTop w:val="0"/>
      <w:marBottom w:val="0"/>
      <w:divBdr>
        <w:top w:val="none" w:sz="0" w:space="0" w:color="auto"/>
        <w:left w:val="none" w:sz="0" w:space="0" w:color="auto"/>
        <w:bottom w:val="none" w:sz="0" w:space="0" w:color="auto"/>
        <w:right w:val="none" w:sz="0" w:space="0" w:color="auto"/>
      </w:divBdr>
    </w:div>
    <w:div w:id="1708026074">
      <w:bodyDiv w:val="1"/>
      <w:marLeft w:val="0"/>
      <w:marRight w:val="0"/>
      <w:marTop w:val="0"/>
      <w:marBottom w:val="0"/>
      <w:divBdr>
        <w:top w:val="none" w:sz="0" w:space="0" w:color="auto"/>
        <w:left w:val="none" w:sz="0" w:space="0" w:color="auto"/>
        <w:bottom w:val="none" w:sz="0" w:space="0" w:color="auto"/>
        <w:right w:val="none" w:sz="0" w:space="0" w:color="auto"/>
      </w:divBdr>
    </w:div>
    <w:div w:id="1726833679">
      <w:bodyDiv w:val="1"/>
      <w:marLeft w:val="0"/>
      <w:marRight w:val="0"/>
      <w:marTop w:val="0"/>
      <w:marBottom w:val="0"/>
      <w:divBdr>
        <w:top w:val="none" w:sz="0" w:space="0" w:color="auto"/>
        <w:left w:val="none" w:sz="0" w:space="0" w:color="auto"/>
        <w:bottom w:val="none" w:sz="0" w:space="0" w:color="auto"/>
        <w:right w:val="none" w:sz="0" w:space="0" w:color="auto"/>
      </w:divBdr>
    </w:div>
    <w:div w:id="1822698140">
      <w:bodyDiv w:val="1"/>
      <w:marLeft w:val="0"/>
      <w:marRight w:val="0"/>
      <w:marTop w:val="0"/>
      <w:marBottom w:val="0"/>
      <w:divBdr>
        <w:top w:val="none" w:sz="0" w:space="0" w:color="auto"/>
        <w:left w:val="none" w:sz="0" w:space="0" w:color="auto"/>
        <w:bottom w:val="none" w:sz="0" w:space="0" w:color="auto"/>
        <w:right w:val="none" w:sz="0" w:space="0" w:color="auto"/>
      </w:divBdr>
    </w:div>
    <w:div w:id="1876697360">
      <w:bodyDiv w:val="1"/>
      <w:marLeft w:val="0"/>
      <w:marRight w:val="0"/>
      <w:marTop w:val="0"/>
      <w:marBottom w:val="0"/>
      <w:divBdr>
        <w:top w:val="none" w:sz="0" w:space="0" w:color="auto"/>
        <w:left w:val="none" w:sz="0" w:space="0" w:color="auto"/>
        <w:bottom w:val="none" w:sz="0" w:space="0" w:color="auto"/>
        <w:right w:val="none" w:sz="0" w:space="0" w:color="auto"/>
      </w:divBdr>
    </w:div>
    <w:div w:id="1962689264">
      <w:bodyDiv w:val="1"/>
      <w:marLeft w:val="0"/>
      <w:marRight w:val="0"/>
      <w:marTop w:val="0"/>
      <w:marBottom w:val="0"/>
      <w:divBdr>
        <w:top w:val="none" w:sz="0" w:space="0" w:color="auto"/>
        <w:left w:val="none" w:sz="0" w:space="0" w:color="auto"/>
        <w:bottom w:val="none" w:sz="0" w:space="0" w:color="auto"/>
        <w:right w:val="none" w:sz="0" w:space="0" w:color="auto"/>
      </w:divBdr>
    </w:div>
    <w:div w:id="1963921487">
      <w:bodyDiv w:val="1"/>
      <w:marLeft w:val="0"/>
      <w:marRight w:val="0"/>
      <w:marTop w:val="0"/>
      <w:marBottom w:val="0"/>
      <w:divBdr>
        <w:top w:val="none" w:sz="0" w:space="0" w:color="auto"/>
        <w:left w:val="none" w:sz="0" w:space="0" w:color="auto"/>
        <w:bottom w:val="none" w:sz="0" w:space="0" w:color="auto"/>
        <w:right w:val="none" w:sz="0" w:space="0" w:color="auto"/>
      </w:divBdr>
    </w:div>
    <w:div w:id="1981374995">
      <w:bodyDiv w:val="1"/>
      <w:marLeft w:val="0"/>
      <w:marRight w:val="0"/>
      <w:marTop w:val="0"/>
      <w:marBottom w:val="0"/>
      <w:divBdr>
        <w:top w:val="none" w:sz="0" w:space="0" w:color="auto"/>
        <w:left w:val="none" w:sz="0" w:space="0" w:color="auto"/>
        <w:bottom w:val="none" w:sz="0" w:space="0" w:color="auto"/>
        <w:right w:val="none" w:sz="0" w:space="0" w:color="auto"/>
      </w:divBdr>
    </w:div>
    <w:div w:id="21398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41</TotalTime>
  <Pages>18</Pages>
  <Words>5545</Words>
  <Characters>35967</Characters>
  <Application>Microsoft Office Word</Application>
  <DocSecurity>0</DocSecurity>
  <Lines>299</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2025012966 MT</dc:description>
  <cp:lastModifiedBy>Hanne Thy Iversen</cp:lastModifiedBy>
  <cp:revision>13</cp:revision>
  <cp:lastPrinted>2012-08-22T08:53:00Z</cp:lastPrinted>
  <dcterms:created xsi:type="dcterms:W3CDTF">2025-08-20T12:43:00Z</dcterms:created>
  <dcterms:modified xsi:type="dcterms:W3CDTF">2025-08-21T08:38:00Z</dcterms:modified>
</cp:coreProperties>
</file>