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13BB"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ED1B87F" wp14:editId="0E9FB27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DAC978" w14:textId="77777777" w:rsidR="006B3847" w:rsidRPr="00303008" w:rsidRDefault="006B3847" w:rsidP="006B3847">
      <w:pPr>
        <w:rPr>
          <w:sz w:val="24"/>
          <w:szCs w:val="24"/>
          <w:lang w:val="en-GB"/>
        </w:rPr>
      </w:pPr>
    </w:p>
    <w:p w14:paraId="666FE6F2" w14:textId="36704439" w:rsidR="006B3847" w:rsidRPr="00303008" w:rsidRDefault="006B3847" w:rsidP="006B3847">
      <w:pPr>
        <w:tabs>
          <w:tab w:val="right" w:pos="9356"/>
        </w:tabs>
        <w:rPr>
          <w:b/>
          <w:sz w:val="24"/>
          <w:szCs w:val="24"/>
          <w:lang w:val="en-GB"/>
        </w:rPr>
      </w:pPr>
      <w:r w:rsidRPr="00303008">
        <w:rPr>
          <w:b/>
          <w:sz w:val="24"/>
          <w:szCs w:val="24"/>
          <w:lang w:val="en-GB"/>
        </w:rPr>
        <w:tab/>
      </w:r>
      <w:r w:rsidR="00BE12A3">
        <w:rPr>
          <w:b/>
          <w:sz w:val="24"/>
          <w:szCs w:val="24"/>
          <w:lang w:val="en-GB"/>
        </w:rPr>
        <w:t>17 January 2025</w:t>
      </w:r>
    </w:p>
    <w:p w14:paraId="6DFBB08C" w14:textId="77777777" w:rsidR="006B3847" w:rsidRPr="00303008" w:rsidRDefault="006B3847" w:rsidP="006B3847">
      <w:pPr>
        <w:rPr>
          <w:sz w:val="24"/>
          <w:szCs w:val="24"/>
          <w:lang w:val="en-GB"/>
        </w:rPr>
      </w:pPr>
    </w:p>
    <w:p w14:paraId="6BB0D482" w14:textId="77777777" w:rsidR="007C5D2A" w:rsidRPr="00303008" w:rsidRDefault="007C5D2A" w:rsidP="007C5D2A">
      <w:pPr>
        <w:rPr>
          <w:sz w:val="24"/>
          <w:szCs w:val="24"/>
          <w:lang w:val="en-GB"/>
        </w:rPr>
      </w:pPr>
    </w:p>
    <w:p w14:paraId="79D55D8F" w14:textId="77777777" w:rsidR="007C5D2A" w:rsidRPr="00303008" w:rsidRDefault="007C5D2A" w:rsidP="007C5D2A">
      <w:pPr>
        <w:rPr>
          <w:sz w:val="24"/>
          <w:szCs w:val="24"/>
          <w:lang w:val="en-GB"/>
        </w:rPr>
      </w:pPr>
    </w:p>
    <w:p w14:paraId="09732B2B"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224BB99C" w14:textId="77777777" w:rsidR="007C5D2A" w:rsidRPr="00303008" w:rsidRDefault="007C5D2A" w:rsidP="007C5D2A">
      <w:pPr>
        <w:jc w:val="center"/>
        <w:rPr>
          <w:sz w:val="24"/>
          <w:szCs w:val="24"/>
          <w:lang w:val="en-GB"/>
        </w:rPr>
      </w:pPr>
    </w:p>
    <w:p w14:paraId="4E1C56DC" w14:textId="77777777" w:rsidR="007C5D2A" w:rsidRPr="00303008" w:rsidRDefault="007C5D2A" w:rsidP="007C5D2A">
      <w:pPr>
        <w:jc w:val="center"/>
        <w:rPr>
          <w:b/>
          <w:sz w:val="24"/>
          <w:szCs w:val="24"/>
          <w:lang w:val="en-GB"/>
        </w:rPr>
      </w:pPr>
      <w:r w:rsidRPr="00303008">
        <w:rPr>
          <w:b/>
          <w:sz w:val="24"/>
          <w:szCs w:val="24"/>
          <w:lang w:val="en-GB"/>
        </w:rPr>
        <w:t>for</w:t>
      </w:r>
    </w:p>
    <w:p w14:paraId="303D10D0" w14:textId="77777777" w:rsidR="007C5D2A" w:rsidRPr="00303008" w:rsidRDefault="007C5D2A" w:rsidP="007C5D2A">
      <w:pPr>
        <w:jc w:val="center"/>
        <w:rPr>
          <w:sz w:val="24"/>
          <w:szCs w:val="24"/>
          <w:lang w:val="en-GB"/>
        </w:rPr>
      </w:pPr>
    </w:p>
    <w:p w14:paraId="31BABBB4" w14:textId="77777777" w:rsidR="007C5D2A" w:rsidRPr="00303008" w:rsidRDefault="0066521E" w:rsidP="007C5D2A">
      <w:pPr>
        <w:jc w:val="center"/>
        <w:rPr>
          <w:b/>
          <w:sz w:val="24"/>
          <w:szCs w:val="24"/>
          <w:lang w:val="en-GB"/>
        </w:rPr>
      </w:pPr>
      <w:r>
        <w:rPr>
          <w:b/>
          <w:sz w:val="24"/>
          <w:szCs w:val="24"/>
          <w:lang w:val="en-GB"/>
        </w:rPr>
        <w:t>Rotacin, powder for solution for injection-/infusion</w:t>
      </w:r>
    </w:p>
    <w:p w14:paraId="63BFAE72" w14:textId="77777777" w:rsidR="007C5D2A" w:rsidRPr="00303008" w:rsidRDefault="007C5D2A" w:rsidP="007C5D2A">
      <w:pPr>
        <w:jc w:val="both"/>
        <w:rPr>
          <w:sz w:val="24"/>
          <w:szCs w:val="24"/>
          <w:lang w:val="en-GB"/>
        </w:rPr>
      </w:pPr>
    </w:p>
    <w:p w14:paraId="4B94453F" w14:textId="77777777" w:rsidR="0042292D" w:rsidRPr="00303008" w:rsidRDefault="0042292D" w:rsidP="007C5D2A">
      <w:pPr>
        <w:jc w:val="both"/>
        <w:rPr>
          <w:sz w:val="24"/>
          <w:szCs w:val="24"/>
          <w:lang w:val="en-GB"/>
        </w:rPr>
      </w:pPr>
    </w:p>
    <w:p w14:paraId="12316911"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0C98693A" w14:textId="77777777" w:rsidR="008F2F8C" w:rsidRPr="00303008" w:rsidRDefault="0066521E" w:rsidP="008F2F8C">
      <w:pPr>
        <w:tabs>
          <w:tab w:val="left" w:pos="8222"/>
        </w:tabs>
        <w:ind w:left="851"/>
        <w:rPr>
          <w:sz w:val="24"/>
          <w:szCs w:val="24"/>
          <w:lang w:val="en-GB"/>
        </w:rPr>
      </w:pPr>
      <w:r>
        <w:rPr>
          <w:sz w:val="24"/>
          <w:szCs w:val="24"/>
          <w:lang w:val="en-GB"/>
        </w:rPr>
        <w:t>33451</w:t>
      </w:r>
    </w:p>
    <w:p w14:paraId="4E098473" w14:textId="77777777" w:rsidR="007C5D2A" w:rsidRPr="00303008" w:rsidRDefault="007C5D2A" w:rsidP="007C5D2A">
      <w:pPr>
        <w:tabs>
          <w:tab w:val="left" w:pos="851"/>
        </w:tabs>
        <w:jc w:val="both"/>
        <w:rPr>
          <w:sz w:val="24"/>
          <w:szCs w:val="24"/>
          <w:lang w:val="en-GB"/>
        </w:rPr>
      </w:pPr>
    </w:p>
    <w:p w14:paraId="5E2B1A53"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369DC73B" w14:textId="77777777" w:rsidR="007C5D2A" w:rsidRPr="00303008" w:rsidRDefault="0066521E" w:rsidP="004A3BF4">
      <w:pPr>
        <w:tabs>
          <w:tab w:val="left" w:pos="851"/>
        </w:tabs>
        <w:ind w:left="851"/>
        <w:rPr>
          <w:sz w:val="24"/>
          <w:szCs w:val="24"/>
          <w:lang w:val="en-GB"/>
        </w:rPr>
      </w:pPr>
      <w:r>
        <w:rPr>
          <w:sz w:val="24"/>
          <w:szCs w:val="24"/>
          <w:lang w:val="en-GB"/>
        </w:rPr>
        <w:t>Rotacin</w:t>
      </w:r>
    </w:p>
    <w:p w14:paraId="5DF0FD8B" w14:textId="77777777" w:rsidR="007C5D2A" w:rsidRPr="00303008" w:rsidRDefault="007C5D2A" w:rsidP="004A3BF4">
      <w:pPr>
        <w:tabs>
          <w:tab w:val="left" w:pos="851"/>
        </w:tabs>
        <w:ind w:left="851"/>
        <w:rPr>
          <w:sz w:val="24"/>
          <w:szCs w:val="24"/>
          <w:lang w:val="en-GB"/>
        </w:rPr>
      </w:pPr>
    </w:p>
    <w:p w14:paraId="013BB8E8"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6B3155F9" w14:textId="77777777" w:rsidR="0066521E" w:rsidRDefault="0066521E" w:rsidP="0066521E">
      <w:pPr>
        <w:tabs>
          <w:tab w:val="left" w:pos="851"/>
        </w:tabs>
        <w:ind w:left="851"/>
        <w:rPr>
          <w:sz w:val="24"/>
          <w:szCs w:val="24"/>
          <w:u w:val="single"/>
          <w:lang w:val="en-GB"/>
        </w:rPr>
      </w:pPr>
    </w:p>
    <w:p w14:paraId="5EBC2C6A" w14:textId="77777777" w:rsidR="0066521E" w:rsidRPr="0066521E" w:rsidRDefault="0066521E" w:rsidP="0066521E">
      <w:pPr>
        <w:tabs>
          <w:tab w:val="left" w:pos="851"/>
        </w:tabs>
        <w:ind w:left="851"/>
        <w:rPr>
          <w:sz w:val="24"/>
          <w:szCs w:val="24"/>
          <w:u w:val="single"/>
          <w:lang w:val="en-GB"/>
        </w:rPr>
      </w:pPr>
      <w:r w:rsidRPr="0066521E">
        <w:rPr>
          <w:sz w:val="24"/>
          <w:szCs w:val="24"/>
          <w:u w:val="single"/>
          <w:lang w:val="en-GB"/>
        </w:rPr>
        <w:t>Rotacin 500 mg powder for solution for injection/infusion</w:t>
      </w:r>
    </w:p>
    <w:p w14:paraId="7400C6BB" w14:textId="77777777" w:rsidR="0066521E" w:rsidRPr="0066521E" w:rsidRDefault="0066521E" w:rsidP="0066521E">
      <w:pPr>
        <w:tabs>
          <w:tab w:val="left" w:pos="851"/>
        </w:tabs>
        <w:ind w:left="851"/>
        <w:rPr>
          <w:sz w:val="24"/>
          <w:szCs w:val="24"/>
          <w:lang w:val="en-GB"/>
        </w:rPr>
      </w:pPr>
      <w:r w:rsidRPr="0066521E">
        <w:rPr>
          <w:sz w:val="24"/>
          <w:szCs w:val="24"/>
          <w:lang w:val="en-GB"/>
        </w:rPr>
        <w:t>Each vial contains ampicillin sodium equivalent to 500 mg ampicillin.</w:t>
      </w:r>
    </w:p>
    <w:p w14:paraId="5CD4E72C" w14:textId="77777777" w:rsidR="0066521E" w:rsidRPr="0066521E" w:rsidRDefault="0066521E" w:rsidP="0066521E">
      <w:pPr>
        <w:tabs>
          <w:tab w:val="left" w:pos="851"/>
        </w:tabs>
        <w:ind w:left="851"/>
        <w:rPr>
          <w:sz w:val="24"/>
          <w:szCs w:val="24"/>
          <w:lang w:val="en-GB"/>
        </w:rPr>
      </w:pPr>
    </w:p>
    <w:p w14:paraId="6EB56AE8" w14:textId="77777777" w:rsidR="0066521E" w:rsidRPr="0066521E" w:rsidRDefault="0066521E" w:rsidP="0066521E">
      <w:pPr>
        <w:tabs>
          <w:tab w:val="left" w:pos="851"/>
        </w:tabs>
        <w:ind w:left="851"/>
        <w:rPr>
          <w:sz w:val="24"/>
          <w:szCs w:val="24"/>
          <w:u w:val="single"/>
          <w:lang w:val="en-GB"/>
        </w:rPr>
      </w:pPr>
      <w:r w:rsidRPr="0066521E">
        <w:rPr>
          <w:sz w:val="24"/>
          <w:szCs w:val="24"/>
          <w:u w:val="single"/>
          <w:lang w:val="en-GB"/>
        </w:rPr>
        <w:t>Rotacin 1 g powder for solution for injection/infusion</w:t>
      </w:r>
    </w:p>
    <w:p w14:paraId="40D34403" w14:textId="77777777" w:rsidR="0066521E" w:rsidRPr="0066521E" w:rsidRDefault="0066521E" w:rsidP="0066521E">
      <w:pPr>
        <w:tabs>
          <w:tab w:val="left" w:pos="851"/>
        </w:tabs>
        <w:ind w:left="851"/>
        <w:rPr>
          <w:sz w:val="24"/>
          <w:szCs w:val="24"/>
          <w:lang w:val="en-GB"/>
        </w:rPr>
      </w:pPr>
      <w:r w:rsidRPr="0066521E">
        <w:rPr>
          <w:sz w:val="24"/>
          <w:szCs w:val="24"/>
          <w:lang w:val="en-GB"/>
        </w:rPr>
        <w:t>Each vial contains ampicillin sodium equivalent to 1 g ampicillin.</w:t>
      </w:r>
    </w:p>
    <w:p w14:paraId="03E4F924" w14:textId="77777777" w:rsidR="0066521E" w:rsidRPr="0066521E" w:rsidRDefault="0066521E" w:rsidP="0066521E">
      <w:pPr>
        <w:tabs>
          <w:tab w:val="left" w:pos="851"/>
        </w:tabs>
        <w:ind w:left="851"/>
        <w:rPr>
          <w:sz w:val="24"/>
          <w:szCs w:val="24"/>
          <w:lang w:val="en-GB"/>
        </w:rPr>
      </w:pPr>
    </w:p>
    <w:p w14:paraId="02368996" w14:textId="77777777" w:rsidR="0066521E" w:rsidRPr="0066521E" w:rsidRDefault="0066521E" w:rsidP="0066521E">
      <w:pPr>
        <w:tabs>
          <w:tab w:val="left" w:pos="851"/>
        </w:tabs>
        <w:ind w:left="851"/>
        <w:rPr>
          <w:sz w:val="24"/>
          <w:szCs w:val="24"/>
          <w:u w:val="single"/>
          <w:lang w:val="en-GB"/>
        </w:rPr>
      </w:pPr>
      <w:r w:rsidRPr="0066521E">
        <w:rPr>
          <w:sz w:val="24"/>
          <w:szCs w:val="24"/>
          <w:u w:val="single"/>
          <w:lang w:val="en-GB"/>
        </w:rPr>
        <w:t>Rotacin 2 g powder for solution for injection/infusion</w:t>
      </w:r>
    </w:p>
    <w:p w14:paraId="0148F91E" w14:textId="77777777" w:rsidR="0066521E" w:rsidRPr="0066521E" w:rsidRDefault="0066521E" w:rsidP="0066521E">
      <w:pPr>
        <w:tabs>
          <w:tab w:val="left" w:pos="851"/>
        </w:tabs>
        <w:ind w:left="851"/>
        <w:rPr>
          <w:sz w:val="24"/>
          <w:szCs w:val="24"/>
          <w:lang w:val="en-GB"/>
        </w:rPr>
      </w:pPr>
      <w:r w:rsidRPr="0066521E">
        <w:rPr>
          <w:sz w:val="24"/>
          <w:szCs w:val="24"/>
          <w:lang w:val="en-GB"/>
        </w:rPr>
        <w:t>Each vial contains ampicillin sodium equivalent to 2 g ampicillin.</w:t>
      </w:r>
    </w:p>
    <w:p w14:paraId="67899B29" w14:textId="77777777" w:rsidR="0066521E" w:rsidRPr="0066521E" w:rsidRDefault="0066521E" w:rsidP="0066521E">
      <w:pPr>
        <w:tabs>
          <w:tab w:val="left" w:pos="851"/>
        </w:tabs>
        <w:ind w:left="851"/>
        <w:rPr>
          <w:sz w:val="24"/>
          <w:szCs w:val="24"/>
          <w:lang w:val="en-GB"/>
        </w:rPr>
      </w:pPr>
    </w:p>
    <w:p w14:paraId="25126BA0" w14:textId="77777777" w:rsidR="0066521E" w:rsidRPr="0066521E" w:rsidRDefault="0066521E" w:rsidP="0066521E">
      <w:pPr>
        <w:tabs>
          <w:tab w:val="left" w:pos="851"/>
        </w:tabs>
        <w:ind w:left="851"/>
        <w:rPr>
          <w:sz w:val="24"/>
          <w:szCs w:val="24"/>
          <w:lang w:val="en-GB"/>
        </w:rPr>
      </w:pPr>
      <w:r w:rsidRPr="0066521E">
        <w:rPr>
          <w:sz w:val="24"/>
          <w:szCs w:val="24"/>
          <w:u w:val="single"/>
          <w:lang w:val="en-GB"/>
        </w:rPr>
        <w:t>Excipient with known effect:</w:t>
      </w:r>
      <w:r w:rsidRPr="0066521E">
        <w:rPr>
          <w:sz w:val="24"/>
          <w:szCs w:val="24"/>
          <w:lang w:val="en-GB"/>
        </w:rPr>
        <w:t xml:space="preserve"> </w:t>
      </w:r>
      <w:r>
        <w:rPr>
          <w:sz w:val="24"/>
          <w:szCs w:val="24"/>
          <w:lang w:val="en-GB"/>
        </w:rPr>
        <w:t>S</w:t>
      </w:r>
      <w:r w:rsidRPr="0066521E">
        <w:rPr>
          <w:sz w:val="24"/>
          <w:szCs w:val="24"/>
          <w:lang w:val="en-GB"/>
        </w:rPr>
        <w:t>odium.</w:t>
      </w:r>
    </w:p>
    <w:p w14:paraId="4EB7A9E6" w14:textId="77777777" w:rsidR="0066521E" w:rsidRPr="0066521E" w:rsidRDefault="0066521E" w:rsidP="0066521E">
      <w:pPr>
        <w:tabs>
          <w:tab w:val="left" w:pos="851"/>
        </w:tabs>
        <w:ind w:left="851"/>
        <w:rPr>
          <w:sz w:val="24"/>
          <w:szCs w:val="24"/>
          <w:lang w:val="en-GB"/>
        </w:rPr>
      </w:pPr>
      <w:r w:rsidRPr="0066521E">
        <w:rPr>
          <w:sz w:val="24"/>
          <w:szCs w:val="24"/>
          <w:lang w:val="en-GB"/>
        </w:rPr>
        <w:t>Rotacin 500 mg contains approximately 35 mg of sodium.</w:t>
      </w:r>
    </w:p>
    <w:p w14:paraId="76FDAF0C" w14:textId="77777777" w:rsidR="0066521E" w:rsidRPr="0066521E" w:rsidRDefault="0066521E" w:rsidP="0066521E">
      <w:pPr>
        <w:tabs>
          <w:tab w:val="left" w:pos="851"/>
        </w:tabs>
        <w:ind w:left="851"/>
        <w:rPr>
          <w:sz w:val="24"/>
          <w:szCs w:val="24"/>
          <w:lang w:val="en-GB"/>
        </w:rPr>
      </w:pPr>
      <w:r w:rsidRPr="0066521E">
        <w:rPr>
          <w:sz w:val="24"/>
          <w:szCs w:val="24"/>
          <w:lang w:val="en-GB"/>
        </w:rPr>
        <w:t>Rotacin 1 g contains approximately 70 mg of sodium.</w:t>
      </w:r>
    </w:p>
    <w:p w14:paraId="7D315F09" w14:textId="77777777" w:rsidR="0066521E" w:rsidRPr="0066521E" w:rsidRDefault="0066521E" w:rsidP="0066521E">
      <w:pPr>
        <w:tabs>
          <w:tab w:val="left" w:pos="851"/>
        </w:tabs>
        <w:ind w:left="851"/>
        <w:rPr>
          <w:sz w:val="24"/>
          <w:szCs w:val="24"/>
          <w:lang w:val="en-GB"/>
        </w:rPr>
      </w:pPr>
      <w:r w:rsidRPr="0066521E">
        <w:rPr>
          <w:sz w:val="24"/>
          <w:szCs w:val="24"/>
          <w:lang w:val="en-GB"/>
        </w:rPr>
        <w:t>Rotacin 2 g contains approximately 140 mg of sodium.</w:t>
      </w:r>
    </w:p>
    <w:p w14:paraId="6A17C9E3" w14:textId="77777777" w:rsidR="0066521E" w:rsidRPr="0066521E" w:rsidRDefault="0066521E" w:rsidP="0066521E">
      <w:pPr>
        <w:tabs>
          <w:tab w:val="left" w:pos="851"/>
        </w:tabs>
        <w:ind w:left="851"/>
        <w:rPr>
          <w:sz w:val="24"/>
          <w:szCs w:val="24"/>
          <w:lang w:val="en-GB"/>
        </w:rPr>
      </w:pPr>
    </w:p>
    <w:p w14:paraId="2DA8FFC7" w14:textId="77777777" w:rsidR="0066521E" w:rsidRPr="0066521E" w:rsidRDefault="0066521E" w:rsidP="0066521E">
      <w:pPr>
        <w:tabs>
          <w:tab w:val="left" w:pos="851"/>
        </w:tabs>
        <w:ind w:left="851"/>
        <w:rPr>
          <w:sz w:val="24"/>
          <w:szCs w:val="24"/>
          <w:lang w:val="en-GB"/>
        </w:rPr>
      </w:pPr>
      <w:r w:rsidRPr="0066521E">
        <w:rPr>
          <w:sz w:val="24"/>
          <w:szCs w:val="24"/>
          <w:lang w:val="en-GB"/>
        </w:rPr>
        <w:t>For the full list of excipients, see section 6.1.</w:t>
      </w:r>
    </w:p>
    <w:p w14:paraId="476947DD" w14:textId="77777777" w:rsidR="007C5D2A" w:rsidRPr="0066521E" w:rsidRDefault="007C5D2A" w:rsidP="004A3BF4">
      <w:pPr>
        <w:tabs>
          <w:tab w:val="left" w:pos="851"/>
        </w:tabs>
        <w:ind w:left="851"/>
        <w:rPr>
          <w:sz w:val="24"/>
          <w:szCs w:val="24"/>
          <w:lang w:val="en-GB"/>
        </w:rPr>
      </w:pPr>
    </w:p>
    <w:p w14:paraId="2CF6C99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129FA92E" w14:textId="77777777" w:rsidR="0066521E" w:rsidRPr="0066521E" w:rsidRDefault="0066521E" w:rsidP="0066521E">
      <w:pPr>
        <w:tabs>
          <w:tab w:val="left" w:pos="851"/>
        </w:tabs>
        <w:ind w:left="851"/>
        <w:rPr>
          <w:sz w:val="24"/>
          <w:szCs w:val="24"/>
          <w:lang w:val="en-GB"/>
        </w:rPr>
      </w:pPr>
      <w:r w:rsidRPr="0066521E">
        <w:rPr>
          <w:sz w:val="24"/>
          <w:szCs w:val="24"/>
          <w:lang w:val="en-GB"/>
        </w:rPr>
        <w:t>Powder for solution for injection/infusion.</w:t>
      </w:r>
    </w:p>
    <w:p w14:paraId="1229F399" w14:textId="77777777" w:rsidR="0066521E" w:rsidRPr="0066521E" w:rsidRDefault="0066521E" w:rsidP="0066521E">
      <w:pPr>
        <w:tabs>
          <w:tab w:val="left" w:pos="851"/>
        </w:tabs>
        <w:ind w:left="851"/>
        <w:rPr>
          <w:sz w:val="24"/>
          <w:szCs w:val="24"/>
          <w:lang w:val="en-GB"/>
        </w:rPr>
      </w:pPr>
      <w:r w:rsidRPr="0066521E">
        <w:rPr>
          <w:sz w:val="24"/>
          <w:szCs w:val="24"/>
          <w:lang w:val="en-GB"/>
        </w:rPr>
        <w:t>White or almost white powder.</w:t>
      </w:r>
    </w:p>
    <w:p w14:paraId="6E72FCA9" w14:textId="77777777" w:rsidR="007C5D2A" w:rsidRPr="0066521E" w:rsidRDefault="007C5D2A" w:rsidP="004A3BF4">
      <w:pPr>
        <w:tabs>
          <w:tab w:val="left" w:pos="851"/>
        </w:tabs>
        <w:ind w:left="851"/>
        <w:rPr>
          <w:sz w:val="24"/>
          <w:szCs w:val="24"/>
          <w:lang w:val="en-GB"/>
        </w:rPr>
      </w:pPr>
    </w:p>
    <w:p w14:paraId="4C53D58E" w14:textId="77777777" w:rsidR="007C5D2A" w:rsidRPr="00303008" w:rsidRDefault="007C5D2A" w:rsidP="004A3BF4">
      <w:pPr>
        <w:tabs>
          <w:tab w:val="left" w:pos="851"/>
        </w:tabs>
        <w:ind w:left="851"/>
        <w:rPr>
          <w:sz w:val="24"/>
          <w:szCs w:val="24"/>
          <w:lang w:val="en-GB"/>
        </w:rPr>
      </w:pPr>
    </w:p>
    <w:p w14:paraId="473493A9"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47118386" w14:textId="77777777" w:rsidR="007C5D2A" w:rsidRPr="00303008" w:rsidRDefault="007C5D2A" w:rsidP="004A3BF4">
      <w:pPr>
        <w:tabs>
          <w:tab w:val="left" w:pos="851"/>
        </w:tabs>
        <w:ind w:left="851"/>
        <w:rPr>
          <w:sz w:val="24"/>
          <w:szCs w:val="24"/>
          <w:lang w:val="en-GB"/>
        </w:rPr>
      </w:pPr>
    </w:p>
    <w:p w14:paraId="05EF9050"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527FFE5D" w14:textId="77777777" w:rsidR="0066521E" w:rsidRPr="0066521E" w:rsidRDefault="0066521E" w:rsidP="0066521E">
      <w:pPr>
        <w:tabs>
          <w:tab w:val="left" w:pos="851"/>
        </w:tabs>
        <w:ind w:left="851"/>
        <w:rPr>
          <w:sz w:val="24"/>
          <w:szCs w:val="24"/>
          <w:lang w:val="en-GB"/>
        </w:rPr>
      </w:pPr>
      <w:r w:rsidRPr="0066521E">
        <w:rPr>
          <w:sz w:val="24"/>
          <w:szCs w:val="24"/>
          <w:lang w:val="en-GB"/>
        </w:rPr>
        <w:t>Rotacin is indicated for the treatment of the following infections in adults and children (see section 5.1):</w:t>
      </w:r>
    </w:p>
    <w:p w14:paraId="134E238F" w14:textId="77777777" w:rsidR="0066521E" w:rsidRPr="0066521E" w:rsidRDefault="0066521E" w:rsidP="00E01B31">
      <w:pPr>
        <w:numPr>
          <w:ilvl w:val="0"/>
          <w:numId w:val="5"/>
        </w:numPr>
        <w:tabs>
          <w:tab w:val="left" w:pos="851"/>
        </w:tabs>
        <w:ind w:left="1134" w:hanging="283"/>
        <w:rPr>
          <w:sz w:val="24"/>
          <w:szCs w:val="24"/>
          <w:lang w:val="en-GB"/>
        </w:rPr>
      </w:pPr>
      <w:r w:rsidRPr="0066521E">
        <w:rPr>
          <w:sz w:val="24"/>
          <w:szCs w:val="24"/>
          <w:lang w:val="en-GB"/>
        </w:rPr>
        <w:t>Acute exacerbation of chronic bronchitis</w:t>
      </w:r>
    </w:p>
    <w:p w14:paraId="37B6DC66" w14:textId="77777777" w:rsidR="0066521E" w:rsidRPr="0066521E" w:rsidRDefault="0066521E" w:rsidP="00E01B31">
      <w:pPr>
        <w:numPr>
          <w:ilvl w:val="0"/>
          <w:numId w:val="5"/>
        </w:numPr>
        <w:tabs>
          <w:tab w:val="left" w:pos="851"/>
        </w:tabs>
        <w:ind w:left="1134" w:hanging="283"/>
        <w:rPr>
          <w:sz w:val="24"/>
          <w:szCs w:val="24"/>
          <w:lang w:val="en-GB"/>
        </w:rPr>
      </w:pPr>
      <w:r w:rsidRPr="0066521E">
        <w:rPr>
          <w:sz w:val="24"/>
          <w:szCs w:val="24"/>
          <w:lang w:val="en-GB"/>
        </w:rPr>
        <w:lastRenderedPageBreak/>
        <w:t>Pyelonephritis</w:t>
      </w:r>
    </w:p>
    <w:p w14:paraId="7D31F869" w14:textId="77777777" w:rsidR="0066521E" w:rsidRPr="0066521E" w:rsidRDefault="0066521E" w:rsidP="00E01B31">
      <w:pPr>
        <w:numPr>
          <w:ilvl w:val="0"/>
          <w:numId w:val="5"/>
        </w:numPr>
        <w:tabs>
          <w:tab w:val="left" w:pos="851"/>
        </w:tabs>
        <w:ind w:left="1134" w:hanging="283"/>
        <w:rPr>
          <w:sz w:val="24"/>
          <w:szCs w:val="24"/>
          <w:lang w:val="en-GB"/>
        </w:rPr>
      </w:pPr>
      <w:r w:rsidRPr="0066521E">
        <w:rPr>
          <w:sz w:val="24"/>
          <w:szCs w:val="24"/>
          <w:lang w:val="en-GB"/>
        </w:rPr>
        <w:t>Bacterial meningitis</w:t>
      </w:r>
    </w:p>
    <w:p w14:paraId="0113DFAA" w14:textId="77777777" w:rsidR="0066521E" w:rsidRPr="0066521E" w:rsidRDefault="0066521E" w:rsidP="00E01B31">
      <w:pPr>
        <w:numPr>
          <w:ilvl w:val="0"/>
          <w:numId w:val="5"/>
        </w:numPr>
        <w:tabs>
          <w:tab w:val="left" w:pos="851"/>
        </w:tabs>
        <w:ind w:left="1134" w:hanging="283"/>
        <w:rPr>
          <w:sz w:val="24"/>
          <w:szCs w:val="24"/>
          <w:lang w:val="en-GB"/>
        </w:rPr>
      </w:pPr>
      <w:r w:rsidRPr="0066521E">
        <w:rPr>
          <w:sz w:val="24"/>
          <w:szCs w:val="24"/>
          <w:lang w:val="en-GB"/>
        </w:rPr>
        <w:t>Community-acquired pneumonia when penicillin G has not given the desired effect or is unsuitable for other reasons</w:t>
      </w:r>
    </w:p>
    <w:p w14:paraId="7278389F" w14:textId="77777777" w:rsidR="0066521E" w:rsidRPr="0066521E" w:rsidRDefault="0066521E" w:rsidP="00E01B31">
      <w:pPr>
        <w:numPr>
          <w:ilvl w:val="0"/>
          <w:numId w:val="5"/>
        </w:numPr>
        <w:tabs>
          <w:tab w:val="left" w:pos="851"/>
        </w:tabs>
        <w:ind w:left="1134" w:hanging="283"/>
        <w:rPr>
          <w:sz w:val="24"/>
          <w:szCs w:val="24"/>
          <w:lang w:val="en-GB"/>
        </w:rPr>
      </w:pPr>
      <w:r w:rsidRPr="0066521E">
        <w:rPr>
          <w:sz w:val="24"/>
          <w:szCs w:val="24"/>
          <w:lang w:val="en-GB"/>
        </w:rPr>
        <w:t>Intra-abdominal infections</w:t>
      </w:r>
    </w:p>
    <w:p w14:paraId="092130FD" w14:textId="77777777" w:rsidR="0066521E" w:rsidRPr="0066521E" w:rsidRDefault="0066521E" w:rsidP="00E01B31">
      <w:pPr>
        <w:numPr>
          <w:ilvl w:val="0"/>
          <w:numId w:val="5"/>
        </w:numPr>
        <w:tabs>
          <w:tab w:val="left" w:pos="851"/>
        </w:tabs>
        <w:ind w:left="1134" w:hanging="283"/>
        <w:rPr>
          <w:sz w:val="24"/>
          <w:szCs w:val="24"/>
          <w:lang w:val="en-GB"/>
        </w:rPr>
      </w:pPr>
      <w:r w:rsidRPr="0066521E">
        <w:rPr>
          <w:sz w:val="24"/>
          <w:szCs w:val="24"/>
          <w:lang w:val="en-GB"/>
        </w:rPr>
        <w:t>Bacteraemia that occurs in association with, or is suspected to be associated with, any of the infections listed above</w:t>
      </w:r>
    </w:p>
    <w:p w14:paraId="59611746" w14:textId="77777777" w:rsidR="0066521E" w:rsidRPr="0066521E" w:rsidRDefault="0066521E" w:rsidP="00E01B31">
      <w:pPr>
        <w:numPr>
          <w:ilvl w:val="0"/>
          <w:numId w:val="5"/>
        </w:numPr>
        <w:tabs>
          <w:tab w:val="left" w:pos="851"/>
        </w:tabs>
        <w:ind w:left="1134" w:hanging="283"/>
        <w:rPr>
          <w:sz w:val="24"/>
          <w:szCs w:val="24"/>
          <w:lang w:val="en-GB"/>
        </w:rPr>
      </w:pPr>
      <w:r w:rsidRPr="0066521E">
        <w:rPr>
          <w:sz w:val="24"/>
          <w:szCs w:val="24"/>
          <w:lang w:val="en-GB"/>
        </w:rPr>
        <w:t>Treatment and prophylaxis of endocarditis.</w:t>
      </w:r>
    </w:p>
    <w:p w14:paraId="7CC6CF90" w14:textId="77777777" w:rsidR="0066521E" w:rsidRPr="0066521E" w:rsidRDefault="0066521E" w:rsidP="0066521E">
      <w:pPr>
        <w:tabs>
          <w:tab w:val="left" w:pos="851"/>
        </w:tabs>
        <w:ind w:left="851"/>
        <w:rPr>
          <w:sz w:val="24"/>
          <w:szCs w:val="24"/>
          <w:lang w:val="en-GB"/>
        </w:rPr>
      </w:pPr>
    </w:p>
    <w:p w14:paraId="7215C02B" w14:textId="77777777" w:rsidR="0066521E" w:rsidRPr="0066521E" w:rsidRDefault="0066521E" w:rsidP="0066521E">
      <w:pPr>
        <w:tabs>
          <w:tab w:val="left" w:pos="851"/>
        </w:tabs>
        <w:ind w:left="851"/>
        <w:rPr>
          <w:sz w:val="24"/>
          <w:szCs w:val="24"/>
          <w:lang w:val="en-GB"/>
        </w:rPr>
      </w:pPr>
      <w:r w:rsidRPr="0066521E">
        <w:rPr>
          <w:sz w:val="24"/>
          <w:szCs w:val="24"/>
          <w:lang w:val="en-GB"/>
        </w:rPr>
        <w:t>Consideration should be given to official guidance on the appropriate use of antibacterial agents.</w:t>
      </w:r>
    </w:p>
    <w:p w14:paraId="477A3160" w14:textId="77777777" w:rsidR="007C5D2A" w:rsidRPr="0066521E" w:rsidRDefault="007C5D2A" w:rsidP="00A85D26">
      <w:pPr>
        <w:tabs>
          <w:tab w:val="left" w:pos="851"/>
        </w:tabs>
        <w:ind w:left="851"/>
        <w:rPr>
          <w:sz w:val="24"/>
          <w:szCs w:val="24"/>
          <w:lang w:val="en-GB"/>
        </w:rPr>
      </w:pPr>
    </w:p>
    <w:p w14:paraId="35C4FE2D"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297C13AA" w14:textId="77777777" w:rsidR="00E044E3" w:rsidRPr="00E044E3" w:rsidRDefault="00E044E3" w:rsidP="00E044E3">
      <w:pPr>
        <w:tabs>
          <w:tab w:val="left" w:pos="851"/>
        </w:tabs>
        <w:ind w:left="851"/>
        <w:rPr>
          <w:sz w:val="24"/>
          <w:szCs w:val="24"/>
          <w:lang w:val="en-GB"/>
        </w:rPr>
      </w:pPr>
    </w:p>
    <w:p w14:paraId="180B1A9B" w14:textId="77777777" w:rsidR="00E044E3" w:rsidRPr="00E044E3" w:rsidRDefault="00E044E3" w:rsidP="00E044E3">
      <w:pPr>
        <w:tabs>
          <w:tab w:val="left" w:pos="851"/>
        </w:tabs>
        <w:ind w:left="851"/>
        <w:rPr>
          <w:b/>
          <w:sz w:val="24"/>
          <w:szCs w:val="24"/>
          <w:lang w:val="en-GB"/>
        </w:rPr>
      </w:pPr>
      <w:r w:rsidRPr="00E044E3">
        <w:rPr>
          <w:b/>
          <w:sz w:val="24"/>
          <w:szCs w:val="24"/>
          <w:lang w:val="en-GB"/>
        </w:rPr>
        <w:t>Posology</w:t>
      </w:r>
    </w:p>
    <w:p w14:paraId="44EC5E8F" w14:textId="77777777" w:rsidR="00E044E3" w:rsidRDefault="00E044E3" w:rsidP="00E044E3">
      <w:pPr>
        <w:tabs>
          <w:tab w:val="left" w:pos="851"/>
        </w:tabs>
        <w:ind w:left="851"/>
        <w:rPr>
          <w:i/>
          <w:iCs/>
          <w:sz w:val="24"/>
          <w:szCs w:val="24"/>
          <w:u w:val="single"/>
          <w:lang w:val="en-GB"/>
        </w:rPr>
      </w:pPr>
    </w:p>
    <w:p w14:paraId="7D086879" w14:textId="047CDB0E" w:rsidR="00E044E3" w:rsidRPr="00E044E3" w:rsidRDefault="00E044E3" w:rsidP="00E044E3">
      <w:pPr>
        <w:tabs>
          <w:tab w:val="left" w:pos="851"/>
        </w:tabs>
        <w:ind w:left="851"/>
        <w:rPr>
          <w:iCs/>
          <w:sz w:val="24"/>
          <w:szCs w:val="24"/>
          <w:u w:val="single"/>
          <w:lang w:val="en-GB"/>
        </w:rPr>
      </w:pPr>
      <w:r w:rsidRPr="00E044E3">
        <w:rPr>
          <w:iCs/>
          <w:sz w:val="24"/>
          <w:szCs w:val="24"/>
          <w:u w:val="single"/>
          <w:lang w:val="en-GB"/>
        </w:rPr>
        <w:t>Adults</w:t>
      </w:r>
    </w:p>
    <w:p w14:paraId="469CE4B1" w14:textId="77777777" w:rsidR="00E044E3" w:rsidRPr="00E044E3" w:rsidRDefault="00E044E3" w:rsidP="00E044E3">
      <w:pPr>
        <w:tabs>
          <w:tab w:val="left" w:pos="851"/>
        </w:tabs>
        <w:ind w:left="851"/>
        <w:rPr>
          <w:sz w:val="24"/>
          <w:szCs w:val="24"/>
          <w:lang w:val="en-GB"/>
        </w:rPr>
      </w:pPr>
      <w:r w:rsidRPr="00E044E3">
        <w:rPr>
          <w:i/>
          <w:iCs/>
          <w:sz w:val="24"/>
          <w:szCs w:val="24"/>
          <w:lang w:val="en-GB"/>
        </w:rPr>
        <w:t>Intramuscular</w:t>
      </w:r>
      <w:r w:rsidRPr="00E044E3">
        <w:rPr>
          <w:sz w:val="24"/>
          <w:szCs w:val="24"/>
          <w:lang w:val="en-GB"/>
        </w:rPr>
        <w:t>: 500 mg 4 times daily.</w:t>
      </w:r>
    </w:p>
    <w:p w14:paraId="0BFE2229" w14:textId="77777777" w:rsidR="00E044E3" w:rsidRPr="00E044E3" w:rsidRDefault="00E044E3" w:rsidP="00E044E3">
      <w:pPr>
        <w:tabs>
          <w:tab w:val="left" w:pos="851"/>
        </w:tabs>
        <w:ind w:left="851"/>
        <w:rPr>
          <w:sz w:val="24"/>
          <w:szCs w:val="24"/>
          <w:lang w:val="en-GB"/>
        </w:rPr>
      </w:pPr>
      <w:r w:rsidRPr="00E044E3">
        <w:rPr>
          <w:i/>
          <w:iCs/>
          <w:sz w:val="24"/>
          <w:szCs w:val="24"/>
          <w:lang w:val="en-GB"/>
        </w:rPr>
        <w:t>Intravenous injection</w:t>
      </w:r>
      <w:r w:rsidRPr="00E044E3">
        <w:rPr>
          <w:sz w:val="24"/>
          <w:szCs w:val="24"/>
          <w:lang w:val="en-GB"/>
        </w:rPr>
        <w:t>: 500 mg to 2 g 4-6 times daily. Inject slowly 2 g for at least 3-4 minutes.</w:t>
      </w:r>
    </w:p>
    <w:p w14:paraId="2F7139CA" w14:textId="77777777" w:rsidR="00E044E3" w:rsidRPr="00E044E3" w:rsidRDefault="00E044E3" w:rsidP="00E044E3">
      <w:pPr>
        <w:tabs>
          <w:tab w:val="left" w:pos="851"/>
        </w:tabs>
        <w:ind w:left="851"/>
        <w:rPr>
          <w:sz w:val="24"/>
          <w:szCs w:val="24"/>
          <w:lang w:val="en-GB"/>
        </w:rPr>
      </w:pPr>
      <w:r w:rsidRPr="00E044E3">
        <w:rPr>
          <w:i/>
          <w:iCs/>
          <w:sz w:val="24"/>
          <w:szCs w:val="24"/>
          <w:lang w:val="en-GB"/>
        </w:rPr>
        <w:t>Continuous intravenous infusion</w:t>
      </w:r>
      <w:r w:rsidRPr="00E044E3">
        <w:rPr>
          <w:sz w:val="24"/>
          <w:szCs w:val="24"/>
          <w:lang w:val="en-GB"/>
        </w:rPr>
        <w:t>: 6 to 12 g per day. Infusion pump should be used if possible.</w:t>
      </w:r>
    </w:p>
    <w:p w14:paraId="25C2CB62" w14:textId="77777777" w:rsidR="00E044E3" w:rsidRPr="00E044E3" w:rsidRDefault="00E044E3" w:rsidP="00E044E3">
      <w:pPr>
        <w:tabs>
          <w:tab w:val="left" w:pos="851"/>
        </w:tabs>
        <w:ind w:left="851"/>
        <w:rPr>
          <w:sz w:val="24"/>
          <w:szCs w:val="24"/>
          <w:lang w:val="en-GB"/>
        </w:rPr>
      </w:pPr>
      <w:r w:rsidRPr="00E044E3">
        <w:rPr>
          <w:i/>
          <w:iCs/>
          <w:sz w:val="24"/>
          <w:szCs w:val="24"/>
          <w:lang w:val="en-GB"/>
        </w:rPr>
        <w:t>Intravenous intermittent infusion</w:t>
      </w:r>
      <w:r w:rsidRPr="00E044E3">
        <w:rPr>
          <w:sz w:val="24"/>
          <w:szCs w:val="24"/>
          <w:lang w:val="en-GB"/>
        </w:rPr>
        <w:t>: 2 g 4-6 times daily.</w:t>
      </w:r>
    </w:p>
    <w:p w14:paraId="3D012FA4" w14:textId="77777777" w:rsidR="00E044E3" w:rsidRPr="00E044E3" w:rsidRDefault="00E044E3" w:rsidP="00E044E3">
      <w:pPr>
        <w:tabs>
          <w:tab w:val="left" w:pos="851"/>
        </w:tabs>
        <w:ind w:left="851"/>
        <w:rPr>
          <w:sz w:val="24"/>
          <w:szCs w:val="24"/>
          <w:lang w:val="en-GB"/>
        </w:rPr>
      </w:pPr>
    </w:p>
    <w:p w14:paraId="718D7387" w14:textId="77777777" w:rsidR="00E044E3" w:rsidRPr="00E044E3" w:rsidRDefault="00E044E3" w:rsidP="00E044E3">
      <w:pPr>
        <w:tabs>
          <w:tab w:val="left" w:pos="851"/>
        </w:tabs>
        <w:ind w:left="851"/>
        <w:rPr>
          <w:sz w:val="24"/>
          <w:szCs w:val="24"/>
          <w:lang w:val="en-GB"/>
        </w:rPr>
      </w:pPr>
      <w:r w:rsidRPr="00E044E3">
        <w:rPr>
          <w:sz w:val="24"/>
          <w:szCs w:val="24"/>
          <w:lang w:val="en-GB"/>
        </w:rPr>
        <w:t>For prophylaxis of endocarditis, 2 g may be administered intravenously as a single dose 30 to 60 minutes before procedure.</w:t>
      </w:r>
    </w:p>
    <w:p w14:paraId="5A95F0C9" w14:textId="77777777" w:rsidR="00E044E3" w:rsidRPr="00E044E3" w:rsidRDefault="00E044E3" w:rsidP="00E044E3">
      <w:pPr>
        <w:tabs>
          <w:tab w:val="left" w:pos="851"/>
        </w:tabs>
        <w:ind w:left="851"/>
        <w:rPr>
          <w:sz w:val="24"/>
          <w:szCs w:val="24"/>
          <w:lang w:val="en-GB"/>
        </w:rPr>
      </w:pPr>
    </w:p>
    <w:p w14:paraId="45433AD7" w14:textId="77777777" w:rsidR="00E044E3" w:rsidRPr="00E044E3" w:rsidRDefault="00E044E3" w:rsidP="00E044E3">
      <w:pPr>
        <w:tabs>
          <w:tab w:val="left" w:pos="851"/>
        </w:tabs>
        <w:ind w:left="851"/>
        <w:rPr>
          <w:sz w:val="24"/>
          <w:szCs w:val="24"/>
          <w:lang w:val="en-GB"/>
        </w:rPr>
      </w:pPr>
      <w:r w:rsidRPr="00E044E3">
        <w:rPr>
          <w:sz w:val="24"/>
          <w:szCs w:val="24"/>
          <w:lang w:val="en-GB"/>
        </w:rPr>
        <w:t>Higher doses than those recommended can be given intravenously if needed.</w:t>
      </w:r>
    </w:p>
    <w:p w14:paraId="3F35328E" w14:textId="77777777" w:rsidR="00E044E3" w:rsidRPr="00E044E3" w:rsidRDefault="00E044E3" w:rsidP="00E044E3">
      <w:pPr>
        <w:tabs>
          <w:tab w:val="left" w:pos="851"/>
        </w:tabs>
        <w:ind w:left="851"/>
        <w:rPr>
          <w:sz w:val="24"/>
          <w:szCs w:val="24"/>
          <w:lang w:val="en-GB"/>
        </w:rPr>
      </w:pPr>
    </w:p>
    <w:p w14:paraId="76E1535D" w14:textId="77777777" w:rsidR="00E044E3" w:rsidRPr="00E044E3" w:rsidRDefault="00E044E3" w:rsidP="00E044E3">
      <w:pPr>
        <w:tabs>
          <w:tab w:val="left" w:pos="851"/>
        </w:tabs>
        <w:ind w:left="851"/>
        <w:rPr>
          <w:iCs/>
          <w:sz w:val="24"/>
          <w:szCs w:val="24"/>
          <w:u w:val="single"/>
          <w:lang w:val="en-GB"/>
        </w:rPr>
      </w:pPr>
      <w:r w:rsidRPr="00E044E3">
        <w:rPr>
          <w:iCs/>
          <w:sz w:val="24"/>
          <w:szCs w:val="24"/>
          <w:u w:val="single"/>
          <w:lang w:val="en-GB"/>
        </w:rPr>
        <w:t>Children</w:t>
      </w:r>
    </w:p>
    <w:p w14:paraId="3D481890" w14:textId="77777777" w:rsidR="00E044E3" w:rsidRPr="00E044E3" w:rsidRDefault="00E044E3" w:rsidP="00E044E3">
      <w:pPr>
        <w:tabs>
          <w:tab w:val="left" w:pos="851"/>
        </w:tabs>
        <w:ind w:left="851"/>
        <w:rPr>
          <w:sz w:val="24"/>
          <w:szCs w:val="24"/>
          <w:lang w:val="en-GB"/>
        </w:rPr>
      </w:pPr>
      <w:r w:rsidRPr="00E044E3">
        <w:rPr>
          <w:sz w:val="24"/>
          <w:szCs w:val="24"/>
          <w:lang w:val="en-GB"/>
        </w:rPr>
        <w:t>Intramuscular: 50 mg/kg body weight daily. The daily dose should be divided into four doses at 6 hour intervals.</w:t>
      </w:r>
    </w:p>
    <w:p w14:paraId="11E316DF" w14:textId="77777777" w:rsidR="00E044E3" w:rsidRPr="00E044E3" w:rsidRDefault="00E044E3" w:rsidP="00E044E3">
      <w:pPr>
        <w:tabs>
          <w:tab w:val="left" w:pos="851"/>
        </w:tabs>
        <w:ind w:left="851"/>
        <w:rPr>
          <w:sz w:val="24"/>
          <w:szCs w:val="24"/>
          <w:lang w:val="en-GB"/>
        </w:rPr>
      </w:pPr>
      <w:r w:rsidRPr="00E044E3">
        <w:rPr>
          <w:sz w:val="24"/>
          <w:szCs w:val="24"/>
          <w:lang w:val="en-GB"/>
        </w:rPr>
        <w:t>For newborn and premature 25-50 mg/kg divided into two doses is recommended.</w:t>
      </w:r>
    </w:p>
    <w:p w14:paraId="4FF11239" w14:textId="77777777" w:rsidR="00E044E3" w:rsidRPr="00E044E3" w:rsidRDefault="00E044E3" w:rsidP="00E044E3">
      <w:pPr>
        <w:tabs>
          <w:tab w:val="left" w:pos="851"/>
        </w:tabs>
        <w:ind w:left="851"/>
        <w:rPr>
          <w:sz w:val="24"/>
          <w:szCs w:val="24"/>
          <w:lang w:val="en-GB"/>
        </w:rPr>
      </w:pPr>
      <w:r w:rsidRPr="00E044E3">
        <w:rPr>
          <w:sz w:val="24"/>
          <w:szCs w:val="24"/>
          <w:lang w:val="en-GB"/>
        </w:rPr>
        <w:t>Intravenously: 100-200 mg/kg body weight daily in severe infection. In bacterial meningitis the intravenous dose for children may be increased to 400 mg / kg body weight daily (divided into four doses) if needed.</w:t>
      </w:r>
    </w:p>
    <w:p w14:paraId="6E54EACC" w14:textId="77777777" w:rsidR="00E044E3" w:rsidRPr="00E044E3" w:rsidRDefault="00E044E3" w:rsidP="00E044E3">
      <w:pPr>
        <w:tabs>
          <w:tab w:val="left" w:pos="851"/>
        </w:tabs>
        <w:ind w:left="851"/>
        <w:rPr>
          <w:sz w:val="24"/>
          <w:szCs w:val="24"/>
          <w:lang w:val="en-GB"/>
        </w:rPr>
      </w:pPr>
      <w:r w:rsidRPr="00E044E3">
        <w:rPr>
          <w:sz w:val="24"/>
          <w:szCs w:val="24"/>
          <w:lang w:val="en-GB"/>
        </w:rPr>
        <w:t>For prophylaxis of endocarditis in children, 50 mg/kg may be administered intravenously as a single dose 30 to 60 minutes before procedure.</w:t>
      </w:r>
    </w:p>
    <w:p w14:paraId="4AC088FF" w14:textId="77777777" w:rsidR="00E044E3" w:rsidRPr="00E044E3" w:rsidRDefault="00E044E3" w:rsidP="00E044E3">
      <w:pPr>
        <w:tabs>
          <w:tab w:val="left" w:pos="851"/>
        </w:tabs>
        <w:ind w:left="851"/>
        <w:rPr>
          <w:sz w:val="24"/>
          <w:szCs w:val="24"/>
          <w:lang w:val="en-GB"/>
        </w:rPr>
      </w:pPr>
    </w:p>
    <w:p w14:paraId="57548643" w14:textId="77777777" w:rsidR="00E044E3" w:rsidRPr="00E044E3" w:rsidRDefault="00E044E3" w:rsidP="00E044E3">
      <w:pPr>
        <w:tabs>
          <w:tab w:val="left" w:pos="851"/>
        </w:tabs>
        <w:ind w:left="851"/>
        <w:rPr>
          <w:iCs/>
          <w:sz w:val="24"/>
          <w:szCs w:val="24"/>
          <w:u w:val="single"/>
          <w:lang w:val="en-GB"/>
        </w:rPr>
      </w:pPr>
      <w:r w:rsidRPr="00E044E3">
        <w:rPr>
          <w:iCs/>
          <w:sz w:val="24"/>
          <w:szCs w:val="24"/>
          <w:u w:val="single"/>
          <w:lang w:val="en-GB"/>
        </w:rPr>
        <w:t>Treatment control</w:t>
      </w:r>
    </w:p>
    <w:p w14:paraId="60AF9A32" w14:textId="77777777" w:rsidR="00E044E3" w:rsidRPr="00E044E3" w:rsidRDefault="00E044E3" w:rsidP="00E044E3">
      <w:pPr>
        <w:tabs>
          <w:tab w:val="left" w:pos="851"/>
        </w:tabs>
        <w:ind w:left="851"/>
        <w:rPr>
          <w:sz w:val="24"/>
          <w:szCs w:val="24"/>
          <w:lang w:val="en-GB"/>
        </w:rPr>
      </w:pPr>
      <w:r w:rsidRPr="00E044E3">
        <w:rPr>
          <w:sz w:val="24"/>
          <w:szCs w:val="24"/>
          <w:lang w:val="en-GB"/>
        </w:rPr>
        <w:t>For prolonged treatment (over 2-3 weeks) liver and kidney function and blood counts should be monitored.</w:t>
      </w:r>
    </w:p>
    <w:p w14:paraId="4BBB528B" w14:textId="77777777" w:rsidR="00E044E3" w:rsidRPr="00E044E3" w:rsidRDefault="00E044E3" w:rsidP="00E044E3">
      <w:pPr>
        <w:tabs>
          <w:tab w:val="left" w:pos="851"/>
        </w:tabs>
        <w:ind w:left="851"/>
        <w:rPr>
          <w:sz w:val="24"/>
          <w:szCs w:val="24"/>
          <w:lang w:val="en-GB"/>
        </w:rPr>
      </w:pPr>
      <w:r w:rsidRPr="00E044E3">
        <w:rPr>
          <w:sz w:val="24"/>
          <w:szCs w:val="24"/>
          <w:lang w:val="en-GB"/>
        </w:rPr>
        <w:t xml:space="preserve">In case of acute meningitis caused by </w:t>
      </w:r>
      <w:r w:rsidRPr="00E044E3">
        <w:rPr>
          <w:i/>
          <w:iCs/>
          <w:sz w:val="24"/>
          <w:szCs w:val="24"/>
          <w:lang w:val="en-GB"/>
        </w:rPr>
        <w:t>Listeria monocytogenes</w:t>
      </w:r>
      <w:r w:rsidRPr="00E044E3">
        <w:rPr>
          <w:sz w:val="24"/>
          <w:szCs w:val="24"/>
          <w:lang w:val="en-GB"/>
        </w:rPr>
        <w:t xml:space="preserve"> and in neonatal septicemia, ampicillin is given in combination with another antibiotic.</w:t>
      </w:r>
    </w:p>
    <w:p w14:paraId="6C5A8B4A" w14:textId="77777777" w:rsidR="00E044E3" w:rsidRPr="00E044E3" w:rsidRDefault="00E044E3" w:rsidP="00E044E3">
      <w:pPr>
        <w:tabs>
          <w:tab w:val="left" w:pos="851"/>
        </w:tabs>
        <w:ind w:left="851"/>
        <w:rPr>
          <w:sz w:val="24"/>
          <w:szCs w:val="24"/>
          <w:lang w:val="en-GB"/>
        </w:rPr>
      </w:pPr>
      <w:r w:rsidRPr="00E044E3">
        <w:rPr>
          <w:sz w:val="24"/>
          <w:szCs w:val="24"/>
          <w:lang w:val="en-GB"/>
        </w:rPr>
        <w:t>In intraabdominal infections, ampicillin should be used in combination with other appropriate antibacterial agents when anaerobic pathogens and/or Gram-negative pathogens are known or suspected to be contributing to the infectious process.</w:t>
      </w:r>
    </w:p>
    <w:p w14:paraId="689E8C31" w14:textId="11F00D87" w:rsidR="00E044E3" w:rsidRDefault="00E044E3">
      <w:pPr>
        <w:rPr>
          <w:sz w:val="24"/>
          <w:szCs w:val="24"/>
          <w:lang w:val="en-GB"/>
        </w:rPr>
      </w:pPr>
      <w:r>
        <w:rPr>
          <w:sz w:val="24"/>
          <w:szCs w:val="24"/>
          <w:lang w:val="en-GB"/>
        </w:rPr>
        <w:br w:type="page"/>
      </w:r>
    </w:p>
    <w:p w14:paraId="4143A605" w14:textId="77777777" w:rsidR="00E044E3" w:rsidRPr="00E044E3" w:rsidRDefault="00E044E3" w:rsidP="00E044E3">
      <w:pPr>
        <w:tabs>
          <w:tab w:val="left" w:pos="851"/>
        </w:tabs>
        <w:ind w:left="851"/>
        <w:rPr>
          <w:sz w:val="24"/>
          <w:szCs w:val="24"/>
          <w:lang w:val="en-GB"/>
        </w:rPr>
      </w:pPr>
    </w:p>
    <w:p w14:paraId="25752CD0" w14:textId="77777777" w:rsidR="00E044E3" w:rsidRPr="00E044E3" w:rsidRDefault="00E044E3" w:rsidP="00E044E3">
      <w:pPr>
        <w:tabs>
          <w:tab w:val="left" w:pos="851"/>
        </w:tabs>
        <w:ind w:left="851"/>
        <w:rPr>
          <w:iCs/>
          <w:sz w:val="24"/>
          <w:szCs w:val="24"/>
          <w:u w:val="single"/>
          <w:lang w:val="en-GB"/>
        </w:rPr>
      </w:pPr>
      <w:r w:rsidRPr="00E044E3">
        <w:rPr>
          <w:iCs/>
          <w:sz w:val="24"/>
          <w:szCs w:val="24"/>
          <w:u w:val="single"/>
          <w:lang w:val="en-GB"/>
        </w:rPr>
        <w:t>Special populations</w:t>
      </w:r>
    </w:p>
    <w:p w14:paraId="4E724C90" w14:textId="77777777" w:rsidR="00E044E3" w:rsidRDefault="00E044E3" w:rsidP="00E044E3">
      <w:pPr>
        <w:tabs>
          <w:tab w:val="left" w:pos="851"/>
        </w:tabs>
        <w:ind w:left="851"/>
        <w:rPr>
          <w:i/>
          <w:iCs/>
          <w:sz w:val="24"/>
          <w:szCs w:val="24"/>
          <w:lang w:val="en-GB"/>
        </w:rPr>
      </w:pPr>
    </w:p>
    <w:p w14:paraId="1B44E874" w14:textId="3AF46FD0" w:rsidR="00E044E3" w:rsidRPr="00E044E3" w:rsidRDefault="00E044E3" w:rsidP="00E044E3">
      <w:pPr>
        <w:tabs>
          <w:tab w:val="left" w:pos="851"/>
        </w:tabs>
        <w:ind w:left="851"/>
        <w:rPr>
          <w:i/>
          <w:iCs/>
          <w:sz w:val="24"/>
          <w:szCs w:val="24"/>
          <w:lang w:val="en-GB"/>
        </w:rPr>
      </w:pPr>
      <w:r w:rsidRPr="00E044E3">
        <w:rPr>
          <w:i/>
          <w:iCs/>
          <w:sz w:val="24"/>
          <w:szCs w:val="24"/>
          <w:lang w:val="en-GB"/>
        </w:rPr>
        <w:t>Renal impairment</w:t>
      </w:r>
    </w:p>
    <w:p w14:paraId="3D966928" w14:textId="3333B56C" w:rsidR="00E044E3" w:rsidRPr="00E044E3" w:rsidRDefault="00E044E3" w:rsidP="00E044E3">
      <w:pPr>
        <w:tabs>
          <w:tab w:val="left" w:pos="851"/>
        </w:tabs>
        <w:ind w:left="851"/>
        <w:rPr>
          <w:sz w:val="24"/>
          <w:szCs w:val="24"/>
          <w:lang w:val="en-GB"/>
        </w:rPr>
      </w:pPr>
      <w:r w:rsidRPr="00E044E3">
        <w:rPr>
          <w:sz w:val="24"/>
          <w:szCs w:val="24"/>
          <w:lang w:val="en-GB"/>
        </w:rPr>
        <w:t xml:space="preserve">No dose adjustment is required in patients with creatinine clearance (CrCI) &gt;30 </w:t>
      </w:r>
      <w:r>
        <w:rPr>
          <w:sz w:val="24"/>
          <w:szCs w:val="24"/>
          <w:lang w:val="en-GB"/>
        </w:rPr>
        <w:t>ml</w:t>
      </w:r>
      <w:r w:rsidRPr="00E044E3">
        <w:rPr>
          <w:sz w:val="24"/>
          <w:szCs w:val="24"/>
          <w:lang w:val="en-GB"/>
        </w:rPr>
        <w:t>/min.</w:t>
      </w:r>
    </w:p>
    <w:p w14:paraId="4E4CF427" w14:textId="2C494DD0" w:rsidR="00E044E3" w:rsidRPr="00E044E3" w:rsidRDefault="00E044E3" w:rsidP="00E044E3">
      <w:pPr>
        <w:tabs>
          <w:tab w:val="left" w:pos="851"/>
        </w:tabs>
        <w:ind w:left="851"/>
        <w:rPr>
          <w:sz w:val="24"/>
          <w:szCs w:val="24"/>
          <w:lang w:val="en-GB"/>
        </w:rPr>
      </w:pPr>
      <w:r w:rsidRPr="00E044E3">
        <w:rPr>
          <w:sz w:val="24"/>
          <w:szCs w:val="24"/>
          <w:lang w:val="en-GB"/>
        </w:rPr>
        <w:t xml:space="preserve">In case of severe renal impairment with glomerular filtration rate of 30 </w:t>
      </w:r>
      <w:r>
        <w:rPr>
          <w:sz w:val="24"/>
          <w:szCs w:val="24"/>
          <w:lang w:val="en-GB"/>
        </w:rPr>
        <w:t>ml</w:t>
      </w:r>
      <w:r w:rsidRPr="00E044E3">
        <w:rPr>
          <w:sz w:val="24"/>
          <w:szCs w:val="24"/>
          <w:lang w:val="en-GB"/>
        </w:rPr>
        <w:t>/min and less, a reduction in the dose is recommended since an accumulation of ampicillin is to be expected:</w:t>
      </w:r>
    </w:p>
    <w:p w14:paraId="793F6716" w14:textId="3549BAFE" w:rsidR="00E044E3" w:rsidRPr="00E044E3" w:rsidRDefault="00E044E3" w:rsidP="00E044E3">
      <w:pPr>
        <w:numPr>
          <w:ilvl w:val="0"/>
          <w:numId w:val="6"/>
        </w:numPr>
        <w:tabs>
          <w:tab w:val="left" w:pos="851"/>
        </w:tabs>
        <w:ind w:left="1134" w:hanging="283"/>
        <w:rPr>
          <w:sz w:val="24"/>
          <w:szCs w:val="24"/>
          <w:lang w:val="en-GB"/>
        </w:rPr>
      </w:pPr>
      <w:r w:rsidRPr="00E044E3">
        <w:rPr>
          <w:sz w:val="24"/>
          <w:szCs w:val="24"/>
          <w:lang w:val="en-GB"/>
        </w:rPr>
        <w:t xml:space="preserve">at a creatinine clearance of 20 to 30 </w:t>
      </w:r>
      <w:r>
        <w:rPr>
          <w:sz w:val="24"/>
          <w:szCs w:val="24"/>
          <w:lang w:val="en-GB"/>
        </w:rPr>
        <w:t>ml</w:t>
      </w:r>
      <w:r w:rsidRPr="00E044E3">
        <w:rPr>
          <w:sz w:val="24"/>
          <w:szCs w:val="24"/>
          <w:lang w:val="en-GB"/>
        </w:rPr>
        <w:t>/min, the normal dose should be reduced to 2/3,</w:t>
      </w:r>
    </w:p>
    <w:p w14:paraId="1062BEEA" w14:textId="15E8DD10" w:rsidR="00E044E3" w:rsidRPr="00E044E3" w:rsidRDefault="00E044E3" w:rsidP="00E044E3">
      <w:pPr>
        <w:numPr>
          <w:ilvl w:val="0"/>
          <w:numId w:val="6"/>
        </w:numPr>
        <w:tabs>
          <w:tab w:val="left" w:pos="851"/>
        </w:tabs>
        <w:ind w:left="1134" w:hanging="283"/>
        <w:rPr>
          <w:sz w:val="24"/>
          <w:szCs w:val="24"/>
          <w:lang w:val="en-GB"/>
        </w:rPr>
      </w:pPr>
      <w:r w:rsidRPr="00E044E3">
        <w:rPr>
          <w:sz w:val="24"/>
          <w:szCs w:val="24"/>
          <w:lang w:val="en-GB"/>
        </w:rPr>
        <w:t xml:space="preserve">at a creatinine clearance below 20 </w:t>
      </w:r>
      <w:r>
        <w:rPr>
          <w:sz w:val="24"/>
          <w:szCs w:val="24"/>
          <w:lang w:val="en-GB"/>
        </w:rPr>
        <w:t>ml</w:t>
      </w:r>
      <w:r w:rsidRPr="00E044E3">
        <w:rPr>
          <w:sz w:val="24"/>
          <w:szCs w:val="24"/>
          <w:lang w:val="en-GB"/>
        </w:rPr>
        <w:t>/min, the normal dose should be reduced to 1/3.</w:t>
      </w:r>
    </w:p>
    <w:p w14:paraId="3742DDAB" w14:textId="77777777" w:rsidR="00E044E3" w:rsidRPr="00E044E3" w:rsidRDefault="00E044E3" w:rsidP="00E044E3">
      <w:pPr>
        <w:tabs>
          <w:tab w:val="left" w:pos="851"/>
        </w:tabs>
        <w:ind w:left="851"/>
        <w:rPr>
          <w:sz w:val="24"/>
          <w:szCs w:val="24"/>
          <w:lang w:val="en-GB"/>
        </w:rPr>
      </w:pPr>
      <w:r w:rsidRPr="00E044E3">
        <w:rPr>
          <w:sz w:val="24"/>
          <w:szCs w:val="24"/>
          <w:lang w:val="en-GB"/>
        </w:rPr>
        <w:t>As a general rule, a dose of 1 g ampicillin every 8 hours should not be exceeded in patients with severe renal insufficiency.</w:t>
      </w:r>
    </w:p>
    <w:p w14:paraId="1B3EA79D" w14:textId="77777777" w:rsidR="00E044E3" w:rsidRPr="00E044E3" w:rsidRDefault="00E044E3" w:rsidP="00E044E3">
      <w:pPr>
        <w:tabs>
          <w:tab w:val="left" w:pos="851"/>
        </w:tabs>
        <w:ind w:left="851"/>
        <w:rPr>
          <w:sz w:val="24"/>
          <w:szCs w:val="24"/>
          <w:lang w:val="en-GB"/>
        </w:rPr>
      </w:pPr>
    </w:p>
    <w:p w14:paraId="4DB0F83E" w14:textId="77777777" w:rsidR="00E044E3" w:rsidRPr="00E044E3" w:rsidRDefault="00E044E3" w:rsidP="00E044E3">
      <w:pPr>
        <w:tabs>
          <w:tab w:val="left" w:pos="851"/>
        </w:tabs>
        <w:ind w:left="851"/>
        <w:rPr>
          <w:b/>
          <w:sz w:val="24"/>
          <w:szCs w:val="24"/>
          <w:lang w:val="en-GB"/>
        </w:rPr>
      </w:pPr>
      <w:bookmarkStart w:id="2" w:name="_Hlk163138128"/>
      <w:r w:rsidRPr="00E044E3">
        <w:rPr>
          <w:b/>
          <w:sz w:val="24"/>
          <w:szCs w:val="24"/>
          <w:lang w:val="en-GB"/>
        </w:rPr>
        <w:t xml:space="preserve">Method of administration </w:t>
      </w:r>
    </w:p>
    <w:p w14:paraId="193043EF" w14:textId="231C01C6" w:rsidR="00E044E3" w:rsidRPr="00E044E3" w:rsidRDefault="00E044E3" w:rsidP="00E044E3">
      <w:pPr>
        <w:tabs>
          <w:tab w:val="left" w:pos="851"/>
        </w:tabs>
        <w:ind w:left="851"/>
        <w:rPr>
          <w:sz w:val="24"/>
          <w:szCs w:val="24"/>
          <w:lang w:val="en-GB"/>
        </w:rPr>
      </w:pPr>
      <w:r w:rsidRPr="00E044E3">
        <w:rPr>
          <w:sz w:val="24"/>
          <w:szCs w:val="24"/>
          <w:lang w:val="en-GB"/>
        </w:rPr>
        <w:t>Rotacin 500 mg, 1 g: For intramuscular or intravenous use after reconstitution.</w:t>
      </w:r>
    </w:p>
    <w:p w14:paraId="6BAAE065" w14:textId="77777777" w:rsidR="00E044E3" w:rsidRPr="00E044E3" w:rsidRDefault="00E044E3" w:rsidP="00E044E3">
      <w:pPr>
        <w:tabs>
          <w:tab w:val="left" w:pos="851"/>
        </w:tabs>
        <w:ind w:left="851"/>
        <w:rPr>
          <w:sz w:val="24"/>
          <w:szCs w:val="24"/>
          <w:lang w:val="en-GB"/>
        </w:rPr>
      </w:pPr>
      <w:r w:rsidRPr="00E044E3">
        <w:rPr>
          <w:sz w:val="24"/>
          <w:szCs w:val="24"/>
          <w:lang w:val="en-GB"/>
        </w:rPr>
        <w:t>Rotacin 2 g: For intravenous use after reconstitution</w:t>
      </w:r>
      <w:bookmarkEnd w:id="2"/>
      <w:r w:rsidRPr="00E044E3">
        <w:rPr>
          <w:sz w:val="24"/>
          <w:szCs w:val="24"/>
          <w:lang w:val="en-GB"/>
        </w:rPr>
        <w:t>.</w:t>
      </w:r>
    </w:p>
    <w:p w14:paraId="156F61DA" w14:textId="77777777" w:rsidR="00E044E3" w:rsidRPr="00E044E3" w:rsidRDefault="00E044E3" w:rsidP="00E044E3">
      <w:pPr>
        <w:tabs>
          <w:tab w:val="left" w:pos="851"/>
        </w:tabs>
        <w:ind w:left="851"/>
        <w:rPr>
          <w:sz w:val="24"/>
          <w:szCs w:val="24"/>
          <w:lang w:val="en-GB"/>
        </w:rPr>
      </w:pPr>
    </w:p>
    <w:p w14:paraId="6D09B60B" w14:textId="77777777" w:rsidR="00E044E3" w:rsidRPr="00E044E3" w:rsidRDefault="00E044E3" w:rsidP="00E044E3">
      <w:pPr>
        <w:tabs>
          <w:tab w:val="left" w:pos="851"/>
        </w:tabs>
        <w:ind w:left="851"/>
        <w:rPr>
          <w:sz w:val="24"/>
          <w:szCs w:val="24"/>
          <w:lang w:val="en-GB"/>
        </w:rPr>
      </w:pPr>
      <w:r w:rsidRPr="00E044E3">
        <w:rPr>
          <w:sz w:val="24"/>
          <w:szCs w:val="24"/>
          <w:lang w:val="en-GB"/>
        </w:rPr>
        <w:t xml:space="preserve">Only freshly prepared, clear solutions prepared immediately before use should be used. Care must be taken to ensure complete dissolution. Reconstituted solutions are clear and slightly yellow.  </w:t>
      </w:r>
    </w:p>
    <w:p w14:paraId="2899B9A3" w14:textId="77777777" w:rsidR="00E044E3" w:rsidRPr="00E044E3" w:rsidRDefault="00E044E3" w:rsidP="00E044E3">
      <w:pPr>
        <w:tabs>
          <w:tab w:val="left" w:pos="851"/>
        </w:tabs>
        <w:ind w:left="851"/>
        <w:rPr>
          <w:sz w:val="24"/>
          <w:szCs w:val="24"/>
          <w:lang w:val="en-GB"/>
        </w:rPr>
      </w:pPr>
      <w:r w:rsidRPr="00E044E3">
        <w:rPr>
          <w:sz w:val="24"/>
          <w:szCs w:val="24"/>
          <w:lang w:val="en-GB"/>
        </w:rPr>
        <w:t>For instructions on reconstitution/dilution of the medicinal product before administration, see section 6.6.</w:t>
      </w:r>
    </w:p>
    <w:p w14:paraId="01E29566" w14:textId="77777777" w:rsidR="007C5D2A" w:rsidRPr="00E044E3" w:rsidRDefault="007C5D2A" w:rsidP="00A85D26">
      <w:pPr>
        <w:tabs>
          <w:tab w:val="left" w:pos="851"/>
        </w:tabs>
        <w:ind w:left="851"/>
        <w:rPr>
          <w:sz w:val="24"/>
          <w:szCs w:val="24"/>
          <w:lang w:val="en-GB"/>
        </w:rPr>
      </w:pPr>
    </w:p>
    <w:p w14:paraId="6C8A24F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3A573943" w14:textId="77777777" w:rsidR="00E044E3" w:rsidRPr="00E044E3" w:rsidRDefault="00E044E3" w:rsidP="00E044E3">
      <w:pPr>
        <w:tabs>
          <w:tab w:val="left" w:pos="851"/>
        </w:tabs>
        <w:ind w:left="851"/>
        <w:rPr>
          <w:sz w:val="24"/>
          <w:szCs w:val="24"/>
          <w:lang w:val="en-GB"/>
        </w:rPr>
      </w:pPr>
      <w:r w:rsidRPr="00E044E3">
        <w:rPr>
          <w:sz w:val="24"/>
          <w:szCs w:val="24"/>
          <w:lang w:val="en-GB"/>
        </w:rPr>
        <w:t>Hypersensitivity to the active substance or to other beta-lactam antibiotics (e.g. penicillins, cephalosporins).</w:t>
      </w:r>
    </w:p>
    <w:p w14:paraId="5BC62ED5" w14:textId="77777777" w:rsidR="007C5D2A" w:rsidRPr="00E044E3" w:rsidRDefault="007C5D2A" w:rsidP="003E0341">
      <w:pPr>
        <w:tabs>
          <w:tab w:val="left" w:pos="851"/>
        </w:tabs>
        <w:ind w:left="851"/>
        <w:rPr>
          <w:sz w:val="24"/>
          <w:szCs w:val="24"/>
          <w:lang w:val="en-GB"/>
        </w:rPr>
      </w:pPr>
    </w:p>
    <w:p w14:paraId="5CFF8BA0"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5554D673" w14:textId="77777777" w:rsidR="00E044E3" w:rsidRPr="00E044E3" w:rsidRDefault="00E044E3" w:rsidP="00E044E3">
      <w:pPr>
        <w:tabs>
          <w:tab w:val="left" w:pos="851"/>
        </w:tabs>
        <w:ind w:left="851"/>
        <w:rPr>
          <w:sz w:val="24"/>
          <w:szCs w:val="24"/>
          <w:lang w:val="en-GB"/>
        </w:rPr>
      </w:pPr>
      <w:r w:rsidRPr="00E044E3">
        <w:rPr>
          <w:sz w:val="24"/>
          <w:szCs w:val="24"/>
          <w:lang w:val="en-GB"/>
        </w:rPr>
        <w:t>Cross allergy between penicillins and cephalosporins occurs.</w:t>
      </w:r>
    </w:p>
    <w:p w14:paraId="32B3E633" w14:textId="77777777" w:rsidR="00E044E3" w:rsidRPr="00E044E3" w:rsidRDefault="00E044E3" w:rsidP="00E044E3">
      <w:pPr>
        <w:tabs>
          <w:tab w:val="left" w:pos="851"/>
        </w:tabs>
        <w:ind w:left="851"/>
        <w:rPr>
          <w:sz w:val="24"/>
          <w:szCs w:val="24"/>
          <w:lang w:val="en-GB"/>
        </w:rPr>
      </w:pPr>
    </w:p>
    <w:p w14:paraId="3A930600" w14:textId="77777777" w:rsidR="00E044E3" w:rsidRPr="00E044E3" w:rsidRDefault="00E044E3" w:rsidP="00E044E3">
      <w:pPr>
        <w:tabs>
          <w:tab w:val="left" w:pos="851"/>
        </w:tabs>
        <w:ind w:left="851"/>
        <w:rPr>
          <w:sz w:val="24"/>
          <w:szCs w:val="24"/>
          <w:lang w:val="en-GB"/>
        </w:rPr>
      </w:pPr>
      <w:r w:rsidRPr="00E044E3">
        <w:rPr>
          <w:sz w:val="24"/>
          <w:szCs w:val="24"/>
          <w:lang w:val="en-GB"/>
        </w:rPr>
        <w:t>High urine concentrations can give false positive reaction in some glucose tests.</w:t>
      </w:r>
    </w:p>
    <w:p w14:paraId="3559EED0" w14:textId="77777777" w:rsidR="00E044E3" w:rsidRPr="00E044E3" w:rsidRDefault="00E044E3" w:rsidP="00E044E3">
      <w:pPr>
        <w:tabs>
          <w:tab w:val="left" w:pos="851"/>
        </w:tabs>
        <w:ind w:left="851"/>
        <w:rPr>
          <w:sz w:val="24"/>
          <w:szCs w:val="24"/>
          <w:lang w:val="en-GB"/>
        </w:rPr>
      </w:pPr>
    </w:p>
    <w:p w14:paraId="562B7FF9" w14:textId="77777777" w:rsidR="00E044E3" w:rsidRPr="00E044E3" w:rsidRDefault="00E044E3" w:rsidP="00E044E3">
      <w:pPr>
        <w:tabs>
          <w:tab w:val="left" w:pos="851"/>
        </w:tabs>
        <w:ind w:left="851"/>
        <w:rPr>
          <w:sz w:val="24"/>
          <w:szCs w:val="24"/>
          <w:lang w:val="en-GB"/>
        </w:rPr>
      </w:pPr>
      <w:r w:rsidRPr="00E044E3">
        <w:rPr>
          <w:sz w:val="24"/>
          <w:szCs w:val="24"/>
          <w:lang w:val="en-GB"/>
        </w:rPr>
        <w:t xml:space="preserve">Diarrhoea may be symptoms of pseudomembranous colitis caused by </w:t>
      </w:r>
      <w:r w:rsidRPr="00E044E3">
        <w:rPr>
          <w:i/>
          <w:iCs/>
          <w:sz w:val="24"/>
          <w:szCs w:val="24"/>
          <w:lang w:val="en-GB"/>
        </w:rPr>
        <w:t>Clostridioides difficile</w:t>
      </w:r>
      <w:r w:rsidRPr="00E044E3">
        <w:rPr>
          <w:sz w:val="24"/>
          <w:szCs w:val="24"/>
          <w:lang w:val="en-GB"/>
        </w:rPr>
        <w:t>. Therefore, patients with diarrhea should be followed closely.</w:t>
      </w:r>
    </w:p>
    <w:p w14:paraId="5DD94833" w14:textId="77777777" w:rsidR="00E044E3" w:rsidRPr="00E044E3" w:rsidRDefault="00E044E3" w:rsidP="00E044E3">
      <w:pPr>
        <w:tabs>
          <w:tab w:val="left" w:pos="851"/>
        </w:tabs>
        <w:ind w:left="851"/>
        <w:rPr>
          <w:sz w:val="24"/>
          <w:szCs w:val="24"/>
          <w:lang w:val="en-GB"/>
        </w:rPr>
      </w:pPr>
    </w:p>
    <w:p w14:paraId="73B3B713" w14:textId="5C2B20A4" w:rsidR="00E044E3" w:rsidRPr="00E044E3" w:rsidRDefault="00E044E3" w:rsidP="00E044E3">
      <w:pPr>
        <w:tabs>
          <w:tab w:val="left" w:pos="851"/>
        </w:tabs>
        <w:ind w:left="851"/>
        <w:rPr>
          <w:sz w:val="24"/>
          <w:szCs w:val="24"/>
          <w:u w:val="single"/>
          <w:lang w:val="en-GB"/>
        </w:rPr>
      </w:pPr>
      <w:r w:rsidRPr="00E044E3">
        <w:rPr>
          <w:sz w:val="24"/>
          <w:szCs w:val="24"/>
          <w:u w:val="single"/>
          <w:lang w:val="en-GB"/>
        </w:rPr>
        <w:t>Rotacin contains sodium.</w:t>
      </w:r>
    </w:p>
    <w:p w14:paraId="599FA886" w14:textId="2FD68047" w:rsidR="00E044E3" w:rsidRPr="00E044E3" w:rsidRDefault="00E044E3" w:rsidP="00E044E3">
      <w:pPr>
        <w:tabs>
          <w:tab w:val="left" w:pos="851"/>
        </w:tabs>
        <w:ind w:left="851"/>
        <w:rPr>
          <w:sz w:val="24"/>
          <w:szCs w:val="24"/>
          <w:lang w:val="en-GB"/>
        </w:rPr>
      </w:pPr>
      <w:bookmarkStart w:id="3" w:name="_Hlk156377439"/>
      <w:r w:rsidRPr="00E044E3">
        <w:rPr>
          <w:sz w:val="24"/>
          <w:szCs w:val="24"/>
          <w:lang w:val="en-GB"/>
        </w:rPr>
        <w:t>Rotacin 500 mg contains 35 mg sodium per vial, equivalent to 1.75</w:t>
      </w:r>
      <w:r w:rsidR="00F246AD">
        <w:rPr>
          <w:sz w:val="24"/>
          <w:szCs w:val="24"/>
          <w:lang w:val="en-GB"/>
        </w:rPr>
        <w:t xml:space="preserve"> </w:t>
      </w:r>
      <w:r w:rsidRPr="00E044E3">
        <w:rPr>
          <w:sz w:val="24"/>
          <w:szCs w:val="24"/>
          <w:lang w:val="en-GB"/>
        </w:rPr>
        <w:t>% of the WHO recommended maximum daily intake of 2 g sodium for an adult.</w:t>
      </w:r>
    </w:p>
    <w:p w14:paraId="5D10F89E" w14:textId="5E52FEC8" w:rsidR="00E044E3" w:rsidRPr="00E044E3" w:rsidRDefault="00E044E3" w:rsidP="00E044E3">
      <w:pPr>
        <w:tabs>
          <w:tab w:val="left" w:pos="851"/>
        </w:tabs>
        <w:ind w:left="851"/>
        <w:rPr>
          <w:sz w:val="24"/>
          <w:szCs w:val="24"/>
          <w:lang w:val="en-GB"/>
        </w:rPr>
      </w:pPr>
      <w:r w:rsidRPr="00E044E3">
        <w:rPr>
          <w:sz w:val="24"/>
          <w:szCs w:val="24"/>
          <w:lang w:val="en-GB"/>
        </w:rPr>
        <w:t>Rotacin 1 g contains 70 mg sodium per vial, equivalent to 3.5</w:t>
      </w:r>
      <w:r w:rsidR="00F246AD">
        <w:rPr>
          <w:sz w:val="24"/>
          <w:szCs w:val="24"/>
          <w:lang w:val="en-GB"/>
        </w:rPr>
        <w:t xml:space="preserve"> </w:t>
      </w:r>
      <w:r w:rsidRPr="00E044E3">
        <w:rPr>
          <w:sz w:val="24"/>
          <w:szCs w:val="24"/>
          <w:lang w:val="en-GB"/>
        </w:rPr>
        <w:t>% of the WHO recommended maximum daily intake of 2 g sodium for an adult.</w:t>
      </w:r>
    </w:p>
    <w:p w14:paraId="6F1E9A5D" w14:textId="31053532" w:rsidR="00E044E3" w:rsidRPr="00E044E3" w:rsidRDefault="00E044E3" w:rsidP="00E044E3">
      <w:pPr>
        <w:tabs>
          <w:tab w:val="left" w:pos="851"/>
        </w:tabs>
        <w:ind w:left="851"/>
        <w:rPr>
          <w:sz w:val="24"/>
          <w:szCs w:val="24"/>
          <w:lang w:val="en-GB"/>
        </w:rPr>
      </w:pPr>
      <w:r w:rsidRPr="00E044E3">
        <w:rPr>
          <w:sz w:val="24"/>
          <w:szCs w:val="24"/>
          <w:lang w:val="en-GB"/>
        </w:rPr>
        <w:t>Rotacin 2 g contains 140 mg sodium per vial, equivalent to 7</w:t>
      </w:r>
      <w:r w:rsidR="00F246AD">
        <w:rPr>
          <w:sz w:val="24"/>
          <w:szCs w:val="24"/>
          <w:lang w:val="en-GB"/>
        </w:rPr>
        <w:t xml:space="preserve"> </w:t>
      </w:r>
      <w:r w:rsidRPr="00E044E3">
        <w:rPr>
          <w:sz w:val="24"/>
          <w:szCs w:val="24"/>
          <w:lang w:val="en-GB"/>
        </w:rPr>
        <w:t>% of the WHO recommended maximum daily intake of 2 g sodium for an adult.</w:t>
      </w:r>
    </w:p>
    <w:bookmarkEnd w:id="3"/>
    <w:p w14:paraId="0414E13E" w14:textId="77777777" w:rsidR="00E044E3" w:rsidRPr="00E044E3" w:rsidRDefault="00E044E3" w:rsidP="00E044E3">
      <w:pPr>
        <w:tabs>
          <w:tab w:val="left" w:pos="851"/>
        </w:tabs>
        <w:ind w:left="851"/>
        <w:rPr>
          <w:sz w:val="24"/>
          <w:szCs w:val="24"/>
          <w:lang w:val="en-GB"/>
        </w:rPr>
      </w:pPr>
    </w:p>
    <w:p w14:paraId="3011B9F4" w14:textId="77777777" w:rsidR="00E044E3" w:rsidRPr="00E044E3" w:rsidRDefault="00E044E3" w:rsidP="00E044E3">
      <w:pPr>
        <w:tabs>
          <w:tab w:val="left" w:pos="851"/>
        </w:tabs>
        <w:ind w:left="851"/>
        <w:rPr>
          <w:sz w:val="24"/>
          <w:szCs w:val="24"/>
          <w:lang w:val="en-GB"/>
        </w:rPr>
      </w:pPr>
      <w:r w:rsidRPr="00E044E3">
        <w:rPr>
          <w:sz w:val="24"/>
          <w:szCs w:val="24"/>
          <w:lang w:val="en-GB"/>
        </w:rPr>
        <w:t xml:space="preserve">This should be particularly taken into account for those on a low salt diet. </w:t>
      </w:r>
    </w:p>
    <w:p w14:paraId="3317827C" w14:textId="77777777" w:rsidR="00E044E3" w:rsidRPr="00E044E3" w:rsidRDefault="00E044E3" w:rsidP="00E044E3">
      <w:pPr>
        <w:tabs>
          <w:tab w:val="left" w:pos="851"/>
        </w:tabs>
        <w:ind w:left="851"/>
        <w:rPr>
          <w:sz w:val="24"/>
          <w:szCs w:val="24"/>
          <w:lang w:val="en-GB"/>
        </w:rPr>
      </w:pPr>
      <w:r w:rsidRPr="00E044E3">
        <w:rPr>
          <w:sz w:val="24"/>
          <w:szCs w:val="24"/>
          <w:lang w:val="en-GB"/>
        </w:rPr>
        <w:t>If the product is dissolved or diluted with isotonic sodium chloride solution, the additional amount of sodium from the solvent should also be considered.</w:t>
      </w:r>
    </w:p>
    <w:p w14:paraId="556939E6" w14:textId="77777777" w:rsidR="007C5D2A" w:rsidRPr="00E044E3" w:rsidRDefault="007C5D2A" w:rsidP="003E0341">
      <w:pPr>
        <w:tabs>
          <w:tab w:val="left" w:pos="851"/>
        </w:tabs>
        <w:ind w:left="851"/>
        <w:rPr>
          <w:sz w:val="24"/>
          <w:szCs w:val="24"/>
          <w:lang w:val="en-GB"/>
        </w:rPr>
      </w:pPr>
    </w:p>
    <w:p w14:paraId="40DF001A"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6562ACB8" w14:textId="77777777" w:rsidR="00E044E3" w:rsidRPr="00E044E3" w:rsidRDefault="00E044E3" w:rsidP="00E044E3">
      <w:pPr>
        <w:tabs>
          <w:tab w:val="left" w:pos="851"/>
        </w:tabs>
        <w:ind w:left="851"/>
        <w:rPr>
          <w:sz w:val="24"/>
          <w:szCs w:val="24"/>
          <w:lang w:val="en-GB"/>
        </w:rPr>
      </w:pPr>
      <w:r w:rsidRPr="00E044E3">
        <w:rPr>
          <w:sz w:val="24"/>
          <w:szCs w:val="24"/>
          <w:lang w:val="en-GB"/>
        </w:rPr>
        <w:t>The following combinations with ampicillin may require dose adjustment: Allopurinol and methotrexate.</w:t>
      </w:r>
    </w:p>
    <w:p w14:paraId="15890DB3" w14:textId="77777777" w:rsidR="00E044E3" w:rsidRPr="00E044E3" w:rsidRDefault="00E044E3" w:rsidP="00E044E3">
      <w:pPr>
        <w:tabs>
          <w:tab w:val="left" w:pos="851"/>
        </w:tabs>
        <w:ind w:left="851"/>
        <w:rPr>
          <w:sz w:val="24"/>
          <w:szCs w:val="24"/>
          <w:lang w:val="en-GB"/>
        </w:rPr>
      </w:pPr>
    </w:p>
    <w:p w14:paraId="45DF535C" w14:textId="77777777" w:rsidR="00E044E3" w:rsidRPr="00E044E3" w:rsidRDefault="00E044E3" w:rsidP="00E044E3">
      <w:pPr>
        <w:tabs>
          <w:tab w:val="left" w:pos="851"/>
        </w:tabs>
        <w:ind w:left="851"/>
        <w:rPr>
          <w:sz w:val="24"/>
          <w:szCs w:val="24"/>
          <w:u w:val="single"/>
          <w:lang w:val="en-GB"/>
        </w:rPr>
      </w:pPr>
      <w:r w:rsidRPr="00E044E3">
        <w:rPr>
          <w:sz w:val="24"/>
          <w:szCs w:val="24"/>
          <w:u w:val="single"/>
          <w:lang w:val="en-GB"/>
        </w:rPr>
        <w:lastRenderedPageBreak/>
        <w:t>Allopurinol</w:t>
      </w:r>
    </w:p>
    <w:p w14:paraId="238DC744" w14:textId="77777777" w:rsidR="00E044E3" w:rsidRPr="00E044E3" w:rsidRDefault="00E044E3" w:rsidP="00E044E3">
      <w:pPr>
        <w:tabs>
          <w:tab w:val="left" w:pos="851"/>
        </w:tabs>
        <w:ind w:left="851"/>
        <w:rPr>
          <w:sz w:val="24"/>
          <w:szCs w:val="24"/>
          <w:lang w:val="en-GB"/>
        </w:rPr>
      </w:pPr>
      <w:r w:rsidRPr="00E044E3">
        <w:rPr>
          <w:sz w:val="24"/>
          <w:szCs w:val="24"/>
          <w:lang w:val="en-GB"/>
        </w:rPr>
        <w:t>Coadministration of allopurinol with ampicillin increases the risk of allergic skin reaction.</w:t>
      </w:r>
    </w:p>
    <w:p w14:paraId="11224330" w14:textId="77777777" w:rsidR="00E044E3" w:rsidRPr="00E044E3" w:rsidRDefault="00E044E3" w:rsidP="00E044E3">
      <w:pPr>
        <w:tabs>
          <w:tab w:val="left" w:pos="851"/>
        </w:tabs>
        <w:ind w:left="851"/>
        <w:rPr>
          <w:sz w:val="24"/>
          <w:szCs w:val="24"/>
          <w:lang w:val="en-GB"/>
        </w:rPr>
      </w:pPr>
    </w:p>
    <w:p w14:paraId="6A7846DA" w14:textId="77777777" w:rsidR="00E044E3" w:rsidRPr="00E044E3" w:rsidRDefault="00E044E3" w:rsidP="00E044E3">
      <w:pPr>
        <w:tabs>
          <w:tab w:val="left" w:pos="851"/>
        </w:tabs>
        <w:ind w:left="851"/>
        <w:rPr>
          <w:sz w:val="24"/>
          <w:szCs w:val="24"/>
          <w:u w:val="single"/>
          <w:lang w:val="en-GB"/>
        </w:rPr>
      </w:pPr>
      <w:r w:rsidRPr="00E044E3">
        <w:rPr>
          <w:sz w:val="24"/>
          <w:szCs w:val="24"/>
          <w:u w:val="single"/>
          <w:lang w:val="en-GB"/>
        </w:rPr>
        <w:t>Methotrexate</w:t>
      </w:r>
    </w:p>
    <w:p w14:paraId="2342FECD" w14:textId="77777777" w:rsidR="00E044E3" w:rsidRPr="00E044E3" w:rsidRDefault="00E044E3" w:rsidP="00E044E3">
      <w:pPr>
        <w:tabs>
          <w:tab w:val="left" w:pos="851"/>
        </w:tabs>
        <w:ind w:left="851"/>
        <w:rPr>
          <w:sz w:val="24"/>
          <w:szCs w:val="24"/>
          <w:lang w:val="en-GB"/>
        </w:rPr>
      </w:pPr>
      <w:r w:rsidRPr="00E044E3">
        <w:rPr>
          <w:sz w:val="24"/>
          <w:szCs w:val="24"/>
          <w:lang w:val="en-GB"/>
        </w:rPr>
        <w:t>Severe toxic reaction to methotrexate has been described in one patient who was treated concomitantly with furosemide and penicillin V. These organic acids may inhibit the tubular secretion of methotrexate.</w:t>
      </w:r>
    </w:p>
    <w:p w14:paraId="5C35BDA3" w14:textId="77777777" w:rsidR="00E044E3" w:rsidRPr="00E044E3" w:rsidRDefault="00E044E3" w:rsidP="00E044E3">
      <w:pPr>
        <w:tabs>
          <w:tab w:val="left" w:pos="851"/>
        </w:tabs>
        <w:ind w:left="851"/>
        <w:rPr>
          <w:sz w:val="24"/>
          <w:szCs w:val="24"/>
          <w:lang w:val="en-GB"/>
        </w:rPr>
      </w:pPr>
      <w:r w:rsidRPr="00E044E3">
        <w:rPr>
          <w:sz w:val="24"/>
          <w:szCs w:val="24"/>
          <w:lang w:val="en-GB"/>
        </w:rPr>
        <w:t>This possible interaction has also been described following the combination of methotrexate and mezlocillin and methotrexate and amoxicillin.</w:t>
      </w:r>
    </w:p>
    <w:p w14:paraId="7BE9645B" w14:textId="77777777" w:rsidR="007C5D2A" w:rsidRPr="00E044E3" w:rsidRDefault="007C5D2A" w:rsidP="003E0341">
      <w:pPr>
        <w:tabs>
          <w:tab w:val="left" w:pos="851"/>
        </w:tabs>
        <w:ind w:left="851"/>
        <w:rPr>
          <w:sz w:val="24"/>
          <w:szCs w:val="24"/>
          <w:lang w:val="en-GB"/>
        </w:rPr>
      </w:pPr>
    </w:p>
    <w:p w14:paraId="43BBF28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6CB7714" w14:textId="77777777" w:rsidR="00E044E3" w:rsidRPr="00E044E3" w:rsidRDefault="00E044E3" w:rsidP="00E044E3">
      <w:pPr>
        <w:tabs>
          <w:tab w:val="left" w:pos="851"/>
        </w:tabs>
        <w:ind w:left="851"/>
        <w:rPr>
          <w:sz w:val="24"/>
          <w:szCs w:val="24"/>
          <w:lang w:val="en-GB"/>
        </w:rPr>
      </w:pPr>
    </w:p>
    <w:p w14:paraId="26A41634" w14:textId="77777777" w:rsidR="00E044E3" w:rsidRPr="00E044E3" w:rsidRDefault="00E044E3" w:rsidP="00E044E3">
      <w:pPr>
        <w:tabs>
          <w:tab w:val="left" w:pos="851"/>
        </w:tabs>
        <w:ind w:left="851"/>
        <w:rPr>
          <w:sz w:val="24"/>
          <w:szCs w:val="24"/>
          <w:lang w:val="en-GB"/>
        </w:rPr>
      </w:pPr>
      <w:r w:rsidRPr="00E044E3">
        <w:rPr>
          <w:sz w:val="24"/>
          <w:szCs w:val="24"/>
          <w:u w:val="single"/>
          <w:lang w:val="en-GB"/>
        </w:rPr>
        <w:t>Pregnancy</w:t>
      </w:r>
    </w:p>
    <w:p w14:paraId="7FF49DDB" w14:textId="77777777" w:rsidR="00E044E3" w:rsidRPr="00E044E3" w:rsidRDefault="00E044E3" w:rsidP="00E044E3">
      <w:pPr>
        <w:tabs>
          <w:tab w:val="left" w:pos="851"/>
        </w:tabs>
        <w:ind w:left="851"/>
        <w:rPr>
          <w:sz w:val="24"/>
          <w:szCs w:val="24"/>
          <w:lang w:val="en-GB"/>
        </w:rPr>
      </w:pPr>
      <w:r w:rsidRPr="00E044E3">
        <w:rPr>
          <w:sz w:val="24"/>
          <w:szCs w:val="24"/>
          <w:lang w:val="en-GB"/>
        </w:rPr>
        <w:t>Long clinical experience indicates a low risk of adverse reactions on pregnancy, the foetus or new-born infants. However, there are no extensively controlled studies of pregnant women. This medicinal product can be used during pregnancy if the treating physician considers that the potential benefits outweigh the potential risks for the mother as well as the child.</w:t>
      </w:r>
    </w:p>
    <w:p w14:paraId="6658DA02" w14:textId="77777777" w:rsidR="00E044E3" w:rsidRPr="00E044E3" w:rsidRDefault="00E044E3" w:rsidP="00E044E3">
      <w:pPr>
        <w:tabs>
          <w:tab w:val="left" w:pos="851"/>
        </w:tabs>
        <w:ind w:left="851"/>
        <w:rPr>
          <w:sz w:val="24"/>
          <w:szCs w:val="24"/>
          <w:lang w:val="en-GB"/>
        </w:rPr>
      </w:pPr>
    </w:p>
    <w:p w14:paraId="79B07DE0" w14:textId="77777777" w:rsidR="00E044E3" w:rsidRPr="00E044E3" w:rsidRDefault="00E044E3" w:rsidP="00E044E3">
      <w:pPr>
        <w:tabs>
          <w:tab w:val="left" w:pos="851"/>
        </w:tabs>
        <w:ind w:left="851"/>
        <w:rPr>
          <w:sz w:val="24"/>
          <w:szCs w:val="24"/>
          <w:lang w:val="en-GB"/>
        </w:rPr>
      </w:pPr>
      <w:r w:rsidRPr="00E044E3">
        <w:rPr>
          <w:sz w:val="24"/>
          <w:szCs w:val="24"/>
          <w:u w:val="single"/>
          <w:lang w:val="en-GB"/>
        </w:rPr>
        <w:t>Breast-feeding</w:t>
      </w:r>
    </w:p>
    <w:p w14:paraId="02DA03F3" w14:textId="77777777" w:rsidR="00E044E3" w:rsidRPr="00E044E3" w:rsidRDefault="00E044E3" w:rsidP="00E044E3">
      <w:pPr>
        <w:tabs>
          <w:tab w:val="left" w:pos="851"/>
        </w:tabs>
        <w:ind w:left="851"/>
        <w:rPr>
          <w:sz w:val="24"/>
          <w:szCs w:val="24"/>
          <w:lang w:val="en-GB"/>
        </w:rPr>
      </w:pPr>
      <w:r w:rsidRPr="00E044E3">
        <w:rPr>
          <w:sz w:val="24"/>
          <w:szCs w:val="24"/>
          <w:lang w:val="en-GB"/>
        </w:rPr>
        <w:t>Ampicillin is excreted in human milk in small amounts at therapeutic doses (1μg/ml after injection of 2-4 g of ampicillin). Breast fed infants may therefore suffer hypersensitivity reactions, diarrhoea or mucosal yeast colonisation, which in some cases may necessitate the discontinuation of breastfeeding.</w:t>
      </w:r>
    </w:p>
    <w:p w14:paraId="00D62147" w14:textId="77777777" w:rsidR="00E044E3" w:rsidRPr="00E044E3" w:rsidRDefault="00E044E3" w:rsidP="00E044E3">
      <w:pPr>
        <w:tabs>
          <w:tab w:val="left" w:pos="851"/>
        </w:tabs>
        <w:ind w:left="851"/>
        <w:rPr>
          <w:sz w:val="24"/>
          <w:szCs w:val="24"/>
          <w:lang w:val="en-GB"/>
        </w:rPr>
      </w:pPr>
    </w:p>
    <w:p w14:paraId="31C7436A" w14:textId="77777777" w:rsidR="00E044E3" w:rsidRPr="00E044E3" w:rsidRDefault="00E044E3" w:rsidP="00E044E3">
      <w:pPr>
        <w:tabs>
          <w:tab w:val="left" w:pos="851"/>
        </w:tabs>
        <w:ind w:left="851"/>
        <w:rPr>
          <w:sz w:val="24"/>
          <w:szCs w:val="24"/>
          <w:lang w:val="en-GB"/>
        </w:rPr>
      </w:pPr>
      <w:r w:rsidRPr="00E044E3">
        <w:rPr>
          <w:sz w:val="24"/>
          <w:szCs w:val="24"/>
          <w:u w:val="single"/>
          <w:lang w:val="en-GB"/>
        </w:rPr>
        <w:t>Fertility</w:t>
      </w:r>
    </w:p>
    <w:p w14:paraId="447200D5" w14:textId="77777777" w:rsidR="00E044E3" w:rsidRPr="00E044E3" w:rsidRDefault="00E044E3" w:rsidP="00E044E3">
      <w:pPr>
        <w:tabs>
          <w:tab w:val="left" w:pos="851"/>
        </w:tabs>
        <w:ind w:left="851"/>
        <w:rPr>
          <w:sz w:val="24"/>
          <w:szCs w:val="24"/>
          <w:lang w:val="en-GB"/>
        </w:rPr>
      </w:pPr>
      <w:r w:rsidRPr="00E044E3">
        <w:rPr>
          <w:sz w:val="24"/>
          <w:szCs w:val="24"/>
          <w:lang w:val="en-GB"/>
        </w:rPr>
        <w:t>In animal studies, ampicillin had no effect on fertility.</w:t>
      </w:r>
    </w:p>
    <w:p w14:paraId="6496D570" w14:textId="77777777" w:rsidR="00E044E3" w:rsidRPr="00E044E3" w:rsidRDefault="00E044E3" w:rsidP="00E044E3">
      <w:pPr>
        <w:tabs>
          <w:tab w:val="left" w:pos="851"/>
        </w:tabs>
        <w:ind w:left="851"/>
        <w:rPr>
          <w:sz w:val="24"/>
          <w:szCs w:val="24"/>
          <w:lang w:val="en-GB"/>
        </w:rPr>
      </w:pPr>
    </w:p>
    <w:p w14:paraId="2276AB2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257415C4" w14:textId="77777777" w:rsidR="00E044E3" w:rsidRDefault="00E044E3" w:rsidP="00E044E3">
      <w:pPr>
        <w:tabs>
          <w:tab w:val="left" w:pos="851"/>
        </w:tabs>
        <w:ind w:left="851"/>
        <w:rPr>
          <w:sz w:val="24"/>
          <w:szCs w:val="24"/>
          <w:lang w:val="en-GB"/>
        </w:rPr>
      </w:pPr>
      <w:r>
        <w:rPr>
          <w:sz w:val="24"/>
          <w:szCs w:val="24"/>
          <w:lang w:val="en-GB"/>
        </w:rPr>
        <w:t>No traffic warning.</w:t>
      </w:r>
    </w:p>
    <w:p w14:paraId="123EF41B" w14:textId="5972D577" w:rsidR="00E044E3" w:rsidRPr="00E044E3" w:rsidRDefault="00E044E3" w:rsidP="00E044E3">
      <w:pPr>
        <w:tabs>
          <w:tab w:val="left" w:pos="851"/>
        </w:tabs>
        <w:ind w:left="851"/>
        <w:rPr>
          <w:sz w:val="24"/>
          <w:szCs w:val="24"/>
          <w:lang w:val="en-GB"/>
        </w:rPr>
      </w:pPr>
      <w:r w:rsidRPr="00E044E3">
        <w:rPr>
          <w:sz w:val="24"/>
          <w:szCs w:val="24"/>
          <w:lang w:val="en-GB"/>
        </w:rPr>
        <w:t>Rotacin has no or negligible effect on the ability to drive and use machines.</w:t>
      </w:r>
    </w:p>
    <w:p w14:paraId="5D577ACC" w14:textId="77777777" w:rsidR="007C5D2A" w:rsidRPr="00E044E3" w:rsidRDefault="007C5D2A" w:rsidP="003E0341">
      <w:pPr>
        <w:tabs>
          <w:tab w:val="left" w:pos="851"/>
        </w:tabs>
        <w:ind w:left="851"/>
        <w:rPr>
          <w:sz w:val="24"/>
          <w:szCs w:val="24"/>
          <w:lang w:val="en-GB"/>
        </w:rPr>
      </w:pPr>
    </w:p>
    <w:p w14:paraId="000EBDF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2493F6ED" w14:textId="77777777" w:rsidR="007C198F" w:rsidRPr="007C198F" w:rsidRDefault="007C198F" w:rsidP="007C198F">
      <w:pPr>
        <w:ind w:left="851"/>
        <w:rPr>
          <w:sz w:val="24"/>
          <w:szCs w:val="24"/>
          <w:lang w:val="en-US"/>
        </w:rPr>
      </w:pPr>
      <w:r w:rsidRPr="007C198F">
        <w:rPr>
          <w:lang w:val="en-US"/>
        </w:rPr>
        <w:t xml:space="preserve">Adverse reactions are classified as follows: Very common (≥1/10), Common (≥ 1/100 to &lt; 1/10), </w:t>
      </w:r>
      <w:r w:rsidRPr="007C198F">
        <w:rPr>
          <w:sz w:val="24"/>
          <w:szCs w:val="24"/>
          <w:lang w:val="en-US"/>
        </w:rPr>
        <w:t>Uncommon (≥ 1/1,000 to &lt;1/100), Rare (≥1/10,000 to &lt;1/1,000), Very rare (&lt;1/10,000), not known (frequency cannot be estimated from the available data).</w:t>
      </w:r>
    </w:p>
    <w:p w14:paraId="5B749EA3" w14:textId="77777777" w:rsidR="007C198F" w:rsidRPr="007C198F" w:rsidRDefault="007C198F" w:rsidP="007C198F">
      <w:pPr>
        <w:ind w:left="851"/>
        <w:rPr>
          <w:sz w:val="24"/>
          <w:szCs w:val="24"/>
          <w:lang w:val="en-US"/>
        </w:rPr>
      </w:pPr>
    </w:p>
    <w:p w14:paraId="23F6CA6E" w14:textId="31A8232B" w:rsidR="007C198F" w:rsidRPr="007C198F" w:rsidRDefault="007C198F" w:rsidP="007C198F">
      <w:pPr>
        <w:ind w:left="851"/>
        <w:rPr>
          <w:sz w:val="24"/>
          <w:szCs w:val="24"/>
          <w:lang w:val="en-US"/>
        </w:rPr>
      </w:pPr>
      <w:r w:rsidRPr="007C198F">
        <w:rPr>
          <w:sz w:val="24"/>
          <w:szCs w:val="24"/>
          <w:lang w:val="en-US"/>
        </w:rPr>
        <w:t>The most common is rash that occurs in about 5</w:t>
      </w:r>
      <w:r>
        <w:rPr>
          <w:sz w:val="24"/>
          <w:szCs w:val="24"/>
          <w:lang w:val="en-US"/>
        </w:rPr>
        <w:t xml:space="preserve"> </w:t>
      </w:r>
      <w:r w:rsidRPr="007C198F">
        <w:rPr>
          <w:sz w:val="24"/>
          <w:szCs w:val="24"/>
          <w:lang w:val="en-US"/>
        </w:rPr>
        <w:t>% of treated patients.</w:t>
      </w:r>
    </w:p>
    <w:p w14:paraId="4DC09110" w14:textId="77777777" w:rsidR="007C198F" w:rsidRPr="007C198F" w:rsidRDefault="007C198F" w:rsidP="007C198F">
      <w:pPr>
        <w:ind w:left="851"/>
        <w:rPr>
          <w:sz w:val="24"/>
          <w:szCs w:val="24"/>
          <w:lang w:val="en-US"/>
        </w:rPr>
      </w:pPr>
    </w:p>
    <w:tbl>
      <w:tblPr>
        <w:tblStyle w:val="Tabel-Gitter"/>
        <w:tblW w:w="0" w:type="auto"/>
        <w:tblInd w:w="0" w:type="dxa"/>
        <w:tblLook w:val="04A0" w:firstRow="1" w:lastRow="0" w:firstColumn="1" w:lastColumn="0" w:noHBand="0" w:noVBand="1"/>
      </w:tblPr>
      <w:tblGrid>
        <w:gridCol w:w="3020"/>
        <w:gridCol w:w="1475"/>
        <w:gridCol w:w="4566"/>
      </w:tblGrid>
      <w:tr w:rsidR="007C198F" w14:paraId="59EAE64A" w14:textId="77777777" w:rsidTr="007C198F">
        <w:trPr>
          <w:tblHeader/>
        </w:trPr>
        <w:tc>
          <w:tcPr>
            <w:tcW w:w="3020" w:type="dxa"/>
            <w:tcBorders>
              <w:top w:val="single" w:sz="4" w:space="0" w:color="auto"/>
              <w:left w:val="single" w:sz="4" w:space="0" w:color="auto"/>
              <w:bottom w:val="single" w:sz="4" w:space="0" w:color="auto"/>
              <w:right w:val="single" w:sz="4" w:space="0" w:color="auto"/>
            </w:tcBorders>
            <w:hideMark/>
          </w:tcPr>
          <w:p w14:paraId="6F89E801" w14:textId="77777777" w:rsidR="007C198F" w:rsidRDefault="007C198F">
            <w:pPr>
              <w:rPr>
                <w:i/>
                <w:iCs/>
              </w:rPr>
            </w:pPr>
            <w:r>
              <w:rPr>
                <w:i/>
                <w:iCs/>
              </w:rPr>
              <w:t>System organ class</w:t>
            </w:r>
          </w:p>
        </w:tc>
        <w:tc>
          <w:tcPr>
            <w:tcW w:w="1475" w:type="dxa"/>
            <w:tcBorders>
              <w:top w:val="single" w:sz="4" w:space="0" w:color="auto"/>
              <w:left w:val="single" w:sz="4" w:space="0" w:color="auto"/>
              <w:bottom w:val="single" w:sz="4" w:space="0" w:color="auto"/>
              <w:right w:val="single" w:sz="4" w:space="0" w:color="auto"/>
            </w:tcBorders>
            <w:hideMark/>
          </w:tcPr>
          <w:p w14:paraId="18965C5C" w14:textId="77777777" w:rsidR="007C198F" w:rsidRDefault="007C198F">
            <w:pPr>
              <w:rPr>
                <w:i/>
                <w:iCs/>
              </w:rPr>
            </w:pPr>
            <w:r>
              <w:rPr>
                <w:i/>
                <w:iCs/>
              </w:rPr>
              <w:t>Frequency</w:t>
            </w:r>
          </w:p>
        </w:tc>
        <w:tc>
          <w:tcPr>
            <w:tcW w:w="4566" w:type="dxa"/>
            <w:tcBorders>
              <w:top w:val="single" w:sz="4" w:space="0" w:color="auto"/>
              <w:left w:val="single" w:sz="4" w:space="0" w:color="auto"/>
              <w:bottom w:val="single" w:sz="4" w:space="0" w:color="auto"/>
              <w:right w:val="single" w:sz="4" w:space="0" w:color="auto"/>
            </w:tcBorders>
            <w:hideMark/>
          </w:tcPr>
          <w:p w14:paraId="5B6201C6" w14:textId="77777777" w:rsidR="007C198F" w:rsidRDefault="007C198F">
            <w:pPr>
              <w:rPr>
                <w:i/>
                <w:iCs/>
              </w:rPr>
            </w:pPr>
            <w:r>
              <w:rPr>
                <w:i/>
                <w:iCs/>
              </w:rPr>
              <w:t>Adverse reactions</w:t>
            </w:r>
          </w:p>
        </w:tc>
      </w:tr>
      <w:tr w:rsidR="007C198F" w14:paraId="74FC3EDF" w14:textId="77777777" w:rsidTr="007C198F">
        <w:tc>
          <w:tcPr>
            <w:tcW w:w="3020" w:type="dxa"/>
            <w:tcBorders>
              <w:top w:val="single" w:sz="4" w:space="0" w:color="auto"/>
              <w:left w:val="single" w:sz="4" w:space="0" w:color="auto"/>
              <w:bottom w:val="single" w:sz="4" w:space="0" w:color="auto"/>
              <w:right w:val="single" w:sz="4" w:space="0" w:color="auto"/>
            </w:tcBorders>
            <w:hideMark/>
          </w:tcPr>
          <w:p w14:paraId="23918B29" w14:textId="77777777" w:rsidR="007C198F" w:rsidRDefault="007C198F">
            <w:r>
              <w:t>Infections and infestations</w:t>
            </w:r>
          </w:p>
        </w:tc>
        <w:tc>
          <w:tcPr>
            <w:tcW w:w="1475" w:type="dxa"/>
            <w:tcBorders>
              <w:top w:val="single" w:sz="4" w:space="0" w:color="auto"/>
              <w:left w:val="single" w:sz="4" w:space="0" w:color="auto"/>
              <w:bottom w:val="single" w:sz="4" w:space="0" w:color="auto"/>
              <w:right w:val="single" w:sz="4" w:space="0" w:color="auto"/>
            </w:tcBorders>
            <w:hideMark/>
          </w:tcPr>
          <w:p w14:paraId="21947B6A" w14:textId="77777777" w:rsidR="007C198F" w:rsidRDefault="007C198F">
            <w:r>
              <w:t>Uncommon</w:t>
            </w:r>
          </w:p>
        </w:tc>
        <w:tc>
          <w:tcPr>
            <w:tcW w:w="4566" w:type="dxa"/>
            <w:tcBorders>
              <w:top w:val="single" w:sz="4" w:space="0" w:color="auto"/>
              <w:left w:val="single" w:sz="4" w:space="0" w:color="auto"/>
              <w:bottom w:val="single" w:sz="4" w:space="0" w:color="auto"/>
              <w:right w:val="single" w:sz="4" w:space="0" w:color="auto"/>
            </w:tcBorders>
            <w:hideMark/>
          </w:tcPr>
          <w:p w14:paraId="584F4AFA" w14:textId="77777777" w:rsidR="007C198F" w:rsidRDefault="007C198F">
            <w:r>
              <w:t>pseudomembranous colitis</w:t>
            </w:r>
          </w:p>
        </w:tc>
      </w:tr>
      <w:tr w:rsidR="007C198F" w:rsidRPr="00BE12A3" w14:paraId="42EB34B5" w14:textId="77777777" w:rsidTr="007C198F">
        <w:tc>
          <w:tcPr>
            <w:tcW w:w="3020" w:type="dxa"/>
            <w:tcBorders>
              <w:top w:val="single" w:sz="4" w:space="0" w:color="auto"/>
              <w:left w:val="single" w:sz="4" w:space="0" w:color="auto"/>
              <w:bottom w:val="single" w:sz="4" w:space="0" w:color="auto"/>
              <w:right w:val="single" w:sz="4" w:space="0" w:color="auto"/>
            </w:tcBorders>
            <w:hideMark/>
          </w:tcPr>
          <w:p w14:paraId="0C04D9FD" w14:textId="77777777" w:rsidR="007C198F" w:rsidRDefault="007C198F">
            <w:r>
              <w:t>Blood and lymphatic system disorders</w:t>
            </w:r>
          </w:p>
        </w:tc>
        <w:tc>
          <w:tcPr>
            <w:tcW w:w="1475" w:type="dxa"/>
            <w:tcBorders>
              <w:top w:val="single" w:sz="4" w:space="0" w:color="auto"/>
              <w:left w:val="single" w:sz="4" w:space="0" w:color="auto"/>
              <w:bottom w:val="single" w:sz="4" w:space="0" w:color="auto"/>
              <w:right w:val="single" w:sz="4" w:space="0" w:color="auto"/>
            </w:tcBorders>
            <w:hideMark/>
          </w:tcPr>
          <w:p w14:paraId="312B84D2" w14:textId="77777777" w:rsidR="007C198F" w:rsidRDefault="007C198F">
            <w:r>
              <w:t>Uncommon</w:t>
            </w:r>
          </w:p>
        </w:tc>
        <w:tc>
          <w:tcPr>
            <w:tcW w:w="4566" w:type="dxa"/>
            <w:tcBorders>
              <w:top w:val="single" w:sz="4" w:space="0" w:color="auto"/>
              <w:left w:val="single" w:sz="4" w:space="0" w:color="auto"/>
              <w:bottom w:val="single" w:sz="4" w:space="0" w:color="auto"/>
              <w:right w:val="single" w:sz="4" w:space="0" w:color="auto"/>
            </w:tcBorders>
            <w:hideMark/>
          </w:tcPr>
          <w:p w14:paraId="6D9331D2" w14:textId="77777777" w:rsidR="007C198F" w:rsidRDefault="007C198F">
            <w:r>
              <w:t>anemia, thrombocytopenia, eosinophilia, leukopenia and agranulocytosis</w:t>
            </w:r>
          </w:p>
        </w:tc>
      </w:tr>
      <w:tr w:rsidR="007C198F" w14:paraId="60AD9A1C" w14:textId="77777777" w:rsidTr="007C198F">
        <w:tc>
          <w:tcPr>
            <w:tcW w:w="3020" w:type="dxa"/>
            <w:tcBorders>
              <w:top w:val="single" w:sz="4" w:space="0" w:color="auto"/>
              <w:left w:val="single" w:sz="4" w:space="0" w:color="auto"/>
              <w:bottom w:val="single" w:sz="4" w:space="0" w:color="auto"/>
              <w:right w:val="single" w:sz="4" w:space="0" w:color="auto"/>
            </w:tcBorders>
            <w:hideMark/>
          </w:tcPr>
          <w:p w14:paraId="5451E17D" w14:textId="77777777" w:rsidR="007C198F" w:rsidRDefault="007C198F">
            <w:r>
              <w:t>Immune system disorders</w:t>
            </w:r>
          </w:p>
        </w:tc>
        <w:tc>
          <w:tcPr>
            <w:tcW w:w="1475" w:type="dxa"/>
            <w:tcBorders>
              <w:top w:val="single" w:sz="4" w:space="0" w:color="auto"/>
              <w:left w:val="single" w:sz="4" w:space="0" w:color="auto"/>
              <w:bottom w:val="single" w:sz="4" w:space="0" w:color="auto"/>
              <w:right w:val="single" w:sz="4" w:space="0" w:color="auto"/>
            </w:tcBorders>
            <w:hideMark/>
          </w:tcPr>
          <w:p w14:paraId="64445B2A" w14:textId="77777777" w:rsidR="007C198F" w:rsidRDefault="007C198F">
            <w:r>
              <w:t>Rare</w:t>
            </w:r>
          </w:p>
        </w:tc>
        <w:tc>
          <w:tcPr>
            <w:tcW w:w="4566" w:type="dxa"/>
            <w:tcBorders>
              <w:top w:val="single" w:sz="4" w:space="0" w:color="auto"/>
              <w:left w:val="single" w:sz="4" w:space="0" w:color="auto"/>
              <w:bottom w:val="single" w:sz="4" w:space="0" w:color="auto"/>
              <w:right w:val="single" w:sz="4" w:space="0" w:color="auto"/>
            </w:tcBorders>
            <w:hideMark/>
          </w:tcPr>
          <w:p w14:paraId="2D6A4389" w14:textId="77777777" w:rsidR="007C198F" w:rsidRDefault="007C198F">
            <w:r>
              <w:t>anaphylactic reaction</w:t>
            </w:r>
          </w:p>
        </w:tc>
      </w:tr>
      <w:tr w:rsidR="007C198F" w14:paraId="6B3E22B1" w14:textId="77777777" w:rsidTr="007C198F">
        <w:tc>
          <w:tcPr>
            <w:tcW w:w="3020" w:type="dxa"/>
            <w:vMerge w:val="restart"/>
            <w:tcBorders>
              <w:top w:val="single" w:sz="4" w:space="0" w:color="auto"/>
              <w:left w:val="single" w:sz="4" w:space="0" w:color="auto"/>
              <w:bottom w:val="single" w:sz="4" w:space="0" w:color="auto"/>
              <w:right w:val="single" w:sz="4" w:space="0" w:color="auto"/>
            </w:tcBorders>
            <w:hideMark/>
          </w:tcPr>
          <w:p w14:paraId="7EFE1EFA" w14:textId="77777777" w:rsidR="007C198F" w:rsidRDefault="007C198F">
            <w:r>
              <w:t>Gastrointestinal disorders</w:t>
            </w:r>
          </w:p>
        </w:tc>
        <w:tc>
          <w:tcPr>
            <w:tcW w:w="1475" w:type="dxa"/>
            <w:tcBorders>
              <w:top w:val="single" w:sz="4" w:space="0" w:color="auto"/>
              <w:left w:val="single" w:sz="4" w:space="0" w:color="auto"/>
              <w:bottom w:val="single" w:sz="4" w:space="0" w:color="auto"/>
              <w:right w:val="single" w:sz="4" w:space="0" w:color="auto"/>
            </w:tcBorders>
            <w:hideMark/>
          </w:tcPr>
          <w:p w14:paraId="75F751DB" w14:textId="77777777" w:rsidR="007C198F" w:rsidRDefault="007C198F">
            <w:r>
              <w:t>Common</w:t>
            </w:r>
          </w:p>
        </w:tc>
        <w:tc>
          <w:tcPr>
            <w:tcW w:w="4566" w:type="dxa"/>
            <w:tcBorders>
              <w:top w:val="single" w:sz="4" w:space="0" w:color="auto"/>
              <w:left w:val="single" w:sz="4" w:space="0" w:color="auto"/>
              <w:bottom w:val="single" w:sz="4" w:space="0" w:color="auto"/>
              <w:right w:val="single" w:sz="4" w:space="0" w:color="auto"/>
            </w:tcBorders>
            <w:hideMark/>
          </w:tcPr>
          <w:p w14:paraId="2C0C3446" w14:textId="77777777" w:rsidR="007C198F" w:rsidRDefault="007C198F">
            <w:r>
              <w:t>loose stools</w:t>
            </w:r>
          </w:p>
        </w:tc>
      </w:tr>
      <w:tr w:rsidR="007C198F" w14:paraId="199457C9" w14:textId="77777777" w:rsidTr="007C198F">
        <w:tc>
          <w:tcPr>
            <w:tcW w:w="0" w:type="auto"/>
            <w:vMerge/>
            <w:tcBorders>
              <w:top w:val="single" w:sz="4" w:space="0" w:color="auto"/>
              <w:left w:val="single" w:sz="4" w:space="0" w:color="auto"/>
              <w:bottom w:val="single" w:sz="4" w:space="0" w:color="auto"/>
              <w:right w:val="single" w:sz="4" w:space="0" w:color="auto"/>
            </w:tcBorders>
            <w:vAlign w:val="center"/>
            <w:hideMark/>
          </w:tcPr>
          <w:p w14:paraId="49C5C228" w14:textId="77777777" w:rsidR="007C198F" w:rsidRDefault="007C198F">
            <w:pPr>
              <w:rPr>
                <w:rFonts w:eastAsia="Times New Roman"/>
                <w:sz w:val="22"/>
                <w:lang w:eastAsia="en-US"/>
              </w:rPr>
            </w:pPr>
          </w:p>
        </w:tc>
        <w:tc>
          <w:tcPr>
            <w:tcW w:w="1475" w:type="dxa"/>
            <w:tcBorders>
              <w:top w:val="single" w:sz="4" w:space="0" w:color="auto"/>
              <w:left w:val="single" w:sz="4" w:space="0" w:color="auto"/>
              <w:bottom w:val="single" w:sz="4" w:space="0" w:color="auto"/>
              <w:right w:val="single" w:sz="4" w:space="0" w:color="auto"/>
            </w:tcBorders>
            <w:hideMark/>
          </w:tcPr>
          <w:p w14:paraId="42B65B10" w14:textId="77777777" w:rsidR="007C198F" w:rsidRDefault="007C198F">
            <w:r>
              <w:t>Uncommon</w:t>
            </w:r>
          </w:p>
        </w:tc>
        <w:tc>
          <w:tcPr>
            <w:tcW w:w="4566" w:type="dxa"/>
            <w:tcBorders>
              <w:top w:val="single" w:sz="4" w:space="0" w:color="auto"/>
              <w:left w:val="single" w:sz="4" w:space="0" w:color="auto"/>
              <w:bottom w:val="single" w:sz="4" w:space="0" w:color="auto"/>
              <w:right w:val="single" w:sz="4" w:space="0" w:color="auto"/>
            </w:tcBorders>
            <w:hideMark/>
          </w:tcPr>
          <w:p w14:paraId="68D0492E" w14:textId="77777777" w:rsidR="007C198F" w:rsidRDefault="007C198F">
            <w:r>
              <w:t>glossitis, stomatitis, nausea, vomiting, enterocolitis, diarrhea</w:t>
            </w:r>
          </w:p>
        </w:tc>
      </w:tr>
      <w:tr w:rsidR="007C198F" w14:paraId="17533550" w14:textId="77777777" w:rsidTr="007C198F">
        <w:tc>
          <w:tcPr>
            <w:tcW w:w="3020" w:type="dxa"/>
            <w:vMerge w:val="restart"/>
            <w:tcBorders>
              <w:top w:val="single" w:sz="4" w:space="0" w:color="auto"/>
              <w:left w:val="single" w:sz="4" w:space="0" w:color="auto"/>
              <w:bottom w:val="single" w:sz="4" w:space="0" w:color="auto"/>
              <w:right w:val="single" w:sz="4" w:space="0" w:color="auto"/>
            </w:tcBorders>
            <w:hideMark/>
          </w:tcPr>
          <w:p w14:paraId="6AF866F9" w14:textId="77777777" w:rsidR="007C198F" w:rsidRDefault="007C198F">
            <w:r>
              <w:t>Skin and subcutaneous tissue disorders</w:t>
            </w:r>
          </w:p>
        </w:tc>
        <w:tc>
          <w:tcPr>
            <w:tcW w:w="1475" w:type="dxa"/>
            <w:tcBorders>
              <w:top w:val="single" w:sz="4" w:space="0" w:color="auto"/>
              <w:left w:val="single" w:sz="4" w:space="0" w:color="auto"/>
              <w:bottom w:val="single" w:sz="4" w:space="0" w:color="auto"/>
              <w:right w:val="single" w:sz="4" w:space="0" w:color="auto"/>
            </w:tcBorders>
            <w:hideMark/>
          </w:tcPr>
          <w:p w14:paraId="56935E0F" w14:textId="77777777" w:rsidR="007C198F" w:rsidRDefault="007C198F">
            <w:r>
              <w:t>Common</w:t>
            </w:r>
          </w:p>
        </w:tc>
        <w:tc>
          <w:tcPr>
            <w:tcW w:w="4566" w:type="dxa"/>
            <w:tcBorders>
              <w:top w:val="single" w:sz="4" w:space="0" w:color="auto"/>
              <w:left w:val="single" w:sz="4" w:space="0" w:color="auto"/>
              <w:bottom w:val="single" w:sz="4" w:space="0" w:color="auto"/>
              <w:right w:val="single" w:sz="4" w:space="0" w:color="auto"/>
            </w:tcBorders>
            <w:hideMark/>
          </w:tcPr>
          <w:p w14:paraId="6E8C4C2C" w14:textId="77777777" w:rsidR="007C198F" w:rsidRDefault="007C198F">
            <w:r>
              <w:t>exanthema</w:t>
            </w:r>
          </w:p>
        </w:tc>
      </w:tr>
      <w:tr w:rsidR="007C198F" w14:paraId="2D4C3892" w14:textId="77777777" w:rsidTr="007C198F">
        <w:tc>
          <w:tcPr>
            <w:tcW w:w="0" w:type="auto"/>
            <w:vMerge/>
            <w:tcBorders>
              <w:top w:val="single" w:sz="4" w:space="0" w:color="auto"/>
              <w:left w:val="single" w:sz="4" w:space="0" w:color="auto"/>
              <w:bottom w:val="single" w:sz="4" w:space="0" w:color="auto"/>
              <w:right w:val="single" w:sz="4" w:space="0" w:color="auto"/>
            </w:tcBorders>
            <w:vAlign w:val="center"/>
            <w:hideMark/>
          </w:tcPr>
          <w:p w14:paraId="6E310551" w14:textId="77777777" w:rsidR="007C198F" w:rsidRDefault="007C198F">
            <w:pPr>
              <w:rPr>
                <w:rFonts w:eastAsia="Times New Roman"/>
                <w:sz w:val="22"/>
                <w:lang w:eastAsia="en-US"/>
              </w:rPr>
            </w:pPr>
          </w:p>
        </w:tc>
        <w:tc>
          <w:tcPr>
            <w:tcW w:w="1475" w:type="dxa"/>
            <w:tcBorders>
              <w:top w:val="single" w:sz="4" w:space="0" w:color="auto"/>
              <w:left w:val="single" w:sz="4" w:space="0" w:color="auto"/>
              <w:bottom w:val="single" w:sz="4" w:space="0" w:color="auto"/>
              <w:right w:val="single" w:sz="4" w:space="0" w:color="auto"/>
            </w:tcBorders>
            <w:hideMark/>
          </w:tcPr>
          <w:p w14:paraId="69A5EAA9" w14:textId="77777777" w:rsidR="007C198F" w:rsidRDefault="007C198F">
            <w:r>
              <w:t>Uncommon</w:t>
            </w:r>
          </w:p>
        </w:tc>
        <w:tc>
          <w:tcPr>
            <w:tcW w:w="4566" w:type="dxa"/>
            <w:tcBorders>
              <w:top w:val="single" w:sz="4" w:space="0" w:color="auto"/>
              <w:left w:val="single" w:sz="4" w:space="0" w:color="auto"/>
              <w:bottom w:val="single" w:sz="4" w:space="0" w:color="auto"/>
              <w:right w:val="single" w:sz="4" w:space="0" w:color="auto"/>
            </w:tcBorders>
            <w:hideMark/>
          </w:tcPr>
          <w:p w14:paraId="1D284783" w14:textId="77777777" w:rsidR="007C198F" w:rsidRDefault="007C198F">
            <w:r>
              <w:t>urticaria</w:t>
            </w:r>
          </w:p>
        </w:tc>
      </w:tr>
      <w:tr w:rsidR="007C198F" w14:paraId="56746D3D" w14:textId="77777777" w:rsidTr="007C198F">
        <w:tc>
          <w:tcPr>
            <w:tcW w:w="0" w:type="auto"/>
            <w:vMerge/>
            <w:tcBorders>
              <w:top w:val="single" w:sz="4" w:space="0" w:color="auto"/>
              <w:left w:val="single" w:sz="4" w:space="0" w:color="auto"/>
              <w:bottom w:val="single" w:sz="4" w:space="0" w:color="auto"/>
              <w:right w:val="single" w:sz="4" w:space="0" w:color="auto"/>
            </w:tcBorders>
            <w:vAlign w:val="center"/>
            <w:hideMark/>
          </w:tcPr>
          <w:p w14:paraId="6022F38E" w14:textId="77777777" w:rsidR="007C198F" w:rsidRDefault="007C198F">
            <w:pPr>
              <w:rPr>
                <w:rFonts w:eastAsia="Times New Roman"/>
                <w:sz w:val="22"/>
                <w:lang w:eastAsia="en-US"/>
              </w:rPr>
            </w:pPr>
          </w:p>
        </w:tc>
        <w:tc>
          <w:tcPr>
            <w:tcW w:w="1475" w:type="dxa"/>
            <w:tcBorders>
              <w:top w:val="single" w:sz="4" w:space="0" w:color="auto"/>
              <w:left w:val="single" w:sz="4" w:space="0" w:color="auto"/>
              <w:bottom w:val="single" w:sz="4" w:space="0" w:color="auto"/>
              <w:right w:val="single" w:sz="4" w:space="0" w:color="auto"/>
            </w:tcBorders>
            <w:hideMark/>
          </w:tcPr>
          <w:p w14:paraId="37E68978" w14:textId="77777777" w:rsidR="007C198F" w:rsidRDefault="007C198F">
            <w:r>
              <w:t>Rare</w:t>
            </w:r>
          </w:p>
        </w:tc>
        <w:tc>
          <w:tcPr>
            <w:tcW w:w="4566" w:type="dxa"/>
            <w:tcBorders>
              <w:top w:val="single" w:sz="4" w:space="0" w:color="auto"/>
              <w:left w:val="single" w:sz="4" w:space="0" w:color="auto"/>
              <w:bottom w:val="single" w:sz="4" w:space="0" w:color="auto"/>
              <w:right w:val="single" w:sz="4" w:space="0" w:color="auto"/>
            </w:tcBorders>
            <w:hideMark/>
          </w:tcPr>
          <w:p w14:paraId="2234963D" w14:textId="77777777" w:rsidR="007C198F" w:rsidRDefault="007C198F">
            <w:r>
              <w:t>exfoliative dermatitis and erythema multiformae</w:t>
            </w:r>
          </w:p>
        </w:tc>
      </w:tr>
    </w:tbl>
    <w:p w14:paraId="4B8F9726" w14:textId="77777777" w:rsidR="007C198F" w:rsidRPr="007C198F" w:rsidRDefault="007C198F" w:rsidP="007C198F">
      <w:pPr>
        <w:ind w:left="851"/>
        <w:rPr>
          <w:sz w:val="24"/>
          <w:szCs w:val="24"/>
          <w:lang w:val="en-GB" w:eastAsia="en-US"/>
        </w:rPr>
      </w:pPr>
    </w:p>
    <w:p w14:paraId="5EA66C69" w14:textId="77777777" w:rsidR="007C198F" w:rsidRPr="007C198F" w:rsidRDefault="007C198F" w:rsidP="007C198F">
      <w:pPr>
        <w:ind w:left="851"/>
        <w:rPr>
          <w:sz w:val="24"/>
          <w:szCs w:val="24"/>
          <w:lang w:val="en-US"/>
        </w:rPr>
      </w:pPr>
      <w:r w:rsidRPr="007C198F">
        <w:rPr>
          <w:sz w:val="24"/>
          <w:szCs w:val="24"/>
          <w:lang w:val="en-US"/>
        </w:rPr>
        <w:t>Local pain may occur during intramuscular injection.</w:t>
      </w:r>
    </w:p>
    <w:p w14:paraId="3199EFA8" w14:textId="77777777" w:rsidR="007C198F" w:rsidRPr="007C198F" w:rsidRDefault="007C198F" w:rsidP="007C198F">
      <w:pPr>
        <w:ind w:left="851"/>
        <w:rPr>
          <w:sz w:val="24"/>
          <w:szCs w:val="24"/>
          <w:lang w:val="en-US"/>
        </w:rPr>
      </w:pPr>
      <w:r w:rsidRPr="007C198F">
        <w:rPr>
          <w:sz w:val="24"/>
          <w:szCs w:val="24"/>
          <w:lang w:val="en-US"/>
        </w:rPr>
        <w:t>In the case of mononucleosis infection, the occurrence of exanthema is high. There is also an increased incidence of exanthema observed in leukemia.</w:t>
      </w:r>
    </w:p>
    <w:p w14:paraId="798BCF01" w14:textId="77777777" w:rsidR="007C198F" w:rsidRPr="007C198F" w:rsidRDefault="007C198F" w:rsidP="007C198F">
      <w:pPr>
        <w:ind w:left="851"/>
        <w:rPr>
          <w:sz w:val="24"/>
          <w:szCs w:val="24"/>
          <w:lang w:val="en-US"/>
        </w:rPr>
      </w:pPr>
      <w:r w:rsidRPr="007C198F">
        <w:rPr>
          <w:sz w:val="24"/>
          <w:szCs w:val="24"/>
          <w:lang w:val="en-US"/>
        </w:rPr>
        <w:t>An increased frequency of rash has also been observed in leukemia.</w:t>
      </w:r>
    </w:p>
    <w:p w14:paraId="03914471" w14:textId="77777777" w:rsidR="007C198F" w:rsidRPr="007C198F" w:rsidRDefault="007C198F" w:rsidP="007C198F">
      <w:pPr>
        <w:ind w:left="851"/>
        <w:rPr>
          <w:sz w:val="24"/>
          <w:szCs w:val="24"/>
          <w:lang w:val="en-US"/>
        </w:rPr>
      </w:pPr>
      <w:r w:rsidRPr="007C198F">
        <w:rPr>
          <w:sz w:val="24"/>
          <w:szCs w:val="24"/>
          <w:lang w:val="en-US"/>
        </w:rPr>
        <w:t>Elevated AST values have been shown to occur due to local release at the injection site and does not necessarily indicate liver involvement.</w:t>
      </w:r>
    </w:p>
    <w:p w14:paraId="76FB45E4" w14:textId="77777777" w:rsidR="007C198F" w:rsidRPr="007C198F" w:rsidRDefault="007C198F" w:rsidP="007C198F">
      <w:pPr>
        <w:ind w:left="851"/>
        <w:rPr>
          <w:sz w:val="24"/>
          <w:szCs w:val="24"/>
          <w:lang w:val="en-US"/>
        </w:rPr>
      </w:pPr>
      <w:r w:rsidRPr="007C198F">
        <w:rPr>
          <w:sz w:val="24"/>
          <w:szCs w:val="24"/>
          <w:lang w:val="en-US"/>
        </w:rPr>
        <w:t>For treatment of anaphylactic reaction, see section 4.9.</w:t>
      </w:r>
    </w:p>
    <w:p w14:paraId="20B5276D" w14:textId="77777777" w:rsidR="007C198F" w:rsidRPr="007C198F" w:rsidRDefault="007C198F" w:rsidP="007C198F">
      <w:pPr>
        <w:ind w:left="851"/>
        <w:rPr>
          <w:sz w:val="24"/>
          <w:szCs w:val="24"/>
          <w:lang w:val="en-US"/>
        </w:rPr>
      </w:pPr>
    </w:p>
    <w:p w14:paraId="60B65424" w14:textId="77777777" w:rsidR="007C198F" w:rsidRPr="007C198F" w:rsidRDefault="007C198F" w:rsidP="007C198F">
      <w:pPr>
        <w:ind w:left="851"/>
        <w:rPr>
          <w:sz w:val="24"/>
          <w:szCs w:val="24"/>
          <w:u w:val="single"/>
          <w:lang w:val="en-US"/>
        </w:rPr>
      </w:pPr>
      <w:r w:rsidRPr="007C198F">
        <w:rPr>
          <w:sz w:val="24"/>
          <w:szCs w:val="24"/>
          <w:u w:val="single"/>
          <w:lang w:val="en-US"/>
        </w:rPr>
        <w:t>Reporting of suspected adverse reactions</w:t>
      </w:r>
    </w:p>
    <w:p w14:paraId="53C69610" w14:textId="77777777" w:rsidR="007C198F" w:rsidRDefault="007C198F" w:rsidP="007C198F">
      <w:pPr>
        <w:ind w:left="851"/>
        <w:rPr>
          <w:sz w:val="24"/>
          <w:szCs w:val="24"/>
          <w:lang w:val="en-US"/>
        </w:rPr>
      </w:pPr>
      <w:r w:rsidRPr="007C198F">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14:paraId="02FDE6F6" w14:textId="77777777" w:rsidR="007C198F" w:rsidRDefault="007C198F" w:rsidP="007C198F">
      <w:pPr>
        <w:ind w:left="851"/>
        <w:rPr>
          <w:sz w:val="24"/>
          <w:szCs w:val="24"/>
          <w:lang w:val="en-US"/>
        </w:rPr>
      </w:pPr>
    </w:p>
    <w:p w14:paraId="16508BD8" w14:textId="77777777" w:rsidR="007C198F" w:rsidRPr="007C198F" w:rsidRDefault="007C198F" w:rsidP="007C198F">
      <w:pPr>
        <w:tabs>
          <w:tab w:val="left" w:pos="851"/>
        </w:tabs>
        <w:ind w:left="851"/>
        <w:rPr>
          <w:sz w:val="24"/>
          <w:szCs w:val="24"/>
        </w:rPr>
      </w:pPr>
      <w:bookmarkStart w:id="4" w:name="_Hlk117501544"/>
      <w:bookmarkStart w:id="5" w:name="_Hlk112664459"/>
      <w:r w:rsidRPr="007C198F">
        <w:rPr>
          <w:sz w:val="24"/>
          <w:szCs w:val="24"/>
        </w:rPr>
        <w:t>Lægemiddelstyrelsen</w:t>
      </w:r>
    </w:p>
    <w:p w14:paraId="2B119FC8" w14:textId="77777777" w:rsidR="007C198F" w:rsidRPr="007C198F" w:rsidRDefault="007C198F" w:rsidP="007C198F">
      <w:pPr>
        <w:tabs>
          <w:tab w:val="left" w:pos="851"/>
        </w:tabs>
        <w:ind w:left="851"/>
        <w:rPr>
          <w:sz w:val="24"/>
          <w:szCs w:val="24"/>
        </w:rPr>
      </w:pPr>
      <w:bookmarkStart w:id="6" w:name="_Hlk117501524"/>
      <w:bookmarkEnd w:id="4"/>
      <w:r w:rsidRPr="007C198F">
        <w:rPr>
          <w:sz w:val="24"/>
          <w:szCs w:val="24"/>
        </w:rPr>
        <w:t>Axel Heides Gade 1</w:t>
      </w:r>
    </w:p>
    <w:p w14:paraId="5E2B8BFA" w14:textId="77777777" w:rsidR="007C198F" w:rsidRPr="007C198F" w:rsidRDefault="007C198F" w:rsidP="007C198F">
      <w:pPr>
        <w:tabs>
          <w:tab w:val="left" w:pos="851"/>
        </w:tabs>
        <w:ind w:left="851"/>
        <w:rPr>
          <w:sz w:val="24"/>
          <w:szCs w:val="24"/>
        </w:rPr>
      </w:pPr>
      <w:r w:rsidRPr="007C198F">
        <w:rPr>
          <w:sz w:val="24"/>
          <w:szCs w:val="24"/>
        </w:rPr>
        <w:t>DK-2300 København S</w:t>
      </w:r>
    </w:p>
    <w:p w14:paraId="47A5EB3C" w14:textId="262C8327" w:rsidR="007C198F" w:rsidRPr="00BE12A3" w:rsidRDefault="007C198F" w:rsidP="007C198F">
      <w:pPr>
        <w:tabs>
          <w:tab w:val="left" w:pos="851"/>
        </w:tabs>
        <w:ind w:left="851"/>
        <w:rPr>
          <w:sz w:val="24"/>
          <w:szCs w:val="24"/>
          <w:lang w:val="en-US"/>
        </w:rPr>
      </w:pPr>
      <w:r w:rsidRPr="00BE12A3">
        <w:rPr>
          <w:sz w:val="24"/>
          <w:szCs w:val="24"/>
          <w:lang w:val="en-US"/>
        </w:rPr>
        <w:t>Website: www.meldenbivirkning.dk</w:t>
      </w:r>
      <w:bookmarkEnd w:id="5"/>
      <w:bookmarkEnd w:id="6"/>
    </w:p>
    <w:p w14:paraId="3AF117AB" w14:textId="77777777" w:rsidR="007C5D2A" w:rsidRPr="007C198F" w:rsidRDefault="007C5D2A" w:rsidP="007C198F">
      <w:pPr>
        <w:tabs>
          <w:tab w:val="left" w:pos="851"/>
        </w:tabs>
        <w:ind w:left="851"/>
        <w:rPr>
          <w:sz w:val="24"/>
          <w:szCs w:val="24"/>
          <w:lang w:val="en-US"/>
        </w:rPr>
      </w:pPr>
    </w:p>
    <w:p w14:paraId="4E25D6F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0425156F" w14:textId="77777777" w:rsidR="006C1139" w:rsidRDefault="006C1139" w:rsidP="006C1139">
      <w:pPr>
        <w:tabs>
          <w:tab w:val="left" w:pos="851"/>
        </w:tabs>
        <w:ind w:left="851"/>
        <w:rPr>
          <w:i/>
          <w:iCs/>
          <w:sz w:val="24"/>
          <w:szCs w:val="24"/>
          <w:lang w:val="en-GB"/>
        </w:rPr>
      </w:pPr>
    </w:p>
    <w:p w14:paraId="4F327644" w14:textId="3DD73550" w:rsidR="006C1139" w:rsidRPr="006C1139" w:rsidRDefault="006C1139" w:rsidP="006C1139">
      <w:pPr>
        <w:tabs>
          <w:tab w:val="left" w:pos="851"/>
        </w:tabs>
        <w:ind w:left="851"/>
        <w:rPr>
          <w:sz w:val="24"/>
          <w:szCs w:val="24"/>
          <w:lang w:val="en-GB"/>
        </w:rPr>
      </w:pPr>
      <w:r w:rsidRPr="006C1139">
        <w:rPr>
          <w:i/>
          <w:iCs/>
          <w:sz w:val="24"/>
          <w:szCs w:val="24"/>
          <w:lang w:val="en-GB"/>
        </w:rPr>
        <w:t>Toxicity</w:t>
      </w:r>
      <w:r w:rsidRPr="006C1139">
        <w:rPr>
          <w:sz w:val="24"/>
          <w:szCs w:val="24"/>
          <w:lang w:val="en-GB"/>
        </w:rPr>
        <w:t>: Large doses are usually well tolerated. However, for example, impaired renal function and impaired cerebrospinal fluid barrier, high-dose parenteral administration has produced toxic symptoms. Acute reactions are mainly due to allergic reactions.</w:t>
      </w:r>
    </w:p>
    <w:p w14:paraId="5DF00098" w14:textId="77777777" w:rsidR="006C1139" w:rsidRPr="006C1139" w:rsidRDefault="006C1139" w:rsidP="006C1139">
      <w:pPr>
        <w:tabs>
          <w:tab w:val="left" w:pos="851"/>
        </w:tabs>
        <w:ind w:left="851"/>
        <w:rPr>
          <w:sz w:val="24"/>
          <w:szCs w:val="24"/>
          <w:lang w:val="en-GB"/>
        </w:rPr>
      </w:pPr>
    </w:p>
    <w:p w14:paraId="5B53A4A7" w14:textId="77777777" w:rsidR="006C1139" w:rsidRPr="006C1139" w:rsidRDefault="006C1139" w:rsidP="006C1139">
      <w:pPr>
        <w:tabs>
          <w:tab w:val="left" w:pos="851"/>
        </w:tabs>
        <w:ind w:left="851"/>
        <w:rPr>
          <w:sz w:val="24"/>
          <w:szCs w:val="24"/>
          <w:lang w:val="en-GB"/>
        </w:rPr>
      </w:pPr>
      <w:r w:rsidRPr="006C1139">
        <w:rPr>
          <w:i/>
          <w:iCs/>
          <w:sz w:val="24"/>
          <w:szCs w:val="24"/>
          <w:lang w:val="en-GB"/>
        </w:rPr>
        <w:t>Symptoms</w:t>
      </w:r>
      <w:r w:rsidRPr="006C1139">
        <w:rPr>
          <w:sz w:val="24"/>
          <w:szCs w:val="24"/>
          <w:lang w:val="en-GB"/>
        </w:rPr>
        <w:t>: Toxic reactions; nausea, vomiting, diarrhea, electrolyte disturbances, lowering of consciousness, muscle fasciculations, myoclones, cramps, coma. Hemolytic reactions, kidney disturbances, acidosis.</w:t>
      </w:r>
    </w:p>
    <w:p w14:paraId="32E087EA" w14:textId="77777777" w:rsidR="006C1139" w:rsidRPr="006C1139" w:rsidRDefault="006C1139" w:rsidP="006C1139">
      <w:pPr>
        <w:tabs>
          <w:tab w:val="left" w:pos="851"/>
        </w:tabs>
        <w:ind w:left="851"/>
        <w:rPr>
          <w:sz w:val="24"/>
          <w:szCs w:val="24"/>
          <w:lang w:val="en-GB"/>
        </w:rPr>
      </w:pPr>
      <w:r w:rsidRPr="006C1139">
        <w:rPr>
          <w:sz w:val="24"/>
          <w:szCs w:val="24"/>
          <w:lang w:val="en-GB"/>
        </w:rPr>
        <w:t>In exceptional cases, anaphylactic reaction may occur within 20-40 minutes.</w:t>
      </w:r>
    </w:p>
    <w:p w14:paraId="6ACAEF67" w14:textId="77777777" w:rsidR="006C1139" w:rsidRPr="006C1139" w:rsidRDefault="006C1139" w:rsidP="006C1139">
      <w:pPr>
        <w:tabs>
          <w:tab w:val="left" w:pos="851"/>
        </w:tabs>
        <w:ind w:left="851"/>
        <w:rPr>
          <w:sz w:val="24"/>
          <w:szCs w:val="24"/>
          <w:lang w:val="en-GB"/>
        </w:rPr>
      </w:pPr>
    </w:p>
    <w:p w14:paraId="064F22A1" w14:textId="77777777" w:rsidR="006C1139" w:rsidRPr="006C1139" w:rsidRDefault="006C1139" w:rsidP="006C1139">
      <w:pPr>
        <w:tabs>
          <w:tab w:val="left" w:pos="851"/>
        </w:tabs>
        <w:ind w:left="851"/>
        <w:rPr>
          <w:sz w:val="24"/>
          <w:szCs w:val="24"/>
          <w:lang w:val="en-GB"/>
        </w:rPr>
      </w:pPr>
      <w:r w:rsidRPr="006C1139">
        <w:rPr>
          <w:i/>
          <w:iCs/>
          <w:sz w:val="24"/>
          <w:szCs w:val="24"/>
          <w:lang w:val="en-GB"/>
        </w:rPr>
        <w:t>Treatment</w:t>
      </w:r>
      <w:r w:rsidRPr="006C1139">
        <w:rPr>
          <w:sz w:val="24"/>
          <w:szCs w:val="24"/>
          <w:lang w:val="en-GB"/>
        </w:rPr>
        <w:t>: Symptomatic treatment. In severe cases, hemoperfusion or hemodialysis.</w:t>
      </w:r>
    </w:p>
    <w:p w14:paraId="24F036A8" w14:textId="77777777" w:rsidR="006C1139" w:rsidRPr="006C1139" w:rsidRDefault="006C1139" w:rsidP="006C1139">
      <w:pPr>
        <w:tabs>
          <w:tab w:val="left" w:pos="851"/>
        </w:tabs>
        <w:ind w:left="851"/>
        <w:rPr>
          <w:sz w:val="24"/>
          <w:szCs w:val="24"/>
          <w:lang w:val="en-GB"/>
        </w:rPr>
      </w:pPr>
      <w:r w:rsidRPr="006C1139">
        <w:rPr>
          <w:sz w:val="24"/>
          <w:szCs w:val="24"/>
          <w:lang w:val="en-GB"/>
        </w:rPr>
        <w:t>In anaphylactic reaction: Epinephrine (adrenaline) 0.1-0.5 mg slowly intravenously. Hydrocortisone 200 mg intravenously, optionally prometazine 25 mg intravenously. Liquid. Acid correction.</w:t>
      </w:r>
    </w:p>
    <w:p w14:paraId="72B98B11" w14:textId="77777777" w:rsidR="007C5D2A" w:rsidRPr="006C1139" w:rsidRDefault="007C5D2A" w:rsidP="003E0341">
      <w:pPr>
        <w:tabs>
          <w:tab w:val="left" w:pos="851"/>
        </w:tabs>
        <w:ind w:left="851"/>
        <w:rPr>
          <w:sz w:val="24"/>
          <w:szCs w:val="24"/>
          <w:lang w:val="en-GB"/>
        </w:rPr>
      </w:pPr>
    </w:p>
    <w:p w14:paraId="531909E1"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029CDC93" w14:textId="1ADF35DB" w:rsidR="00AD2E36" w:rsidRPr="00303008" w:rsidRDefault="006C1139" w:rsidP="00AD2E36">
      <w:pPr>
        <w:tabs>
          <w:tab w:val="left" w:pos="851"/>
        </w:tabs>
        <w:ind w:left="851"/>
        <w:rPr>
          <w:sz w:val="24"/>
          <w:szCs w:val="24"/>
          <w:lang w:val="en-GB"/>
        </w:rPr>
      </w:pPr>
      <w:r>
        <w:rPr>
          <w:sz w:val="24"/>
          <w:szCs w:val="24"/>
          <w:lang w:val="en-GB"/>
        </w:rPr>
        <w:t>B</w:t>
      </w:r>
    </w:p>
    <w:p w14:paraId="56C6B317" w14:textId="77777777" w:rsidR="007C5D2A" w:rsidRPr="00303008" w:rsidRDefault="007C5D2A" w:rsidP="003E0341">
      <w:pPr>
        <w:tabs>
          <w:tab w:val="left" w:pos="851"/>
        </w:tabs>
        <w:ind w:left="851"/>
        <w:rPr>
          <w:sz w:val="24"/>
          <w:szCs w:val="24"/>
          <w:lang w:val="en-GB"/>
        </w:rPr>
      </w:pPr>
    </w:p>
    <w:p w14:paraId="1FD16256" w14:textId="77777777" w:rsidR="00AD2E36" w:rsidRPr="00303008" w:rsidRDefault="00AD2E36" w:rsidP="003E0341">
      <w:pPr>
        <w:tabs>
          <w:tab w:val="left" w:pos="851"/>
        </w:tabs>
        <w:ind w:left="851"/>
        <w:rPr>
          <w:sz w:val="24"/>
          <w:szCs w:val="24"/>
          <w:lang w:val="en-GB"/>
        </w:rPr>
      </w:pPr>
    </w:p>
    <w:p w14:paraId="3EB633B7"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6EEACF57" w14:textId="77777777" w:rsidR="007C5D2A" w:rsidRDefault="007C5D2A" w:rsidP="003E0341">
      <w:pPr>
        <w:tabs>
          <w:tab w:val="left" w:pos="851"/>
        </w:tabs>
        <w:ind w:left="851"/>
        <w:rPr>
          <w:sz w:val="24"/>
          <w:szCs w:val="24"/>
          <w:lang w:val="en-GB"/>
        </w:rPr>
      </w:pPr>
    </w:p>
    <w:p w14:paraId="412130F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2A9E132" w14:textId="77777777" w:rsidR="00145833" w:rsidRPr="00145833" w:rsidRDefault="00145833" w:rsidP="00145833">
      <w:pPr>
        <w:ind w:left="851"/>
        <w:rPr>
          <w:sz w:val="24"/>
          <w:szCs w:val="24"/>
          <w:lang w:val="en-US"/>
        </w:rPr>
      </w:pPr>
      <w:r w:rsidRPr="00145833">
        <w:rPr>
          <w:sz w:val="24"/>
          <w:szCs w:val="24"/>
          <w:lang w:val="en-US"/>
        </w:rPr>
        <w:t>Pharmacotherapeutic group: Antibacterials for systemic use; beta-lactam antibacterials, penicillins; Penicillins with extended spectrum, ATC code: J01CA01.</w:t>
      </w:r>
    </w:p>
    <w:p w14:paraId="1A30E55A" w14:textId="77777777" w:rsidR="00145833" w:rsidRPr="00145833" w:rsidRDefault="00145833" w:rsidP="00145833">
      <w:pPr>
        <w:ind w:left="851"/>
        <w:rPr>
          <w:sz w:val="24"/>
          <w:szCs w:val="24"/>
          <w:lang w:val="en-US"/>
        </w:rPr>
      </w:pPr>
    </w:p>
    <w:p w14:paraId="60DB6B49" w14:textId="77777777" w:rsidR="00145833" w:rsidRPr="00145833" w:rsidRDefault="00145833" w:rsidP="00145833">
      <w:pPr>
        <w:ind w:left="851"/>
        <w:rPr>
          <w:sz w:val="24"/>
          <w:szCs w:val="24"/>
          <w:lang w:val="en-US"/>
        </w:rPr>
      </w:pPr>
      <w:r w:rsidRPr="00145833">
        <w:rPr>
          <w:sz w:val="24"/>
          <w:szCs w:val="24"/>
          <w:u w:val="single"/>
          <w:lang w:val="en-US"/>
        </w:rPr>
        <w:t>Mechanism of action</w:t>
      </w:r>
    </w:p>
    <w:p w14:paraId="5CAFB532" w14:textId="77777777" w:rsidR="00145833" w:rsidRPr="00145833" w:rsidRDefault="00145833" w:rsidP="00145833">
      <w:pPr>
        <w:ind w:left="851"/>
        <w:rPr>
          <w:sz w:val="24"/>
          <w:szCs w:val="24"/>
          <w:lang w:val="en-US"/>
        </w:rPr>
      </w:pPr>
      <w:r w:rsidRPr="00145833">
        <w:rPr>
          <w:sz w:val="24"/>
          <w:szCs w:val="24"/>
          <w:lang w:val="en-US"/>
        </w:rPr>
        <w:t>Ampicillin is a penicillin with an extended antibacterial spectrum. Ampicillin inhibits the cell wall synthesis of bacteria. The effect is bactericidal.</w:t>
      </w:r>
    </w:p>
    <w:p w14:paraId="5BC72BA9" w14:textId="6C38BF2D" w:rsidR="00145833" w:rsidRDefault="00145833">
      <w:pPr>
        <w:rPr>
          <w:sz w:val="24"/>
          <w:szCs w:val="24"/>
          <w:lang w:val="en-US"/>
        </w:rPr>
      </w:pPr>
      <w:r>
        <w:rPr>
          <w:sz w:val="24"/>
          <w:szCs w:val="24"/>
          <w:lang w:val="en-US"/>
        </w:rPr>
        <w:br w:type="page"/>
      </w:r>
    </w:p>
    <w:p w14:paraId="580B2465" w14:textId="77777777" w:rsidR="00145833" w:rsidRPr="00145833" w:rsidRDefault="00145833" w:rsidP="00145833">
      <w:pPr>
        <w:ind w:left="851"/>
        <w:rPr>
          <w:sz w:val="24"/>
          <w:szCs w:val="24"/>
          <w:lang w:val="en-US"/>
        </w:rPr>
      </w:pPr>
    </w:p>
    <w:p w14:paraId="02E2CCD6" w14:textId="77777777" w:rsidR="00145833" w:rsidRPr="00145833" w:rsidRDefault="00145833" w:rsidP="00145833">
      <w:pPr>
        <w:ind w:left="851"/>
        <w:rPr>
          <w:sz w:val="24"/>
          <w:szCs w:val="24"/>
          <w:u w:val="single"/>
          <w:lang w:val="en-US"/>
        </w:rPr>
      </w:pPr>
      <w:r w:rsidRPr="00145833">
        <w:rPr>
          <w:sz w:val="24"/>
          <w:szCs w:val="24"/>
          <w:u w:val="single"/>
          <w:lang w:val="en-US"/>
        </w:rPr>
        <w:t>Susceptibility testing breakpoints</w:t>
      </w:r>
    </w:p>
    <w:p w14:paraId="51D8EA6F" w14:textId="77777777" w:rsidR="00145833" w:rsidRPr="00145833" w:rsidRDefault="00145833" w:rsidP="00145833">
      <w:pPr>
        <w:ind w:left="851"/>
        <w:rPr>
          <w:sz w:val="24"/>
          <w:szCs w:val="24"/>
          <w:lang w:val="en-US"/>
        </w:rPr>
      </w:pPr>
      <w:r w:rsidRPr="00145833">
        <w:rPr>
          <w:sz w:val="24"/>
          <w:szCs w:val="24"/>
          <w:lang w:val="en-US"/>
        </w:rPr>
        <w:t>MIC (minimum inhibitory concentration) interpretive criteria for susceptibility testing have been established by the European Committee on Antimicrobial Susceptibility Testing (EUCAST) for ampicillin and are listed here:</w:t>
      </w:r>
    </w:p>
    <w:p w14:paraId="09A6831D" w14:textId="1F7172EF" w:rsidR="00145833" w:rsidRPr="00F246AD" w:rsidRDefault="00145833" w:rsidP="00145833">
      <w:pPr>
        <w:ind w:left="851"/>
        <w:rPr>
          <w:sz w:val="24"/>
          <w:szCs w:val="24"/>
          <w:lang w:val="en-US"/>
        </w:rPr>
      </w:pPr>
      <w:r w:rsidRPr="00F246AD">
        <w:rPr>
          <w:sz w:val="24"/>
          <w:szCs w:val="24"/>
          <w:lang w:val="en-US"/>
        </w:rPr>
        <w:t>https://www.ema.europa.eu/documents/other/minimum-inhibitory-concentration-mic-breakpoints_en.xlsx</w:t>
      </w:r>
    </w:p>
    <w:p w14:paraId="5600954C" w14:textId="77777777" w:rsidR="00145833" w:rsidRPr="00145833" w:rsidRDefault="00145833" w:rsidP="00145833">
      <w:pPr>
        <w:ind w:left="851"/>
        <w:rPr>
          <w:lang w:val="en-US"/>
        </w:rPr>
      </w:pPr>
    </w:p>
    <w:tbl>
      <w:tblPr>
        <w:tblStyle w:val="Tabel-Gitter"/>
        <w:tblW w:w="0" w:type="auto"/>
        <w:tblInd w:w="0" w:type="dxa"/>
        <w:tblLook w:val="04A0" w:firstRow="1" w:lastRow="0" w:firstColumn="1" w:lastColumn="0" w:noHBand="0" w:noVBand="1"/>
      </w:tblPr>
      <w:tblGrid>
        <w:gridCol w:w="5575"/>
        <w:gridCol w:w="1743"/>
        <w:gridCol w:w="1743"/>
      </w:tblGrid>
      <w:tr w:rsidR="00145833" w14:paraId="25BA2C3D" w14:textId="77777777" w:rsidTr="00145833">
        <w:trPr>
          <w:tblHeader/>
        </w:trPr>
        <w:tc>
          <w:tcPr>
            <w:tcW w:w="5575" w:type="dxa"/>
            <w:vMerge w:val="restart"/>
            <w:tcBorders>
              <w:top w:val="single" w:sz="4" w:space="0" w:color="auto"/>
              <w:left w:val="single" w:sz="4" w:space="0" w:color="auto"/>
              <w:bottom w:val="single" w:sz="4" w:space="0" w:color="auto"/>
              <w:right w:val="single" w:sz="4" w:space="0" w:color="auto"/>
            </w:tcBorders>
            <w:hideMark/>
          </w:tcPr>
          <w:p w14:paraId="5400B165" w14:textId="77777777" w:rsidR="00145833" w:rsidRDefault="00145833">
            <w:pPr>
              <w:rPr>
                <w:i/>
                <w:iCs/>
              </w:rPr>
            </w:pPr>
            <w:r>
              <w:rPr>
                <w:i/>
                <w:iCs/>
              </w:rPr>
              <w:t>Microorganism</w:t>
            </w:r>
          </w:p>
        </w:tc>
        <w:tc>
          <w:tcPr>
            <w:tcW w:w="3486" w:type="dxa"/>
            <w:gridSpan w:val="2"/>
            <w:tcBorders>
              <w:top w:val="single" w:sz="4" w:space="0" w:color="auto"/>
              <w:left w:val="single" w:sz="4" w:space="0" w:color="auto"/>
              <w:bottom w:val="single" w:sz="4" w:space="0" w:color="auto"/>
              <w:right w:val="single" w:sz="4" w:space="0" w:color="auto"/>
            </w:tcBorders>
            <w:hideMark/>
          </w:tcPr>
          <w:p w14:paraId="39A262EF" w14:textId="77777777" w:rsidR="00145833" w:rsidRDefault="00145833">
            <w:pPr>
              <w:rPr>
                <w:i/>
                <w:iCs/>
              </w:rPr>
            </w:pPr>
            <w:r>
              <w:rPr>
                <w:i/>
                <w:iCs/>
              </w:rPr>
              <w:t>MIC breakpoint (mg/L)</w:t>
            </w:r>
          </w:p>
        </w:tc>
      </w:tr>
      <w:tr w:rsidR="00145833" w14:paraId="48776111" w14:textId="77777777" w:rsidTr="0014583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FE996" w14:textId="77777777" w:rsidR="00145833" w:rsidRDefault="00145833">
            <w:pPr>
              <w:rPr>
                <w:rFonts w:eastAsia="Times New Roman"/>
                <w:i/>
                <w:iCs/>
                <w:sz w:val="22"/>
                <w:lang w:eastAsia="en-US"/>
              </w:rPr>
            </w:pPr>
          </w:p>
        </w:tc>
        <w:tc>
          <w:tcPr>
            <w:tcW w:w="1743" w:type="dxa"/>
            <w:tcBorders>
              <w:top w:val="single" w:sz="4" w:space="0" w:color="auto"/>
              <w:left w:val="single" w:sz="4" w:space="0" w:color="auto"/>
              <w:bottom w:val="single" w:sz="4" w:space="0" w:color="auto"/>
              <w:right w:val="single" w:sz="4" w:space="0" w:color="auto"/>
            </w:tcBorders>
            <w:hideMark/>
          </w:tcPr>
          <w:p w14:paraId="18F11FFF" w14:textId="77777777" w:rsidR="00145833" w:rsidRDefault="00145833">
            <w:pPr>
              <w:rPr>
                <w:i/>
                <w:iCs/>
              </w:rPr>
            </w:pPr>
            <w:r>
              <w:rPr>
                <w:i/>
                <w:iCs/>
              </w:rPr>
              <w:t>Susceptible</w:t>
            </w:r>
          </w:p>
        </w:tc>
        <w:tc>
          <w:tcPr>
            <w:tcW w:w="1743" w:type="dxa"/>
            <w:tcBorders>
              <w:top w:val="single" w:sz="4" w:space="0" w:color="auto"/>
              <w:left w:val="single" w:sz="4" w:space="0" w:color="auto"/>
              <w:bottom w:val="single" w:sz="4" w:space="0" w:color="auto"/>
              <w:right w:val="single" w:sz="4" w:space="0" w:color="auto"/>
            </w:tcBorders>
            <w:hideMark/>
          </w:tcPr>
          <w:p w14:paraId="756540E4" w14:textId="77777777" w:rsidR="00145833" w:rsidRDefault="00145833">
            <w:pPr>
              <w:rPr>
                <w:i/>
                <w:iCs/>
              </w:rPr>
            </w:pPr>
            <w:r>
              <w:rPr>
                <w:i/>
                <w:iCs/>
              </w:rPr>
              <w:t>Resistant</w:t>
            </w:r>
          </w:p>
        </w:tc>
      </w:tr>
      <w:tr w:rsidR="00145833" w14:paraId="0FEBA490"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26D394EE" w14:textId="77777777" w:rsidR="00145833" w:rsidRDefault="00145833">
            <w:r>
              <w:t>Enterobacterales</w:t>
            </w:r>
          </w:p>
        </w:tc>
        <w:tc>
          <w:tcPr>
            <w:tcW w:w="1743" w:type="dxa"/>
            <w:tcBorders>
              <w:top w:val="single" w:sz="4" w:space="0" w:color="auto"/>
              <w:left w:val="single" w:sz="4" w:space="0" w:color="auto"/>
              <w:bottom w:val="single" w:sz="4" w:space="0" w:color="auto"/>
              <w:right w:val="single" w:sz="4" w:space="0" w:color="auto"/>
            </w:tcBorders>
            <w:hideMark/>
          </w:tcPr>
          <w:p w14:paraId="1E053A71" w14:textId="77777777" w:rsidR="00145833" w:rsidRDefault="00145833">
            <w:r>
              <w:t>≤8</w:t>
            </w:r>
          </w:p>
        </w:tc>
        <w:tc>
          <w:tcPr>
            <w:tcW w:w="1743" w:type="dxa"/>
            <w:tcBorders>
              <w:top w:val="single" w:sz="4" w:space="0" w:color="auto"/>
              <w:left w:val="single" w:sz="4" w:space="0" w:color="auto"/>
              <w:bottom w:val="single" w:sz="4" w:space="0" w:color="auto"/>
              <w:right w:val="single" w:sz="4" w:space="0" w:color="auto"/>
            </w:tcBorders>
            <w:hideMark/>
          </w:tcPr>
          <w:p w14:paraId="499FBB92" w14:textId="77777777" w:rsidR="00145833" w:rsidRDefault="00145833">
            <w:r>
              <w:t>&gt;8</w:t>
            </w:r>
          </w:p>
        </w:tc>
      </w:tr>
      <w:tr w:rsidR="00145833" w14:paraId="5F17CB30"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5E14D797" w14:textId="77777777" w:rsidR="00145833" w:rsidRDefault="00145833">
            <w:r>
              <w:rPr>
                <w:i/>
                <w:iCs/>
              </w:rPr>
              <w:t>Enterococcus</w:t>
            </w:r>
            <w:r>
              <w:t xml:space="preserve"> spp.</w:t>
            </w:r>
          </w:p>
        </w:tc>
        <w:tc>
          <w:tcPr>
            <w:tcW w:w="1743" w:type="dxa"/>
            <w:tcBorders>
              <w:top w:val="single" w:sz="4" w:space="0" w:color="auto"/>
              <w:left w:val="single" w:sz="4" w:space="0" w:color="auto"/>
              <w:bottom w:val="single" w:sz="4" w:space="0" w:color="auto"/>
              <w:right w:val="single" w:sz="4" w:space="0" w:color="auto"/>
            </w:tcBorders>
            <w:hideMark/>
          </w:tcPr>
          <w:p w14:paraId="609FAD4C" w14:textId="77777777" w:rsidR="00145833" w:rsidRDefault="00145833">
            <w:r>
              <w:t>≤4</w:t>
            </w:r>
          </w:p>
        </w:tc>
        <w:tc>
          <w:tcPr>
            <w:tcW w:w="1743" w:type="dxa"/>
            <w:tcBorders>
              <w:top w:val="single" w:sz="4" w:space="0" w:color="auto"/>
              <w:left w:val="single" w:sz="4" w:space="0" w:color="auto"/>
              <w:bottom w:val="single" w:sz="4" w:space="0" w:color="auto"/>
              <w:right w:val="single" w:sz="4" w:space="0" w:color="auto"/>
            </w:tcBorders>
            <w:hideMark/>
          </w:tcPr>
          <w:p w14:paraId="68C81699" w14:textId="77777777" w:rsidR="00145833" w:rsidRDefault="00145833">
            <w:r>
              <w:t>&gt;8</w:t>
            </w:r>
          </w:p>
        </w:tc>
      </w:tr>
      <w:tr w:rsidR="00145833" w14:paraId="550BB748"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2EDAE7F3" w14:textId="77777777" w:rsidR="00145833" w:rsidRDefault="00145833">
            <w:r>
              <w:rPr>
                <w:i/>
                <w:iCs/>
              </w:rPr>
              <w:t>Haemophilus influenzae</w:t>
            </w:r>
            <w:r>
              <w:rPr>
                <w:vertAlign w:val="superscript"/>
              </w:rPr>
              <w:t>1,4</w:t>
            </w:r>
          </w:p>
        </w:tc>
        <w:tc>
          <w:tcPr>
            <w:tcW w:w="1743" w:type="dxa"/>
            <w:tcBorders>
              <w:top w:val="single" w:sz="4" w:space="0" w:color="auto"/>
              <w:left w:val="single" w:sz="4" w:space="0" w:color="auto"/>
              <w:bottom w:val="single" w:sz="4" w:space="0" w:color="auto"/>
              <w:right w:val="single" w:sz="4" w:space="0" w:color="auto"/>
            </w:tcBorders>
            <w:hideMark/>
          </w:tcPr>
          <w:p w14:paraId="1F012441" w14:textId="77777777" w:rsidR="00145833" w:rsidRDefault="00145833">
            <w:r>
              <w:t>≤1</w:t>
            </w:r>
          </w:p>
        </w:tc>
        <w:tc>
          <w:tcPr>
            <w:tcW w:w="1743" w:type="dxa"/>
            <w:tcBorders>
              <w:top w:val="single" w:sz="4" w:space="0" w:color="auto"/>
              <w:left w:val="single" w:sz="4" w:space="0" w:color="auto"/>
              <w:bottom w:val="single" w:sz="4" w:space="0" w:color="auto"/>
              <w:right w:val="single" w:sz="4" w:space="0" w:color="auto"/>
            </w:tcBorders>
            <w:hideMark/>
          </w:tcPr>
          <w:p w14:paraId="09D89653" w14:textId="77777777" w:rsidR="00145833" w:rsidRDefault="00145833">
            <w:r>
              <w:t>&gt;1</w:t>
            </w:r>
          </w:p>
        </w:tc>
      </w:tr>
      <w:tr w:rsidR="00145833" w14:paraId="550E2BDA"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3D8329C9" w14:textId="77777777" w:rsidR="00145833" w:rsidRDefault="00145833">
            <w:r>
              <w:rPr>
                <w:i/>
                <w:iCs/>
              </w:rPr>
              <w:t>Staphylococcus</w:t>
            </w:r>
            <w:r>
              <w:t xml:space="preserve"> spp.</w:t>
            </w:r>
            <w:r>
              <w:rPr>
                <w:vertAlign w:val="superscript"/>
              </w:rPr>
              <w:t>2</w:t>
            </w:r>
          </w:p>
        </w:tc>
        <w:tc>
          <w:tcPr>
            <w:tcW w:w="1743" w:type="dxa"/>
            <w:tcBorders>
              <w:top w:val="single" w:sz="4" w:space="0" w:color="auto"/>
              <w:left w:val="single" w:sz="4" w:space="0" w:color="auto"/>
              <w:bottom w:val="single" w:sz="4" w:space="0" w:color="auto"/>
              <w:right w:val="single" w:sz="4" w:space="0" w:color="auto"/>
            </w:tcBorders>
            <w:hideMark/>
          </w:tcPr>
          <w:p w14:paraId="6BE6DBAF" w14:textId="77777777" w:rsidR="00145833" w:rsidRDefault="00145833">
            <w:r>
              <w:t>-</w:t>
            </w:r>
          </w:p>
        </w:tc>
        <w:tc>
          <w:tcPr>
            <w:tcW w:w="1743" w:type="dxa"/>
            <w:tcBorders>
              <w:top w:val="single" w:sz="4" w:space="0" w:color="auto"/>
              <w:left w:val="single" w:sz="4" w:space="0" w:color="auto"/>
              <w:bottom w:val="single" w:sz="4" w:space="0" w:color="auto"/>
              <w:right w:val="single" w:sz="4" w:space="0" w:color="auto"/>
            </w:tcBorders>
            <w:hideMark/>
          </w:tcPr>
          <w:p w14:paraId="1286B659" w14:textId="77777777" w:rsidR="00145833" w:rsidRDefault="00145833">
            <w:r>
              <w:t>-</w:t>
            </w:r>
          </w:p>
        </w:tc>
      </w:tr>
      <w:tr w:rsidR="00145833" w14:paraId="0FF7E213"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1BB53AE4" w14:textId="77777777" w:rsidR="00145833" w:rsidRDefault="00145833">
            <w:r>
              <w:rPr>
                <w:i/>
                <w:iCs/>
              </w:rPr>
              <w:t>Streptococcus</w:t>
            </w:r>
            <w:r>
              <w:t xml:space="preserve"> A, B, C, G</w:t>
            </w:r>
            <w:r>
              <w:rPr>
                <w:vertAlign w:val="superscript"/>
              </w:rPr>
              <w:t>3</w:t>
            </w:r>
          </w:p>
          <w:p w14:paraId="12A0F780" w14:textId="77777777" w:rsidR="00145833" w:rsidRDefault="00145833">
            <w:r>
              <w:rPr>
                <w:i/>
                <w:iCs/>
              </w:rPr>
              <w:t>Streptococcus pneumoniae</w:t>
            </w:r>
            <w:r>
              <w:rPr>
                <w:vertAlign w:val="superscript"/>
              </w:rPr>
              <w:t>1</w:t>
            </w:r>
          </w:p>
          <w:p w14:paraId="4443A598" w14:textId="77777777" w:rsidR="00145833" w:rsidRDefault="00145833">
            <w:r>
              <w:rPr>
                <w:i/>
                <w:iCs/>
              </w:rPr>
              <w:t>Streptococcus pneumoniae</w:t>
            </w:r>
            <w:r>
              <w:rPr>
                <w:vertAlign w:val="superscript"/>
              </w:rPr>
              <w:t>5</w:t>
            </w:r>
          </w:p>
        </w:tc>
        <w:tc>
          <w:tcPr>
            <w:tcW w:w="1743" w:type="dxa"/>
            <w:tcBorders>
              <w:top w:val="single" w:sz="4" w:space="0" w:color="auto"/>
              <w:left w:val="single" w:sz="4" w:space="0" w:color="auto"/>
              <w:bottom w:val="single" w:sz="4" w:space="0" w:color="auto"/>
              <w:right w:val="single" w:sz="4" w:space="0" w:color="auto"/>
            </w:tcBorders>
            <w:hideMark/>
          </w:tcPr>
          <w:p w14:paraId="7234859E" w14:textId="77777777" w:rsidR="00145833" w:rsidRDefault="00145833">
            <w:r>
              <w:t>-</w:t>
            </w:r>
          </w:p>
          <w:p w14:paraId="63F6F096" w14:textId="77777777" w:rsidR="00145833" w:rsidRDefault="00145833">
            <w:r>
              <w:t>≤0.5</w:t>
            </w:r>
          </w:p>
          <w:p w14:paraId="1378A3CE" w14:textId="77777777" w:rsidR="00145833" w:rsidRDefault="00145833">
            <w:r>
              <w:t>≤0.5</w:t>
            </w:r>
          </w:p>
        </w:tc>
        <w:tc>
          <w:tcPr>
            <w:tcW w:w="1743" w:type="dxa"/>
            <w:tcBorders>
              <w:top w:val="single" w:sz="4" w:space="0" w:color="auto"/>
              <w:left w:val="single" w:sz="4" w:space="0" w:color="auto"/>
              <w:bottom w:val="single" w:sz="4" w:space="0" w:color="auto"/>
              <w:right w:val="single" w:sz="4" w:space="0" w:color="auto"/>
            </w:tcBorders>
            <w:hideMark/>
          </w:tcPr>
          <w:p w14:paraId="1630CC3D" w14:textId="77777777" w:rsidR="00145833" w:rsidRDefault="00145833">
            <w:r>
              <w:t>-</w:t>
            </w:r>
          </w:p>
          <w:p w14:paraId="6917EEB0" w14:textId="77777777" w:rsidR="00145833" w:rsidRDefault="00145833">
            <w:r>
              <w:t>&gt;1</w:t>
            </w:r>
          </w:p>
          <w:p w14:paraId="562CCE6C" w14:textId="77777777" w:rsidR="00145833" w:rsidRDefault="00145833">
            <w:r>
              <w:t>&gt;0.5</w:t>
            </w:r>
          </w:p>
        </w:tc>
      </w:tr>
      <w:tr w:rsidR="00145833" w14:paraId="2173B8F9"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33A8A867" w14:textId="77777777" w:rsidR="00145833" w:rsidRDefault="00145833">
            <w:r>
              <w:t>Viridans group streptococci</w:t>
            </w:r>
          </w:p>
        </w:tc>
        <w:tc>
          <w:tcPr>
            <w:tcW w:w="1743" w:type="dxa"/>
            <w:tcBorders>
              <w:top w:val="single" w:sz="4" w:space="0" w:color="auto"/>
              <w:left w:val="single" w:sz="4" w:space="0" w:color="auto"/>
              <w:bottom w:val="single" w:sz="4" w:space="0" w:color="auto"/>
              <w:right w:val="single" w:sz="4" w:space="0" w:color="auto"/>
            </w:tcBorders>
            <w:hideMark/>
          </w:tcPr>
          <w:p w14:paraId="6851456B" w14:textId="77777777" w:rsidR="00145833" w:rsidRDefault="00145833">
            <w:r>
              <w:t>≤0.5</w:t>
            </w:r>
          </w:p>
        </w:tc>
        <w:tc>
          <w:tcPr>
            <w:tcW w:w="1743" w:type="dxa"/>
            <w:tcBorders>
              <w:top w:val="single" w:sz="4" w:space="0" w:color="auto"/>
              <w:left w:val="single" w:sz="4" w:space="0" w:color="auto"/>
              <w:bottom w:val="single" w:sz="4" w:space="0" w:color="auto"/>
              <w:right w:val="single" w:sz="4" w:space="0" w:color="auto"/>
            </w:tcBorders>
            <w:hideMark/>
          </w:tcPr>
          <w:p w14:paraId="10E0F716" w14:textId="77777777" w:rsidR="00145833" w:rsidRDefault="00145833">
            <w:r>
              <w:t>&gt;2</w:t>
            </w:r>
          </w:p>
        </w:tc>
      </w:tr>
      <w:tr w:rsidR="00145833" w14:paraId="4647DF28"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6F8BE1D9" w14:textId="77777777" w:rsidR="00145833" w:rsidRDefault="00145833">
            <w:r>
              <w:rPr>
                <w:i/>
                <w:iCs/>
              </w:rPr>
              <w:t>Neisseria meningitidis</w:t>
            </w:r>
            <w:r>
              <w:rPr>
                <w:vertAlign w:val="superscript"/>
              </w:rPr>
              <w:t>1</w:t>
            </w:r>
          </w:p>
        </w:tc>
        <w:tc>
          <w:tcPr>
            <w:tcW w:w="1743" w:type="dxa"/>
            <w:tcBorders>
              <w:top w:val="single" w:sz="4" w:space="0" w:color="auto"/>
              <w:left w:val="single" w:sz="4" w:space="0" w:color="auto"/>
              <w:bottom w:val="single" w:sz="4" w:space="0" w:color="auto"/>
              <w:right w:val="single" w:sz="4" w:space="0" w:color="auto"/>
            </w:tcBorders>
            <w:hideMark/>
          </w:tcPr>
          <w:p w14:paraId="64644747" w14:textId="77777777" w:rsidR="00145833" w:rsidRDefault="00145833">
            <w:r>
              <w:t>≤0.125</w:t>
            </w:r>
          </w:p>
        </w:tc>
        <w:tc>
          <w:tcPr>
            <w:tcW w:w="1743" w:type="dxa"/>
            <w:tcBorders>
              <w:top w:val="single" w:sz="4" w:space="0" w:color="auto"/>
              <w:left w:val="single" w:sz="4" w:space="0" w:color="auto"/>
              <w:bottom w:val="single" w:sz="4" w:space="0" w:color="auto"/>
              <w:right w:val="single" w:sz="4" w:space="0" w:color="auto"/>
            </w:tcBorders>
            <w:hideMark/>
          </w:tcPr>
          <w:p w14:paraId="760F5BF6" w14:textId="77777777" w:rsidR="00145833" w:rsidRDefault="00145833">
            <w:r>
              <w:t>&gt;1</w:t>
            </w:r>
          </w:p>
        </w:tc>
      </w:tr>
      <w:tr w:rsidR="00145833" w14:paraId="5A0498D7"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4E48E5DC" w14:textId="77777777" w:rsidR="00145833" w:rsidRDefault="00145833">
            <w:r>
              <w:t>Listeria monocytogenes</w:t>
            </w:r>
          </w:p>
        </w:tc>
        <w:tc>
          <w:tcPr>
            <w:tcW w:w="1743" w:type="dxa"/>
            <w:tcBorders>
              <w:top w:val="single" w:sz="4" w:space="0" w:color="auto"/>
              <w:left w:val="single" w:sz="4" w:space="0" w:color="auto"/>
              <w:bottom w:val="single" w:sz="4" w:space="0" w:color="auto"/>
              <w:right w:val="single" w:sz="4" w:space="0" w:color="auto"/>
            </w:tcBorders>
            <w:hideMark/>
          </w:tcPr>
          <w:p w14:paraId="5DA70B14" w14:textId="77777777" w:rsidR="00145833" w:rsidRDefault="00145833">
            <w:r>
              <w:t>≤1</w:t>
            </w:r>
          </w:p>
        </w:tc>
        <w:tc>
          <w:tcPr>
            <w:tcW w:w="1743" w:type="dxa"/>
            <w:tcBorders>
              <w:top w:val="single" w:sz="4" w:space="0" w:color="auto"/>
              <w:left w:val="single" w:sz="4" w:space="0" w:color="auto"/>
              <w:bottom w:val="single" w:sz="4" w:space="0" w:color="auto"/>
              <w:right w:val="single" w:sz="4" w:space="0" w:color="auto"/>
            </w:tcBorders>
            <w:hideMark/>
          </w:tcPr>
          <w:p w14:paraId="6C60D627" w14:textId="77777777" w:rsidR="00145833" w:rsidRDefault="00145833">
            <w:r>
              <w:t>&gt;1</w:t>
            </w:r>
          </w:p>
        </w:tc>
      </w:tr>
      <w:tr w:rsidR="00145833" w14:paraId="34B4CE2D"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7D6867EA" w14:textId="77777777" w:rsidR="00145833" w:rsidRDefault="00145833">
            <w:r>
              <w:rPr>
                <w:i/>
                <w:iCs/>
              </w:rPr>
              <w:t>Aerococcus sanguinicola</w:t>
            </w:r>
            <w:r>
              <w:t xml:space="preserve"> and </w:t>
            </w:r>
            <w:r>
              <w:rPr>
                <w:i/>
                <w:iCs/>
              </w:rPr>
              <w:t>urinae</w:t>
            </w:r>
          </w:p>
        </w:tc>
        <w:tc>
          <w:tcPr>
            <w:tcW w:w="1743" w:type="dxa"/>
            <w:tcBorders>
              <w:top w:val="single" w:sz="4" w:space="0" w:color="auto"/>
              <w:left w:val="single" w:sz="4" w:space="0" w:color="auto"/>
              <w:bottom w:val="single" w:sz="4" w:space="0" w:color="auto"/>
              <w:right w:val="single" w:sz="4" w:space="0" w:color="auto"/>
            </w:tcBorders>
            <w:hideMark/>
          </w:tcPr>
          <w:p w14:paraId="296766DB" w14:textId="77777777" w:rsidR="00145833" w:rsidRDefault="00145833">
            <w:r>
              <w:t>≤0.25</w:t>
            </w:r>
          </w:p>
        </w:tc>
        <w:tc>
          <w:tcPr>
            <w:tcW w:w="1743" w:type="dxa"/>
            <w:tcBorders>
              <w:top w:val="single" w:sz="4" w:space="0" w:color="auto"/>
              <w:left w:val="single" w:sz="4" w:space="0" w:color="auto"/>
              <w:bottom w:val="single" w:sz="4" w:space="0" w:color="auto"/>
              <w:right w:val="single" w:sz="4" w:space="0" w:color="auto"/>
            </w:tcBorders>
            <w:hideMark/>
          </w:tcPr>
          <w:p w14:paraId="7EE1BA4B" w14:textId="77777777" w:rsidR="00145833" w:rsidRDefault="00145833">
            <w:r>
              <w:t>&gt;0.25</w:t>
            </w:r>
          </w:p>
        </w:tc>
      </w:tr>
      <w:tr w:rsidR="00145833" w14:paraId="6D3343B7" w14:textId="77777777" w:rsidTr="00145833">
        <w:tc>
          <w:tcPr>
            <w:tcW w:w="5575" w:type="dxa"/>
            <w:tcBorders>
              <w:top w:val="single" w:sz="4" w:space="0" w:color="auto"/>
              <w:left w:val="single" w:sz="4" w:space="0" w:color="auto"/>
              <w:bottom w:val="single" w:sz="4" w:space="0" w:color="auto"/>
              <w:right w:val="single" w:sz="4" w:space="0" w:color="auto"/>
            </w:tcBorders>
            <w:hideMark/>
          </w:tcPr>
          <w:p w14:paraId="175662CD" w14:textId="77777777" w:rsidR="00145833" w:rsidRDefault="00145833">
            <w:r>
              <w:t>Non-species related breakpoints</w:t>
            </w:r>
            <w:r>
              <w:rPr>
                <w:vertAlign w:val="superscript"/>
              </w:rPr>
              <w:t>6</w:t>
            </w:r>
          </w:p>
        </w:tc>
        <w:tc>
          <w:tcPr>
            <w:tcW w:w="1743" w:type="dxa"/>
            <w:tcBorders>
              <w:top w:val="single" w:sz="4" w:space="0" w:color="auto"/>
              <w:left w:val="single" w:sz="4" w:space="0" w:color="auto"/>
              <w:bottom w:val="single" w:sz="4" w:space="0" w:color="auto"/>
              <w:right w:val="single" w:sz="4" w:space="0" w:color="auto"/>
            </w:tcBorders>
            <w:hideMark/>
          </w:tcPr>
          <w:p w14:paraId="68190CC4" w14:textId="77777777" w:rsidR="00145833" w:rsidRDefault="00145833">
            <w:r>
              <w:t>≤2</w:t>
            </w:r>
          </w:p>
        </w:tc>
        <w:tc>
          <w:tcPr>
            <w:tcW w:w="1743" w:type="dxa"/>
            <w:tcBorders>
              <w:top w:val="single" w:sz="4" w:space="0" w:color="auto"/>
              <w:left w:val="single" w:sz="4" w:space="0" w:color="auto"/>
              <w:bottom w:val="single" w:sz="4" w:space="0" w:color="auto"/>
              <w:right w:val="single" w:sz="4" w:space="0" w:color="auto"/>
            </w:tcBorders>
            <w:hideMark/>
          </w:tcPr>
          <w:p w14:paraId="240BA12F" w14:textId="77777777" w:rsidR="00145833" w:rsidRDefault="00145833">
            <w:r>
              <w:t>&gt;8</w:t>
            </w:r>
          </w:p>
        </w:tc>
      </w:tr>
      <w:tr w:rsidR="00145833" w:rsidRPr="00BE12A3" w14:paraId="3817767F" w14:textId="77777777" w:rsidTr="00145833">
        <w:tc>
          <w:tcPr>
            <w:tcW w:w="9061" w:type="dxa"/>
            <w:gridSpan w:val="3"/>
            <w:tcBorders>
              <w:top w:val="single" w:sz="4" w:space="0" w:color="auto"/>
              <w:left w:val="single" w:sz="4" w:space="0" w:color="auto"/>
              <w:bottom w:val="single" w:sz="4" w:space="0" w:color="auto"/>
              <w:right w:val="single" w:sz="4" w:space="0" w:color="auto"/>
            </w:tcBorders>
            <w:hideMark/>
          </w:tcPr>
          <w:p w14:paraId="62B9B3CC" w14:textId="77777777" w:rsidR="00145833" w:rsidRDefault="00145833">
            <w:r>
              <w:t>1 For indications other than meningitis.</w:t>
            </w:r>
          </w:p>
          <w:p w14:paraId="09337DBE" w14:textId="77777777" w:rsidR="00145833" w:rsidRDefault="00145833">
            <w:r>
              <w:t>2 Most staphylococci are penicillinase producers and some are methicillin resistant. Either mechanism renders staphylococci resistant to ampicillin. Isolates resistant to benzylpenicillin or cefoxitin are resistant to ampicillin. Benzylpenicillin susceptible Staphylococcus spp. are also susceptible to ampicillin.</w:t>
            </w:r>
          </w:p>
          <w:p w14:paraId="176B9354" w14:textId="77777777" w:rsidR="00145833" w:rsidRDefault="00145833">
            <w:r>
              <w:t>3 Susceptibility is inferred from benzylpenicillin.</w:t>
            </w:r>
          </w:p>
          <w:p w14:paraId="14FFC4ED" w14:textId="77777777" w:rsidR="00145833" w:rsidRDefault="00145833">
            <w:r>
              <w:t>4 Beta-lactamase positive isolates can be reported resistant to ampicillin without inhibitors. Tests based on a chromogenic cephalosporin can be used to detect the beta-lactamase.</w:t>
            </w:r>
          </w:p>
          <w:p w14:paraId="33326F8C" w14:textId="77777777" w:rsidR="00145833" w:rsidRDefault="00145833">
            <w:r>
              <w:t>5 For the meningitis indication only.</w:t>
            </w:r>
          </w:p>
          <w:p w14:paraId="30EE1139" w14:textId="687DDCD0" w:rsidR="00145833" w:rsidRDefault="00145833">
            <w:r>
              <w:t>6 The non-species related breakpoints are based on doses of at least 2 g</w:t>
            </w:r>
            <w:r w:rsidR="00F246AD">
              <w:t>×</w:t>
            </w:r>
            <w:r>
              <w:t>3 or 4 times daily (6 to 8 g/day).</w:t>
            </w:r>
          </w:p>
        </w:tc>
      </w:tr>
    </w:tbl>
    <w:p w14:paraId="7729C837" w14:textId="77777777" w:rsidR="00145833" w:rsidRPr="00145833" w:rsidRDefault="00145833" w:rsidP="00145833">
      <w:pPr>
        <w:ind w:left="851"/>
        <w:rPr>
          <w:sz w:val="24"/>
          <w:szCs w:val="24"/>
          <w:lang w:val="en-GB" w:eastAsia="en-US"/>
        </w:rPr>
      </w:pPr>
    </w:p>
    <w:p w14:paraId="18F2DD45" w14:textId="77777777" w:rsidR="00145833" w:rsidRPr="00145833" w:rsidRDefault="00145833" w:rsidP="00145833">
      <w:pPr>
        <w:ind w:left="851"/>
        <w:rPr>
          <w:sz w:val="24"/>
          <w:szCs w:val="24"/>
          <w:lang w:val="en-US"/>
        </w:rPr>
      </w:pPr>
      <w:r w:rsidRPr="00145833">
        <w:rPr>
          <w:sz w:val="24"/>
          <w:szCs w:val="24"/>
          <w:lang w:val="en-US"/>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 is questionable.</w:t>
      </w:r>
    </w:p>
    <w:p w14:paraId="381F5A23" w14:textId="77777777" w:rsidR="00145833" w:rsidRPr="00145833" w:rsidRDefault="00145833" w:rsidP="00145833">
      <w:pPr>
        <w:ind w:left="851"/>
        <w:rPr>
          <w:sz w:val="24"/>
          <w:szCs w:val="24"/>
          <w:lang w:val="en-US"/>
        </w:rPr>
      </w:pPr>
    </w:p>
    <w:p w14:paraId="25D1C1CA" w14:textId="6F6C5CF2" w:rsidR="00145833" w:rsidRPr="00145833" w:rsidRDefault="00145833" w:rsidP="00145833">
      <w:pPr>
        <w:rPr>
          <w:iCs/>
          <w:u w:val="single"/>
        </w:rPr>
      </w:pPr>
      <w:r w:rsidRPr="00145833">
        <w:rPr>
          <w:iCs/>
          <w:u w:val="single"/>
        </w:rPr>
        <w:t>Antibacterial spectrum</w:t>
      </w:r>
    </w:p>
    <w:p w14:paraId="2B36B60A" w14:textId="77777777" w:rsidR="00145833" w:rsidRDefault="00145833" w:rsidP="00145833">
      <w:pPr>
        <w:rPr>
          <w:i/>
          <w:iCs/>
          <w:u w:val="single"/>
        </w:rPr>
      </w:pPr>
    </w:p>
    <w:tbl>
      <w:tblPr>
        <w:tblStyle w:val="Tabel-Gitter"/>
        <w:tblW w:w="0" w:type="auto"/>
        <w:tblInd w:w="0" w:type="dxa"/>
        <w:tblLook w:val="04A0" w:firstRow="1" w:lastRow="0" w:firstColumn="1" w:lastColumn="0" w:noHBand="0" w:noVBand="1"/>
      </w:tblPr>
      <w:tblGrid>
        <w:gridCol w:w="1615"/>
        <w:gridCol w:w="7446"/>
      </w:tblGrid>
      <w:tr w:rsidR="00145833" w:rsidRPr="00BE12A3" w14:paraId="4D12E540" w14:textId="77777777" w:rsidTr="00145833">
        <w:tc>
          <w:tcPr>
            <w:tcW w:w="1615" w:type="dxa"/>
            <w:tcBorders>
              <w:top w:val="single" w:sz="4" w:space="0" w:color="auto"/>
              <w:left w:val="single" w:sz="4" w:space="0" w:color="auto"/>
              <w:bottom w:val="single" w:sz="4" w:space="0" w:color="auto"/>
              <w:right w:val="single" w:sz="4" w:space="0" w:color="auto"/>
            </w:tcBorders>
            <w:hideMark/>
          </w:tcPr>
          <w:p w14:paraId="7B042A63" w14:textId="77777777" w:rsidR="00145833" w:rsidRDefault="00145833">
            <w:pPr>
              <w:rPr>
                <w:i/>
                <w:iCs/>
              </w:rPr>
            </w:pPr>
            <w:r>
              <w:rPr>
                <w:i/>
                <w:iCs/>
              </w:rPr>
              <w:t>Sensitive</w:t>
            </w:r>
          </w:p>
        </w:tc>
        <w:tc>
          <w:tcPr>
            <w:tcW w:w="7446" w:type="dxa"/>
            <w:tcBorders>
              <w:top w:val="single" w:sz="4" w:space="0" w:color="auto"/>
              <w:left w:val="single" w:sz="4" w:space="0" w:color="auto"/>
              <w:bottom w:val="single" w:sz="4" w:space="0" w:color="auto"/>
              <w:right w:val="single" w:sz="4" w:space="0" w:color="auto"/>
            </w:tcBorders>
            <w:hideMark/>
          </w:tcPr>
          <w:p w14:paraId="69DB0728" w14:textId="77777777" w:rsidR="00145833" w:rsidRDefault="00145833">
            <w:r>
              <w:t>Pneumococci</w:t>
            </w:r>
          </w:p>
          <w:p w14:paraId="12AE78A7" w14:textId="77777777" w:rsidR="00145833" w:rsidRDefault="00145833">
            <w:r>
              <w:t>Streptococci</w:t>
            </w:r>
          </w:p>
          <w:p w14:paraId="4A576074" w14:textId="77777777" w:rsidR="00145833" w:rsidRDefault="00145833">
            <w:r>
              <w:t>Enterococci</w:t>
            </w:r>
          </w:p>
          <w:p w14:paraId="151C2E6A" w14:textId="77777777" w:rsidR="00145833" w:rsidRDefault="00145833">
            <w:pPr>
              <w:rPr>
                <w:i/>
                <w:iCs/>
              </w:rPr>
            </w:pPr>
            <w:r>
              <w:rPr>
                <w:i/>
                <w:iCs/>
              </w:rPr>
              <w:t>Listeria monocytogenes</w:t>
            </w:r>
          </w:p>
          <w:p w14:paraId="752D5E0A" w14:textId="77777777" w:rsidR="00145833" w:rsidRDefault="00145833">
            <w:r>
              <w:t>Meningococci</w:t>
            </w:r>
          </w:p>
          <w:p w14:paraId="687D950D" w14:textId="77777777" w:rsidR="00145833" w:rsidRDefault="00145833">
            <w:pPr>
              <w:rPr>
                <w:i/>
                <w:iCs/>
              </w:rPr>
            </w:pPr>
            <w:r>
              <w:rPr>
                <w:i/>
                <w:iCs/>
              </w:rPr>
              <w:t>Haemophilus influenzae</w:t>
            </w:r>
          </w:p>
          <w:p w14:paraId="34CBF175" w14:textId="77777777" w:rsidR="00145833" w:rsidRDefault="00145833">
            <w:pPr>
              <w:rPr>
                <w:i/>
                <w:iCs/>
              </w:rPr>
            </w:pPr>
            <w:r>
              <w:rPr>
                <w:i/>
                <w:iCs/>
              </w:rPr>
              <w:t>Proteus mirabilis</w:t>
            </w:r>
          </w:p>
          <w:p w14:paraId="0EFAF843" w14:textId="77777777" w:rsidR="00145833" w:rsidRDefault="00145833">
            <w:r>
              <w:t>Anaerobic streptococcal and peptostreptococcal strains</w:t>
            </w:r>
          </w:p>
        </w:tc>
      </w:tr>
      <w:tr w:rsidR="00145833" w14:paraId="3D423A74" w14:textId="77777777" w:rsidTr="00145833">
        <w:tc>
          <w:tcPr>
            <w:tcW w:w="1615" w:type="dxa"/>
            <w:tcBorders>
              <w:top w:val="single" w:sz="4" w:space="0" w:color="auto"/>
              <w:left w:val="single" w:sz="4" w:space="0" w:color="auto"/>
              <w:bottom w:val="single" w:sz="4" w:space="0" w:color="auto"/>
              <w:right w:val="single" w:sz="4" w:space="0" w:color="auto"/>
            </w:tcBorders>
            <w:hideMark/>
          </w:tcPr>
          <w:p w14:paraId="68F1A9F4" w14:textId="77777777" w:rsidR="00145833" w:rsidRDefault="00145833">
            <w:pPr>
              <w:rPr>
                <w:i/>
                <w:iCs/>
              </w:rPr>
            </w:pPr>
            <w:r>
              <w:rPr>
                <w:i/>
                <w:iCs/>
              </w:rPr>
              <w:t>Intermediate</w:t>
            </w:r>
          </w:p>
        </w:tc>
        <w:tc>
          <w:tcPr>
            <w:tcW w:w="7446" w:type="dxa"/>
            <w:tcBorders>
              <w:top w:val="single" w:sz="4" w:space="0" w:color="auto"/>
              <w:left w:val="single" w:sz="4" w:space="0" w:color="auto"/>
              <w:bottom w:val="single" w:sz="4" w:space="0" w:color="auto"/>
              <w:right w:val="single" w:sz="4" w:space="0" w:color="auto"/>
            </w:tcBorders>
            <w:hideMark/>
          </w:tcPr>
          <w:p w14:paraId="1A11F073" w14:textId="77777777" w:rsidR="00145833" w:rsidRDefault="00145833">
            <w:r>
              <w:rPr>
                <w:i/>
                <w:iCs/>
              </w:rPr>
              <w:t>Escherichia coli</w:t>
            </w:r>
            <w:r>
              <w:t xml:space="preserve"> and </w:t>
            </w:r>
            <w:r>
              <w:rPr>
                <w:i/>
                <w:iCs/>
              </w:rPr>
              <w:t>Acinetobacter</w:t>
            </w:r>
          </w:p>
        </w:tc>
      </w:tr>
      <w:tr w:rsidR="00145833" w14:paraId="0D4BCC91" w14:textId="77777777" w:rsidTr="00145833">
        <w:tc>
          <w:tcPr>
            <w:tcW w:w="1615" w:type="dxa"/>
            <w:tcBorders>
              <w:top w:val="single" w:sz="4" w:space="0" w:color="auto"/>
              <w:left w:val="single" w:sz="4" w:space="0" w:color="auto"/>
              <w:bottom w:val="single" w:sz="4" w:space="0" w:color="auto"/>
              <w:right w:val="single" w:sz="4" w:space="0" w:color="auto"/>
            </w:tcBorders>
            <w:hideMark/>
          </w:tcPr>
          <w:p w14:paraId="30C94357" w14:textId="77777777" w:rsidR="00145833" w:rsidRDefault="00145833">
            <w:pPr>
              <w:rPr>
                <w:i/>
                <w:iCs/>
              </w:rPr>
            </w:pPr>
            <w:r>
              <w:rPr>
                <w:i/>
                <w:iCs/>
              </w:rPr>
              <w:t>Resistant</w:t>
            </w:r>
          </w:p>
        </w:tc>
        <w:tc>
          <w:tcPr>
            <w:tcW w:w="7446" w:type="dxa"/>
            <w:tcBorders>
              <w:top w:val="single" w:sz="4" w:space="0" w:color="auto"/>
              <w:left w:val="single" w:sz="4" w:space="0" w:color="auto"/>
              <w:bottom w:val="single" w:sz="4" w:space="0" w:color="auto"/>
              <w:right w:val="single" w:sz="4" w:space="0" w:color="auto"/>
            </w:tcBorders>
            <w:hideMark/>
          </w:tcPr>
          <w:p w14:paraId="34293A39" w14:textId="77777777" w:rsidR="00145833" w:rsidRDefault="00145833">
            <w:pPr>
              <w:rPr>
                <w:i/>
                <w:iCs/>
              </w:rPr>
            </w:pPr>
            <w:r>
              <w:rPr>
                <w:i/>
                <w:iCs/>
              </w:rPr>
              <w:t>Staphylococci</w:t>
            </w:r>
          </w:p>
          <w:p w14:paraId="2CAB597A" w14:textId="77777777" w:rsidR="00145833" w:rsidRDefault="00145833">
            <w:pPr>
              <w:rPr>
                <w:i/>
                <w:iCs/>
              </w:rPr>
            </w:pPr>
            <w:r>
              <w:rPr>
                <w:i/>
                <w:iCs/>
              </w:rPr>
              <w:lastRenderedPageBreak/>
              <w:t>Moraxella catarrhalis</w:t>
            </w:r>
          </w:p>
          <w:p w14:paraId="44945CB6" w14:textId="77777777" w:rsidR="00145833" w:rsidRDefault="00145833">
            <w:r>
              <w:t xml:space="preserve">Beta lactamase-producing </w:t>
            </w:r>
            <w:r>
              <w:rPr>
                <w:i/>
                <w:iCs/>
              </w:rPr>
              <w:t>Haemophilus influenzae</w:t>
            </w:r>
          </w:p>
          <w:p w14:paraId="0AB57F39" w14:textId="77777777" w:rsidR="00145833" w:rsidRDefault="00145833">
            <w:pPr>
              <w:rPr>
                <w:i/>
                <w:iCs/>
              </w:rPr>
            </w:pPr>
            <w:r>
              <w:rPr>
                <w:i/>
                <w:iCs/>
              </w:rPr>
              <w:t>Citrobacter</w:t>
            </w:r>
          </w:p>
          <w:p w14:paraId="6FDE5DA9" w14:textId="77777777" w:rsidR="00145833" w:rsidRDefault="00145833">
            <w:pPr>
              <w:rPr>
                <w:i/>
                <w:iCs/>
              </w:rPr>
            </w:pPr>
            <w:r>
              <w:rPr>
                <w:i/>
                <w:iCs/>
              </w:rPr>
              <w:t>Klebsiella</w:t>
            </w:r>
          </w:p>
          <w:p w14:paraId="40BBFFD3" w14:textId="77777777" w:rsidR="00145833" w:rsidRDefault="00145833">
            <w:pPr>
              <w:rPr>
                <w:i/>
                <w:iCs/>
              </w:rPr>
            </w:pPr>
            <w:r>
              <w:rPr>
                <w:i/>
                <w:iCs/>
              </w:rPr>
              <w:t>Enterobacter</w:t>
            </w:r>
          </w:p>
          <w:p w14:paraId="07521CFE" w14:textId="77777777" w:rsidR="00145833" w:rsidRDefault="00145833">
            <w:pPr>
              <w:rPr>
                <w:i/>
                <w:iCs/>
              </w:rPr>
            </w:pPr>
            <w:r>
              <w:rPr>
                <w:i/>
                <w:iCs/>
              </w:rPr>
              <w:t>Morganella morganii</w:t>
            </w:r>
          </w:p>
          <w:p w14:paraId="742EFFDB" w14:textId="77777777" w:rsidR="00145833" w:rsidRDefault="00145833">
            <w:pPr>
              <w:rPr>
                <w:i/>
                <w:iCs/>
              </w:rPr>
            </w:pPr>
            <w:r>
              <w:rPr>
                <w:i/>
                <w:iCs/>
              </w:rPr>
              <w:t>Proteus vulgaris</w:t>
            </w:r>
          </w:p>
          <w:p w14:paraId="4A1A6E9E" w14:textId="77777777" w:rsidR="00145833" w:rsidRDefault="00145833">
            <w:pPr>
              <w:rPr>
                <w:i/>
                <w:iCs/>
              </w:rPr>
            </w:pPr>
            <w:r>
              <w:rPr>
                <w:i/>
                <w:iCs/>
              </w:rPr>
              <w:t>Providencia</w:t>
            </w:r>
          </w:p>
          <w:p w14:paraId="73127930" w14:textId="77777777" w:rsidR="00145833" w:rsidRDefault="00145833">
            <w:pPr>
              <w:rPr>
                <w:i/>
                <w:iCs/>
              </w:rPr>
            </w:pPr>
            <w:r>
              <w:rPr>
                <w:i/>
                <w:iCs/>
              </w:rPr>
              <w:t>Serratia</w:t>
            </w:r>
          </w:p>
          <w:p w14:paraId="26C025D1" w14:textId="77777777" w:rsidR="00145833" w:rsidRDefault="00145833">
            <w:pPr>
              <w:rPr>
                <w:i/>
                <w:iCs/>
              </w:rPr>
            </w:pPr>
            <w:r>
              <w:rPr>
                <w:i/>
                <w:iCs/>
              </w:rPr>
              <w:t>Pseudomonas</w:t>
            </w:r>
          </w:p>
          <w:p w14:paraId="347794AC" w14:textId="77777777" w:rsidR="00145833" w:rsidRDefault="00145833">
            <w:pPr>
              <w:rPr>
                <w:i/>
                <w:iCs/>
              </w:rPr>
            </w:pPr>
            <w:r>
              <w:rPr>
                <w:i/>
                <w:iCs/>
              </w:rPr>
              <w:t>Legionella</w:t>
            </w:r>
          </w:p>
          <w:p w14:paraId="6A8F6AD7" w14:textId="77777777" w:rsidR="00145833" w:rsidRDefault="00145833">
            <w:pPr>
              <w:rPr>
                <w:i/>
                <w:iCs/>
              </w:rPr>
            </w:pPr>
            <w:r>
              <w:rPr>
                <w:i/>
                <w:iCs/>
              </w:rPr>
              <w:t>Clostridioides difficile</w:t>
            </w:r>
          </w:p>
          <w:p w14:paraId="1B02AA93" w14:textId="77777777" w:rsidR="00145833" w:rsidRDefault="00145833">
            <w:pPr>
              <w:rPr>
                <w:i/>
                <w:iCs/>
              </w:rPr>
            </w:pPr>
            <w:r>
              <w:rPr>
                <w:i/>
                <w:iCs/>
              </w:rPr>
              <w:t>Bacteroides fragilis</w:t>
            </w:r>
          </w:p>
          <w:p w14:paraId="50569587" w14:textId="77777777" w:rsidR="00145833" w:rsidRDefault="00145833">
            <w:r>
              <w:rPr>
                <w:i/>
                <w:iCs/>
              </w:rPr>
              <w:t>Mycoplasma</w:t>
            </w:r>
            <w:r>
              <w:t xml:space="preserve"> spp.</w:t>
            </w:r>
          </w:p>
          <w:p w14:paraId="24B34ADD" w14:textId="77777777" w:rsidR="00145833" w:rsidRDefault="00145833">
            <w:pPr>
              <w:rPr>
                <w:i/>
                <w:iCs/>
              </w:rPr>
            </w:pPr>
            <w:r>
              <w:rPr>
                <w:i/>
                <w:iCs/>
              </w:rPr>
              <w:t>Chlamydia</w:t>
            </w:r>
          </w:p>
        </w:tc>
      </w:tr>
    </w:tbl>
    <w:p w14:paraId="2FF386B5" w14:textId="37AA9E5F" w:rsidR="00145833" w:rsidRPr="00145833" w:rsidRDefault="00145833" w:rsidP="00145833">
      <w:pPr>
        <w:tabs>
          <w:tab w:val="left" w:pos="1304"/>
        </w:tabs>
        <w:ind w:left="851"/>
        <w:rPr>
          <w:sz w:val="24"/>
          <w:szCs w:val="24"/>
          <w:lang w:val="en-GB" w:eastAsia="en-US"/>
        </w:rPr>
      </w:pPr>
      <w:r w:rsidRPr="00145833">
        <w:rPr>
          <w:sz w:val="24"/>
          <w:szCs w:val="24"/>
          <w:lang w:val="en-US"/>
        </w:rPr>
        <w:lastRenderedPageBreak/>
        <w:t>Resistance occurs (1-10</w:t>
      </w:r>
      <w:r w:rsidR="00F246AD">
        <w:rPr>
          <w:sz w:val="24"/>
          <w:szCs w:val="24"/>
          <w:lang w:val="en-US"/>
        </w:rPr>
        <w:t xml:space="preserve"> </w:t>
      </w:r>
      <w:r w:rsidRPr="00145833">
        <w:rPr>
          <w:sz w:val="24"/>
          <w:szCs w:val="24"/>
          <w:lang w:val="en-US"/>
        </w:rPr>
        <w:t xml:space="preserve">%) in pneumococci and </w:t>
      </w:r>
      <w:r w:rsidRPr="00145833">
        <w:rPr>
          <w:i/>
          <w:iCs/>
          <w:sz w:val="24"/>
          <w:szCs w:val="24"/>
          <w:lang w:val="en-US"/>
        </w:rPr>
        <w:t>Enterococcus faecalis</w:t>
      </w:r>
      <w:r w:rsidRPr="00145833">
        <w:rPr>
          <w:sz w:val="24"/>
          <w:szCs w:val="24"/>
          <w:lang w:val="en-US"/>
        </w:rPr>
        <w:t>.</w:t>
      </w:r>
    </w:p>
    <w:p w14:paraId="2C8391CA" w14:textId="278A6FB1" w:rsidR="00145833" w:rsidRPr="00145833" w:rsidRDefault="00145833" w:rsidP="00145833">
      <w:pPr>
        <w:ind w:left="851"/>
        <w:rPr>
          <w:sz w:val="24"/>
          <w:szCs w:val="24"/>
          <w:lang w:val="en-US"/>
        </w:rPr>
      </w:pPr>
      <w:r w:rsidRPr="00145833">
        <w:rPr>
          <w:sz w:val="24"/>
          <w:szCs w:val="24"/>
          <w:lang w:val="en-US"/>
        </w:rPr>
        <w:t>Resistance is common (&gt;10</w:t>
      </w:r>
      <w:r w:rsidR="00F246AD">
        <w:rPr>
          <w:sz w:val="24"/>
          <w:szCs w:val="24"/>
          <w:lang w:val="en-US"/>
        </w:rPr>
        <w:t xml:space="preserve"> </w:t>
      </w:r>
      <w:r w:rsidRPr="00145833">
        <w:rPr>
          <w:sz w:val="24"/>
          <w:szCs w:val="24"/>
          <w:lang w:val="en-US"/>
        </w:rPr>
        <w:t xml:space="preserve">%) in </w:t>
      </w:r>
      <w:r w:rsidRPr="00145833">
        <w:rPr>
          <w:i/>
          <w:iCs/>
          <w:sz w:val="24"/>
          <w:szCs w:val="24"/>
          <w:lang w:val="en-US"/>
        </w:rPr>
        <w:t>Enterococcus faecium</w:t>
      </w:r>
      <w:r w:rsidRPr="00145833">
        <w:rPr>
          <w:sz w:val="24"/>
          <w:szCs w:val="24"/>
          <w:lang w:val="en-US"/>
        </w:rPr>
        <w:t xml:space="preserve">, </w:t>
      </w:r>
      <w:r w:rsidRPr="00145833">
        <w:rPr>
          <w:i/>
          <w:iCs/>
          <w:sz w:val="24"/>
          <w:szCs w:val="24"/>
          <w:lang w:val="en-US"/>
        </w:rPr>
        <w:t>Haemophilus influenzae</w:t>
      </w:r>
      <w:r w:rsidRPr="00145833">
        <w:rPr>
          <w:sz w:val="24"/>
          <w:szCs w:val="24"/>
          <w:lang w:val="en-US"/>
        </w:rPr>
        <w:t xml:space="preserve"> and gram-negative intestinal bacteria.</w:t>
      </w:r>
    </w:p>
    <w:p w14:paraId="4E7CC986" w14:textId="77777777" w:rsidR="00145833" w:rsidRPr="00145833" w:rsidRDefault="00145833" w:rsidP="00145833">
      <w:pPr>
        <w:ind w:left="851"/>
        <w:rPr>
          <w:sz w:val="24"/>
          <w:szCs w:val="24"/>
          <w:lang w:val="en-US"/>
        </w:rPr>
      </w:pPr>
    </w:p>
    <w:p w14:paraId="244BFD09" w14:textId="77777777" w:rsidR="00145833" w:rsidRPr="00145833" w:rsidRDefault="00145833" w:rsidP="00145833">
      <w:pPr>
        <w:ind w:left="851"/>
        <w:rPr>
          <w:iCs/>
          <w:sz w:val="24"/>
          <w:szCs w:val="24"/>
          <w:u w:val="single"/>
          <w:lang w:val="en-US"/>
        </w:rPr>
      </w:pPr>
      <w:r w:rsidRPr="00145833">
        <w:rPr>
          <w:iCs/>
          <w:sz w:val="24"/>
          <w:szCs w:val="24"/>
          <w:u w:val="single"/>
          <w:lang w:val="en-US"/>
        </w:rPr>
        <w:t>Mechanisms of resistance</w:t>
      </w:r>
    </w:p>
    <w:p w14:paraId="12371691" w14:textId="77777777" w:rsidR="00145833" w:rsidRPr="00145833" w:rsidRDefault="00145833" w:rsidP="00145833">
      <w:pPr>
        <w:ind w:left="851"/>
        <w:rPr>
          <w:sz w:val="24"/>
          <w:szCs w:val="24"/>
          <w:lang w:val="en-US"/>
        </w:rPr>
      </w:pPr>
      <w:r w:rsidRPr="00145833">
        <w:rPr>
          <w:sz w:val="24"/>
          <w:szCs w:val="24"/>
          <w:lang w:val="en-US"/>
        </w:rPr>
        <w:t>Resistance may be due to bacterial synthesis of a large number of beta-lactamase hydrolyzes the penicillin. Several of these can be inhibited with clavulanic acid. In addition, resistance may occur due to production of altered pencillin binding proteins (PBPs). Resistance is often plasmid mediated.</w:t>
      </w:r>
    </w:p>
    <w:p w14:paraId="66697969" w14:textId="77777777" w:rsidR="00145833" w:rsidRPr="00145833" w:rsidRDefault="00145833" w:rsidP="00145833">
      <w:pPr>
        <w:ind w:left="851"/>
        <w:rPr>
          <w:sz w:val="24"/>
          <w:szCs w:val="24"/>
          <w:lang w:val="en-US"/>
        </w:rPr>
      </w:pPr>
      <w:r w:rsidRPr="00145833">
        <w:rPr>
          <w:sz w:val="24"/>
          <w:szCs w:val="24"/>
          <w:lang w:val="en-US"/>
        </w:rPr>
        <w:t>Cross resistance occurs within the beta-lactam group (penicillins and cephalosporins).</w:t>
      </w:r>
    </w:p>
    <w:p w14:paraId="7763AEF2" w14:textId="77777777" w:rsidR="00145833" w:rsidRPr="00145833" w:rsidRDefault="00145833" w:rsidP="00145833">
      <w:pPr>
        <w:ind w:left="851"/>
        <w:rPr>
          <w:sz w:val="24"/>
          <w:szCs w:val="24"/>
          <w:lang w:val="en-US"/>
        </w:rPr>
      </w:pPr>
    </w:p>
    <w:p w14:paraId="463B7924" w14:textId="77777777" w:rsidR="00145833" w:rsidRPr="00145833" w:rsidRDefault="00145833" w:rsidP="00145833">
      <w:pPr>
        <w:ind w:left="851"/>
        <w:rPr>
          <w:iCs/>
          <w:sz w:val="24"/>
          <w:szCs w:val="24"/>
          <w:u w:val="single"/>
          <w:lang w:val="en-US"/>
        </w:rPr>
      </w:pPr>
      <w:r w:rsidRPr="00145833">
        <w:rPr>
          <w:iCs/>
          <w:sz w:val="24"/>
          <w:szCs w:val="24"/>
          <w:u w:val="single"/>
          <w:lang w:val="en-US"/>
        </w:rPr>
        <w:t>Development of resistance</w:t>
      </w:r>
    </w:p>
    <w:p w14:paraId="72A34466" w14:textId="77777777" w:rsidR="00145833" w:rsidRPr="00145833" w:rsidRDefault="00145833" w:rsidP="00145833">
      <w:pPr>
        <w:ind w:left="851"/>
        <w:rPr>
          <w:sz w:val="24"/>
          <w:szCs w:val="24"/>
          <w:lang w:val="en-US"/>
        </w:rPr>
      </w:pPr>
      <w:r w:rsidRPr="00145833">
        <w:rPr>
          <w:sz w:val="24"/>
          <w:szCs w:val="24"/>
          <w:lang w:val="en-US"/>
        </w:rPr>
        <w:t>Penicillin-resistant pneumococci are resistant to ampicillin. These are unusual rare in Sweden but common in some parts of Europe.</w:t>
      </w:r>
    </w:p>
    <w:p w14:paraId="7C83F396" w14:textId="77777777" w:rsidR="00145833" w:rsidRPr="00145833" w:rsidRDefault="00145833" w:rsidP="00145833">
      <w:pPr>
        <w:ind w:left="851"/>
        <w:rPr>
          <w:sz w:val="24"/>
          <w:szCs w:val="24"/>
          <w:lang w:val="en-US"/>
        </w:rPr>
      </w:pPr>
      <w:r w:rsidRPr="00145833">
        <w:rPr>
          <w:sz w:val="24"/>
          <w:szCs w:val="24"/>
          <w:lang w:val="en-US"/>
        </w:rPr>
        <w:t>The bacterial resistance varies geographically and information on the local resistance conditions should be obtained from the local microbiological laboratory.</w:t>
      </w:r>
    </w:p>
    <w:p w14:paraId="5CD0A38C" w14:textId="77777777" w:rsidR="007C5D2A" w:rsidRPr="00145833" w:rsidRDefault="007C5D2A" w:rsidP="00145833">
      <w:pPr>
        <w:tabs>
          <w:tab w:val="left" w:pos="851"/>
        </w:tabs>
        <w:ind w:left="851"/>
        <w:rPr>
          <w:sz w:val="24"/>
          <w:szCs w:val="24"/>
          <w:lang w:val="en-US"/>
        </w:rPr>
      </w:pPr>
    </w:p>
    <w:p w14:paraId="4B1F0D7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2AB4591F" w14:textId="1A4A8103" w:rsidR="00A85DD6" w:rsidRPr="00A85DD6" w:rsidRDefault="00A85DD6" w:rsidP="00A85DD6">
      <w:pPr>
        <w:tabs>
          <w:tab w:val="left" w:pos="851"/>
        </w:tabs>
        <w:ind w:left="851"/>
        <w:rPr>
          <w:sz w:val="24"/>
          <w:szCs w:val="24"/>
          <w:lang w:val="en-GB"/>
        </w:rPr>
      </w:pPr>
      <w:r w:rsidRPr="00A85DD6">
        <w:rPr>
          <w:sz w:val="24"/>
          <w:szCs w:val="24"/>
          <w:lang w:val="en-GB"/>
        </w:rPr>
        <w:t>When 2 g of ampicillin is given as an intermittent infusion, a maximum serum concentration of about 100 micrograms/ml is achieved, after about 4 hours about 4 micrograms/ml. The biological half-life in serum is 55-60 minutes. Ampicillin penetrates the blood cerebrospinal fluid barrier better in meningitis. On average concentration is 10-35</w:t>
      </w:r>
      <w:r>
        <w:rPr>
          <w:sz w:val="24"/>
          <w:szCs w:val="24"/>
          <w:lang w:val="en-GB"/>
        </w:rPr>
        <w:t xml:space="preserve"> </w:t>
      </w:r>
      <w:r w:rsidRPr="00A85DD6">
        <w:rPr>
          <w:sz w:val="24"/>
          <w:szCs w:val="24"/>
          <w:lang w:val="en-GB"/>
        </w:rPr>
        <w:t>% of the serum concentration.</w:t>
      </w:r>
    </w:p>
    <w:p w14:paraId="4CFED0CB" w14:textId="77777777" w:rsidR="007C5D2A" w:rsidRPr="00303008" w:rsidRDefault="007C5D2A" w:rsidP="003E0341">
      <w:pPr>
        <w:tabs>
          <w:tab w:val="left" w:pos="851"/>
        </w:tabs>
        <w:ind w:left="851"/>
        <w:rPr>
          <w:sz w:val="24"/>
          <w:szCs w:val="24"/>
          <w:lang w:val="en-GB"/>
        </w:rPr>
      </w:pPr>
    </w:p>
    <w:p w14:paraId="669CD2F6"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355E9C72" w14:textId="77777777" w:rsidR="00A85DD6" w:rsidRPr="00A85DD6" w:rsidRDefault="00A85DD6" w:rsidP="00A85DD6">
      <w:pPr>
        <w:tabs>
          <w:tab w:val="left" w:pos="851"/>
        </w:tabs>
        <w:ind w:left="851"/>
        <w:rPr>
          <w:sz w:val="24"/>
          <w:szCs w:val="24"/>
          <w:lang w:val="en-GB"/>
        </w:rPr>
      </w:pPr>
      <w:r w:rsidRPr="00A85DD6">
        <w:rPr>
          <w:sz w:val="24"/>
          <w:szCs w:val="24"/>
          <w:lang w:val="en-GB"/>
        </w:rPr>
        <w:t>There are no preclinical data of relevance to the safety assessment beyond what has already been taken into account in the SPC.</w:t>
      </w:r>
    </w:p>
    <w:p w14:paraId="67A94FAF" w14:textId="77777777" w:rsidR="007C5D2A" w:rsidRPr="00A85DD6" w:rsidRDefault="007C5D2A" w:rsidP="003E0341">
      <w:pPr>
        <w:tabs>
          <w:tab w:val="left" w:pos="851"/>
        </w:tabs>
        <w:ind w:left="851"/>
        <w:rPr>
          <w:sz w:val="24"/>
          <w:szCs w:val="24"/>
          <w:lang w:val="en-GB"/>
        </w:rPr>
      </w:pPr>
    </w:p>
    <w:p w14:paraId="6562E9B4" w14:textId="77777777" w:rsidR="007C5D2A" w:rsidRPr="00303008" w:rsidRDefault="007C5D2A" w:rsidP="003E0341">
      <w:pPr>
        <w:tabs>
          <w:tab w:val="left" w:pos="851"/>
        </w:tabs>
        <w:ind w:left="851"/>
        <w:rPr>
          <w:sz w:val="24"/>
          <w:szCs w:val="24"/>
          <w:lang w:val="en-GB"/>
        </w:rPr>
      </w:pPr>
    </w:p>
    <w:p w14:paraId="1EAC8545"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5B816A9A" w14:textId="77777777" w:rsidR="007C5D2A" w:rsidRPr="00303008" w:rsidRDefault="007C5D2A" w:rsidP="003E0341">
      <w:pPr>
        <w:tabs>
          <w:tab w:val="left" w:pos="851"/>
        </w:tabs>
        <w:ind w:left="851"/>
        <w:rPr>
          <w:sz w:val="24"/>
          <w:szCs w:val="24"/>
          <w:lang w:val="en-GB"/>
        </w:rPr>
      </w:pPr>
    </w:p>
    <w:p w14:paraId="0EE37B2D"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47F93009" w14:textId="3518F822" w:rsidR="007C5D2A" w:rsidRPr="00303008" w:rsidRDefault="00A85DD6" w:rsidP="00A85D26">
      <w:pPr>
        <w:tabs>
          <w:tab w:val="left" w:pos="851"/>
        </w:tabs>
        <w:ind w:left="851"/>
        <w:rPr>
          <w:sz w:val="24"/>
          <w:szCs w:val="24"/>
          <w:lang w:val="en-GB"/>
        </w:rPr>
      </w:pPr>
      <w:r>
        <w:rPr>
          <w:sz w:val="24"/>
          <w:szCs w:val="24"/>
          <w:lang w:val="en-GB"/>
        </w:rPr>
        <w:t>-</w:t>
      </w:r>
    </w:p>
    <w:p w14:paraId="3DB49612" w14:textId="5B8568F5" w:rsidR="00A85DD6" w:rsidRDefault="00A85DD6">
      <w:pPr>
        <w:rPr>
          <w:sz w:val="24"/>
          <w:szCs w:val="24"/>
          <w:lang w:val="en-GB"/>
        </w:rPr>
      </w:pPr>
      <w:r>
        <w:rPr>
          <w:sz w:val="24"/>
          <w:szCs w:val="24"/>
          <w:lang w:val="en-GB"/>
        </w:rPr>
        <w:br w:type="page"/>
      </w:r>
    </w:p>
    <w:p w14:paraId="2818776A" w14:textId="77777777" w:rsidR="007C5D2A" w:rsidRPr="00303008" w:rsidRDefault="007C5D2A" w:rsidP="003D727E">
      <w:pPr>
        <w:tabs>
          <w:tab w:val="left" w:pos="851"/>
        </w:tabs>
        <w:ind w:left="851"/>
        <w:rPr>
          <w:sz w:val="24"/>
          <w:szCs w:val="24"/>
          <w:lang w:val="en-GB"/>
        </w:rPr>
      </w:pPr>
    </w:p>
    <w:p w14:paraId="53EE1158"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0B8D7CF5" w14:textId="77777777" w:rsidR="00A85DD6" w:rsidRPr="00A85DD6" w:rsidRDefault="00A85DD6" w:rsidP="00A85DD6">
      <w:pPr>
        <w:tabs>
          <w:tab w:val="left" w:pos="851"/>
        </w:tabs>
        <w:ind w:left="851"/>
        <w:rPr>
          <w:sz w:val="24"/>
          <w:szCs w:val="24"/>
          <w:lang w:val="en-GB"/>
        </w:rPr>
      </w:pPr>
      <w:r w:rsidRPr="00A85DD6">
        <w:rPr>
          <w:sz w:val="24"/>
          <w:szCs w:val="24"/>
          <w:lang w:val="en-GB"/>
        </w:rPr>
        <w:t>This medicinal product must not be mixed with other medicinal products except those mentioned in section 6.6.</w:t>
      </w:r>
    </w:p>
    <w:p w14:paraId="2C57C7DE" w14:textId="77777777" w:rsidR="007C5D2A" w:rsidRPr="00A85DD6" w:rsidRDefault="007C5D2A" w:rsidP="003E0341">
      <w:pPr>
        <w:tabs>
          <w:tab w:val="left" w:pos="851"/>
        </w:tabs>
        <w:ind w:left="851"/>
        <w:rPr>
          <w:sz w:val="24"/>
          <w:szCs w:val="24"/>
          <w:lang w:val="en-GB"/>
        </w:rPr>
      </w:pPr>
    </w:p>
    <w:p w14:paraId="3E9B5A81"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0A4E8883" w14:textId="56975E10" w:rsidR="00A85DD6" w:rsidRPr="00A85DD6" w:rsidRDefault="00A85DD6" w:rsidP="00A85DD6">
      <w:pPr>
        <w:tabs>
          <w:tab w:val="left" w:pos="851"/>
        </w:tabs>
        <w:ind w:left="851"/>
        <w:rPr>
          <w:sz w:val="24"/>
          <w:szCs w:val="24"/>
          <w:lang w:val="en-GB"/>
        </w:rPr>
      </w:pPr>
      <w:r w:rsidRPr="00A85DD6">
        <w:rPr>
          <w:sz w:val="24"/>
          <w:szCs w:val="24"/>
          <w:lang w:val="en-GB"/>
        </w:rPr>
        <w:t>36 months</w:t>
      </w:r>
      <w:r>
        <w:rPr>
          <w:sz w:val="24"/>
          <w:szCs w:val="24"/>
          <w:lang w:val="en-GB"/>
        </w:rPr>
        <w:t>.</w:t>
      </w:r>
    </w:p>
    <w:p w14:paraId="01D7CFF4" w14:textId="77777777" w:rsidR="00A85DD6" w:rsidRPr="00A85DD6" w:rsidRDefault="00A85DD6" w:rsidP="00A85DD6">
      <w:pPr>
        <w:tabs>
          <w:tab w:val="left" w:pos="851"/>
        </w:tabs>
        <w:ind w:left="851"/>
        <w:rPr>
          <w:sz w:val="24"/>
          <w:szCs w:val="24"/>
          <w:lang w:val="en-GB"/>
        </w:rPr>
      </w:pPr>
    </w:p>
    <w:p w14:paraId="4F516642" w14:textId="77777777" w:rsidR="00A85DD6" w:rsidRPr="00A85DD6" w:rsidRDefault="00A85DD6" w:rsidP="00A85DD6">
      <w:pPr>
        <w:tabs>
          <w:tab w:val="left" w:pos="851"/>
        </w:tabs>
        <w:ind w:left="851"/>
        <w:rPr>
          <w:sz w:val="24"/>
          <w:szCs w:val="24"/>
          <w:lang w:val="en-GB"/>
        </w:rPr>
      </w:pPr>
      <w:bookmarkStart w:id="7" w:name="_Hlk163549240"/>
      <w:r w:rsidRPr="00A85DD6">
        <w:rPr>
          <w:sz w:val="24"/>
          <w:szCs w:val="24"/>
          <w:lang w:val="en-GB"/>
        </w:rPr>
        <w:t>After reconstitution the solution should be used immediately after preparation.</w:t>
      </w:r>
      <w:bookmarkEnd w:id="7"/>
    </w:p>
    <w:p w14:paraId="38FBEEE3" w14:textId="77777777" w:rsidR="007C5D2A" w:rsidRPr="00A85DD6" w:rsidRDefault="007C5D2A" w:rsidP="003E0341">
      <w:pPr>
        <w:tabs>
          <w:tab w:val="left" w:pos="851"/>
        </w:tabs>
        <w:ind w:left="851"/>
        <w:rPr>
          <w:sz w:val="24"/>
          <w:szCs w:val="24"/>
          <w:lang w:val="en-GB"/>
        </w:rPr>
      </w:pPr>
    </w:p>
    <w:p w14:paraId="34084A7D"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20FE01C6" w14:textId="77777777" w:rsidR="00A85DD6" w:rsidRPr="00A85DD6" w:rsidRDefault="00A85DD6" w:rsidP="00A85DD6">
      <w:pPr>
        <w:tabs>
          <w:tab w:val="left" w:pos="851"/>
        </w:tabs>
        <w:ind w:left="851"/>
        <w:rPr>
          <w:sz w:val="24"/>
          <w:szCs w:val="24"/>
          <w:lang w:val="en-GB"/>
        </w:rPr>
      </w:pPr>
      <w:r w:rsidRPr="00A85DD6">
        <w:rPr>
          <w:sz w:val="24"/>
          <w:szCs w:val="24"/>
          <w:lang w:val="en-GB"/>
        </w:rPr>
        <w:t>This medicinal product does not require any special storage conditions.</w:t>
      </w:r>
    </w:p>
    <w:p w14:paraId="4B96C88B" w14:textId="77777777" w:rsidR="00A85DD6" w:rsidRPr="00A85DD6" w:rsidRDefault="00A85DD6" w:rsidP="00A85DD6">
      <w:pPr>
        <w:tabs>
          <w:tab w:val="left" w:pos="851"/>
        </w:tabs>
        <w:ind w:left="851"/>
        <w:rPr>
          <w:sz w:val="24"/>
          <w:szCs w:val="24"/>
          <w:lang w:val="en-GB"/>
        </w:rPr>
      </w:pPr>
    </w:p>
    <w:p w14:paraId="72985E80" w14:textId="77777777" w:rsidR="00A85DD6" w:rsidRPr="00A85DD6" w:rsidRDefault="00A85DD6" w:rsidP="00A85DD6">
      <w:pPr>
        <w:tabs>
          <w:tab w:val="left" w:pos="851"/>
        </w:tabs>
        <w:ind w:left="851"/>
        <w:rPr>
          <w:sz w:val="24"/>
          <w:szCs w:val="24"/>
          <w:lang w:val="en-GB"/>
        </w:rPr>
      </w:pPr>
      <w:r w:rsidRPr="00A85DD6">
        <w:rPr>
          <w:sz w:val="24"/>
          <w:szCs w:val="24"/>
          <w:lang w:val="en-GB"/>
        </w:rPr>
        <w:t>For storage conditions after reconstitution of the medicinal product, see section 6.3.</w:t>
      </w:r>
    </w:p>
    <w:p w14:paraId="54C62470" w14:textId="77777777" w:rsidR="007C5D2A" w:rsidRPr="00A85DD6" w:rsidRDefault="007C5D2A" w:rsidP="003E0341">
      <w:pPr>
        <w:tabs>
          <w:tab w:val="left" w:pos="851"/>
        </w:tabs>
        <w:ind w:left="851"/>
        <w:rPr>
          <w:sz w:val="24"/>
          <w:szCs w:val="24"/>
          <w:lang w:val="en-GB"/>
        </w:rPr>
      </w:pPr>
    </w:p>
    <w:p w14:paraId="5070C68F"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532FEE98" w14:textId="399AAE86" w:rsidR="00A85DD6" w:rsidRPr="00A85DD6" w:rsidRDefault="00A85DD6" w:rsidP="00A85DD6">
      <w:pPr>
        <w:tabs>
          <w:tab w:val="left" w:pos="851"/>
        </w:tabs>
        <w:ind w:left="851"/>
        <w:rPr>
          <w:sz w:val="24"/>
          <w:szCs w:val="24"/>
          <w:lang w:val="en-GB"/>
        </w:rPr>
      </w:pPr>
      <w:r w:rsidRPr="00A85DD6">
        <w:rPr>
          <w:sz w:val="24"/>
          <w:szCs w:val="24"/>
          <w:lang w:val="en-GB"/>
        </w:rPr>
        <w:t>Clear glass (type III) vials of nominal capacity 8</w:t>
      </w:r>
      <w:r>
        <w:rPr>
          <w:sz w:val="24"/>
          <w:szCs w:val="24"/>
          <w:lang w:val="en-GB"/>
        </w:rPr>
        <w:t xml:space="preserve"> </w:t>
      </w:r>
      <w:r w:rsidRPr="00A85DD6">
        <w:rPr>
          <w:sz w:val="24"/>
          <w:szCs w:val="24"/>
          <w:lang w:val="en-GB"/>
        </w:rPr>
        <w:t>ml or 20</w:t>
      </w:r>
      <w:r>
        <w:rPr>
          <w:sz w:val="24"/>
          <w:szCs w:val="24"/>
          <w:lang w:val="en-GB"/>
        </w:rPr>
        <w:t xml:space="preserve"> </w:t>
      </w:r>
      <w:r w:rsidRPr="00A85DD6">
        <w:rPr>
          <w:sz w:val="24"/>
          <w:szCs w:val="24"/>
          <w:lang w:val="en-GB"/>
        </w:rPr>
        <w:t xml:space="preserve">ml (only for 2g) sealed with a </w:t>
      </w:r>
      <w:bookmarkStart w:id="8" w:name="_Hlk156377961"/>
      <w:r w:rsidRPr="00A85DD6">
        <w:rPr>
          <w:sz w:val="24"/>
          <w:szCs w:val="24"/>
          <w:lang w:val="en-GB"/>
        </w:rPr>
        <w:t xml:space="preserve">chlorobutyl </w:t>
      </w:r>
      <w:bookmarkEnd w:id="8"/>
      <w:r w:rsidRPr="00A85DD6">
        <w:rPr>
          <w:sz w:val="24"/>
          <w:szCs w:val="24"/>
          <w:lang w:val="en-GB"/>
        </w:rPr>
        <w:t xml:space="preserve">rubber stopper and aluminium cap (with or without a plastic grey flip-off seal). </w:t>
      </w:r>
    </w:p>
    <w:p w14:paraId="70E12C7C" w14:textId="77777777" w:rsidR="00A85DD6" w:rsidRPr="00A85DD6" w:rsidRDefault="00A85DD6" w:rsidP="00A85DD6">
      <w:pPr>
        <w:tabs>
          <w:tab w:val="left" w:pos="851"/>
        </w:tabs>
        <w:ind w:left="851"/>
        <w:rPr>
          <w:sz w:val="24"/>
          <w:szCs w:val="24"/>
          <w:lang w:val="en-GB"/>
        </w:rPr>
      </w:pPr>
    </w:p>
    <w:p w14:paraId="09748723" w14:textId="4B4DDCA5" w:rsidR="00A85DD6" w:rsidRPr="00A85DD6" w:rsidRDefault="00A85DD6" w:rsidP="00A85DD6">
      <w:pPr>
        <w:tabs>
          <w:tab w:val="left" w:pos="851"/>
        </w:tabs>
        <w:ind w:left="851"/>
        <w:rPr>
          <w:sz w:val="24"/>
          <w:szCs w:val="24"/>
          <w:u w:val="single"/>
          <w:lang w:val="en-GB"/>
        </w:rPr>
      </w:pPr>
      <w:r w:rsidRPr="00A85DD6">
        <w:rPr>
          <w:sz w:val="24"/>
          <w:szCs w:val="24"/>
          <w:u w:val="single"/>
          <w:lang w:val="en-GB"/>
        </w:rPr>
        <w:t>Pack sizes</w:t>
      </w:r>
    </w:p>
    <w:p w14:paraId="56710761" w14:textId="6BAD4EF6" w:rsidR="00A85DD6" w:rsidRPr="00A85DD6" w:rsidRDefault="00A85DD6" w:rsidP="00A85DD6">
      <w:pPr>
        <w:tabs>
          <w:tab w:val="left" w:pos="851"/>
        </w:tabs>
        <w:ind w:left="851"/>
        <w:rPr>
          <w:sz w:val="24"/>
          <w:szCs w:val="24"/>
          <w:lang w:val="en-GB"/>
        </w:rPr>
      </w:pPr>
      <w:r w:rsidRPr="00A85DD6">
        <w:rPr>
          <w:sz w:val="24"/>
          <w:szCs w:val="24"/>
          <w:lang w:val="en-GB"/>
        </w:rPr>
        <w:t xml:space="preserve">Boxes of 1, 10, 25, 50 </w:t>
      </w:r>
      <w:r>
        <w:rPr>
          <w:sz w:val="24"/>
          <w:szCs w:val="24"/>
          <w:lang w:val="en-GB"/>
        </w:rPr>
        <w:t>and</w:t>
      </w:r>
      <w:r w:rsidRPr="00A85DD6">
        <w:rPr>
          <w:sz w:val="24"/>
          <w:szCs w:val="24"/>
          <w:lang w:val="en-GB"/>
        </w:rPr>
        <w:t xml:space="preserve"> 100 vials</w:t>
      </w:r>
      <w:r>
        <w:rPr>
          <w:sz w:val="24"/>
          <w:szCs w:val="24"/>
          <w:lang w:val="en-GB"/>
        </w:rPr>
        <w:t>.</w:t>
      </w:r>
    </w:p>
    <w:p w14:paraId="493500E2" w14:textId="77777777" w:rsidR="00A85DD6" w:rsidRPr="00A85DD6" w:rsidRDefault="00A85DD6" w:rsidP="00A85DD6">
      <w:pPr>
        <w:tabs>
          <w:tab w:val="left" w:pos="851"/>
        </w:tabs>
        <w:ind w:left="851"/>
        <w:rPr>
          <w:sz w:val="24"/>
          <w:szCs w:val="24"/>
          <w:lang w:val="en-GB"/>
        </w:rPr>
      </w:pPr>
    </w:p>
    <w:p w14:paraId="212AEEF8" w14:textId="77777777" w:rsidR="00A85DD6" w:rsidRPr="00A85DD6" w:rsidRDefault="00A85DD6" w:rsidP="00A85DD6">
      <w:pPr>
        <w:tabs>
          <w:tab w:val="left" w:pos="851"/>
        </w:tabs>
        <w:ind w:left="851"/>
        <w:rPr>
          <w:sz w:val="24"/>
          <w:szCs w:val="24"/>
          <w:lang w:val="en-GB"/>
        </w:rPr>
      </w:pPr>
      <w:r w:rsidRPr="00A85DD6">
        <w:rPr>
          <w:sz w:val="24"/>
          <w:szCs w:val="24"/>
          <w:lang w:val="en-GB"/>
        </w:rPr>
        <w:t>Not all pack sizes may be marketed.</w:t>
      </w:r>
    </w:p>
    <w:p w14:paraId="35AB0C79" w14:textId="77777777" w:rsidR="007C5D2A" w:rsidRPr="00A85DD6" w:rsidRDefault="007C5D2A" w:rsidP="003E0341">
      <w:pPr>
        <w:tabs>
          <w:tab w:val="left" w:pos="851"/>
        </w:tabs>
        <w:ind w:left="851"/>
        <w:rPr>
          <w:sz w:val="24"/>
          <w:szCs w:val="24"/>
          <w:lang w:val="en-GB"/>
        </w:rPr>
      </w:pPr>
    </w:p>
    <w:p w14:paraId="7E0A4FA0"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7367DE3C" w14:textId="77777777" w:rsidR="00F246AD" w:rsidRPr="00F246AD" w:rsidRDefault="00F246AD" w:rsidP="00F246AD">
      <w:pPr>
        <w:tabs>
          <w:tab w:val="left" w:pos="851"/>
        </w:tabs>
        <w:ind w:left="851"/>
        <w:rPr>
          <w:sz w:val="24"/>
          <w:szCs w:val="24"/>
          <w:lang w:val="en-GB"/>
        </w:rPr>
      </w:pPr>
      <w:bookmarkStart w:id="9" w:name="_Hlk156378155"/>
      <w:r w:rsidRPr="00F246AD">
        <w:rPr>
          <w:sz w:val="24"/>
          <w:szCs w:val="24"/>
          <w:lang w:val="en-GB"/>
        </w:rPr>
        <w:t>Only freshly prepared, clear solutions prepared immediately before use should be used. Care must be taken to ensure complete dissolution. Reconstituted solutions are clear and slightly yellow.</w:t>
      </w:r>
    </w:p>
    <w:bookmarkEnd w:id="9"/>
    <w:p w14:paraId="72C5862D" w14:textId="77777777" w:rsidR="00F246AD" w:rsidRPr="00F246AD" w:rsidRDefault="00F246AD" w:rsidP="00F246AD">
      <w:pPr>
        <w:tabs>
          <w:tab w:val="left" w:pos="851"/>
        </w:tabs>
        <w:ind w:left="851"/>
        <w:rPr>
          <w:sz w:val="24"/>
          <w:szCs w:val="24"/>
          <w:lang w:val="en-GB"/>
        </w:rPr>
      </w:pPr>
    </w:p>
    <w:p w14:paraId="1EB95939" w14:textId="77777777" w:rsidR="00F246AD" w:rsidRPr="00F246AD" w:rsidRDefault="00F246AD" w:rsidP="00F246AD">
      <w:pPr>
        <w:tabs>
          <w:tab w:val="left" w:pos="851"/>
        </w:tabs>
        <w:ind w:left="851"/>
        <w:rPr>
          <w:sz w:val="24"/>
          <w:szCs w:val="24"/>
          <w:lang w:val="en-GB"/>
        </w:rPr>
      </w:pPr>
      <w:r w:rsidRPr="00F246AD">
        <w:rPr>
          <w:sz w:val="24"/>
          <w:szCs w:val="24"/>
          <w:lang w:val="en-GB"/>
        </w:rPr>
        <w:t>For single withdrawal only.</w:t>
      </w:r>
    </w:p>
    <w:p w14:paraId="77FE0209" w14:textId="3DDCBCEC" w:rsidR="007C5D2A" w:rsidRDefault="007C5D2A" w:rsidP="00F246AD">
      <w:pPr>
        <w:tabs>
          <w:tab w:val="left" w:pos="851"/>
        </w:tabs>
        <w:ind w:left="851"/>
        <w:rPr>
          <w:sz w:val="24"/>
          <w:szCs w:val="24"/>
          <w:lang w:val="en-GB"/>
        </w:rPr>
      </w:pPr>
    </w:p>
    <w:p w14:paraId="72235017" w14:textId="77777777" w:rsidR="00F246AD" w:rsidRPr="00F246AD" w:rsidRDefault="00F246AD" w:rsidP="00F246AD">
      <w:pPr>
        <w:tabs>
          <w:tab w:val="left" w:pos="851"/>
        </w:tabs>
        <w:ind w:left="851"/>
        <w:rPr>
          <w:sz w:val="24"/>
          <w:szCs w:val="24"/>
          <w:u w:val="single"/>
          <w:lang w:val="en-US"/>
        </w:rPr>
      </w:pPr>
      <w:r w:rsidRPr="00F246AD">
        <w:rPr>
          <w:sz w:val="24"/>
          <w:szCs w:val="24"/>
          <w:u w:val="single"/>
          <w:lang w:val="en-US"/>
        </w:rPr>
        <w:t>Rotacin 500 mg</w:t>
      </w:r>
    </w:p>
    <w:p w14:paraId="45B1CE83" w14:textId="77777777" w:rsidR="00F246AD" w:rsidRDefault="00F246AD" w:rsidP="00F246AD">
      <w:pPr>
        <w:tabs>
          <w:tab w:val="left" w:pos="851"/>
        </w:tabs>
        <w:ind w:left="851"/>
        <w:rPr>
          <w:i/>
          <w:sz w:val="24"/>
          <w:szCs w:val="24"/>
          <w:lang w:val="en-US"/>
        </w:rPr>
      </w:pPr>
    </w:p>
    <w:p w14:paraId="4FC4657C" w14:textId="2C2294C3" w:rsidR="00F246AD" w:rsidRPr="00F246AD" w:rsidRDefault="00F246AD" w:rsidP="00F246AD">
      <w:pPr>
        <w:tabs>
          <w:tab w:val="left" w:pos="851"/>
        </w:tabs>
        <w:ind w:left="851"/>
        <w:rPr>
          <w:i/>
          <w:sz w:val="24"/>
          <w:szCs w:val="24"/>
          <w:lang w:val="en-US"/>
        </w:rPr>
      </w:pPr>
      <w:r w:rsidRPr="00F246AD">
        <w:rPr>
          <w:i/>
          <w:sz w:val="24"/>
          <w:szCs w:val="24"/>
          <w:lang w:val="en-US"/>
        </w:rPr>
        <w:t>- Solution for i.m. injection:</w:t>
      </w:r>
    </w:p>
    <w:p w14:paraId="3C762BE0" w14:textId="77777777" w:rsidR="00F246AD" w:rsidRPr="00F246AD" w:rsidRDefault="00F246AD" w:rsidP="00F246AD">
      <w:pPr>
        <w:tabs>
          <w:tab w:val="left" w:pos="851"/>
        </w:tabs>
        <w:ind w:left="851"/>
        <w:rPr>
          <w:sz w:val="24"/>
          <w:szCs w:val="24"/>
          <w:lang w:val="en-US"/>
        </w:rPr>
      </w:pPr>
      <w:r w:rsidRPr="00F246AD">
        <w:rPr>
          <w:sz w:val="24"/>
          <w:szCs w:val="24"/>
          <w:lang w:val="en-US"/>
        </w:rPr>
        <w:t>The contents of the 500 mg vial are dissolved in 1.8 ml solvent (water for injections).</w:t>
      </w:r>
    </w:p>
    <w:p w14:paraId="1C7E0472" w14:textId="77777777" w:rsidR="00F246AD" w:rsidRPr="00F246AD" w:rsidRDefault="00F246AD" w:rsidP="00F246AD">
      <w:pPr>
        <w:tabs>
          <w:tab w:val="left" w:pos="851"/>
        </w:tabs>
        <w:ind w:left="851"/>
        <w:rPr>
          <w:sz w:val="24"/>
          <w:szCs w:val="24"/>
          <w:lang w:val="en-US"/>
        </w:rPr>
      </w:pPr>
      <w:r w:rsidRPr="00F246AD">
        <w:rPr>
          <w:sz w:val="24"/>
          <w:szCs w:val="24"/>
          <w:lang w:val="en-US"/>
        </w:rPr>
        <w:t>The solution should be used immediately after reconstitution.</w:t>
      </w:r>
    </w:p>
    <w:p w14:paraId="297D5B9D" w14:textId="77777777" w:rsidR="00F246AD" w:rsidRPr="00F246AD" w:rsidRDefault="00F246AD" w:rsidP="00F246AD">
      <w:pPr>
        <w:tabs>
          <w:tab w:val="left" w:pos="851"/>
        </w:tabs>
        <w:ind w:left="851"/>
        <w:rPr>
          <w:i/>
          <w:sz w:val="24"/>
          <w:szCs w:val="24"/>
          <w:lang w:val="en-US"/>
        </w:rPr>
      </w:pPr>
      <w:r w:rsidRPr="00F246AD">
        <w:rPr>
          <w:i/>
          <w:sz w:val="24"/>
          <w:szCs w:val="24"/>
          <w:lang w:val="en-US"/>
        </w:rPr>
        <w:t>- solution for i.v. injection:</w:t>
      </w:r>
    </w:p>
    <w:p w14:paraId="4930537A" w14:textId="77777777" w:rsidR="00F246AD" w:rsidRPr="00F246AD" w:rsidRDefault="00F246AD" w:rsidP="00F246AD">
      <w:pPr>
        <w:tabs>
          <w:tab w:val="left" w:pos="851"/>
        </w:tabs>
        <w:ind w:left="851"/>
        <w:rPr>
          <w:sz w:val="24"/>
          <w:szCs w:val="24"/>
          <w:lang w:val="en-US"/>
        </w:rPr>
      </w:pPr>
      <w:r w:rsidRPr="00F246AD">
        <w:rPr>
          <w:sz w:val="24"/>
          <w:szCs w:val="24"/>
          <w:lang w:val="en-US"/>
        </w:rPr>
        <w:t>Dissolve the contents of the 500 mg vial in 5 ml solvent (water for injections).</w:t>
      </w:r>
    </w:p>
    <w:p w14:paraId="5DFF470F" w14:textId="2B5A0626" w:rsidR="00F246AD" w:rsidRPr="00F246AD" w:rsidRDefault="00F246AD" w:rsidP="00F246AD">
      <w:pPr>
        <w:tabs>
          <w:tab w:val="left" w:pos="851"/>
        </w:tabs>
        <w:ind w:left="851"/>
        <w:rPr>
          <w:sz w:val="24"/>
          <w:szCs w:val="24"/>
          <w:lang w:val="en-US"/>
        </w:rPr>
      </w:pPr>
      <w:r w:rsidRPr="00F246AD">
        <w:rPr>
          <w:sz w:val="24"/>
          <w:szCs w:val="24"/>
          <w:lang w:val="en-US"/>
        </w:rPr>
        <w:t>Chemical and physical in-use stability has been demonstrated for 0.5 hour at 25</w:t>
      </w:r>
      <w:r>
        <w:rPr>
          <w:sz w:val="24"/>
          <w:szCs w:val="24"/>
          <w:lang w:val="en-US"/>
        </w:rPr>
        <w:t xml:space="preserve"> </w:t>
      </w:r>
      <w:r w:rsidRPr="00F246AD">
        <w:rPr>
          <w:sz w:val="24"/>
          <w:szCs w:val="24"/>
          <w:lang w:val="en-US"/>
        </w:rPr>
        <w:t>°C.</w:t>
      </w:r>
    </w:p>
    <w:p w14:paraId="2555FF30" w14:textId="77777777" w:rsidR="00F246AD" w:rsidRPr="00F246AD" w:rsidRDefault="00F246AD" w:rsidP="00F246AD">
      <w:pPr>
        <w:tabs>
          <w:tab w:val="left" w:pos="851"/>
        </w:tabs>
        <w:ind w:left="851"/>
        <w:rPr>
          <w:i/>
          <w:sz w:val="24"/>
          <w:szCs w:val="24"/>
          <w:lang w:val="en-US"/>
        </w:rPr>
      </w:pPr>
      <w:r w:rsidRPr="00F246AD">
        <w:rPr>
          <w:i/>
          <w:sz w:val="24"/>
          <w:szCs w:val="24"/>
          <w:lang w:val="en-US"/>
        </w:rPr>
        <w:t>- solution for i.v. Infusion:</w:t>
      </w:r>
    </w:p>
    <w:p w14:paraId="6F2BAE20" w14:textId="77777777" w:rsidR="00F246AD" w:rsidRPr="00F246AD" w:rsidRDefault="00F246AD" w:rsidP="00F246AD">
      <w:pPr>
        <w:tabs>
          <w:tab w:val="left" w:pos="851"/>
        </w:tabs>
        <w:ind w:left="851"/>
        <w:rPr>
          <w:sz w:val="24"/>
          <w:szCs w:val="24"/>
          <w:lang w:val="en-US"/>
        </w:rPr>
      </w:pPr>
      <w:r w:rsidRPr="00F246AD">
        <w:rPr>
          <w:sz w:val="24"/>
          <w:szCs w:val="24"/>
          <w:lang w:val="en-US"/>
        </w:rPr>
        <w:t>Dissolve the contents of the 500 mg vial in 5 ml solvent (water for injections). The finished solution can be diluted with the infusion fluids mentioned below with the desired volume to achieve the final concentration also mentioned in the below table.</w:t>
      </w:r>
    </w:p>
    <w:p w14:paraId="58488CF0" w14:textId="77777777" w:rsidR="00F246AD" w:rsidRPr="00F246AD" w:rsidRDefault="00F246AD" w:rsidP="00F246AD">
      <w:pPr>
        <w:tabs>
          <w:tab w:val="left" w:pos="851"/>
        </w:tabs>
        <w:ind w:left="851"/>
        <w:rPr>
          <w:sz w:val="24"/>
          <w:szCs w:val="24"/>
          <w:lang w:val="en-US"/>
        </w:rPr>
      </w:pPr>
    </w:p>
    <w:p w14:paraId="53C0FFD7" w14:textId="4F18A264" w:rsidR="00F246AD" w:rsidRPr="00F246AD" w:rsidRDefault="00F246AD" w:rsidP="00F246AD">
      <w:pPr>
        <w:ind w:left="851"/>
        <w:rPr>
          <w:u w:val="single"/>
          <w:lang w:val="en-US"/>
        </w:rPr>
      </w:pPr>
      <w:r w:rsidRPr="00F246AD">
        <w:rPr>
          <w:u w:val="single"/>
          <w:lang w:val="en-US"/>
        </w:rPr>
        <w:t>Rotacin 1 g</w:t>
      </w:r>
    </w:p>
    <w:p w14:paraId="77CB7B68" w14:textId="77777777" w:rsidR="00F246AD" w:rsidRDefault="00F246AD" w:rsidP="00F246AD">
      <w:pPr>
        <w:ind w:left="851"/>
        <w:rPr>
          <w:i/>
          <w:lang w:val="en-US"/>
        </w:rPr>
      </w:pPr>
    </w:p>
    <w:p w14:paraId="2E23CA86" w14:textId="514C50FB" w:rsidR="00F246AD" w:rsidRPr="00F246AD" w:rsidRDefault="00F246AD" w:rsidP="00F246AD">
      <w:pPr>
        <w:ind w:left="851"/>
        <w:rPr>
          <w:i/>
          <w:lang w:val="en-US"/>
        </w:rPr>
      </w:pPr>
      <w:r w:rsidRPr="00F246AD">
        <w:rPr>
          <w:i/>
          <w:lang w:val="en-US"/>
        </w:rPr>
        <w:t>- Solution for i.m. injection:</w:t>
      </w:r>
    </w:p>
    <w:p w14:paraId="2E1D5457" w14:textId="77777777" w:rsidR="00F246AD" w:rsidRPr="00F246AD" w:rsidRDefault="00F246AD" w:rsidP="00F246AD">
      <w:pPr>
        <w:ind w:left="851"/>
        <w:rPr>
          <w:lang w:val="en-US"/>
        </w:rPr>
      </w:pPr>
      <w:r w:rsidRPr="00F246AD">
        <w:rPr>
          <w:lang w:val="en-US"/>
        </w:rPr>
        <w:t>The contents of the 1 g vial are dissolved in 3.4 ml solvent (water for injections).</w:t>
      </w:r>
    </w:p>
    <w:p w14:paraId="36396965" w14:textId="77777777" w:rsidR="00F246AD" w:rsidRPr="00F246AD" w:rsidRDefault="00F246AD" w:rsidP="00F246AD">
      <w:pPr>
        <w:ind w:left="851"/>
        <w:rPr>
          <w:lang w:val="en-US"/>
        </w:rPr>
      </w:pPr>
      <w:r w:rsidRPr="00F246AD">
        <w:rPr>
          <w:lang w:val="en-US"/>
        </w:rPr>
        <w:t>The solution should be used immediately after reconstitution.</w:t>
      </w:r>
    </w:p>
    <w:p w14:paraId="538D0EB9" w14:textId="77777777" w:rsidR="00F246AD" w:rsidRPr="00F246AD" w:rsidRDefault="00F246AD" w:rsidP="00F246AD">
      <w:pPr>
        <w:ind w:left="851"/>
        <w:rPr>
          <w:i/>
          <w:lang w:val="en-US"/>
        </w:rPr>
      </w:pPr>
      <w:r w:rsidRPr="00F246AD">
        <w:rPr>
          <w:i/>
          <w:lang w:val="en-US"/>
        </w:rPr>
        <w:t>- solution for i.v. injection:</w:t>
      </w:r>
    </w:p>
    <w:p w14:paraId="657AB089" w14:textId="77777777" w:rsidR="00F246AD" w:rsidRPr="00F246AD" w:rsidRDefault="00F246AD" w:rsidP="00F246AD">
      <w:pPr>
        <w:ind w:left="851"/>
        <w:rPr>
          <w:lang w:val="en-US"/>
        </w:rPr>
      </w:pPr>
      <w:r w:rsidRPr="00F246AD">
        <w:rPr>
          <w:lang w:val="en-US"/>
        </w:rPr>
        <w:t>Dissolve the contents of the 1 g vial in 7.4 ml solvent (water for injections).</w:t>
      </w:r>
    </w:p>
    <w:p w14:paraId="2ED3761A" w14:textId="40C39C90" w:rsidR="00F246AD" w:rsidRPr="00F246AD" w:rsidRDefault="00F246AD" w:rsidP="00F246AD">
      <w:pPr>
        <w:ind w:left="851"/>
        <w:rPr>
          <w:lang w:val="en-US"/>
        </w:rPr>
      </w:pPr>
      <w:r w:rsidRPr="00F246AD">
        <w:rPr>
          <w:lang w:val="en-US"/>
        </w:rPr>
        <w:lastRenderedPageBreak/>
        <w:t>Chemical and physical in-use stability has been demonstrated for 0.5 hour at 25</w:t>
      </w:r>
      <w:r>
        <w:rPr>
          <w:lang w:val="en-US"/>
        </w:rPr>
        <w:t xml:space="preserve"> </w:t>
      </w:r>
      <w:r w:rsidRPr="00F246AD">
        <w:rPr>
          <w:lang w:val="en-US"/>
        </w:rPr>
        <w:t>°C.</w:t>
      </w:r>
    </w:p>
    <w:p w14:paraId="0166805E" w14:textId="77777777" w:rsidR="00F246AD" w:rsidRPr="00F246AD" w:rsidRDefault="00F246AD" w:rsidP="00F246AD">
      <w:pPr>
        <w:ind w:left="851"/>
        <w:rPr>
          <w:i/>
          <w:lang w:val="en-US"/>
        </w:rPr>
      </w:pPr>
      <w:r w:rsidRPr="00F246AD">
        <w:rPr>
          <w:i/>
          <w:lang w:val="en-US"/>
        </w:rPr>
        <w:t>- solution for i.v. Infusion:</w:t>
      </w:r>
    </w:p>
    <w:p w14:paraId="54573D1C" w14:textId="77777777" w:rsidR="00F246AD" w:rsidRPr="00F246AD" w:rsidRDefault="00F246AD" w:rsidP="00F246AD">
      <w:pPr>
        <w:ind w:left="851"/>
        <w:rPr>
          <w:lang w:val="en-US"/>
        </w:rPr>
      </w:pPr>
      <w:r w:rsidRPr="00F246AD">
        <w:rPr>
          <w:lang w:val="en-US"/>
        </w:rPr>
        <w:t xml:space="preserve">Dissolve the contents of the 1 g vial in 7.4 ml solvent (water for injections). The finished solution can be diluted with the infusion fluids mentioned below with the desired volume to achieve the final concentration also mentioned in the below table. </w:t>
      </w:r>
    </w:p>
    <w:p w14:paraId="31D04666" w14:textId="77777777" w:rsidR="00F246AD" w:rsidRPr="00F246AD" w:rsidRDefault="00F246AD" w:rsidP="00F246AD">
      <w:pPr>
        <w:ind w:left="851"/>
        <w:rPr>
          <w:lang w:val="en-US"/>
        </w:rPr>
      </w:pPr>
    </w:p>
    <w:p w14:paraId="1E297339" w14:textId="7F1AB496" w:rsidR="00F246AD" w:rsidRPr="00F246AD" w:rsidRDefault="00F246AD" w:rsidP="00F246AD">
      <w:pPr>
        <w:ind w:left="851"/>
        <w:rPr>
          <w:u w:val="single"/>
          <w:lang w:val="en-US"/>
        </w:rPr>
      </w:pPr>
      <w:r w:rsidRPr="00F246AD">
        <w:rPr>
          <w:u w:val="single"/>
          <w:lang w:val="en-US"/>
        </w:rPr>
        <w:t>Rotacin 2 g</w:t>
      </w:r>
    </w:p>
    <w:p w14:paraId="3E28E19B" w14:textId="77777777" w:rsidR="00F246AD" w:rsidRDefault="00F246AD" w:rsidP="00F246AD">
      <w:pPr>
        <w:ind w:left="851"/>
        <w:rPr>
          <w:i/>
          <w:lang w:val="en-US"/>
        </w:rPr>
      </w:pPr>
    </w:p>
    <w:p w14:paraId="37362614" w14:textId="544A36E5" w:rsidR="00F246AD" w:rsidRPr="00F246AD" w:rsidRDefault="00F246AD" w:rsidP="00F246AD">
      <w:pPr>
        <w:ind w:left="851"/>
        <w:rPr>
          <w:i/>
          <w:lang w:val="en-US"/>
        </w:rPr>
      </w:pPr>
      <w:r w:rsidRPr="00F246AD">
        <w:rPr>
          <w:i/>
          <w:lang w:val="en-US"/>
        </w:rPr>
        <w:t>- solution for i.v. injection:</w:t>
      </w:r>
    </w:p>
    <w:p w14:paraId="335F94F9" w14:textId="77777777" w:rsidR="00F246AD" w:rsidRPr="00F246AD" w:rsidRDefault="00F246AD" w:rsidP="00F246AD">
      <w:pPr>
        <w:ind w:left="851"/>
        <w:rPr>
          <w:lang w:val="en-US"/>
        </w:rPr>
      </w:pPr>
      <w:r w:rsidRPr="00F246AD">
        <w:rPr>
          <w:lang w:val="en-US"/>
        </w:rPr>
        <w:t>Dissolve the contents of the 2 g vial in 10 ml solvent (water for injections).</w:t>
      </w:r>
    </w:p>
    <w:p w14:paraId="74E2E7C6" w14:textId="77777777" w:rsidR="00F246AD" w:rsidRPr="00F246AD" w:rsidRDefault="00F246AD" w:rsidP="00F246AD">
      <w:pPr>
        <w:ind w:left="851"/>
        <w:rPr>
          <w:lang w:val="en-US"/>
        </w:rPr>
      </w:pPr>
      <w:r w:rsidRPr="00F246AD">
        <w:rPr>
          <w:lang w:val="en-US"/>
        </w:rPr>
        <w:t>The solution should be used immediately after reconstitution.</w:t>
      </w:r>
    </w:p>
    <w:p w14:paraId="3FE29688" w14:textId="77777777" w:rsidR="00F246AD" w:rsidRPr="00F246AD" w:rsidRDefault="00F246AD" w:rsidP="00F246AD">
      <w:pPr>
        <w:ind w:left="851"/>
        <w:rPr>
          <w:i/>
          <w:lang w:val="en-US"/>
        </w:rPr>
      </w:pPr>
      <w:r w:rsidRPr="00F246AD">
        <w:rPr>
          <w:i/>
          <w:lang w:val="en-US"/>
        </w:rPr>
        <w:t>- solution for i.v. Infusion:</w:t>
      </w:r>
    </w:p>
    <w:p w14:paraId="72B5C621" w14:textId="77777777" w:rsidR="00F246AD" w:rsidRPr="00F246AD" w:rsidRDefault="00F246AD" w:rsidP="00F246AD">
      <w:pPr>
        <w:ind w:left="851"/>
        <w:rPr>
          <w:lang w:val="en-US"/>
        </w:rPr>
      </w:pPr>
      <w:r w:rsidRPr="00F246AD">
        <w:rPr>
          <w:lang w:val="en-US"/>
        </w:rPr>
        <w:t>Dissolve the contents of the 2 g vial in 10 ml solvent (water for injections). The finished solution can be diluted with the infusion fluids mentioned below with the desired volume to achieve the final concentration also mentioned in the below table.</w:t>
      </w:r>
    </w:p>
    <w:p w14:paraId="427EE151" w14:textId="77777777" w:rsidR="00F246AD" w:rsidRPr="00F246AD" w:rsidRDefault="00F246AD" w:rsidP="00F246AD">
      <w:pPr>
        <w:ind w:left="851"/>
        <w:rPr>
          <w:lang w:val="en-US"/>
        </w:rPr>
      </w:pPr>
    </w:p>
    <w:tbl>
      <w:tblPr>
        <w:tblStyle w:val="Tabel-Gitter"/>
        <w:tblW w:w="9061" w:type="dxa"/>
        <w:tblInd w:w="704" w:type="dxa"/>
        <w:tblLook w:val="04A0" w:firstRow="1" w:lastRow="0" w:firstColumn="1" w:lastColumn="0" w:noHBand="0" w:noVBand="1"/>
      </w:tblPr>
      <w:tblGrid>
        <w:gridCol w:w="3020"/>
        <w:gridCol w:w="3020"/>
        <w:gridCol w:w="3021"/>
      </w:tblGrid>
      <w:tr w:rsidR="00F246AD" w:rsidRPr="00F246AD" w14:paraId="66ABB472" w14:textId="77777777" w:rsidTr="00F246AD">
        <w:tc>
          <w:tcPr>
            <w:tcW w:w="9061" w:type="dxa"/>
            <w:gridSpan w:val="3"/>
            <w:tcBorders>
              <w:top w:val="single" w:sz="4" w:space="0" w:color="auto"/>
              <w:left w:val="single" w:sz="4" w:space="0" w:color="auto"/>
              <w:bottom w:val="single" w:sz="4" w:space="0" w:color="auto"/>
              <w:right w:val="single" w:sz="4" w:space="0" w:color="auto"/>
            </w:tcBorders>
            <w:hideMark/>
          </w:tcPr>
          <w:p w14:paraId="1896A7AF" w14:textId="77777777" w:rsidR="00F246AD" w:rsidRPr="00F246AD" w:rsidRDefault="00F246AD">
            <w:pPr>
              <w:jc w:val="center"/>
              <w:rPr>
                <w:b/>
              </w:rPr>
            </w:pPr>
            <w:r w:rsidRPr="00F246AD">
              <w:rPr>
                <w:b/>
              </w:rPr>
              <w:t>For IV infusion</w:t>
            </w:r>
          </w:p>
        </w:tc>
      </w:tr>
      <w:tr w:rsidR="00F246AD" w:rsidRPr="00F246AD" w14:paraId="0CD7852A" w14:textId="77777777" w:rsidTr="00F246AD">
        <w:tc>
          <w:tcPr>
            <w:tcW w:w="3020" w:type="dxa"/>
            <w:tcBorders>
              <w:top w:val="single" w:sz="4" w:space="0" w:color="auto"/>
              <w:left w:val="single" w:sz="4" w:space="0" w:color="auto"/>
              <w:bottom w:val="single" w:sz="4" w:space="0" w:color="auto"/>
              <w:right w:val="single" w:sz="4" w:space="0" w:color="auto"/>
            </w:tcBorders>
            <w:hideMark/>
          </w:tcPr>
          <w:p w14:paraId="64366B61" w14:textId="77777777" w:rsidR="00F246AD" w:rsidRPr="00F246AD" w:rsidRDefault="00F246AD">
            <w:pPr>
              <w:jc w:val="center"/>
              <w:rPr>
                <w:b/>
              </w:rPr>
            </w:pPr>
            <w:r w:rsidRPr="00F246AD">
              <w:rPr>
                <w:b/>
              </w:rPr>
              <w:t>Strength</w:t>
            </w:r>
          </w:p>
        </w:tc>
        <w:tc>
          <w:tcPr>
            <w:tcW w:w="3020" w:type="dxa"/>
            <w:tcBorders>
              <w:top w:val="single" w:sz="4" w:space="0" w:color="auto"/>
              <w:left w:val="single" w:sz="4" w:space="0" w:color="auto"/>
              <w:bottom w:val="single" w:sz="4" w:space="0" w:color="auto"/>
              <w:right w:val="single" w:sz="4" w:space="0" w:color="auto"/>
            </w:tcBorders>
            <w:hideMark/>
          </w:tcPr>
          <w:p w14:paraId="16C24CA5" w14:textId="77777777" w:rsidR="00F246AD" w:rsidRPr="00F246AD" w:rsidRDefault="00F246AD">
            <w:pPr>
              <w:jc w:val="center"/>
              <w:rPr>
                <w:b/>
              </w:rPr>
            </w:pPr>
            <w:r w:rsidRPr="00F246AD">
              <w:rPr>
                <w:b/>
              </w:rPr>
              <w:t>Diluent</w:t>
            </w:r>
          </w:p>
        </w:tc>
        <w:tc>
          <w:tcPr>
            <w:tcW w:w="3021" w:type="dxa"/>
            <w:tcBorders>
              <w:top w:val="single" w:sz="4" w:space="0" w:color="auto"/>
              <w:left w:val="single" w:sz="4" w:space="0" w:color="auto"/>
              <w:bottom w:val="single" w:sz="4" w:space="0" w:color="auto"/>
              <w:right w:val="single" w:sz="4" w:space="0" w:color="auto"/>
            </w:tcBorders>
            <w:hideMark/>
          </w:tcPr>
          <w:p w14:paraId="370318B4" w14:textId="77777777" w:rsidR="00F246AD" w:rsidRPr="00F246AD" w:rsidRDefault="00F246AD">
            <w:pPr>
              <w:jc w:val="center"/>
              <w:rPr>
                <w:b/>
              </w:rPr>
            </w:pPr>
            <w:r w:rsidRPr="00F246AD">
              <w:rPr>
                <w:b/>
              </w:rPr>
              <w:t>Final concentration</w:t>
            </w:r>
          </w:p>
        </w:tc>
      </w:tr>
      <w:tr w:rsidR="00F246AD" w:rsidRPr="00F246AD" w14:paraId="494D91FA" w14:textId="77777777" w:rsidTr="00F246AD">
        <w:tc>
          <w:tcPr>
            <w:tcW w:w="3020" w:type="dxa"/>
            <w:tcBorders>
              <w:top w:val="single" w:sz="4" w:space="0" w:color="auto"/>
              <w:left w:val="single" w:sz="4" w:space="0" w:color="auto"/>
              <w:bottom w:val="single" w:sz="4" w:space="0" w:color="auto"/>
              <w:right w:val="single" w:sz="4" w:space="0" w:color="auto"/>
            </w:tcBorders>
            <w:hideMark/>
          </w:tcPr>
          <w:p w14:paraId="431C5295" w14:textId="5A4072D3" w:rsidR="00F246AD" w:rsidRPr="00F246AD" w:rsidRDefault="00F246AD">
            <w:pPr>
              <w:jc w:val="center"/>
            </w:pPr>
            <w:r>
              <w:t xml:space="preserve">500 mg, </w:t>
            </w:r>
            <w:r w:rsidRPr="00F246AD">
              <w:t>1 g, 2 g</w:t>
            </w:r>
          </w:p>
        </w:tc>
        <w:tc>
          <w:tcPr>
            <w:tcW w:w="3020" w:type="dxa"/>
            <w:tcBorders>
              <w:top w:val="single" w:sz="4" w:space="0" w:color="auto"/>
              <w:left w:val="single" w:sz="4" w:space="0" w:color="auto"/>
              <w:bottom w:val="single" w:sz="4" w:space="0" w:color="auto"/>
              <w:right w:val="single" w:sz="4" w:space="0" w:color="auto"/>
            </w:tcBorders>
            <w:hideMark/>
          </w:tcPr>
          <w:p w14:paraId="3098EC0E" w14:textId="25D75AC9" w:rsidR="00F246AD" w:rsidRPr="00F246AD" w:rsidRDefault="00F246AD">
            <w:pPr>
              <w:jc w:val="center"/>
            </w:pPr>
            <w:r w:rsidRPr="00F246AD">
              <w:rPr>
                <w:rFonts w:eastAsia="Calibri"/>
                <w:szCs w:val="22"/>
                <w:lang w:val="en-US"/>
              </w:rPr>
              <w:t>Sodium chloride 0.9</w:t>
            </w:r>
            <w:r>
              <w:rPr>
                <w:rFonts w:eastAsia="Calibri"/>
                <w:szCs w:val="22"/>
                <w:lang w:val="en-US"/>
              </w:rPr>
              <w:t xml:space="preserve"> </w:t>
            </w:r>
            <w:r w:rsidRPr="00F246AD">
              <w:rPr>
                <w:rFonts w:eastAsia="Calibri"/>
                <w:szCs w:val="22"/>
                <w:lang w:val="en-US"/>
              </w:rPr>
              <w:t>%</w:t>
            </w:r>
          </w:p>
        </w:tc>
        <w:tc>
          <w:tcPr>
            <w:tcW w:w="3021" w:type="dxa"/>
            <w:tcBorders>
              <w:top w:val="single" w:sz="4" w:space="0" w:color="auto"/>
              <w:left w:val="single" w:sz="4" w:space="0" w:color="auto"/>
              <w:bottom w:val="single" w:sz="4" w:space="0" w:color="auto"/>
              <w:right w:val="single" w:sz="4" w:space="0" w:color="auto"/>
            </w:tcBorders>
            <w:hideMark/>
          </w:tcPr>
          <w:p w14:paraId="75A4AB53" w14:textId="51C2962D" w:rsidR="00F246AD" w:rsidRPr="00F246AD" w:rsidRDefault="00F246AD">
            <w:pPr>
              <w:jc w:val="center"/>
            </w:pPr>
            <w:r w:rsidRPr="00F246AD">
              <w:t>30</w:t>
            </w:r>
            <w:r>
              <w:t xml:space="preserve"> </w:t>
            </w:r>
            <w:r w:rsidRPr="00F246AD">
              <w:t>mg/ml</w:t>
            </w:r>
          </w:p>
        </w:tc>
      </w:tr>
      <w:tr w:rsidR="00F246AD" w:rsidRPr="00F246AD" w14:paraId="3CCA0763" w14:textId="77777777" w:rsidTr="00F246AD">
        <w:tc>
          <w:tcPr>
            <w:tcW w:w="3020" w:type="dxa"/>
            <w:tcBorders>
              <w:top w:val="single" w:sz="4" w:space="0" w:color="auto"/>
              <w:left w:val="single" w:sz="4" w:space="0" w:color="auto"/>
              <w:bottom w:val="single" w:sz="4" w:space="0" w:color="auto"/>
              <w:right w:val="single" w:sz="4" w:space="0" w:color="auto"/>
            </w:tcBorders>
            <w:hideMark/>
          </w:tcPr>
          <w:p w14:paraId="3FE6035B" w14:textId="7DEB7251" w:rsidR="00F246AD" w:rsidRPr="00F246AD" w:rsidRDefault="00F246AD">
            <w:pPr>
              <w:jc w:val="center"/>
            </w:pPr>
            <w:r>
              <w:t xml:space="preserve">500 mg, </w:t>
            </w:r>
            <w:r w:rsidRPr="00F246AD">
              <w:t>1 g, 2 g</w:t>
            </w:r>
          </w:p>
        </w:tc>
        <w:tc>
          <w:tcPr>
            <w:tcW w:w="3020" w:type="dxa"/>
            <w:tcBorders>
              <w:top w:val="single" w:sz="4" w:space="0" w:color="auto"/>
              <w:left w:val="single" w:sz="4" w:space="0" w:color="auto"/>
              <w:bottom w:val="single" w:sz="4" w:space="0" w:color="auto"/>
              <w:right w:val="single" w:sz="4" w:space="0" w:color="auto"/>
            </w:tcBorders>
            <w:hideMark/>
          </w:tcPr>
          <w:p w14:paraId="761B843C" w14:textId="77777777" w:rsidR="00F246AD" w:rsidRPr="00F246AD" w:rsidRDefault="00F246AD">
            <w:pPr>
              <w:jc w:val="center"/>
            </w:pPr>
            <w:r w:rsidRPr="00F246AD">
              <w:t>M/6 Sodium lactate</w:t>
            </w:r>
          </w:p>
        </w:tc>
        <w:tc>
          <w:tcPr>
            <w:tcW w:w="3021" w:type="dxa"/>
            <w:tcBorders>
              <w:top w:val="single" w:sz="4" w:space="0" w:color="auto"/>
              <w:left w:val="single" w:sz="4" w:space="0" w:color="auto"/>
              <w:bottom w:val="single" w:sz="4" w:space="0" w:color="auto"/>
              <w:right w:val="single" w:sz="4" w:space="0" w:color="auto"/>
            </w:tcBorders>
            <w:hideMark/>
          </w:tcPr>
          <w:p w14:paraId="18ACEB42" w14:textId="31082F4A" w:rsidR="00F246AD" w:rsidRPr="00F246AD" w:rsidRDefault="00F246AD">
            <w:pPr>
              <w:jc w:val="center"/>
            </w:pPr>
            <w:r w:rsidRPr="00F246AD">
              <w:t>30</w:t>
            </w:r>
            <w:r>
              <w:t xml:space="preserve"> </w:t>
            </w:r>
            <w:r w:rsidRPr="00F246AD">
              <w:t>mg/ml</w:t>
            </w:r>
          </w:p>
        </w:tc>
      </w:tr>
      <w:tr w:rsidR="00F246AD" w14:paraId="45DD50CB" w14:textId="77777777" w:rsidTr="00F246AD">
        <w:tc>
          <w:tcPr>
            <w:tcW w:w="3020" w:type="dxa"/>
            <w:tcBorders>
              <w:top w:val="single" w:sz="4" w:space="0" w:color="auto"/>
              <w:left w:val="single" w:sz="4" w:space="0" w:color="auto"/>
              <w:bottom w:val="single" w:sz="4" w:space="0" w:color="auto"/>
              <w:right w:val="single" w:sz="4" w:space="0" w:color="auto"/>
            </w:tcBorders>
            <w:hideMark/>
          </w:tcPr>
          <w:p w14:paraId="2D8A3496" w14:textId="7F7425B4" w:rsidR="00F246AD" w:rsidRPr="00F246AD" w:rsidRDefault="00F246AD">
            <w:pPr>
              <w:jc w:val="center"/>
            </w:pPr>
            <w:r>
              <w:t xml:space="preserve">500 mg, </w:t>
            </w:r>
            <w:r w:rsidRPr="00F246AD">
              <w:t>1 g, 2 g</w:t>
            </w:r>
          </w:p>
        </w:tc>
        <w:tc>
          <w:tcPr>
            <w:tcW w:w="3020" w:type="dxa"/>
            <w:tcBorders>
              <w:top w:val="single" w:sz="4" w:space="0" w:color="auto"/>
              <w:left w:val="single" w:sz="4" w:space="0" w:color="auto"/>
              <w:bottom w:val="single" w:sz="4" w:space="0" w:color="auto"/>
              <w:right w:val="single" w:sz="4" w:space="0" w:color="auto"/>
            </w:tcBorders>
            <w:hideMark/>
          </w:tcPr>
          <w:p w14:paraId="2A102D3E" w14:textId="77777777" w:rsidR="00F246AD" w:rsidRPr="00F246AD" w:rsidRDefault="00F246AD">
            <w:pPr>
              <w:jc w:val="center"/>
            </w:pPr>
            <w:r w:rsidRPr="00F246AD">
              <w:t>Ringer’s Lactate</w:t>
            </w:r>
          </w:p>
        </w:tc>
        <w:tc>
          <w:tcPr>
            <w:tcW w:w="3021" w:type="dxa"/>
            <w:tcBorders>
              <w:top w:val="single" w:sz="4" w:space="0" w:color="auto"/>
              <w:left w:val="single" w:sz="4" w:space="0" w:color="auto"/>
              <w:bottom w:val="single" w:sz="4" w:space="0" w:color="auto"/>
              <w:right w:val="single" w:sz="4" w:space="0" w:color="auto"/>
            </w:tcBorders>
            <w:hideMark/>
          </w:tcPr>
          <w:p w14:paraId="49A479B1" w14:textId="220AF5CA" w:rsidR="00F246AD" w:rsidRDefault="00F246AD">
            <w:pPr>
              <w:jc w:val="center"/>
            </w:pPr>
            <w:r w:rsidRPr="00F246AD">
              <w:t>30</w:t>
            </w:r>
            <w:r>
              <w:t xml:space="preserve"> </w:t>
            </w:r>
            <w:r w:rsidRPr="00F246AD">
              <w:t>mg/ml</w:t>
            </w:r>
          </w:p>
        </w:tc>
      </w:tr>
    </w:tbl>
    <w:p w14:paraId="56715F40" w14:textId="77777777" w:rsidR="00F246AD" w:rsidRPr="00F246AD" w:rsidRDefault="00F246AD" w:rsidP="00F246AD">
      <w:pPr>
        <w:ind w:left="851"/>
        <w:rPr>
          <w:sz w:val="24"/>
          <w:szCs w:val="24"/>
          <w:lang w:val="en-GB" w:eastAsia="en-US"/>
        </w:rPr>
      </w:pPr>
    </w:p>
    <w:p w14:paraId="565FFC7B" w14:textId="77777777" w:rsidR="00F246AD" w:rsidRPr="00F246AD" w:rsidRDefault="00F246AD" w:rsidP="00F246AD">
      <w:pPr>
        <w:ind w:left="851"/>
        <w:rPr>
          <w:sz w:val="24"/>
          <w:szCs w:val="24"/>
          <w:lang w:val="en-US"/>
        </w:rPr>
      </w:pPr>
      <w:r w:rsidRPr="00F246AD">
        <w:rPr>
          <w:sz w:val="24"/>
          <w:szCs w:val="24"/>
          <w:lang w:val="en-US"/>
        </w:rPr>
        <w:t>Chemical and physical in-use stability has been demonstrated for 1 hour at 15-30°</w:t>
      </w:r>
      <w:bookmarkStart w:id="10" w:name="_Hlk169264518"/>
      <w:r w:rsidRPr="00F246AD">
        <w:rPr>
          <w:sz w:val="24"/>
          <w:szCs w:val="24"/>
          <w:lang w:val="en-US"/>
        </w:rPr>
        <w:t>C.</w:t>
      </w:r>
      <w:bookmarkEnd w:id="10"/>
    </w:p>
    <w:p w14:paraId="3B65D98B" w14:textId="77777777" w:rsidR="00F246AD" w:rsidRPr="00F246AD" w:rsidRDefault="00F246AD" w:rsidP="00F246AD">
      <w:pPr>
        <w:ind w:left="851"/>
        <w:rPr>
          <w:sz w:val="24"/>
          <w:szCs w:val="24"/>
          <w:lang w:val="en-US"/>
        </w:rPr>
      </w:pPr>
    </w:p>
    <w:p w14:paraId="4D5781B0" w14:textId="77777777" w:rsidR="00F246AD" w:rsidRPr="00F246AD" w:rsidRDefault="00F246AD" w:rsidP="00F246AD">
      <w:pPr>
        <w:ind w:left="851"/>
        <w:rPr>
          <w:sz w:val="24"/>
          <w:szCs w:val="24"/>
          <w:lang w:val="en-US"/>
        </w:rPr>
      </w:pPr>
      <w:r w:rsidRPr="00F246AD">
        <w:rPr>
          <w:sz w:val="24"/>
          <w:szCs w:val="24"/>
          <w:lang w:val="en-US"/>
        </w:rPr>
        <w:t>From a microbiological point of view, unless the method of opening/reconstitution/dilution precludes the risk of microbial contamination, the product should be used immediately. If not used immediately, in-use storage times and conditions are the responsibility of the user.</w:t>
      </w:r>
    </w:p>
    <w:p w14:paraId="31170EC3" w14:textId="77777777" w:rsidR="00F246AD" w:rsidRPr="00F246AD" w:rsidRDefault="00F246AD" w:rsidP="00F246AD">
      <w:pPr>
        <w:ind w:left="851"/>
        <w:rPr>
          <w:sz w:val="24"/>
          <w:szCs w:val="24"/>
          <w:lang w:val="en-US"/>
        </w:rPr>
      </w:pPr>
    </w:p>
    <w:p w14:paraId="5C9E0FCD" w14:textId="77777777" w:rsidR="00F246AD" w:rsidRPr="00F246AD" w:rsidRDefault="00F246AD" w:rsidP="00F246AD">
      <w:pPr>
        <w:ind w:left="851"/>
        <w:rPr>
          <w:sz w:val="24"/>
          <w:szCs w:val="24"/>
          <w:lang w:val="en-US"/>
        </w:rPr>
      </w:pPr>
      <w:r w:rsidRPr="00F246AD">
        <w:rPr>
          <w:sz w:val="24"/>
          <w:szCs w:val="24"/>
          <w:lang w:val="en-US"/>
        </w:rPr>
        <w:t>Any unused medicinal product or waste material should be disposed of in accordance with local requirements.</w:t>
      </w:r>
    </w:p>
    <w:p w14:paraId="1F2748FF" w14:textId="77777777" w:rsidR="00F246AD" w:rsidRPr="00F246AD" w:rsidRDefault="00F246AD" w:rsidP="00F246AD">
      <w:pPr>
        <w:tabs>
          <w:tab w:val="left" w:pos="851"/>
        </w:tabs>
        <w:ind w:left="851"/>
        <w:rPr>
          <w:sz w:val="24"/>
          <w:szCs w:val="24"/>
          <w:lang w:val="en-US"/>
        </w:rPr>
      </w:pPr>
    </w:p>
    <w:p w14:paraId="66A10C6D"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65D318F2" w14:textId="77777777" w:rsidR="00F246AD" w:rsidRPr="00F246AD" w:rsidRDefault="00F246AD" w:rsidP="00F246AD">
      <w:pPr>
        <w:tabs>
          <w:tab w:val="left" w:pos="851"/>
        </w:tabs>
        <w:ind w:left="851"/>
        <w:jc w:val="both"/>
        <w:rPr>
          <w:sz w:val="24"/>
          <w:szCs w:val="24"/>
          <w:lang w:val="en-US"/>
        </w:rPr>
      </w:pPr>
      <w:bookmarkStart w:id="11" w:name="Modtager"/>
      <w:bookmarkEnd w:id="11"/>
      <w:r w:rsidRPr="00F246AD">
        <w:rPr>
          <w:sz w:val="24"/>
          <w:szCs w:val="24"/>
          <w:lang w:val="en-US"/>
        </w:rPr>
        <w:t>Adelco Chromatourgia Athinon E. Colocotronis Bros S.A.</w:t>
      </w:r>
    </w:p>
    <w:p w14:paraId="6E70D826" w14:textId="77777777" w:rsidR="00F246AD" w:rsidRPr="00F246AD" w:rsidRDefault="00F246AD" w:rsidP="00F246AD">
      <w:pPr>
        <w:tabs>
          <w:tab w:val="left" w:pos="851"/>
        </w:tabs>
        <w:ind w:left="851"/>
        <w:jc w:val="both"/>
        <w:rPr>
          <w:sz w:val="24"/>
          <w:szCs w:val="24"/>
          <w:lang w:val="en-US"/>
        </w:rPr>
      </w:pPr>
      <w:r w:rsidRPr="00F246AD">
        <w:rPr>
          <w:sz w:val="24"/>
          <w:szCs w:val="24"/>
          <w:lang w:val="en-US"/>
        </w:rPr>
        <w:t>Moschato</w:t>
      </w:r>
    </w:p>
    <w:p w14:paraId="7A211AA5" w14:textId="77777777" w:rsidR="00F246AD" w:rsidRPr="00F246AD" w:rsidRDefault="00F246AD" w:rsidP="00F246AD">
      <w:pPr>
        <w:tabs>
          <w:tab w:val="left" w:pos="851"/>
        </w:tabs>
        <w:ind w:left="851"/>
        <w:jc w:val="both"/>
        <w:rPr>
          <w:sz w:val="24"/>
          <w:szCs w:val="24"/>
          <w:lang w:val="en-US"/>
        </w:rPr>
      </w:pPr>
      <w:r w:rsidRPr="00F246AD">
        <w:rPr>
          <w:sz w:val="24"/>
          <w:szCs w:val="24"/>
          <w:lang w:val="en-US"/>
        </w:rPr>
        <w:t>Pireos Avenue 37</w:t>
      </w:r>
    </w:p>
    <w:p w14:paraId="63081B0F" w14:textId="77777777" w:rsidR="00F246AD" w:rsidRPr="00F246AD" w:rsidRDefault="00F246AD" w:rsidP="00F246AD">
      <w:pPr>
        <w:tabs>
          <w:tab w:val="left" w:pos="851"/>
        </w:tabs>
        <w:ind w:left="851"/>
        <w:jc w:val="both"/>
        <w:rPr>
          <w:sz w:val="24"/>
          <w:szCs w:val="24"/>
          <w:lang w:val="en-US"/>
        </w:rPr>
      </w:pPr>
      <w:r w:rsidRPr="00F246AD">
        <w:rPr>
          <w:sz w:val="24"/>
          <w:szCs w:val="24"/>
          <w:lang w:val="en-US"/>
        </w:rPr>
        <w:t>183 46 Athens, Attiki</w:t>
      </w:r>
    </w:p>
    <w:p w14:paraId="4902F6AD" w14:textId="2A1FBBCA" w:rsidR="00F246AD" w:rsidRPr="00F246AD" w:rsidRDefault="00F246AD" w:rsidP="00F246AD">
      <w:pPr>
        <w:tabs>
          <w:tab w:val="left" w:pos="851"/>
        </w:tabs>
        <w:ind w:left="851"/>
        <w:jc w:val="both"/>
        <w:rPr>
          <w:sz w:val="24"/>
          <w:szCs w:val="24"/>
          <w:lang w:val="en-US"/>
        </w:rPr>
      </w:pPr>
      <w:r>
        <w:rPr>
          <w:sz w:val="24"/>
          <w:szCs w:val="24"/>
          <w:lang w:val="en-US"/>
        </w:rPr>
        <w:t>Grækenland</w:t>
      </w:r>
    </w:p>
    <w:p w14:paraId="111A1E31" w14:textId="77777777" w:rsidR="008A24F6" w:rsidRPr="00303008" w:rsidRDefault="008A24F6" w:rsidP="003E0341">
      <w:pPr>
        <w:tabs>
          <w:tab w:val="left" w:pos="851"/>
        </w:tabs>
        <w:ind w:left="851"/>
        <w:jc w:val="both"/>
        <w:rPr>
          <w:sz w:val="24"/>
          <w:szCs w:val="24"/>
          <w:lang w:val="en-GB"/>
        </w:rPr>
      </w:pPr>
    </w:p>
    <w:p w14:paraId="3204F373"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02FC5EB8" w14:textId="6AD23C1A" w:rsidR="007C5D2A" w:rsidRDefault="00F246AD" w:rsidP="00F246AD">
      <w:pPr>
        <w:tabs>
          <w:tab w:val="left" w:pos="851"/>
          <w:tab w:val="left" w:pos="1701"/>
        </w:tabs>
        <w:ind w:left="851"/>
        <w:jc w:val="both"/>
        <w:rPr>
          <w:sz w:val="24"/>
          <w:szCs w:val="24"/>
          <w:lang w:val="en-GB"/>
        </w:rPr>
      </w:pPr>
      <w:r>
        <w:rPr>
          <w:sz w:val="24"/>
          <w:szCs w:val="24"/>
          <w:lang w:val="en-GB"/>
        </w:rPr>
        <w:t>500 mg:</w:t>
      </w:r>
      <w:r>
        <w:rPr>
          <w:sz w:val="24"/>
          <w:szCs w:val="24"/>
          <w:lang w:val="en-GB"/>
        </w:rPr>
        <w:tab/>
        <w:t>69533</w:t>
      </w:r>
    </w:p>
    <w:p w14:paraId="7193C451" w14:textId="4CDF3BFB" w:rsidR="00F246AD" w:rsidRDefault="00F246AD" w:rsidP="00F246AD">
      <w:pPr>
        <w:tabs>
          <w:tab w:val="left" w:pos="851"/>
          <w:tab w:val="left" w:pos="1701"/>
        </w:tabs>
        <w:ind w:left="851"/>
        <w:jc w:val="both"/>
        <w:rPr>
          <w:sz w:val="24"/>
          <w:szCs w:val="24"/>
          <w:lang w:val="en-GB"/>
        </w:rPr>
      </w:pPr>
      <w:r>
        <w:rPr>
          <w:sz w:val="24"/>
          <w:szCs w:val="24"/>
          <w:lang w:val="en-GB"/>
        </w:rPr>
        <w:t>1 g:</w:t>
      </w:r>
      <w:r>
        <w:rPr>
          <w:sz w:val="24"/>
          <w:szCs w:val="24"/>
          <w:lang w:val="en-GB"/>
        </w:rPr>
        <w:tab/>
        <w:t>69536</w:t>
      </w:r>
    </w:p>
    <w:p w14:paraId="548E42E5" w14:textId="1F5DF3CA" w:rsidR="00F246AD" w:rsidRPr="00303008" w:rsidRDefault="00F246AD" w:rsidP="00F246AD">
      <w:pPr>
        <w:tabs>
          <w:tab w:val="left" w:pos="851"/>
          <w:tab w:val="left" w:pos="1701"/>
        </w:tabs>
        <w:ind w:left="851"/>
        <w:jc w:val="both"/>
        <w:rPr>
          <w:sz w:val="24"/>
          <w:szCs w:val="24"/>
          <w:lang w:val="en-GB"/>
        </w:rPr>
      </w:pPr>
      <w:r>
        <w:rPr>
          <w:sz w:val="24"/>
          <w:szCs w:val="24"/>
          <w:lang w:val="en-GB"/>
        </w:rPr>
        <w:t>2 g:</w:t>
      </w:r>
      <w:r>
        <w:rPr>
          <w:sz w:val="24"/>
          <w:szCs w:val="24"/>
          <w:lang w:val="en-GB"/>
        </w:rPr>
        <w:tab/>
        <w:t>69537</w:t>
      </w:r>
    </w:p>
    <w:p w14:paraId="26CA6773" w14:textId="77777777" w:rsidR="007C5D2A" w:rsidRPr="00303008" w:rsidRDefault="007C5D2A" w:rsidP="00180A12">
      <w:pPr>
        <w:tabs>
          <w:tab w:val="left" w:pos="851"/>
        </w:tabs>
        <w:ind w:left="851"/>
        <w:jc w:val="both"/>
        <w:rPr>
          <w:sz w:val="24"/>
          <w:szCs w:val="24"/>
          <w:lang w:val="en-GB"/>
        </w:rPr>
      </w:pPr>
    </w:p>
    <w:p w14:paraId="3DEF7FDF"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2809575E" w14:textId="40AC78F4" w:rsidR="007C5D2A" w:rsidRPr="00303008" w:rsidRDefault="00BE12A3" w:rsidP="00A85D26">
      <w:pPr>
        <w:ind w:left="851"/>
        <w:jc w:val="both"/>
        <w:rPr>
          <w:sz w:val="24"/>
          <w:szCs w:val="24"/>
          <w:lang w:val="en-GB"/>
        </w:rPr>
      </w:pPr>
      <w:r>
        <w:rPr>
          <w:sz w:val="24"/>
          <w:szCs w:val="24"/>
          <w:lang w:val="en-GB"/>
        </w:rPr>
        <w:t>17 January 2025</w:t>
      </w:r>
    </w:p>
    <w:p w14:paraId="09698453" w14:textId="77777777" w:rsidR="007C5D2A" w:rsidRPr="00303008" w:rsidRDefault="007C5D2A" w:rsidP="003E0341">
      <w:pPr>
        <w:tabs>
          <w:tab w:val="left" w:pos="851"/>
        </w:tabs>
        <w:ind w:left="851"/>
        <w:jc w:val="both"/>
        <w:rPr>
          <w:sz w:val="24"/>
          <w:szCs w:val="24"/>
          <w:lang w:val="en-GB"/>
        </w:rPr>
      </w:pPr>
    </w:p>
    <w:p w14:paraId="30060918"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297A63F" w14:textId="49B85C8E" w:rsidR="007C5D2A" w:rsidRPr="00303008" w:rsidRDefault="00F246AD"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E2D3D" w14:textId="77777777" w:rsidR="0066521E" w:rsidRDefault="0066521E">
      <w:r>
        <w:separator/>
      </w:r>
    </w:p>
  </w:endnote>
  <w:endnote w:type="continuationSeparator" w:id="0">
    <w:p w14:paraId="7EEC1589" w14:textId="77777777" w:rsidR="0066521E" w:rsidRDefault="0066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B413"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299A" w14:textId="77777777" w:rsidR="00864538" w:rsidRDefault="00864538">
    <w:pPr>
      <w:pStyle w:val="Sidefod"/>
      <w:pBdr>
        <w:bottom w:val="single" w:sz="6" w:space="1" w:color="auto"/>
      </w:pBdr>
    </w:pPr>
  </w:p>
  <w:p w14:paraId="10E3C8D2" w14:textId="77777777" w:rsidR="00864538" w:rsidRDefault="00864538">
    <w:pPr>
      <w:pStyle w:val="Sidefod"/>
      <w:tabs>
        <w:tab w:val="clear" w:pos="4819"/>
        <w:tab w:val="left" w:pos="8647"/>
      </w:tabs>
      <w:rPr>
        <w:i/>
        <w:snapToGrid w:val="0"/>
        <w:sz w:val="18"/>
      </w:rPr>
    </w:pPr>
  </w:p>
  <w:p w14:paraId="0D9BEBE5" w14:textId="34590987"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E01B31">
      <w:rPr>
        <w:i/>
        <w:noProof/>
        <w:snapToGrid w:val="0"/>
        <w:sz w:val="18"/>
      </w:rPr>
      <w:t>Rotacini, pulver til injektions--infusionsvæske, opløsning 500 mg, 1 g og 2 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EF287" w14:textId="77777777" w:rsidR="00864538" w:rsidRDefault="00864538">
    <w:pPr>
      <w:pStyle w:val="Sidefod"/>
      <w:pBdr>
        <w:bottom w:val="single" w:sz="6" w:space="1" w:color="auto"/>
      </w:pBdr>
      <w:tabs>
        <w:tab w:val="clear" w:pos="4819"/>
        <w:tab w:val="left" w:pos="8789"/>
      </w:tabs>
      <w:rPr>
        <w:i/>
        <w:snapToGrid w:val="0"/>
        <w:sz w:val="18"/>
      </w:rPr>
    </w:pPr>
  </w:p>
  <w:p w14:paraId="29FB1955" w14:textId="77777777" w:rsidR="00864538" w:rsidRDefault="00864538">
    <w:pPr>
      <w:pStyle w:val="Sidefod"/>
      <w:tabs>
        <w:tab w:val="clear" w:pos="4819"/>
        <w:tab w:val="left" w:pos="8789"/>
      </w:tabs>
      <w:rPr>
        <w:i/>
        <w:snapToGrid w:val="0"/>
        <w:sz w:val="18"/>
      </w:rPr>
    </w:pPr>
  </w:p>
  <w:p w14:paraId="2107A820" w14:textId="6C9B1A8E"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E01B31">
      <w:rPr>
        <w:i/>
        <w:noProof/>
        <w:snapToGrid w:val="0"/>
        <w:sz w:val="18"/>
      </w:rPr>
      <w:t>Rotacini, pulver til injektions--infusionsvæske, opløsning 500 mg, 1 g og 2 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43D8" w14:textId="77777777" w:rsidR="0066521E" w:rsidRDefault="0066521E">
      <w:r>
        <w:separator/>
      </w:r>
    </w:p>
  </w:footnote>
  <w:footnote w:type="continuationSeparator" w:id="0">
    <w:p w14:paraId="6D912144" w14:textId="77777777" w:rsidR="0066521E" w:rsidRDefault="0066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EE9B"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5377"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B690"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8E5C56"/>
    <w:multiLevelType w:val="hybridMultilevel"/>
    <w:tmpl w:val="570E0FAA"/>
    <w:lvl w:ilvl="0" w:tplc="6C86F08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BF41C11"/>
    <w:multiLevelType w:val="hybridMultilevel"/>
    <w:tmpl w:val="D3620B00"/>
    <w:lvl w:ilvl="0" w:tplc="6C86F08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1E"/>
    <w:rsid w:val="00056601"/>
    <w:rsid w:val="000C3846"/>
    <w:rsid w:val="000C6218"/>
    <w:rsid w:val="000D3C9D"/>
    <w:rsid w:val="000F0D47"/>
    <w:rsid w:val="001242DE"/>
    <w:rsid w:val="00145833"/>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93360"/>
    <w:rsid w:val="005A498B"/>
    <w:rsid w:val="00617BB8"/>
    <w:rsid w:val="006207FF"/>
    <w:rsid w:val="0066521E"/>
    <w:rsid w:val="00680052"/>
    <w:rsid w:val="00683267"/>
    <w:rsid w:val="006844E9"/>
    <w:rsid w:val="006B3847"/>
    <w:rsid w:val="006C1139"/>
    <w:rsid w:val="0075453D"/>
    <w:rsid w:val="007A4CC6"/>
    <w:rsid w:val="007C198F"/>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80446"/>
    <w:rsid w:val="00A85D26"/>
    <w:rsid w:val="00A85DD6"/>
    <w:rsid w:val="00A9153A"/>
    <w:rsid w:val="00AB4376"/>
    <w:rsid w:val="00AC033C"/>
    <w:rsid w:val="00AD2E36"/>
    <w:rsid w:val="00B45DC5"/>
    <w:rsid w:val="00BD3490"/>
    <w:rsid w:val="00BE12A3"/>
    <w:rsid w:val="00C26226"/>
    <w:rsid w:val="00C3571D"/>
    <w:rsid w:val="00C54F0B"/>
    <w:rsid w:val="00C82621"/>
    <w:rsid w:val="00CB1423"/>
    <w:rsid w:val="00D02508"/>
    <w:rsid w:val="00D778CC"/>
    <w:rsid w:val="00D82FE9"/>
    <w:rsid w:val="00D97B77"/>
    <w:rsid w:val="00DB6A85"/>
    <w:rsid w:val="00E01B31"/>
    <w:rsid w:val="00E044E3"/>
    <w:rsid w:val="00E06B32"/>
    <w:rsid w:val="00E1290F"/>
    <w:rsid w:val="00E36A80"/>
    <w:rsid w:val="00EB21D7"/>
    <w:rsid w:val="00EE3EB7"/>
    <w:rsid w:val="00F246AD"/>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06526"/>
  <w15:chartTrackingRefBased/>
  <w15:docId w15:val="{928E9CD9-4243-499C-BB7F-B87B6174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rsid w:val="007C198F"/>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145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7252">
      <w:bodyDiv w:val="1"/>
      <w:marLeft w:val="0"/>
      <w:marRight w:val="0"/>
      <w:marTop w:val="0"/>
      <w:marBottom w:val="0"/>
      <w:divBdr>
        <w:top w:val="none" w:sz="0" w:space="0" w:color="auto"/>
        <w:left w:val="none" w:sz="0" w:space="0" w:color="auto"/>
        <w:bottom w:val="none" w:sz="0" w:space="0" w:color="auto"/>
        <w:right w:val="none" w:sz="0" w:space="0" w:color="auto"/>
      </w:divBdr>
    </w:div>
    <w:div w:id="91778694">
      <w:bodyDiv w:val="1"/>
      <w:marLeft w:val="0"/>
      <w:marRight w:val="0"/>
      <w:marTop w:val="0"/>
      <w:marBottom w:val="0"/>
      <w:divBdr>
        <w:top w:val="none" w:sz="0" w:space="0" w:color="auto"/>
        <w:left w:val="none" w:sz="0" w:space="0" w:color="auto"/>
        <w:bottom w:val="none" w:sz="0" w:space="0" w:color="auto"/>
        <w:right w:val="none" w:sz="0" w:space="0" w:color="auto"/>
      </w:divBdr>
    </w:div>
    <w:div w:id="104617844">
      <w:bodyDiv w:val="1"/>
      <w:marLeft w:val="0"/>
      <w:marRight w:val="0"/>
      <w:marTop w:val="0"/>
      <w:marBottom w:val="0"/>
      <w:divBdr>
        <w:top w:val="none" w:sz="0" w:space="0" w:color="auto"/>
        <w:left w:val="none" w:sz="0" w:space="0" w:color="auto"/>
        <w:bottom w:val="none" w:sz="0" w:space="0" w:color="auto"/>
        <w:right w:val="none" w:sz="0" w:space="0" w:color="auto"/>
      </w:divBdr>
    </w:div>
    <w:div w:id="109668556">
      <w:bodyDiv w:val="1"/>
      <w:marLeft w:val="0"/>
      <w:marRight w:val="0"/>
      <w:marTop w:val="0"/>
      <w:marBottom w:val="0"/>
      <w:divBdr>
        <w:top w:val="none" w:sz="0" w:space="0" w:color="auto"/>
        <w:left w:val="none" w:sz="0" w:space="0" w:color="auto"/>
        <w:bottom w:val="none" w:sz="0" w:space="0" w:color="auto"/>
        <w:right w:val="none" w:sz="0" w:space="0" w:color="auto"/>
      </w:divBdr>
    </w:div>
    <w:div w:id="127936201">
      <w:bodyDiv w:val="1"/>
      <w:marLeft w:val="0"/>
      <w:marRight w:val="0"/>
      <w:marTop w:val="0"/>
      <w:marBottom w:val="0"/>
      <w:divBdr>
        <w:top w:val="none" w:sz="0" w:space="0" w:color="auto"/>
        <w:left w:val="none" w:sz="0" w:space="0" w:color="auto"/>
        <w:bottom w:val="none" w:sz="0" w:space="0" w:color="auto"/>
        <w:right w:val="none" w:sz="0" w:space="0" w:color="auto"/>
      </w:divBdr>
    </w:div>
    <w:div w:id="131753136">
      <w:bodyDiv w:val="1"/>
      <w:marLeft w:val="0"/>
      <w:marRight w:val="0"/>
      <w:marTop w:val="0"/>
      <w:marBottom w:val="0"/>
      <w:divBdr>
        <w:top w:val="none" w:sz="0" w:space="0" w:color="auto"/>
        <w:left w:val="none" w:sz="0" w:space="0" w:color="auto"/>
        <w:bottom w:val="none" w:sz="0" w:space="0" w:color="auto"/>
        <w:right w:val="none" w:sz="0" w:space="0" w:color="auto"/>
      </w:divBdr>
    </w:div>
    <w:div w:id="285934737">
      <w:bodyDiv w:val="1"/>
      <w:marLeft w:val="0"/>
      <w:marRight w:val="0"/>
      <w:marTop w:val="0"/>
      <w:marBottom w:val="0"/>
      <w:divBdr>
        <w:top w:val="none" w:sz="0" w:space="0" w:color="auto"/>
        <w:left w:val="none" w:sz="0" w:space="0" w:color="auto"/>
        <w:bottom w:val="none" w:sz="0" w:space="0" w:color="auto"/>
        <w:right w:val="none" w:sz="0" w:space="0" w:color="auto"/>
      </w:divBdr>
    </w:div>
    <w:div w:id="297537418">
      <w:bodyDiv w:val="1"/>
      <w:marLeft w:val="0"/>
      <w:marRight w:val="0"/>
      <w:marTop w:val="0"/>
      <w:marBottom w:val="0"/>
      <w:divBdr>
        <w:top w:val="none" w:sz="0" w:space="0" w:color="auto"/>
        <w:left w:val="none" w:sz="0" w:space="0" w:color="auto"/>
        <w:bottom w:val="none" w:sz="0" w:space="0" w:color="auto"/>
        <w:right w:val="none" w:sz="0" w:space="0" w:color="auto"/>
      </w:divBdr>
    </w:div>
    <w:div w:id="320891189">
      <w:bodyDiv w:val="1"/>
      <w:marLeft w:val="0"/>
      <w:marRight w:val="0"/>
      <w:marTop w:val="0"/>
      <w:marBottom w:val="0"/>
      <w:divBdr>
        <w:top w:val="none" w:sz="0" w:space="0" w:color="auto"/>
        <w:left w:val="none" w:sz="0" w:space="0" w:color="auto"/>
        <w:bottom w:val="none" w:sz="0" w:space="0" w:color="auto"/>
        <w:right w:val="none" w:sz="0" w:space="0" w:color="auto"/>
      </w:divBdr>
    </w:div>
    <w:div w:id="321668437">
      <w:bodyDiv w:val="1"/>
      <w:marLeft w:val="0"/>
      <w:marRight w:val="0"/>
      <w:marTop w:val="0"/>
      <w:marBottom w:val="0"/>
      <w:divBdr>
        <w:top w:val="none" w:sz="0" w:space="0" w:color="auto"/>
        <w:left w:val="none" w:sz="0" w:space="0" w:color="auto"/>
        <w:bottom w:val="none" w:sz="0" w:space="0" w:color="auto"/>
        <w:right w:val="none" w:sz="0" w:space="0" w:color="auto"/>
      </w:divBdr>
    </w:div>
    <w:div w:id="359860455">
      <w:bodyDiv w:val="1"/>
      <w:marLeft w:val="0"/>
      <w:marRight w:val="0"/>
      <w:marTop w:val="0"/>
      <w:marBottom w:val="0"/>
      <w:divBdr>
        <w:top w:val="none" w:sz="0" w:space="0" w:color="auto"/>
        <w:left w:val="none" w:sz="0" w:space="0" w:color="auto"/>
        <w:bottom w:val="none" w:sz="0" w:space="0" w:color="auto"/>
        <w:right w:val="none" w:sz="0" w:space="0" w:color="auto"/>
      </w:divBdr>
    </w:div>
    <w:div w:id="506218482">
      <w:bodyDiv w:val="1"/>
      <w:marLeft w:val="0"/>
      <w:marRight w:val="0"/>
      <w:marTop w:val="0"/>
      <w:marBottom w:val="0"/>
      <w:divBdr>
        <w:top w:val="none" w:sz="0" w:space="0" w:color="auto"/>
        <w:left w:val="none" w:sz="0" w:space="0" w:color="auto"/>
        <w:bottom w:val="none" w:sz="0" w:space="0" w:color="auto"/>
        <w:right w:val="none" w:sz="0" w:space="0" w:color="auto"/>
      </w:divBdr>
    </w:div>
    <w:div w:id="710307103">
      <w:bodyDiv w:val="1"/>
      <w:marLeft w:val="0"/>
      <w:marRight w:val="0"/>
      <w:marTop w:val="0"/>
      <w:marBottom w:val="0"/>
      <w:divBdr>
        <w:top w:val="none" w:sz="0" w:space="0" w:color="auto"/>
        <w:left w:val="none" w:sz="0" w:space="0" w:color="auto"/>
        <w:bottom w:val="none" w:sz="0" w:space="0" w:color="auto"/>
        <w:right w:val="none" w:sz="0" w:space="0" w:color="auto"/>
      </w:divBdr>
    </w:div>
    <w:div w:id="751240101">
      <w:bodyDiv w:val="1"/>
      <w:marLeft w:val="0"/>
      <w:marRight w:val="0"/>
      <w:marTop w:val="0"/>
      <w:marBottom w:val="0"/>
      <w:divBdr>
        <w:top w:val="none" w:sz="0" w:space="0" w:color="auto"/>
        <w:left w:val="none" w:sz="0" w:space="0" w:color="auto"/>
        <w:bottom w:val="none" w:sz="0" w:space="0" w:color="auto"/>
        <w:right w:val="none" w:sz="0" w:space="0" w:color="auto"/>
      </w:divBdr>
    </w:div>
    <w:div w:id="785923731">
      <w:bodyDiv w:val="1"/>
      <w:marLeft w:val="0"/>
      <w:marRight w:val="0"/>
      <w:marTop w:val="0"/>
      <w:marBottom w:val="0"/>
      <w:divBdr>
        <w:top w:val="none" w:sz="0" w:space="0" w:color="auto"/>
        <w:left w:val="none" w:sz="0" w:space="0" w:color="auto"/>
        <w:bottom w:val="none" w:sz="0" w:space="0" w:color="auto"/>
        <w:right w:val="none" w:sz="0" w:space="0" w:color="auto"/>
      </w:divBdr>
    </w:div>
    <w:div w:id="787043185">
      <w:bodyDiv w:val="1"/>
      <w:marLeft w:val="0"/>
      <w:marRight w:val="0"/>
      <w:marTop w:val="0"/>
      <w:marBottom w:val="0"/>
      <w:divBdr>
        <w:top w:val="none" w:sz="0" w:space="0" w:color="auto"/>
        <w:left w:val="none" w:sz="0" w:space="0" w:color="auto"/>
        <w:bottom w:val="none" w:sz="0" w:space="0" w:color="auto"/>
        <w:right w:val="none" w:sz="0" w:space="0" w:color="auto"/>
      </w:divBdr>
    </w:div>
    <w:div w:id="805898460">
      <w:bodyDiv w:val="1"/>
      <w:marLeft w:val="0"/>
      <w:marRight w:val="0"/>
      <w:marTop w:val="0"/>
      <w:marBottom w:val="0"/>
      <w:divBdr>
        <w:top w:val="none" w:sz="0" w:space="0" w:color="auto"/>
        <w:left w:val="none" w:sz="0" w:space="0" w:color="auto"/>
        <w:bottom w:val="none" w:sz="0" w:space="0" w:color="auto"/>
        <w:right w:val="none" w:sz="0" w:space="0" w:color="auto"/>
      </w:divBdr>
    </w:div>
    <w:div w:id="807630728">
      <w:bodyDiv w:val="1"/>
      <w:marLeft w:val="0"/>
      <w:marRight w:val="0"/>
      <w:marTop w:val="0"/>
      <w:marBottom w:val="0"/>
      <w:divBdr>
        <w:top w:val="none" w:sz="0" w:space="0" w:color="auto"/>
        <w:left w:val="none" w:sz="0" w:space="0" w:color="auto"/>
        <w:bottom w:val="none" w:sz="0" w:space="0" w:color="auto"/>
        <w:right w:val="none" w:sz="0" w:space="0" w:color="auto"/>
      </w:divBdr>
    </w:div>
    <w:div w:id="895822743">
      <w:bodyDiv w:val="1"/>
      <w:marLeft w:val="0"/>
      <w:marRight w:val="0"/>
      <w:marTop w:val="0"/>
      <w:marBottom w:val="0"/>
      <w:divBdr>
        <w:top w:val="none" w:sz="0" w:space="0" w:color="auto"/>
        <w:left w:val="none" w:sz="0" w:space="0" w:color="auto"/>
        <w:bottom w:val="none" w:sz="0" w:space="0" w:color="auto"/>
        <w:right w:val="none" w:sz="0" w:space="0" w:color="auto"/>
      </w:divBdr>
    </w:div>
    <w:div w:id="900213009">
      <w:bodyDiv w:val="1"/>
      <w:marLeft w:val="0"/>
      <w:marRight w:val="0"/>
      <w:marTop w:val="0"/>
      <w:marBottom w:val="0"/>
      <w:divBdr>
        <w:top w:val="none" w:sz="0" w:space="0" w:color="auto"/>
        <w:left w:val="none" w:sz="0" w:space="0" w:color="auto"/>
        <w:bottom w:val="none" w:sz="0" w:space="0" w:color="auto"/>
        <w:right w:val="none" w:sz="0" w:space="0" w:color="auto"/>
      </w:divBdr>
    </w:div>
    <w:div w:id="957757333">
      <w:bodyDiv w:val="1"/>
      <w:marLeft w:val="0"/>
      <w:marRight w:val="0"/>
      <w:marTop w:val="0"/>
      <w:marBottom w:val="0"/>
      <w:divBdr>
        <w:top w:val="none" w:sz="0" w:space="0" w:color="auto"/>
        <w:left w:val="none" w:sz="0" w:space="0" w:color="auto"/>
        <w:bottom w:val="none" w:sz="0" w:space="0" w:color="auto"/>
        <w:right w:val="none" w:sz="0" w:space="0" w:color="auto"/>
      </w:divBdr>
    </w:div>
    <w:div w:id="1068990282">
      <w:bodyDiv w:val="1"/>
      <w:marLeft w:val="0"/>
      <w:marRight w:val="0"/>
      <w:marTop w:val="0"/>
      <w:marBottom w:val="0"/>
      <w:divBdr>
        <w:top w:val="none" w:sz="0" w:space="0" w:color="auto"/>
        <w:left w:val="none" w:sz="0" w:space="0" w:color="auto"/>
        <w:bottom w:val="none" w:sz="0" w:space="0" w:color="auto"/>
        <w:right w:val="none" w:sz="0" w:space="0" w:color="auto"/>
      </w:divBdr>
    </w:div>
    <w:div w:id="1108429512">
      <w:bodyDiv w:val="1"/>
      <w:marLeft w:val="0"/>
      <w:marRight w:val="0"/>
      <w:marTop w:val="0"/>
      <w:marBottom w:val="0"/>
      <w:divBdr>
        <w:top w:val="none" w:sz="0" w:space="0" w:color="auto"/>
        <w:left w:val="none" w:sz="0" w:space="0" w:color="auto"/>
        <w:bottom w:val="none" w:sz="0" w:space="0" w:color="auto"/>
        <w:right w:val="none" w:sz="0" w:space="0" w:color="auto"/>
      </w:divBdr>
    </w:div>
    <w:div w:id="1111585790">
      <w:bodyDiv w:val="1"/>
      <w:marLeft w:val="0"/>
      <w:marRight w:val="0"/>
      <w:marTop w:val="0"/>
      <w:marBottom w:val="0"/>
      <w:divBdr>
        <w:top w:val="none" w:sz="0" w:space="0" w:color="auto"/>
        <w:left w:val="none" w:sz="0" w:space="0" w:color="auto"/>
        <w:bottom w:val="none" w:sz="0" w:space="0" w:color="auto"/>
        <w:right w:val="none" w:sz="0" w:space="0" w:color="auto"/>
      </w:divBdr>
    </w:div>
    <w:div w:id="1189445581">
      <w:bodyDiv w:val="1"/>
      <w:marLeft w:val="0"/>
      <w:marRight w:val="0"/>
      <w:marTop w:val="0"/>
      <w:marBottom w:val="0"/>
      <w:divBdr>
        <w:top w:val="none" w:sz="0" w:space="0" w:color="auto"/>
        <w:left w:val="none" w:sz="0" w:space="0" w:color="auto"/>
        <w:bottom w:val="none" w:sz="0" w:space="0" w:color="auto"/>
        <w:right w:val="none" w:sz="0" w:space="0" w:color="auto"/>
      </w:divBdr>
    </w:div>
    <w:div w:id="1199927660">
      <w:bodyDiv w:val="1"/>
      <w:marLeft w:val="0"/>
      <w:marRight w:val="0"/>
      <w:marTop w:val="0"/>
      <w:marBottom w:val="0"/>
      <w:divBdr>
        <w:top w:val="none" w:sz="0" w:space="0" w:color="auto"/>
        <w:left w:val="none" w:sz="0" w:space="0" w:color="auto"/>
        <w:bottom w:val="none" w:sz="0" w:space="0" w:color="auto"/>
        <w:right w:val="none" w:sz="0" w:space="0" w:color="auto"/>
      </w:divBdr>
    </w:div>
    <w:div w:id="1236160109">
      <w:bodyDiv w:val="1"/>
      <w:marLeft w:val="0"/>
      <w:marRight w:val="0"/>
      <w:marTop w:val="0"/>
      <w:marBottom w:val="0"/>
      <w:divBdr>
        <w:top w:val="none" w:sz="0" w:space="0" w:color="auto"/>
        <w:left w:val="none" w:sz="0" w:space="0" w:color="auto"/>
        <w:bottom w:val="none" w:sz="0" w:space="0" w:color="auto"/>
        <w:right w:val="none" w:sz="0" w:space="0" w:color="auto"/>
      </w:divBdr>
    </w:div>
    <w:div w:id="1237938216">
      <w:bodyDiv w:val="1"/>
      <w:marLeft w:val="0"/>
      <w:marRight w:val="0"/>
      <w:marTop w:val="0"/>
      <w:marBottom w:val="0"/>
      <w:divBdr>
        <w:top w:val="none" w:sz="0" w:space="0" w:color="auto"/>
        <w:left w:val="none" w:sz="0" w:space="0" w:color="auto"/>
        <w:bottom w:val="none" w:sz="0" w:space="0" w:color="auto"/>
        <w:right w:val="none" w:sz="0" w:space="0" w:color="auto"/>
      </w:divBdr>
    </w:div>
    <w:div w:id="1342588942">
      <w:bodyDiv w:val="1"/>
      <w:marLeft w:val="0"/>
      <w:marRight w:val="0"/>
      <w:marTop w:val="0"/>
      <w:marBottom w:val="0"/>
      <w:divBdr>
        <w:top w:val="none" w:sz="0" w:space="0" w:color="auto"/>
        <w:left w:val="none" w:sz="0" w:space="0" w:color="auto"/>
        <w:bottom w:val="none" w:sz="0" w:space="0" w:color="auto"/>
        <w:right w:val="none" w:sz="0" w:space="0" w:color="auto"/>
      </w:divBdr>
    </w:div>
    <w:div w:id="1405756348">
      <w:bodyDiv w:val="1"/>
      <w:marLeft w:val="0"/>
      <w:marRight w:val="0"/>
      <w:marTop w:val="0"/>
      <w:marBottom w:val="0"/>
      <w:divBdr>
        <w:top w:val="none" w:sz="0" w:space="0" w:color="auto"/>
        <w:left w:val="none" w:sz="0" w:space="0" w:color="auto"/>
        <w:bottom w:val="none" w:sz="0" w:space="0" w:color="auto"/>
        <w:right w:val="none" w:sz="0" w:space="0" w:color="auto"/>
      </w:divBdr>
    </w:div>
    <w:div w:id="1488863187">
      <w:bodyDiv w:val="1"/>
      <w:marLeft w:val="0"/>
      <w:marRight w:val="0"/>
      <w:marTop w:val="0"/>
      <w:marBottom w:val="0"/>
      <w:divBdr>
        <w:top w:val="none" w:sz="0" w:space="0" w:color="auto"/>
        <w:left w:val="none" w:sz="0" w:space="0" w:color="auto"/>
        <w:bottom w:val="none" w:sz="0" w:space="0" w:color="auto"/>
        <w:right w:val="none" w:sz="0" w:space="0" w:color="auto"/>
      </w:divBdr>
    </w:div>
    <w:div w:id="1515075578">
      <w:bodyDiv w:val="1"/>
      <w:marLeft w:val="0"/>
      <w:marRight w:val="0"/>
      <w:marTop w:val="0"/>
      <w:marBottom w:val="0"/>
      <w:divBdr>
        <w:top w:val="none" w:sz="0" w:space="0" w:color="auto"/>
        <w:left w:val="none" w:sz="0" w:space="0" w:color="auto"/>
        <w:bottom w:val="none" w:sz="0" w:space="0" w:color="auto"/>
        <w:right w:val="none" w:sz="0" w:space="0" w:color="auto"/>
      </w:divBdr>
    </w:div>
    <w:div w:id="1642416169">
      <w:bodyDiv w:val="1"/>
      <w:marLeft w:val="0"/>
      <w:marRight w:val="0"/>
      <w:marTop w:val="0"/>
      <w:marBottom w:val="0"/>
      <w:divBdr>
        <w:top w:val="none" w:sz="0" w:space="0" w:color="auto"/>
        <w:left w:val="none" w:sz="0" w:space="0" w:color="auto"/>
        <w:bottom w:val="none" w:sz="0" w:space="0" w:color="auto"/>
        <w:right w:val="none" w:sz="0" w:space="0" w:color="auto"/>
      </w:divBdr>
    </w:div>
    <w:div w:id="1776897845">
      <w:bodyDiv w:val="1"/>
      <w:marLeft w:val="0"/>
      <w:marRight w:val="0"/>
      <w:marTop w:val="0"/>
      <w:marBottom w:val="0"/>
      <w:divBdr>
        <w:top w:val="none" w:sz="0" w:space="0" w:color="auto"/>
        <w:left w:val="none" w:sz="0" w:space="0" w:color="auto"/>
        <w:bottom w:val="none" w:sz="0" w:space="0" w:color="auto"/>
        <w:right w:val="none" w:sz="0" w:space="0" w:color="auto"/>
      </w:divBdr>
    </w:div>
    <w:div w:id="1804535995">
      <w:bodyDiv w:val="1"/>
      <w:marLeft w:val="0"/>
      <w:marRight w:val="0"/>
      <w:marTop w:val="0"/>
      <w:marBottom w:val="0"/>
      <w:divBdr>
        <w:top w:val="none" w:sz="0" w:space="0" w:color="auto"/>
        <w:left w:val="none" w:sz="0" w:space="0" w:color="auto"/>
        <w:bottom w:val="none" w:sz="0" w:space="0" w:color="auto"/>
        <w:right w:val="none" w:sz="0" w:space="0" w:color="auto"/>
      </w:divBdr>
    </w:div>
    <w:div w:id="1810854639">
      <w:bodyDiv w:val="1"/>
      <w:marLeft w:val="0"/>
      <w:marRight w:val="0"/>
      <w:marTop w:val="0"/>
      <w:marBottom w:val="0"/>
      <w:divBdr>
        <w:top w:val="none" w:sz="0" w:space="0" w:color="auto"/>
        <w:left w:val="none" w:sz="0" w:space="0" w:color="auto"/>
        <w:bottom w:val="none" w:sz="0" w:space="0" w:color="auto"/>
        <w:right w:val="none" w:sz="0" w:space="0" w:color="auto"/>
      </w:divBdr>
    </w:div>
    <w:div w:id="1824347018">
      <w:bodyDiv w:val="1"/>
      <w:marLeft w:val="0"/>
      <w:marRight w:val="0"/>
      <w:marTop w:val="0"/>
      <w:marBottom w:val="0"/>
      <w:divBdr>
        <w:top w:val="none" w:sz="0" w:space="0" w:color="auto"/>
        <w:left w:val="none" w:sz="0" w:space="0" w:color="auto"/>
        <w:bottom w:val="none" w:sz="0" w:space="0" w:color="auto"/>
        <w:right w:val="none" w:sz="0" w:space="0" w:color="auto"/>
      </w:divBdr>
    </w:div>
    <w:div w:id="1831485725">
      <w:bodyDiv w:val="1"/>
      <w:marLeft w:val="0"/>
      <w:marRight w:val="0"/>
      <w:marTop w:val="0"/>
      <w:marBottom w:val="0"/>
      <w:divBdr>
        <w:top w:val="none" w:sz="0" w:space="0" w:color="auto"/>
        <w:left w:val="none" w:sz="0" w:space="0" w:color="auto"/>
        <w:bottom w:val="none" w:sz="0" w:space="0" w:color="auto"/>
        <w:right w:val="none" w:sz="0" w:space="0" w:color="auto"/>
      </w:divBdr>
    </w:div>
    <w:div w:id="1945989670">
      <w:bodyDiv w:val="1"/>
      <w:marLeft w:val="0"/>
      <w:marRight w:val="0"/>
      <w:marTop w:val="0"/>
      <w:marBottom w:val="0"/>
      <w:divBdr>
        <w:top w:val="none" w:sz="0" w:space="0" w:color="auto"/>
        <w:left w:val="none" w:sz="0" w:space="0" w:color="auto"/>
        <w:bottom w:val="none" w:sz="0" w:space="0" w:color="auto"/>
        <w:right w:val="none" w:sz="0" w:space="0" w:color="auto"/>
      </w:divBdr>
    </w:div>
    <w:div w:id="2000307648">
      <w:bodyDiv w:val="1"/>
      <w:marLeft w:val="0"/>
      <w:marRight w:val="0"/>
      <w:marTop w:val="0"/>
      <w:marBottom w:val="0"/>
      <w:divBdr>
        <w:top w:val="none" w:sz="0" w:space="0" w:color="auto"/>
        <w:left w:val="none" w:sz="0" w:space="0" w:color="auto"/>
        <w:bottom w:val="none" w:sz="0" w:space="0" w:color="auto"/>
        <w:right w:val="none" w:sz="0" w:space="0" w:color="auto"/>
      </w:divBdr>
    </w:div>
    <w:div w:id="200207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28</TotalTime>
  <Pages>9</Pages>
  <Words>2563</Words>
  <Characters>15274</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2023043815 mt engelske tekster</dc:description>
  <cp:lastModifiedBy>Hanne Thy Iversen</cp:lastModifiedBy>
  <cp:revision>8</cp:revision>
  <cp:lastPrinted>2006-02-24T09:31:00Z</cp:lastPrinted>
  <dcterms:created xsi:type="dcterms:W3CDTF">2025-01-15T11:58:00Z</dcterms:created>
  <dcterms:modified xsi:type="dcterms:W3CDTF">2025-01-17T10:27:00Z</dcterms:modified>
</cp:coreProperties>
</file>