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886FE5">
        <w:rPr>
          <w:szCs w:val="24"/>
        </w:rPr>
        <w:t>16. september 2024</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387F12" w:rsidRDefault="00387F12" w:rsidP="009260DE">
      <w:pPr>
        <w:jc w:val="center"/>
        <w:rPr>
          <w:b/>
          <w:sz w:val="24"/>
          <w:szCs w:val="24"/>
        </w:rPr>
      </w:pPr>
      <w:r w:rsidRPr="00387F12">
        <w:rPr>
          <w:b/>
          <w:sz w:val="24"/>
          <w:szCs w:val="24"/>
        </w:rPr>
        <w:t>Rotigotine "Medical Valley", depotplastre 1 mg/24 timer og</w:t>
      </w:r>
      <w:r>
        <w:rPr>
          <w:b/>
          <w:sz w:val="24"/>
          <w:szCs w:val="24"/>
        </w:rPr>
        <w:t xml:space="preserve"> 3 mg/24 timer</w:t>
      </w:r>
    </w:p>
    <w:p w:rsidR="009260DE" w:rsidRPr="00387F12" w:rsidRDefault="009260DE" w:rsidP="009260DE">
      <w:pPr>
        <w:jc w:val="both"/>
        <w:rPr>
          <w:sz w:val="24"/>
          <w:szCs w:val="24"/>
        </w:rPr>
      </w:pPr>
    </w:p>
    <w:p w:rsidR="009260DE" w:rsidRPr="00387F12"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577AAE" w:rsidP="009260DE">
      <w:pPr>
        <w:tabs>
          <w:tab w:val="left" w:pos="851"/>
        </w:tabs>
        <w:ind w:left="851"/>
        <w:rPr>
          <w:sz w:val="24"/>
          <w:szCs w:val="24"/>
        </w:rPr>
      </w:pPr>
      <w:r>
        <w:rPr>
          <w:sz w:val="24"/>
          <w:szCs w:val="24"/>
        </w:rPr>
        <w:t>33995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577AAE" w:rsidP="009260DE">
      <w:pPr>
        <w:tabs>
          <w:tab w:val="left" w:pos="851"/>
        </w:tabs>
        <w:ind w:left="851"/>
        <w:rPr>
          <w:sz w:val="24"/>
          <w:szCs w:val="24"/>
        </w:rPr>
      </w:pPr>
      <w:r>
        <w:rPr>
          <w:sz w:val="24"/>
          <w:szCs w:val="24"/>
        </w:rPr>
        <w:t>Rotigotine "Medical Valley"</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577AAE" w:rsidRDefault="00577AAE" w:rsidP="00577AAE">
      <w:pPr>
        <w:tabs>
          <w:tab w:val="left" w:pos="851"/>
        </w:tabs>
        <w:ind w:left="851"/>
        <w:rPr>
          <w:sz w:val="24"/>
          <w:szCs w:val="24"/>
          <w:u w:val="single"/>
        </w:rPr>
      </w:pPr>
      <w:bookmarkStart w:id="1" w:name="_Hlk174113717"/>
    </w:p>
    <w:p w:rsidR="00577AAE" w:rsidRPr="00577AAE" w:rsidRDefault="00577AAE" w:rsidP="00577AAE">
      <w:pPr>
        <w:tabs>
          <w:tab w:val="left" w:pos="851"/>
        </w:tabs>
        <w:ind w:left="851"/>
        <w:rPr>
          <w:sz w:val="24"/>
          <w:szCs w:val="24"/>
          <w:u w:val="single"/>
        </w:rPr>
      </w:pPr>
      <w:r w:rsidRPr="00577AAE">
        <w:rPr>
          <w:sz w:val="24"/>
          <w:szCs w:val="24"/>
          <w:u w:val="single"/>
        </w:rPr>
        <w:t>Rotigotine "Medical Valley" 1 mg/24 timer depotplaster</w:t>
      </w:r>
    </w:p>
    <w:bookmarkEnd w:id="1"/>
    <w:p w:rsidR="00577AAE" w:rsidRPr="00577AAE" w:rsidRDefault="00577AAE" w:rsidP="00577AAE">
      <w:pPr>
        <w:tabs>
          <w:tab w:val="left" w:pos="851"/>
        </w:tabs>
        <w:ind w:left="851"/>
        <w:rPr>
          <w:sz w:val="24"/>
          <w:szCs w:val="24"/>
        </w:rPr>
      </w:pPr>
      <w:r w:rsidRPr="00577AAE">
        <w:rPr>
          <w:sz w:val="24"/>
          <w:szCs w:val="24"/>
        </w:rPr>
        <w:t>Hvert plaster afgiver 1 mg rotigotin pr. 24 timer. Hvert plaster på 4,6 cm</w:t>
      </w:r>
      <w:r w:rsidRPr="00577AAE">
        <w:rPr>
          <w:sz w:val="24"/>
          <w:szCs w:val="24"/>
          <w:vertAlign w:val="superscript"/>
        </w:rPr>
        <w:t>2</w:t>
      </w:r>
      <w:r w:rsidRPr="00577AAE">
        <w:rPr>
          <w:sz w:val="24"/>
          <w:szCs w:val="24"/>
        </w:rPr>
        <w:t xml:space="preserve"> indeholder 1,84 mg rotigotin.</w:t>
      </w:r>
    </w:p>
    <w:p w:rsidR="00577AAE" w:rsidRPr="00577AAE" w:rsidRDefault="00577AAE" w:rsidP="00577AAE">
      <w:pPr>
        <w:tabs>
          <w:tab w:val="left" w:pos="851"/>
        </w:tabs>
        <w:ind w:left="851"/>
        <w:rPr>
          <w:sz w:val="24"/>
          <w:szCs w:val="24"/>
        </w:rPr>
      </w:pPr>
    </w:p>
    <w:p w:rsidR="00577AAE" w:rsidRPr="00577AAE" w:rsidRDefault="00577AAE" w:rsidP="00577AAE">
      <w:pPr>
        <w:tabs>
          <w:tab w:val="left" w:pos="851"/>
        </w:tabs>
        <w:ind w:left="851"/>
        <w:rPr>
          <w:sz w:val="24"/>
          <w:szCs w:val="24"/>
          <w:u w:val="single"/>
        </w:rPr>
      </w:pPr>
      <w:r w:rsidRPr="00577AAE">
        <w:rPr>
          <w:sz w:val="24"/>
          <w:szCs w:val="24"/>
          <w:u w:val="single"/>
        </w:rPr>
        <w:t>Rotigotine "Medical Valley" 3 mg/24 timer depotplaster</w:t>
      </w:r>
    </w:p>
    <w:p w:rsidR="00577AAE" w:rsidRPr="00577AAE" w:rsidRDefault="00577AAE" w:rsidP="00577AAE">
      <w:pPr>
        <w:tabs>
          <w:tab w:val="left" w:pos="851"/>
        </w:tabs>
        <w:ind w:left="851"/>
        <w:rPr>
          <w:sz w:val="24"/>
          <w:szCs w:val="24"/>
        </w:rPr>
      </w:pPr>
      <w:r w:rsidRPr="00577AAE">
        <w:rPr>
          <w:sz w:val="24"/>
          <w:szCs w:val="24"/>
        </w:rPr>
        <w:t>Hvert plaster afgiver 3 mg rotigotin pr. 24 timer. Hvert plaster på 13,8 cm</w:t>
      </w:r>
      <w:r w:rsidRPr="00577AAE">
        <w:rPr>
          <w:sz w:val="24"/>
          <w:szCs w:val="24"/>
          <w:vertAlign w:val="superscript"/>
        </w:rPr>
        <w:t>2</w:t>
      </w:r>
      <w:r w:rsidRPr="00577AAE">
        <w:rPr>
          <w:sz w:val="24"/>
          <w:szCs w:val="24"/>
        </w:rPr>
        <w:t xml:space="preserve"> indeholder 5,52 mg rotigotin.</w:t>
      </w:r>
    </w:p>
    <w:p w:rsidR="00577AAE" w:rsidRPr="00577AAE" w:rsidRDefault="00577AAE" w:rsidP="00577AAE">
      <w:pPr>
        <w:tabs>
          <w:tab w:val="left" w:pos="851"/>
        </w:tabs>
        <w:ind w:left="851"/>
        <w:rPr>
          <w:sz w:val="24"/>
          <w:szCs w:val="24"/>
        </w:rPr>
      </w:pPr>
    </w:p>
    <w:p w:rsidR="00577AAE" w:rsidRPr="00577AAE" w:rsidRDefault="00577AAE" w:rsidP="00577AAE">
      <w:pPr>
        <w:tabs>
          <w:tab w:val="left" w:pos="851"/>
        </w:tabs>
        <w:ind w:left="851"/>
        <w:rPr>
          <w:sz w:val="24"/>
          <w:szCs w:val="24"/>
        </w:rPr>
      </w:pPr>
      <w:r w:rsidRPr="00577AAE">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577AAE" w:rsidRDefault="00577AAE" w:rsidP="00577AAE">
      <w:pPr>
        <w:tabs>
          <w:tab w:val="left" w:pos="851"/>
        </w:tabs>
        <w:ind w:left="851"/>
        <w:rPr>
          <w:sz w:val="24"/>
          <w:szCs w:val="24"/>
        </w:rPr>
      </w:pPr>
      <w:r w:rsidRPr="00577AAE">
        <w:rPr>
          <w:sz w:val="24"/>
          <w:szCs w:val="24"/>
        </w:rPr>
        <w:t>Depotplast</w:t>
      </w:r>
      <w:r>
        <w:rPr>
          <w:sz w:val="24"/>
          <w:szCs w:val="24"/>
        </w:rPr>
        <w:t>re</w:t>
      </w:r>
    </w:p>
    <w:p w:rsidR="00577AAE" w:rsidRPr="00577AAE" w:rsidRDefault="00577AAE" w:rsidP="00577AAE">
      <w:pPr>
        <w:tabs>
          <w:tab w:val="left" w:pos="851"/>
        </w:tabs>
        <w:ind w:left="851"/>
        <w:rPr>
          <w:sz w:val="24"/>
          <w:szCs w:val="24"/>
        </w:rPr>
      </w:pPr>
    </w:p>
    <w:p w:rsidR="00577AAE" w:rsidRPr="00577AAE" w:rsidRDefault="00577AAE" w:rsidP="00577AAE">
      <w:pPr>
        <w:tabs>
          <w:tab w:val="left" w:pos="851"/>
        </w:tabs>
        <w:ind w:left="851"/>
        <w:rPr>
          <w:sz w:val="24"/>
          <w:szCs w:val="24"/>
        </w:rPr>
      </w:pPr>
      <w:r w:rsidRPr="00577AAE">
        <w:rPr>
          <w:sz w:val="24"/>
          <w:szCs w:val="24"/>
        </w:rPr>
        <w:t>Tyndt, matrixtype, rektangulært plaster med afrundede hjørner.</w:t>
      </w:r>
      <w:bookmarkStart w:id="2" w:name="_Hlk173766635"/>
    </w:p>
    <w:p w:rsidR="00577AAE" w:rsidRPr="00577AAE" w:rsidRDefault="00577AAE" w:rsidP="00577AAE">
      <w:pPr>
        <w:tabs>
          <w:tab w:val="left" w:pos="851"/>
        </w:tabs>
        <w:ind w:left="851"/>
        <w:rPr>
          <w:sz w:val="24"/>
          <w:szCs w:val="24"/>
          <w:u w:val="single"/>
        </w:rPr>
      </w:pPr>
    </w:p>
    <w:p w:rsidR="00577AAE" w:rsidRPr="00577AAE" w:rsidRDefault="00577AAE" w:rsidP="00577AAE">
      <w:pPr>
        <w:tabs>
          <w:tab w:val="left" w:pos="851"/>
        </w:tabs>
        <w:ind w:left="851"/>
        <w:rPr>
          <w:sz w:val="24"/>
          <w:szCs w:val="24"/>
          <w:u w:val="single"/>
        </w:rPr>
      </w:pPr>
      <w:r w:rsidRPr="00577AAE">
        <w:rPr>
          <w:sz w:val="24"/>
          <w:szCs w:val="24"/>
          <w:u w:val="single"/>
        </w:rPr>
        <w:t>Rotigotine "Medical Valley" 1 mg/24 timer depotplaster</w:t>
      </w:r>
    </w:p>
    <w:p w:rsidR="00577AAE" w:rsidRPr="00577AAE" w:rsidRDefault="00577AAE" w:rsidP="00577AAE">
      <w:pPr>
        <w:tabs>
          <w:tab w:val="left" w:pos="851"/>
        </w:tabs>
        <w:ind w:left="851"/>
        <w:rPr>
          <w:sz w:val="24"/>
          <w:szCs w:val="24"/>
        </w:rPr>
      </w:pPr>
      <w:r w:rsidRPr="00577AAE">
        <w:rPr>
          <w:sz w:val="24"/>
          <w:szCs w:val="24"/>
        </w:rPr>
        <w:t>Den ydre side af bagsidelaget er gyldenbrun og påtrykt "Rotigotine 1 mg/24 h".</w:t>
      </w:r>
      <w:bookmarkEnd w:id="2"/>
      <w:r w:rsidRPr="00577AAE">
        <w:rPr>
          <w:sz w:val="24"/>
          <w:szCs w:val="24"/>
        </w:rPr>
        <w:t xml:space="preserve"> </w:t>
      </w:r>
    </w:p>
    <w:p w:rsidR="00577AAE" w:rsidRPr="00577AAE" w:rsidRDefault="00577AAE" w:rsidP="00577AAE">
      <w:pPr>
        <w:tabs>
          <w:tab w:val="left" w:pos="851"/>
        </w:tabs>
        <w:ind w:left="851"/>
        <w:rPr>
          <w:sz w:val="24"/>
          <w:szCs w:val="24"/>
        </w:rPr>
      </w:pPr>
    </w:p>
    <w:p w:rsidR="00577AAE" w:rsidRPr="00577AAE" w:rsidRDefault="00577AAE" w:rsidP="00577AAE">
      <w:pPr>
        <w:tabs>
          <w:tab w:val="left" w:pos="851"/>
        </w:tabs>
        <w:ind w:left="851"/>
        <w:rPr>
          <w:sz w:val="24"/>
          <w:szCs w:val="24"/>
          <w:u w:val="single"/>
        </w:rPr>
      </w:pPr>
      <w:r w:rsidRPr="00577AAE">
        <w:rPr>
          <w:sz w:val="24"/>
          <w:szCs w:val="24"/>
          <w:u w:val="single"/>
        </w:rPr>
        <w:t>Rotigotine "Medical Valley" 3 mg/24 timer depotplaster</w:t>
      </w:r>
    </w:p>
    <w:p w:rsidR="00577AAE" w:rsidRPr="00577AAE" w:rsidRDefault="00577AAE" w:rsidP="00577AAE">
      <w:pPr>
        <w:tabs>
          <w:tab w:val="left" w:pos="851"/>
        </w:tabs>
        <w:ind w:left="851"/>
        <w:rPr>
          <w:sz w:val="24"/>
          <w:szCs w:val="24"/>
        </w:rPr>
      </w:pPr>
      <w:r w:rsidRPr="00577AAE">
        <w:rPr>
          <w:sz w:val="24"/>
          <w:szCs w:val="24"/>
        </w:rPr>
        <w:t>Den ydre side af bagsidelaget er gyldenbrun og påtrykt "Rotigotine 3 mg/24 h".</w:t>
      </w:r>
    </w:p>
    <w:p w:rsidR="009260DE" w:rsidRPr="00C84483" w:rsidRDefault="009260DE" w:rsidP="009260DE">
      <w:pPr>
        <w:tabs>
          <w:tab w:val="left" w:pos="851"/>
        </w:tabs>
        <w:ind w:left="851"/>
        <w:rPr>
          <w:sz w:val="24"/>
          <w:szCs w:val="24"/>
        </w:rPr>
      </w:pPr>
    </w:p>
    <w:p w:rsidR="00577AAE" w:rsidRDefault="00577AAE">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577AAE" w:rsidRPr="00577AAE" w:rsidRDefault="00577AAE" w:rsidP="00577AAE">
      <w:pPr>
        <w:tabs>
          <w:tab w:val="left" w:pos="851"/>
        </w:tabs>
        <w:ind w:left="851"/>
        <w:rPr>
          <w:sz w:val="24"/>
          <w:szCs w:val="24"/>
        </w:rPr>
      </w:pPr>
      <w:bookmarkStart w:id="3" w:name="_Hlk173850286"/>
      <w:r w:rsidRPr="00577AAE">
        <w:rPr>
          <w:sz w:val="24"/>
          <w:szCs w:val="24"/>
        </w:rPr>
        <w:t xml:space="preserve">Rotigotine "Medical Valley" </w:t>
      </w:r>
      <w:bookmarkEnd w:id="3"/>
      <w:r w:rsidRPr="00577AAE">
        <w:rPr>
          <w:sz w:val="24"/>
          <w:szCs w:val="24"/>
        </w:rPr>
        <w:t xml:space="preserve">er indiceret til symptomatisk behandling af moderat til svær idiopatisk </w:t>
      </w:r>
      <w:r w:rsidRPr="00577AAE">
        <w:rPr>
          <w:i/>
          <w:iCs/>
          <w:sz w:val="24"/>
          <w:szCs w:val="24"/>
        </w:rPr>
        <w:t>restless legs</w:t>
      </w:r>
      <w:r w:rsidRPr="00577AAE">
        <w:rPr>
          <w:sz w:val="24"/>
          <w:szCs w:val="24"/>
        </w:rPr>
        <w:noBreakHyphen/>
        <w:t>syndrom (RLS) hos voksne.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577AAE" w:rsidRDefault="00577AAE" w:rsidP="00577AAE">
      <w:pPr>
        <w:tabs>
          <w:tab w:val="left" w:pos="851"/>
        </w:tabs>
        <w:ind w:left="851"/>
        <w:rPr>
          <w:sz w:val="24"/>
          <w:szCs w:val="24"/>
          <w:u w:val="single"/>
        </w:rPr>
      </w:pPr>
    </w:p>
    <w:p w:rsidR="00577AAE" w:rsidRPr="00577AAE" w:rsidRDefault="00577AAE" w:rsidP="00577AAE">
      <w:pPr>
        <w:tabs>
          <w:tab w:val="left" w:pos="851"/>
        </w:tabs>
        <w:ind w:left="851"/>
        <w:rPr>
          <w:sz w:val="24"/>
          <w:szCs w:val="24"/>
          <w:u w:val="single"/>
        </w:rPr>
      </w:pPr>
      <w:r w:rsidRPr="00577AAE">
        <w:rPr>
          <w:sz w:val="24"/>
          <w:szCs w:val="24"/>
          <w:u w:val="single"/>
        </w:rPr>
        <w:t>Dosering</w:t>
      </w:r>
    </w:p>
    <w:p w:rsidR="00577AAE" w:rsidRPr="00577AAE" w:rsidRDefault="00577AAE" w:rsidP="00577AAE">
      <w:pPr>
        <w:tabs>
          <w:tab w:val="left" w:pos="851"/>
        </w:tabs>
        <w:ind w:left="851"/>
        <w:rPr>
          <w:sz w:val="24"/>
          <w:szCs w:val="24"/>
        </w:rPr>
      </w:pPr>
      <w:r w:rsidRPr="00577AAE">
        <w:rPr>
          <w:sz w:val="24"/>
          <w:szCs w:val="24"/>
        </w:rPr>
        <w:t>Dosisanbefalingerne er angivet som den nominelle dosis.</w:t>
      </w:r>
    </w:p>
    <w:p w:rsidR="00577AAE" w:rsidRPr="00577AAE" w:rsidRDefault="00577AAE" w:rsidP="00577AAE">
      <w:pPr>
        <w:tabs>
          <w:tab w:val="left" w:pos="851"/>
        </w:tabs>
        <w:ind w:left="851"/>
        <w:rPr>
          <w:sz w:val="24"/>
          <w:szCs w:val="24"/>
        </w:rPr>
      </w:pPr>
    </w:p>
    <w:p w:rsidR="00577AAE" w:rsidRPr="00577AAE" w:rsidRDefault="00577AAE" w:rsidP="00577AAE">
      <w:pPr>
        <w:tabs>
          <w:tab w:val="left" w:pos="851"/>
        </w:tabs>
        <w:ind w:left="851"/>
        <w:rPr>
          <w:sz w:val="24"/>
          <w:szCs w:val="24"/>
        </w:rPr>
      </w:pPr>
      <w:r w:rsidRPr="00577AAE">
        <w:rPr>
          <w:sz w:val="24"/>
          <w:szCs w:val="24"/>
        </w:rPr>
        <w:t>En daglig enkeltdosis bør indledes med 1 mg/24 t. Afhængigt af det individuelle patientrespons kan dosis øges i ugentlige trin på 1 mg/24 t til en maksimal dosis på 3 mg/24 t. Behovet for fortsat behandling bør genovervejes hver 6. måned.</w:t>
      </w:r>
    </w:p>
    <w:p w:rsidR="00577AAE" w:rsidRPr="00577AAE" w:rsidRDefault="00577AAE" w:rsidP="00577AAE">
      <w:pPr>
        <w:tabs>
          <w:tab w:val="left" w:pos="851"/>
        </w:tabs>
        <w:ind w:left="851"/>
        <w:rPr>
          <w:sz w:val="24"/>
          <w:szCs w:val="24"/>
        </w:rPr>
      </w:pPr>
    </w:p>
    <w:p w:rsidR="00577AAE" w:rsidRPr="00577AAE" w:rsidRDefault="00577AAE" w:rsidP="00577AAE">
      <w:pPr>
        <w:tabs>
          <w:tab w:val="left" w:pos="851"/>
        </w:tabs>
        <w:ind w:left="851"/>
        <w:rPr>
          <w:sz w:val="24"/>
          <w:szCs w:val="24"/>
        </w:rPr>
      </w:pPr>
      <w:r w:rsidRPr="00577AAE">
        <w:rPr>
          <w:sz w:val="24"/>
          <w:szCs w:val="24"/>
        </w:rPr>
        <w:t>Rotigotine "Medical Valley" påsættes én gang dagligt. Plastret bør påsættes på omtrent samme tidspunkt hver dag. Plastret bør blive siddende på huden i 24 timer og bør derefter erstattes af et nyt plaster på et andet applikationssted.</w:t>
      </w:r>
    </w:p>
    <w:p w:rsidR="00577AAE" w:rsidRPr="00577AAE" w:rsidRDefault="00577AAE" w:rsidP="00577AAE">
      <w:pPr>
        <w:tabs>
          <w:tab w:val="left" w:pos="851"/>
        </w:tabs>
        <w:ind w:left="851"/>
        <w:rPr>
          <w:sz w:val="24"/>
          <w:szCs w:val="24"/>
        </w:rPr>
      </w:pPr>
    </w:p>
    <w:p w:rsidR="00577AAE" w:rsidRPr="00577AAE" w:rsidRDefault="00577AAE" w:rsidP="00577AAE">
      <w:pPr>
        <w:tabs>
          <w:tab w:val="left" w:pos="851"/>
        </w:tabs>
        <w:ind w:left="851"/>
        <w:rPr>
          <w:sz w:val="24"/>
          <w:szCs w:val="24"/>
        </w:rPr>
      </w:pPr>
      <w:r w:rsidRPr="00577AAE">
        <w:rPr>
          <w:sz w:val="24"/>
          <w:szCs w:val="24"/>
        </w:rPr>
        <w:t>Hvis patienten glemmer at påsætte plastret på det sædvanlige tidspunkt på dagen, eller hvis plastret løsner sig, bør et nyt plaster påsættes til resten af dagen.</w:t>
      </w:r>
    </w:p>
    <w:p w:rsidR="00577AAE" w:rsidRPr="00577AAE" w:rsidRDefault="00577AAE" w:rsidP="00577AAE">
      <w:pPr>
        <w:tabs>
          <w:tab w:val="left" w:pos="851"/>
        </w:tabs>
        <w:ind w:left="851"/>
        <w:rPr>
          <w:sz w:val="24"/>
          <w:szCs w:val="24"/>
        </w:rPr>
      </w:pPr>
    </w:p>
    <w:p w:rsidR="00577AAE" w:rsidRPr="00577AAE" w:rsidRDefault="00577AAE" w:rsidP="00577AAE">
      <w:pPr>
        <w:tabs>
          <w:tab w:val="left" w:pos="851"/>
        </w:tabs>
        <w:ind w:left="851"/>
        <w:rPr>
          <w:bCs/>
          <w:i/>
          <w:sz w:val="24"/>
          <w:szCs w:val="24"/>
        </w:rPr>
      </w:pPr>
      <w:r w:rsidRPr="00577AAE">
        <w:rPr>
          <w:bCs/>
          <w:i/>
          <w:sz w:val="24"/>
          <w:szCs w:val="24"/>
        </w:rPr>
        <w:t>Seponering</w:t>
      </w:r>
    </w:p>
    <w:p w:rsidR="00577AAE" w:rsidRPr="00577AAE" w:rsidRDefault="00577AAE" w:rsidP="00577AAE">
      <w:pPr>
        <w:tabs>
          <w:tab w:val="left" w:pos="851"/>
        </w:tabs>
        <w:ind w:left="851"/>
        <w:rPr>
          <w:sz w:val="24"/>
          <w:szCs w:val="24"/>
        </w:rPr>
      </w:pPr>
      <w:r w:rsidRPr="00577AAE">
        <w:rPr>
          <w:sz w:val="24"/>
          <w:szCs w:val="24"/>
        </w:rPr>
        <w:t xml:space="preserve">Rotigotine "Medical Valley" bør seponeres gradvist. Den daglige dosis bør reduceres i trin på 1 mg/24 t, hvor dosisreduktion hver anden dag er at foretrække, indtil behandlingen med Rotigotine "Medical Valley" er ophørt helt (se pkt. 4.4). Når denne fremgangsmåde er fulgt, er der ikke blevet observeret </w:t>
      </w:r>
      <w:r w:rsidRPr="00577AAE">
        <w:rPr>
          <w:i/>
          <w:iCs/>
          <w:sz w:val="24"/>
          <w:szCs w:val="24"/>
        </w:rPr>
        <w:t>rebound</w:t>
      </w:r>
      <w:r w:rsidRPr="00577AAE">
        <w:rPr>
          <w:sz w:val="24"/>
          <w:szCs w:val="24"/>
        </w:rPr>
        <w:noBreakHyphen/>
        <w:t>fænomen (forværring af symptomer i forhold til udgangssymptomer efter seponering af behandlingen).</w:t>
      </w:r>
    </w:p>
    <w:p w:rsidR="00577AAE" w:rsidRPr="00577AAE" w:rsidRDefault="00577AAE" w:rsidP="00577AAE">
      <w:pPr>
        <w:tabs>
          <w:tab w:val="left" w:pos="851"/>
        </w:tabs>
        <w:ind w:left="851"/>
        <w:rPr>
          <w:sz w:val="24"/>
          <w:szCs w:val="24"/>
          <w:u w:val="single"/>
        </w:rPr>
      </w:pPr>
    </w:p>
    <w:p w:rsidR="00577AAE" w:rsidRPr="00577AAE" w:rsidRDefault="00577AAE" w:rsidP="00577AAE">
      <w:pPr>
        <w:tabs>
          <w:tab w:val="left" w:pos="851"/>
        </w:tabs>
        <w:ind w:left="851"/>
        <w:rPr>
          <w:bCs/>
          <w:sz w:val="24"/>
          <w:szCs w:val="24"/>
          <w:u w:val="single"/>
        </w:rPr>
      </w:pPr>
      <w:r w:rsidRPr="00577AAE">
        <w:rPr>
          <w:bCs/>
          <w:sz w:val="24"/>
          <w:szCs w:val="24"/>
          <w:u w:val="single"/>
        </w:rPr>
        <w:t>Særlige populationer</w:t>
      </w:r>
    </w:p>
    <w:p w:rsidR="00577AAE" w:rsidRPr="00577AAE" w:rsidRDefault="00577AAE" w:rsidP="00577AAE">
      <w:pPr>
        <w:tabs>
          <w:tab w:val="left" w:pos="851"/>
        </w:tabs>
        <w:ind w:left="851"/>
        <w:rPr>
          <w:i/>
          <w:sz w:val="24"/>
          <w:szCs w:val="24"/>
        </w:rPr>
      </w:pPr>
    </w:p>
    <w:p w:rsidR="00577AAE" w:rsidRPr="00577AAE" w:rsidRDefault="00577AAE" w:rsidP="00577AAE">
      <w:pPr>
        <w:tabs>
          <w:tab w:val="left" w:pos="851"/>
        </w:tabs>
        <w:ind w:left="851"/>
        <w:rPr>
          <w:i/>
          <w:sz w:val="24"/>
          <w:szCs w:val="24"/>
        </w:rPr>
      </w:pPr>
      <w:r w:rsidRPr="00577AAE">
        <w:rPr>
          <w:i/>
          <w:sz w:val="24"/>
          <w:szCs w:val="24"/>
        </w:rPr>
        <w:t>Nedsat leverfunktion</w:t>
      </w:r>
    </w:p>
    <w:p w:rsidR="00577AAE" w:rsidRPr="00577AAE" w:rsidRDefault="00577AAE" w:rsidP="00577AAE">
      <w:pPr>
        <w:tabs>
          <w:tab w:val="left" w:pos="851"/>
        </w:tabs>
        <w:ind w:left="851"/>
        <w:rPr>
          <w:sz w:val="24"/>
          <w:szCs w:val="24"/>
        </w:rPr>
      </w:pPr>
      <w:r w:rsidRPr="00577AAE">
        <w:rPr>
          <w:sz w:val="24"/>
          <w:szCs w:val="24"/>
        </w:rPr>
        <w:t>Dosisjustering er ikke nødvendig hos patienter med let til moderat nedsat leverfunktion. Det tilrådes at udvise forsigtighed ved behandling af patienter med svært nedsat leverfunktion, som kan resultere i nedsat rotigotinclearance. Rotigotin er ikke undersøgt hos denne patientgruppe. Det kan være nødvendigt at nedsætte dosis, hvis den nedsatte leverfunktion forværres.</w:t>
      </w:r>
    </w:p>
    <w:p w:rsidR="00577AAE" w:rsidRPr="00577AAE" w:rsidRDefault="00577AAE" w:rsidP="00577AAE">
      <w:pPr>
        <w:tabs>
          <w:tab w:val="left" w:pos="851"/>
        </w:tabs>
        <w:ind w:left="851"/>
        <w:rPr>
          <w:sz w:val="24"/>
          <w:szCs w:val="24"/>
        </w:rPr>
      </w:pPr>
    </w:p>
    <w:p w:rsidR="00577AAE" w:rsidRPr="00577AAE" w:rsidRDefault="00577AAE" w:rsidP="00577AAE">
      <w:pPr>
        <w:tabs>
          <w:tab w:val="left" w:pos="851"/>
        </w:tabs>
        <w:ind w:left="851"/>
        <w:rPr>
          <w:i/>
          <w:sz w:val="24"/>
          <w:szCs w:val="24"/>
        </w:rPr>
      </w:pPr>
      <w:r w:rsidRPr="00577AAE">
        <w:rPr>
          <w:i/>
          <w:sz w:val="24"/>
          <w:szCs w:val="24"/>
        </w:rPr>
        <w:t>Nedsat nyrefunktion</w:t>
      </w:r>
    </w:p>
    <w:p w:rsidR="00577AAE" w:rsidRPr="00577AAE" w:rsidRDefault="00577AAE" w:rsidP="00577AAE">
      <w:pPr>
        <w:tabs>
          <w:tab w:val="left" w:pos="851"/>
        </w:tabs>
        <w:ind w:left="851"/>
        <w:rPr>
          <w:sz w:val="24"/>
          <w:szCs w:val="24"/>
        </w:rPr>
      </w:pPr>
      <w:r w:rsidRPr="00577AAE">
        <w:rPr>
          <w:sz w:val="24"/>
          <w:szCs w:val="24"/>
        </w:rPr>
        <w:t>Dosisjustering er ikke nødvendig hos patienter med let til svært nedsat nyrefunktion herunder dialysepatienter. Der kan forekomme uventet akkumulering af rotigotinniveauerne ved akut forværring af nyrefunktionen (se pkt. 5.2).</w:t>
      </w:r>
    </w:p>
    <w:p w:rsidR="00577AAE" w:rsidRPr="00577AAE" w:rsidRDefault="00577AAE" w:rsidP="00577AAE">
      <w:pPr>
        <w:tabs>
          <w:tab w:val="left" w:pos="851"/>
        </w:tabs>
        <w:ind w:left="851"/>
        <w:rPr>
          <w:sz w:val="24"/>
          <w:szCs w:val="24"/>
        </w:rPr>
      </w:pPr>
    </w:p>
    <w:p w:rsidR="00577AAE" w:rsidRPr="00577AAE" w:rsidRDefault="00577AAE" w:rsidP="00577AAE">
      <w:pPr>
        <w:tabs>
          <w:tab w:val="left" w:pos="851"/>
        </w:tabs>
        <w:ind w:left="851"/>
        <w:rPr>
          <w:i/>
          <w:sz w:val="24"/>
          <w:szCs w:val="24"/>
        </w:rPr>
      </w:pPr>
      <w:r w:rsidRPr="00577AAE">
        <w:rPr>
          <w:i/>
          <w:sz w:val="24"/>
          <w:szCs w:val="24"/>
        </w:rPr>
        <w:t>Pædiatrisk population</w:t>
      </w:r>
    </w:p>
    <w:p w:rsidR="00577AAE" w:rsidRPr="00577AAE" w:rsidRDefault="00577AAE" w:rsidP="00577AAE">
      <w:pPr>
        <w:tabs>
          <w:tab w:val="left" w:pos="851"/>
        </w:tabs>
        <w:ind w:left="851"/>
        <w:rPr>
          <w:sz w:val="24"/>
          <w:szCs w:val="24"/>
        </w:rPr>
      </w:pPr>
      <w:r w:rsidRPr="00577AAE">
        <w:rPr>
          <w:sz w:val="24"/>
          <w:szCs w:val="24"/>
        </w:rPr>
        <w:t>Rotigotins sikkerhed og virkning hos børn og unge er endnu ikke klarlagt. De foreliggende data er beskrevet i pkt. 5.2, men der kan ikke gives nogle anbefalinger vedrørende dosering.</w:t>
      </w:r>
    </w:p>
    <w:p w:rsidR="00577AAE" w:rsidRPr="00577AAE" w:rsidRDefault="00577AAE" w:rsidP="00577AAE">
      <w:pPr>
        <w:tabs>
          <w:tab w:val="left" w:pos="851"/>
        </w:tabs>
        <w:ind w:left="851"/>
        <w:rPr>
          <w:sz w:val="24"/>
          <w:szCs w:val="24"/>
        </w:rPr>
      </w:pPr>
    </w:p>
    <w:p w:rsidR="00577AAE" w:rsidRPr="00577AAE" w:rsidRDefault="00577AAE" w:rsidP="00577AAE">
      <w:pPr>
        <w:tabs>
          <w:tab w:val="left" w:pos="851"/>
        </w:tabs>
        <w:ind w:left="851"/>
        <w:rPr>
          <w:sz w:val="24"/>
          <w:szCs w:val="24"/>
          <w:u w:val="single"/>
        </w:rPr>
      </w:pPr>
      <w:r w:rsidRPr="00577AAE">
        <w:rPr>
          <w:sz w:val="24"/>
          <w:szCs w:val="24"/>
          <w:u w:val="single"/>
        </w:rPr>
        <w:t>Administration</w:t>
      </w:r>
    </w:p>
    <w:p w:rsidR="00577AAE" w:rsidRPr="00577AAE" w:rsidRDefault="00577AAE" w:rsidP="00577AAE">
      <w:pPr>
        <w:tabs>
          <w:tab w:val="left" w:pos="851"/>
        </w:tabs>
        <w:ind w:left="851"/>
        <w:rPr>
          <w:sz w:val="24"/>
          <w:szCs w:val="24"/>
        </w:rPr>
      </w:pPr>
      <w:bookmarkStart w:id="4" w:name="_Hlk173767697"/>
      <w:r w:rsidRPr="00577AAE">
        <w:rPr>
          <w:sz w:val="24"/>
          <w:szCs w:val="24"/>
        </w:rPr>
        <w:t xml:space="preserve">Rotigotine "Medical Valley" </w:t>
      </w:r>
      <w:bookmarkEnd w:id="4"/>
      <w:r w:rsidRPr="00577AAE">
        <w:rPr>
          <w:sz w:val="24"/>
          <w:szCs w:val="24"/>
        </w:rPr>
        <w:t>er til transdermal anvendelse.</w:t>
      </w:r>
    </w:p>
    <w:p w:rsidR="00577AAE" w:rsidRPr="00577AAE" w:rsidRDefault="00577AAE" w:rsidP="00577AAE">
      <w:pPr>
        <w:tabs>
          <w:tab w:val="left" w:pos="851"/>
        </w:tabs>
        <w:ind w:left="851"/>
        <w:rPr>
          <w:sz w:val="24"/>
          <w:szCs w:val="24"/>
        </w:rPr>
      </w:pPr>
    </w:p>
    <w:p w:rsidR="00577AAE" w:rsidRPr="00577AAE" w:rsidRDefault="00577AAE" w:rsidP="00577AAE">
      <w:pPr>
        <w:tabs>
          <w:tab w:val="left" w:pos="851"/>
        </w:tabs>
        <w:ind w:left="851"/>
        <w:rPr>
          <w:sz w:val="24"/>
          <w:szCs w:val="24"/>
        </w:rPr>
      </w:pPr>
      <w:r w:rsidRPr="00577AAE">
        <w:rPr>
          <w:sz w:val="24"/>
          <w:szCs w:val="24"/>
        </w:rPr>
        <w:t xml:space="preserve">Plastret skal anbringes på et rent, tørt, intakt, sundt hudområde på mave, lår, hofter, siden af kroppen, skulder eller overarm. Det bør undgås at sætte plastret på samme sted inden for 14 dage. </w:t>
      </w:r>
      <w:bookmarkStart w:id="5" w:name="_Hlk173829988"/>
      <w:r w:rsidRPr="00577AAE">
        <w:rPr>
          <w:sz w:val="24"/>
          <w:szCs w:val="24"/>
        </w:rPr>
        <w:t xml:space="preserve">Rotigotine "Medical Valley" </w:t>
      </w:r>
      <w:bookmarkEnd w:id="5"/>
      <w:r w:rsidRPr="00577AAE">
        <w:rPr>
          <w:sz w:val="24"/>
          <w:szCs w:val="24"/>
        </w:rPr>
        <w:t>må ikke placeres på hud, som er rød, irriteret eller beskadiget (se pkt. 4.4).</w:t>
      </w:r>
    </w:p>
    <w:p w:rsidR="00577AAE" w:rsidRPr="00577AAE" w:rsidRDefault="00577AAE" w:rsidP="00577AAE">
      <w:pPr>
        <w:tabs>
          <w:tab w:val="left" w:pos="851"/>
        </w:tabs>
        <w:ind w:left="851"/>
        <w:rPr>
          <w:i/>
          <w:sz w:val="24"/>
          <w:szCs w:val="24"/>
        </w:rPr>
      </w:pPr>
    </w:p>
    <w:p w:rsidR="00577AAE" w:rsidRPr="00577AAE" w:rsidRDefault="00577AAE" w:rsidP="00577AAE">
      <w:pPr>
        <w:tabs>
          <w:tab w:val="left" w:pos="851"/>
        </w:tabs>
        <w:ind w:left="851"/>
        <w:rPr>
          <w:i/>
          <w:sz w:val="24"/>
          <w:szCs w:val="24"/>
        </w:rPr>
      </w:pPr>
      <w:r w:rsidRPr="00577AAE">
        <w:rPr>
          <w:i/>
          <w:sz w:val="24"/>
          <w:szCs w:val="24"/>
        </w:rPr>
        <w:t>Anvendelse og håndtering</w:t>
      </w:r>
    </w:p>
    <w:p w:rsidR="00577AAE" w:rsidRPr="00577AAE" w:rsidRDefault="00577AAE" w:rsidP="00577AAE">
      <w:pPr>
        <w:tabs>
          <w:tab w:val="left" w:pos="851"/>
        </w:tabs>
        <w:ind w:left="851"/>
        <w:rPr>
          <w:sz w:val="24"/>
          <w:szCs w:val="24"/>
        </w:rPr>
      </w:pPr>
      <w:r w:rsidRPr="00577AAE">
        <w:rPr>
          <w:sz w:val="24"/>
          <w:szCs w:val="24"/>
        </w:rPr>
        <w:t>Hvert plaster er pakket i et brev og bør påsættes umiddelbart efter åbning af brevet. Den ene halvdel af den aftagelige beskyttelsesfilm fjernes, og den klæbende side påsættes og presses fast mod huden. Derefter foldes plastret tilbage, og den anden halvdel af den aftagelige beskyttelsesfilm fjernes. Den klæbende side af plastret bør ikke berøres. Plastret skal presses fast mod huden med håndfladen i omkring 30 sekunder, så det klæber godt.</w:t>
      </w:r>
    </w:p>
    <w:p w:rsidR="00577AAE" w:rsidRPr="00577AAE" w:rsidRDefault="00577AAE" w:rsidP="00577AAE">
      <w:pPr>
        <w:tabs>
          <w:tab w:val="left" w:pos="851"/>
        </w:tabs>
        <w:ind w:left="851"/>
        <w:rPr>
          <w:sz w:val="24"/>
          <w:szCs w:val="24"/>
        </w:rPr>
      </w:pPr>
    </w:p>
    <w:p w:rsidR="00577AAE" w:rsidRPr="00577AAE" w:rsidRDefault="00577AAE" w:rsidP="00577AAE">
      <w:pPr>
        <w:tabs>
          <w:tab w:val="left" w:pos="851"/>
        </w:tabs>
        <w:ind w:left="851"/>
        <w:rPr>
          <w:sz w:val="24"/>
          <w:szCs w:val="24"/>
        </w:rPr>
      </w:pPr>
      <w:r w:rsidRPr="00577AAE">
        <w:rPr>
          <w:sz w:val="24"/>
          <w:szCs w:val="24"/>
        </w:rPr>
        <w:t>Plastret bør ikke klippes i stykker.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1D097B" w:rsidRPr="001D097B" w:rsidRDefault="001D097B" w:rsidP="001D097B">
      <w:pPr>
        <w:tabs>
          <w:tab w:val="left" w:pos="851"/>
        </w:tabs>
        <w:ind w:left="851"/>
        <w:rPr>
          <w:sz w:val="24"/>
          <w:szCs w:val="24"/>
        </w:rPr>
      </w:pPr>
      <w:r w:rsidRPr="001D097B">
        <w:rPr>
          <w:sz w:val="24"/>
          <w:szCs w:val="24"/>
        </w:rPr>
        <w:t>Overfølsomhed over for det aktive stof eller over for et eller flere af hjælpestofferne anført i pkt. 6.1.</w:t>
      </w:r>
    </w:p>
    <w:p w:rsidR="001D097B" w:rsidRPr="001D097B" w:rsidRDefault="001D097B" w:rsidP="001D097B">
      <w:pPr>
        <w:tabs>
          <w:tab w:val="left" w:pos="851"/>
        </w:tabs>
        <w:ind w:left="851"/>
        <w:rPr>
          <w:sz w:val="24"/>
          <w:szCs w:val="24"/>
        </w:rPr>
      </w:pPr>
      <w:r w:rsidRPr="001D097B">
        <w:rPr>
          <w:sz w:val="24"/>
          <w:szCs w:val="24"/>
        </w:rPr>
        <w:t>Magnetisk resonans-scanning (MR</w:t>
      </w:r>
      <w:r w:rsidRPr="001D097B">
        <w:rPr>
          <w:sz w:val="24"/>
          <w:szCs w:val="24"/>
        </w:rPr>
        <w:noBreakHyphen/>
        <w:t>scanning) eller kardioversion (se pkt. 4.4).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1D097B" w:rsidRDefault="001D097B" w:rsidP="001D097B">
      <w:pPr>
        <w:tabs>
          <w:tab w:val="left" w:pos="851"/>
        </w:tabs>
        <w:ind w:left="851"/>
        <w:rPr>
          <w:sz w:val="24"/>
          <w:szCs w:val="24"/>
          <w:u w:val="single"/>
        </w:rPr>
      </w:pPr>
    </w:p>
    <w:p w:rsidR="001D097B" w:rsidRPr="001D097B" w:rsidRDefault="001D097B" w:rsidP="001D097B">
      <w:pPr>
        <w:tabs>
          <w:tab w:val="left" w:pos="851"/>
        </w:tabs>
        <w:ind w:left="851"/>
        <w:rPr>
          <w:sz w:val="24"/>
          <w:szCs w:val="24"/>
        </w:rPr>
      </w:pPr>
      <w:r w:rsidRPr="001D097B">
        <w:rPr>
          <w:sz w:val="24"/>
          <w:szCs w:val="24"/>
          <w:u w:val="single"/>
        </w:rPr>
        <w:t>MR</w:t>
      </w:r>
      <w:r w:rsidRPr="001D097B">
        <w:rPr>
          <w:sz w:val="24"/>
          <w:szCs w:val="24"/>
          <w:u w:val="single"/>
        </w:rPr>
        <w:noBreakHyphen/>
        <w:t>scanning og kardioversion</w:t>
      </w:r>
    </w:p>
    <w:p w:rsidR="001D097B" w:rsidRPr="001D097B" w:rsidRDefault="001D097B" w:rsidP="001D097B">
      <w:pPr>
        <w:tabs>
          <w:tab w:val="left" w:pos="851"/>
        </w:tabs>
        <w:ind w:left="851"/>
        <w:rPr>
          <w:sz w:val="24"/>
          <w:szCs w:val="24"/>
        </w:rPr>
      </w:pPr>
      <w:bookmarkStart w:id="6" w:name="_Hlk173824916"/>
      <w:r w:rsidRPr="001D097B">
        <w:rPr>
          <w:sz w:val="24"/>
          <w:szCs w:val="24"/>
        </w:rPr>
        <w:t xml:space="preserve">Rotigotine "Medical Valley" </w:t>
      </w:r>
      <w:bookmarkEnd w:id="6"/>
      <w:r w:rsidRPr="001D097B">
        <w:rPr>
          <w:sz w:val="24"/>
          <w:szCs w:val="24"/>
        </w:rPr>
        <w:t>plastrets yderste lag indeholder aluminium. For at undgå forbrænding af huden skal Rotigotine "Medical Valley" fjernes, hvis patienten skal have foretaget MR</w:t>
      </w:r>
      <w:r w:rsidRPr="001D097B">
        <w:rPr>
          <w:sz w:val="24"/>
          <w:szCs w:val="24"/>
        </w:rPr>
        <w:noBreakHyphen/>
        <w:t>scanning eller kardioversion.</w:t>
      </w:r>
    </w:p>
    <w:p w:rsidR="001D097B" w:rsidRPr="001D097B" w:rsidRDefault="001D097B" w:rsidP="001D097B">
      <w:pPr>
        <w:tabs>
          <w:tab w:val="left" w:pos="851"/>
        </w:tabs>
        <w:ind w:left="851"/>
        <w:rPr>
          <w:sz w:val="24"/>
          <w:szCs w:val="24"/>
        </w:rPr>
      </w:pPr>
    </w:p>
    <w:p w:rsidR="001D097B" w:rsidRPr="001D097B" w:rsidRDefault="001D097B" w:rsidP="001D097B">
      <w:pPr>
        <w:tabs>
          <w:tab w:val="left" w:pos="851"/>
        </w:tabs>
        <w:ind w:left="851"/>
        <w:rPr>
          <w:sz w:val="24"/>
          <w:szCs w:val="24"/>
        </w:rPr>
      </w:pPr>
      <w:r w:rsidRPr="001D097B">
        <w:rPr>
          <w:sz w:val="24"/>
          <w:szCs w:val="24"/>
          <w:u w:val="single"/>
        </w:rPr>
        <w:t>Ortostatisk hypotension</w:t>
      </w:r>
    </w:p>
    <w:p w:rsidR="001D097B" w:rsidRPr="001D097B" w:rsidRDefault="001D097B" w:rsidP="001D097B">
      <w:pPr>
        <w:tabs>
          <w:tab w:val="left" w:pos="851"/>
        </w:tabs>
        <w:ind w:left="851"/>
        <w:rPr>
          <w:sz w:val="24"/>
          <w:szCs w:val="24"/>
        </w:rPr>
      </w:pPr>
      <w:r w:rsidRPr="001D097B">
        <w:rPr>
          <w:sz w:val="24"/>
          <w:szCs w:val="24"/>
        </w:rPr>
        <w:t>Dopaminagonister er kendt for at svække den systemiske regulering af blodtrykket og dermed forårsage postural/ortostatisk hypotension. Disse hændelser er også blevet observeret under behandling med rotigotin, men forekomsten var på niveau med forekomsten observeret hos patienter, som fik placebo.</w:t>
      </w:r>
    </w:p>
    <w:p w:rsidR="001D097B" w:rsidRPr="001D097B" w:rsidRDefault="001D097B" w:rsidP="001D097B">
      <w:pPr>
        <w:tabs>
          <w:tab w:val="left" w:pos="851"/>
        </w:tabs>
        <w:ind w:left="851"/>
        <w:rPr>
          <w:sz w:val="24"/>
          <w:szCs w:val="24"/>
        </w:rPr>
      </w:pPr>
      <w:r w:rsidRPr="001D097B">
        <w:rPr>
          <w:sz w:val="24"/>
          <w:szCs w:val="24"/>
        </w:rPr>
        <w:t>Det anbefales at monitorere blodtrykket, især i begyndelsen af behandlingen, på grund af den generelle risiko for ortostatisk hypotension forbundet med dopaminbehandling.</w:t>
      </w:r>
    </w:p>
    <w:p w:rsidR="001D097B" w:rsidRPr="001D097B" w:rsidRDefault="001D097B" w:rsidP="001D097B">
      <w:pPr>
        <w:tabs>
          <w:tab w:val="left" w:pos="851"/>
        </w:tabs>
        <w:ind w:left="851"/>
        <w:rPr>
          <w:sz w:val="24"/>
          <w:szCs w:val="24"/>
          <w:u w:val="single"/>
        </w:rPr>
      </w:pPr>
    </w:p>
    <w:p w:rsidR="001D097B" w:rsidRPr="001D097B" w:rsidRDefault="001D097B" w:rsidP="001D097B">
      <w:pPr>
        <w:tabs>
          <w:tab w:val="left" w:pos="851"/>
        </w:tabs>
        <w:ind w:left="851"/>
        <w:rPr>
          <w:sz w:val="24"/>
          <w:szCs w:val="24"/>
          <w:u w:val="single"/>
        </w:rPr>
      </w:pPr>
      <w:r w:rsidRPr="001D097B">
        <w:rPr>
          <w:sz w:val="24"/>
          <w:szCs w:val="24"/>
          <w:u w:val="single"/>
        </w:rPr>
        <w:t>Synkope</w:t>
      </w:r>
    </w:p>
    <w:p w:rsidR="001D097B" w:rsidRPr="001D097B" w:rsidRDefault="001D097B" w:rsidP="001D097B">
      <w:pPr>
        <w:tabs>
          <w:tab w:val="left" w:pos="851"/>
        </w:tabs>
        <w:ind w:left="851"/>
        <w:rPr>
          <w:sz w:val="24"/>
          <w:szCs w:val="24"/>
        </w:rPr>
      </w:pPr>
      <w:r w:rsidRPr="001D097B">
        <w:rPr>
          <w:sz w:val="24"/>
          <w:szCs w:val="24"/>
        </w:rPr>
        <w:t>Der er blevet observeret synkope i kliniske studier med rotigotin med en forekomst på niveau med forekomsten observeret hos patienter, som fik placebo. Da patienter med klinisk relevant kardiovaskulær sygdom var ekskluderet i disse studier, bør patienter med svær kardiovaskulær sygdom udspørges om symptomer på synkope og præsynkope.</w:t>
      </w:r>
    </w:p>
    <w:p w:rsidR="001D097B" w:rsidRPr="001D097B" w:rsidRDefault="001D097B" w:rsidP="001D097B">
      <w:pPr>
        <w:tabs>
          <w:tab w:val="left" w:pos="851"/>
        </w:tabs>
        <w:ind w:left="851"/>
        <w:rPr>
          <w:sz w:val="24"/>
          <w:szCs w:val="24"/>
        </w:rPr>
      </w:pPr>
    </w:p>
    <w:p w:rsidR="001D097B" w:rsidRPr="001D097B" w:rsidRDefault="001D097B" w:rsidP="001D097B">
      <w:pPr>
        <w:tabs>
          <w:tab w:val="left" w:pos="851"/>
        </w:tabs>
        <w:ind w:left="851"/>
        <w:rPr>
          <w:sz w:val="24"/>
          <w:szCs w:val="24"/>
        </w:rPr>
      </w:pPr>
      <w:r w:rsidRPr="001D097B">
        <w:rPr>
          <w:sz w:val="24"/>
          <w:szCs w:val="24"/>
          <w:u w:val="single"/>
        </w:rPr>
        <w:t>Pludseligt indsættende søvn og døsighed</w:t>
      </w:r>
    </w:p>
    <w:p w:rsidR="001D097B" w:rsidRPr="001D097B" w:rsidRDefault="001D097B" w:rsidP="001D097B">
      <w:pPr>
        <w:tabs>
          <w:tab w:val="left" w:pos="851"/>
        </w:tabs>
        <w:ind w:left="851"/>
        <w:rPr>
          <w:sz w:val="24"/>
          <w:szCs w:val="24"/>
        </w:rPr>
      </w:pPr>
      <w:r w:rsidRPr="001D097B">
        <w:rPr>
          <w:sz w:val="24"/>
          <w:szCs w:val="24"/>
        </w:rPr>
        <w:t>Rotigotin har været forbundet med søvnighed og episoder med pludseligt indsættende søvn. Der er rapporteret om pludselig søvn under daglige aktiviteter, i visse tilfælde uden at patienten har bemærket nogen advarselstegn. Ordinerende læger bør løbende revurdere patienterne for døsighed eller søvnighed, da patienterne muligvis ikke erkender døsighed eller søvnighed, før de bliver direkte adspurgt. Det bør nøje overvejes at nedsætte dosis eller seponere behandlingen.</w:t>
      </w:r>
    </w:p>
    <w:p w:rsidR="001D097B" w:rsidRDefault="001D097B">
      <w:pPr>
        <w:rPr>
          <w:sz w:val="24"/>
          <w:szCs w:val="24"/>
        </w:rPr>
      </w:pPr>
      <w:r>
        <w:rPr>
          <w:sz w:val="24"/>
          <w:szCs w:val="24"/>
        </w:rPr>
        <w:br w:type="page"/>
      </w:r>
    </w:p>
    <w:p w:rsidR="001D097B" w:rsidRPr="001D097B" w:rsidRDefault="001D097B" w:rsidP="001D097B">
      <w:pPr>
        <w:tabs>
          <w:tab w:val="left" w:pos="851"/>
        </w:tabs>
        <w:ind w:left="851"/>
        <w:rPr>
          <w:sz w:val="24"/>
          <w:szCs w:val="24"/>
        </w:rPr>
      </w:pPr>
    </w:p>
    <w:p w:rsidR="001D097B" w:rsidRPr="001D097B" w:rsidRDefault="001D097B" w:rsidP="001D097B">
      <w:pPr>
        <w:tabs>
          <w:tab w:val="left" w:pos="851"/>
        </w:tabs>
        <w:ind w:left="851"/>
        <w:rPr>
          <w:sz w:val="24"/>
          <w:szCs w:val="24"/>
          <w:u w:val="single"/>
        </w:rPr>
      </w:pPr>
      <w:r w:rsidRPr="001D097B">
        <w:rPr>
          <w:sz w:val="24"/>
          <w:szCs w:val="24"/>
          <w:u w:val="single"/>
        </w:rPr>
        <w:t>Impulskontrolforstyrrelser og andre relaterede forstyrrelser</w:t>
      </w:r>
    </w:p>
    <w:p w:rsidR="001D097B" w:rsidRPr="001D097B" w:rsidRDefault="001D097B" w:rsidP="001D097B">
      <w:pPr>
        <w:tabs>
          <w:tab w:val="left" w:pos="851"/>
        </w:tabs>
        <w:ind w:left="851"/>
        <w:rPr>
          <w:sz w:val="24"/>
          <w:szCs w:val="24"/>
        </w:rPr>
      </w:pPr>
      <w:r w:rsidRPr="001D097B">
        <w:rPr>
          <w:sz w:val="24"/>
          <w:szCs w:val="24"/>
        </w:rPr>
        <w:t>Patienterne skal monitoreres regelmæssigt for udvikling af impulskontrolforstyrrelser og relaterede forstyrrelser, herunder dopamin</w:t>
      </w:r>
      <w:r w:rsidRPr="001D097B">
        <w:rPr>
          <w:sz w:val="24"/>
          <w:szCs w:val="24"/>
        </w:rPr>
        <w:noBreakHyphen/>
        <w:t>dysreguleringssyndrom. Patienter og omsorgspersoner skal gøres opmærksomme på, at adfærdsmæssige symptomer på impulskontrolforstyrrelser, herunder ludomani, øget libido, hyperseksualitet, tvangshandlinger forbundet med forbrug eller indkøb, uhæmmet madindtagelse og tvangshandlinger forbundet med madindtagelse kan forekomme hos patienter, der behandles med dopaminagonister, herunder rotigotin. Dopamin</w:t>
      </w:r>
      <w:r w:rsidRPr="001D097B">
        <w:rPr>
          <w:sz w:val="24"/>
          <w:szCs w:val="24"/>
        </w:rPr>
        <w:noBreakHyphen/>
        <w:t>dysreguleringssyndrom blev observeret hos nogle patienter under behandlingen med rotigotin. Dosisreduktion/gradvis seponering bør overvejes, hvis sådanne symptomer opstår.</w:t>
      </w:r>
    </w:p>
    <w:p w:rsidR="001D097B" w:rsidRPr="001D097B" w:rsidRDefault="001D097B" w:rsidP="001D097B">
      <w:pPr>
        <w:tabs>
          <w:tab w:val="left" w:pos="851"/>
        </w:tabs>
        <w:ind w:left="851"/>
        <w:rPr>
          <w:sz w:val="24"/>
          <w:szCs w:val="24"/>
        </w:rPr>
      </w:pPr>
    </w:p>
    <w:p w:rsidR="001D097B" w:rsidRPr="001D097B" w:rsidRDefault="001D097B" w:rsidP="001D097B">
      <w:pPr>
        <w:tabs>
          <w:tab w:val="left" w:pos="851"/>
        </w:tabs>
        <w:ind w:left="851"/>
        <w:rPr>
          <w:sz w:val="24"/>
          <w:szCs w:val="24"/>
        </w:rPr>
      </w:pPr>
      <w:r w:rsidRPr="001D097B">
        <w:rPr>
          <w:sz w:val="24"/>
          <w:szCs w:val="24"/>
          <w:u w:val="single"/>
        </w:rPr>
        <w:t>Malignt neuroleptikasyndrom</w:t>
      </w:r>
    </w:p>
    <w:p w:rsidR="001D097B" w:rsidRPr="001D097B" w:rsidRDefault="001D097B" w:rsidP="001D097B">
      <w:pPr>
        <w:tabs>
          <w:tab w:val="left" w:pos="851"/>
        </w:tabs>
        <w:ind w:left="851"/>
        <w:rPr>
          <w:sz w:val="24"/>
          <w:szCs w:val="24"/>
        </w:rPr>
      </w:pPr>
      <w:r w:rsidRPr="001D097B">
        <w:rPr>
          <w:sz w:val="24"/>
          <w:szCs w:val="24"/>
        </w:rPr>
        <w:t>Symptomer, der tyder på malignt neuroleptikasyndrom, er rapporteret ved pludselig seponering af dopaminbehandling. Det anbefales derfor at aftrappe behandlingen (se pkt. 4.2).</w:t>
      </w:r>
    </w:p>
    <w:p w:rsidR="001D097B" w:rsidRPr="001D097B" w:rsidRDefault="001D097B" w:rsidP="001D097B">
      <w:pPr>
        <w:tabs>
          <w:tab w:val="left" w:pos="851"/>
        </w:tabs>
        <w:ind w:left="851"/>
        <w:rPr>
          <w:sz w:val="24"/>
          <w:szCs w:val="24"/>
        </w:rPr>
      </w:pPr>
    </w:p>
    <w:p w:rsidR="001D097B" w:rsidRPr="001D097B" w:rsidRDefault="001D097B" w:rsidP="001D097B">
      <w:pPr>
        <w:tabs>
          <w:tab w:val="left" w:pos="851"/>
        </w:tabs>
        <w:ind w:left="851"/>
        <w:rPr>
          <w:sz w:val="24"/>
          <w:szCs w:val="24"/>
        </w:rPr>
      </w:pPr>
      <w:r w:rsidRPr="001D097B">
        <w:rPr>
          <w:sz w:val="24"/>
          <w:szCs w:val="24"/>
          <w:u w:val="single"/>
        </w:rPr>
        <w:t>Dopaminagonist</w:t>
      </w:r>
      <w:r w:rsidRPr="001D097B">
        <w:rPr>
          <w:sz w:val="24"/>
          <w:szCs w:val="24"/>
          <w:u w:val="single"/>
        </w:rPr>
        <w:noBreakHyphen/>
        <w:t>abstinenssyndrom</w:t>
      </w:r>
    </w:p>
    <w:p w:rsidR="001D097B" w:rsidRPr="001D097B" w:rsidRDefault="001D097B" w:rsidP="001D097B">
      <w:pPr>
        <w:tabs>
          <w:tab w:val="left" w:pos="851"/>
        </w:tabs>
        <w:ind w:left="851"/>
        <w:rPr>
          <w:sz w:val="24"/>
          <w:szCs w:val="24"/>
        </w:rPr>
      </w:pPr>
      <w:r w:rsidRPr="001D097B">
        <w:rPr>
          <w:sz w:val="24"/>
          <w:szCs w:val="24"/>
        </w:rPr>
        <w:t>Symptomer, der tyder på dopaminagonist</w:t>
      </w:r>
      <w:r w:rsidRPr="001D097B">
        <w:rPr>
          <w:sz w:val="24"/>
          <w:szCs w:val="24"/>
        </w:rPr>
        <w:noBreakHyphen/>
        <w:t>abstinenssyndrom (f.eks. smerter, træthed, depression, svedtendens og angst) er blevet rapporteret ved pludselig seponering af dopaminbehandling, og det anbefales derfor at nedtrappe behandlingen (se pkt. 4.2).</w:t>
      </w:r>
    </w:p>
    <w:p w:rsidR="001D097B" w:rsidRPr="001D097B" w:rsidRDefault="001D097B" w:rsidP="001D097B">
      <w:pPr>
        <w:tabs>
          <w:tab w:val="left" w:pos="851"/>
        </w:tabs>
        <w:ind w:left="851"/>
        <w:rPr>
          <w:sz w:val="24"/>
          <w:szCs w:val="24"/>
        </w:rPr>
      </w:pPr>
    </w:p>
    <w:p w:rsidR="001D097B" w:rsidRPr="001D097B" w:rsidRDefault="001D097B" w:rsidP="001D097B">
      <w:pPr>
        <w:tabs>
          <w:tab w:val="left" w:pos="851"/>
        </w:tabs>
        <w:ind w:left="851"/>
        <w:rPr>
          <w:sz w:val="24"/>
          <w:szCs w:val="24"/>
          <w:u w:val="single"/>
        </w:rPr>
      </w:pPr>
      <w:r w:rsidRPr="001D097B">
        <w:rPr>
          <w:sz w:val="24"/>
          <w:szCs w:val="24"/>
          <w:u w:val="single"/>
        </w:rPr>
        <w:t>Abnorm tankegang og adfærd</w:t>
      </w:r>
    </w:p>
    <w:p w:rsidR="001D097B" w:rsidRPr="001D097B" w:rsidRDefault="001D097B" w:rsidP="001D097B">
      <w:pPr>
        <w:tabs>
          <w:tab w:val="left" w:pos="851"/>
        </w:tabs>
        <w:ind w:left="851"/>
        <w:rPr>
          <w:sz w:val="24"/>
          <w:szCs w:val="24"/>
        </w:rPr>
      </w:pPr>
      <w:r w:rsidRPr="001D097B">
        <w:rPr>
          <w:sz w:val="24"/>
          <w:szCs w:val="24"/>
        </w:rPr>
        <w:t>Der er rapporteret om abnorm tankegang og adfærd, som kan manifestere sig på forskellige måder, herunder paranoide tanker, vrangforestillinger, hallucinationer, forvirring, psykose</w:t>
      </w:r>
      <w:r w:rsidRPr="001D097B">
        <w:rPr>
          <w:sz w:val="24"/>
          <w:szCs w:val="24"/>
        </w:rPr>
        <w:noBreakHyphen/>
        <w:t>lignende adfærd, desorientering, aggressiv adfærd, agitation og delirium.</w:t>
      </w:r>
    </w:p>
    <w:p w:rsidR="001D097B" w:rsidRPr="001D097B" w:rsidRDefault="001D097B" w:rsidP="001D097B">
      <w:pPr>
        <w:tabs>
          <w:tab w:val="left" w:pos="851"/>
        </w:tabs>
        <w:ind w:left="851"/>
        <w:rPr>
          <w:sz w:val="24"/>
          <w:szCs w:val="24"/>
        </w:rPr>
      </w:pPr>
    </w:p>
    <w:p w:rsidR="001D097B" w:rsidRPr="001D097B" w:rsidRDefault="001D097B" w:rsidP="001D097B">
      <w:pPr>
        <w:tabs>
          <w:tab w:val="left" w:pos="851"/>
        </w:tabs>
        <w:ind w:left="851"/>
        <w:rPr>
          <w:sz w:val="24"/>
          <w:szCs w:val="24"/>
        </w:rPr>
      </w:pPr>
      <w:r w:rsidRPr="001D097B">
        <w:rPr>
          <w:sz w:val="24"/>
          <w:szCs w:val="24"/>
          <w:u w:val="single"/>
        </w:rPr>
        <w:t>Fibrotiske komplikationer</w:t>
      </w:r>
    </w:p>
    <w:p w:rsidR="001D097B" w:rsidRPr="001D097B" w:rsidRDefault="001D097B" w:rsidP="001D097B">
      <w:pPr>
        <w:tabs>
          <w:tab w:val="left" w:pos="851"/>
        </w:tabs>
        <w:ind w:left="851"/>
        <w:rPr>
          <w:sz w:val="24"/>
          <w:szCs w:val="24"/>
        </w:rPr>
      </w:pPr>
      <w:r w:rsidRPr="001D097B">
        <w:rPr>
          <w:sz w:val="24"/>
          <w:szCs w:val="24"/>
        </w:rPr>
        <w:t>Der er rapporteret tilfælde med retroperitoneal fibrose, lungeinfiltrater, pleuraeksudat, pleurafortykkelse, pericarditis og kardial valvulopati hos nogle patienter, som er blevet behandlet med dopaminerge ergolinderivater. Selvom disse komplikationer kan fortage sig, når behandlingen ophører, er det ikke altid, de forsvinder fuldstændigt. Selvom disse bivirkninger menes at være relateret til stoffernes ergoline struktur, vides det ikke, om andre non</w:t>
      </w:r>
      <w:r w:rsidRPr="001D097B">
        <w:rPr>
          <w:sz w:val="24"/>
          <w:szCs w:val="24"/>
        </w:rPr>
        <w:noBreakHyphen/>
        <w:t>ergoline dopaminagonister kan forårsage dem.</w:t>
      </w:r>
    </w:p>
    <w:p w:rsidR="001D097B" w:rsidRPr="001D097B" w:rsidRDefault="001D097B" w:rsidP="001D097B">
      <w:pPr>
        <w:tabs>
          <w:tab w:val="left" w:pos="851"/>
        </w:tabs>
        <w:ind w:left="851"/>
        <w:rPr>
          <w:sz w:val="24"/>
          <w:szCs w:val="24"/>
        </w:rPr>
      </w:pPr>
    </w:p>
    <w:p w:rsidR="001D097B" w:rsidRPr="001D097B" w:rsidRDefault="001D097B" w:rsidP="001D097B">
      <w:pPr>
        <w:tabs>
          <w:tab w:val="left" w:pos="851"/>
        </w:tabs>
        <w:ind w:left="851"/>
        <w:rPr>
          <w:sz w:val="24"/>
          <w:szCs w:val="24"/>
        </w:rPr>
      </w:pPr>
      <w:r w:rsidRPr="001D097B">
        <w:rPr>
          <w:sz w:val="24"/>
          <w:szCs w:val="24"/>
          <w:u w:val="single"/>
        </w:rPr>
        <w:t>Neuroleptika</w:t>
      </w:r>
    </w:p>
    <w:p w:rsidR="001D097B" w:rsidRPr="001D097B" w:rsidRDefault="001D097B" w:rsidP="001D097B">
      <w:pPr>
        <w:tabs>
          <w:tab w:val="left" w:pos="851"/>
        </w:tabs>
        <w:ind w:left="851"/>
        <w:rPr>
          <w:sz w:val="24"/>
          <w:szCs w:val="24"/>
        </w:rPr>
      </w:pPr>
      <w:r w:rsidRPr="001D097B">
        <w:rPr>
          <w:sz w:val="24"/>
          <w:szCs w:val="24"/>
        </w:rPr>
        <w:t>Neuroleptika bør ikke gives som antiemetikum til patienter, som tager dopaminagonister (se også pkt. 4.5).</w:t>
      </w:r>
    </w:p>
    <w:p w:rsidR="001D097B" w:rsidRPr="001D097B" w:rsidRDefault="001D097B" w:rsidP="001D097B">
      <w:pPr>
        <w:tabs>
          <w:tab w:val="left" w:pos="851"/>
        </w:tabs>
        <w:ind w:left="851"/>
        <w:rPr>
          <w:sz w:val="24"/>
          <w:szCs w:val="24"/>
        </w:rPr>
      </w:pPr>
    </w:p>
    <w:p w:rsidR="001D097B" w:rsidRPr="001D097B" w:rsidRDefault="001D097B" w:rsidP="001D097B">
      <w:pPr>
        <w:tabs>
          <w:tab w:val="left" w:pos="851"/>
        </w:tabs>
        <w:ind w:left="851"/>
        <w:rPr>
          <w:sz w:val="24"/>
          <w:szCs w:val="24"/>
        </w:rPr>
      </w:pPr>
      <w:r w:rsidRPr="001D097B">
        <w:rPr>
          <w:sz w:val="24"/>
          <w:szCs w:val="24"/>
          <w:u w:val="single"/>
        </w:rPr>
        <w:t>Oftalmologisk monitorering</w:t>
      </w:r>
    </w:p>
    <w:p w:rsidR="001D097B" w:rsidRPr="001D097B" w:rsidRDefault="001D097B" w:rsidP="001D097B">
      <w:pPr>
        <w:tabs>
          <w:tab w:val="left" w:pos="851"/>
        </w:tabs>
        <w:ind w:left="851"/>
        <w:rPr>
          <w:sz w:val="24"/>
          <w:szCs w:val="24"/>
        </w:rPr>
      </w:pPr>
      <w:r w:rsidRPr="001D097B">
        <w:rPr>
          <w:sz w:val="24"/>
          <w:szCs w:val="24"/>
        </w:rPr>
        <w:t>Oftalmologisk monitorering anbefales med regelmæssige mellemrum, eller hvis der forekommer synsanomalier.</w:t>
      </w:r>
    </w:p>
    <w:p w:rsidR="001D097B" w:rsidRPr="001D097B" w:rsidRDefault="001D097B" w:rsidP="001D097B">
      <w:pPr>
        <w:tabs>
          <w:tab w:val="left" w:pos="851"/>
        </w:tabs>
        <w:ind w:left="851"/>
        <w:rPr>
          <w:sz w:val="24"/>
          <w:szCs w:val="24"/>
        </w:rPr>
      </w:pPr>
    </w:p>
    <w:p w:rsidR="001D097B" w:rsidRPr="001D097B" w:rsidRDefault="001D097B" w:rsidP="001D097B">
      <w:pPr>
        <w:tabs>
          <w:tab w:val="left" w:pos="851"/>
        </w:tabs>
        <w:ind w:left="851"/>
        <w:rPr>
          <w:sz w:val="24"/>
          <w:szCs w:val="24"/>
        </w:rPr>
      </w:pPr>
      <w:r w:rsidRPr="001D097B">
        <w:rPr>
          <w:sz w:val="24"/>
          <w:szCs w:val="24"/>
          <w:u w:val="single"/>
        </w:rPr>
        <w:t>Varmepåvirkning</w:t>
      </w:r>
    </w:p>
    <w:p w:rsidR="001D097B" w:rsidRPr="001D097B" w:rsidRDefault="001D097B" w:rsidP="001D097B">
      <w:pPr>
        <w:tabs>
          <w:tab w:val="left" w:pos="851"/>
        </w:tabs>
        <w:ind w:left="851"/>
        <w:rPr>
          <w:sz w:val="24"/>
          <w:szCs w:val="24"/>
        </w:rPr>
      </w:pPr>
      <w:r w:rsidRPr="001D097B">
        <w:rPr>
          <w:sz w:val="24"/>
          <w:szCs w:val="24"/>
        </w:rPr>
        <w:t>Området, hvor plastret sidder, bør ikke udsættes for ekstern varme (kraftigt sollys, varmepude og andre varmekilder såsom sauna og varme bade).</w:t>
      </w:r>
    </w:p>
    <w:p w:rsidR="001D097B" w:rsidRPr="001D097B" w:rsidRDefault="001D097B" w:rsidP="001D097B">
      <w:pPr>
        <w:tabs>
          <w:tab w:val="left" w:pos="851"/>
        </w:tabs>
        <w:ind w:left="851"/>
        <w:rPr>
          <w:sz w:val="24"/>
          <w:szCs w:val="24"/>
        </w:rPr>
      </w:pPr>
    </w:p>
    <w:p w:rsidR="001D097B" w:rsidRPr="001D097B" w:rsidRDefault="001D097B" w:rsidP="001D097B">
      <w:pPr>
        <w:tabs>
          <w:tab w:val="left" w:pos="851"/>
        </w:tabs>
        <w:ind w:left="851"/>
        <w:rPr>
          <w:sz w:val="24"/>
          <w:szCs w:val="24"/>
        </w:rPr>
      </w:pPr>
      <w:r w:rsidRPr="001D097B">
        <w:rPr>
          <w:sz w:val="24"/>
          <w:szCs w:val="24"/>
          <w:u w:val="single"/>
        </w:rPr>
        <w:t>Reaktioner på applikationsstedet</w:t>
      </w:r>
    </w:p>
    <w:p w:rsidR="001D097B" w:rsidRPr="001D097B" w:rsidRDefault="001D097B" w:rsidP="001D097B">
      <w:pPr>
        <w:tabs>
          <w:tab w:val="left" w:pos="851"/>
        </w:tabs>
        <w:ind w:left="851"/>
        <w:rPr>
          <w:sz w:val="24"/>
          <w:szCs w:val="24"/>
        </w:rPr>
      </w:pPr>
      <w:r w:rsidRPr="001D097B">
        <w:rPr>
          <w:sz w:val="24"/>
          <w:szCs w:val="24"/>
        </w:rPr>
        <w:t xml:space="preserve">Der kan forekomme hudreaktioner på applikationsstedet. Intensiteten af disse er som regel lette eller moderate. Det anbefales, at applikationsstedet veksles dagligt (f.eks. fra højre side til venstre side og fra overkrop til underkrop). Det samme sted bør ikke anvendes </w:t>
      </w:r>
      <w:r w:rsidRPr="001D097B">
        <w:rPr>
          <w:sz w:val="24"/>
          <w:szCs w:val="24"/>
        </w:rPr>
        <w:lastRenderedPageBreak/>
        <w:t>inden for 14 dage. Hvis der forekommer reaktioner på applikationsstedet, som varer mere end nogle få dage, eller som er vedvarende, hvis deres sværhedsgrad øges, eller hvis hudreaktionerne breder sig ud over applikationsstedet, bør der foretages en vurdering af fordele og ulemper for den enkelte patient.</w:t>
      </w:r>
    </w:p>
    <w:p w:rsidR="001D097B" w:rsidRPr="001D097B" w:rsidRDefault="001D097B" w:rsidP="001D097B">
      <w:pPr>
        <w:tabs>
          <w:tab w:val="left" w:pos="851"/>
        </w:tabs>
        <w:ind w:left="851"/>
        <w:rPr>
          <w:sz w:val="24"/>
          <w:szCs w:val="24"/>
        </w:rPr>
      </w:pPr>
      <w:r w:rsidRPr="001D097B">
        <w:rPr>
          <w:sz w:val="24"/>
          <w:szCs w:val="24"/>
        </w:rPr>
        <w:t>Hvis depotplastret forårsager hududslæt eller irritation, bør direkte sollys på området undgås, indtil huden heler, da udsættelse for sollys kan medføre ændringer i hudfarven.</w:t>
      </w:r>
    </w:p>
    <w:p w:rsidR="001D097B" w:rsidRPr="001D097B" w:rsidRDefault="001D097B" w:rsidP="001D097B">
      <w:pPr>
        <w:tabs>
          <w:tab w:val="left" w:pos="851"/>
        </w:tabs>
        <w:ind w:left="851"/>
        <w:rPr>
          <w:sz w:val="24"/>
          <w:szCs w:val="24"/>
        </w:rPr>
      </w:pPr>
      <w:r w:rsidRPr="001D097B">
        <w:rPr>
          <w:sz w:val="24"/>
          <w:szCs w:val="24"/>
        </w:rPr>
        <w:t>Hvis der observeres en generaliseret hudreaktion (f.eks. allergisk udslæt, herunder erythem, maculopapulært udslæt eller pruritus) i forbindelse med anvendelsen af Rotigotine "Medical Valley", skal behandlingen seponeres.</w:t>
      </w:r>
    </w:p>
    <w:p w:rsidR="001D097B" w:rsidRPr="001D097B" w:rsidRDefault="001D097B" w:rsidP="001D097B">
      <w:pPr>
        <w:tabs>
          <w:tab w:val="left" w:pos="851"/>
        </w:tabs>
        <w:ind w:left="851"/>
        <w:rPr>
          <w:sz w:val="24"/>
          <w:szCs w:val="24"/>
          <w:u w:val="single"/>
        </w:rPr>
      </w:pPr>
    </w:p>
    <w:p w:rsidR="001D097B" w:rsidRPr="001D097B" w:rsidRDefault="001D097B" w:rsidP="001D097B">
      <w:pPr>
        <w:tabs>
          <w:tab w:val="left" w:pos="851"/>
        </w:tabs>
        <w:ind w:left="851"/>
        <w:rPr>
          <w:sz w:val="24"/>
          <w:szCs w:val="24"/>
        </w:rPr>
      </w:pPr>
      <w:r w:rsidRPr="001D097B">
        <w:rPr>
          <w:sz w:val="24"/>
          <w:szCs w:val="24"/>
          <w:u w:val="single"/>
        </w:rPr>
        <w:t>Perifere ødemer</w:t>
      </w:r>
    </w:p>
    <w:p w:rsidR="001D097B" w:rsidRPr="001D097B" w:rsidRDefault="001D097B" w:rsidP="001D097B">
      <w:pPr>
        <w:tabs>
          <w:tab w:val="left" w:pos="851"/>
        </w:tabs>
        <w:ind w:left="851"/>
        <w:rPr>
          <w:sz w:val="24"/>
          <w:szCs w:val="24"/>
        </w:rPr>
      </w:pPr>
      <w:r w:rsidRPr="001D097B">
        <w:rPr>
          <w:sz w:val="24"/>
          <w:szCs w:val="24"/>
        </w:rPr>
        <w:t>Der er blevet observeret perifere ødemer i kliniske studier med patienter med RLS.</w:t>
      </w:r>
    </w:p>
    <w:p w:rsidR="001D097B" w:rsidRPr="001D097B" w:rsidRDefault="001D097B" w:rsidP="001D097B">
      <w:pPr>
        <w:tabs>
          <w:tab w:val="left" w:pos="851"/>
        </w:tabs>
        <w:ind w:left="851"/>
        <w:rPr>
          <w:sz w:val="24"/>
          <w:szCs w:val="24"/>
        </w:rPr>
      </w:pPr>
    </w:p>
    <w:p w:rsidR="001D097B" w:rsidRPr="001D097B" w:rsidRDefault="001D097B" w:rsidP="001D097B">
      <w:pPr>
        <w:tabs>
          <w:tab w:val="left" w:pos="851"/>
        </w:tabs>
        <w:ind w:left="851"/>
        <w:rPr>
          <w:sz w:val="24"/>
          <w:szCs w:val="24"/>
          <w:u w:val="single"/>
        </w:rPr>
      </w:pPr>
      <w:r w:rsidRPr="001D097B">
        <w:rPr>
          <w:sz w:val="24"/>
          <w:szCs w:val="24"/>
          <w:u w:val="single"/>
        </w:rPr>
        <w:t>Augmentation</w:t>
      </w:r>
    </w:p>
    <w:p w:rsidR="001D097B" w:rsidRPr="001D097B" w:rsidRDefault="001D097B" w:rsidP="001D097B">
      <w:pPr>
        <w:tabs>
          <w:tab w:val="left" w:pos="851"/>
        </w:tabs>
        <w:ind w:left="851"/>
        <w:rPr>
          <w:sz w:val="24"/>
          <w:szCs w:val="24"/>
        </w:rPr>
      </w:pPr>
      <w:r w:rsidRPr="001D097B">
        <w:rPr>
          <w:sz w:val="24"/>
          <w:szCs w:val="24"/>
        </w:rPr>
        <w:t>Augmentation kan forekomme. Augmentation vil sige, at symptomerne optræder tidligere om aftenen (eller tilmed om eftermiddagen), og at symptomerne forværres og spredes til at involverer andre kropsdele. I langvarige kliniske studier med rotigotin blev størstedelen af augmentationsepisoder set i løbet af det første og andet behandlingsår. Det bør undgås at anvende doser, som er højere end den godkendte dosis for RLS, da dette kan medføre højere forekomst af augmentation (se pkt. 5.1).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1D097B" w:rsidRPr="001D097B" w:rsidRDefault="001D097B" w:rsidP="001D097B">
      <w:pPr>
        <w:tabs>
          <w:tab w:val="left" w:pos="851"/>
        </w:tabs>
        <w:ind w:left="851"/>
        <w:rPr>
          <w:sz w:val="24"/>
          <w:szCs w:val="24"/>
        </w:rPr>
      </w:pPr>
      <w:r w:rsidRPr="001D097B">
        <w:rPr>
          <w:sz w:val="24"/>
          <w:szCs w:val="24"/>
        </w:rPr>
        <w:t>Da rotigotin er en dopaminagonist, antages det, at dopaminantagonister som neuroleptika (f.eks. phenothiaziner, butyrophenoner, thioxantener) eller metoclopramid kan reducere behandlingseffekten af Rotigotine "Medical Valley", og samtidig brug bør undgås. På grund af mulige additive virkninger bør der udvises forsigtighed, når patienterne tager beroligende lægemidler eller andre CNS (centralnervesystem)</w:t>
      </w:r>
      <w:r w:rsidRPr="001D097B">
        <w:rPr>
          <w:sz w:val="24"/>
          <w:szCs w:val="24"/>
        </w:rPr>
        <w:noBreakHyphen/>
        <w:t>deprimerende midler (f.eks. benzodiazepiner, antipsykotika, antidepressiva) eller indtager alkohol i kombination med rotigotin.</w:t>
      </w:r>
    </w:p>
    <w:p w:rsidR="001D097B" w:rsidRPr="001D097B" w:rsidRDefault="001D097B" w:rsidP="001D097B">
      <w:pPr>
        <w:tabs>
          <w:tab w:val="left" w:pos="851"/>
        </w:tabs>
        <w:ind w:left="851"/>
        <w:rPr>
          <w:sz w:val="24"/>
          <w:szCs w:val="24"/>
        </w:rPr>
      </w:pPr>
    </w:p>
    <w:p w:rsidR="001D097B" w:rsidRPr="001D097B" w:rsidRDefault="001D097B" w:rsidP="001D097B">
      <w:pPr>
        <w:tabs>
          <w:tab w:val="left" w:pos="851"/>
        </w:tabs>
        <w:ind w:left="851"/>
        <w:rPr>
          <w:sz w:val="24"/>
          <w:szCs w:val="24"/>
        </w:rPr>
      </w:pPr>
      <w:r w:rsidRPr="001D097B">
        <w:rPr>
          <w:sz w:val="24"/>
          <w:szCs w:val="24"/>
        </w:rPr>
        <w:t>Samtidig administration af levodopa og carbidopa med rotigotin havde ingen effekt på rotigotins farmakokinetik, og rotigotin havde ingen effekt på levodopas og carbidopas farmakokinetik.</w:t>
      </w:r>
    </w:p>
    <w:p w:rsidR="001D097B" w:rsidRPr="001D097B" w:rsidRDefault="001D097B" w:rsidP="001D097B">
      <w:pPr>
        <w:tabs>
          <w:tab w:val="left" w:pos="851"/>
        </w:tabs>
        <w:ind w:left="851"/>
        <w:rPr>
          <w:sz w:val="24"/>
          <w:szCs w:val="24"/>
        </w:rPr>
      </w:pPr>
    </w:p>
    <w:p w:rsidR="001D097B" w:rsidRPr="001D097B" w:rsidRDefault="001D097B" w:rsidP="001D097B">
      <w:pPr>
        <w:tabs>
          <w:tab w:val="left" w:pos="851"/>
        </w:tabs>
        <w:ind w:left="851"/>
        <w:rPr>
          <w:sz w:val="24"/>
          <w:szCs w:val="24"/>
        </w:rPr>
      </w:pPr>
      <w:r w:rsidRPr="001D097B">
        <w:rPr>
          <w:sz w:val="24"/>
          <w:szCs w:val="24"/>
        </w:rPr>
        <w:t>Samtidig administration af domperidon og rotigotin havde ingen effekt på rotigotins farmakokinetik.</w:t>
      </w:r>
    </w:p>
    <w:p w:rsidR="001D097B" w:rsidRPr="001D097B" w:rsidRDefault="001D097B" w:rsidP="001D097B">
      <w:pPr>
        <w:tabs>
          <w:tab w:val="left" w:pos="851"/>
        </w:tabs>
        <w:ind w:left="851"/>
        <w:rPr>
          <w:sz w:val="24"/>
          <w:szCs w:val="24"/>
        </w:rPr>
      </w:pPr>
    </w:p>
    <w:p w:rsidR="001D097B" w:rsidRPr="001D097B" w:rsidRDefault="001D097B" w:rsidP="001D097B">
      <w:pPr>
        <w:tabs>
          <w:tab w:val="left" w:pos="851"/>
        </w:tabs>
        <w:ind w:left="851"/>
        <w:rPr>
          <w:sz w:val="24"/>
          <w:szCs w:val="24"/>
        </w:rPr>
      </w:pPr>
      <w:r w:rsidRPr="001D097B">
        <w:rPr>
          <w:sz w:val="24"/>
          <w:szCs w:val="24"/>
        </w:rPr>
        <w:t>Samtidig administration af omeprazol (CYP2C19</w:t>
      </w:r>
      <w:r w:rsidRPr="001D097B">
        <w:rPr>
          <w:sz w:val="24"/>
          <w:szCs w:val="24"/>
        </w:rPr>
        <w:noBreakHyphen/>
        <w:t>hæmmer) i doser på 40 mg/dag, havde ingen effekt på rotigotins farmakokinetik eller metabolisme hos raske frivillige.</w:t>
      </w:r>
    </w:p>
    <w:p w:rsidR="001D097B" w:rsidRPr="001D097B" w:rsidRDefault="001D097B" w:rsidP="001D097B">
      <w:pPr>
        <w:tabs>
          <w:tab w:val="left" w:pos="851"/>
        </w:tabs>
        <w:ind w:left="851"/>
        <w:rPr>
          <w:sz w:val="24"/>
          <w:szCs w:val="24"/>
        </w:rPr>
      </w:pPr>
    </w:p>
    <w:p w:rsidR="001D097B" w:rsidRPr="001D097B" w:rsidRDefault="001D097B" w:rsidP="001D097B">
      <w:pPr>
        <w:tabs>
          <w:tab w:val="left" w:pos="851"/>
        </w:tabs>
        <w:ind w:left="851"/>
        <w:rPr>
          <w:sz w:val="24"/>
          <w:szCs w:val="24"/>
        </w:rPr>
      </w:pPr>
      <w:r w:rsidRPr="001D097B">
        <w:rPr>
          <w:sz w:val="24"/>
          <w:szCs w:val="24"/>
        </w:rPr>
        <w:t>Samtidig administration af rotigotin (3 mg/24 t) havde ingen effekt på farmakodynamikken og farmakokinetikken af orale kontraceptiva (0,03 mg ethinyløstradiol, 0,15 mg levonorgestrel).</w:t>
      </w:r>
    </w:p>
    <w:p w:rsidR="001D097B" w:rsidRPr="001D097B" w:rsidRDefault="001D097B" w:rsidP="001D097B">
      <w:pPr>
        <w:tabs>
          <w:tab w:val="left" w:pos="851"/>
        </w:tabs>
        <w:ind w:left="851"/>
        <w:rPr>
          <w:sz w:val="24"/>
          <w:szCs w:val="24"/>
        </w:rPr>
      </w:pPr>
      <w:r w:rsidRPr="001D097B">
        <w:rPr>
          <w:sz w:val="24"/>
          <w:szCs w:val="24"/>
        </w:rPr>
        <w:t>Interaktioner med andre former for hormonel kontraception er ikke undersøgt.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1D097B" w:rsidRDefault="001D097B" w:rsidP="001D097B">
      <w:pPr>
        <w:tabs>
          <w:tab w:val="left" w:pos="851"/>
        </w:tabs>
        <w:ind w:left="851"/>
        <w:rPr>
          <w:sz w:val="24"/>
          <w:szCs w:val="24"/>
          <w:u w:val="single"/>
        </w:rPr>
      </w:pPr>
    </w:p>
    <w:p w:rsidR="001D097B" w:rsidRPr="001D097B" w:rsidRDefault="001D097B" w:rsidP="001D097B">
      <w:pPr>
        <w:tabs>
          <w:tab w:val="left" w:pos="851"/>
        </w:tabs>
        <w:ind w:left="851"/>
        <w:rPr>
          <w:sz w:val="24"/>
          <w:szCs w:val="24"/>
        </w:rPr>
      </w:pPr>
      <w:r w:rsidRPr="001D097B">
        <w:rPr>
          <w:sz w:val="24"/>
          <w:szCs w:val="24"/>
          <w:u w:val="single"/>
        </w:rPr>
        <w:t>Kontraception hos kvinder i den fertile alder</w:t>
      </w:r>
    </w:p>
    <w:p w:rsidR="001D097B" w:rsidRPr="001D097B" w:rsidRDefault="001D097B" w:rsidP="001D097B">
      <w:pPr>
        <w:tabs>
          <w:tab w:val="left" w:pos="851"/>
        </w:tabs>
        <w:ind w:left="851"/>
        <w:rPr>
          <w:sz w:val="24"/>
          <w:szCs w:val="24"/>
        </w:rPr>
      </w:pPr>
      <w:r w:rsidRPr="001D097B">
        <w:rPr>
          <w:sz w:val="24"/>
          <w:szCs w:val="24"/>
        </w:rPr>
        <w:t>Kvinder i den fertile alder skal anvende sikker kontraception for at forebygge graviditet under behandlingen med rotigotin.</w:t>
      </w:r>
    </w:p>
    <w:p w:rsidR="001D097B" w:rsidRPr="001D097B" w:rsidRDefault="001D097B" w:rsidP="001D097B">
      <w:pPr>
        <w:tabs>
          <w:tab w:val="left" w:pos="851"/>
        </w:tabs>
        <w:ind w:left="851"/>
        <w:rPr>
          <w:sz w:val="24"/>
          <w:szCs w:val="24"/>
        </w:rPr>
      </w:pPr>
    </w:p>
    <w:p w:rsidR="001D097B" w:rsidRPr="001D097B" w:rsidRDefault="001D097B" w:rsidP="001D097B">
      <w:pPr>
        <w:tabs>
          <w:tab w:val="left" w:pos="851"/>
        </w:tabs>
        <w:ind w:left="851"/>
        <w:rPr>
          <w:sz w:val="24"/>
          <w:szCs w:val="24"/>
        </w:rPr>
      </w:pPr>
      <w:r w:rsidRPr="001D097B">
        <w:rPr>
          <w:sz w:val="24"/>
          <w:szCs w:val="24"/>
          <w:u w:val="single"/>
        </w:rPr>
        <w:lastRenderedPageBreak/>
        <w:t>Graviditet</w:t>
      </w:r>
    </w:p>
    <w:p w:rsidR="001D097B" w:rsidRPr="001D097B" w:rsidRDefault="001D097B" w:rsidP="001D097B">
      <w:pPr>
        <w:tabs>
          <w:tab w:val="left" w:pos="851"/>
        </w:tabs>
        <w:ind w:left="851"/>
        <w:rPr>
          <w:sz w:val="24"/>
          <w:szCs w:val="24"/>
        </w:rPr>
      </w:pPr>
      <w:r w:rsidRPr="001D097B">
        <w:rPr>
          <w:sz w:val="24"/>
          <w:szCs w:val="24"/>
        </w:rPr>
        <w:t>Der er utilstrækkelige data fra anvendelse af rotigotin til gravide kvinder. Dyrestudier viser ingen teratogene virkninger hos rotter og kaniner, men embryotoksicitet er observeret hos rotter og mus ved maternotoksiske doser (se pkt. 5.3). Den potentielle risiko for mennesker kendes ikke. Rotigotin bør ikke anvendes under graviditet.</w:t>
      </w:r>
    </w:p>
    <w:p w:rsidR="001D097B" w:rsidRPr="001D097B" w:rsidRDefault="001D097B" w:rsidP="001D097B">
      <w:pPr>
        <w:tabs>
          <w:tab w:val="left" w:pos="851"/>
        </w:tabs>
        <w:ind w:left="851"/>
        <w:rPr>
          <w:sz w:val="24"/>
          <w:szCs w:val="24"/>
        </w:rPr>
      </w:pPr>
    </w:p>
    <w:p w:rsidR="001D097B" w:rsidRPr="001D097B" w:rsidRDefault="001D097B" w:rsidP="001D097B">
      <w:pPr>
        <w:tabs>
          <w:tab w:val="left" w:pos="851"/>
        </w:tabs>
        <w:ind w:left="851"/>
        <w:rPr>
          <w:sz w:val="24"/>
          <w:szCs w:val="24"/>
        </w:rPr>
      </w:pPr>
      <w:r w:rsidRPr="001D097B">
        <w:rPr>
          <w:sz w:val="24"/>
          <w:szCs w:val="24"/>
          <w:u w:val="single"/>
        </w:rPr>
        <w:t>Amning</w:t>
      </w:r>
    </w:p>
    <w:p w:rsidR="001D097B" w:rsidRPr="001D097B" w:rsidRDefault="001D097B" w:rsidP="001D097B">
      <w:pPr>
        <w:tabs>
          <w:tab w:val="left" w:pos="851"/>
        </w:tabs>
        <w:ind w:left="851"/>
        <w:rPr>
          <w:sz w:val="24"/>
          <w:szCs w:val="24"/>
        </w:rPr>
      </w:pPr>
      <w:r w:rsidRPr="001D097B">
        <w:rPr>
          <w:sz w:val="24"/>
          <w:szCs w:val="24"/>
        </w:rPr>
        <w:t>Da rotigotin nedsætter prolaktinsekretionen hos mennesker, forventes det, at mælkedannelsen hæmmes. Studier med rotter har vist, at rotigotin og/eller dets metabolit(ter) udskilles i mælk. Da der ikke findes data for mennesker, bør amning ophøre.</w:t>
      </w:r>
    </w:p>
    <w:p w:rsidR="001D097B" w:rsidRPr="001D097B" w:rsidRDefault="001D097B" w:rsidP="001D097B">
      <w:pPr>
        <w:tabs>
          <w:tab w:val="left" w:pos="851"/>
        </w:tabs>
        <w:ind w:left="851"/>
        <w:rPr>
          <w:sz w:val="24"/>
          <w:szCs w:val="24"/>
        </w:rPr>
      </w:pPr>
    </w:p>
    <w:p w:rsidR="001D097B" w:rsidRPr="001D097B" w:rsidRDefault="001D097B" w:rsidP="001D097B">
      <w:pPr>
        <w:tabs>
          <w:tab w:val="left" w:pos="851"/>
        </w:tabs>
        <w:ind w:left="851"/>
        <w:rPr>
          <w:sz w:val="24"/>
          <w:szCs w:val="24"/>
        </w:rPr>
      </w:pPr>
      <w:r w:rsidRPr="001D097B">
        <w:rPr>
          <w:sz w:val="24"/>
          <w:szCs w:val="24"/>
          <w:u w:val="single"/>
        </w:rPr>
        <w:t>Fertilitet</w:t>
      </w:r>
    </w:p>
    <w:p w:rsidR="001D097B" w:rsidRPr="001D097B" w:rsidRDefault="001D097B" w:rsidP="001D097B">
      <w:pPr>
        <w:tabs>
          <w:tab w:val="left" w:pos="851"/>
        </w:tabs>
        <w:ind w:left="851"/>
        <w:rPr>
          <w:sz w:val="24"/>
          <w:szCs w:val="24"/>
        </w:rPr>
      </w:pPr>
      <w:r w:rsidRPr="001D097B">
        <w:rPr>
          <w:sz w:val="24"/>
          <w:szCs w:val="24"/>
        </w:rPr>
        <w:t>For information vedrørende fertilitetsstudier, se pkt. 5.3.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471E3B" w:rsidRPr="00471E3B" w:rsidRDefault="00471E3B" w:rsidP="00471E3B">
      <w:pPr>
        <w:tabs>
          <w:tab w:val="left" w:pos="851"/>
        </w:tabs>
        <w:ind w:left="851"/>
        <w:rPr>
          <w:sz w:val="24"/>
          <w:szCs w:val="24"/>
        </w:rPr>
      </w:pPr>
      <w:r>
        <w:rPr>
          <w:sz w:val="24"/>
          <w:szCs w:val="24"/>
        </w:rPr>
        <w:t>Mærkning</w:t>
      </w:r>
    </w:p>
    <w:p w:rsidR="00471E3B" w:rsidRPr="00471E3B" w:rsidRDefault="00471E3B" w:rsidP="00471E3B">
      <w:pPr>
        <w:tabs>
          <w:tab w:val="left" w:pos="851"/>
        </w:tabs>
        <w:ind w:left="851"/>
        <w:rPr>
          <w:sz w:val="24"/>
          <w:szCs w:val="24"/>
        </w:rPr>
      </w:pPr>
      <w:r w:rsidRPr="00471E3B">
        <w:rPr>
          <w:sz w:val="24"/>
          <w:szCs w:val="24"/>
        </w:rPr>
        <w:t>Rotigotin kan i væsentlig grad påvirke evnen til at føre motorkøretøj og betjene maskiner.</w:t>
      </w:r>
    </w:p>
    <w:p w:rsidR="00471E3B" w:rsidRPr="00471E3B" w:rsidRDefault="00471E3B" w:rsidP="00471E3B">
      <w:pPr>
        <w:tabs>
          <w:tab w:val="left" w:pos="851"/>
        </w:tabs>
        <w:ind w:left="851"/>
        <w:rPr>
          <w:sz w:val="24"/>
          <w:szCs w:val="24"/>
        </w:rPr>
      </w:pPr>
      <w:r w:rsidRPr="00471E3B">
        <w:rPr>
          <w:sz w:val="24"/>
          <w:szCs w:val="24"/>
        </w:rPr>
        <w:t>Patienter i behandling med rotigotin, som kommer ud for episoder med døsighed og/eller pludselig søvn, skal informeres om, at de skal undlade at føre motorkøretøj eller foretage aktiviteter (f.eks. betjene maskiner), hvor forringet opmærksomhed kan medføre en risiko for alvorlige skader eller død hos dem selv eller andre, indtil sådanne tilbagevendende episoder eller døsighed er ophørt (se også pkt. 4.4 og 4.5).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406383" w:rsidRPr="00406383" w:rsidRDefault="00406383" w:rsidP="00406383">
      <w:pPr>
        <w:ind w:left="851"/>
        <w:rPr>
          <w:sz w:val="24"/>
          <w:szCs w:val="24"/>
        </w:rPr>
      </w:pPr>
    </w:p>
    <w:p w:rsidR="00406383" w:rsidRPr="00406383" w:rsidRDefault="00406383" w:rsidP="00406383">
      <w:pPr>
        <w:ind w:left="851"/>
        <w:rPr>
          <w:iCs/>
          <w:sz w:val="24"/>
          <w:szCs w:val="24"/>
        </w:rPr>
      </w:pPr>
      <w:r w:rsidRPr="00406383">
        <w:rPr>
          <w:iCs/>
          <w:sz w:val="24"/>
          <w:szCs w:val="24"/>
          <w:u w:val="single"/>
        </w:rPr>
        <w:t>Resumé af sikkerhedsprofilen</w:t>
      </w:r>
    </w:p>
    <w:p w:rsidR="00406383" w:rsidRPr="00406383" w:rsidRDefault="00406383" w:rsidP="00406383">
      <w:pPr>
        <w:ind w:left="851"/>
        <w:rPr>
          <w:iCs/>
          <w:sz w:val="24"/>
          <w:szCs w:val="24"/>
        </w:rPr>
      </w:pPr>
      <w:r w:rsidRPr="00406383">
        <w:rPr>
          <w:iCs/>
          <w:sz w:val="24"/>
          <w:szCs w:val="24"/>
        </w:rPr>
        <w:t>Baseret på analysen af de samlede placebokontrollerede kliniske studier, som i alt omfatter 748 patienter behandlet med rotigotin depotplaster og 214 placebobehandlede patienter, rapporterede 65,5 % af patienterne behandlet med rotigotin depotplaster og 33,2 % af de placebobehandlede patienter mindst én bivirkning.</w:t>
      </w:r>
    </w:p>
    <w:p w:rsidR="00406383" w:rsidRPr="00406383" w:rsidRDefault="00406383" w:rsidP="00406383">
      <w:pPr>
        <w:ind w:left="851"/>
        <w:rPr>
          <w:iCs/>
          <w:sz w:val="24"/>
          <w:szCs w:val="24"/>
        </w:rPr>
      </w:pPr>
    </w:p>
    <w:p w:rsidR="00406383" w:rsidRPr="00406383" w:rsidRDefault="00406383" w:rsidP="00406383">
      <w:pPr>
        <w:ind w:left="851"/>
        <w:rPr>
          <w:iCs/>
          <w:sz w:val="24"/>
          <w:szCs w:val="24"/>
        </w:rPr>
      </w:pPr>
      <w:r w:rsidRPr="00406383">
        <w:rPr>
          <w:iCs/>
          <w:sz w:val="24"/>
          <w:szCs w:val="24"/>
        </w:rPr>
        <w:t>I begyndelsen af behandlingen kan dopaminerge bivirkninger som kvalme og opkastning forekomme. Disse er som regel lette eller moderate i intensitet og forbigående, selvom behandlingen fortsætter.</w:t>
      </w:r>
    </w:p>
    <w:p w:rsidR="00406383" w:rsidRPr="00406383" w:rsidRDefault="00406383" w:rsidP="00406383">
      <w:pPr>
        <w:ind w:left="851"/>
        <w:rPr>
          <w:iCs/>
          <w:sz w:val="24"/>
          <w:szCs w:val="24"/>
        </w:rPr>
      </w:pPr>
    </w:p>
    <w:p w:rsidR="00406383" w:rsidRPr="00406383" w:rsidRDefault="00406383" w:rsidP="00406383">
      <w:pPr>
        <w:ind w:left="851"/>
        <w:rPr>
          <w:iCs/>
          <w:sz w:val="24"/>
          <w:szCs w:val="24"/>
        </w:rPr>
      </w:pPr>
      <w:r w:rsidRPr="00406383">
        <w:rPr>
          <w:iCs/>
          <w:sz w:val="24"/>
          <w:szCs w:val="24"/>
        </w:rPr>
        <w:t>Bivirkninger rapporteret hos mere end 10 % af patienterne behandlet med rotigotin depotplaster er kvalme, reaktioner på applikationsstedet, asteniske symptomer og hovedpine.</w:t>
      </w:r>
    </w:p>
    <w:p w:rsidR="00406383" w:rsidRPr="00406383" w:rsidRDefault="00406383" w:rsidP="00406383">
      <w:pPr>
        <w:ind w:left="851"/>
        <w:rPr>
          <w:iCs/>
          <w:sz w:val="24"/>
          <w:szCs w:val="24"/>
        </w:rPr>
      </w:pPr>
    </w:p>
    <w:p w:rsidR="00406383" w:rsidRPr="00406383" w:rsidRDefault="00406383" w:rsidP="00406383">
      <w:pPr>
        <w:ind w:left="851"/>
        <w:rPr>
          <w:iCs/>
          <w:sz w:val="24"/>
          <w:szCs w:val="24"/>
        </w:rPr>
      </w:pPr>
      <w:r w:rsidRPr="00406383">
        <w:rPr>
          <w:iCs/>
          <w:sz w:val="24"/>
          <w:szCs w:val="24"/>
        </w:rPr>
        <w:t>I studier, hvor applikationsstedet blev vekslet som beskrevet i instruktionerne i produktresumeét og indlægssedlen, fik 34,2 % af de 748 patienter, som brugte rotigotin depotplaster, reaktioner på applikationsstedet. Størstedelen af reaktionerne på applikationsstedet var lette eller moderate i intensitet, begrænset til applikationsområderne og førte hos til seponering af rotigotin depotplaster hos 7,2 % af patienterne.</w:t>
      </w:r>
    </w:p>
    <w:p w:rsidR="00406383" w:rsidRPr="00406383" w:rsidRDefault="00406383" w:rsidP="00406383">
      <w:pPr>
        <w:ind w:left="851"/>
        <w:rPr>
          <w:iCs/>
          <w:sz w:val="24"/>
          <w:szCs w:val="24"/>
        </w:rPr>
      </w:pPr>
    </w:p>
    <w:p w:rsidR="00406383" w:rsidRPr="00406383" w:rsidRDefault="00406383" w:rsidP="00406383">
      <w:pPr>
        <w:ind w:left="851"/>
        <w:rPr>
          <w:iCs/>
          <w:sz w:val="24"/>
          <w:szCs w:val="24"/>
          <w:u w:val="single"/>
        </w:rPr>
      </w:pPr>
      <w:r w:rsidRPr="00406383">
        <w:rPr>
          <w:iCs/>
          <w:sz w:val="24"/>
          <w:szCs w:val="24"/>
          <w:u w:val="single"/>
        </w:rPr>
        <w:t>Seponeringsfrekvens</w:t>
      </w:r>
    </w:p>
    <w:p w:rsidR="00406383" w:rsidRPr="00406383" w:rsidRDefault="00406383" w:rsidP="00406383">
      <w:pPr>
        <w:ind w:left="851"/>
        <w:rPr>
          <w:iCs/>
          <w:sz w:val="24"/>
          <w:szCs w:val="24"/>
        </w:rPr>
      </w:pPr>
      <w:r w:rsidRPr="00406383">
        <w:rPr>
          <w:iCs/>
          <w:sz w:val="24"/>
          <w:szCs w:val="24"/>
        </w:rPr>
        <w:t>Seponeringsfrekvensen blev undersøgt i 3 kliniske studier af op til 3 års varighed. Procentdelen af patienter, som seponerede behandlingen, var 25 – 38 % det første år, 10 % det andet år og 11 % det tredje år. Der bør udføres periodisk vurdering af virkningen sammen med evaluering af sikkerheden, herunder augmentation.</w:t>
      </w:r>
    </w:p>
    <w:p w:rsidR="00406383" w:rsidRPr="00406383" w:rsidRDefault="00406383" w:rsidP="00406383">
      <w:pPr>
        <w:ind w:left="851"/>
        <w:rPr>
          <w:iCs/>
          <w:sz w:val="24"/>
          <w:szCs w:val="24"/>
        </w:rPr>
      </w:pPr>
    </w:p>
    <w:p w:rsidR="00406383" w:rsidRPr="00406383" w:rsidRDefault="00406383" w:rsidP="00406383">
      <w:pPr>
        <w:ind w:left="851"/>
        <w:rPr>
          <w:iCs/>
          <w:sz w:val="24"/>
          <w:szCs w:val="24"/>
        </w:rPr>
      </w:pPr>
      <w:r w:rsidRPr="00406383">
        <w:rPr>
          <w:iCs/>
          <w:sz w:val="24"/>
          <w:szCs w:val="24"/>
          <w:u w:val="single"/>
        </w:rPr>
        <w:lastRenderedPageBreak/>
        <w:t>Bivirkningstabel</w:t>
      </w:r>
    </w:p>
    <w:p w:rsidR="00406383" w:rsidRPr="00406383" w:rsidRDefault="00406383" w:rsidP="00406383">
      <w:pPr>
        <w:ind w:left="851"/>
        <w:rPr>
          <w:iCs/>
          <w:sz w:val="24"/>
          <w:szCs w:val="24"/>
        </w:rPr>
      </w:pPr>
      <w:r w:rsidRPr="00406383">
        <w:rPr>
          <w:iCs/>
          <w:sz w:val="24"/>
          <w:szCs w:val="24"/>
        </w:rPr>
        <w:t xml:space="preserve">Følgende tabel omfatter bivirkninger fra ovennævnte samlede studier med patienter med </w:t>
      </w:r>
      <w:r w:rsidRPr="00406383">
        <w:rPr>
          <w:i/>
          <w:iCs/>
          <w:sz w:val="24"/>
          <w:szCs w:val="24"/>
        </w:rPr>
        <w:t>restless legs</w:t>
      </w:r>
      <w:r w:rsidRPr="00406383">
        <w:rPr>
          <w:sz w:val="24"/>
          <w:szCs w:val="24"/>
        </w:rPr>
        <w:noBreakHyphen/>
        <w:t>syndrom</w:t>
      </w:r>
      <w:r w:rsidRPr="00406383">
        <w:rPr>
          <w:iCs/>
          <w:sz w:val="24"/>
          <w:szCs w:val="24"/>
        </w:rPr>
        <w:t xml:space="preserve"> og fra erfaring efter markedsføring. Inden for hver systemorganklasse er bivirkningerne opført under overskrifter iht. hyppighed (antal patienter, som forventes at få reaktionen) ved brug af følgende kategorier: </w:t>
      </w:r>
      <w:r>
        <w:rPr>
          <w:iCs/>
          <w:sz w:val="24"/>
          <w:szCs w:val="24"/>
        </w:rPr>
        <w:t>M</w:t>
      </w:r>
      <w:r w:rsidRPr="00406383">
        <w:rPr>
          <w:iCs/>
          <w:sz w:val="24"/>
          <w:szCs w:val="24"/>
        </w:rPr>
        <w:t>eget almindelig (≥ 1/10); almindelig (≥ 1/100 til &lt; 1/10); ikke almindelig (≥ 1/1.000 til &lt; 1/100); sjælden (≥ 1/10.000 til &lt; 1/1.000); meget sjælden (&lt; 1/10.000); ikke kendt (kan ikke estimeres ud fra forhåndenværende data). Inden for hver enkelt frekvensgruppe er bivirkningerne opstillet efter, hvor alvorlige de er. De alvorligste bivirkninger er anført først.</w:t>
      </w:r>
    </w:p>
    <w:p w:rsidR="00406383" w:rsidRDefault="00406383" w:rsidP="00406383">
      <w:pPr>
        <w:rPr>
          <w:iCs/>
        </w:rPr>
      </w:pPr>
    </w:p>
    <w:tbl>
      <w:tblPr>
        <w:tblStyle w:val="Tabel-Gitter"/>
        <w:tblW w:w="5613" w:type="pct"/>
        <w:tblInd w:w="-431" w:type="dxa"/>
        <w:tblLook w:val="04A0" w:firstRow="1" w:lastRow="0" w:firstColumn="1" w:lastColumn="0" w:noHBand="0" w:noVBand="1"/>
      </w:tblPr>
      <w:tblGrid>
        <w:gridCol w:w="1737"/>
        <w:gridCol w:w="1730"/>
        <w:gridCol w:w="2955"/>
        <w:gridCol w:w="1340"/>
        <w:gridCol w:w="1334"/>
        <w:gridCol w:w="1712"/>
      </w:tblGrid>
      <w:tr w:rsidR="00406383" w:rsidRPr="00FE666C" w:rsidTr="00406383">
        <w:tc>
          <w:tcPr>
            <w:tcW w:w="803" w:type="pct"/>
            <w:tcBorders>
              <w:top w:val="single" w:sz="4" w:space="0" w:color="auto"/>
              <w:left w:val="single" w:sz="4" w:space="0" w:color="auto"/>
              <w:bottom w:val="single" w:sz="4" w:space="0" w:color="auto"/>
              <w:right w:val="single" w:sz="4" w:space="0" w:color="auto"/>
            </w:tcBorders>
            <w:hideMark/>
          </w:tcPr>
          <w:p w:rsidR="00406383" w:rsidRPr="00FE666C" w:rsidRDefault="00406383">
            <w:pPr>
              <w:keepNext/>
              <w:rPr>
                <w:b/>
                <w:iCs/>
                <w:sz w:val="22"/>
                <w:szCs w:val="22"/>
                <w:lang w:val="da-DK"/>
              </w:rPr>
            </w:pPr>
            <w:r w:rsidRPr="00FE666C">
              <w:rPr>
                <w:b/>
                <w:iCs/>
                <w:sz w:val="22"/>
                <w:szCs w:val="22"/>
                <w:lang w:val="da-DK"/>
              </w:rPr>
              <w:t>System</w:t>
            </w:r>
            <w:r w:rsidRPr="00FE666C">
              <w:rPr>
                <w:b/>
                <w:iCs/>
                <w:sz w:val="22"/>
                <w:szCs w:val="22"/>
                <w:lang w:val="da-DK"/>
              </w:rPr>
              <w:softHyphen/>
              <w:t>organklasse i henhold til MedDRA</w:t>
            </w:r>
          </w:p>
        </w:tc>
        <w:tc>
          <w:tcPr>
            <w:tcW w:w="800" w:type="pct"/>
            <w:tcBorders>
              <w:top w:val="single" w:sz="4" w:space="0" w:color="auto"/>
              <w:left w:val="single" w:sz="4" w:space="0" w:color="auto"/>
              <w:bottom w:val="single" w:sz="4" w:space="0" w:color="auto"/>
              <w:right w:val="single" w:sz="4" w:space="0" w:color="auto"/>
            </w:tcBorders>
            <w:hideMark/>
          </w:tcPr>
          <w:p w:rsidR="00406383" w:rsidRPr="00FE666C" w:rsidRDefault="00406383">
            <w:pPr>
              <w:keepNext/>
              <w:rPr>
                <w:b/>
                <w:iCs/>
                <w:sz w:val="22"/>
                <w:szCs w:val="22"/>
              </w:rPr>
            </w:pPr>
            <w:r w:rsidRPr="00FE666C">
              <w:rPr>
                <w:b/>
                <w:iCs/>
                <w:sz w:val="22"/>
                <w:szCs w:val="22"/>
              </w:rPr>
              <w:t>Meget almindelig</w:t>
            </w:r>
          </w:p>
        </w:tc>
        <w:tc>
          <w:tcPr>
            <w:tcW w:w="1367" w:type="pct"/>
            <w:tcBorders>
              <w:top w:val="single" w:sz="4" w:space="0" w:color="auto"/>
              <w:left w:val="single" w:sz="4" w:space="0" w:color="auto"/>
              <w:bottom w:val="single" w:sz="4" w:space="0" w:color="auto"/>
              <w:right w:val="single" w:sz="4" w:space="0" w:color="auto"/>
            </w:tcBorders>
            <w:hideMark/>
          </w:tcPr>
          <w:p w:rsidR="00406383" w:rsidRPr="00FE666C" w:rsidRDefault="00406383">
            <w:pPr>
              <w:keepNext/>
              <w:rPr>
                <w:b/>
                <w:iCs/>
                <w:sz w:val="22"/>
                <w:szCs w:val="22"/>
              </w:rPr>
            </w:pPr>
            <w:r w:rsidRPr="00FE666C">
              <w:rPr>
                <w:b/>
                <w:iCs/>
                <w:sz w:val="22"/>
                <w:szCs w:val="22"/>
              </w:rPr>
              <w:t>Almindelig</w:t>
            </w:r>
          </w:p>
        </w:tc>
        <w:tc>
          <w:tcPr>
            <w:tcW w:w="620" w:type="pct"/>
            <w:tcBorders>
              <w:top w:val="single" w:sz="4" w:space="0" w:color="auto"/>
              <w:left w:val="single" w:sz="4" w:space="0" w:color="auto"/>
              <w:bottom w:val="single" w:sz="4" w:space="0" w:color="auto"/>
              <w:right w:val="single" w:sz="4" w:space="0" w:color="auto"/>
            </w:tcBorders>
            <w:hideMark/>
          </w:tcPr>
          <w:p w:rsidR="00406383" w:rsidRPr="00FE666C" w:rsidRDefault="00406383">
            <w:pPr>
              <w:keepNext/>
              <w:rPr>
                <w:b/>
                <w:iCs/>
                <w:sz w:val="22"/>
                <w:szCs w:val="22"/>
              </w:rPr>
            </w:pPr>
            <w:r w:rsidRPr="00FE666C">
              <w:rPr>
                <w:b/>
                <w:iCs/>
                <w:sz w:val="22"/>
                <w:szCs w:val="22"/>
              </w:rPr>
              <w:t>Ikke almindelig</w:t>
            </w:r>
          </w:p>
        </w:tc>
        <w:tc>
          <w:tcPr>
            <w:tcW w:w="617" w:type="pct"/>
            <w:tcBorders>
              <w:top w:val="single" w:sz="4" w:space="0" w:color="auto"/>
              <w:left w:val="single" w:sz="4" w:space="0" w:color="auto"/>
              <w:bottom w:val="single" w:sz="4" w:space="0" w:color="auto"/>
              <w:right w:val="single" w:sz="4" w:space="0" w:color="auto"/>
            </w:tcBorders>
            <w:hideMark/>
          </w:tcPr>
          <w:p w:rsidR="00406383" w:rsidRPr="00FE666C" w:rsidRDefault="00406383">
            <w:pPr>
              <w:keepNext/>
              <w:rPr>
                <w:b/>
                <w:iCs/>
                <w:sz w:val="22"/>
                <w:szCs w:val="22"/>
              </w:rPr>
            </w:pPr>
            <w:r w:rsidRPr="00FE666C">
              <w:rPr>
                <w:b/>
                <w:iCs/>
                <w:sz w:val="22"/>
                <w:szCs w:val="22"/>
              </w:rPr>
              <w:t>Sjælden</w:t>
            </w:r>
          </w:p>
        </w:tc>
        <w:tc>
          <w:tcPr>
            <w:tcW w:w="792" w:type="pct"/>
            <w:tcBorders>
              <w:top w:val="single" w:sz="4" w:space="0" w:color="auto"/>
              <w:left w:val="single" w:sz="4" w:space="0" w:color="auto"/>
              <w:bottom w:val="single" w:sz="4" w:space="0" w:color="auto"/>
              <w:right w:val="single" w:sz="4" w:space="0" w:color="auto"/>
            </w:tcBorders>
            <w:hideMark/>
          </w:tcPr>
          <w:p w:rsidR="00406383" w:rsidRPr="00FE666C" w:rsidRDefault="00406383">
            <w:pPr>
              <w:keepNext/>
              <w:rPr>
                <w:b/>
                <w:iCs/>
                <w:sz w:val="22"/>
                <w:szCs w:val="22"/>
              </w:rPr>
            </w:pPr>
            <w:r w:rsidRPr="00FE666C">
              <w:rPr>
                <w:b/>
                <w:iCs/>
                <w:sz w:val="22"/>
                <w:szCs w:val="22"/>
              </w:rPr>
              <w:t>Ikke kendt</w:t>
            </w:r>
          </w:p>
        </w:tc>
      </w:tr>
      <w:tr w:rsidR="00406383" w:rsidRPr="00FE666C" w:rsidTr="00406383">
        <w:tc>
          <w:tcPr>
            <w:tcW w:w="803" w:type="pct"/>
            <w:tcBorders>
              <w:top w:val="single" w:sz="4" w:space="0" w:color="auto"/>
              <w:left w:val="single" w:sz="4" w:space="0" w:color="auto"/>
              <w:bottom w:val="single" w:sz="4" w:space="0" w:color="auto"/>
              <w:right w:val="single" w:sz="4" w:space="0" w:color="auto"/>
            </w:tcBorders>
            <w:hideMark/>
          </w:tcPr>
          <w:p w:rsidR="00406383" w:rsidRPr="00FE666C" w:rsidRDefault="00406383">
            <w:pPr>
              <w:rPr>
                <w:b/>
                <w:iCs/>
                <w:sz w:val="22"/>
                <w:szCs w:val="22"/>
              </w:rPr>
            </w:pPr>
            <w:r w:rsidRPr="00FE666C">
              <w:rPr>
                <w:b/>
                <w:iCs/>
                <w:sz w:val="22"/>
                <w:szCs w:val="22"/>
              </w:rPr>
              <w:t>Immun</w:t>
            </w:r>
            <w:r w:rsidRPr="00FE666C">
              <w:rPr>
                <w:b/>
                <w:iCs/>
                <w:sz w:val="22"/>
                <w:szCs w:val="22"/>
              </w:rPr>
              <w:softHyphen/>
              <w:t>systemet</w:t>
            </w:r>
          </w:p>
        </w:tc>
        <w:tc>
          <w:tcPr>
            <w:tcW w:w="800"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rPr>
            </w:pPr>
          </w:p>
        </w:tc>
        <w:tc>
          <w:tcPr>
            <w:tcW w:w="1367" w:type="pct"/>
            <w:tcBorders>
              <w:top w:val="single" w:sz="4" w:space="0" w:color="auto"/>
              <w:left w:val="single" w:sz="4" w:space="0" w:color="auto"/>
              <w:bottom w:val="single" w:sz="4" w:space="0" w:color="auto"/>
              <w:right w:val="single" w:sz="4" w:space="0" w:color="auto"/>
            </w:tcBorders>
            <w:hideMark/>
          </w:tcPr>
          <w:p w:rsidR="00406383" w:rsidRPr="00FE666C" w:rsidRDefault="00406383">
            <w:pPr>
              <w:rPr>
                <w:iCs/>
                <w:sz w:val="22"/>
                <w:szCs w:val="22"/>
                <w:lang w:val="da-DK"/>
              </w:rPr>
            </w:pPr>
            <w:r w:rsidRPr="00FE666C">
              <w:rPr>
                <w:iCs/>
                <w:sz w:val="22"/>
                <w:szCs w:val="22"/>
                <w:lang w:val="da-DK"/>
              </w:rPr>
              <w:t>Overfølsomhed, hvilket kan omfatte angioødem og ødem i tunge og læbe</w:t>
            </w:r>
          </w:p>
        </w:tc>
        <w:tc>
          <w:tcPr>
            <w:tcW w:w="620"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lang w:val="da-DK"/>
              </w:rPr>
            </w:pPr>
          </w:p>
        </w:tc>
        <w:tc>
          <w:tcPr>
            <w:tcW w:w="617"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lang w:val="da-DK"/>
              </w:rPr>
            </w:pPr>
          </w:p>
        </w:tc>
        <w:tc>
          <w:tcPr>
            <w:tcW w:w="792"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lang w:val="da-DK"/>
              </w:rPr>
            </w:pPr>
          </w:p>
        </w:tc>
      </w:tr>
      <w:tr w:rsidR="00406383" w:rsidRPr="00FE666C" w:rsidTr="00406383">
        <w:tc>
          <w:tcPr>
            <w:tcW w:w="803" w:type="pct"/>
            <w:tcBorders>
              <w:top w:val="single" w:sz="4" w:space="0" w:color="auto"/>
              <w:left w:val="single" w:sz="4" w:space="0" w:color="auto"/>
              <w:bottom w:val="single" w:sz="4" w:space="0" w:color="auto"/>
              <w:right w:val="single" w:sz="4" w:space="0" w:color="auto"/>
            </w:tcBorders>
            <w:hideMark/>
          </w:tcPr>
          <w:p w:rsidR="00406383" w:rsidRPr="00FE666C" w:rsidRDefault="00406383">
            <w:pPr>
              <w:rPr>
                <w:b/>
                <w:iCs/>
                <w:sz w:val="22"/>
                <w:szCs w:val="22"/>
              </w:rPr>
            </w:pPr>
            <w:r w:rsidRPr="00FE666C">
              <w:rPr>
                <w:b/>
                <w:iCs/>
                <w:sz w:val="22"/>
                <w:szCs w:val="22"/>
              </w:rPr>
              <w:t>Psykiske forstyrrelser</w:t>
            </w:r>
          </w:p>
        </w:tc>
        <w:tc>
          <w:tcPr>
            <w:tcW w:w="800"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rPr>
            </w:pPr>
          </w:p>
        </w:tc>
        <w:tc>
          <w:tcPr>
            <w:tcW w:w="1367" w:type="pct"/>
            <w:tcBorders>
              <w:top w:val="single" w:sz="4" w:space="0" w:color="auto"/>
              <w:left w:val="single" w:sz="4" w:space="0" w:color="auto"/>
              <w:bottom w:val="single" w:sz="4" w:space="0" w:color="auto"/>
              <w:right w:val="single" w:sz="4" w:space="0" w:color="auto"/>
            </w:tcBorders>
            <w:hideMark/>
          </w:tcPr>
          <w:p w:rsidR="00406383" w:rsidRPr="00FE666C" w:rsidRDefault="00406383">
            <w:pPr>
              <w:rPr>
                <w:iCs/>
                <w:sz w:val="22"/>
                <w:szCs w:val="22"/>
                <w:lang w:val="da-DK"/>
              </w:rPr>
            </w:pPr>
            <w:r w:rsidRPr="00FE666C">
              <w:rPr>
                <w:iCs/>
                <w:sz w:val="22"/>
                <w:szCs w:val="22"/>
                <w:lang w:val="da-DK"/>
              </w:rPr>
              <w:t>Søvnanfald/ pludselig søvn, forstyrret seksuel adfærd</w:t>
            </w:r>
            <w:r w:rsidRPr="00FE666C">
              <w:rPr>
                <w:iCs/>
                <w:sz w:val="22"/>
                <w:szCs w:val="22"/>
                <w:vertAlign w:val="superscript"/>
                <w:lang w:val="da-DK"/>
              </w:rPr>
              <w:t>a</w:t>
            </w:r>
            <w:r w:rsidRPr="00FE666C">
              <w:rPr>
                <w:iCs/>
                <w:sz w:val="22"/>
                <w:szCs w:val="22"/>
                <w:lang w:val="da-DK"/>
              </w:rPr>
              <w:t xml:space="preserve"> (inkl. hyperseksualitet, øget libido), søvnløshed, søvnforstyrrelser, unormale drømme, impulskontrol</w:t>
            </w:r>
            <w:r w:rsidRPr="00FE666C">
              <w:rPr>
                <w:iCs/>
                <w:sz w:val="22"/>
                <w:szCs w:val="22"/>
                <w:lang w:val="da-DK"/>
              </w:rPr>
              <w:softHyphen/>
              <w:t>forstyrrelser</w:t>
            </w:r>
            <w:r w:rsidRPr="00FE666C">
              <w:rPr>
                <w:iCs/>
                <w:sz w:val="22"/>
                <w:szCs w:val="22"/>
                <w:vertAlign w:val="superscript"/>
                <w:lang w:val="da-DK"/>
              </w:rPr>
              <w:t>a,d</w:t>
            </w:r>
            <w:r w:rsidRPr="00FE666C">
              <w:rPr>
                <w:iCs/>
                <w:sz w:val="22"/>
                <w:szCs w:val="22"/>
                <w:lang w:val="da-DK"/>
              </w:rPr>
              <w:t xml:space="preserve"> (inkl. ludomani, stereotypi/ tvangshandlinger, uhæmmet madindtagelse/ spiseforstyrrelse</w:t>
            </w:r>
            <w:r w:rsidRPr="00FE666C">
              <w:rPr>
                <w:iCs/>
                <w:sz w:val="22"/>
                <w:szCs w:val="22"/>
                <w:vertAlign w:val="superscript"/>
                <w:lang w:val="da-DK"/>
              </w:rPr>
              <w:t>b</w:t>
            </w:r>
            <w:r w:rsidRPr="00FE666C">
              <w:rPr>
                <w:iCs/>
                <w:sz w:val="22"/>
                <w:szCs w:val="22"/>
                <w:lang w:val="da-DK"/>
              </w:rPr>
              <w:t>,overdrevent indkøbsmønster</w:t>
            </w:r>
            <w:r w:rsidRPr="00FE666C">
              <w:rPr>
                <w:iCs/>
                <w:sz w:val="22"/>
                <w:szCs w:val="22"/>
                <w:vertAlign w:val="superscript"/>
                <w:lang w:val="da-DK"/>
              </w:rPr>
              <w:t>c</w:t>
            </w:r>
            <w:r w:rsidRPr="00FE666C">
              <w:rPr>
                <w:iCs/>
                <w:sz w:val="22"/>
                <w:szCs w:val="22"/>
                <w:lang w:val="da-DK"/>
              </w:rPr>
              <w:t>)</w:t>
            </w:r>
          </w:p>
        </w:tc>
        <w:tc>
          <w:tcPr>
            <w:tcW w:w="620" w:type="pct"/>
            <w:tcBorders>
              <w:top w:val="single" w:sz="4" w:space="0" w:color="auto"/>
              <w:left w:val="single" w:sz="4" w:space="0" w:color="auto"/>
              <w:bottom w:val="single" w:sz="4" w:space="0" w:color="auto"/>
              <w:right w:val="single" w:sz="4" w:space="0" w:color="auto"/>
            </w:tcBorders>
            <w:hideMark/>
          </w:tcPr>
          <w:p w:rsidR="00406383" w:rsidRPr="00FE666C" w:rsidRDefault="00406383">
            <w:pPr>
              <w:rPr>
                <w:iCs/>
                <w:sz w:val="22"/>
                <w:szCs w:val="22"/>
              </w:rPr>
            </w:pPr>
            <w:r w:rsidRPr="00FE666C">
              <w:rPr>
                <w:iCs/>
                <w:sz w:val="22"/>
                <w:szCs w:val="22"/>
              </w:rPr>
              <w:t>Obsessiv-kompulsiv tilstand, agitation</w:t>
            </w:r>
            <w:r w:rsidRPr="00FE666C">
              <w:rPr>
                <w:iCs/>
                <w:sz w:val="22"/>
                <w:szCs w:val="22"/>
                <w:vertAlign w:val="superscript"/>
              </w:rPr>
              <w:t>d</w:t>
            </w:r>
          </w:p>
        </w:tc>
        <w:tc>
          <w:tcPr>
            <w:tcW w:w="617" w:type="pct"/>
            <w:tcBorders>
              <w:top w:val="single" w:sz="4" w:space="0" w:color="auto"/>
              <w:left w:val="single" w:sz="4" w:space="0" w:color="auto"/>
              <w:bottom w:val="single" w:sz="4" w:space="0" w:color="auto"/>
              <w:right w:val="single" w:sz="4" w:space="0" w:color="auto"/>
            </w:tcBorders>
            <w:hideMark/>
          </w:tcPr>
          <w:p w:rsidR="00406383" w:rsidRPr="00FE666C" w:rsidRDefault="00406383">
            <w:pPr>
              <w:rPr>
                <w:iCs/>
                <w:sz w:val="22"/>
                <w:szCs w:val="22"/>
              </w:rPr>
            </w:pPr>
            <w:r w:rsidRPr="00FE666C">
              <w:rPr>
                <w:iCs/>
                <w:sz w:val="22"/>
                <w:szCs w:val="22"/>
              </w:rPr>
              <w:t>Aggressiv opførsel/ aggression</w:t>
            </w:r>
            <w:r w:rsidRPr="00FE666C">
              <w:rPr>
                <w:iCs/>
                <w:sz w:val="22"/>
                <w:szCs w:val="22"/>
                <w:vertAlign w:val="superscript"/>
              </w:rPr>
              <w:t>b</w:t>
            </w:r>
            <w:r w:rsidRPr="00FE666C">
              <w:rPr>
                <w:iCs/>
                <w:sz w:val="22"/>
                <w:szCs w:val="22"/>
              </w:rPr>
              <w:t>, desoriente</w:t>
            </w:r>
            <w:r w:rsidRPr="00FE666C">
              <w:rPr>
                <w:iCs/>
                <w:sz w:val="22"/>
                <w:szCs w:val="22"/>
              </w:rPr>
              <w:softHyphen/>
              <w:t>ring</w:t>
            </w:r>
            <w:r w:rsidRPr="00FE666C">
              <w:rPr>
                <w:iCs/>
                <w:sz w:val="22"/>
                <w:szCs w:val="22"/>
                <w:vertAlign w:val="superscript"/>
              </w:rPr>
              <w:t>d</w:t>
            </w:r>
          </w:p>
        </w:tc>
        <w:tc>
          <w:tcPr>
            <w:tcW w:w="792" w:type="pct"/>
            <w:tcBorders>
              <w:top w:val="single" w:sz="4" w:space="0" w:color="auto"/>
              <w:left w:val="single" w:sz="4" w:space="0" w:color="auto"/>
              <w:bottom w:val="single" w:sz="4" w:space="0" w:color="auto"/>
              <w:right w:val="single" w:sz="4" w:space="0" w:color="auto"/>
            </w:tcBorders>
            <w:hideMark/>
          </w:tcPr>
          <w:p w:rsidR="00406383" w:rsidRPr="00FE666C" w:rsidRDefault="00406383">
            <w:pPr>
              <w:rPr>
                <w:iCs/>
                <w:sz w:val="22"/>
                <w:szCs w:val="22"/>
                <w:lang w:val="da-DK"/>
              </w:rPr>
            </w:pPr>
            <w:r w:rsidRPr="00FE666C">
              <w:rPr>
                <w:iCs/>
                <w:sz w:val="22"/>
                <w:szCs w:val="22"/>
                <w:lang w:val="da-DK"/>
              </w:rPr>
              <w:t>Dopamin-dysregulerings</w:t>
            </w:r>
            <w:r w:rsidRPr="00FE666C">
              <w:rPr>
                <w:iCs/>
                <w:sz w:val="22"/>
                <w:szCs w:val="22"/>
                <w:lang w:val="da-DK"/>
              </w:rPr>
              <w:softHyphen/>
              <w:t>syndrom</w:t>
            </w:r>
            <w:r w:rsidRPr="00FE666C">
              <w:rPr>
                <w:iCs/>
                <w:sz w:val="22"/>
                <w:szCs w:val="22"/>
                <w:vertAlign w:val="superscript"/>
                <w:lang w:val="da-DK"/>
              </w:rPr>
              <w:t>c</w:t>
            </w:r>
            <w:r w:rsidRPr="00FE666C">
              <w:rPr>
                <w:iCs/>
                <w:sz w:val="22"/>
                <w:szCs w:val="22"/>
                <w:lang w:val="da-DK"/>
              </w:rPr>
              <w:t>, sanse</w:t>
            </w:r>
            <w:r w:rsidRPr="00FE666C">
              <w:rPr>
                <w:iCs/>
                <w:sz w:val="22"/>
                <w:szCs w:val="22"/>
                <w:lang w:val="da-DK"/>
              </w:rPr>
              <w:softHyphen/>
              <w:t>forstyrrelser</w:t>
            </w:r>
            <w:r w:rsidRPr="00FE666C">
              <w:rPr>
                <w:iCs/>
                <w:sz w:val="22"/>
                <w:szCs w:val="22"/>
                <w:vertAlign w:val="superscript"/>
                <w:lang w:val="da-DK"/>
              </w:rPr>
              <w:t>e</w:t>
            </w:r>
            <w:r w:rsidRPr="00FE666C">
              <w:rPr>
                <w:iCs/>
                <w:sz w:val="22"/>
                <w:szCs w:val="22"/>
                <w:lang w:val="da-DK"/>
              </w:rPr>
              <w:t xml:space="preserve"> (inkl. hallucinationer, visuelle hallucinationer, auditive hallucinationer, illusioner), mareridt</w:t>
            </w:r>
            <w:r w:rsidRPr="00FE666C">
              <w:rPr>
                <w:iCs/>
                <w:sz w:val="22"/>
                <w:szCs w:val="22"/>
                <w:vertAlign w:val="superscript"/>
                <w:lang w:val="da-DK"/>
              </w:rPr>
              <w:t>e</w:t>
            </w:r>
            <w:r w:rsidRPr="00FE666C">
              <w:rPr>
                <w:iCs/>
                <w:sz w:val="22"/>
                <w:szCs w:val="22"/>
                <w:lang w:val="da-DK"/>
              </w:rPr>
              <w:t>, paranoia</w:t>
            </w:r>
            <w:r w:rsidRPr="00FE666C">
              <w:rPr>
                <w:iCs/>
                <w:sz w:val="22"/>
                <w:szCs w:val="22"/>
                <w:vertAlign w:val="superscript"/>
                <w:lang w:val="da-DK"/>
              </w:rPr>
              <w:t>e</w:t>
            </w:r>
            <w:r w:rsidRPr="00FE666C">
              <w:rPr>
                <w:iCs/>
                <w:sz w:val="22"/>
                <w:szCs w:val="22"/>
                <w:lang w:val="da-DK"/>
              </w:rPr>
              <w:t>, forvirring</w:t>
            </w:r>
            <w:r w:rsidRPr="00FE666C">
              <w:rPr>
                <w:iCs/>
                <w:sz w:val="22"/>
                <w:szCs w:val="22"/>
                <w:vertAlign w:val="superscript"/>
                <w:lang w:val="da-DK"/>
              </w:rPr>
              <w:t>e</w:t>
            </w:r>
            <w:r w:rsidRPr="00FE666C">
              <w:rPr>
                <w:iCs/>
                <w:sz w:val="22"/>
                <w:szCs w:val="22"/>
                <w:lang w:val="da-DK"/>
              </w:rPr>
              <w:t>, psykotisk lidelse</w:t>
            </w:r>
            <w:r w:rsidRPr="00FE666C">
              <w:rPr>
                <w:iCs/>
                <w:sz w:val="22"/>
                <w:szCs w:val="22"/>
                <w:vertAlign w:val="superscript"/>
                <w:lang w:val="da-DK"/>
              </w:rPr>
              <w:t>e</w:t>
            </w:r>
            <w:r w:rsidRPr="00FE666C">
              <w:rPr>
                <w:iCs/>
                <w:sz w:val="22"/>
                <w:szCs w:val="22"/>
                <w:lang w:val="da-DK"/>
              </w:rPr>
              <w:t>, vrangfore</w:t>
            </w:r>
            <w:r w:rsidRPr="00FE666C">
              <w:rPr>
                <w:iCs/>
                <w:sz w:val="22"/>
                <w:szCs w:val="22"/>
                <w:lang w:val="da-DK"/>
              </w:rPr>
              <w:softHyphen/>
              <w:t>stillinger</w:t>
            </w:r>
            <w:r w:rsidRPr="00FE666C">
              <w:rPr>
                <w:iCs/>
                <w:sz w:val="22"/>
                <w:szCs w:val="22"/>
                <w:vertAlign w:val="superscript"/>
                <w:lang w:val="da-DK"/>
              </w:rPr>
              <w:t>e</w:t>
            </w:r>
            <w:r w:rsidRPr="00FE666C">
              <w:rPr>
                <w:iCs/>
                <w:sz w:val="22"/>
                <w:szCs w:val="22"/>
                <w:lang w:val="da-DK"/>
              </w:rPr>
              <w:t>, delirium</w:t>
            </w:r>
            <w:r w:rsidRPr="00FE666C">
              <w:rPr>
                <w:iCs/>
                <w:sz w:val="22"/>
                <w:szCs w:val="22"/>
                <w:vertAlign w:val="superscript"/>
                <w:lang w:val="da-DK"/>
              </w:rPr>
              <w:t>e</w:t>
            </w:r>
          </w:p>
        </w:tc>
      </w:tr>
      <w:tr w:rsidR="00406383" w:rsidRPr="00FE666C" w:rsidTr="00406383">
        <w:tc>
          <w:tcPr>
            <w:tcW w:w="803" w:type="pct"/>
            <w:tcBorders>
              <w:top w:val="single" w:sz="4" w:space="0" w:color="auto"/>
              <w:left w:val="single" w:sz="4" w:space="0" w:color="auto"/>
              <w:bottom w:val="single" w:sz="4" w:space="0" w:color="auto"/>
              <w:right w:val="single" w:sz="4" w:space="0" w:color="auto"/>
            </w:tcBorders>
            <w:hideMark/>
          </w:tcPr>
          <w:p w:rsidR="00406383" w:rsidRPr="00FE666C" w:rsidRDefault="00406383">
            <w:pPr>
              <w:rPr>
                <w:b/>
                <w:iCs/>
                <w:sz w:val="22"/>
                <w:szCs w:val="22"/>
              </w:rPr>
            </w:pPr>
            <w:r w:rsidRPr="00FE666C">
              <w:rPr>
                <w:b/>
                <w:iCs/>
                <w:sz w:val="22"/>
                <w:szCs w:val="22"/>
              </w:rPr>
              <w:t>Nervesystemet</w:t>
            </w:r>
          </w:p>
        </w:tc>
        <w:tc>
          <w:tcPr>
            <w:tcW w:w="800" w:type="pct"/>
            <w:tcBorders>
              <w:top w:val="single" w:sz="4" w:space="0" w:color="auto"/>
              <w:left w:val="single" w:sz="4" w:space="0" w:color="auto"/>
              <w:bottom w:val="single" w:sz="4" w:space="0" w:color="auto"/>
              <w:right w:val="single" w:sz="4" w:space="0" w:color="auto"/>
            </w:tcBorders>
            <w:hideMark/>
          </w:tcPr>
          <w:p w:rsidR="00406383" w:rsidRPr="00FE666C" w:rsidRDefault="00406383">
            <w:pPr>
              <w:rPr>
                <w:iCs/>
                <w:sz w:val="22"/>
                <w:szCs w:val="22"/>
              </w:rPr>
            </w:pPr>
            <w:r w:rsidRPr="00FE666C">
              <w:rPr>
                <w:iCs/>
                <w:sz w:val="22"/>
                <w:szCs w:val="22"/>
              </w:rPr>
              <w:t>Hovedpine</w:t>
            </w:r>
          </w:p>
        </w:tc>
        <w:tc>
          <w:tcPr>
            <w:tcW w:w="1367" w:type="pct"/>
            <w:tcBorders>
              <w:top w:val="single" w:sz="4" w:space="0" w:color="auto"/>
              <w:left w:val="single" w:sz="4" w:space="0" w:color="auto"/>
              <w:bottom w:val="single" w:sz="4" w:space="0" w:color="auto"/>
              <w:right w:val="single" w:sz="4" w:space="0" w:color="auto"/>
            </w:tcBorders>
            <w:hideMark/>
          </w:tcPr>
          <w:p w:rsidR="00406383" w:rsidRPr="00FE666C" w:rsidRDefault="00406383">
            <w:pPr>
              <w:rPr>
                <w:iCs/>
                <w:sz w:val="22"/>
                <w:szCs w:val="22"/>
              </w:rPr>
            </w:pPr>
            <w:r w:rsidRPr="00FE666C">
              <w:rPr>
                <w:iCs/>
                <w:sz w:val="22"/>
                <w:szCs w:val="22"/>
              </w:rPr>
              <w:t>Døsighed</w:t>
            </w:r>
          </w:p>
        </w:tc>
        <w:tc>
          <w:tcPr>
            <w:tcW w:w="620"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rPr>
            </w:pPr>
          </w:p>
        </w:tc>
        <w:tc>
          <w:tcPr>
            <w:tcW w:w="617"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rPr>
            </w:pPr>
          </w:p>
        </w:tc>
        <w:tc>
          <w:tcPr>
            <w:tcW w:w="792" w:type="pct"/>
            <w:tcBorders>
              <w:top w:val="single" w:sz="4" w:space="0" w:color="auto"/>
              <w:left w:val="single" w:sz="4" w:space="0" w:color="auto"/>
              <w:bottom w:val="single" w:sz="4" w:space="0" w:color="auto"/>
              <w:right w:val="single" w:sz="4" w:space="0" w:color="auto"/>
            </w:tcBorders>
            <w:hideMark/>
          </w:tcPr>
          <w:p w:rsidR="00406383" w:rsidRPr="00FE666C" w:rsidRDefault="00406383">
            <w:pPr>
              <w:rPr>
                <w:i/>
                <w:iCs/>
                <w:sz w:val="22"/>
                <w:szCs w:val="22"/>
                <w:lang w:val="da-DK"/>
              </w:rPr>
            </w:pPr>
            <w:r w:rsidRPr="00FE666C">
              <w:rPr>
                <w:iCs/>
                <w:sz w:val="22"/>
                <w:szCs w:val="22"/>
                <w:lang w:val="da-DK"/>
              </w:rPr>
              <w:t>Svimmelhed</w:t>
            </w:r>
            <w:r w:rsidRPr="00FE666C">
              <w:rPr>
                <w:iCs/>
                <w:sz w:val="22"/>
                <w:szCs w:val="22"/>
                <w:vertAlign w:val="superscript"/>
                <w:lang w:val="da-DK"/>
              </w:rPr>
              <w:t>e</w:t>
            </w:r>
            <w:r w:rsidRPr="00FE666C">
              <w:rPr>
                <w:iCs/>
                <w:sz w:val="22"/>
                <w:szCs w:val="22"/>
                <w:lang w:val="da-DK"/>
              </w:rPr>
              <w:t>, bevidstheds</w:t>
            </w:r>
            <w:r w:rsidRPr="00FE666C">
              <w:rPr>
                <w:iCs/>
                <w:sz w:val="22"/>
                <w:szCs w:val="22"/>
                <w:lang w:val="da-DK"/>
              </w:rPr>
              <w:softHyphen/>
              <w:t>forstyrrelser NEC</w:t>
            </w:r>
            <w:r w:rsidRPr="00FE666C">
              <w:rPr>
                <w:iCs/>
                <w:sz w:val="22"/>
                <w:szCs w:val="22"/>
                <w:vertAlign w:val="superscript"/>
                <w:lang w:val="da-DK"/>
              </w:rPr>
              <w:t>e</w:t>
            </w:r>
            <w:r w:rsidRPr="00FE666C">
              <w:rPr>
                <w:iCs/>
                <w:sz w:val="22"/>
                <w:szCs w:val="22"/>
                <w:lang w:val="da-DK"/>
              </w:rPr>
              <w:t xml:space="preserve"> (inkl. synkope, vasovagal synkope, tab af bevidsthed), dyskinesi</w:t>
            </w:r>
            <w:r w:rsidRPr="00FE666C">
              <w:rPr>
                <w:iCs/>
                <w:sz w:val="22"/>
                <w:szCs w:val="22"/>
                <w:vertAlign w:val="superscript"/>
                <w:lang w:val="da-DK"/>
              </w:rPr>
              <w:t>e</w:t>
            </w:r>
            <w:r w:rsidRPr="00FE666C">
              <w:rPr>
                <w:iCs/>
                <w:sz w:val="22"/>
                <w:szCs w:val="22"/>
                <w:lang w:val="da-DK"/>
              </w:rPr>
              <w:t>, postural svimmelhed</w:t>
            </w:r>
            <w:r w:rsidRPr="00FE666C">
              <w:rPr>
                <w:iCs/>
                <w:sz w:val="22"/>
                <w:szCs w:val="22"/>
                <w:vertAlign w:val="superscript"/>
                <w:lang w:val="da-DK"/>
              </w:rPr>
              <w:t>e</w:t>
            </w:r>
            <w:r w:rsidRPr="00FE666C">
              <w:rPr>
                <w:iCs/>
                <w:sz w:val="22"/>
                <w:szCs w:val="22"/>
                <w:lang w:val="da-DK"/>
              </w:rPr>
              <w:t>, letargi</w:t>
            </w:r>
            <w:r w:rsidRPr="00FE666C">
              <w:rPr>
                <w:iCs/>
                <w:sz w:val="22"/>
                <w:szCs w:val="22"/>
                <w:vertAlign w:val="superscript"/>
                <w:lang w:val="da-DK"/>
              </w:rPr>
              <w:t>e</w:t>
            </w:r>
            <w:r w:rsidRPr="00FE666C">
              <w:rPr>
                <w:iCs/>
                <w:sz w:val="22"/>
                <w:szCs w:val="22"/>
                <w:lang w:val="da-DK"/>
              </w:rPr>
              <w:t>, krampe</w:t>
            </w:r>
            <w:r w:rsidRPr="00FE666C">
              <w:rPr>
                <w:iCs/>
                <w:sz w:val="22"/>
                <w:szCs w:val="22"/>
                <w:vertAlign w:val="superscript"/>
                <w:lang w:val="da-DK"/>
              </w:rPr>
              <w:t>e</w:t>
            </w:r>
          </w:p>
        </w:tc>
      </w:tr>
      <w:tr w:rsidR="00406383" w:rsidRPr="00FE666C" w:rsidTr="00406383">
        <w:tc>
          <w:tcPr>
            <w:tcW w:w="803" w:type="pct"/>
            <w:tcBorders>
              <w:top w:val="single" w:sz="4" w:space="0" w:color="auto"/>
              <w:left w:val="single" w:sz="4" w:space="0" w:color="auto"/>
              <w:bottom w:val="single" w:sz="4" w:space="0" w:color="auto"/>
              <w:right w:val="single" w:sz="4" w:space="0" w:color="auto"/>
            </w:tcBorders>
            <w:hideMark/>
          </w:tcPr>
          <w:p w:rsidR="00406383" w:rsidRPr="00FE666C" w:rsidRDefault="00406383">
            <w:pPr>
              <w:rPr>
                <w:b/>
                <w:iCs/>
                <w:sz w:val="22"/>
                <w:szCs w:val="22"/>
              </w:rPr>
            </w:pPr>
            <w:r w:rsidRPr="00FE666C">
              <w:rPr>
                <w:b/>
                <w:iCs/>
                <w:sz w:val="22"/>
                <w:szCs w:val="22"/>
              </w:rPr>
              <w:t>Øjne</w:t>
            </w:r>
          </w:p>
        </w:tc>
        <w:tc>
          <w:tcPr>
            <w:tcW w:w="800"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rPr>
            </w:pPr>
          </w:p>
        </w:tc>
        <w:tc>
          <w:tcPr>
            <w:tcW w:w="1367"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rPr>
            </w:pPr>
          </w:p>
        </w:tc>
        <w:tc>
          <w:tcPr>
            <w:tcW w:w="620"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rPr>
            </w:pPr>
          </w:p>
        </w:tc>
        <w:tc>
          <w:tcPr>
            <w:tcW w:w="617"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rPr>
            </w:pPr>
          </w:p>
        </w:tc>
        <w:tc>
          <w:tcPr>
            <w:tcW w:w="792" w:type="pct"/>
            <w:tcBorders>
              <w:top w:val="single" w:sz="4" w:space="0" w:color="auto"/>
              <w:left w:val="single" w:sz="4" w:space="0" w:color="auto"/>
              <w:bottom w:val="single" w:sz="4" w:space="0" w:color="auto"/>
              <w:right w:val="single" w:sz="4" w:space="0" w:color="auto"/>
            </w:tcBorders>
            <w:hideMark/>
          </w:tcPr>
          <w:p w:rsidR="00406383" w:rsidRPr="00FE666C" w:rsidRDefault="00406383">
            <w:pPr>
              <w:rPr>
                <w:iCs/>
                <w:sz w:val="22"/>
                <w:szCs w:val="22"/>
                <w:lang w:val="da-DK"/>
              </w:rPr>
            </w:pPr>
            <w:r w:rsidRPr="00FE666C">
              <w:rPr>
                <w:iCs/>
                <w:sz w:val="22"/>
                <w:szCs w:val="22"/>
                <w:lang w:val="da-DK"/>
              </w:rPr>
              <w:t>Sløret syn</w:t>
            </w:r>
            <w:r w:rsidRPr="00FE666C">
              <w:rPr>
                <w:iCs/>
                <w:sz w:val="22"/>
                <w:szCs w:val="22"/>
                <w:vertAlign w:val="superscript"/>
                <w:lang w:val="da-DK"/>
              </w:rPr>
              <w:t>e</w:t>
            </w:r>
            <w:r w:rsidRPr="00FE666C">
              <w:rPr>
                <w:iCs/>
                <w:sz w:val="22"/>
                <w:szCs w:val="22"/>
                <w:lang w:val="da-DK"/>
              </w:rPr>
              <w:t>, nedsat syn</w:t>
            </w:r>
            <w:r w:rsidRPr="00FE666C">
              <w:rPr>
                <w:iCs/>
                <w:sz w:val="22"/>
                <w:szCs w:val="22"/>
                <w:vertAlign w:val="superscript"/>
                <w:lang w:val="da-DK"/>
              </w:rPr>
              <w:t>e</w:t>
            </w:r>
            <w:r w:rsidRPr="00FE666C">
              <w:rPr>
                <w:iCs/>
                <w:sz w:val="22"/>
                <w:szCs w:val="22"/>
                <w:lang w:val="da-DK"/>
              </w:rPr>
              <w:t>, fotopsi</w:t>
            </w:r>
            <w:r w:rsidRPr="00FE666C">
              <w:rPr>
                <w:iCs/>
                <w:sz w:val="22"/>
                <w:szCs w:val="22"/>
                <w:vertAlign w:val="superscript"/>
                <w:lang w:val="da-DK"/>
              </w:rPr>
              <w:t>e</w:t>
            </w:r>
          </w:p>
        </w:tc>
      </w:tr>
      <w:tr w:rsidR="00406383" w:rsidRPr="00FE666C" w:rsidTr="00406383">
        <w:tc>
          <w:tcPr>
            <w:tcW w:w="803" w:type="pct"/>
            <w:tcBorders>
              <w:top w:val="single" w:sz="4" w:space="0" w:color="auto"/>
              <w:left w:val="single" w:sz="4" w:space="0" w:color="auto"/>
              <w:bottom w:val="single" w:sz="4" w:space="0" w:color="auto"/>
              <w:right w:val="single" w:sz="4" w:space="0" w:color="auto"/>
            </w:tcBorders>
            <w:hideMark/>
          </w:tcPr>
          <w:p w:rsidR="00406383" w:rsidRPr="00FE666C" w:rsidRDefault="00406383">
            <w:pPr>
              <w:rPr>
                <w:b/>
                <w:iCs/>
                <w:sz w:val="22"/>
                <w:szCs w:val="22"/>
              </w:rPr>
            </w:pPr>
            <w:r w:rsidRPr="00FE666C">
              <w:rPr>
                <w:b/>
                <w:iCs/>
                <w:sz w:val="22"/>
                <w:szCs w:val="22"/>
              </w:rPr>
              <w:t>Øre og labyrint</w:t>
            </w:r>
          </w:p>
        </w:tc>
        <w:tc>
          <w:tcPr>
            <w:tcW w:w="800"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rPr>
            </w:pPr>
          </w:p>
        </w:tc>
        <w:tc>
          <w:tcPr>
            <w:tcW w:w="1367"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rPr>
            </w:pPr>
          </w:p>
        </w:tc>
        <w:tc>
          <w:tcPr>
            <w:tcW w:w="620"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rPr>
            </w:pPr>
          </w:p>
        </w:tc>
        <w:tc>
          <w:tcPr>
            <w:tcW w:w="617"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rPr>
            </w:pPr>
          </w:p>
        </w:tc>
        <w:tc>
          <w:tcPr>
            <w:tcW w:w="792" w:type="pct"/>
            <w:tcBorders>
              <w:top w:val="single" w:sz="4" w:space="0" w:color="auto"/>
              <w:left w:val="single" w:sz="4" w:space="0" w:color="auto"/>
              <w:bottom w:val="single" w:sz="4" w:space="0" w:color="auto"/>
              <w:right w:val="single" w:sz="4" w:space="0" w:color="auto"/>
            </w:tcBorders>
            <w:hideMark/>
          </w:tcPr>
          <w:p w:rsidR="00406383" w:rsidRPr="00FE666C" w:rsidRDefault="00406383">
            <w:pPr>
              <w:rPr>
                <w:iCs/>
                <w:sz w:val="22"/>
                <w:szCs w:val="22"/>
              </w:rPr>
            </w:pPr>
            <w:r w:rsidRPr="00FE666C">
              <w:rPr>
                <w:iCs/>
                <w:sz w:val="22"/>
                <w:szCs w:val="22"/>
              </w:rPr>
              <w:t>Vertigo</w:t>
            </w:r>
            <w:r w:rsidRPr="00FE666C">
              <w:rPr>
                <w:iCs/>
                <w:sz w:val="22"/>
                <w:szCs w:val="22"/>
                <w:vertAlign w:val="superscript"/>
              </w:rPr>
              <w:t>e</w:t>
            </w:r>
          </w:p>
        </w:tc>
      </w:tr>
      <w:tr w:rsidR="00406383" w:rsidRPr="00FE666C" w:rsidTr="00406383">
        <w:tc>
          <w:tcPr>
            <w:tcW w:w="803" w:type="pct"/>
            <w:tcBorders>
              <w:top w:val="single" w:sz="4" w:space="0" w:color="auto"/>
              <w:left w:val="single" w:sz="4" w:space="0" w:color="auto"/>
              <w:bottom w:val="single" w:sz="4" w:space="0" w:color="auto"/>
              <w:right w:val="single" w:sz="4" w:space="0" w:color="auto"/>
            </w:tcBorders>
            <w:hideMark/>
          </w:tcPr>
          <w:p w:rsidR="00406383" w:rsidRPr="00FE666C" w:rsidRDefault="00406383">
            <w:pPr>
              <w:rPr>
                <w:b/>
                <w:iCs/>
                <w:sz w:val="22"/>
                <w:szCs w:val="22"/>
              </w:rPr>
            </w:pPr>
            <w:r w:rsidRPr="00FE666C">
              <w:rPr>
                <w:b/>
                <w:iCs/>
                <w:sz w:val="22"/>
                <w:szCs w:val="22"/>
              </w:rPr>
              <w:t>Hjerte</w:t>
            </w:r>
          </w:p>
        </w:tc>
        <w:tc>
          <w:tcPr>
            <w:tcW w:w="800"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rPr>
            </w:pPr>
          </w:p>
        </w:tc>
        <w:tc>
          <w:tcPr>
            <w:tcW w:w="1367"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rPr>
            </w:pPr>
          </w:p>
        </w:tc>
        <w:tc>
          <w:tcPr>
            <w:tcW w:w="620"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rPr>
            </w:pPr>
          </w:p>
        </w:tc>
        <w:tc>
          <w:tcPr>
            <w:tcW w:w="617"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rPr>
            </w:pPr>
          </w:p>
        </w:tc>
        <w:tc>
          <w:tcPr>
            <w:tcW w:w="792" w:type="pct"/>
            <w:tcBorders>
              <w:top w:val="single" w:sz="4" w:space="0" w:color="auto"/>
              <w:left w:val="single" w:sz="4" w:space="0" w:color="auto"/>
              <w:bottom w:val="single" w:sz="4" w:space="0" w:color="auto"/>
              <w:right w:val="single" w:sz="4" w:space="0" w:color="auto"/>
            </w:tcBorders>
            <w:hideMark/>
          </w:tcPr>
          <w:p w:rsidR="00406383" w:rsidRPr="00FE666C" w:rsidRDefault="00406383">
            <w:pPr>
              <w:rPr>
                <w:iCs/>
                <w:sz w:val="22"/>
                <w:szCs w:val="22"/>
              </w:rPr>
            </w:pPr>
            <w:r w:rsidRPr="00FE666C">
              <w:rPr>
                <w:iCs/>
                <w:sz w:val="22"/>
                <w:szCs w:val="22"/>
              </w:rPr>
              <w:t>Palpitationer</w:t>
            </w:r>
            <w:r w:rsidRPr="00FE666C">
              <w:rPr>
                <w:iCs/>
                <w:sz w:val="22"/>
                <w:szCs w:val="22"/>
                <w:vertAlign w:val="superscript"/>
              </w:rPr>
              <w:t>e</w:t>
            </w:r>
            <w:r w:rsidRPr="00FE666C">
              <w:rPr>
                <w:iCs/>
                <w:sz w:val="22"/>
                <w:szCs w:val="22"/>
              </w:rPr>
              <w:t>, atriefibrillation</w:t>
            </w:r>
            <w:r w:rsidRPr="00FE666C">
              <w:rPr>
                <w:iCs/>
                <w:sz w:val="22"/>
                <w:szCs w:val="22"/>
                <w:vertAlign w:val="superscript"/>
              </w:rPr>
              <w:t xml:space="preserve">e, </w:t>
            </w:r>
            <w:r w:rsidRPr="00FE666C">
              <w:rPr>
                <w:iCs/>
                <w:sz w:val="22"/>
                <w:szCs w:val="22"/>
              </w:rPr>
              <w:lastRenderedPageBreak/>
              <w:t>supra</w:t>
            </w:r>
            <w:r w:rsidRPr="00FE666C">
              <w:rPr>
                <w:iCs/>
                <w:sz w:val="22"/>
                <w:szCs w:val="22"/>
              </w:rPr>
              <w:softHyphen/>
              <w:t>ventrikulær takykardi</w:t>
            </w:r>
            <w:r w:rsidRPr="00FE666C">
              <w:rPr>
                <w:iCs/>
                <w:sz w:val="22"/>
                <w:szCs w:val="22"/>
                <w:vertAlign w:val="superscript"/>
              </w:rPr>
              <w:t>e</w:t>
            </w:r>
          </w:p>
        </w:tc>
      </w:tr>
      <w:tr w:rsidR="00406383" w:rsidRPr="00FE666C" w:rsidTr="00406383">
        <w:tc>
          <w:tcPr>
            <w:tcW w:w="803" w:type="pct"/>
            <w:tcBorders>
              <w:top w:val="single" w:sz="4" w:space="0" w:color="auto"/>
              <w:left w:val="single" w:sz="4" w:space="0" w:color="auto"/>
              <w:bottom w:val="single" w:sz="4" w:space="0" w:color="auto"/>
              <w:right w:val="single" w:sz="4" w:space="0" w:color="auto"/>
            </w:tcBorders>
            <w:hideMark/>
          </w:tcPr>
          <w:p w:rsidR="00406383" w:rsidRPr="00FE666C" w:rsidRDefault="00406383">
            <w:pPr>
              <w:rPr>
                <w:b/>
                <w:iCs/>
                <w:sz w:val="22"/>
                <w:szCs w:val="22"/>
              </w:rPr>
            </w:pPr>
            <w:r w:rsidRPr="00FE666C">
              <w:rPr>
                <w:b/>
                <w:iCs/>
                <w:sz w:val="22"/>
                <w:szCs w:val="22"/>
              </w:rPr>
              <w:lastRenderedPageBreak/>
              <w:t>Vaskulære sygdomme</w:t>
            </w:r>
          </w:p>
        </w:tc>
        <w:tc>
          <w:tcPr>
            <w:tcW w:w="800"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rPr>
            </w:pPr>
          </w:p>
        </w:tc>
        <w:tc>
          <w:tcPr>
            <w:tcW w:w="1367" w:type="pct"/>
            <w:tcBorders>
              <w:top w:val="single" w:sz="4" w:space="0" w:color="auto"/>
              <w:left w:val="single" w:sz="4" w:space="0" w:color="auto"/>
              <w:bottom w:val="single" w:sz="4" w:space="0" w:color="auto"/>
              <w:right w:val="single" w:sz="4" w:space="0" w:color="auto"/>
            </w:tcBorders>
            <w:hideMark/>
          </w:tcPr>
          <w:p w:rsidR="00406383" w:rsidRPr="00FE666C" w:rsidRDefault="00406383">
            <w:pPr>
              <w:rPr>
                <w:iCs/>
                <w:sz w:val="22"/>
                <w:szCs w:val="22"/>
              </w:rPr>
            </w:pPr>
            <w:r w:rsidRPr="00FE666C">
              <w:rPr>
                <w:iCs/>
                <w:sz w:val="22"/>
                <w:szCs w:val="22"/>
              </w:rPr>
              <w:t>Hypertension</w:t>
            </w:r>
          </w:p>
        </w:tc>
        <w:tc>
          <w:tcPr>
            <w:tcW w:w="620" w:type="pct"/>
            <w:tcBorders>
              <w:top w:val="single" w:sz="4" w:space="0" w:color="auto"/>
              <w:left w:val="single" w:sz="4" w:space="0" w:color="auto"/>
              <w:bottom w:val="single" w:sz="4" w:space="0" w:color="auto"/>
              <w:right w:val="single" w:sz="4" w:space="0" w:color="auto"/>
            </w:tcBorders>
            <w:hideMark/>
          </w:tcPr>
          <w:p w:rsidR="00406383" w:rsidRPr="00FE666C" w:rsidRDefault="00406383">
            <w:pPr>
              <w:rPr>
                <w:iCs/>
                <w:sz w:val="22"/>
                <w:szCs w:val="22"/>
              </w:rPr>
            </w:pPr>
            <w:r w:rsidRPr="00FE666C">
              <w:rPr>
                <w:iCs/>
                <w:sz w:val="22"/>
                <w:szCs w:val="22"/>
              </w:rPr>
              <w:t>Ortostatisk hypotension</w:t>
            </w:r>
          </w:p>
        </w:tc>
        <w:tc>
          <w:tcPr>
            <w:tcW w:w="617"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rPr>
            </w:pPr>
          </w:p>
        </w:tc>
        <w:tc>
          <w:tcPr>
            <w:tcW w:w="792" w:type="pct"/>
            <w:tcBorders>
              <w:top w:val="single" w:sz="4" w:space="0" w:color="auto"/>
              <w:left w:val="single" w:sz="4" w:space="0" w:color="auto"/>
              <w:bottom w:val="single" w:sz="4" w:space="0" w:color="auto"/>
              <w:right w:val="single" w:sz="4" w:space="0" w:color="auto"/>
            </w:tcBorders>
            <w:hideMark/>
          </w:tcPr>
          <w:p w:rsidR="00406383" w:rsidRPr="00FE666C" w:rsidRDefault="00406383">
            <w:pPr>
              <w:rPr>
                <w:iCs/>
                <w:sz w:val="22"/>
                <w:szCs w:val="22"/>
              </w:rPr>
            </w:pPr>
            <w:r w:rsidRPr="00FE666C">
              <w:rPr>
                <w:iCs/>
                <w:sz w:val="22"/>
                <w:szCs w:val="22"/>
              </w:rPr>
              <w:t>Hypotension</w:t>
            </w:r>
            <w:r w:rsidRPr="00FE666C">
              <w:rPr>
                <w:iCs/>
                <w:sz w:val="22"/>
                <w:szCs w:val="22"/>
                <w:vertAlign w:val="superscript"/>
              </w:rPr>
              <w:t>e</w:t>
            </w:r>
          </w:p>
        </w:tc>
      </w:tr>
      <w:tr w:rsidR="00406383" w:rsidRPr="00FE666C" w:rsidTr="00406383">
        <w:tc>
          <w:tcPr>
            <w:tcW w:w="803" w:type="pct"/>
            <w:tcBorders>
              <w:top w:val="single" w:sz="4" w:space="0" w:color="auto"/>
              <w:left w:val="single" w:sz="4" w:space="0" w:color="auto"/>
              <w:bottom w:val="single" w:sz="4" w:space="0" w:color="auto"/>
              <w:right w:val="single" w:sz="4" w:space="0" w:color="auto"/>
            </w:tcBorders>
            <w:hideMark/>
          </w:tcPr>
          <w:p w:rsidR="00406383" w:rsidRPr="00FE666C" w:rsidRDefault="00406383">
            <w:pPr>
              <w:rPr>
                <w:b/>
                <w:iCs/>
                <w:sz w:val="22"/>
                <w:szCs w:val="22"/>
              </w:rPr>
            </w:pPr>
            <w:r w:rsidRPr="00FE666C">
              <w:rPr>
                <w:b/>
                <w:iCs/>
                <w:sz w:val="22"/>
                <w:szCs w:val="22"/>
              </w:rPr>
              <w:t>Luftveje, thorax og mediastinum</w:t>
            </w:r>
          </w:p>
        </w:tc>
        <w:tc>
          <w:tcPr>
            <w:tcW w:w="800"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rPr>
            </w:pPr>
          </w:p>
        </w:tc>
        <w:tc>
          <w:tcPr>
            <w:tcW w:w="1367"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rPr>
            </w:pPr>
          </w:p>
        </w:tc>
        <w:tc>
          <w:tcPr>
            <w:tcW w:w="620"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rPr>
            </w:pPr>
          </w:p>
        </w:tc>
        <w:tc>
          <w:tcPr>
            <w:tcW w:w="617"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rPr>
            </w:pPr>
          </w:p>
        </w:tc>
        <w:tc>
          <w:tcPr>
            <w:tcW w:w="792" w:type="pct"/>
            <w:tcBorders>
              <w:top w:val="single" w:sz="4" w:space="0" w:color="auto"/>
              <w:left w:val="single" w:sz="4" w:space="0" w:color="auto"/>
              <w:bottom w:val="single" w:sz="4" w:space="0" w:color="auto"/>
              <w:right w:val="single" w:sz="4" w:space="0" w:color="auto"/>
            </w:tcBorders>
            <w:hideMark/>
          </w:tcPr>
          <w:p w:rsidR="00406383" w:rsidRPr="00FE666C" w:rsidRDefault="00406383">
            <w:pPr>
              <w:rPr>
                <w:iCs/>
                <w:sz w:val="22"/>
                <w:szCs w:val="22"/>
              </w:rPr>
            </w:pPr>
            <w:r w:rsidRPr="00FE666C">
              <w:rPr>
                <w:iCs/>
                <w:sz w:val="22"/>
                <w:szCs w:val="22"/>
              </w:rPr>
              <w:t>Hikke</w:t>
            </w:r>
            <w:r w:rsidRPr="00FE666C">
              <w:rPr>
                <w:iCs/>
                <w:sz w:val="22"/>
                <w:szCs w:val="22"/>
                <w:vertAlign w:val="superscript"/>
              </w:rPr>
              <w:t>e</w:t>
            </w:r>
          </w:p>
        </w:tc>
      </w:tr>
      <w:tr w:rsidR="00406383" w:rsidRPr="00FE666C" w:rsidTr="00406383">
        <w:tc>
          <w:tcPr>
            <w:tcW w:w="803" w:type="pct"/>
            <w:tcBorders>
              <w:top w:val="single" w:sz="4" w:space="0" w:color="auto"/>
              <w:left w:val="single" w:sz="4" w:space="0" w:color="auto"/>
              <w:bottom w:val="single" w:sz="4" w:space="0" w:color="auto"/>
              <w:right w:val="single" w:sz="4" w:space="0" w:color="auto"/>
            </w:tcBorders>
            <w:hideMark/>
          </w:tcPr>
          <w:p w:rsidR="00406383" w:rsidRPr="00FE666C" w:rsidRDefault="00406383">
            <w:pPr>
              <w:rPr>
                <w:b/>
                <w:iCs/>
                <w:sz w:val="22"/>
                <w:szCs w:val="22"/>
              </w:rPr>
            </w:pPr>
            <w:r w:rsidRPr="00FE666C">
              <w:rPr>
                <w:b/>
                <w:iCs/>
                <w:sz w:val="22"/>
                <w:szCs w:val="22"/>
              </w:rPr>
              <w:t>Mave-tarm-kanalen</w:t>
            </w:r>
          </w:p>
        </w:tc>
        <w:tc>
          <w:tcPr>
            <w:tcW w:w="800" w:type="pct"/>
            <w:tcBorders>
              <w:top w:val="single" w:sz="4" w:space="0" w:color="auto"/>
              <w:left w:val="single" w:sz="4" w:space="0" w:color="auto"/>
              <w:bottom w:val="single" w:sz="4" w:space="0" w:color="auto"/>
              <w:right w:val="single" w:sz="4" w:space="0" w:color="auto"/>
            </w:tcBorders>
            <w:hideMark/>
          </w:tcPr>
          <w:p w:rsidR="00406383" w:rsidRPr="00FE666C" w:rsidRDefault="00406383">
            <w:pPr>
              <w:rPr>
                <w:iCs/>
                <w:sz w:val="22"/>
                <w:szCs w:val="22"/>
              </w:rPr>
            </w:pPr>
            <w:r w:rsidRPr="00FE666C">
              <w:rPr>
                <w:iCs/>
                <w:sz w:val="22"/>
                <w:szCs w:val="22"/>
              </w:rPr>
              <w:t>Kvalme</w:t>
            </w:r>
          </w:p>
        </w:tc>
        <w:tc>
          <w:tcPr>
            <w:tcW w:w="1367" w:type="pct"/>
            <w:tcBorders>
              <w:top w:val="single" w:sz="4" w:space="0" w:color="auto"/>
              <w:left w:val="single" w:sz="4" w:space="0" w:color="auto"/>
              <w:bottom w:val="single" w:sz="4" w:space="0" w:color="auto"/>
              <w:right w:val="single" w:sz="4" w:space="0" w:color="auto"/>
            </w:tcBorders>
            <w:hideMark/>
          </w:tcPr>
          <w:p w:rsidR="00406383" w:rsidRPr="00FE666C" w:rsidRDefault="00406383">
            <w:pPr>
              <w:rPr>
                <w:iCs/>
                <w:sz w:val="22"/>
                <w:szCs w:val="22"/>
              </w:rPr>
            </w:pPr>
            <w:r w:rsidRPr="00FE666C">
              <w:rPr>
                <w:iCs/>
                <w:sz w:val="22"/>
                <w:szCs w:val="22"/>
              </w:rPr>
              <w:t>Opkastning, dyspepsi</w:t>
            </w:r>
          </w:p>
        </w:tc>
        <w:tc>
          <w:tcPr>
            <w:tcW w:w="620"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rPr>
            </w:pPr>
          </w:p>
        </w:tc>
        <w:tc>
          <w:tcPr>
            <w:tcW w:w="617"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rPr>
            </w:pPr>
          </w:p>
        </w:tc>
        <w:tc>
          <w:tcPr>
            <w:tcW w:w="792" w:type="pct"/>
            <w:tcBorders>
              <w:top w:val="single" w:sz="4" w:space="0" w:color="auto"/>
              <w:left w:val="single" w:sz="4" w:space="0" w:color="auto"/>
              <w:bottom w:val="single" w:sz="4" w:space="0" w:color="auto"/>
              <w:right w:val="single" w:sz="4" w:space="0" w:color="auto"/>
            </w:tcBorders>
            <w:hideMark/>
          </w:tcPr>
          <w:p w:rsidR="00406383" w:rsidRPr="00FE666C" w:rsidRDefault="00406383">
            <w:pPr>
              <w:rPr>
                <w:iCs/>
                <w:sz w:val="22"/>
                <w:szCs w:val="22"/>
              </w:rPr>
            </w:pPr>
            <w:r w:rsidRPr="00FE666C">
              <w:rPr>
                <w:iCs/>
                <w:sz w:val="22"/>
                <w:szCs w:val="22"/>
              </w:rPr>
              <w:t>Forstoppelse</w:t>
            </w:r>
            <w:r w:rsidRPr="00FE666C">
              <w:rPr>
                <w:iCs/>
                <w:sz w:val="22"/>
                <w:szCs w:val="22"/>
                <w:vertAlign w:val="superscript"/>
              </w:rPr>
              <w:t>e</w:t>
            </w:r>
            <w:r w:rsidRPr="00FE666C">
              <w:rPr>
                <w:iCs/>
                <w:sz w:val="22"/>
                <w:szCs w:val="22"/>
              </w:rPr>
              <w:t>, mundtørhed</w:t>
            </w:r>
            <w:r w:rsidRPr="00FE666C">
              <w:rPr>
                <w:iCs/>
                <w:sz w:val="22"/>
                <w:szCs w:val="22"/>
                <w:vertAlign w:val="superscript"/>
              </w:rPr>
              <w:t>e</w:t>
            </w:r>
            <w:r w:rsidRPr="00FE666C">
              <w:rPr>
                <w:iCs/>
                <w:sz w:val="22"/>
                <w:szCs w:val="22"/>
              </w:rPr>
              <w:t>, abdominal</w:t>
            </w:r>
            <w:r w:rsidRPr="00FE666C">
              <w:rPr>
                <w:iCs/>
                <w:sz w:val="22"/>
                <w:szCs w:val="22"/>
              </w:rPr>
              <w:softHyphen/>
              <w:t>smerter</w:t>
            </w:r>
            <w:r w:rsidRPr="00FE666C">
              <w:rPr>
                <w:iCs/>
                <w:sz w:val="22"/>
                <w:szCs w:val="22"/>
                <w:vertAlign w:val="superscript"/>
              </w:rPr>
              <w:t>e</w:t>
            </w:r>
            <w:r w:rsidRPr="00FE666C">
              <w:rPr>
                <w:iCs/>
                <w:sz w:val="22"/>
                <w:szCs w:val="22"/>
              </w:rPr>
              <w:t>, diarré</w:t>
            </w:r>
            <w:r w:rsidRPr="00FE666C">
              <w:rPr>
                <w:iCs/>
                <w:sz w:val="22"/>
                <w:szCs w:val="22"/>
                <w:vertAlign w:val="superscript"/>
              </w:rPr>
              <w:t>c</w:t>
            </w:r>
          </w:p>
        </w:tc>
      </w:tr>
      <w:tr w:rsidR="00406383" w:rsidRPr="00FE666C" w:rsidTr="00406383">
        <w:tc>
          <w:tcPr>
            <w:tcW w:w="803" w:type="pct"/>
            <w:tcBorders>
              <w:top w:val="single" w:sz="4" w:space="0" w:color="auto"/>
              <w:left w:val="single" w:sz="4" w:space="0" w:color="auto"/>
              <w:bottom w:val="single" w:sz="4" w:space="0" w:color="auto"/>
              <w:right w:val="single" w:sz="4" w:space="0" w:color="auto"/>
            </w:tcBorders>
            <w:hideMark/>
          </w:tcPr>
          <w:p w:rsidR="00406383" w:rsidRPr="00FE666C" w:rsidRDefault="00406383">
            <w:pPr>
              <w:rPr>
                <w:b/>
                <w:iCs/>
                <w:sz w:val="22"/>
                <w:szCs w:val="22"/>
              </w:rPr>
            </w:pPr>
            <w:r w:rsidRPr="00FE666C">
              <w:rPr>
                <w:b/>
                <w:iCs/>
                <w:sz w:val="22"/>
                <w:szCs w:val="22"/>
              </w:rPr>
              <w:t>Hud og subkutane væv</w:t>
            </w:r>
          </w:p>
        </w:tc>
        <w:tc>
          <w:tcPr>
            <w:tcW w:w="800"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rPr>
            </w:pPr>
          </w:p>
        </w:tc>
        <w:tc>
          <w:tcPr>
            <w:tcW w:w="1367" w:type="pct"/>
            <w:tcBorders>
              <w:top w:val="single" w:sz="4" w:space="0" w:color="auto"/>
              <w:left w:val="single" w:sz="4" w:space="0" w:color="auto"/>
              <w:bottom w:val="single" w:sz="4" w:space="0" w:color="auto"/>
              <w:right w:val="single" w:sz="4" w:space="0" w:color="auto"/>
            </w:tcBorders>
            <w:hideMark/>
          </w:tcPr>
          <w:p w:rsidR="00406383" w:rsidRPr="00FE666C" w:rsidRDefault="00406383">
            <w:pPr>
              <w:rPr>
                <w:iCs/>
                <w:sz w:val="22"/>
                <w:szCs w:val="22"/>
              </w:rPr>
            </w:pPr>
            <w:r w:rsidRPr="00FE666C">
              <w:rPr>
                <w:iCs/>
                <w:sz w:val="22"/>
                <w:szCs w:val="22"/>
              </w:rPr>
              <w:t>Pruritus</w:t>
            </w:r>
          </w:p>
        </w:tc>
        <w:tc>
          <w:tcPr>
            <w:tcW w:w="620"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rPr>
            </w:pPr>
          </w:p>
        </w:tc>
        <w:tc>
          <w:tcPr>
            <w:tcW w:w="617"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rPr>
            </w:pPr>
          </w:p>
        </w:tc>
        <w:tc>
          <w:tcPr>
            <w:tcW w:w="792" w:type="pct"/>
            <w:tcBorders>
              <w:top w:val="single" w:sz="4" w:space="0" w:color="auto"/>
              <w:left w:val="single" w:sz="4" w:space="0" w:color="auto"/>
              <w:bottom w:val="single" w:sz="4" w:space="0" w:color="auto"/>
              <w:right w:val="single" w:sz="4" w:space="0" w:color="auto"/>
            </w:tcBorders>
            <w:hideMark/>
          </w:tcPr>
          <w:p w:rsidR="00406383" w:rsidRPr="00FE666C" w:rsidRDefault="00406383">
            <w:pPr>
              <w:rPr>
                <w:iCs/>
                <w:sz w:val="22"/>
                <w:szCs w:val="22"/>
                <w:lang w:val="da-DK"/>
              </w:rPr>
            </w:pPr>
            <w:r w:rsidRPr="00FE666C">
              <w:rPr>
                <w:iCs/>
                <w:sz w:val="22"/>
                <w:szCs w:val="22"/>
                <w:lang w:val="da-DK"/>
              </w:rPr>
              <w:t>Erythem</w:t>
            </w:r>
            <w:r w:rsidRPr="00FE666C">
              <w:rPr>
                <w:iCs/>
                <w:sz w:val="22"/>
                <w:szCs w:val="22"/>
                <w:vertAlign w:val="superscript"/>
                <w:lang w:val="da-DK"/>
              </w:rPr>
              <w:t>e</w:t>
            </w:r>
            <w:r w:rsidRPr="00FE666C">
              <w:rPr>
                <w:iCs/>
                <w:sz w:val="22"/>
                <w:szCs w:val="22"/>
                <w:lang w:val="da-DK"/>
              </w:rPr>
              <w:t>, hyperhidrose</w:t>
            </w:r>
            <w:r w:rsidRPr="00FE666C">
              <w:rPr>
                <w:iCs/>
                <w:sz w:val="22"/>
                <w:szCs w:val="22"/>
                <w:vertAlign w:val="superscript"/>
                <w:lang w:val="da-DK"/>
              </w:rPr>
              <w:t>e</w:t>
            </w:r>
            <w:r w:rsidRPr="00FE666C">
              <w:rPr>
                <w:iCs/>
                <w:sz w:val="22"/>
                <w:szCs w:val="22"/>
                <w:lang w:val="da-DK"/>
              </w:rPr>
              <w:t>, generaliseret pruritus</w:t>
            </w:r>
            <w:r w:rsidRPr="00FE666C">
              <w:rPr>
                <w:iCs/>
                <w:sz w:val="22"/>
                <w:szCs w:val="22"/>
                <w:vertAlign w:val="superscript"/>
                <w:lang w:val="da-DK"/>
              </w:rPr>
              <w:t>e</w:t>
            </w:r>
            <w:r w:rsidRPr="00FE666C">
              <w:rPr>
                <w:iCs/>
                <w:sz w:val="22"/>
                <w:szCs w:val="22"/>
                <w:lang w:val="da-DK"/>
              </w:rPr>
              <w:t>, hudirritation</w:t>
            </w:r>
            <w:r w:rsidRPr="00FE666C">
              <w:rPr>
                <w:iCs/>
                <w:sz w:val="22"/>
                <w:szCs w:val="22"/>
                <w:vertAlign w:val="superscript"/>
                <w:lang w:val="da-DK"/>
              </w:rPr>
              <w:t>e</w:t>
            </w:r>
            <w:r w:rsidRPr="00FE666C">
              <w:rPr>
                <w:iCs/>
                <w:sz w:val="22"/>
                <w:szCs w:val="22"/>
                <w:lang w:val="da-DK"/>
              </w:rPr>
              <w:t>, kontakt</w:t>
            </w:r>
            <w:r w:rsidRPr="00FE666C">
              <w:rPr>
                <w:iCs/>
                <w:sz w:val="22"/>
                <w:szCs w:val="22"/>
                <w:lang w:val="da-DK"/>
              </w:rPr>
              <w:softHyphen/>
              <w:t>dermatitis</w:t>
            </w:r>
            <w:r w:rsidRPr="00FE666C">
              <w:rPr>
                <w:iCs/>
                <w:sz w:val="22"/>
                <w:szCs w:val="22"/>
                <w:vertAlign w:val="superscript"/>
                <w:lang w:val="da-DK"/>
              </w:rPr>
              <w:t>e</w:t>
            </w:r>
            <w:r w:rsidRPr="00FE666C">
              <w:rPr>
                <w:iCs/>
                <w:sz w:val="22"/>
                <w:szCs w:val="22"/>
                <w:lang w:val="da-DK"/>
              </w:rPr>
              <w:t>, generaliseret udslæt</w:t>
            </w:r>
            <w:r w:rsidRPr="00FE666C">
              <w:rPr>
                <w:iCs/>
                <w:sz w:val="22"/>
                <w:szCs w:val="22"/>
                <w:vertAlign w:val="superscript"/>
                <w:lang w:val="da-DK"/>
              </w:rPr>
              <w:t>e</w:t>
            </w:r>
          </w:p>
        </w:tc>
      </w:tr>
      <w:tr w:rsidR="00406383" w:rsidRPr="00FE666C" w:rsidTr="00406383">
        <w:tc>
          <w:tcPr>
            <w:tcW w:w="803" w:type="pct"/>
            <w:tcBorders>
              <w:top w:val="single" w:sz="4" w:space="0" w:color="auto"/>
              <w:left w:val="single" w:sz="4" w:space="0" w:color="auto"/>
              <w:bottom w:val="single" w:sz="4" w:space="0" w:color="auto"/>
              <w:right w:val="single" w:sz="4" w:space="0" w:color="auto"/>
            </w:tcBorders>
            <w:hideMark/>
          </w:tcPr>
          <w:p w:rsidR="00406383" w:rsidRPr="00FE666C" w:rsidRDefault="00406383">
            <w:pPr>
              <w:rPr>
                <w:b/>
                <w:iCs/>
                <w:sz w:val="22"/>
                <w:szCs w:val="22"/>
                <w:lang w:val="da-DK"/>
              </w:rPr>
            </w:pPr>
            <w:r w:rsidRPr="00FE666C">
              <w:rPr>
                <w:b/>
                <w:iCs/>
                <w:sz w:val="22"/>
                <w:szCs w:val="22"/>
                <w:lang w:val="da-DK"/>
              </w:rPr>
              <w:t>Det reproduktive system og mammae</w:t>
            </w:r>
          </w:p>
        </w:tc>
        <w:tc>
          <w:tcPr>
            <w:tcW w:w="800"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lang w:val="da-DK"/>
              </w:rPr>
            </w:pPr>
          </w:p>
        </w:tc>
        <w:tc>
          <w:tcPr>
            <w:tcW w:w="1367"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lang w:val="da-DK"/>
              </w:rPr>
            </w:pPr>
          </w:p>
        </w:tc>
        <w:tc>
          <w:tcPr>
            <w:tcW w:w="620"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lang w:val="da-DK"/>
              </w:rPr>
            </w:pPr>
          </w:p>
        </w:tc>
        <w:tc>
          <w:tcPr>
            <w:tcW w:w="617"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lang w:val="da-DK"/>
              </w:rPr>
            </w:pPr>
          </w:p>
        </w:tc>
        <w:tc>
          <w:tcPr>
            <w:tcW w:w="792" w:type="pct"/>
            <w:tcBorders>
              <w:top w:val="single" w:sz="4" w:space="0" w:color="auto"/>
              <w:left w:val="single" w:sz="4" w:space="0" w:color="auto"/>
              <w:bottom w:val="single" w:sz="4" w:space="0" w:color="auto"/>
              <w:right w:val="single" w:sz="4" w:space="0" w:color="auto"/>
            </w:tcBorders>
            <w:hideMark/>
          </w:tcPr>
          <w:p w:rsidR="00406383" w:rsidRPr="00FE666C" w:rsidRDefault="00406383">
            <w:pPr>
              <w:rPr>
                <w:iCs/>
                <w:sz w:val="22"/>
                <w:szCs w:val="22"/>
              </w:rPr>
            </w:pPr>
            <w:r w:rsidRPr="00FE666C">
              <w:rPr>
                <w:iCs/>
                <w:sz w:val="22"/>
                <w:szCs w:val="22"/>
              </w:rPr>
              <w:t>Erektil dysfunktion</w:t>
            </w:r>
            <w:r w:rsidRPr="00FE666C">
              <w:rPr>
                <w:iCs/>
                <w:sz w:val="22"/>
                <w:szCs w:val="22"/>
                <w:vertAlign w:val="superscript"/>
              </w:rPr>
              <w:t>e</w:t>
            </w:r>
          </w:p>
        </w:tc>
      </w:tr>
      <w:tr w:rsidR="00406383" w:rsidRPr="00FE666C" w:rsidTr="00406383">
        <w:tc>
          <w:tcPr>
            <w:tcW w:w="803" w:type="pct"/>
            <w:tcBorders>
              <w:top w:val="single" w:sz="4" w:space="0" w:color="auto"/>
              <w:left w:val="single" w:sz="4" w:space="0" w:color="auto"/>
              <w:bottom w:val="single" w:sz="4" w:space="0" w:color="auto"/>
              <w:right w:val="single" w:sz="4" w:space="0" w:color="auto"/>
            </w:tcBorders>
            <w:hideMark/>
          </w:tcPr>
          <w:p w:rsidR="00406383" w:rsidRPr="00FE666C" w:rsidRDefault="00406383">
            <w:pPr>
              <w:rPr>
                <w:b/>
                <w:iCs/>
                <w:sz w:val="22"/>
                <w:szCs w:val="22"/>
                <w:lang w:val="da-DK"/>
              </w:rPr>
            </w:pPr>
            <w:r w:rsidRPr="00FE666C">
              <w:rPr>
                <w:b/>
                <w:iCs/>
                <w:sz w:val="22"/>
                <w:szCs w:val="22"/>
                <w:lang w:val="da-DK"/>
              </w:rPr>
              <w:t>Almene symptomer og reaktioner på administra</w:t>
            </w:r>
            <w:r w:rsidRPr="00FE666C">
              <w:rPr>
                <w:b/>
                <w:iCs/>
                <w:sz w:val="22"/>
                <w:szCs w:val="22"/>
                <w:lang w:val="da-DK"/>
              </w:rPr>
              <w:softHyphen/>
              <w:t>tionsstedet</w:t>
            </w:r>
          </w:p>
        </w:tc>
        <w:tc>
          <w:tcPr>
            <w:tcW w:w="800" w:type="pct"/>
            <w:tcBorders>
              <w:top w:val="single" w:sz="4" w:space="0" w:color="auto"/>
              <w:left w:val="single" w:sz="4" w:space="0" w:color="auto"/>
              <w:bottom w:val="single" w:sz="4" w:space="0" w:color="auto"/>
              <w:right w:val="single" w:sz="4" w:space="0" w:color="auto"/>
            </w:tcBorders>
            <w:hideMark/>
          </w:tcPr>
          <w:p w:rsidR="00406383" w:rsidRPr="00FE666C" w:rsidRDefault="00406383">
            <w:pPr>
              <w:rPr>
                <w:iCs/>
                <w:sz w:val="22"/>
                <w:szCs w:val="22"/>
                <w:lang w:val="da-DK"/>
              </w:rPr>
            </w:pPr>
            <w:r w:rsidRPr="00FE666C">
              <w:rPr>
                <w:iCs/>
                <w:sz w:val="22"/>
                <w:szCs w:val="22"/>
                <w:lang w:val="da-DK"/>
              </w:rPr>
              <w:t>Reaktioner på administra</w:t>
            </w:r>
            <w:r w:rsidRPr="00FE666C">
              <w:rPr>
                <w:iCs/>
                <w:sz w:val="22"/>
                <w:szCs w:val="22"/>
                <w:lang w:val="da-DK"/>
              </w:rPr>
              <w:softHyphen/>
              <w:t>tionssstedet</w:t>
            </w:r>
            <w:r w:rsidRPr="00FE666C">
              <w:rPr>
                <w:iCs/>
                <w:sz w:val="22"/>
                <w:szCs w:val="22"/>
                <w:vertAlign w:val="superscript"/>
                <w:lang w:val="da-DK"/>
              </w:rPr>
              <w:t>a</w:t>
            </w:r>
            <w:r w:rsidRPr="00FE666C">
              <w:rPr>
                <w:iCs/>
                <w:sz w:val="22"/>
                <w:szCs w:val="22"/>
                <w:lang w:val="da-DK"/>
              </w:rPr>
              <w:t xml:space="preserve"> (inkl. erythem, pruritus, irritation, udslæt, dermatitis, vesikler, smerte, eksem, inflammation, hævelse, misfarvning, papler, eksfoliation, urticaria, overfølsomhed), asteniske symptomer</w:t>
            </w:r>
            <w:r w:rsidRPr="00FE666C">
              <w:rPr>
                <w:iCs/>
                <w:sz w:val="22"/>
                <w:szCs w:val="22"/>
                <w:vertAlign w:val="superscript"/>
                <w:lang w:val="da-DK"/>
              </w:rPr>
              <w:t>a</w:t>
            </w:r>
            <w:r w:rsidRPr="00FE666C">
              <w:rPr>
                <w:iCs/>
                <w:sz w:val="22"/>
                <w:szCs w:val="22"/>
                <w:lang w:val="da-DK"/>
              </w:rPr>
              <w:t xml:space="preserve"> (inkl. træthed, asteni, utilpashed)</w:t>
            </w:r>
          </w:p>
        </w:tc>
        <w:tc>
          <w:tcPr>
            <w:tcW w:w="1367" w:type="pct"/>
            <w:tcBorders>
              <w:top w:val="single" w:sz="4" w:space="0" w:color="auto"/>
              <w:left w:val="single" w:sz="4" w:space="0" w:color="auto"/>
              <w:bottom w:val="single" w:sz="4" w:space="0" w:color="auto"/>
              <w:right w:val="single" w:sz="4" w:space="0" w:color="auto"/>
            </w:tcBorders>
            <w:hideMark/>
          </w:tcPr>
          <w:p w:rsidR="00406383" w:rsidRPr="00FE666C" w:rsidRDefault="00406383">
            <w:pPr>
              <w:rPr>
                <w:iCs/>
                <w:sz w:val="22"/>
                <w:szCs w:val="22"/>
              </w:rPr>
            </w:pPr>
            <w:r w:rsidRPr="00FE666C">
              <w:rPr>
                <w:iCs/>
                <w:sz w:val="22"/>
                <w:szCs w:val="22"/>
              </w:rPr>
              <w:t>Irritabilitet, perifere ødemer</w:t>
            </w:r>
          </w:p>
        </w:tc>
        <w:tc>
          <w:tcPr>
            <w:tcW w:w="620"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rPr>
            </w:pPr>
          </w:p>
        </w:tc>
        <w:tc>
          <w:tcPr>
            <w:tcW w:w="617"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rPr>
            </w:pPr>
          </w:p>
        </w:tc>
        <w:tc>
          <w:tcPr>
            <w:tcW w:w="792"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rPr>
            </w:pPr>
          </w:p>
        </w:tc>
      </w:tr>
      <w:tr w:rsidR="00406383" w:rsidRPr="00FE666C" w:rsidTr="00406383">
        <w:tc>
          <w:tcPr>
            <w:tcW w:w="803" w:type="pct"/>
            <w:tcBorders>
              <w:top w:val="single" w:sz="4" w:space="0" w:color="auto"/>
              <w:left w:val="single" w:sz="4" w:space="0" w:color="auto"/>
              <w:bottom w:val="single" w:sz="4" w:space="0" w:color="auto"/>
              <w:right w:val="single" w:sz="4" w:space="0" w:color="auto"/>
            </w:tcBorders>
            <w:hideMark/>
          </w:tcPr>
          <w:p w:rsidR="00406383" w:rsidRPr="00FE666C" w:rsidRDefault="00406383">
            <w:pPr>
              <w:rPr>
                <w:b/>
                <w:iCs/>
                <w:sz w:val="22"/>
                <w:szCs w:val="22"/>
              </w:rPr>
            </w:pPr>
            <w:r w:rsidRPr="00FE666C">
              <w:rPr>
                <w:b/>
                <w:iCs/>
                <w:sz w:val="22"/>
                <w:szCs w:val="22"/>
              </w:rPr>
              <w:t>Undersøgelser</w:t>
            </w:r>
          </w:p>
        </w:tc>
        <w:tc>
          <w:tcPr>
            <w:tcW w:w="800"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rPr>
            </w:pPr>
          </w:p>
        </w:tc>
        <w:tc>
          <w:tcPr>
            <w:tcW w:w="1367"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rPr>
            </w:pPr>
          </w:p>
        </w:tc>
        <w:tc>
          <w:tcPr>
            <w:tcW w:w="620"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rPr>
            </w:pPr>
          </w:p>
        </w:tc>
        <w:tc>
          <w:tcPr>
            <w:tcW w:w="617"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rPr>
            </w:pPr>
          </w:p>
        </w:tc>
        <w:tc>
          <w:tcPr>
            <w:tcW w:w="792" w:type="pct"/>
            <w:tcBorders>
              <w:top w:val="single" w:sz="4" w:space="0" w:color="auto"/>
              <w:left w:val="single" w:sz="4" w:space="0" w:color="auto"/>
              <w:bottom w:val="single" w:sz="4" w:space="0" w:color="auto"/>
              <w:right w:val="single" w:sz="4" w:space="0" w:color="auto"/>
            </w:tcBorders>
            <w:hideMark/>
          </w:tcPr>
          <w:p w:rsidR="00406383" w:rsidRPr="00FE666C" w:rsidRDefault="00406383">
            <w:pPr>
              <w:rPr>
                <w:iCs/>
                <w:sz w:val="22"/>
                <w:szCs w:val="22"/>
                <w:lang w:val="da-DK"/>
              </w:rPr>
            </w:pPr>
            <w:r w:rsidRPr="00FE666C">
              <w:rPr>
                <w:iCs/>
                <w:sz w:val="22"/>
                <w:szCs w:val="22"/>
                <w:lang w:val="da-DK"/>
              </w:rPr>
              <w:t>Vægttab</w:t>
            </w:r>
            <w:r w:rsidRPr="00FE666C">
              <w:rPr>
                <w:iCs/>
                <w:sz w:val="22"/>
                <w:szCs w:val="22"/>
                <w:vertAlign w:val="superscript"/>
                <w:lang w:val="da-DK"/>
              </w:rPr>
              <w:t>e</w:t>
            </w:r>
            <w:r w:rsidRPr="00FE666C">
              <w:rPr>
                <w:iCs/>
                <w:sz w:val="22"/>
                <w:szCs w:val="22"/>
                <w:lang w:val="da-DK"/>
              </w:rPr>
              <w:t>, forhøjede leverenzymer</w:t>
            </w:r>
            <w:r w:rsidRPr="00FE666C">
              <w:rPr>
                <w:iCs/>
                <w:sz w:val="22"/>
                <w:szCs w:val="22"/>
                <w:vertAlign w:val="superscript"/>
                <w:lang w:val="da-DK"/>
              </w:rPr>
              <w:t>e</w:t>
            </w:r>
            <w:r w:rsidRPr="00FE666C">
              <w:rPr>
                <w:iCs/>
                <w:sz w:val="22"/>
                <w:szCs w:val="22"/>
                <w:lang w:val="da-DK"/>
              </w:rPr>
              <w:t xml:space="preserve"> (inkl. ASAT, ALAT, GGT), vægtøgning</w:t>
            </w:r>
            <w:r w:rsidRPr="00FE666C">
              <w:rPr>
                <w:iCs/>
                <w:sz w:val="22"/>
                <w:szCs w:val="22"/>
                <w:vertAlign w:val="superscript"/>
                <w:lang w:val="da-DK"/>
              </w:rPr>
              <w:t>e</w:t>
            </w:r>
            <w:r w:rsidRPr="00FE666C">
              <w:rPr>
                <w:iCs/>
                <w:sz w:val="22"/>
                <w:szCs w:val="22"/>
                <w:lang w:val="da-DK"/>
              </w:rPr>
              <w:t>, øget puls</w:t>
            </w:r>
            <w:r w:rsidRPr="00FE666C">
              <w:rPr>
                <w:iCs/>
                <w:sz w:val="22"/>
                <w:szCs w:val="22"/>
                <w:vertAlign w:val="superscript"/>
                <w:lang w:val="da-DK"/>
              </w:rPr>
              <w:t>e</w:t>
            </w:r>
            <w:r w:rsidRPr="00FE666C">
              <w:rPr>
                <w:iCs/>
                <w:sz w:val="22"/>
                <w:szCs w:val="22"/>
                <w:lang w:val="da-DK"/>
              </w:rPr>
              <w:t>, forhøjet CK</w:t>
            </w:r>
            <w:r w:rsidRPr="00FE666C">
              <w:rPr>
                <w:iCs/>
                <w:sz w:val="22"/>
                <w:szCs w:val="22"/>
                <w:vertAlign w:val="superscript"/>
                <w:lang w:val="da-DK"/>
              </w:rPr>
              <w:t>d,e</w:t>
            </w:r>
          </w:p>
        </w:tc>
      </w:tr>
      <w:tr w:rsidR="00406383" w:rsidRPr="00FE666C" w:rsidTr="00406383">
        <w:tc>
          <w:tcPr>
            <w:tcW w:w="803" w:type="pct"/>
            <w:tcBorders>
              <w:top w:val="single" w:sz="4" w:space="0" w:color="auto"/>
              <w:left w:val="single" w:sz="4" w:space="0" w:color="auto"/>
              <w:bottom w:val="single" w:sz="4" w:space="0" w:color="auto"/>
              <w:right w:val="single" w:sz="4" w:space="0" w:color="auto"/>
            </w:tcBorders>
            <w:hideMark/>
          </w:tcPr>
          <w:p w:rsidR="00406383" w:rsidRPr="00FE666C" w:rsidRDefault="00406383">
            <w:pPr>
              <w:rPr>
                <w:b/>
                <w:iCs/>
                <w:sz w:val="22"/>
                <w:szCs w:val="22"/>
              </w:rPr>
            </w:pPr>
            <w:r w:rsidRPr="00FE666C">
              <w:rPr>
                <w:b/>
                <w:iCs/>
                <w:sz w:val="22"/>
                <w:szCs w:val="22"/>
              </w:rPr>
              <w:t xml:space="preserve">Traumer, forgiftninger og </w:t>
            </w:r>
            <w:r w:rsidRPr="00FE666C">
              <w:rPr>
                <w:b/>
                <w:iCs/>
                <w:sz w:val="22"/>
                <w:szCs w:val="22"/>
              </w:rPr>
              <w:lastRenderedPageBreak/>
              <w:t>behandlings</w:t>
            </w:r>
            <w:r w:rsidRPr="00FE666C">
              <w:rPr>
                <w:b/>
                <w:iCs/>
                <w:sz w:val="22"/>
                <w:szCs w:val="22"/>
              </w:rPr>
              <w:softHyphen/>
              <w:t>komplikationer</w:t>
            </w:r>
          </w:p>
        </w:tc>
        <w:tc>
          <w:tcPr>
            <w:tcW w:w="800"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rPr>
            </w:pPr>
          </w:p>
        </w:tc>
        <w:tc>
          <w:tcPr>
            <w:tcW w:w="1367"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rPr>
            </w:pPr>
          </w:p>
        </w:tc>
        <w:tc>
          <w:tcPr>
            <w:tcW w:w="620"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rPr>
            </w:pPr>
          </w:p>
        </w:tc>
        <w:tc>
          <w:tcPr>
            <w:tcW w:w="617"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rPr>
            </w:pPr>
          </w:p>
        </w:tc>
        <w:tc>
          <w:tcPr>
            <w:tcW w:w="792" w:type="pct"/>
            <w:tcBorders>
              <w:top w:val="single" w:sz="4" w:space="0" w:color="auto"/>
              <w:left w:val="single" w:sz="4" w:space="0" w:color="auto"/>
              <w:bottom w:val="single" w:sz="4" w:space="0" w:color="auto"/>
              <w:right w:val="single" w:sz="4" w:space="0" w:color="auto"/>
            </w:tcBorders>
            <w:hideMark/>
          </w:tcPr>
          <w:p w:rsidR="00406383" w:rsidRPr="00FE666C" w:rsidRDefault="00406383">
            <w:pPr>
              <w:rPr>
                <w:iCs/>
                <w:sz w:val="22"/>
                <w:szCs w:val="22"/>
              </w:rPr>
            </w:pPr>
            <w:r w:rsidRPr="00FE666C">
              <w:rPr>
                <w:iCs/>
                <w:sz w:val="22"/>
                <w:szCs w:val="22"/>
              </w:rPr>
              <w:t>Fald</w:t>
            </w:r>
            <w:r w:rsidRPr="00FE666C">
              <w:rPr>
                <w:iCs/>
                <w:sz w:val="22"/>
                <w:szCs w:val="22"/>
                <w:vertAlign w:val="superscript"/>
              </w:rPr>
              <w:t>e</w:t>
            </w:r>
          </w:p>
        </w:tc>
      </w:tr>
      <w:tr w:rsidR="00406383" w:rsidRPr="00FE666C" w:rsidTr="00406383">
        <w:tc>
          <w:tcPr>
            <w:tcW w:w="803" w:type="pct"/>
            <w:tcBorders>
              <w:top w:val="single" w:sz="4" w:space="0" w:color="auto"/>
              <w:left w:val="single" w:sz="4" w:space="0" w:color="auto"/>
              <w:bottom w:val="single" w:sz="4" w:space="0" w:color="auto"/>
              <w:right w:val="single" w:sz="4" w:space="0" w:color="auto"/>
            </w:tcBorders>
            <w:hideMark/>
          </w:tcPr>
          <w:p w:rsidR="00406383" w:rsidRPr="00FE666C" w:rsidRDefault="00406383">
            <w:pPr>
              <w:rPr>
                <w:b/>
                <w:iCs/>
                <w:sz w:val="22"/>
                <w:szCs w:val="22"/>
                <w:lang w:val="da-DK"/>
              </w:rPr>
            </w:pPr>
            <w:r w:rsidRPr="00FE666C">
              <w:rPr>
                <w:b/>
                <w:iCs/>
                <w:sz w:val="22"/>
                <w:szCs w:val="22"/>
                <w:lang w:val="da-DK"/>
              </w:rPr>
              <w:t>Knogler, led, muskler og bindevæv</w:t>
            </w:r>
          </w:p>
        </w:tc>
        <w:tc>
          <w:tcPr>
            <w:tcW w:w="800"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lang w:val="da-DK"/>
              </w:rPr>
            </w:pPr>
          </w:p>
        </w:tc>
        <w:tc>
          <w:tcPr>
            <w:tcW w:w="1367"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lang w:val="da-DK"/>
              </w:rPr>
            </w:pPr>
          </w:p>
        </w:tc>
        <w:tc>
          <w:tcPr>
            <w:tcW w:w="620"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lang w:val="da-DK"/>
              </w:rPr>
            </w:pPr>
          </w:p>
        </w:tc>
        <w:tc>
          <w:tcPr>
            <w:tcW w:w="617" w:type="pct"/>
            <w:tcBorders>
              <w:top w:val="single" w:sz="4" w:space="0" w:color="auto"/>
              <w:left w:val="single" w:sz="4" w:space="0" w:color="auto"/>
              <w:bottom w:val="single" w:sz="4" w:space="0" w:color="auto"/>
              <w:right w:val="single" w:sz="4" w:space="0" w:color="auto"/>
            </w:tcBorders>
          </w:tcPr>
          <w:p w:rsidR="00406383" w:rsidRPr="00FE666C" w:rsidRDefault="00406383">
            <w:pPr>
              <w:rPr>
                <w:iCs/>
                <w:sz w:val="22"/>
                <w:szCs w:val="22"/>
                <w:lang w:val="da-DK"/>
              </w:rPr>
            </w:pPr>
          </w:p>
        </w:tc>
        <w:tc>
          <w:tcPr>
            <w:tcW w:w="792" w:type="pct"/>
            <w:tcBorders>
              <w:top w:val="single" w:sz="4" w:space="0" w:color="auto"/>
              <w:left w:val="single" w:sz="4" w:space="0" w:color="auto"/>
              <w:bottom w:val="single" w:sz="4" w:space="0" w:color="auto"/>
              <w:right w:val="single" w:sz="4" w:space="0" w:color="auto"/>
            </w:tcBorders>
            <w:hideMark/>
          </w:tcPr>
          <w:p w:rsidR="00406383" w:rsidRPr="00FE666C" w:rsidRDefault="00406383">
            <w:pPr>
              <w:rPr>
                <w:iCs/>
                <w:sz w:val="22"/>
                <w:szCs w:val="22"/>
              </w:rPr>
            </w:pPr>
            <w:r w:rsidRPr="00FE666C">
              <w:rPr>
                <w:iCs/>
                <w:sz w:val="22"/>
                <w:szCs w:val="22"/>
              </w:rPr>
              <w:t>Rhabdo</w:t>
            </w:r>
            <w:r w:rsidRPr="00FE666C">
              <w:rPr>
                <w:iCs/>
                <w:sz w:val="22"/>
                <w:szCs w:val="22"/>
              </w:rPr>
              <w:softHyphen/>
              <w:t>myolyse</w:t>
            </w:r>
            <w:r w:rsidRPr="00FE666C">
              <w:rPr>
                <w:iCs/>
                <w:sz w:val="22"/>
                <w:szCs w:val="22"/>
                <w:vertAlign w:val="superscript"/>
              </w:rPr>
              <w:t>c</w:t>
            </w:r>
          </w:p>
        </w:tc>
      </w:tr>
    </w:tbl>
    <w:p w:rsidR="00406383" w:rsidRDefault="00406383" w:rsidP="00406383">
      <w:pPr>
        <w:rPr>
          <w:iCs/>
          <w:sz w:val="22"/>
          <w:lang w:val="en-US"/>
        </w:rPr>
      </w:pPr>
      <w:r>
        <w:rPr>
          <w:iCs/>
          <w:vertAlign w:val="superscript"/>
          <w:lang w:val="en-US"/>
        </w:rPr>
        <w:t>a</w:t>
      </w:r>
      <w:r>
        <w:rPr>
          <w:iCs/>
          <w:lang w:val="en-US"/>
        </w:rPr>
        <w:t xml:space="preserve"> Overordnet begreb (</w:t>
      </w:r>
      <w:r>
        <w:rPr>
          <w:i/>
          <w:iCs/>
          <w:lang w:val="en-US"/>
        </w:rPr>
        <w:t>high level term</w:t>
      </w:r>
      <w:r>
        <w:rPr>
          <w:iCs/>
          <w:lang w:val="en-US"/>
        </w:rPr>
        <w:t>)</w:t>
      </w:r>
    </w:p>
    <w:p w:rsidR="00406383" w:rsidRDefault="00406383" w:rsidP="00406383">
      <w:pPr>
        <w:rPr>
          <w:iCs/>
        </w:rPr>
      </w:pPr>
      <w:r>
        <w:rPr>
          <w:iCs/>
          <w:vertAlign w:val="superscript"/>
        </w:rPr>
        <w:t>b</w:t>
      </w:r>
      <w:r>
        <w:rPr>
          <w:iCs/>
        </w:rPr>
        <w:t xml:space="preserve"> Observeret i åbne studier</w:t>
      </w:r>
    </w:p>
    <w:p w:rsidR="00406383" w:rsidRDefault="00406383" w:rsidP="00406383">
      <w:pPr>
        <w:rPr>
          <w:iCs/>
        </w:rPr>
      </w:pPr>
      <w:r>
        <w:rPr>
          <w:iCs/>
          <w:vertAlign w:val="superscript"/>
        </w:rPr>
        <w:t>c</w:t>
      </w:r>
      <w:r>
        <w:rPr>
          <w:iCs/>
        </w:rPr>
        <w:t xml:space="preserve"> Observeret efter markedsføring</w:t>
      </w:r>
    </w:p>
    <w:p w:rsidR="00406383" w:rsidRDefault="00406383" w:rsidP="00406383">
      <w:pPr>
        <w:rPr>
          <w:iCs/>
        </w:rPr>
      </w:pPr>
      <w:r>
        <w:rPr>
          <w:iCs/>
          <w:vertAlign w:val="superscript"/>
        </w:rPr>
        <w:t>d</w:t>
      </w:r>
      <w:r>
        <w:rPr>
          <w:iCs/>
        </w:rPr>
        <w:t xml:space="preserve"> Observeret i data pool af dobbeltblinde, placebokontrollerede studier i 2011</w:t>
      </w:r>
    </w:p>
    <w:p w:rsidR="00406383" w:rsidRDefault="00406383" w:rsidP="00406383">
      <w:pPr>
        <w:rPr>
          <w:iCs/>
        </w:rPr>
      </w:pPr>
      <w:r>
        <w:rPr>
          <w:iCs/>
          <w:vertAlign w:val="superscript"/>
        </w:rPr>
        <w:t>e</w:t>
      </w:r>
      <w:r>
        <w:rPr>
          <w:iCs/>
        </w:rPr>
        <w:t xml:space="preserve"> Observeret i studier med patienter med Parkinsons sygdom</w:t>
      </w:r>
    </w:p>
    <w:p w:rsidR="00406383" w:rsidRPr="00406383" w:rsidRDefault="00406383" w:rsidP="00406383">
      <w:pPr>
        <w:ind w:left="851"/>
        <w:rPr>
          <w:iCs/>
          <w:sz w:val="24"/>
          <w:szCs w:val="24"/>
        </w:rPr>
      </w:pPr>
    </w:p>
    <w:p w:rsidR="00406383" w:rsidRPr="00406383" w:rsidRDefault="00406383" w:rsidP="00406383">
      <w:pPr>
        <w:ind w:left="851"/>
        <w:rPr>
          <w:iCs/>
          <w:sz w:val="24"/>
          <w:szCs w:val="24"/>
          <w:u w:val="single"/>
        </w:rPr>
      </w:pPr>
      <w:r w:rsidRPr="00406383">
        <w:rPr>
          <w:iCs/>
          <w:sz w:val="24"/>
          <w:szCs w:val="24"/>
          <w:u w:val="single"/>
        </w:rPr>
        <w:t>Beskrivelse af udvalgte bivirkninger</w:t>
      </w:r>
    </w:p>
    <w:p w:rsidR="00406383" w:rsidRPr="00406383" w:rsidRDefault="00406383" w:rsidP="00406383">
      <w:pPr>
        <w:ind w:left="851"/>
        <w:rPr>
          <w:i/>
          <w:iCs/>
          <w:sz w:val="24"/>
          <w:szCs w:val="24"/>
        </w:rPr>
      </w:pPr>
    </w:p>
    <w:p w:rsidR="00406383" w:rsidRPr="00406383" w:rsidRDefault="00406383" w:rsidP="00406383">
      <w:pPr>
        <w:ind w:left="851"/>
        <w:rPr>
          <w:i/>
          <w:iCs/>
          <w:sz w:val="24"/>
          <w:szCs w:val="24"/>
        </w:rPr>
      </w:pPr>
      <w:r w:rsidRPr="00406383">
        <w:rPr>
          <w:i/>
          <w:iCs/>
          <w:sz w:val="24"/>
          <w:szCs w:val="24"/>
        </w:rPr>
        <w:t>Pludseligt indsættende søvn og døsighed</w:t>
      </w:r>
    </w:p>
    <w:p w:rsidR="00406383" w:rsidRPr="00406383" w:rsidRDefault="00406383" w:rsidP="00406383">
      <w:pPr>
        <w:ind w:left="851"/>
        <w:rPr>
          <w:sz w:val="24"/>
          <w:szCs w:val="24"/>
        </w:rPr>
      </w:pPr>
      <w:r w:rsidRPr="00406383">
        <w:rPr>
          <w:sz w:val="24"/>
          <w:szCs w:val="24"/>
        </w:rPr>
        <w:t>Rotigotin er forbundet med døsighed, herunder udpræget døsighed om dagen og pludselige søvnepisoder. I isolerede tilfælde er "pludseligt indsættende søvn" opstået under kørsel og har resulteret i trafikuheld (se også pkt. 4.4 og 4.7).</w:t>
      </w:r>
    </w:p>
    <w:p w:rsidR="00406383" w:rsidRPr="00406383" w:rsidRDefault="00406383" w:rsidP="00406383">
      <w:pPr>
        <w:ind w:left="851"/>
        <w:rPr>
          <w:sz w:val="24"/>
          <w:szCs w:val="24"/>
        </w:rPr>
      </w:pPr>
    </w:p>
    <w:p w:rsidR="00406383" w:rsidRPr="00406383" w:rsidRDefault="00406383" w:rsidP="00406383">
      <w:pPr>
        <w:ind w:left="851"/>
        <w:rPr>
          <w:i/>
          <w:iCs/>
          <w:sz w:val="24"/>
          <w:szCs w:val="24"/>
        </w:rPr>
      </w:pPr>
      <w:r w:rsidRPr="00406383">
        <w:rPr>
          <w:i/>
          <w:iCs/>
          <w:sz w:val="24"/>
          <w:szCs w:val="24"/>
        </w:rPr>
        <w:t>Impulskontrolforstyrrelser</w:t>
      </w:r>
    </w:p>
    <w:p w:rsidR="00406383" w:rsidRPr="00406383" w:rsidRDefault="00406383" w:rsidP="00406383">
      <w:pPr>
        <w:ind w:left="851"/>
        <w:rPr>
          <w:sz w:val="24"/>
          <w:szCs w:val="24"/>
        </w:rPr>
      </w:pPr>
      <w:r w:rsidRPr="00406383">
        <w:rPr>
          <w:sz w:val="24"/>
          <w:szCs w:val="24"/>
        </w:rPr>
        <w:t>Ludomani, øget libido, hyperseksualitet, tvangshandlinger forbundet med forbrug eller indkøb, uhæmmet madindtagelse og tvangshandlinger forbundet med madindtagelse kan forekomme hos patienter, der behandles med dopaminagonister, herunder rotigotin (se pkt. 4.4).</w:t>
      </w:r>
    </w:p>
    <w:p w:rsidR="00406383" w:rsidRPr="00406383" w:rsidRDefault="00406383" w:rsidP="00406383">
      <w:pPr>
        <w:ind w:left="851"/>
        <w:rPr>
          <w:sz w:val="24"/>
          <w:szCs w:val="24"/>
        </w:rPr>
      </w:pPr>
    </w:p>
    <w:p w:rsidR="00406383" w:rsidRPr="00406383" w:rsidRDefault="00406383" w:rsidP="00406383">
      <w:pPr>
        <w:autoSpaceDE w:val="0"/>
        <w:autoSpaceDN w:val="0"/>
        <w:adjustRightInd w:val="0"/>
        <w:ind w:left="851"/>
        <w:rPr>
          <w:sz w:val="24"/>
          <w:szCs w:val="24"/>
          <w:u w:val="single"/>
        </w:rPr>
      </w:pPr>
      <w:r w:rsidRPr="00406383">
        <w:rPr>
          <w:sz w:val="24"/>
          <w:szCs w:val="24"/>
          <w:u w:val="single"/>
        </w:rPr>
        <w:t>Indberetning af formodede bivirkninger</w:t>
      </w:r>
    </w:p>
    <w:p w:rsidR="00406383" w:rsidRPr="00406383" w:rsidRDefault="00406383" w:rsidP="00406383">
      <w:pPr>
        <w:autoSpaceDE w:val="0"/>
        <w:autoSpaceDN w:val="0"/>
        <w:adjustRightInd w:val="0"/>
        <w:ind w:left="851"/>
        <w:rPr>
          <w:sz w:val="24"/>
          <w:szCs w:val="24"/>
        </w:rPr>
      </w:pPr>
      <w:r w:rsidRPr="00406383">
        <w:rPr>
          <w:sz w:val="24"/>
          <w:szCs w:val="24"/>
        </w:rPr>
        <w:t>Når lægemidlet er godkendt, er indberetning af formodede bivirkninger vigtig. Det muliggør løbende overvågning af benefit/risk-forholdet for lægemidlet. Sundhedspersoner anmodes om at indberette alle formodede bivirkninger via</w:t>
      </w:r>
    </w:p>
    <w:p w:rsidR="00406383" w:rsidRPr="00406383" w:rsidRDefault="00406383" w:rsidP="00406383">
      <w:pPr>
        <w:autoSpaceDE w:val="0"/>
        <w:autoSpaceDN w:val="0"/>
        <w:adjustRightInd w:val="0"/>
        <w:ind w:left="851"/>
        <w:rPr>
          <w:sz w:val="24"/>
          <w:szCs w:val="24"/>
        </w:rPr>
      </w:pPr>
    </w:p>
    <w:p w:rsidR="00406383" w:rsidRPr="00406383" w:rsidRDefault="00406383" w:rsidP="00406383">
      <w:pPr>
        <w:autoSpaceDE w:val="0"/>
        <w:autoSpaceDN w:val="0"/>
        <w:adjustRightInd w:val="0"/>
        <w:ind w:left="851"/>
        <w:rPr>
          <w:sz w:val="24"/>
          <w:szCs w:val="24"/>
        </w:rPr>
      </w:pPr>
      <w:r w:rsidRPr="00406383">
        <w:rPr>
          <w:sz w:val="24"/>
          <w:szCs w:val="24"/>
        </w:rPr>
        <w:t>Lægemiddelstyrelsen</w:t>
      </w:r>
    </w:p>
    <w:p w:rsidR="00406383" w:rsidRPr="00406383" w:rsidRDefault="00406383" w:rsidP="00406383">
      <w:pPr>
        <w:autoSpaceDE w:val="0"/>
        <w:autoSpaceDN w:val="0"/>
        <w:adjustRightInd w:val="0"/>
        <w:ind w:left="851"/>
        <w:rPr>
          <w:sz w:val="24"/>
          <w:szCs w:val="24"/>
        </w:rPr>
      </w:pPr>
      <w:r w:rsidRPr="00406383">
        <w:rPr>
          <w:sz w:val="24"/>
          <w:szCs w:val="24"/>
        </w:rPr>
        <w:t>Axel Heides Gade 1</w:t>
      </w:r>
    </w:p>
    <w:p w:rsidR="00406383" w:rsidRPr="00406383" w:rsidRDefault="00406383" w:rsidP="00406383">
      <w:pPr>
        <w:autoSpaceDE w:val="0"/>
        <w:autoSpaceDN w:val="0"/>
        <w:adjustRightInd w:val="0"/>
        <w:ind w:left="851"/>
        <w:rPr>
          <w:sz w:val="24"/>
          <w:szCs w:val="24"/>
        </w:rPr>
      </w:pPr>
      <w:r w:rsidRPr="00406383">
        <w:rPr>
          <w:sz w:val="24"/>
          <w:szCs w:val="24"/>
        </w:rPr>
        <w:t>DK-2300 København S</w:t>
      </w:r>
    </w:p>
    <w:p w:rsidR="00406383" w:rsidRPr="00497010" w:rsidRDefault="00406383" w:rsidP="00406383">
      <w:pPr>
        <w:autoSpaceDE w:val="0"/>
        <w:autoSpaceDN w:val="0"/>
        <w:adjustRightInd w:val="0"/>
        <w:ind w:left="851"/>
        <w:rPr>
          <w:sz w:val="24"/>
          <w:szCs w:val="24"/>
        </w:rPr>
      </w:pPr>
      <w:r w:rsidRPr="00497010">
        <w:rPr>
          <w:sz w:val="24"/>
          <w:szCs w:val="24"/>
        </w:rPr>
        <w:t>Websted: www.meldenbivirkning.dk</w:t>
      </w:r>
    </w:p>
    <w:p w:rsidR="009260DE" w:rsidRPr="00497010" w:rsidRDefault="009260DE" w:rsidP="00406383">
      <w:pPr>
        <w:tabs>
          <w:tab w:val="left" w:pos="851"/>
        </w:tabs>
        <w:ind w:left="851"/>
        <w:rPr>
          <w:sz w:val="24"/>
          <w:szCs w:val="24"/>
        </w:rPr>
      </w:pPr>
    </w:p>
    <w:p w:rsidR="009260DE" w:rsidRPr="00497010" w:rsidRDefault="009260DE" w:rsidP="009260DE">
      <w:pPr>
        <w:tabs>
          <w:tab w:val="left" w:pos="851"/>
        </w:tabs>
        <w:ind w:left="851" w:hanging="851"/>
        <w:rPr>
          <w:b/>
          <w:sz w:val="24"/>
          <w:szCs w:val="24"/>
        </w:rPr>
      </w:pPr>
      <w:r w:rsidRPr="00497010">
        <w:rPr>
          <w:b/>
          <w:sz w:val="24"/>
          <w:szCs w:val="24"/>
        </w:rPr>
        <w:t>4.9</w:t>
      </w:r>
      <w:r w:rsidRPr="00497010">
        <w:rPr>
          <w:b/>
          <w:sz w:val="24"/>
          <w:szCs w:val="24"/>
        </w:rPr>
        <w:tab/>
        <w:t>Overdosering</w:t>
      </w:r>
    </w:p>
    <w:p w:rsidR="00270835" w:rsidRDefault="00270835" w:rsidP="00270835">
      <w:pPr>
        <w:tabs>
          <w:tab w:val="left" w:pos="851"/>
        </w:tabs>
        <w:ind w:left="851"/>
        <w:rPr>
          <w:sz w:val="24"/>
          <w:szCs w:val="24"/>
          <w:u w:val="single"/>
        </w:rPr>
      </w:pPr>
    </w:p>
    <w:p w:rsidR="00270835" w:rsidRPr="00270835" w:rsidRDefault="00270835" w:rsidP="00270835">
      <w:pPr>
        <w:tabs>
          <w:tab w:val="left" w:pos="851"/>
        </w:tabs>
        <w:ind w:left="851"/>
        <w:rPr>
          <w:sz w:val="24"/>
          <w:szCs w:val="24"/>
          <w:u w:val="single"/>
        </w:rPr>
      </w:pPr>
      <w:r w:rsidRPr="00270835">
        <w:rPr>
          <w:sz w:val="24"/>
          <w:szCs w:val="24"/>
          <w:u w:val="single"/>
        </w:rPr>
        <w:t>Symptomer</w:t>
      </w:r>
    </w:p>
    <w:p w:rsidR="00270835" w:rsidRPr="00270835" w:rsidRDefault="00270835" w:rsidP="00270835">
      <w:pPr>
        <w:tabs>
          <w:tab w:val="left" w:pos="851"/>
        </w:tabs>
        <w:ind w:left="851"/>
        <w:rPr>
          <w:sz w:val="24"/>
          <w:szCs w:val="24"/>
        </w:rPr>
      </w:pPr>
      <w:r w:rsidRPr="00270835">
        <w:rPr>
          <w:sz w:val="24"/>
          <w:szCs w:val="24"/>
        </w:rPr>
        <w:t>De mest sandsynlige bivirkninger er relateret til dopaminagonistens farmakodynamiske profil, herunder kvalme, opkastning, hypotension, ufrivillige bevægelser, hallucinationer, forvirring, kramper og andre tegn på central dopaminerg stimulering.</w:t>
      </w:r>
    </w:p>
    <w:p w:rsidR="00270835" w:rsidRPr="00270835" w:rsidRDefault="00270835" w:rsidP="00270835">
      <w:pPr>
        <w:tabs>
          <w:tab w:val="left" w:pos="851"/>
        </w:tabs>
        <w:ind w:left="851"/>
        <w:rPr>
          <w:sz w:val="24"/>
          <w:szCs w:val="24"/>
          <w:u w:val="single"/>
        </w:rPr>
      </w:pPr>
    </w:p>
    <w:p w:rsidR="00270835" w:rsidRPr="00270835" w:rsidRDefault="00270835" w:rsidP="00270835">
      <w:pPr>
        <w:tabs>
          <w:tab w:val="left" w:pos="851"/>
        </w:tabs>
        <w:ind w:left="851"/>
        <w:rPr>
          <w:sz w:val="24"/>
          <w:szCs w:val="24"/>
          <w:u w:val="single"/>
        </w:rPr>
      </w:pPr>
      <w:r w:rsidRPr="00270835">
        <w:rPr>
          <w:sz w:val="24"/>
          <w:szCs w:val="24"/>
          <w:u w:val="single"/>
        </w:rPr>
        <w:t>Behandling</w:t>
      </w:r>
    </w:p>
    <w:p w:rsidR="00270835" w:rsidRPr="00270835" w:rsidRDefault="00270835" w:rsidP="00270835">
      <w:pPr>
        <w:tabs>
          <w:tab w:val="left" w:pos="851"/>
        </w:tabs>
        <w:ind w:left="851"/>
        <w:rPr>
          <w:sz w:val="24"/>
          <w:szCs w:val="24"/>
        </w:rPr>
      </w:pPr>
      <w:r w:rsidRPr="00270835">
        <w:rPr>
          <w:sz w:val="24"/>
          <w:szCs w:val="24"/>
        </w:rPr>
        <w:t>Der er ingen kendt antidot mod overdosis af dopaminagonister. Ved mistanke om overdosering bør fjernelse af plastret/plastrene overvejes, idet optagelsen af det aktive stof stopper efter fjernelse af plastret/plastrene, hvorefter plasmakoncentrationen af rotigotin hurtigt falder. Patienten bør monitoreres nøje, herunder puls, hjerterytme og blodtryk.</w:t>
      </w:r>
    </w:p>
    <w:p w:rsidR="00270835" w:rsidRPr="00270835" w:rsidRDefault="00270835" w:rsidP="00270835">
      <w:pPr>
        <w:tabs>
          <w:tab w:val="left" w:pos="851"/>
        </w:tabs>
        <w:ind w:left="851"/>
        <w:rPr>
          <w:sz w:val="24"/>
          <w:szCs w:val="24"/>
        </w:rPr>
      </w:pPr>
      <w:r w:rsidRPr="00270835">
        <w:rPr>
          <w:sz w:val="24"/>
          <w:szCs w:val="24"/>
        </w:rPr>
        <w:t>Behandling af overdosis kan kræve generelle understøttende tiltag for at opretholde de vitale tegn. Dialyse kan ikke forventes at have nogen gavnlig virkning, idet rotigotin ikke fjernes ved dialyse.</w:t>
      </w:r>
    </w:p>
    <w:p w:rsidR="00270835" w:rsidRPr="00270835" w:rsidRDefault="00270835" w:rsidP="00270835">
      <w:pPr>
        <w:tabs>
          <w:tab w:val="left" w:pos="851"/>
        </w:tabs>
        <w:ind w:left="851"/>
        <w:rPr>
          <w:sz w:val="24"/>
          <w:szCs w:val="24"/>
        </w:rPr>
      </w:pPr>
    </w:p>
    <w:p w:rsidR="00270835" w:rsidRPr="00270835" w:rsidRDefault="00270835" w:rsidP="00270835">
      <w:pPr>
        <w:tabs>
          <w:tab w:val="left" w:pos="851"/>
        </w:tabs>
        <w:ind w:left="851"/>
        <w:rPr>
          <w:sz w:val="24"/>
          <w:szCs w:val="24"/>
        </w:rPr>
      </w:pPr>
      <w:r w:rsidRPr="00270835">
        <w:rPr>
          <w:sz w:val="24"/>
          <w:szCs w:val="24"/>
        </w:rPr>
        <w:t>Hvis det er nødvendigt at seponere rotigotin, bør dette ske gradvist for at undgå malignt neuroleptikasyndrom.</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270835"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FE666C" w:rsidRPr="00FE666C" w:rsidRDefault="00FE666C" w:rsidP="00FE666C">
      <w:pPr>
        <w:tabs>
          <w:tab w:val="left" w:pos="851"/>
        </w:tabs>
        <w:ind w:left="851"/>
        <w:rPr>
          <w:sz w:val="24"/>
          <w:szCs w:val="24"/>
        </w:rPr>
      </w:pPr>
      <w:r w:rsidRPr="00FE666C">
        <w:rPr>
          <w:sz w:val="24"/>
          <w:szCs w:val="24"/>
        </w:rPr>
        <w:t>Farmakoterapeutisk klassifikation: Anti-parkinson midler, dopamin</w:t>
      </w:r>
      <w:r w:rsidRPr="00FE666C">
        <w:rPr>
          <w:sz w:val="24"/>
          <w:szCs w:val="24"/>
        </w:rPr>
        <w:noBreakHyphen/>
        <w:t>agonister; ATC</w:t>
      </w:r>
      <w:r w:rsidRPr="00FE666C">
        <w:rPr>
          <w:sz w:val="24"/>
          <w:szCs w:val="24"/>
        </w:rPr>
        <w:noBreakHyphen/>
        <w:t>kode: N04BC09</w:t>
      </w:r>
      <w:r w:rsidR="007860F7">
        <w:rPr>
          <w:sz w:val="24"/>
          <w:szCs w:val="24"/>
        </w:rPr>
        <w:t>.</w:t>
      </w:r>
    </w:p>
    <w:p w:rsidR="00FE666C" w:rsidRPr="00FE666C" w:rsidRDefault="00FE666C" w:rsidP="00FE666C">
      <w:pPr>
        <w:tabs>
          <w:tab w:val="left" w:pos="851"/>
        </w:tabs>
        <w:ind w:left="851"/>
        <w:rPr>
          <w:sz w:val="24"/>
          <w:szCs w:val="24"/>
        </w:rPr>
      </w:pPr>
    </w:p>
    <w:p w:rsidR="00FE666C" w:rsidRPr="00FE666C" w:rsidRDefault="00FE666C" w:rsidP="00FE666C">
      <w:pPr>
        <w:tabs>
          <w:tab w:val="left" w:pos="851"/>
        </w:tabs>
        <w:ind w:left="851"/>
        <w:rPr>
          <w:sz w:val="24"/>
          <w:szCs w:val="24"/>
        </w:rPr>
      </w:pPr>
      <w:r w:rsidRPr="00FE666C">
        <w:rPr>
          <w:sz w:val="24"/>
          <w:szCs w:val="24"/>
        </w:rPr>
        <w:t>Rotigotin er en non</w:t>
      </w:r>
      <w:r w:rsidRPr="00FE666C">
        <w:rPr>
          <w:sz w:val="24"/>
          <w:szCs w:val="24"/>
        </w:rPr>
        <w:noBreakHyphen/>
        <w:t xml:space="preserve">ergolin dopaminagonist til behandling af tegn og symptomer på Parkinsons sygdom og </w:t>
      </w:r>
      <w:r w:rsidRPr="00FE666C">
        <w:rPr>
          <w:i/>
          <w:sz w:val="24"/>
          <w:szCs w:val="24"/>
        </w:rPr>
        <w:t>restless legs</w:t>
      </w:r>
      <w:r w:rsidRPr="00FE666C">
        <w:rPr>
          <w:sz w:val="24"/>
          <w:szCs w:val="24"/>
        </w:rPr>
        <w:noBreakHyphen/>
        <w:t>syndrom.</w:t>
      </w:r>
    </w:p>
    <w:p w:rsidR="00FE666C" w:rsidRPr="00FE666C" w:rsidRDefault="00FE666C" w:rsidP="00FE666C">
      <w:pPr>
        <w:tabs>
          <w:tab w:val="left" w:pos="851"/>
        </w:tabs>
        <w:ind w:left="851"/>
        <w:rPr>
          <w:sz w:val="24"/>
          <w:szCs w:val="24"/>
        </w:rPr>
      </w:pPr>
    </w:p>
    <w:p w:rsidR="00FE666C" w:rsidRPr="00FE666C" w:rsidRDefault="00FE666C" w:rsidP="00FE666C">
      <w:pPr>
        <w:tabs>
          <w:tab w:val="left" w:pos="851"/>
        </w:tabs>
        <w:ind w:left="851"/>
        <w:rPr>
          <w:sz w:val="24"/>
          <w:szCs w:val="24"/>
        </w:rPr>
      </w:pPr>
      <w:r w:rsidRPr="00FE666C">
        <w:rPr>
          <w:sz w:val="24"/>
          <w:szCs w:val="24"/>
          <w:u w:val="single"/>
        </w:rPr>
        <w:t>Virkningsmekanisme</w:t>
      </w:r>
    </w:p>
    <w:p w:rsidR="00FE666C" w:rsidRPr="00FE666C" w:rsidRDefault="00FE666C" w:rsidP="00FE666C">
      <w:pPr>
        <w:tabs>
          <w:tab w:val="left" w:pos="851"/>
        </w:tabs>
        <w:ind w:left="851"/>
        <w:rPr>
          <w:sz w:val="24"/>
          <w:szCs w:val="24"/>
        </w:rPr>
      </w:pPr>
      <w:r w:rsidRPr="00FE666C">
        <w:rPr>
          <w:sz w:val="24"/>
          <w:szCs w:val="24"/>
        </w:rPr>
        <w:t>Det menes, at rotigotins positive effekt på Parkinsons sygdom opnås ved aktivering af D</w:t>
      </w:r>
      <w:r w:rsidRPr="00FE666C">
        <w:rPr>
          <w:sz w:val="24"/>
          <w:szCs w:val="24"/>
          <w:vertAlign w:val="subscript"/>
        </w:rPr>
        <w:t>3</w:t>
      </w:r>
      <w:r w:rsidRPr="00FE666C">
        <w:rPr>
          <w:sz w:val="24"/>
          <w:szCs w:val="24"/>
        </w:rPr>
        <w:noBreakHyphen/>
        <w:t>, D</w:t>
      </w:r>
      <w:r w:rsidRPr="00FE666C">
        <w:rPr>
          <w:sz w:val="24"/>
          <w:szCs w:val="24"/>
          <w:vertAlign w:val="subscript"/>
        </w:rPr>
        <w:t>2</w:t>
      </w:r>
      <w:r w:rsidRPr="00FE666C">
        <w:rPr>
          <w:sz w:val="24"/>
          <w:szCs w:val="24"/>
        </w:rPr>
        <w:noBreakHyphen/>
        <w:t xml:space="preserve"> og D</w:t>
      </w:r>
      <w:r w:rsidRPr="00FE666C">
        <w:rPr>
          <w:sz w:val="24"/>
          <w:szCs w:val="24"/>
          <w:vertAlign w:val="subscript"/>
        </w:rPr>
        <w:t>1</w:t>
      </w:r>
      <w:r w:rsidRPr="00FE666C">
        <w:rPr>
          <w:sz w:val="24"/>
          <w:szCs w:val="24"/>
        </w:rPr>
        <w:noBreakHyphen/>
        <w:t>receptorerne i nucleus caudatus og putamen i hjernen.</w:t>
      </w:r>
    </w:p>
    <w:p w:rsidR="00FE666C" w:rsidRPr="00FE666C" w:rsidRDefault="00FE666C" w:rsidP="00FE666C">
      <w:pPr>
        <w:tabs>
          <w:tab w:val="left" w:pos="851"/>
        </w:tabs>
        <w:ind w:left="851"/>
        <w:rPr>
          <w:sz w:val="24"/>
          <w:szCs w:val="24"/>
          <w:lang w:val="nb-NO"/>
        </w:rPr>
      </w:pPr>
      <w:r w:rsidRPr="00FE666C">
        <w:rPr>
          <w:sz w:val="24"/>
          <w:szCs w:val="24"/>
        </w:rPr>
        <w:t xml:space="preserve">Rotigotins præcise virkningsmekanisme ved behandling af </w:t>
      </w:r>
      <w:r w:rsidRPr="00FE666C">
        <w:rPr>
          <w:i/>
          <w:sz w:val="24"/>
          <w:szCs w:val="24"/>
        </w:rPr>
        <w:t>restless legs</w:t>
      </w:r>
      <w:r w:rsidRPr="00FE666C">
        <w:rPr>
          <w:sz w:val="24"/>
          <w:szCs w:val="24"/>
        </w:rPr>
        <w:noBreakHyphen/>
        <w:t xml:space="preserve">syndrom er ikke kendt. </w:t>
      </w:r>
      <w:r w:rsidRPr="00FE666C">
        <w:rPr>
          <w:sz w:val="24"/>
          <w:szCs w:val="24"/>
          <w:lang w:val="nb-NO"/>
        </w:rPr>
        <w:t>Det menes, at rotigotins virkning primært udøves via dopaminreceptorer.</w:t>
      </w:r>
    </w:p>
    <w:p w:rsidR="00FE666C" w:rsidRPr="00FE666C" w:rsidRDefault="00FE666C" w:rsidP="00FE666C">
      <w:pPr>
        <w:tabs>
          <w:tab w:val="left" w:pos="851"/>
        </w:tabs>
        <w:ind w:left="851"/>
        <w:rPr>
          <w:sz w:val="24"/>
          <w:szCs w:val="24"/>
          <w:lang w:val="nb-NO"/>
        </w:rPr>
      </w:pPr>
    </w:p>
    <w:p w:rsidR="00FE666C" w:rsidRPr="00FE666C" w:rsidRDefault="00FE666C" w:rsidP="00FE666C">
      <w:pPr>
        <w:tabs>
          <w:tab w:val="left" w:pos="851"/>
        </w:tabs>
        <w:ind w:left="851"/>
        <w:rPr>
          <w:sz w:val="24"/>
          <w:szCs w:val="24"/>
          <w:lang w:val="nb-NO"/>
        </w:rPr>
      </w:pPr>
      <w:r w:rsidRPr="00FE666C">
        <w:rPr>
          <w:sz w:val="24"/>
          <w:szCs w:val="24"/>
          <w:u w:val="single"/>
          <w:lang w:val="nb-NO"/>
        </w:rPr>
        <w:t>Farmakodynamisk virkning</w:t>
      </w:r>
    </w:p>
    <w:p w:rsidR="00FE666C" w:rsidRPr="00FE666C" w:rsidRDefault="00FE666C" w:rsidP="00FE666C">
      <w:pPr>
        <w:tabs>
          <w:tab w:val="left" w:pos="851"/>
        </w:tabs>
        <w:ind w:left="851"/>
        <w:rPr>
          <w:sz w:val="24"/>
          <w:szCs w:val="24"/>
        </w:rPr>
      </w:pPr>
      <w:r w:rsidRPr="00FE666C">
        <w:rPr>
          <w:sz w:val="24"/>
          <w:szCs w:val="24"/>
        </w:rPr>
        <w:t>Med hensyn til den funktionelle aktivitet af de forskellige undergrupper af receptorer og deres lokalisering i hjernen er rotigotin en D</w:t>
      </w:r>
      <w:r w:rsidRPr="00FE666C">
        <w:rPr>
          <w:sz w:val="24"/>
          <w:szCs w:val="24"/>
          <w:vertAlign w:val="subscript"/>
        </w:rPr>
        <w:t>2</w:t>
      </w:r>
      <w:r w:rsidRPr="00FE666C">
        <w:rPr>
          <w:sz w:val="24"/>
          <w:szCs w:val="24"/>
        </w:rPr>
        <w:noBreakHyphen/>
        <w:t xml:space="preserve"> og D</w:t>
      </w:r>
      <w:r w:rsidRPr="00FE666C">
        <w:rPr>
          <w:sz w:val="24"/>
          <w:szCs w:val="24"/>
          <w:vertAlign w:val="subscript"/>
        </w:rPr>
        <w:t>3</w:t>
      </w:r>
      <w:r w:rsidRPr="00FE666C">
        <w:rPr>
          <w:sz w:val="24"/>
          <w:szCs w:val="24"/>
        </w:rPr>
        <w:noBreakHyphen/>
        <w:t>receptoragonist, som også aktiverer D</w:t>
      </w:r>
      <w:r w:rsidRPr="00FE666C">
        <w:rPr>
          <w:sz w:val="24"/>
          <w:szCs w:val="24"/>
          <w:vertAlign w:val="subscript"/>
        </w:rPr>
        <w:t>1</w:t>
      </w:r>
      <w:r w:rsidRPr="00FE666C">
        <w:rPr>
          <w:sz w:val="24"/>
          <w:szCs w:val="24"/>
        </w:rPr>
        <w:noBreakHyphen/>
        <w:t>, D</w:t>
      </w:r>
      <w:r w:rsidRPr="00FE666C">
        <w:rPr>
          <w:sz w:val="24"/>
          <w:szCs w:val="24"/>
          <w:vertAlign w:val="subscript"/>
        </w:rPr>
        <w:t>4</w:t>
      </w:r>
      <w:r w:rsidRPr="00FE666C">
        <w:rPr>
          <w:sz w:val="24"/>
          <w:szCs w:val="24"/>
        </w:rPr>
        <w:noBreakHyphen/>
        <w:t xml:space="preserve"> og D</w:t>
      </w:r>
      <w:r w:rsidRPr="00FE666C">
        <w:rPr>
          <w:sz w:val="24"/>
          <w:szCs w:val="24"/>
          <w:vertAlign w:val="subscript"/>
        </w:rPr>
        <w:t>5</w:t>
      </w:r>
      <w:r w:rsidRPr="00FE666C">
        <w:rPr>
          <w:sz w:val="24"/>
          <w:szCs w:val="24"/>
        </w:rPr>
        <w:noBreakHyphen/>
        <w:t>receptorer. Hvad angår non</w:t>
      </w:r>
      <w:r w:rsidRPr="00FE666C">
        <w:rPr>
          <w:sz w:val="24"/>
          <w:szCs w:val="24"/>
        </w:rPr>
        <w:noBreakHyphen/>
        <w:t>dopaminerge receptorer udviste rotigotin antagonistisk effekt på alfa2B</w:t>
      </w:r>
      <w:r w:rsidRPr="00FE666C">
        <w:rPr>
          <w:sz w:val="24"/>
          <w:szCs w:val="24"/>
        </w:rPr>
        <w:noBreakHyphen/>
        <w:t>receptorer og agonistisk effekt på 5HT1A</w:t>
      </w:r>
      <w:r w:rsidRPr="00FE666C">
        <w:rPr>
          <w:sz w:val="24"/>
          <w:szCs w:val="24"/>
        </w:rPr>
        <w:noBreakHyphen/>
        <w:t>receptorer, men ingen effekt på 5HT2B</w:t>
      </w:r>
      <w:r w:rsidRPr="00FE666C">
        <w:rPr>
          <w:sz w:val="24"/>
          <w:szCs w:val="24"/>
        </w:rPr>
        <w:noBreakHyphen/>
        <w:t>receptoren.</w:t>
      </w:r>
    </w:p>
    <w:p w:rsidR="00FE666C" w:rsidRPr="00FE666C" w:rsidRDefault="00FE666C" w:rsidP="00FE666C">
      <w:pPr>
        <w:tabs>
          <w:tab w:val="left" w:pos="851"/>
        </w:tabs>
        <w:ind w:left="851"/>
        <w:rPr>
          <w:sz w:val="24"/>
          <w:szCs w:val="24"/>
          <w:u w:val="single"/>
        </w:rPr>
      </w:pPr>
    </w:p>
    <w:p w:rsidR="00FE666C" w:rsidRPr="00FE666C" w:rsidRDefault="00FE666C" w:rsidP="00FE666C">
      <w:pPr>
        <w:tabs>
          <w:tab w:val="left" w:pos="851"/>
        </w:tabs>
        <w:ind w:left="851"/>
        <w:rPr>
          <w:sz w:val="24"/>
          <w:szCs w:val="24"/>
          <w:u w:val="single"/>
        </w:rPr>
      </w:pPr>
      <w:r w:rsidRPr="00FE666C">
        <w:rPr>
          <w:sz w:val="24"/>
          <w:szCs w:val="24"/>
          <w:u w:val="single"/>
        </w:rPr>
        <w:t>Klinisk virkning</w:t>
      </w:r>
    </w:p>
    <w:p w:rsidR="00FE666C" w:rsidRPr="00FE666C" w:rsidRDefault="00FE666C" w:rsidP="00FE666C">
      <w:pPr>
        <w:tabs>
          <w:tab w:val="left" w:pos="851"/>
        </w:tabs>
        <w:ind w:left="851"/>
        <w:rPr>
          <w:sz w:val="24"/>
          <w:szCs w:val="24"/>
        </w:rPr>
      </w:pPr>
      <w:r w:rsidRPr="00FE666C">
        <w:rPr>
          <w:sz w:val="24"/>
          <w:szCs w:val="24"/>
        </w:rPr>
        <w:t xml:space="preserve">Rotigotins virkning blev vurderet i 5 placebokontrollerede studier med mere end 1.400 patienter med idiopatisk </w:t>
      </w:r>
      <w:r w:rsidRPr="00FE666C">
        <w:rPr>
          <w:i/>
          <w:iCs/>
          <w:sz w:val="24"/>
          <w:szCs w:val="24"/>
        </w:rPr>
        <w:t>restless legs</w:t>
      </w:r>
      <w:r w:rsidRPr="00FE666C">
        <w:rPr>
          <w:sz w:val="24"/>
          <w:szCs w:val="24"/>
        </w:rPr>
        <w:noBreakHyphen/>
        <w:t>syndrom (RLS). Virkningen blev demonstreret i kontrollerede studier med patienter behandlet i op til 29 uger. Effekten blev opretholdt i en periode på 6 måneder.</w:t>
      </w:r>
    </w:p>
    <w:p w:rsidR="00FE666C" w:rsidRPr="00FE666C" w:rsidRDefault="00FE666C" w:rsidP="00FE666C">
      <w:pPr>
        <w:tabs>
          <w:tab w:val="left" w:pos="851"/>
        </w:tabs>
        <w:ind w:left="851"/>
        <w:rPr>
          <w:sz w:val="24"/>
          <w:szCs w:val="24"/>
        </w:rPr>
      </w:pPr>
    </w:p>
    <w:p w:rsidR="00FE666C" w:rsidRPr="00FE666C" w:rsidRDefault="00FE666C" w:rsidP="00FE666C">
      <w:pPr>
        <w:tabs>
          <w:tab w:val="left" w:pos="851"/>
        </w:tabs>
        <w:ind w:left="851"/>
        <w:rPr>
          <w:sz w:val="24"/>
          <w:szCs w:val="24"/>
        </w:rPr>
      </w:pPr>
      <w:r w:rsidRPr="00FE666C">
        <w:rPr>
          <w:sz w:val="24"/>
          <w:szCs w:val="24"/>
        </w:rPr>
        <w:t xml:space="preserve">Ændringen fra </w:t>
      </w:r>
      <w:r w:rsidRPr="00FE666C">
        <w:rPr>
          <w:i/>
          <w:iCs/>
          <w:sz w:val="24"/>
          <w:szCs w:val="24"/>
        </w:rPr>
        <w:t>baseline</w:t>
      </w:r>
      <w:r w:rsidRPr="00FE666C">
        <w:rPr>
          <w:sz w:val="24"/>
          <w:szCs w:val="24"/>
        </w:rPr>
        <w:t xml:space="preserve"> af International RLS Rating Scale (IRLS) og CGI-item 1 (sværhedsgrad af sygdom) var primære virkningsparametre. For begge primære endepunkter er der blevet observeret statistiske signifikante forskelle ved doser på 1 mg/24 t, 2 mg/24 t og 3 mg/24 t sammenlignet med placebo. Efter 6 måneders vedligeholdelsesbehandling af patienter med moderat til svær RLS var </w:t>
      </w:r>
      <w:r w:rsidRPr="00FE666C">
        <w:rPr>
          <w:i/>
          <w:iCs/>
          <w:sz w:val="24"/>
          <w:szCs w:val="24"/>
        </w:rPr>
        <w:t>baseline</w:t>
      </w:r>
      <w:r w:rsidRPr="00FE666C">
        <w:rPr>
          <w:sz w:val="24"/>
          <w:szCs w:val="24"/>
        </w:rPr>
        <w:t xml:space="preserve"> IRLS</w:t>
      </w:r>
      <w:r w:rsidRPr="00FE666C">
        <w:rPr>
          <w:sz w:val="24"/>
          <w:szCs w:val="24"/>
        </w:rPr>
        <w:noBreakHyphen/>
        <w:t xml:space="preserve">scoren forbedret fra 30,7 til 20,7 for placebo og fra 30,2 til 13,8 for rotigotin. Den justerede gennemsnitsforskel var </w:t>
      </w:r>
      <w:r w:rsidRPr="00FE666C">
        <w:rPr>
          <w:sz w:val="24"/>
          <w:szCs w:val="24"/>
        </w:rPr>
        <w:noBreakHyphen/>
        <w:t>6,5 point (CI</w:t>
      </w:r>
      <w:r w:rsidRPr="00FE666C">
        <w:rPr>
          <w:sz w:val="24"/>
          <w:szCs w:val="24"/>
          <w:vertAlign w:val="subscript"/>
        </w:rPr>
        <w:t>95 %</w:t>
      </w:r>
      <w:r w:rsidRPr="00FE666C">
        <w:rPr>
          <w:sz w:val="24"/>
          <w:szCs w:val="24"/>
        </w:rPr>
        <w:t xml:space="preserve"> </w:t>
      </w:r>
      <w:r w:rsidRPr="00FE666C">
        <w:rPr>
          <w:sz w:val="24"/>
          <w:szCs w:val="24"/>
        </w:rPr>
        <w:noBreakHyphen/>
        <w:t xml:space="preserve">8,7; </w:t>
      </w:r>
      <w:r w:rsidRPr="00FE666C">
        <w:rPr>
          <w:sz w:val="24"/>
          <w:szCs w:val="24"/>
        </w:rPr>
        <w:noBreakHyphen/>
        <w:t>4,4, p &lt; 0,0001). CGI-I responsrate (stor forbedring, meget stor forbedring) var 43,0 % og 67,5 % for henholdsvis placebo og rotigotin (forskel 24,5 % CI</w:t>
      </w:r>
      <w:r w:rsidRPr="00FE666C">
        <w:rPr>
          <w:sz w:val="24"/>
          <w:szCs w:val="24"/>
          <w:vertAlign w:val="subscript"/>
        </w:rPr>
        <w:t>95 %</w:t>
      </w:r>
      <w:r w:rsidRPr="00FE666C">
        <w:rPr>
          <w:sz w:val="24"/>
          <w:szCs w:val="24"/>
        </w:rPr>
        <w:t>: 14,2 %; 34,8 %, p &lt; 0,0001).</w:t>
      </w:r>
    </w:p>
    <w:p w:rsidR="00FE666C" w:rsidRPr="00FE666C" w:rsidRDefault="00FE666C" w:rsidP="00FE666C">
      <w:pPr>
        <w:tabs>
          <w:tab w:val="left" w:pos="851"/>
        </w:tabs>
        <w:ind w:left="851"/>
        <w:rPr>
          <w:sz w:val="24"/>
          <w:szCs w:val="24"/>
        </w:rPr>
      </w:pPr>
      <w:r w:rsidRPr="00FE666C">
        <w:rPr>
          <w:sz w:val="24"/>
          <w:szCs w:val="24"/>
        </w:rPr>
        <w:t>I et placebokontrolleret studie med en varighed på 7 uger, blev polysomnografiske parametre undersøgt. Rotigotin reducerede antallet af periodiske benbevægelser (</w:t>
      </w:r>
      <w:r w:rsidRPr="00FE666C">
        <w:rPr>
          <w:i/>
          <w:iCs/>
          <w:sz w:val="24"/>
          <w:szCs w:val="24"/>
        </w:rPr>
        <w:t>periodic limb movement index</w:t>
      </w:r>
      <w:r w:rsidRPr="00FE666C">
        <w:rPr>
          <w:sz w:val="24"/>
          <w:szCs w:val="24"/>
        </w:rPr>
        <w:t xml:space="preserve">, PLMI) signifikant fra 50,9 til 7,7 </w:t>
      </w:r>
      <w:r w:rsidRPr="00FE666C">
        <w:rPr>
          <w:i/>
          <w:iCs/>
          <w:sz w:val="24"/>
          <w:szCs w:val="24"/>
        </w:rPr>
        <w:t>versus</w:t>
      </w:r>
      <w:r w:rsidRPr="00FE666C">
        <w:rPr>
          <w:sz w:val="24"/>
          <w:szCs w:val="24"/>
        </w:rPr>
        <w:t xml:space="preserve"> 37,4 til 32,7 for placebo (p &lt; 0,0001).</w:t>
      </w:r>
    </w:p>
    <w:p w:rsidR="00FE666C" w:rsidRPr="00FE666C" w:rsidRDefault="00FE666C" w:rsidP="00FE666C">
      <w:pPr>
        <w:tabs>
          <w:tab w:val="left" w:pos="851"/>
        </w:tabs>
        <w:ind w:left="851"/>
        <w:rPr>
          <w:sz w:val="24"/>
          <w:szCs w:val="24"/>
        </w:rPr>
      </w:pPr>
    </w:p>
    <w:p w:rsidR="00FE666C" w:rsidRPr="00FE666C" w:rsidRDefault="00FE666C" w:rsidP="00FE666C">
      <w:pPr>
        <w:tabs>
          <w:tab w:val="left" w:pos="851"/>
        </w:tabs>
        <w:ind w:left="851"/>
        <w:rPr>
          <w:i/>
          <w:iCs/>
          <w:sz w:val="24"/>
          <w:szCs w:val="24"/>
        </w:rPr>
      </w:pPr>
      <w:r w:rsidRPr="00FE666C">
        <w:rPr>
          <w:i/>
          <w:iCs/>
          <w:sz w:val="24"/>
          <w:szCs w:val="24"/>
        </w:rPr>
        <w:t>Augmentation</w:t>
      </w:r>
    </w:p>
    <w:p w:rsidR="00FE666C" w:rsidRPr="00FE666C" w:rsidRDefault="00FE666C" w:rsidP="00FE666C">
      <w:pPr>
        <w:tabs>
          <w:tab w:val="left" w:pos="851"/>
        </w:tabs>
        <w:ind w:left="851"/>
        <w:rPr>
          <w:sz w:val="24"/>
          <w:szCs w:val="24"/>
        </w:rPr>
      </w:pPr>
      <w:r w:rsidRPr="00FE666C">
        <w:rPr>
          <w:sz w:val="24"/>
          <w:szCs w:val="24"/>
        </w:rPr>
        <w:t xml:space="preserve">I to dobbeltblinde, placebokontrollerede studier af 6 måneders varighed blev klinisk relevant augmentation observeret hos 1,5 % af patienterne, som blev behandlet med rotigotin, sammenlignet med hos 0,5 % af patienterne, som fik placebo. I to åbne </w:t>
      </w:r>
      <w:r w:rsidRPr="00FE666C">
        <w:rPr>
          <w:sz w:val="24"/>
          <w:szCs w:val="24"/>
        </w:rPr>
        <w:lastRenderedPageBreak/>
        <w:t>opfølgningsstudier i de efterfølgende 12 måneder var hyppigheden af klinisk relevant augmentation 2,9 %. Ingen af disse patienter seponerede behandlingen på grund af augmentation. I et 5</w:t>
      </w:r>
      <w:r w:rsidRPr="00FE666C">
        <w:rPr>
          <w:sz w:val="24"/>
          <w:szCs w:val="24"/>
        </w:rPr>
        <w:noBreakHyphen/>
        <w:t>årigt åbent behandlingsstudie forekom augmentation hos 11,9 % af de patienter, som blev behandlet med de godkendte doser for RLS (1 – 3 mg/24 t), og blev anset som klinisk signifikant hos 5,1 %. I dette studie optrådte størstedelen af augmentationsepisoderne i løbet af det første og andet behandlingsår. I dette studie blev der ydermere givet en højere dosis på 4 mg/24 t, som ikke er godkendt til RLS, hvilket medførte højere forekomst af augmentation.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7860F7" w:rsidRPr="007860F7" w:rsidRDefault="007860F7" w:rsidP="007860F7">
      <w:pPr>
        <w:tabs>
          <w:tab w:val="left" w:pos="851"/>
        </w:tabs>
        <w:ind w:left="851"/>
        <w:rPr>
          <w:sz w:val="24"/>
          <w:szCs w:val="24"/>
        </w:rPr>
      </w:pPr>
    </w:p>
    <w:p w:rsidR="007860F7" w:rsidRPr="007860F7" w:rsidRDefault="007860F7" w:rsidP="007860F7">
      <w:pPr>
        <w:tabs>
          <w:tab w:val="left" w:pos="851"/>
        </w:tabs>
        <w:ind w:left="851"/>
        <w:rPr>
          <w:sz w:val="24"/>
          <w:szCs w:val="24"/>
          <w:u w:val="single"/>
        </w:rPr>
      </w:pPr>
      <w:r w:rsidRPr="007860F7">
        <w:rPr>
          <w:sz w:val="24"/>
          <w:szCs w:val="24"/>
          <w:u w:val="single"/>
        </w:rPr>
        <w:t>Absorption</w:t>
      </w:r>
    </w:p>
    <w:p w:rsidR="007860F7" w:rsidRPr="007860F7" w:rsidRDefault="007860F7" w:rsidP="007860F7">
      <w:pPr>
        <w:tabs>
          <w:tab w:val="left" w:pos="851"/>
        </w:tabs>
        <w:ind w:left="851"/>
        <w:rPr>
          <w:sz w:val="24"/>
          <w:szCs w:val="24"/>
        </w:rPr>
      </w:pPr>
      <w:r w:rsidRPr="007860F7">
        <w:rPr>
          <w:sz w:val="24"/>
          <w:szCs w:val="24"/>
        </w:rPr>
        <w:t xml:space="preserve">Efter applikation frigives rotigotin kontinuerligt fra depotplastret og absorberes gennem huden. </w:t>
      </w:r>
      <w:r w:rsidRPr="007860F7">
        <w:rPr>
          <w:i/>
          <w:iCs/>
          <w:sz w:val="24"/>
          <w:szCs w:val="24"/>
        </w:rPr>
        <w:t>Steady</w:t>
      </w:r>
      <w:r w:rsidRPr="007860F7">
        <w:rPr>
          <w:i/>
          <w:iCs/>
          <w:sz w:val="24"/>
          <w:szCs w:val="24"/>
        </w:rPr>
        <w:noBreakHyphen/>
        <w:t>state</w:t>
      </w:r>
      <w:r w:rsidRPr="007860F7">
        <w:rPr>
          <w:sz w:val="24"/>
          <w:szCs w:val="24"/>
        </w:rPr>
        <w:t>-koncentrationer opnås efter en til to dages brug af plastret og opretholdes på et stabilt niveau ved applikation én gang dagligt, hvor plastret bæres i 24 timer. Rotigotins plasmakoncentrationer øges dosisproportionalt over et dosisinterval fra 1 mg/24 t til 24 mg/24 t.</w:t>
      </w:r>
    </w:p>
    <w:p w:rsidR="007860F7" w:rsidRPr="007860F7" w:rsidRDefault="007860F7" w:rsidP="007860F7">
      <w:pPr>
        <w:tabs>
          <w:tab w:val="left" w:pos="851"/>
        </w:tabs>
        <w:ind w:left="851"/>
        <w:rPr>
          <w:sz w:val="24"/>
          <w:szCs w:val="24"/>
        </w:rPr>
      </w:pPr>
    </w:p>
    <w:p w:rsidR="007860F7" w:rsidRPr="007860F7" w:rsidRDefault="007860F7" w:rsidP="007860F7">
      <w:pPr>
        <w:tabs>
          <w:tab w:val="left" w:pos="851"/>
        </w:tabs>
        <w:ind w:left="851"/>
        <w:rPr>
          <w:sz w:val="24"/>
          <w:szCs w:val="24"/>
        </w:rPr>
      </w:pPr>
      <w:r w:rsidRPr="007860F7">
        <w:rPr>
          <w:sz w:val="24"/>
          <w:szCs w:val="24"/>
        </w:rPr>
        <w:t>Ca. 45 % af det aktive stof i plastret frigives til huden på 24 timer. Den absolutte biotilgængelighed efter transdermal applikation er ca. 37 %.</w:t>
      </w:r>
    </w:p>
    <w:p w:rsidR="007860F7" w:rsidRPr="007860F7" w:rsidRDefault="007860F7" w:rsidP="007860F7">
      <w:pPr>
        <w:tabs>
          <w:tab w:val="left" w:pos="851"/>
        </w:tabs>
        <w:ind w:left="851"/>
        <w:rPr>
          <w:sz w:val="24"/>
          <w:szCs w:val="24"/>
        </w:rPr>
      </w:pPr>
      <w:r w:rsidRPr="007860F7">
        <w:rPr>
          <w:sz w:val="24"/>
          <w:szCs w:val="24"/>
        </w:rPr>
        <w:t xml:space="preserve">Skiftende applikationssteder kan give forskelle fra dag til dag i plasmaniveauet. Forskellene i rotigotins biotilgængelighed lå i intervallet fra 2 % (overarm </w:t>
      </w:r>
      <w:r w:rsidRPr="007860F7">
        <w:rPr>
          <w:i/>
          <w:iCs/>
          <w:sz w:val="24"/>
          <w:szCs w:val="24"/>
        </w:rPr>
        <w:t>versus</w:t>
      </w:r>
      <w:r w:rsidRPr="007860F7">
        <w:rPr>
          <w:sz w:val="24"/>
          <w:szCs w:val="24"/>
        </w:rPr>
        <w:t xml:space="preserve"> side) til 46 % (skulder </w:t>
      </w:r>
      <w:r w:rsidRPr="007860F7">
        <w:rPr>
          <w:i/>
          <w:iCs/>
          <w:sz w:val="24"/>
          <w:szCs w:val="24"/>
        </w:rPr>
        <w:t>versus</w:t>
      </w:r>
      <w:r w:rsidRPr="007860F7">
        <w:rPr>
          <w:sz w:val="24"/>
          <w:szCs w:val="24"/>
        </w:rPr>
        <w:t xml:space="preserve"> lår). Der er imidlertid ingen indikation for relevant påvirkning af det kliniske resultat.</w:t>
      </w:r>
    </w:p>
    <w:p w:rsidR="007860F7" w:rsidRPr="007860F7" w:rsidRDefault="007860F7" w:rsidP="007860F7">
      <w:pPr>
        <w:tabs>
          <w:tab w:val="left" w:pos="851"/>
        </w:tabs>
        <w:ind w:left="851"/>
        <w:rPr>
          <w:sz w:val="24"/>
          <w:szCs w:val="24"/>
        </w:rPr>
      </w:pPr>
    </w:p>
    <w:p w:rsidR="007860F7" w:rsidRPr="007860F7" w:rsidRDefault="007860F7" w:rsidP="007860F7">
      <w:pPr>
        <w:tabs>
          <w:tab w:val="left" w:pos="851"/>
        </w:tabs>
        <w:ind w:left="851"/>
        <w:rPr>
          <w:sz w:val="24"/>
          <w:szCs w:val="24"/>
          <w:u w:val="single"/>
          <w:lang w:val="nb-NO"/>
        </w:rPr>
      </w:pPr>
      <w:r w:rsidRPr="007860F7">
        <w:rPr>
          <w:sz w:val="24"/>
          <w:szCs w:val="24"/>
          <w:u w:val="single"/>
          <w:lang w:val="nb-NO"/>
        </w:rPr>
        <w:t>Fordeling</w:t>
      </w:r>
    </w:p>
    <w:p w:rsidR="007860F7" w:rsidRPr="007860F7" w:rsidRDefault="007860F7" w:rsidP="007860F7">
      <w:pPr>
        <w:tabs>
          <w:tab w:val="left" w:pos="851"/>
        </w:tabs>
        <w:ind w:left="851"/>
        <w:rPr>
          <w:sz w:val="24"/>
          <w:szCs w:val="24"/>
          <w:lang w:val="nb-NO"/>
        </w:rPr>
      </w:pPr>
      <w:r w:rsidRPr="007860F7">
        <w:rPr>
          <w:sz w:val="24"/>
          <w:szCs w:val="24"/>
          <w:lang w:val="nb-NO"/>
        </w:rPr>
        <w:t xml:space="preserve">Rotigotins </w:t>
      </w:r>
      <w:r w:rsidRPr="007860F7">
        <w:rPr>
          <w:i/>
          <w:iCs/>
          <w:sz w:val="24"/>
          <w:szCs w:val="24"/>
          <w:lang w:val="nb-NO"/>
        </w:rPr>
        <w:t>in vitro</w:t>
      </w:r>
      <w:r w:rsidRPr="007860F7">
        <w:rPr>
          <w:sz w:val="24"/>
          <w:szCs w:val="24"/>
          <w:lang w:val="nb-NO"/>
        </w:rPr>
        <w:noBreakHyphen/>
        <w:t>binding til plasmaproteiner er ca. 92 %. Det tilsyneladende distributionsvolumen hos mennesker er ca. 84 l/kg.</w:t>
      </w:r>
    </w:p>
    <w:p w:rsidR="007860F7" w:rsidRPr="007860F7" w:rsidRDefault="007860F7" w:rsidP="007860F7">
      <w:pPr>
        <w:tabs>
          <w:tab w:val="left" w:pos="851"/>
        </w:tabs>
        <w:ind w:left="851"/>
        <w:rPr>
          <w:sz w:val="24"/>
          <w:szCs w:val="24"/>
          <w:lang w:val="nb-NO"/>
        </w:rPr>
      </w:pPr>
    </w:p>
    <w:p w:rsidR="007860F7" w:rsidRPr="007860F7" w:rsidRDefault="007860F7" w:rsidP="007860F7">
      <w:pPr>
        <w:tabs>
          <w:tab w:val="left" w:pos="851"/>
        </w:tabs>
        <w:ind w:left="851"/>
        <w:rPr>
          <w:sz w:val="24"/>
          <w:szCs w:val="24"/>
          <w:u w:val="single"/>
          <w:lang w:val="nb-NO"/>
        </w:rPr>
      </w:pPr>
      <w:r w:rsidRPr="007860F7">
        <w:rPr>
          <w:sz w:val="24"/>
          <w:szCs w:val="24"/>
          <w:u w:val="single"/>
          <w:lang w:val="nb-NO"/>
        </w:rPr>
        <w:t>Biotransformation</w:t>
      </w:r>
    </w:p>
    <w:p w:rsidR="007860F7" w:rsidRPr="007860F7" w:rsidRDefault="007860F7" w:rsidP="007860F7">
      <w:pPr>
        <w:tabs>
          <w:tab w:val="left" w:pos="851"/>
        </w:tabs>
        <w:ind w:left="851"/>
        <w:rPr>
          <w:sz w:val="24"/>
          <w:szCs w:val="24"/>
          <w:lang w:val="nb-NO"/>
        </w:rPr>
      </w:pPr>
      <w:r w:rsidRPr="007860F7">
        <w:rPr>
          <w:sz w:val="24"/>
          <w:szCs w:val="24"/>
          <w:lang w:val="nb-NO"/>
        </w:rPr>
        <w:t>Rotigotin metaboliseres i høj grad. Rotigotin metaboliseres både ved N</w:t>
      </w:r>
      <w:r w:rsidRPr="007860F7">
        <w:rPr>
          <w:sz w:val="24"/>
          <w:szCs w:val="24"/>
          <w:lang w:val="nb-NO"/>
        </w:rPr>
        <w:noBreakHyphen/>
        <w:t>dealkylering og ved direkte og sekundær konjugation.</w:t>
      </w:r>
      <w:r w:rsidRPr="007860F7">
        <w:rPr>
          <w:i/>
          <w:iCs/>
          <w:sz w:val="24"/>
          <w:szCs w:val="24"/>
          <w:lang w:val="nb-NO"/>
        </w:rPr>
        <w:t xml:space="preserve"> In vitro</w:t>
      </w:r>
      <w:r w:rsidRPr="007860F7">
        <w:rPr>
          <w:sz w:val="24"/>
          <w:szCs w:val="24"/>
          <w:lang w:val="nb-NO"/>
        </w:rPr>
        <w:noBreakHyphen/>
        <w:t>resultater viser, at forskellige CYP</w:t>
      </w:r>
      <w:r w:rsidRPr="007860F7">
        <w:rPr>
          <w:sz w:val="24"/>
          <w:szCs w:val="24"/>
          <w:lang w:val="nb-NO"/>
        </w:rPr>
        <w:noBreakHyphen/>
        <w:t>isoformer er i stand til at katalysere rotigotins N</w:t>
      </w:r>
      <w:r w:rsidRPr="007860F7">
        <w:rPr>
          <w:sz w:val="24"/>
          <w:szCs w:val="24"/>
          <w:lang w:val="nb-NO"/>
        </w:rPr>
        <w:noBreakHyphen/>
        <w:t>dealkylering. Hovedmetabolitterne er sulfater og glucuronidkonjugater af moderstoffet samt N</w:t>
      </w:r>
      <w:r w:rsidRPr="007860F7">
        <w:rPr>
          <w:sz w:val="24"/>
          <w:szCs w:val="24"/>
          <w:lang w:val="nb-NO"/>
        </w:rPr>
        <w:noBreakHyphen/>
        <w:t>desalkyl</w:t>
      </w:r>
      <w:r w:rsidRPr="007860F7">
        <w:rPr>
          <w:sz w:val="24"/>
          <w:szCs w:val="24"/>
          <w:lang w:val="nb-NO"/>
        </w:rPr>
        <w:noBreakHyphen/>
        <w:t>metabolitter, som er biologisk inaktive.</w:t>
      </w:r>
    </w:p>
    <w:p w:rsidR="007860F7" w:rsidRPr="007860F7" w:rsidRDefault="007860F7" w:rsidP="007860F7">
      <w:pPr>
        <w:tabs>
          <w:tab w:val="left" w:pos="851"/>
        </w:tabs>
        <w:ind w:left="851"/>
        <w:rPr>
          <w:sz w:val="24"/>
          <w:szCs w:val="24"/>
        </w:rPr>
      </w:pPr>
      <w:r w:rsidRPr="007860F7">
        <w:rPr>
          <w:sz w:val="24"/>
          <w:szCs w:val="24"/>
        </w:rPr>
        <w:t>Informationen om metabolitter er ufuldstændig.</w:t>
      </w:r>
    </w:p>
    <w:p w:rsidR="007860F7" w:rsidRPr="007860F7" w:rsidRDefault="007860F7" w:rsidP="007860F7">
      <w:pPr>
        <w:tabs>
          <w:tab w:val="left" w:pos="851"/>
        </w:tabs>
        <w:ind w:left="851"/>
        <w:rPr>
          <w:sz w:val="24"/>
          <w:szCs w:val="24"/>
        </w:rPr>
      </w:pPr>
    </w:p>
    <w:p w:rsidR="007860F7" w:rsidRPr="007860F7" w:rsidRDefault="007860F7" w:rsidP="007860F7">
      <w:pPr>
        <w:tabs>
          <w:tab w:val="left" w:pos="851"/>
        </w:tabs>
        <w:ind w:left="851"/>
        <w:rPr>
          <w:sz w:val="24"/>
          <w:szCs w:val="24"/>
        </w:rPr>
      </w:pPr>
      <w:r w:rsidRPr="007860F7">
        <w:rPr>
          <w:sz w:val="24"/>
          <w:szCs w:val="24"/>
          <w:u w:val="single"/>
        </w:rPr>
        <w:t>Elimination</w:t>
      </w:r>
    </w:p>
    <w:p w:rsidR="007860F7" w:rsidRPr="007860F7" w:rsidRDefault="007860F7" w:rsidP="007860F7">
      <w:pPr>
        <w:tabs>
          <w:tab w:val="left" w:pos="851"/>
        </w:tabs>
        <w:ind w:left="851"/>
        <w:rPr>
          <w:sz w:val="24"/>
          <w:szCs w:val="24"/>
        </w:rPr>
      </w:pPr>
      <w:r w:rsidRPr="007860F7">
        <w:rPr>
          <w:sz w:val="24"/>
          <w:szCs w:val="24"/>
        </w:rPr>
        <w:t>Ca. 71 % af rotigotin</w:t>
      </w:r>
      <w:r w:rsidRPr="007860F7">
        <w:rPr>
          <w:sz w:val="24"/>
          <w:szCs w:val="24"/>
        </w:rPr>
        <w:noBreakHyphen/>
        <w:t>dosen udskilles med urinen, og en mindre del på omkring 23 % udskilles i fæces.</w:t>
      </w:r>
    </w:p>
    <w:p w:rsidR="007860F7" w:rsidRPr="007860F7" w:rsidRDefault="007860F7" w:rsidP="007860F7">
      <w:pPr>
        <w:tabs>
          <w:tab w:val="left" w:pos="851"/>
        </w:tabs>
        <w:ind w:left="851"/>
        <w:rPr>
          <w:sz w:val="24"/>
          <w:szCs w:val="24"/>
        </w:rPr>
      </w:pPr>
      <w:r w:rsidRPr="007860F7">
        <w:rPr>
          <w:sz w:val="24"/>
          <w:szCs w:val="24"/>
        </w:rPr>
        <w:t>Rotigotins clearance efter transdermal administration er ca. 10 l/min., og den totale eliminationshalveringstid er 5 – 7 timer. Den farmakokinetiske profil viser en bifasisk elimination med en initial halveringstid på ca. 2 – 3 timer.</w:t>
      </w:r>
    </w:p>
    <w:p w:rsidR="007860F7" w:rsidRPr="007860F7" w:rsidRDefault="007860F7" w:rsidP="007860F7">
      <w:pPr>
        <w:tabs>
          <w:tab w:val="left" w:pos="851"/>
        </w:tabs>
        <w:ind w:left="851"/>
        <w:rPr>
          <w:sz w:val="24"/>
          <w:szCs w:val="24"/>
        </w:rPr>
      </w:pPr>
    </w:p>
    <w:p w:rsidR="007860F7" w:rsidRPr="007860F7" w:rsidRDefault="007860F7" w:rsidP="007860F7">
      <w:pPr>
        <w:tabs>
          <w:tab w:val="left" w:pos="851"/>
        </w:tabs>
        <w:ind w:left="851"/>
        <w:rPr>
          <w:sz w:val="24"/>
          <w:szCs w:val="24"/>
        </w:rPr>
      </w:pPr>
      <w:r w:rsidRPr="007860F7">
        <w:rPr>
          <w:sz w:val="24"/>
          <w:szCs w:val="24"/>
        </w:rPr>
        <w:t>Da plastret administreres transdermalt, forventes mad og gastrointestinale sygdomme ikke at interferere.</w:t>
      </w:r>
    </w:p>
    <w:p w:rsidR="007860F7" w:rsidRPr="007860F7" w:rsidRDefault="007860F7" w:rsidP="007860F7">
      <w:pPr>
        <w:tabs>
          <w:tab w:val="left" w:pos="851"/>
        </w:tabs>
        <w:ind w:left="851"/>
        <w:rPr>
          <w:sz w:val="24"/>
          <w:szCs w:val="24"/>
        </w:rPr>
      </w:pPr>
    </w:p>
    <w:p w:rsidR="007860F7" w:rsidRPr="007860F7" w:rsidRDefault="007860F7" w:rsidP="007860F7">
      <w:pPr>
        <w:tabs>
          <w:tab w:val="left" w:pos="851"/>
        </w:tabs>
        <w:ind w:left="851"/>
        <w:rPr>
          <w:sz w:val="24"/>
          <w:szCs w:val="24"/>
        </w:rPr>
      </w:pPr>
      <w:r w:rsidRPr="007860F7">
        <w:rPr>
          <w:sz w:val="24"/>
          <w:szCs w:val="24"/>
          <w:u w:val="single"/>
        </w:rPr>
        <w:t>Særlige patientgrupper</w:t>
      </w:r>
    </w:p>
    <w:p w:rsidR="007860F7" w:rsidRPr="007860F7" w:rsidRDefault="007860F7" w:rsidP="007860F7">
      <w:pPr>
        <w:tabs>
          <w:tab w:val="left" w:pos="851"/>
        </w:tabs>
        <w:ind w:left="851"/>
        <w:rPr>
          <w:sz w:val="24"/>
          <w:szCs w:val="24"/>
        </w:rPr>
      </w:pPr>
      <w:r w:rsidRPr="007860F7">
        <w:rPr>
          <w:sz w:val="24"/>
          <w:szCs w:val="24"/>
        </w:rPr>
        <w:t>Da behandling med Rotigotine "Medical Valley" indledes med en lav dosis og gradvis titreres i overensstemmelse med klinisk tolerabilitet for at opnå optimal behandlingseffekt, er det ikke nødvendigt at foretage dosisjustering baseret på køn, vægt eller alder.</w:t>
      </w:r>
    </w:p>
    <w:p w:rsidR="007860F7" w:rsidRPr="007860F7" w:rsidRDefault="007860F7" w:rsidP="007860F7">
      <w:pPr>
        <w:tabs>
          <w:tab w:val="left" w:pos="851"/>
        </w:tabs>
        <w:ind w:left="851"/>
        <w:rPr>
          <w:sz w:val="24"/>
          <w:szCs w:val="24"/>
        </w:rPr>
      </w:pPr>
    </w:p>
    <w:p w:rsidR="007860F7" w:rsidRPr="007860F7" w:rsidRDefault="007860F7" w:rsidP="007860F7">
      <w:pPr>
        <w:tabs>
          <w:tab w:val="left" w:pos="851"/>
        </w:tabs>
        <w:ind w:left="851"/>
        <w:rPr>
          <w:i/>
          <w:sz w:val="24"/>
          <w:szCs w:val="24"/>
        </w:rPr>
      </w:pPr>
      <w:r w:rsidRPr="007860F7">
        <w:rPr>
          <w:i/>
          <w:sz w:val="24"/>
          <w:szCs w:val="24"/>
        </w:rPr>
        <w:t>Nedsat lever- og nyrefunktion</w:t>
      </w:r>
    </w:p>
    <w:p w:rsidR="007860F7" w:rsidRPr="007860F7" w:rsidRDefault="007860F7" w:rsidP="007860F7">
      <w:pPr>
        <w:tabs>
          <w:tab w:val="left" w:pos="851"/>
        </w:tabs>
        <w:ind w:left="851"/>
        <w:rPr>
          <w:sz w:val="24"/>
          <w:szCs w:val="24"/>
        </w:rPr>
      </w:pPr>
      <w:r w:rsidRPr="007860F7">
        <w:rPr>
          <w:sz w:val="24"/>
          <w:szCs w:val="24"/>
        </w:rPr>
        <w:t>Hos patienter med moderat nedsat leverfunktion eller let til svært nedsat nyrefunktion sås ingen relevante stigninger i rotigotins plasmaniveauer. Rotigotine "Medical Valley" er ikke undersøgt hos patienter med svært nedsat leverfunktion.</w:t>
      </w:r>
    </w:p>
    <w:p w:rsidR="007860F7" w:rsidRPr="007860F7" w:rsidRDefault="007860F7" w:rsidP="007860F7">
      <w:pPr>
        <w:tabs>
          <w:tab w:val="left" w:pos="851"/>
        </w:tabs>
        <w:ind w:left="851"/>
        <w:rPr>
          <w:sz w:val="24"/>
          <w:szCs w:val="24"/>
        </w:rPr>
      </w:pPr>
      <w:r w:rsidRPr="007860F7">
        <w:rPr>
          <w:sz w:val="24"/>
          <w:szCs w:val="24"/>
        </w:rPr>
        <w:t>Plasmaniveauerne af rotigotinkonjugater og dets desalkylmetabolitter øges med nedsat nyrefunktion. Det er imidlertid usandsynligt, at disse metabolitter påvirker den kliniske effekt.</w:t>
      </w:r>
    </w:p>
    <w:p w:rsidR="007860F7" w:rsidRPr="007860F7" w:rsidRDefault="007860F7" w:rsidP="007860F7">
      <w:pPr>
        <w:tabs>
          <w:tab w:val="left" w:pos="851"/>
        </w:tabs>
        <w:ind w:left="851"/>
        <w:rPr>
          <w:sz w:val="24"/>
          <w:szCs w:val="24"/>
        </w:rPr>
      </w:pPr>
    </w:p>
    <w:p w:rsidR="007860F7" w:rsidRPr="007860F7" w:rsidRDefault="007860F7" w:rsidP="007860F7">
      <w:pPr>
        <w:tabs>
          <w:tab w:val="left" w:pos="851"/>
        </w:tabs>
        <w:ind w:left="851"/>
        <w:rPr>
          <w:i/>
          <w:iCs/>
          <w:sz w:val="24"/>
          <w:szCs w:val="24"/>
        </w:rPr>
      </w:pPr>
      <w:r w:rsidRPr="007860F7">
        <w:rPr>
          <w:i/>
          <w:iCs/>
          <w:sz w:val="24"/>
          <w:szCs w:val="24"/>
        </w:rPr>
        <w:t>Pædiatrisk population</w:t>
      </w:r>
    </w:p>
    <w:p w:rsidR="007860F7" w:rsidRPr="007860F7" w:rsidRDefault="007860F7" w:rsidP="007860F7">
      <w:pPr>
        <w:tabs>
          <w:tab w:val="left" w:pos="851"/>
        </w:tabs>
        <w:ind w:left="851"/>
        <w:rPr>
          <w:sz w:val="24"/>
          <w:szCs w:val="24"/>
        </w:rPr>
      </w:pPr>
      <w:r w:rsidRPr="007860F7">
        <w:rPr>
          <w:sz w:val="24"/>
          <w:szCs w:val="24"/>
        </w:rPr>
        <w:t>Begrænsede farmakokinetiske data fra unge patienter med RLS (13 – 17 år, n = 24) efter behandling med gentagne doser på 0,5 til 3 mg/24 timer viste, at den systemiske eksponering for rotigotin var sammenlignelig med den, der blev observeret hos voksne. Data vedrørende sikkerhed og virkning er ikke tilstrækkelige til at fastlægge en sammenhæng mellem eksponering og respons (se også pædiatrisk information under pkt. 4.2).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7860F7" w:rsidRPr="007860F7" w:rsidRDefault="007860F7" w:rsidP="007860F7">
      <w:pPr>
        <w:tabs>
          <w:tab w:val="left" w:pos="851"/>
        </w:tabs>
        <w:ind w:left="851"/>
        <w:rPr>
          <w:sz w:val="24"/>
          <w:szCs w:val="24"/>
        </w:rPr>
      </w:pPr>
      <w:r w:rsidRPr="007860F7">
        <w:rPr>
          <w:sz w:val="24"/>
          <w:szCs w:val="24"/>
        </w:rPr>
        <w:t>I studier med gentagne doser og langtidstoksicitet blev de primære effekter forbundet med dopaminagonistrelateret farmakodynamisk effekt og den deraf følgende reducerede prolaktinsekretion.</w:t>
      </w:r>
    </w:p>
    <w:p w:rsidR="007860F7" w:rsidRPr="007860F7" w:rsidRDefault="007860F7" w:rsidP="007860F7">
      <w:pPr>
        <w:tabs>
          <w:tab w:val="left" w:pos="851"/>
        </w:tabs>
        <w:ind w:left="851"/>
        <w:rPr>
          <w:sz w:val="24"/>
          <w:szCs w:val="24"/>
        </w:rPr>
      </w:pPr>
      <w:r w:rsidRPr="007860F7">
        <w:rPr>
          <w:sz w:val="24"/>
          <w:szCs w:val="24"/>
        </w:rPr>
        <w:t>Efter en enkelt dosis rotigotin var der en tydelig binding til væv, som indeholdt melanin (dvs. øjne), hos den pigmenterede rotte og abe, men den fortog sig langsomt i løbet af 14</w:t>
      </w:r>
      <w:r w:rsidRPr="007860F7">
        <w:rPr>
          <w:sz w:val="24"/>
          <w:szCs w:val="24"/>
        </w:rPr>
        <w:noBreakHyphen/>
        <w:t>dages observationsperioden.</w:t>
      </w:r>
    </w:p>
    <w:p w:rsidR="007860F7" w:rsidRPr="007860F7" w:rsidRDefault="007860F7" w:rsidP="007860F7">
      <w:pPr>
        <w:tabs>
          <w:tab w:val="left" w:pos="851"/>
        </w:tabs>
        <w:ind w:left="851"/>
        <w:rPr>
          <w:sz w:val="24"/>
          <w:szCs w:val="24"/>
        </w:rPr>
      </w:pPr>
      <w:r w:rsidRPr="007860F7">
        <w:rPr>
          <w:sz w:val="24"/>
          <w:szCs w:val="24"/>
        </w:rPr>
        <w:t>Der sås retinal degeneration ved hjælp af transmissionsmikroskopi ved en dosis svarende til 2,8 gange den maksimale anbefalede dosis for mennesker på mg/m</w:t>
      </w:r>
      <w:r w:rsidRPr="007860F7">
        <w:rPr>
          <w:sz w:val="24"/>
          <w:szCs w:val="24"/>
          <w:vertAlign w:val="superscript"/>
        </w:rPr>
        <w:t>2</w:t>
      </w:r>
      <w:r w:rsidRPr="007860F7">
        <w:rPr>
          <w:sz w:val="24"/>
          <w:szCs w:val="24"/>
        </w:rPr>
        <w:noBreakHyphen/>
        <w:t>basis i et 3</w:t>
      </w:r>
      <w:r w:rsidRPr="007860F7">
        <w:rPr>
          <w:sz w:val="24"/>
          <w:szCs w:val="24"/>
        </w:rPr>
        <w:noBreakHyphen/>
        <w:t>måneders studie med albinorotter. Effekten var tydeligst hos hunrotter. Der har ikke været foretaget flere studier for yderligere at vurdere den specifikke patologi. Der sås ingen retinal degeneration under den rutinemæssige, histopatologiske vurdering af øjnene i nogen af de toksikologiske studier hos nogen af de anvendte arter. Relevansen af disse fund for mennesker kendes ikke.</w:t>
      </w:r>
    </w:p>
    <w:p w:rsidR="007860F7" w:rsidRPr="007860F7" w:rsidRDefault="007860F7" w:rsidP="007860F7">
      <w:pPr>
        <w:tabs>
          <w:tab w:val="left" w:pos="851"/>
        </w:tabs>
        <w:ind w:left="851"/>
        <w:rPr>
          <w:sz w:val="24"/>
          <w:szCs w:val="24"/>
        </w:rPr>
      </w:pPr>
    </w:p>
    <w:p w:rsidR="007860F7" w:rsidRPr="007860F7" w:rsidRDefault="007860F7" w:rsidP="007860F7">
      <w:pPr>
        <w:tabs>
          <w:tab w:val="left" w:pos="851"/>
        </w:tabs>
        <w:ind w:left="851"/>
        <w:rPr>
          <w:sz w:val="24"/>
          <w:szCs w:val="24"/>
        </w:rPr>
      </w:pPr>
      <w:r w:rsidRPr="007860F7">
        <w:rPr>
          <w:sz w:val="24"/>
          <w:szCs w:val="24"/>
        </w:rPr>
        <w:t>I et karcinogenicitetsstudie udviklede hanrotter Leydig celle</w:t>
      </w:r>
      <w:r w:rsidRPr="007860F7">
        <w:rPr>
          <w:sz w:val="24"/>
          <w:szCs w:val="24"/>
        </w:rPr>
        <w:noBreakHyphen/>
        <w:t xml:space="preserve">tumorer og </w:t>
      </w:r>
      <w:r w:rsidRPr="007860F7">
        <w:rPr>
          <w:sz w:val="24"/>
          <w:szCs w:val="24"/>
        </w:rPr>
        <w:noBreakHyphen/>
        <w:t>hyperplasi. Maligne tumorer sås især i livmoderen hos hunner, som fik middel eller høj dosis. Disse ændringer er velkendte effekter af dopaminagonister hos rotter efter livslang behandling og vurderes som ikke relevante for mennesker.</w:t>
      </w:r>
    </w:p>
    <w:p w:rsidR="007860F7" w:rsidRPr="007860F7" w:rsidRDefault="007860F7" w:rsidP="007860F7">
      <w:pPr>
        <w:tabs>
          <w:tab w:val="left" w:pos="851"/>
        </w:tabs>
        <w:ind w:left="851"/>
        <w:rPr>
          <w:sz w:val="24"/>
          <w:szCs w:val="24"/>
        </w:rPr>
      </w:pPr>
      <w:r w:rsidRPr="007860F7">
        <w:rPr>
          <w:sz w:val="24"/>
          <w:szCs w:val="24"/>
        </w:rPr>
        <w:t xml:space="preserve">Rotigotins påvirkning af reproduktionen er undersøgt hos rotter, kaniner og mus. Rotigotin var ikke teratogent hos nogen af de tre arter, men var embryotoksisk hos rotter og mus ved maternotoksiske doser. Rotigotin påvirkede ikke hanrotters fertilitet, men reducerede tydeligt fertiliteten hos hunrotter og </w:t>
      </w:r>
      <w:r w:rsidRPr="007860F7">
        <w:rPr>
          <w:sz w:val="24"/>
          <w:szCs w:val="24"/>
        </w:rPr>
        <w:noBreakHyphen/>
        <w:t>mus på grund af påvirkningen af prolaktinniveauet, som er særlig signifikant hos gnavere.</w:t>
      </w:r>
    </w:p>
    <w:p w:rsidR="007860F7" w:rsidRPr="007860F7" w:rsidRDefault="007860F7" w:rsidP="007860F7">
      <w:pPr>
        <w:tabs>
          <w:tab w:val="left" w:pos="851"/>
        </w:tabs>
        <w:ind w:left="851"/>
        <w:rPr>
          <w:sz w:val="24"/>
          <w:szCs w:val="24"/>
        </w:rPr>
      </w:pPr>
    </w:p>
    <w:p w:rsidR="007860F7" w:rsidRPr="007860F7" w:rsidRDefault="007860F7" w:rsidP="007860F7">
      <w:pPr>
        <w:tabs>
          <w:tab w:val="left" w:pos="851"/>
        </w:tabs>
        <w:ind w:left="851"/>
        <w:rPr>
          <w:sz w:val="24"/>
          <w:szCs w:val="24"/>
        </w:rPr>
      </w:pPr>
      <w:r w:rsidRPr="007860F7">
        <w:rPr>
          <w:sz w:val="24"/>
          <w:szCs w:val="24"/>
        </w:rPr>
        <w:t>Rotigotin inducerede ikke genmutationer i Ames</w:t>
      </w:r>
      <w:r w:rsidRPr="007860F7">
        <w:rPr>
          <w:sz w:val="24"/>
          <w:szCs w:val="24"/>
        </w:rPr>
        <w:noBreakHyphen/>
        <w:t xml:space="preserve">testen, men udviste mutagene effekter i </w:t>
      </w:r>
      <w:r w:rsidRPr="007860F7">
        <w:rPr>
          <w:i/>
          <w:iCs/>
          <w:sz w:val="24"/>
          <w:szCs w:val="24"/>
        </w:rPr>
        <w:t>in vitro</w:t>
      </w:r>
      <w:r w:rsidRPr="007860F7">
        <w:rPr>
          <w:sz w:val="24"/>
          <w:szCs w:val="24"/>
        </w:rPr>
        <w:noBreakHyphen/>
        <w:t xml:space="preserve">muselymfomtesten med metabolisk aktivering og svagere effekt uden metabolisk aktivering. Denne mutagene effekt kan muligvis tilskrives rotigotins klastogene effekt. Denne effekt bekræftedes dog ikke </w:t>
      </w:r>
      <w:r w:rsidRPr="007860F7">
        <w:rPr>
          <w:i/>
          <w:iCs/>
          <w:sz w:val="24"/>
          <w:szCs w:val="24"/>
        </w:rPr>
        <w:t xml:space="preserve">in vivo </w:t>
      </w:r>
      <w:r w:rsidRPr="007860F7">
        <w:rPr>
          <w:sz w:val="24"/>
          <w:szCs w:val="24"/>
        </w:rPr>
        <w:t>i musemikronukleustesten eller i UDS (</w:t>
      </w:r>
      <w:r w:rsidRPr="007860F7">
        <w:rPr>
          <w:i/>
          <w:iCs/>
          <w:sz w:val="24"/>
          <w:szCs w:val="24"/>
        </w:rPr>
        <w:t>Unscheduled DNA Synthesis</w:t>
      </w:r>
      <w:r w:rsidRPr="007860F7">
        <w:rPr>
          <w:sz w:val="24"/>
          <w:szCs w:val="24"/>
        </w:rPr>
        <w:t>)</w:t>
      </w:r>
      <w:r w:rsidRPr="007860F7">
        <w:rPr>
          <w:sz w:val="24"/>
          <w:szCs w:val="24"/>
        </w:rPr>
        <w:noBreakHyphen/>
        <w:t xml:space="preserve">testen med rotter. Da den mutagene effekt forløb mere eller mindre parallelt med en reduceret relativ total vækst af cellerne, kan den muligvis tilskrives stoffets cytotoksiske effekt. Derfor kendes relevansen af denne ene positive </w:t>
      </w:r>
      <w:r w:rsidRPr="007860F7">
        <w:rPr>
          <w:i/>
          <w:iCs/>
          <w:sz w:val="24"/>
          <w:szCs w:val="24"/>
        </w:rPr>
        <w:t>in vitro</w:t>
      </w:r>
      <w:r w:rsidRPr="007860F7">
        <w:rPr>
          <w:i/>
          <w:iCs/>
          <w:sz w:val="24"/>
          <w:szCs w:val="24"/>
        </w:rPr>
        <w:noBreakHyphen/>
      </w:r>
      <w:r w:rsidRPr="007860F7">
        <w:rPr>
          <w:sz w:val="24"/>
          <w:szCs w:val="24"/>
        </w:rPr>
        <w:t>mutagenicitetstest ikke.</w:t>
      </w:r>
    </w:p>
    <w:p w:rsidR="007860F7" w:rsidRPr="007860F7" w:rsidRDefault="007860F7" w:rsidP="007860F7">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0A3CF2" w:rsidRDefault="000A3CF2" w:rsidP="000A3CF2">
      <w:pPr>
        <w:tabs>
          <w:tab w:val="left" w:pos="851"/>
        </w:tabs>
        <w:ind w:left="851"/>
        <w:rPr>
          <w:sz w:val="24"/>
          <w:szCs w:val="24"/>
          <w:u w:val="single"/>
        </w:rPr>
      </w:pPr>
    </w:p>
    <w:p w:rsidR="000A3CF2" w:rsidRDefault="000A3CF2" w:rsidP="000A3CF2">
      <w:pPr>
        <w:tabs>
          <w:tab w:val="left" w:pos="851"/>
        </w:tabs>
        <w:ind w:left="851"/>
        <w:rPr>
          <w:sz w:val="24"/>
          <w:szCs w:val="24"/>
        </w:rPr>
      </w:pPr>
      <w:r>
        <w:rPr>
          <w:sz w:val="24"/>
          <w:szCs w:val="24"/>
          <w:u w:val="single"/>
        </w:rPr>
        <w:t>Bagsidelag</w:t>
      </w:r>
    </w:p>
    <w:p w:rsidR="000A3CF2" w:rsidRDefault="000A3CF2" w:rsidP="000A3CF2">
      <w:pPr>
        <w:tabs>
          <w:tab w:val="left" w:pos="851"/>
        </w:tabs>
        <w:ind w:left="851"/>
        <w:rPr>
          <w:sz w:val="24"/>
          <w:szCs w:val="24"/>
        </w:rPr>
      </w:pPr>
      <w:r>
        <w:rPr>
          <w:sz w:val="24"/>
          <w:szCs w:val="24"/>
        </w:rPr>
        <w:t>Pigmenteret polyethylen dampovertrukket aluminiumspolyester</w:t>
      </w:r>
    </w:p>
    <w:p w:rsidR="000A3CF2" w:rsidRDefault="000A3CF2" w:rsidP="000A3CF2">
      <w:pPr>
        <w:tabs>
          <w:tab w:val="left" w:pos="851"/>
        </w:tabs>
        <w:ind w:left="851"/>
        <w:rPr>
          <w:sz w:val="24"/>
          <w:szCs w:val="24"/>
        </w:rPr>
      </w:pPr>
      <w:r>
        <w:rPr>
          <w:sz w:val="24"/>
          <w:szCs w:val="24"/>
        </w:rPr>
        <w:t>Orange trykfarve</w:t>
      </w:r>
    </w:p>
    <w:p w:rsidR="000A3CF2" w:rsidRDefault="000A3CF2" w:rsidP="000A3CF2">
      <w:pPr>
        <w:tabs>
          <w:tab w:val="left" w:pos="851"/>
        </w:tabs>
        <w:ind w:left="851"/>
        <w:rPr>
          <w:sz w:val="24"/>
          <w:szCs w:val="24"/>
        </w:rPr>
      </w:pPr>
    </w:p>
    <w:p w:rsidR="000A3CF2" w:rsidRDefault="000A3CF2" w:rsidP="000A3CF2">
      <w:pPr>
        <w:tabs>
          <w:tab w:val="left" w:pos="851"/>
        </w:tabs>
        <w:ind w:left="851"/>
        <w:rPr>
          <w:sz w:val="24"/>
          <w:szCs w:val="24"/>
        </w:rPr>
      </w:pPr>
      <w:r>
        <w:rPr>
          <w:sz w:val="24"/>
          <w:szCs w:val="24"/>
          <w:u w:val="single"/>
        </w:rPr>
        <w:t>Matrixlag, indeholdende det aktive stof</w:t>
      </w:r>
    </w:p>
    <w:p w:rsidR="000A3CF2" w:rsidRDefault="000A3CF2" w:rsidP="000A3CF2">
      <w:pPr>
        <w:tabs>
          <w:tab w:val="left" w:pos="851"/>
        </w:tabs>
        <w:ind w:left="851"/>
        <w:rPr>
          <w:sz w:val="24"/>
          <w:szCs w:val="24"/>
        </w:rPr>
      </w:pPr>
      <w:r>
        <w:rPr>
          <w:sz w:val="24"/>
          <w:szCs w:val="24"/>
        </w:rPr>
        <w:t>Tocopherol</w:t>
      </w:r>
    </w:p>
    <w:p w:rsidR="000A3CF2" w:rsidRDefault="000A3CF2" w:rsidP="000A3CF2">
      <w:pPr>
        <w:tabs>
          <w:tab w:val="left" w:pos="851"/>
        </w:tabs>
        <w:ind w:left="851"/>
        <w:rPr>
          <w:sz w:val="24"/>
          <w:szCs w:val="24"/>
        </w:rPr>
      </w:pPr>
      <w:r>
        <w:rPr>
          <w:sz w:val="24"/>
          <w:szCs w:val="24"/>
        </w:rPr>
        <w:t>Paraffin</w:t>
      </w:r>
    </w:p>
    <w:p w:rsidR="000A3CF2" w:rsidRDefault="000A3CF2" w:rsidP="000A3CF2">
      <w:pPr>
        <w:tabs>
          <w:tab w:val="left" w:pos="851"/>
        </w:tabs>
        <w:ind w:left="851"/>
        <w:rPr>
          <w:sz w:val="24"/>
          <w:szCs w:val="24"/>
        </w:rPr>
      </w:pPr>
      <w:r>
        <w:rPr>
          <w:sz w:val="24"/>
          <w:szCs w:val="24"/>
        </w:rPr>
        <w:t>Povidon K90</w:t>
      </w:r>
    </w:p>
    <w:p w:rsidR="000A3CF2" w:rsidRDefault="000A3CF2" w:rsidP="000A3CF2">
      <w:pPr>
        <w:tabs>
          <w:tab w:val="left" w:pos="851"/>
        </w:tabs>
        <w:ind w:left="851"/>
        <w:rPr>
          <w:sz w:val="24"/>
          <w:szCs w:val="24"/>
        </w:rPr>
      </w:pPr>
      <w:r>
        <w:rPr>
          <w:sz w:val="24"/>
          <w:szCs w:val="24"/>
        </w:rPr>
        <w:t>Silikoneklæber</w:t>
      </w:r>
    </w:p>
    <w:p w:rsidR="000A3CF2" w:rsidRDefault="000A3CF2" w:rsidP="000A3CF2">
      <w:pPr>
        <w:tabs>
          <w:tab w:val="left" w:pos="851"/>
        </w:tabs>
        <w:ind w:left="851"/>
        <w:rPr>
          <w:sz w:val="24"/>
          <w:szCs w:val="24"/>
          <w:u w:val="single"/>
        </w:rPr>
      </w:pPr>
    </w:p>
    <w:p w:rsidR="000A3CF2" w:rsidRDefault="000A3CF2" w:rsidP="000A3CF2">
      <w:pPr>
        <w:tabs>
          <w:tab w:val="left" w:pos="851"/>
        </w:tabs>
        <w:ind w:left="851"/>
        <w:rPr>
          <w:sz w:val="24"/>
          <w:szCs w:val="24"/>
        </w:rPr>
      </w:pPr>
      <w:r>
        <w:rPr>
          <w:sz w:val="24"/>
          <w:szCs w:val="24"/>
          <w:u w:val="single"/>
        </w:rPr>
        <w:t>Aftagelig beskyttelsesfilm</w:t>
      </w:r>
    </w:p>
    <w:p w:rsidR="000A3CF2" w:rsidRDefault="000A3CF2" w:rsidP="000A3CF2">
      <w:pPr>
        <w:tabs>
          <w:tab w:val="left" w:pos="851"/>
        </w:tabs>
        <w:ind w:left="851"/>
        <w:rPr>
          <w:sz w:val="24"/>
          <w:szCs w:val="24"/>
        </w:rPr>
      </w:pPr>
      <w:r>
        <w:rPr>
          <w:sz w:val="24"/>
          <w:szCs w:val="24"/>
        </w:rPr>
        <w:t>Fluorosilikoneovertrukket polyesterfilm</w:t>
      </w:r>
    </w:p>
    <w:p w:rsidR="000A3CF2" w:rsidRDefault="000A3CF2" w:rsidP="000A3CF2">
      <w:pPr>
        <w:tabs>
          <w:tab w:val="left" w:pos="851"/>
        </w:tabs>
        <w:ind w:left="851"/>
        <w:rPr>
          <w:sz w:val="24"/>
          <w:szCs w:val="24"/>
        </w:rPr>
      </w:pPr>
    </w:p>
    <w:p w:rsidR="000A3CF2" w:rsidRDefault="000A3CF2" w:rsidP="000A3CF2">
      <w:pPr>
        <w:tabs>
          <w:tab w:val="left" w:pos="851"/>
        </w:tabs>
        <w:ind w:left="851"/>
        <w:rPr>
          <w:sz w:val="24"/>
          <w:szCs w:val="24"/>
          <w:u w:val="single"/>
        </w:rPr>
      </w:pPr>
      <w:r>
        <w:rPr>
          <w:sz w:val="24"/>
          <w:szCs w:val="24"/>
          <w:u w:val="single"/>
        </w:rPr>
        <w:t>Forsidelag</w:t>
      </w:r>
    </w:p>
    <w:p w:rsidR="000A3CF2" w:rsidRDefault="000A3CF2" w:rsidP="000A3CF2">
      <w:pPr>
        <w:tabs>
          <w:tab w:val="left" w:pos="851"/>
        </w:tabs>
        <w:ind w:left="851"/>
        <w:rPr>
          <w:sz w:val="24"/>
          <w:szCs w:val="24"/>
        </w:rPr>
      </w:pPr>
      <w:r>
        <w:rPr>
          <w:sz w:val="24"/>
          <w:szCs w:val="24"/>
        </w:rPr>
        <w:t>Fluorosilikoneovertrukket polyesterfilm</w:t>
      </w:r>
    </w:p>
    <w:p w:rsidR="000A3CF2" w:rsidRDefault="000A3CF2" w:rsidP="000A3CF2">
      <w:pPr>
        <w:tabs>
          <w:tab w:val="left" w:pos="851"/>
        </w:tabs>
        <w:ind w:left="851"/>
        <w:rPr>
          <w:sz w:val="24"/>
          <w:szCs w:val="24"/>
        </w:rPr>
      </w:pPr>
    </w:p>
    <w:p w:rsidR="000A3CF2" w:rsidRDefault="000A3CF2" w:rsidP="000A3CF2">
      <w:pPr>
        <w:tabs>
          <w:tab w:val="left" w:pos="851"/>
        </w:tabs>
        <w:ind w:left="851" w:hanging="851"/>
        <w:rPr>
          <w:b/>
          <w:sz w:val="24"/>
          <w:szCs w:val="24"/>
        </w:rPr>
      </w:pPr>
      <w:r>
        <w:rPr>
          <w:b/>
          <w:sz w:val="24"/>
          <w:szCs w:val="24"/>
        </w:rPr>
        <w:t>6.2</w:t>
      </w:r>
      <w:r>
        <w:rPr>
          <w:b/>
          <w:sz w:val="24"/>
          <w:szCs w:val="24"/>
        </w:rPr>
        <w:tab/>
        <w:t>Uforligeligheder</w:t>
      </w:r>
    </w:p>
    <w:p w:rsidR="000A3CF2" w:rsidRDefault="000A3CF2" w:rsidP="000A3CF2">
      <w:pPr>
        <w:tabs>
          <w:tab w:val="left" w:pos="851"/>
        </w:tabs>
        <w:ind w:left="851"/>
        <w:rPr>
          <w:sz w:val="24"/>
          <w:szCs w:val="24"/>
        </w:rPr>
      </w:pPr>
      <w:r>
        <w:rPr>
          <w:sz w:val="24"/>
          <w:szCs w:val="24"/>
        </w:rPr>
        <w:t>Ikke relevant.</w:t>
      </w:r>
    </w:p>
    <w:p w:rsidR="000A3CF2" w:rsidRDefault="000A3CF2" w:rsidP="000A3CF2">
      <w:pPr>
        <w:tabs>
          <w:tab w:val="left" w:pos="851"/>
        </w:tabs>
        <w:ind w:left="851"/>
        <w:rPr>
          <w:sz w:val="24"/>
          <w:szCs w:val="24"/>
        </w:rPr>
      </w:pPr>
    </w:p>
    <w:p w:rsidR="000A3CF2" w:rsidRDefault="000A3CF2" w:rsidP="000A3CF2">
      <w:pPr>
        <w:tabs>
          <w:tab w:val="left" w:pos="851"/>
        </w:tabs>
        <w:ind w:left="851" w:hanging="851"/>
        <w:rPr>
          <w:b/>
          <w:sz w:val="24"/>
          <w:szCs w:val="24"/>
        </w:rPr>
      </w:pPr>
      <w:r>
        <w:rPr>
          <w:b/>
          <w:sz w:val="24"/>
          <w:szCs w:val="24"/>
        </w:rPr>
        <w:t>6.3</w:t>
      </w:r>
      <w:r>
        <w:rPr>
          <w:b/>
          <w:sz w:val="24"/>
          <w:szCs w:val="24"/>
        </w:rPr>
        <w:tab/>
        <w:t>Opbevaringstid</w:t>
      </w:r>
    </w:p>
    <w:p w:rsidR="000A3CF2" w:rsidRDefault="000A3CF2" w:rsidP="000A3CF2">
      <w:pPr>
        <w:tabs>
          <w:tab w:val="left" w:pos="851"/>
        </w:tabs>
        <w:ind w:left="851"/>
        <w:rPr>
          <w:sz w:val="24"/>
          <w:szCs w:val="24"/>
        </w:rPr>
      </w:pPr>
      <w:r>
        <w:rPr>
          <w:sz w:val="24"/>
          <w:szCs w:val="24"/>
        </w:rPr>
        <w:t>2 år.</w:t>
      </w:r>
    </w:p>
    <w:p w:rsidR="000A3CF2" w:rsidRDefault="000A3CF2" w:rsidP="000A3CF2">
      <w:pPr>
        <w:tabs>
          <w:tab w:val="left" w:pos="851"/>
        </w:tabs>
        <w:ind w:left="851"/>
        <w:rPr>
          <w:sz w:val="24"/>
          <w:szCs w:val="24"/>
        </w:rPr>
      </w:pPr>
    </w:p>
    <w:p w:rsidR="000A3CF2" w:rsidRDefault="000A3CF2" w:rsidP="000A3CF2">
      <w:pPr>
        <w:tabs>
          <w:tab w:val="left" w:pos="851"/>
        </w:tabs>
        <w:ind w:left="851" w:hanging="851"/>
        <w:rPr>
          <w:b/>
          <w:sz w:val="24"/>
          <w:szCs w:val="24"/>
        </w:rPr>
      </w:pPr>
      <w:r>
        <w:rPr>
          <w:b/>
          <w:sz w:val="24"/>
          <w:szCs w:val="24"/>
        </w:rPr>
        <w:t>6.4</w:t>
      </w:r>
      <w:r>
        <w:rPr>
          <w:b/>
          <w:sz w:val="24"/>
          <w:szCs w:val="24"/>
        </w:rPr>
        <w:tab/>
        <w:t>Særlige opbevaringsforhold</w:t>
      </w:r>
    </w:p>
    <w:p w:rsidR="000A3CF2" w:rsidRDefault="000A3CF2" w:rsidP="000A3CF2">
      <w:pPr>
        <w:tabs>
          <w:tab w:val="left" w:pos="851"/>
        </w:tabs>
        <w:ind w:left="851"/>
        <w:rPr>
          <w:sz w:val="24"/>
          <w:szCs w:val="24"/>
        </w:rPr>
      </w:pPr>
      <w:r>
        <w:rPr>
          <w:sz w:val="24"/>
          <w:szCs w:val="24"/>
        </w:rPr>
        <w:t>Dette lægemiddel kræver ingen særlige forholdsregler vedrørende opbevaringen.</w:t>
      </w:r>
    </w:p>
    <w:p w:rsidR="000A3CF2" w:rsidRDefault="000A3CF2" w:rsidP="000A3CF2">
      <w:pPr>
        <w:tabs>
          <w:tab w:val="left" w:pos="851"/>
        </w:tabs>
        <w:ind w:left="851"/>
        <w:rPr>
          <w:sz w:val="24"/>
          <w:szCs w:val="24"/>
        </w:rPr>
      </w:pPr>
    </w:p>
    <w:p w:rsidR="000A3CF2" w:rsidRDefault="000A3CF2" w:rsidP="000A3CF2">
      <w:pPr>
        <w:tabs>
          <w:tab w:val="left" w:pos="851"/>
        </w:tabs>
        <w:ind w:left="851" w:hanging="851"/>
        <w:rPr>
          <w:b/>
          <w:sz w:val="24"/>
          <w:szCs w:val="24"/>
        </w:rPr>
      </w:pPr>
      <w:r>
        <w:rPr>
          <w:b/>
          <w:sz w:val="24"/>
          <w:szCs w:val="24"/>
        </w:rPr>
        <w:t>6.5</w:t>
      </w:r>
      <w:r>
        <w:rPr>
          <w:b/>
          <w:sz w:val="24"/>
          <w:szCs w:val="24"/>
        </w:rPr>
        <w:tab/>
        <w:t>Emballagetype og pakningsstørrelser</w:t>
      </w:r>
    </w:p>
    <w:p w:rsidR="000A3CF2" w:rsidRDefault="000A3CF2" w:rsidP="000A3CF2">
      <w:pPr>
        <w:tabs>
          <w:tab w:val="left" w:pos="851"/>
        </w:tabs>
        <w:ind w:left="851"/>
        <w:rPr>
          <w:sz w:val="24"/>
          <w:szCs w:val="24"/>
        </w:rPr>
      </w:pPr>
      <w:r w:rsidRPr="000A3CF2">
        <w:rPr>
          <w:i/>
          <w:sz w:val="24"/>
          <w:szCs w:val="24"/>
        </w:rPr>
        <w:t>"</w:t>
      </w:r>
      <w:r w:rsidRPr="000A3CF2">
        <w:rPr>
          <w:i/>
          <w:iCs/>
          <w:sz w:val="24"/>
          <w:szCs w:val="24"/>
        </w:rPr>
        <w:t>Peel off</w:t>
      </w:r>
      <w:r w:rsidRPr="000A3CF2">
        <w:rPr>
          <w:i/>
          <w:sz w:val="24"/>
          <w:szCs w:val="24"/>
        </w:rPr>
        <w:t>"</w:t>
      </w:r>
      <w:r>
        <w:rPr>
          <w:sz w:val="24"/>
          <w:szCs w:val="24"/>
        </w:rPr>
        <w:noBreakHyphen/>
        <w:t>brev: Den ene side består af en copolymer af ethylen (inderlag), en aluminiumsfolie, LDPE</w:t>
      </w:r>
      <w:r>
        <w:rPr>
          <w:sz w:val="24"/>
          <w:szCs w:val="24"/>
        </w:rPr>
        <w:noBreakHyphen/>
        <w:t>film og papir; den anden side består af polyethylen (inderlag), aluminium, en copolymer af ethylen og papir.</w:t>
      </w:r>
    </w:p>
    <w:p w:rsidR="000A3CF2" w:rsidRDefault="000A3CF2" w:rsidP="000A3CF2">
      <w:pPr>
        <w:tabs>
          <w:tab w:val="left" w:pos="851"/>
        </w:tabs>
        <w:ind w:left="851"/>
        <w:rPr>
          <w:sz w:val="24"/>
          <w:szCs w:val="24"/>
        </w:rPr>
      </w:pPr>
    </w:p>
    <w:p w:rsidR="000A3CF2" w:rsidRDefault="000A3CF2" w:rsidP="000A3CF2">
      <w:pPr>
        <w:tabs>
          <w:tab w:val="left" w:pos="851"/>
        </w:tabs>
        <w:ind w:left="851"/>
        <w:rPr>
          <w:sz w:val="24"/>
          <w:szCs w:val="24"/>
          <w:u w:val="single"/>
        </w:rPr>
      </w:pPr>
      <w:r>
        <w:rPr>
          <w:sz w:val="24"/>
          <w:szCs w:val="24"/>
          <w:u w:val="single"/>
        </w:rPr>
        <w:t>Pakningsstørrelser</w:t>
      </w:r>
    </w:p>
    <w:p w:rsidR="000A3CF2" w:rsidRDefault="000A3CF2" w:rsidP="000A3CF2">
      <w:pPr>
        <w:tabs>
          <w:tab w:val="left" w:pos="851"/>
        </w:tabs>
        <w:ind w:left="851"/>
        <w:rPr>
          <w:sz w:val="24"/>
          <w:szCs w:val="24"/>
        </w:rPr>
      </w:pPr>
      <w:r>
        <w:rPr>
          <w:sz w:val="24"/>
          <w:szCs w:val="24"/>
        </w:rPr>
        <w:t xml:space="preserve">7, 14, 28, 30 og 84 (multipakning indeholdende 3 pakninger med 28) </w:t>
      </w:r>
    </w:p>
    <w:p w:rsidR="000A3CF2" w:rsidRDefault="000A3CF2" w:rsidP="000A3CF2">
      <w:pPr>
        <w:tabs>
          <w:tab w:val="left" w:pos="851"/>
        </w:tabs>
        <w:ind w:left="851"/>
        <w:rPr>
          <w:sz w:val="24"/>
          <w:szCs w:val="24"/>
        </w:rPr>
      </w:pPr>
      <w:r>
        <w:rPr>
          <w:sz w:val="24"/>
          <w:szCs w:val="24"/>
        </w:rPr>
        <w:t>depotplastre, individuelt forseglede i breve, i æske.</w:t>
      </w:r>
    </w:p>
    <w:p w:rsidR="000A3CF2" w:rsidRDefault="000A3CF2" w:rsidP="000A3CF2">
      <w:pPr>
        <w:tabs>
          <w:tab w:val="left" w:pos="851"/>
        </w:tabs>
        <w:ind w:left="851"/>
        <w:rPr>
          <w:sz w:val="24"/>
          <w:szCs w:val="24"/>
        </w:rPr>
      </w:pPr>
    </w:p>
    <w:p w:rsidR="000A3CF2" w:rsidRDefault="000A3CF2" w:rsidP="000A3CF2">
      <w:pPr>
        <w:tabs>
          <w:tab w:val="left" w:pos="851"/>
        </w:tabs>
        <w:ind w:left="851"/>
        <w:rPr>
          <w:sz w:val="24"/>
          <w:szCs w:val="24"/>
        </w:rPr>
      </w:pPr>
      <w:r>
        <w:rPr>
          <w:sz w:val="24"/>
          <w:szCs w:val="24"/>
        </w:rPr>
        <w:t>Ikke alle pakningsstørrelser er nødvendigvis markedsført.</w:t>
      </w:r>
    </w:p>
    <w:p w:rsidR="000A3CF2" w:rsidRDefault="000A3CF2" w:rsidP="000A3CF2">
      <w:pPr>
        <w:tabs>
          <w:tab w:val="left" w:pos="851"/>
        </w:tabs>
        <w:ind w:left="851"/>
        <w:rPr>
          <w:sz w:val="24"/>
          <w:szCs w:val="24"/>
        </w:rPr>
      </w:pPr>
    </w:p>
    <w:p w:rsidR="000A3CF2" w:rsidRDefault="000A3CF2" w:rsidP="000A3CF2">
      <w:pPr>
        <w:tabs>
          <w:tab w:val="left" w:pos="851"/>
        </w:tabs>
        <w:ind w:left="851" w:hanging="851"/>
        <w:rPr>
          <w:b/>
          <w:sz w:val="24"/>
          <w:szCs w:val="24"/>
        </w:rPr>
      </w:pPr>
      <w:r>
        <w:rPr>
          <w:b/>
          <w:sz w:val="24"/>
          <w:szCs w:val="24"/>
        </w:rPr>
        <w:t>6.6</w:t>
      </w:r>
      <w:r>
        <w:rPr>
          <w:b/>
          <w:sz w:val="24"/>
          <w:szCs w:val="24"/>
        </w:rPr>
        <w:tab/>
        <w:t>Regler for bortskaffelse og anden håndtering</w:t>
      </w:r>
    </w:p>
    <w:p w:rsidR="000A3CF2" w:rsidRDefault="000A3CF2" w:rsidP="000A3CF2">
      <w:pPr>
        <w:tabs>
          <w:tab w:val="left" w:pos="851"/>
        </w:tabs>
        <w:ind w:left="851"/>
        <w:rPr>
          <w:sz w:val="24"/>
          <w:szCs w:val="24"/>
        </w:rPr>
      </w:pPr>
      <w:r>
        <w:rPr>
          <w:sz w:val="24"/>
          <w:szCs w:val="24"/>
        </w:rPr>
        <w:t>Efter brug indeholder plastret stadig aktivt stof. Efter at plastret er fjernet, bør det brugte plaster foldes på midten med den klæbende side indad, således at matrixlaget ikke er synligt, placeres i det originale brev og derefter bortskaffes.</w:t>
      </w:r>
    </w:p>
    <w:p w:rsidR="000A3CF2" w:rsidRDefault="000A3CF2" w:rsidP="000A3CF2">
      <w:pPr>
        <w:tabs>
          <w:tab w:val="left" w:pos="851"/>
        </w:tabs>
        <w:ind w:left="851"/>
        <w:rPr>
          <w:sz w:val="24"/>
          <w:szCs w:val="24"/>
        </w:rPr>
      </w:pPr>
    </w:p>
    <w:p w:rsidR="000A3CF2" w:rsidRDefault="000A3CF2" w:rsidP="000A3CF2">
      <w:pPr>
        <w:tabs>
          <w:tab w:val="left" w:pos="851"/>
        </w:tabs>
        <w:ind w:left="851"/>
        <w:rPr>
          <w:sz w:val="24"/>
          <w:szCs w:val="24"/>
        </w:rPr>
      </w:pPr>
      <w:r>
        <w:rPr>
          <w:sz w:val="24"/>
          <w:szCs w:val="24"/>
        </w:rPr>
        <w:t>Ikke anvendt lægemiddel samt affald heraf skal bortskaffes i henhold til lokale retningslinjer eller returneres til apoteket.</w:t>
      </w:r>
    </w:p>
    <w:p w:rsidR="000A3CF2" w:rsidRDefault="000A3CF2">
      <w:pPr>
        <w:rPr>
          <w:sz w:val="24"/>
          <w:szCs w:val="24"/>
        </w:rPr>
      </w:pPr>
      <w:r>
        <w:rPr>
          <w:sz w:val="24"/>
          <w:szCs w:val="24"/>
        </w:rPr>
        <w:br w:type="page"/>
      </w:r>
    </w:p>
    <w:p w:rsidR="000A3CF2" w:rsidRDefault="000A3CF2" w:rsidP="000A3CF2">
      <w:pPr>
        <w:tabs>
          <w:tab w:val="left" w:pos="851"/>
        </w:tabs>
        <w:ind w:left="851"/>
        <w:rPr>
          <w:sz w:val="24"/>
          <w:szCs w:val="24"/>
        </w:rPr>
      </w:pPr>
    </w:p>
    <w:p w:rsidR="000A3CF2" w:rsidRDefault="000A3CF2" w:rsidP="000A3CF2">
      <w:pPr>
        <w:tabs>
          <w:tab w:val="left" w:pos="851"/>
        </w:tabs>
        <w:ind w:left="851" w:hanging="851"/>
        <w:rPr>
          <w:b/>
          <w:sz w:val="24"/>
          <w:szCs w:val="24"/>
        </w:rPr>
      </w:pPr>
      <w:r>
        <w:rPr>
          <w:b/>
          <w:sz w:val="24"/>
          <w:szCs w:val="24"/>
        </w:rPr>
        <w:t>7.</w:t>
      </w:r>
      <w:r>
        <w:rPr>
          <w:b/>
          <w:sz w:val="24"/>
          <w:szCs w:val="24"/>
        </w:rPr>
        <w:tab/>
        <w:t>INDEHAVER AF MARKEDSFØRINGSTILLADELSEN</w:t>
      </w:r>
    </w:p>
    <w:p w:rsidR="000A3CF2" w:rsidRDefault="000A3CF2" w:rsidP="000A3CF2">
      <w:pPr>
        <w:tabs>
          <w:tab w:val="left" w:pos="851"/>
        </w:tabs>
        <w:ind w:left="851"/>
        <w:rPr>
          <w:sz w:val="24"/>
          <w:szCs w:val="24"/>
        </w:rPr>
      </w:pPr>
      <w:r>
        <w:rPr>
          <w:sz w:val="24"/>
          <w:szCs w:val="24"/>
        </w:rPr>
        <w:t>Medical Valley Invest AB</w:t>
      </w:r>
    </w:p>
    <w:p w:rsidR="000A3CF2" w:rsidRDefault="000A3CF2" w:rsidP="000A3CF2">
      <w:pPr>
        <w:tabs>
          <w:tab w:val="left" w:pos="851"/>
        </w:tabs>
        <w:ind w:left="851"/>
        <w:rPr>
          <w:sz w:val="24"/>
          <w:szCs w:val="24"/>
          <w:lang w:val="sv-SE"/>
        </w:rPr>
      </w:pPr>
      <w:r>
        <w:rPr>
          <w:sz w:val="24"/>
          <w:szCs w:val="24"/>
          <w:lang w:val="sv-SE"/>
        </w:rPr>
        <w:t>Brädgårdsvägen 28</w:t>
      </w:r>
    </w:p>
    <w:p w:rsidR="000A3CF2" w:rsidRDefault="000A3CF2" w:rsidP="000A3CF2">
      <w:pPr>
        <w:tabs>
          <w:tab w:val="left" w:pos="851"/>
        </w:tabs>
        <w:ind w:left="851"/>
        <w:rPr>
          <w:sz w:val="24"/>
          <w:szCs w:val="24"/>
          <w:lang w:val="sv-SE"/>
        </w:rPr>
      </w:pPr>
      <w:r>
        <w:rPr>
          <w:sz w:val="24"/>
          <w:szCs w:val="24"/>
          <w:lang w:val="sv-SE"/>
        </w:rPr>
        <w:t>236 32 Höllviken</w:t>
      </w:r>
    </w:p>
    <w:p w:rsidR="000A3CF2" w:rsidRDefault="000A3CF2" w:rsidP="000A3CF2">
      <w:pPr>
        <w:tabs>
          <w:tab w:val="left" w:pos="851"/>
        </w:tabs>
        <w:ind w:left="851"/>
        <w:rPr>
          <w:sz w:val="24"/>
          <w:szCs w:val="24"/>
          <w:lang w:val="sv-SE"/>
        </w:rPr>
      </w:pPr>
      <w:r>
        <w:rPr>
          <w:sz w:val="24"/>
          <w:szCs w:val="24"/>
          <w:lang w:val="sv-SE"/>
        </w:rPr>
        <w:t>Sverige</w:t>
      </w:r>
    </w:p>
    <w:p w:rsidR="000A3CF2" w:rsidRDefault="000A3CF2" w:rsidP="000A3CF2">
      <w:pPr>
        <w:tabs>
          <w:tab w:val="left" w:pos="851"/>
        </w:tabs>
        <w:ind w:left="851"/>
        <w:rPr>
          <w:sz w:val="24"/>
          <w:szCs w:val="24"/>
          <w:lang w:val="sv-SE"/>
        </w:rPr>
      </w:pPr>
    </w:p>
    <w:p w:rsidR="000A3CF2" w:rsidRDefault="000A3CF2" w:rsidP="000A3CF2">
      <w:pPr>
        <w:tabs>
          <w:tab w:val="left" w:pos="851"/>
        </w:tabs>
        <w:ind w:left="851" w:hanging="851"/>
        <w:rPr>
          <w:b/>
          <w:sz w:val="24"/>
          <w:szCs w:val="24"/>
        </w:rPr>
      </w:pPr>
      <w:r>
        <w:rPr>
          <w:b/>
          <w:sz w:val="24"/>
          <w:szCs w:val="24"/>
        </w:rPr>
        <w:t>8.</w:t>
      </w:r>
      <w:r>
        <w:rPr>
          <w:b/>
          <w:sz w:val="24"/>
          <w:szCs w:val="24"/>
        </w:rPr>
        <w:tab/>
        <w:t>MARKEDSFØRINGSTILLADELSESNUMMER (-NUMRE)</w:t>
      </w:r>
    </w:p>
    <w:p w:rsidR="000A3CF2" w:rsidRDefault="000A3CF2" w:rsidP="000A3CF2">
      <w:pPr>
        <w:tabs>
          <w:tab w:val="left" w:pos="851"/>
          <w:tab w:val="left" w:pos="2410"/>
        </w:tabs>
        <w:ind w:left="851"/>
        <w:rPr>
          <w:sz w:val="24"/>
          <w:szCs w:val="24"/>
        </w:rPr>
      </w:pPr>
      <w:r>
        <w:rPr>
          <w:sz w:val="24"/>
          <w:szCs w:val="24"/>
        </w:rPr>
        <w:t>1 mg/24 timer:</w:t>
      </w:r>
      <w:r>
        <w:rPr>
          <w:sz w:val="24"/>
          <w:szCs w:val="24"/>
        </w:rPr>
        <w:tab/>
        <w:t>71723</w:t>
      </w:r>
    </w:p>
    <w:p w:rsidR="000A3CF2" w:rsidRDefault="000A3CF2" w:rsidP="000A3CF2">
      <w:pPr>
        <w:tabs>
          <w:tab w:val="left" w:pos="851"/>
          <w:tab w:val="left" w:pos="2410"/>
        </w:tabs>
        <w:ind w:left="851"/>
        <w:rPr>
          <w:sz w:val="24"/>
          <w:szCs w:val="24"/>
        </w:rPr>
      </w:pPr>
      <w:r>
        <w:rPr>
          <w:sz w:val="24"/>
          <w:szCs w:val="24"/>
        </w:rPr>
        <w:t>3 mg/24 timer:</w:t>
      </w:r>
      <w:r>
        <w:rPr>
          <w:sz w:val="24"/>
          <w:szCs w:val="24"/>
        </w:rPr>
        <w:tab/>
        <w:t>71725</w:t>
      </w:r>
    </w:p>
    <w:p w:rsidR="000A3CF2" w:rsidRDefault="000A3CF2" w:rsidP="000A3CF2">
      <w:pPr>
        <w:tabs>
          <w:tab w:val="left" w:pos="851"/>
        </w:tabs>
        <w:ind w:left="851"/>
        <w:jc w:val="both"/>
        <w:rPr>
          <w:sz w:val="24"/>
          <w:szCs w:val="24"/>
        </w:rPr>
      </w:pPr>
    </w:p>
    <w:p w:rsidR="000A3CF2" w:rsidRDefault="000A3CF2" w:rsidP="000A3CF2">
      <w:pPr>
        <w:tabs>
          <w:tab w:val="left" w:pos="851"/>
        </w:tabs>
        <w:ind w:left="851" w:hanging="851"/>
        <w:rPr>
          <w:b/>
          <w:sz w:val="24"/>
          <w:szCs w:val="24"/>
        </w:rPr>
      </w:pPr>
      <w:r>
        <w:rPr>
          <w:b/>
          <w:sz w:val="24"/>
          <w:szCs w:val="24"/>
        </w:rPr>
        <w:t>9.</w:t>
      </w:r>
      <w:r>
        <w:rPr>
          <w:b/>
          <w:sz w:val="24"/>
          <w:szCs w:val="24"/>
        </w:rPr>
        <w:tab/>
        <w:t>DATO FOR FØRSTE MARKEDSFØRINGSTILLADELSE</w:t>
      </w:r>
    </w:p>
    <w:p w:rsidR="000A3CF2" w:rsidRDefault="00886FE5" w:rsidP="000A3CF2">
      <w:pPr>
        <w:tabs>
          <w:tab w:val="left" w:pos="851"/>
        </w:tabs>
        <w:ind w:left="851"/>
        <w:rPr>
          <w:sz w:val="24"/>
          <w:szCs w:val="24"/>
        </w:rPr>
      </w:pPr>
      <w:r>
        <w:rPr>
          <w:sz w:val="24"/>
          <w:szCs w:val="24"/>
        </w:rPr>
        <w:t>16. september 2024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0A3CF2"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F12" w:rsidRDefault="00387F12">
      <w:r>
        <w:separator/>
      </w:r>
    </w:p>
  </w:endnote>
  <w:endnote w:type="continuationSeparator" w:id="0">
    <w:p w:rsidR="00387F12" w:rsidRDefault="00387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77AAE">
      <w:rPr>
        <w:i/>
        <w:noProof/>
        <w:sz w:val="18"/>
        <w:szCs w:val="18"/>
      </w:rPr>
      <w:t>Rotigotine Medical Valley, depotplastre 1 mg-24 timer og 3 mg-24 timer</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F12" w:rsidRDefault="00387F12">
      <w:r>
        <w:separator/>
      </w:r>
    </w:p>
  </w:footnote>
  <w:footnote w:type="continuationSeparator" w:id="0">
    <w:p w:rsidR="00387F12" w:rsidRDefault="00387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F12"/>
    <w:rsid w:val="000259B9"/>
    <w:rsid w:val="00041491"/>
    <w:rsid w:val="00050D16"/>
    <w:rsid w:val="000730CA"/>
    <w:rsid w:val="00074F2A"/>
    <w:rsid w:val="000A1CA8"/>
    <w:rsid w:val="000A3CF2"/>
    <w:rsid w:val="000A466B"/>
    <w:rsid w:val="000B058C"/>
    <w:rsid w:val="000D68B0"/>
    <w:rsid w:val="000E4EE6"/>
    <w:rsid w:val="001454E2"/>
    <w:rsid w:val="001D097B"/>
    <w:rsid w:val="00206CE8"/>
    <w:rsid w:val="0021526C"/>
    <w:rsid w:val="00270835"/>
    <w:rsid w:val="00283A2B"/>
    <w:rsid w:val="002B30AD"/>
    <w:rsid w:val="002C1EC0"/>
    <w:rsid w:val="002C2C01"/>
    <w:rsid w:val="00387F12"/>
    <w:rsid w:val="003A29AE"/>
    <w:rsid w:val="003A32D7"/>
    <w:rsid w:val="003B4074"/>
    <w:rsid w:val="003C769A"/>
    <w:rsid w:val="003D3A90"/>
    <w:rsid w:val="003F1838"/>
    <w:rsid w:val="00406383"/>
    <w:rsid w:val="004251C1"/>
    <w:rsid w:val="0045746C"/>
    <w:rsid w:val="00471E3B"/>
    <w:rsid w:val="0049104B"/>
    <w:rsid w:val="00497010"/>
    <w:rsid w:val="004E3B12"/>
    <w:rsid w:val="00532310"/>
    <w:rsid w:val="00565F0F"/>
    <w:rsid w:val="00577AAE"/>
    <w:rsid w:val="00594A86"/>
    <w:rsid w:val="00596D86"/>
    <w:rsid w:val="00637F5A"/>
    <w:rsid w:val="00641C65"/>
    <w:rsid w:val="006560B1"/>
    <w:rsid w:val="006756DD"/>
    <w:rsid w:val="0071241E"/>
    <w:rsid w:val="00737275"/>
    <w:rsid w:val="00740EEC"/>
    <w:rsid w:val="0078011A"/>
    <w:rsid w:val="00782AF4"/>
    <w:rsid w:val="007860F7"/>
    <w:rsid w:val="00790EE7"/>
    <w:rsid w:val="007B6649"/>
    <w:rsid w:val="0082576E"/>
    <w:rsid w:val="00886FE5"/>
    <w:rsid w:val="0089346F"/>
    <w:rsid w:val="008D1F9B"/>
    <w:rsid w:val="00907F75"/>
    <w:rsid w:val="009260DE"/>
    <w:rsid w:val="0093258A"/>
    <w:rsid w:val="009C7BA3"/>
    <w:rsid w:val="009D1F5A"/>
    <w:rsid w:val="00A10294"/>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66D4F"/>
    <w:rsid w:val="00FB6D01"/>
    <w:rsid w:val="00FE66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CEF9F8"/>
  <w15:chartTrackingRefBased/>
  <w15:docId w15:val="{CC177848-3390-40DE-AC4F-6D8F13875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406383"/>
    <w:rPr>
      <w:color w:val="0000FF"/>
      <w:u w:val="single"/>
    </w:rPr>
  </w:style>
  <w:style w:type="table" w:styleId="Tabel-Gitter">
    <w:name w:val="Table Grid"/>
    <w:basedOn w:val="Tabel-Normal"/>
    <w:rsid w:val="00406383"/>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13911">
      <w:bodyDiv w:val="1"/>
      <w:marLeft w:val="0"/>
      <w:marRight w:val="0"/>
      <w:marTop w:val="0"/>
      <w:marBottom w:val="0"/>
      <w:divBdr>
        <w:top w:val="none" w:sz="0" w:space="0" w:color="auto"/>
        <w:left w:val="none" w:sz="0" w:space="0" w:color="auto"/>
        <w:bottom w:val="none" w:sz="0" w:space="0" w:color="auto"/>
        <w:right w:val="none" w:sz="0" w:space="0" w:color="auto"/>
      </w:divBdr>
    </w:div>
    <w:div w:id="139465404">
      <w:bodyDiv w:val="1"/>
      <w:marLeft w:val="0"/>
      <w:marRight w:val="0"/>
      <w:marTop w:val="0"/>
      <w:marBottom w:val="0"/>
      <w:divBdr>
        <w:top w:val="none" w:sz="0" w:space="0" w:color="auto"/>
        <w:left w:val="none" w:sz="0" w:space="0" w:color="auto"/>
        <w:bottom w:val="none" w:sz="0" w:space="0" w:color="auto"/>
        <w:right w:val="none" w:sz="0" w:space="0" w:color="auto"/>
      </w:divBdr>
    </w:div>
    <w:div w:id="14524377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1396130">
      <w:bodyDiv w:val="1"/>
      <w:marLeft w:val="0"/>
      <w:marRight w:val="0"/>
      <w:marTop w:val="0"/>
      <w:marBottom w:val="0"/>
      <w:divBdr>
        <w:top w:val="none" w:sz="0" w:space="0" w:color="auto"/>
        <w:left w:val="none" w:sz="0" w:space="0" w:color="auto"/>
        <w:bottom w:val="none" w:sz="0" w:space="0" w:color="auto"/>
        <w:right w:val="none" w:sz="0" w:space="0" w:color="auto"/>
      </w:divBdr>
    </w:div>
    <w:div w:id="307242959">
      <w:bodyDiv w:val="1"/>
      <w:marLeft w:val="0"/>
      <w:marRight w:val="0"/>
      <w:marTop w:val="0"/>
      <w:marBottom w:val="0"/>
      <w:divBdr>
        <w:top w:val="none" w:sz="0" w:space="0" w:color="auto"/>
        <w:left w:val="none" w:sz="0" w:space="0" w:color="auto"/>
        <w:bottom w:val="none" w:sz="0" w:space="0" w:color="auto"/>
        <w:right w:val="none" w:sz="0" w:space="0" w:color="auto"/>
      </w:divBdr>
    </w:div>
    <w:div w:id="352388564">
      <w:bodyDiv w:val="1"/>
      <w:marLeft w:val="0"/>
      <w:marRight w:val="0"/>
      <w:marTop w:val="0"/>
      <w:marBottom w:val="0"/>
      <w:divBdr>
        <w:top w:val="none" w:sz="0" w:space="0" w:color="auto"/>
        <w:left w:val="none" w:sz="0" w:space="0" w:color="auto"/>
        <w:bottom w:val="none" w:sz="0" w:space="0" w:color="auto"/>
        <w:right w:val="none" w:sz="0" w:space="0" w:color="auto"/>
      </w:divBdr>
    </w:div>
    <w:div w:id="531501401">
      <w:bodyDiv w:val="1"/>
      <w:marLeft w:val="0"/>
      <w:marRight w:val="0"/>
      <w:marTop w:val="0"/>
      <w:marBottom w:val="0"/>
      <w:divBdr>
        <w:top w:val="none" w:sz="0" w:space="0" w:color="auto"/>
        <w:left w:val="none" w:sz="0" w:space="0" w:color="auto"/>
        <w:bottom w:val="none" w:sz="0" w:space="0" w:color="auto"/>
        <w:right w:val="none" w:sz="0" w:space="0" w:color="auto"/>
      </w:divBdr>
    </w:div>
    <w:div w:id="567886467">
      <w:bodyDiv w:val="1"/>
      <w:marLeft w:val="0"/>
      <w:marRight w:val="0"/>
      <w:marTop w:val="0"/>
      <w:marBottom w:val="0"/>
      <w:divBdr>
        <w:top w:val="none" w:sz="0" w:space="0" w:color="auto"/>
        <w:left w:val="none" w:sz="0" w:space="0" w:color="auto"/>
        <w:bottom w:val="none" w:sz="0" w:space="0" w:color="auto"/>
        <w:right w:val="none" w:sz="0" w:space="0" w:color="auto"/>
      </w:divBdr>
    </w:div>
    <w:div w:id="620915449">
      <w:bodyDiv w:val="1"/>
      <w:marLeft w:val="0"/>
      <w:marRight w:val="0"/>
      <w:marTop w:val="0"/>
      <w:marBottom w:val="0"/>
      <w:divBdr>
        <w:top w:val="none" w:sz="0" w:space="0" w:color="auto"/>
        <w:left w:val="none" w:sz="0" w:space="0" w:color="auto"/>
        <w:bottom w:val="none" w:sz="0" w:space="0" w:color="auto"/>
        <w:right w:val="none" w:sz="0" w:space="0" w:color="auto"/>
      </w:divBdr>
    </w:div>
    <w:div w:id="630476103">
      <w:bodyDiv w:val="1"/>
      <w:marLeft w:val="0"/>
      <w:marRight w:val="0"/>
      <w:marTop w:val="0"/>
      <w:marBottom w:val="0"/>
      <w:divBdr>
        <w:top w:val="none" w:sz="0" w:space="0" w:color="auto"/>
        <w:left w:val="none" w:sz="0" w:space="0" w:color="auto"/>
        <w:bottom w:val="none" w:sz="0" w:space="0" w:color="auto"/>
        <w:right w:val="none" w:sz="0" w:space="0" w:color="auto"/>
      </w:divBdr>
    </w:div>
    <w:div w:id="770052651">
      <w:bodyDiv w:val="1"/>
      <w:marLeft w:val="0"/>
      <w:marRight w:val="0"/>
      <w:marTop w:val="0"/>
      <w:marBottom w:val="0"/>
      <w:divBdr>
        <w:top w:val="none" w:sz="0" w:space="0" w:color="auto"/>
        <w:left w:val="none" w:sz="0" w:space="0" w:color="auto"/>
        <w:bottom w:val="none" w:sz="0" w:space="0" w:color="auto"/>
        <w:right w:val="none" w:sz="0" w:space="0" w:color="auto"/>
      </w:divBdr>
    </w:div>
    <w:div w:id="803934970">
      <w:bodyDiv w:val="1"/>
      <w:marLeft w:val="0"/>
      <w:marRight w:val="0"/>
      <w:marTop w:val="0"/>
      <w:marBottom w:val="0"/>
      <w:divBdr>
        <w:top w:val="none" w:sz="0" w:space="0" w:color="auto"/>
        <w:left w:val="none" w:sz="0" w:space="0" w:color="auto"/>
        <w:bottom w:val="none" w:sz="0" w:space="0" w:color="auto"/>
        <w:right w:val="none" w:sz="0" w:space="0" w:color="auto"/>
      </w:divBdr>
    </w:div>
    <w:div w:id="918828479">
      <w:bodyDiv w:val="1"/>
      <w:marLeft w:val="0"/>
      <w:marRight w:val="0"/>
      <w:marTop w:val="0"/>
      <w:marBottom w:val="0"/>
      <w:divBdr>
        <w:top w:val="none" w:sz="0" w:space="0" w:color="auto"/>
        <w:left w:val="none" w:sz="0" w:space="0" w:color="auto"/>
        <w:bottom w:val="none" w:sz="0" w:space="0" w:color="auto"/>
        <w:right w:val="none" w:sz="0" w:space="0" w:color="auto"/>
      </w:divBdr>
    </w:div>
    <w:div w:id="929463237">
      <w:bodyDiv w:val="1"/>
      <w:marLeft w:val="0"/>
      <w:marRight w:val="0"/>
      <w:marTop w:val="0"/>
      <w:marBottom w:val="0"/>
      <w:divBdr>
        <w:top w:val="none" w:sz="0" w:space="0" w:color="auto"/>
        <w:left w:val="none" w:sz="0" w:space="0" w:color="auto"/>
        <w:bottom w:val="none" w:sz="0" w:space="0" w:color="auto"/>
        <w:right w:val="none" w:sz="0" w:space="0" w:color="auto"/>
      </w:divBdr>
    </w:div>
    <w:div w:id="942571515">
      <w:bodyDiv w:val="1"/>
      <w:marLeft w:val="0"/>
      <w:marRight w:val="0"/>
      <w:marTop w:val="0"/>
      <w:marBottom w:val="0"/>
      <w:divBdr>
        <w:top w:val="none" w:sz="0" w:space="0" w:color="auto"/>
        <w:left w:val="none" w:sz="0" w:space="0" w:color="auto"/>
        <w:bottom w:val="none" w:sz="0" w:space="0" w:color="auto"/>
        <w:right w:val="none" w:sz="0" w:space="0" w:color="auto"/>
      </w:divBdr>
    </w:div>
    <w:div w:id="948047923">
      <w:bodyDiv w:val="1"/>
      <w:marLeft w:val="0"/>
      <w:marRight w:val="0"/>
      <w:marTop w:val="0"/>
      <w:marBottom w:val="0"/>
      <w:divBdr>
        <w:top w:val="none" w:sz="0" w:space="0" w:color="auto"/>
        <w:left w:val="none" w:sz="0" w:space="0" w:color="auto"/>
        <w:bottom w:val="none" w:sz="0" w:space="0" w:color="auto"/>
        <w:right w:val="none" w:sz="0" w:space="0" w:color="auto"/>
      </w:divBdr>
    </w:div>
    <w:div w:id="1017854985">
      <w:bodyDiv w:val="1"/>
      <w:marLeft w:val="0"/>
      <w:marRight w:val="0"/>
      <w:marTop w:val="0"/>
      <w:marBottom w:val="0"/>
      <w:divBdr>
        <w:top w:val="none" w:sz="0" w:space="0" w:color="auto"/>
        <w:left w:val="none" w:sz="0" w:space="0" w:color="auto"/>
        <w:bottom w:val="none" w:sz="0" w:space="0" w:color="auto"/>
        <w:right w:val="none" w:sz="0" w:space="0" w:color="auto"/>
      </w:divBdr>
    </w:div>
    <w:div w:id="1098987508">
      <w:bodyDiv w:val="1"/>
      <w:marLeft w:val="0"/>
      <w:marRight w:val="0"/>
      <w:marTop w:val="0"/>
      <w:marBottom w:val="0"/>
      <w:divBdr>
        <w:top w:val="none" w:sz="0" w:space="0" w:color="auto"/>
        <w:left w:val="none" w:sz="0" w:space="0" w:color="auto"/>
        <w:bottom w:val="none" w:sz="0" w:space="0" w:color="auto"/>
        <w:right w:val="none" w:sz="0" w:space="0" w:color="auto"/>
      </w:divBdr>
    </w:div>
    <w:div w:id="1560286351">
      <w:bodyDiv w:val="1"/>
      <w:marLeft w:val="0"/>
      <w:marRight w:val="0"/>
      <w:marTop w:val="0"/>
      <w:marBottom w:val="0"/>
      <w:divBdr>
        <w:top w:val="none" w:sz="0" w:space="0" w:color="auto"/>
        <w:left w:val="none" w:sz="0" w:space="0" w:color="auto"/>
        <w:bottom w:val="none" w:sz="0" w:space="0" w:color="auto"/>
        <w:right w:val="none" w:sz="0" w:space="0" w:color="auto"/>
      </w:divBdr>
    </w:div>
    <w:div w:id="1593051711">
      <w:bodyDiv w:val="1"/>
      <w:marLeft w:val="0"/>
      <w:marRight w:val="0"/>
      <w:marTop w:val="0"/>
      <w:marBottom w:val="0"/>
      <w:divBdr>
        <w:top w:val="none" w:sz="0" w:space="0" w:color="auto"/>
        <w:left w:val="none" w:sz="0" w:space="0" w:color="auto"/>
        <w:bottom w:val="none" w:sz="0" w:space="0" w:color="auto"/>
        <w:right w:val="none" w:sz="0" w:space="0" w:color="auto"/>
      </w:divBdr>
    </w:div>
    <w:div w:id="1673871826">
      <w:bodyDiv w:val="1"/>
      <w:marLeft w:val="0"/>
      <w:marRight w:val="0"/>
      <w:marTop w:val="0"/>
      <w:marBottom w:val="0"/>
      <w:divBdr>
        <w:top w:val="none" w:sz="0" w:space="0" w:color="auto"/>
        <w:left w:val="none" w:sz="0" w:space="0" w:color="auto"/>
        <w:bottom w:val="none" w:sz="0" w:space="0" w:color="auto"/>
        <w:right w:val="none" w:sz="0" w:space="0" w:color="auto"/>
      </w:divBdr>
    </w:div>
    <w:div w:id="1704595902">
      <w:bodyDiv w:val="1"/>
      <w:marLeft w:val="0"/>
      <w:marRight w:val="0"/>
      <w:marTop w:val="0"/>
      <w:marBottom w:val="0"/>
      <w:divBdr>
        <w:top w:val="none" w:sz="0" w:space="0" w:color="auto"/>
        <w:left w:val="none" w:sz="0" w:space="0" w:color="auto"/>
        <w:bottom w:val="none" w:sz="0" w:space="0" w:color="auto"/>
        <w:right w:val="none" w:sz="0" w:space="0" w:color="auto"/>
      </w:divBdr>
    </w:div>
    <w:div w:id="1722946797">
      <w:bodyDiv w:val="1"/>
      <w:marLeft w:val="0"/>
      <w:marRight w:val="0"/>
      <w:marTop w:val="0"/>
      <w:marBottom w:val="0"/>
      <w:divBdr>
        <w:top w:val="none" w:sz="0" w:space="0" w:color="auto"/>
        <w:left w:val="none" w:sz="0" w:space="0" w:color="auto"/>
        <w:bottom w:val="none" w:sz="0" w:space="0" w:color="auto"/>
        <w:right w:val="none" w:sz="0" w:space="0" w:color="auto"/>
      </w:divBdr>
    </w:div>
    <w:div w:id="1843398941">
      <w:bodyDiv w:val="1"/>
      <w:marLeft w:val="0"/>
      <w:marRight w:val="0"/>
      <w:marTop w:val="0"/>
      <w:marBottom w:val="0"/>
      <w:divBdr>
        <w:top w:val="none" w:sz="0" w:space="0" w:color="auto"/>
        <w:left w:val="none" w:sz="0" w:space="0" w:color="auto"/>
        <w:bottom w:val="none" w:sz="0" w:space="0" w:color="auto"/>
        <w:right w:val="none" w:sz="0" w:space="0" w:color="auto"/>
      </w:divBdr>
    </w:div>
    <w:div w:id="1927877414">
      <w:bodyDiv w:val="1"/>
      <w:marLeft w:val="0"/>
      <w:marRight w:val="0"/>
      <w:marTop w:val="0"/>
      <w:marBottom w:val="0"/>
      <w:divBdr>
        <w:top w:val="none" w:sz="0" w:space="0" w:color="auto"/>
        <w:left w:val="none" w:sz="0" w:space="0" w:color="auto"/>
        <w:bottom w:val="none" w:sz="0" w:space="0" w:color="auto"/>
        <w:right w:val="none" w:sz="0" w:space="0" w:color="auto"/>
      </w:divBdr>
    </w:div>
    <w:div w:id="2056007423">
      <w:bodyDiv w:val="1"/>
      <w:marLeft w:val="0"/>
      <w:marRight w:val="0"/>
      <w:marTop w:val="0"/>
      <w:marBottom w:val="0"/>
      <w:divBdr>
        <w:top w:val="none" w:sz="0" w:space="0" w:color="auto"/>
        <w:left w:val="none" w:sz="0" w:space="0" w:color="auto"/>
        <w:bottom w:val="none" w:sz="0" w:space="0" w:color="auto"/>
        <w:right w:val="none" w:sz="0" w:space="0" w:color="auto"/>
      </w:divBdr>
    </w:div>
    <w:div w:id="2099789000">
      <w:bodyDiv w:val="1"/>
      <w:marLeft w:val="0"/>
      <w:marRight w:val="0"/>
      <w:marTop w:val="0"/>
      <w:marBottom w:val="0"/>
      <w:divBdr>
        <w:top w:val="none" w:sz="0" w:space="0" w:color="auto"/>
        <w:left w:val="none" w:sz="0" w:space="0" w:color="auto"/>
        <w:bottom w:val="none" w:sz="0" w:space="0" w:color="auto"/>
        <w:right w:val="none" w:sz="0" w:space="0" w:color="auto"/>
      </w:divBdr>
    </w:div>
    <w:div w:id="213374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23</TotalTime>
  <Pages>14</Pages>
  <Words>3893</Words>
  <Characters>25862</Characters>
  <Application>Microsoft Office Word</Application>
  <DocSecurity>0</DocSecurity>
  <Lines>215</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2024041823 mt</dc:description>
  <cp:lastModifiedBy>Hanne Thy Iversen</cp:lastModifiedBy>
  <cp:revision>11</cp:revision>
  <cp:lastPrinted>2012-08-22T08:53:00Z</cp:lastPrinted>
  <dcterms:created xsi:type="dcterms:W3CDTF">2024-09-13T13:36:00Z</dcterms:created>
  <dcterms:modified xsi:type="dcterms:W3CDTF">2024-09-16T09:07:00Z</dcterms:modified>
</cp:coreProperties>
</file>