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BFCF2" w14:textId="77777777" w:rsidR="004A3BF4" w:rsidRPr="009B509D" w:rsidRDefault="00056601" w:rsidP="004A3BF4">
      <w:pPr>
        <w:rPr>
          <w:sz w:val="24"/>
          <w:szCs w:val="24"/>
          <w:lang w:val="en-GB"/>
        </w:rPr>
      </w:pPr>
      <w:r w:rsidRPr="009B509D">
        <w:rPr>
          <w:noProof/>
          <w:sz w:val="24"/>
          <w:szCs w:val="24"/>
          <w:lang w:val="en-GB"/>
        </w:rPr>
        <w:drawing>
          <wp:inline distT="0" distB="0" distL="0" distR="0" wp14:anchorId="7359106E" wp14:editId="3AD83ADB">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1C23AAF4" w14:textId="77777777" w:rsidR="006B3847" w:rsidRPr="009B509D" w:rsidRDefault="006B3847" w:rsidP="006B3847">
      <w:pPr>
        <w:rPr>
          <w:sz w:val="24"/>
          <w:szCs w:val="24"/>
          <w:lang w:val="en-GB"/>
        </w:rPr>
      </w:pPr>
    </w:p>
    <w:p w14:paraId="1F6220B8" w14:textId="5646D804" w:rsidR="006B3847" w:rsidRPr="009B509D" w:rsidRDefault="006B3847" w:rsidP="006B3847">
      <w:pPr>
        <w:tabs>
          <w:tab w:val="right" w:pos="9356"/>
        </w:tabs>
        <w:rPr>
          <w:b/>
          <w:sz w:val="24"/>
          <w:szCs w:val="24"/>
          <w:lang w:val="en-GB"/>
        </w:rPr>
      </w:pPr>
      <w:r w:rsidRPr="009B509D">
        <w:rPr>
          <w:b/>
          <w:sz w:val="24"/>
          <w:szCs w:val="24"/>
          <w:lang w:val="en-GB"/>
        </w:rPr>
        <w:tab/>
      </w:r>
      <w:r w:rsidR="00873345">
        <w:rPr>
          <w:b/>
          <w:sz w:val="24"/>
          <w:szCs w:val="24"/>
          <w:lang w:val="en-GB"/>
        </w:rPr>
        <w:t>21 May 2026</w:t>
      </w:r>
    </w:p>
    <w:p w14:paraId="128DF0AA" w14:textId="77777777" w:rsidR="006B3847" w:rsidRPr="009B509D" w:rsidRDefault="006B3847" w:rsidP="006B3847">
      <w:pPr>
        <w:rPr>
          <w:sz w:val="24"/>
          <w:szCs w:val="24"/>
          <w:lang w:val="en-GB"/>
        </w:rPr>
      </w:pPr>
    </w:p>
    <w:p w14:paraId="6A56579D" w14:textId="77777777" w:rsidR="007C5D2A" w:rsidRPr="009B509D" w:rsidRDefault="007C5D2A" w:rsidP="007C5D2A">
      <w:pPr>
        <w:rPr>
          <w:sz w:val="24"/>
          <w:szCs w:val="24"/>
          <w:lang w:val="en-GB"/>
        </w:rPr>
      </w:pPr>
    </w:p>
    <w:p w14:paraId="0D6C022C" w14:textId="77777777" w:rsidR="007C5D2A" w:rsidRPr="009B509D" w:rsidRDefault="007C5D2A" w:rsidP="007C5D2A">
      <w:pPr>
        <w:rPr>
          <w:sz w:val="24"/>
          <w:szCs w:val="24"/>
          <w:lang w:val="en-GB"/>
        </w:rPr>
      </w:pPr>
    </w:p>
    <w:p w14:paraId="039C0730" w14:textId="77777777" w:rsidR="007C5D2A" w:rsidRPr="009B509D" w:rsidRDefault="007C5D2A" w:rsidP="007C5D2A">
      <w:pPr>
        <w:jc w:val="center"/>
        <w:rPr>
          <w:b/>
          <w:sz w:val="24"/>
          <w:szCs w:val="24"/>
          <w:lang w:val="en-GB"/>
        </w:rPr>
      </w:pPr>
      <w:bookmarkStart w:id="0" w:name="_Hlk49158549"/>
      <w:r w:rsidRPr="009B509D">
        <w:rPr>
          <w:b/>
          <w:sz w:val="24"/>
          <w:szCs w:val="24"/>
          <w:lang w:val="en-GB"/>
        </w:rPr>
        <w:t>SUMMARY OF PRODUCT CHARACTERISTICS</w:t>
      </w:r>
    </w:p>
    <w:bookmarkEnd w:id="0"/>
    <w:p w14:paraId="13CC6E91" w14:textId="77777777" w:rsidR="007C5D2A" w:rsidRPr="009B509D" w:rsidRDefault="007C5D2A" w:rsidP="007C5D2A">
      <w:pPr>
        <w:jc w:val="center"/>
        <w:rPr>
          <w:sz w:val="24"/>
          <w:szCs w:val="24"/>
          <w:lang w:val="en-GB"/>
        </w:rPr>
      </w:pPr>
    </w:p>
    <w:p w14:paraId="24BA7802" w14:textId="77777777" w:rsidR="007C5D2A" w:rsidRPr="009B509D" w:rsidRDefault="007C5D2A" w:rsidP="007C5D2A">
      <w:pPr>
        <w:jc w:val="center"/>
        <w:rPr>
          <w:b/>
          <w:sz w:val="24"/>
          <w:szCs w:val="24"/>
          <w:lang w:val="en-GB"/>
        </w:rPr>
      </w:pPr>
      <w:r w:rsidRPr="009B509D">
        <w:rPr>
          <w:b/>
          <w:sz w:val="24"/>
          <w:szCs w:val="24"/>
          <w:lang w:val="en-GB"/>
        </w:rPr>
        <w:t>for</w:t>
      </w:r>
    </w:p>
    <w:p w14:paraId="209ABB92" w14:textId="77777777" w:rsidR="007C5D2A" w:rsidRPr="009B509D" w:rsidRDefault="007C5D2A" w:rsidP="007C5D2A">
      <w:pPr>
        <w:jc w:val="center"/>
        <w:rPr>
          <w:sz w:val="24"/>
          <w:szCs w:val="24"/>
          <w:lang w:val="en-GB"/>
        </w:rPr>
      </w:pPr>
    </w:p>
    <w:p w14:paraId="6B1A9785" w14:textId="7444E0D0" w:rsidR="007C5D2A" w:rsidRPr="009B509D" w:rsidRDefault="002F16C1" w:rsidP="007C5D2A">
      <w:pPr>
        <w:jc w:val="center"/>
        <w:rPr>
          <w:b/>
          <w:sz w:val="24"/>
          <w:szCs w:val="24"/>
          <w:lang w:val="en-GB"/>
        </w:rPr>
      </w:pPr>
      <w:proofErr w:type="spellStart"/>
      <w:r w:rsidRPr="009B509D">
        <w:rPr>
          <w:b/>
          <w:sz w:val="24"/>
          <w:szCs w:val="24"/>
          <w:lang w:val="en-US"/>
        </w:rPr>
        <w:t>Ruxolitinib</w:t>
      </w:r>
      <w:proofErr w:type="spellEnd"/>
      <w:r w:rsidRPr="009B509D">
        <w:rPr>
          <w:b/>
          <w:sz w:val="24"/>
          <w:szCs w:val="24"/>
          <w:lang w:val="en-US"/>
        </w:rPr>
        <w:t xml:space="preserve"> </w:t>
      </w:r>
      <w:r w:rsidR="009B509D">
        <w:rPr>
          <w:b/>
          <w:sz w:val="24"/>
          <w:szCs w:val="24"/>
          <w:lang w:val="en-US"/>
        </w:rPr>
        <w:t>"</w:t>
      </w:r>
      <w:r w:rsidRPr="009B509D">
        <w:rPr>
          <w:b/>
          <w:sz w:val="24"/>
          <w:szCs w:val="24"/>
          <w:lang w:val="en-US"/>
        </w:rPr>
        <w:t>Sandoz</w:t>
      </w:r>
      <w:r w:rsidR="009B509D">
        <w:rPr>
          <w:b/>
          <w:sz w:val="24"/>
          <w:szCs w:val="24"/>
          <w:lang w:val="en-GB"/>
        </w:rPr>
        <w:t>"</w:t>
      </w:r>
      <w:r w:rsidRPr="009B509D">
        <w:rPr>
          <w:b/>
          <w:sz w:val="24"/>
          <w:szCs w:val="24"/>
          <w:lang w:val="en-GB"/>
        </w:rPr>
        <w:t>, tablets</w:t>
      </w:r>
    </w:p>
    <w:p w14:paraId="7633AE18" w14:textId="77777777" w:rsidR="007C5D2A" w:rsidRPr="009B509D" w:rsidRDefault="007C5D2A" w:rsidP="007C5D2A">
      <w:pPr>
        <w:jc w:val="both"/>
        <w:rPr>
          <w:sz w:val="24"/>
          <w:szCs w:val="24"/>
          <w:lang w:val="en-GB"/>
        </w:rPr>
      </w:pPr>
    </w:p>
    <w:p w14:paraId="37AAB466" w14:textId="77777777" w:rsidR="0042292D" w:rsidRPr="009B509D" w:rsidRDefault="0042292D" w:rsidP="007C5D2A">
      <w:pPr>
        <w:jc w:val="both"/>
        <w:rPr>
          <w:sz w:val="24"/>
          <w:szCs w:val="24"/>
          <w:lang w:val="en-GB"/>
        </w:rPr>
      </w:pPr>
    </w:p>
    <w:p w14:paraId="2AD77344" w14:textId="77777777" w:rsidR="008F2F8C" w:rsidRPr="009B509D" w:rsidRDefault="008F2F8C" w:rsidP="008F2F8C">
      <w:pPr>
        <w:tabs>
          <w:tab w:val="left" w:pos="8222"/>
        </w:tabs>
        <w:ind w:left="851" w:hanging="851"/>
        <w:rPr>
          <w:b/>
          <w:sz w:val="24"/>
          <w:szCs w:val="24"/>
          <w:lang w:val="en-GB"/>
        </w:rPr>
      </w:pPr>
      <w:r w:rsidRPr="009B509D">
        <w:rPr>
          <w:b/>
          <w:sz w:val="24"/>
          <w:szCs w:val="24"/>
          <w:lang w:val="en-GB"/>
        </w:rPr>
        <w:t>0.</w:t>
      </w:r>
      <w:r w:rsidRPr="009B509D">
        <w:rPr>
          <w:b/>
          <w:sz w:val="24"/>
          <w:szCs w:val="24"/>
          <w:lang w:val="en-GB"/>
        </w:rPr>
        <w:tab/>
      </w:r>
      <w:proofErr w:type="gramStart"/>
      <w:r w:rsidRPr="009B509D">
        <w:rPr>
          <w:b/>
          <w:sz w:val="24"/>
          <w:szCs w:val="24"/>
          <w:lang w:val="en-GB"/>
        </w:rPr>
        <w:t>D.SP.NO</w:t>
      </w:r>
      <w:proofErr w:type="gramEnd"/>
      <w:r w:rsidRPr="009B509D">
        <w:rPr>
          <w:b/>
          <w:sz w:val="24"/>
          <w:szCs w:val="24"/>
          <w:lang w:val="en-GB"/>
        </w:rPr>
        <w:t>.</w:t>
      </w:r>
    </w:p>
    <w:p w14:paraId="266DB2C0" w14:textId="1F6396D2" w:rsidR="008F2F8C" w:rsidRPr="009B509D" w:rsidRDefault="002F16C1" w:rsidP="008F2F8C">
      <w:pPr>
        <w:tabs>
          <w:tab w:val="left" w:pos="8222"/>
        </w:tabs>
        <w:ind w:left="851"/>
        <w:rPr>
          <w:sz w:val="24"/>
          <w:szCs w:val="24"/>
          <w:lang w:val="en-GB"/>
        </w:rPr>
      </w:pPr>
      <w:r w:rsidRPr="009B509D">
        <w:rPr>
          <w:sz w:val="24"/>
          <w:szCs w:val="24"/>
          <w:lang w:val="en-GB"/>
        </w:rPr>
        <w:t>34433</w:t>
      </w:r>
    </w:p>
    <w:p w14:paraId="596F2852" w14:textId="77777777" w:rsidR="007C5D2A" w:rsidRPr="009B509D" w:rsidRDefault="007C5D2A" w:rsidP="007C5D2A">
      <w:pPr>
        <w:tabs>
          <w:tab w:val="left" w:pos="851"/>
        </w:tabs>
        <w:jc w:val="both"/>
        <w:rPr>
          <w:sz w:val="24"/>
          <w:szCs w:val="24"/>
          <w:lang w:val="en-GB"/>
        </w:rPr>
      </w:pPr>
    </w:p>
    <w:p w14:paraId="186AB0F3" w14:textId="77777777" w:rsidR="007C5D2A" w:rsidRPr="009B509D" w:rsidRDefault="009925C9" w:rsidP="007C5D2A">
      <w:pPr>
        <w:tabs>
          <w:tab w:val="left" w:pos="851"/>
        </w:tabs>
        <w:ind w:left="851" w:hanging="851"/>
        <w:rPr>
          <w:sz w:val="24"/>
          <w:szCs w:val="24"/>
          <w:lang w:val="en-GB"/>
        </w:rPr>
      </w:pPr>
      <w:r w:rsidRPr="009B509D">
        <w:rPr>
          <w:b/>
          <w:sz w:val="24"/>
          <w:szCs w:val="24"/>
          <w:lang w:val="en-GB"/>
        </w:rPr>
        <w:t>1.</w:t>
      </w:r>
      <w:r w:rsidR="007C5D2A" w:rsidRPr="009B509D">
        <w:rPr>
          <w:b/>
          <w:sz w:val="24"/>
          <w:szCs w:val="24"/>
          <w:lang w:val="en-GB"/>
        </w:rPr>
        <w:tab/>
        <w:t>NAME OF THE MEDICINAL PRODUCT</w:t>
      </w:r>
    </w:p>
    <w:p w14:paraId="09F18986" w14:textId="587FCDD7" w:rsidR="007C5D2A" w:rsidRPr="009B509D" w:rsidRDefault="002F16C1" w:rsidP="004A3BF4">
      <w:pPr>
        <w:tabs>
          <w:tab w:val="left" w:pos="851"/>
        </w:tabs>
        <w:ind w:left="851"/>
        <w:rPr>
          <w:sz w:val="24"/>
          <w:szCs w:val="24"/>
          <w:lang w:val="en-US"/>
        </w:rPr>
      </w:pPr>
      <w:proofErr w:type="spellStart"/>
      <w:r w:rsidRPr="009B509D">
        <w:rPr>
          <w:sz w:val="24"/>
          <w:szCs w:val="24"/>
          <w:lang w:val="en-US"/>
        </w:rPr>
        <w:t>Ruxolitinib</w:t>
      </w:r>
      <w:proofErr w:type="spellEnd"/>
      <w:r w:rsidRPr="009B509D">
        <w:rPr>
          <w:sz w:val="24"/>
          <w:szCs w:val="24"/>
          <w:lang w:val="en-US"/>
        </w:rPr>
        <w:t xml:space="preserve"> </w:t>
      </w:r>
      <w:r w:rsidR="009B509D">
        <w:rPr>
          <w:sz w:val="24"/>
          <w:szCs w:val="24"/>
          <w:lang w:val="en-US"/>
        </w:rPr>
        <w:t>"</w:t>
      </w:r>
      <w:r w:rsidRPr="009B509D">
        <w:rPr>
          <w:sz w:val="24"/>
          <w:szCs w:val="24"/>
          <w:lang w:val="en-US"/>
        </w:rPr>
        <w:t>Sandoz</w:t>
      </w:r>
      <w:r w:rsidR="009B509D">
        <w:rPr>
          <w:sz w:val="24"/>
          <w:szCs w:val="24"/>
          <w:lang w:val="en-US"/>
        </w:rPr>
        <w:t>"</w:t>
      </w:r>
    </w:p>
    <w:p w14:paraId="40AEF5C0" w14:textId="77777777" w:rsidR="002F16C1" w:rsidRPr="009B509D" w:rsidRDefault="002F16C1" w:rsidP="004A3BF4">
      <w:pPr>
        <w:tabs>
          <w:tab w:val="left" w:pos="851"/>
        </w:tabs>
        <w:ind w:left="851"/>
        <w:rPr>
          <w:sz w:val="24"/>
          <w:szCs w:val="24"/>
          <w:lang w:val="en-US"/>
        </w:rPr>
      </w:pPr>
    </w:p>
    <w:p w14:paraId="12359C25" w14:textId="77777777" w:rsidR="007C5D2A" w:rsidRPr="009B509D" w:rsidRDefault="009925C9" w:rsidP="007C5D2A">
      <w:pPr>
        <w:ind w:left="851" w:hanging="851"/>
        <w:rPr>
          <w:b/>
          <w:sz w:val="24"/>
          <w:szCs w:val="24"/>
          <w:lang w:val="en-GB"/>
        </w:rPr>
      </w:pPr>
      <w:r w:rsidRPr="009B509D">
        <w:rPr>
          <w:b/>
          <w:sz w:val="24"/>
          <w:szCs w:val="24"/>
          <w:lang w:val="en-GB"/>
        </w:rPr>
        <w:t>2.</w:t>
      </w:r>
      <w:r w:rsidR="007C5D2A" w:rsidRPr="009B509D">
        <w:rPr>
          <w:b/>
          <w:sz w:val="24"/>
          <w:szCs w:val="24"/>
          <w:lang w:val="en-GB"/>
        </w:rPr>
        <w:tab/>
        <w:t>QUALITATIVE AND QUANTITATIVE COMPOSITION</w:t>
      </w:r>
    </w:p>
    <w:p w14:paraId="297A2599" w14:textId="77777777" w:rsidR="008E5F58" w:rsidRDefault="008E5F58" w:rsidP="00A11649">
      <w:pPr>
        <w:ind w:left="851"/>
        <w:rPr>
          <w:sz w:val="24"/>
          <w:szCs w:val="24"/>
          <w:u w:val="single"/>
          <w:lang w:val="en-GB"/>
        </w:rPr>
      </w:pPr>
    </w:p>
    <w:p w14:paraId="039A9E43" w14:textId="0F722821" w:rsidR="0078138E" w:rsidRPr="0078138E" w:rsidRDefault="0078138E" w:rsidP="00A11649">
      <w:pPr>
        <w:ind w:left="851"/>
        <w:rPr>
          <w:sz w:val="24"/>
          <w:szCs w:val="24"/>
          <w:u w:val="single"/>
          <w:lang w:val="en-GB"/>
        </w:rPr>
      </w:pPr>
      <w:proofErr w:type="spellStart"/>
      <w:r w:rsidRPr="0078138E">
        <w:rPr>
          <w:sz w:val="24"/>
          <w:szCs w:val="24"/>
          <w:u w:val="single"/>
          <w:lang w:val="en-GB"/>
        </w:rPr>
        <w:t>Ruxolitinib</w:t>
      </w:r>
      <w:proofErr w:type="spellEnd"/>
      <w:r w:rsidRPr="0078138E">
        <w:rPr>
          <w:sz w:val="24"/>
          <w:szCs w:val="24"/>
          <w:u w:val="single"/>
          <w:lang w:val="en-GB"/>
        </w:rPr>
        <w:t xml:space="preserve"> </w:t>
      </w:r>
      <w:r w:rsidR="009B509D">
        <w:rPr>
          <w:sz w:val="24"/>
          <w:szCs w:val="24"/>
          <w:u w:val="single"/>
          <w:lang w:val="en-GB"/>
        </w:rPr>
        <w:t>"</w:t>
      </w:r>
      <w:r w:rsidRPr="0078138E">
        <w:rPr>
          <w:sz w:val="24"/>
          <w:szCs w:val="24"/>
          <w:u w:val="single"/>
          <w:lang w:val="en-GB"/>
        </w:rPr>
        <w:t>Sandoz</w:t>
      </w:r>
      <w:r w:rsidR="009B509D">
        <w:rPr>
          <w:sz w:val="24"/>
          <w:szCs w:val="24"/>
          <w:u w:val="single"/>
          <w:lang w:val="en-GB"/>
        </w:rPr>
        <w:t>"</w:t>
      </w:r>
      <w:r w:rsidRPr="0078138E">
        <w:rPr>
          <w:sz w:val="24"/>
          <w:szCs w:val="24"/>
          <w:u w:val="single"/>
          <w:lang w:val="en-GB"/>
        </w:rPr>
        <w:t xml:space="preserve"> 5 mg tablets</w:t>
      </w:r>
    </w:p>
    <w:p w14:paraId="5DB63319" w14:textId="77777777" w:rsidR="0078138E" w:rsidRPr="0078138E" w:rsidRDefault="0078138E" w:rsidP="00A11649">
      <w:pPr>
        <w:ind w:left="851"/>
        <w:rPr>
          <w:sz w:val="24"/>
          <w:szCs w:val="24"/>
          <w:lang w:val="en-GB"/>
        </w:rPr>
      </w:pPr>
      <w:r w:rsidRPr="0078138E">
        <w:rPr>
          <w:sz w:val="24"/>
          <w:szCs w:val="24"/>
          <w:lang w:val="en-GB"/>
        </w:rPr>
        <w:t xml:space="preserve">Each tablet contains 5 mg </w:t>
      </w:r>
      <w:proofErr w:type="spellStart"/>
      <w:r w:rsidRPr="0078138E">
        <w:rPr>
          <w:sz w:val="24"/>
          <w:szCs w:val="24"/>
          <w:lang w:val="en-GB"/>
        </w:rPr>
        <w:t>ruxolitinib</w:t>
      </w:r>
      <w:proofErr w:type="spellEnd"/>
      <w:r w:rsidRPr="0078138E">
        <w:rPr>
          <w:sz w:val="24"/>
          <w:szCs w:val="24"/>
          <w:lang w:val="en-GB"/>
        </w:rPr>
        <w:t xml:space="preserve"> (as hydrochloride).</w:t>
      </w:r>
    </w:p>
    <w:p w14:paraId="31D34037" w14:textId="77777777" w:rsidR="0078138E" w:rsidRPr="0078138E" w:rsidRDefault="0078138E" w:rsidP="00A11649">
      <w:pPr>
        <w:ind w:left="851"/>
        <w:rPr>
          <w:sz w:val="24"/>
          <w:szCs w:val="24"/>
          <w:lang w:val="en-GB"/>
        </w:rPr>
      </w:pPr>
    </w:p>
    <w:p w14:paraId="10535AAC" w14:textId="77777777" w:rsidR="0078138E" w:rsidRPr="0078138E" w:rsidRDefault="0078138E" w:rsidP="00A11649">
      <w:pPr>
        <w:ind w:left="851"/>
        <w:rPr>
          <w:sz w:val="24"/>
          <w:szCs w:val="24"/>
          <w:u w:val="single"/>
          <w:lang w:val="en-GB"/>
        </w:rPr>
      </w:pPr>
      <w:r w:rsidRPr="0078138E">
        <w:rPr>
          <w:sz w:val="24"/>
          <w:szCs w:val="24"/>
          <w:u w:val="single"/>
          <w:lang w:val="en-GB"/>
        </w:rPr>
        <w:t>Excipient with known effect</w:t>
      </w:r>
    </w:p>
    <w:p w14:paraId="68CA200B" w14:textId="77777777" w:rsidR="0078138E" w:rsidRPr="0078138E" w:rsidRDefault="0078138E" w:rsidP="00A11649">
      <w:pPr>
        <w:ind w:left="851"/>
        <w:rPr>
          <w:sz w:val="24"/>
          <w:szCs w:val="24"/>
          <w:lang w:val="en-GB"/>
        </w:rPr>
      </w:pPr>
      <w:r w:rsidRPr="0078138E">
        <w:rPr>
          <w:sz w:val="24"/>
          <w:szCs w:val="24"/>
          <w:lang w:val="en-GB"/>
        </w:rPr>
        <w:t>Each tablet contains 71 mg lactose (as monohydrate).</w:t>
      </w:r>
    </w:p>
    <w:p w14:paraId="2D3C429A" w14:textId="77777777" w:rsidR="0078138E" w:rsidRPr="0078138E" w:rsidRDefault="0078138E" w:rsidP="00A11649">
      <w:pPr>
        <w:ind w:left="851"/>
        <w:rPr>
          <w:sz w:val="24"/>
          <w:szCs w:val="24"/>
          <w:lang w:val="en-GB"/>
        </w:rPr>
      </w:pPr>
    </w:p>
    <w:p w14:paraId="7BD3EA67" w14:textId="5AAC1313" w:rsidR="0078138E" w:rsidRPr="0078138E" w:rsidRDefault="0078138E" w:rsidP="00A11649">
      <w:pPr>
        <w:ind w:left="851"/>
        <w:rPr>
          <w:sz w:val="24"/>
          <w:szCs w:val="24"/>
          <w:u w:val="single"/>
          <w:lang w:val="en-GB"/>
        </w:rPr>
      </w:pPr>
      <w:proofErr w:type="spellStart"/>
      <w:r w:rsidRPr="0078138E">
        <w:rPr>
          <w:sz w:val="24"/>
          <w:szCs w:val="24"/>
          <w:u w:val="single"/>
          <w:lang w:val="en-GB"/>
        </w:rPr>
        <w:t>Ruxolitinib</w:t>
      </w:r>
      <w:proofErr w:type="spellEnd"/>
      <w:r w:rsidRPr="0078138E">
        <w:rPr>
          <w:sz w:val="24"/>
          <w:szCs w:val="24"/>
          <w:u w:val="single"/>
          <w:lang w:val="en-GB"/>
        </w:rPr>
        <w:t xml:space="preserve"> </w:t>
      </w:r>
      <w:r w:rsidR="009B509D">
        <w:rPr>
          <w:sz w:val="24"/>
          <w:szCs w:val="24"/>
          <w:u w:val="single"/>
          <w:lang w:val="en-GB"/>
        </w:rPr>
        <w:t>"</w:t>
      </w:r>
      <w:r w:rsidRPr="0078138E">
        <w:rPr>
          <w:sz w:val="24"/>
          <w:szCs w:val="24"/>
          <w:u w:val="single"/>
          <w:lang w:val="en-GB"/>
        </w:rPr>
        <w:t>Sandoz</w:t>
      </w:r>
      <w:r w:rsidR="009B509D">
        <w:rPr>
          <w:sz w:val="24"/>
          <w:szCs w:val="24"/>
          <w:u w:val="single"/>
          <w:lang w:val="en-GB"/>
        </w:rPr>
        <w:t>"</w:t>
      </w:r>
      <w:r w:rsidRPr="0078138E">
        <w:rPr>
          <w:sz w:val="24"/>
          <w:szCs w:val="24"/>
          <w:u w:val="single"/>
          <w:lang w:val="en-GB"/>
        </w:rPr>
        <w:t xml:space="preserve"> 10 mg tablets</w:t>
      </w:r>
    </w:p>
    <w:p w14:paraId="0BD4772B" w14:textId="77777777" w:rsidR="0078138E" w:rsidRPr="0078138E" w:rsidRDefault="0078138E" w:rsidP="00A11649">
      <w:pPr>
        <w:ind w:left="851"/>
        <w:rPr>
          <w:sz w:val="24"/>
          <w:szCs w:val="24"/>
          <w:lang w:val="en-GB"/>
        </w:rPr>
      </w:pPr>
      <w:r w:rsidRPr="0078138E">
        <w:rPr>
          <w:sz w:val="24"/>
          <w:szCs w:val="24"/>
          <w:lang w:val="en-GB"/>
        </w:rPr>
        <w:t xml:space="preserve">Each tablet contains 10 mg </w:t>
      </w:r>
      <w:proofErr w:type="spellStart"/>
      <w:r w:rsidRPr="0078138E">
        <w:rPr>
          <w:sz w:val="24"/>
          <w:szCs w:val="24"/>
          <w:lang w:val="en-GB"/>
        </w:rPr>
        <w:t>ruxolitinib</w:t>
      </w:r>
      <w:proofErr w:type="spellEnd"/>
      <w:r w:rsidRPr="0078138E">
        <w:rPr>
          <w:sz w:val="24"/>
          <w:szCs w:val="24"/>
          <w:lang w:val="en-GB"/>
        </w:rPr>
        <w:t xml:space="preserve"> (as hydrochloride).</w:t>
      </w:r>
    </w:p>
    <w:p w14:paraId="70EC68F0" w14:textId="77777777" w:rsidR="0078138E" w:rsidRPr="0078138E" w:rsidRDefault="0078138E" w:rsidP="00A11649">
      <w:pPr>
        <w:ind w:left="851"/>
        <w:rPr>
          <w:sz w:val="24"/>
          <w:szCs w:val="24"/>
          <w:lang w:val="en-GB"/>
        </w:rPr>
      </w:pPr>
    </w:p>
    <w:p w14:paraId="3882A17F" w14:textId="77777777" w:rsidR="0078138E" w:rsidRPr="0078138E" w:rsidRDefault="0078138E" w:rsidP="00A11649">
      <w:pPr>
        <w:ind w:left="851"/>
        <w:rPr>
          <w:sz w:val="24"/>
          <w:szCs w:val="24"/>
          <w:u w:val="single"/>
          <w:lang w:val="en-GB"/>
        </w:rPr>
      </w:pPr>
      <w:r w:rsidRPr="0078138E">
        <w:rPr>
          <w:sz w:val="24"/>
          <w:szCs w:val="24"/>
          <w:u w:val="single"/>
          <w:lang w:val="en-GB"/>
        </w:rPr>
        <w:t>Excipient with known effect</w:t>
      </w:r>
    </w:p>
    <w:p w14:paraId="067A449B" w14:textId="77777777" w:rsidR="0078138E" w:rsidRPr="0078138E" w:rsidRDefault="0078138E" w:rsidP="00A11649">
      <w:pPr>
        <w:ind w:left="851"/>
        <w:rPr>
          <w:sz w:val="24"/>
          <w:szCs w:val="24"/>
          <w:lang w:val="en-GB"/>
        </w:rPr>
      </w:pPr>
      <w:r w:rsidRPr="0078138E">
        <w:rPr>
          <w:sz w:val="24"/>
          <w:szCs w:val="24"/>
          <w:lang w:val="en-GB"/>
        </w:rPr>
        <w:t>Each tablet contains 143 mg lactose (as monohydrate).</w:t>
      </w:r>
    </w:p>
    <w:p w14:paraId="1BA69C04" w14:textId="77777777" w:rsidR="0078138E" w:rsidRPr="0078138E" w:rsidRDefault="0078138E" w:rsidP="00A11649">
      <w:pPr>
        <w:ind w:left="851"/>
        <w:rPr>
          <w:sz w:val="24"/>
          <w:szCs w:val="24"/>
          <w:u w:val="single"/>
          <w:lang w:val="en-GB"/>
        </w:rPr>
      </w:pPr>
    </w:p>
    <w:p w14:paraId="61BC17A6" w14:textId="00FBC3DB" w:rsidR="0078138E" w:rsidRPr="0078138E" w:rsidRDefault="0078138E" w:rsidP="00A11649">
      <w:pPr>
        <w:ind w:left="851"/>
        <w:rPr>
          <w:sz w:val="24"/>
          <w:szCs w:val="24"/>
          <w:u w:val="single"/>
          <w:lang w:val="en-GB"/>
        </w:rPr>
      </w:pPr>
      <w:proofErr w:type="spellStart"/>
      <w:r w:rsidRPr="0078138E">
        <w:rPr>
          <w:sz w:val="24"/>
          <w:szCs w:val="24"/>
          <w:u w:val="single"/>
          <w:lang w:val="en-GB"/>
        </w:rPr>
        <w:t>Ruxolitinib</w:t>
      </w:r>
      <w:proofErr w:type="spellEnd"/>
      <w:r w:rsidRPr="0078138E">
        <w:rPr>
          <w:sz w:val="24"/>
          <w:szCs w:val="24"/>
          <w:u w:val="single"/>
          <w:lang w:val="en-GB"/>
        </w:rPr>
        <w:t xml:space="preserve"> </w:t>
      </w:r>
      <w:r w:rsidR="009B509D">
        <w:rPr>
          <w:sz w:val="24"/>
          <w:szCs w:val="24"/>
          <w:u w:val="single"/>
          <w:lang w:val="en-GB"/>
        </w:rPr>
        <w:t>"</w:t>
      </w:r>
      <w:r w:rsidRPr="0078138E">
        <w:rPr>
          <w:sz w:val="24"/>
          <w:szCs w:val="24"/>
          <w:u w:val="single"/>
          <w:lang w:val="en-GB"/>
        </w:rPr>
        <w:t>Sandoz</w:t>
      </w:r>
      <w:r w:rsidR="009B509D">
        <w:rPr>
          <w:sz w:val="24"/>
          <w:szCs w:val="24"/>
          <w:u w:val="single"/>
          <w:lang w:val="en-GB"/>
        </w:rPr>
        <w:t>"</w:t>
      </w:r>
      <w:r w:rsidRPr="0078138E">
        <w:rPr>
          <w:sz w:val="24"/>
          <w:szCs w:val="24"/>
          <w:u w:val="single"/>
          <w:lang w:val="en-GB"/>
        </w:rPr>
        <w:t xml:space="preserve"> 15 mg tablets</w:t>
      </w:r>
    </w:p>
    <w:p w14:paraId="07E41F1D" w14:textId="77777777" w:rsidR="0078138E" w:rsidRPr="0078138E" w:rsidRDefault="0078138E" w:rsidP="00A11649">
      <w:pPr>
        <w:ind w:left="851"/>
        <w:rPr>
          <w:sz w:val="24"/>
          <w:szCs w:val="24"/>
          <w:lang w:val="en-GB"/>
        </w:rPr>
      </w:pPr>
      <w:r w:rsidRPr="0078138E">
        <w:rPr>
          <w:sz w:val="24"/>
          <w:szCs w:val="24"/>
          <w:lang w:val="en-GB"/>
        </w:rPr>
        <w:t xml:space="preserve">Each tablet contains 15 mg </w:t>
      </w:r>
      <w:proofErr w:type="spellStart"/>
      <w:r w:rsidRPr="0078138E">
        <w:rPr>
          <w:sz w:val="24"/>
          <w:szCs w:val="24"/>
          <w:lang w:val="en-GB"/>
        </w:rPr>
        <w:t>ruxolitinib</w:t>
      </w:r>
      <w:proofErr w:type="spellEnd"/>
      <w:r w:rsidRPr="0078138E">
        <w:rPr>
          <w:sz w:val="24"/>
          <w:szCs w:val="24"/>
          <w:lang w:val="en-GB"/>
        </w:rPr>
        <w:t xml:space="preserve"> (as hydrochloride).</w:t>
      </w:r>
    </w:p>
    <w:p w14:paraId="558A4CE9" w14:textId="77777777" w:rsidR="0078138E" w:rsidRPr="0078138E" w:rsidRDefault="0078138E" w:rsidP="00A11649">
      <w:pPr>
        <w:ind w:left="851"/>
        <w:rPr>
          <w:sz w:val="24"/>
          <w:szCs w:val="24"/>
          <w:lang w:val="en-GB"/>
        </w:rPr>
      </w:pPr>
    </w:p>
    <w:p w14:paraId="35B57B62" w14:textId="77777777" w:rsidR="0078138E" w:rsidRPr="0078138E" w:rsidRDefault="0078138E" w:rsidP="00A11649">
      <w:pPr>
        <w:ind w:left="851"/>
        <w:rPr>
          <w:sz w:val="24"/>
          <w:szCs w:val="24"/>
          <w:u w:val="single"/>
          <w:lang w:val="en-GB"/>
        </w:rPr>
      </w:pPr>
      <w:r w:rsidRPr="0078138E">
        <w:rPr>
          <w:sz w:val="24"/>
          <w:szCs w:val="24"/>
          <w:u w:val="single"/>
          <w:lang w:val="en-GB"/>
        </w:rPr>
        <w:t>Excipient with known effect</w:t>
      </w:r>
    </w:p>
    <w:p w14:paraId="0E4B384B" w14:textId="77777777" w:rsidR="0078138E" w:rsidRPr="0078138E" w:rsidRDefault="0078138E" w:rsidP="00A11649">
      <w:pPr>
        <w:ind w:left="851"/>
        <w:rPr>
          <w:sz w:val="24"/>
          <w:szCs w:val="24"/>
          <w:lang w:val="en-GB"/>
        </w:rPr>
      </w:pPr>
      <w:r w:rsidRPr="0078138E">
        <w:rPr>
          <w:sz w:val="24"/>
          <w:szCs w:val="24"/>
          <w:lang w:val="en-GB"/>
        </w:rPr>
        <w:t>Each tablet contains 214 mg lactose (as monohydrate).</w:t>
      </w:r>
    </w:p>
    <w:p w14:paraId="76BB58FA" w14:textId="77777777" w:rsidR="0078138E" w:rsidRPr="0078138E" w:rsidRDefault="0078138E" w:rsidP="00A11649">
      <w:pPr>
        <w:ind w:left="851"/>
        <w:rPr>
          <w:sz w:val="24"/>
          <w:szCs w:val="24"/>
          <w:lang w:val="en-GB"/>
        </w:rPr>
      </w:pPr>
    </w:p>
    <w:p w14:paraId="0C5176D2" w14:textId="374AF036" w:rsidR="0078138E" w:rsidRPr="0078138E" w:rsidRDefault="0078138E" w:rsidP="00A11649">
      <w:pPr>
        <w:ind w:left="851"/>
        <w:rPr>
          <w:sz w:val="24"/>
          <w:szCs w:val="24"/>
          <w:u w:val="single"/>
          <w:lang w:val="en-GB"/>
        </w:rPr>
      </w:pPr>
      <w:proofErr w:type="spellStart"/>
      <w:r w:rsidRPr="0078138E">
        <w:rPr>
          <w:sz w:val="24"/>
          <w:szCs w:val="24"/>
          <w:u w:val="single"/>
          <w:lang w:val="en-GB"/>
        </w:rPr>
        <w:t>Ruxolitinib</w:t>
      </w:r>
      <w:proofErr w:type="spellEnd"/>
      <w:r w:rsidRPr="0078138E">
        <w:rPr>
          <w:sz w:val="24"/>
          <w:szCs w:val="24"/>
          <w:u w:val="single"/>
          <w:lang w:val="en-GB"/>
        </w:rPr>
        <w:t xml:space="preserve"> </w:t>
      </w:r>
      <w:r w:rsidR="009B509D">
        <w:rPr>
          <w:sz w:val="24"/>
          <w:szCs w:val="24"/>
          <w:u w:val="single"/>
          <w:lang w:val="en-GB"/>
        </w:rPr>
        <w:t>"</w:t>
      </w:r>
      <w:r w:rsidRPr="0078138E">
        <w:rPr>
          <w:sz w:val="24"/>
          <w:szCs w:val="24"/>
          <w:u w:val="single"/>
          <w:lang w:val="en-GB"/>
        </w:rPr>
        <w:t>Sandoz</w:t>
      </w:r>
      <w:r w:rsidR="009B509D">
        <w:rPr>
          <w:sz w:val="24"/>
          <w:szCs w:val="24"/>
          <w:u w:val="single"/>
          <w:lang w:val="en-GB"/>
        </w:rPr>
        <w:t>"</w:t>
      </w:r>
      <w:r w:rsidRPr="0078138E">
        <w:rPr>
          <w:sz w:val="24"/>
          <w:szCs w:val="24"/>
          <w:u w:val="single"/>
          <w:lang w:val="en-GB"/>
        </w:rPr>
        <w:t xml:space="preserve"> 20 mg tablets</w:t>
      </w:r>
    </w:p>
    <w:p w14:paraId="2C47FD7A" w14:textId="77777777" w:rsidR="0078138E" w:rsidRPr="0078138E" w:rsidRDefault="0078138E" w:rsidP="00A11649">
      <w:pPr>
        <w:ind w:left="851"/>
        <w:rPr>
          <w:sz w:val="24"/>
          <w:szCs w:val="24"/>
          <w:lang w:val="en-GB"/>
        </w:rPr>
      </w:pPr>
      <w:r w:rsidRPr="0078138E">
        <w:rPr>
          <w:sz w:val="24"/>
          <w:szCs w:val="24"/>
          <w:lang w:val="en-GB"/>
        </w:rPr>
        <w:t xml:space="preserve">Each tablet contains 20 mg </w:t>
      </w:r>
      <w:proofErr w:type="spellStart"/>
      <w:r w:rsidRPr="0078138E">
        <w:rPr>
          <w:sz w:val="24"/>
          <w:szCs w:val="24"/>
          <w:lang w:val="en-GB"/>
        </w:rPr>
        <w:t>ruxolitinib</w:t>
      </w:r>
      <w:proofErr w:type="spellEnd"/>
      <w:r w:rsidRPr="0078138E">
        <w:rPr>
          <w:sz w:val="24"/>
          <w:szCs w:val="24"/>
          <w:lang w:val="en-GB"/>
        </w:rPr>
        <w:t xml:space="preserve"> (as hydrochloride).</w:t>
      </w:r>
    </w:p>
    <w:p w14:paraId="60D40B15" w14:textId="77777777" w:rsidR="0078138E" w:rsidRPr="0078138E" w:rsidRDefault="0078138E" w:rsidP="00A11649">
      <w:pPr>
        <w:ind w:left="851"/>
        <w:rPr>
          <w:sz w:val="24"/>
          <w:szCs w:val="24"/>
          <w:lang w:val="en-GB"/>
        </w:rPr>
      </w:pPr>
    </w:p>
    <w:p w14:paraId="41BA15B2" w14:textId="77777777" w:rsidR="0078138E" w:rsidRPr="0078138E" w:rsidRDefault="0078138E" w:rsidP="00A11649">
      <w:pPr>
        <w:ind w:left="851"/>
        <w:rPr>
          <w:sz w:val="24"/>
          <w:szCs w:val="24"/>
          <w:u w:val="single"/>
          <w:lang w:val="en-GB"/>
        </w:rPr>
      </w:pPr>
      <w:r w:rsidRPr="0078138E">
        <w:rPr>
          <w:sz w:val="24"/>
          <w:szCs w:val="24"/>
          <w:u w:val="single"/>
          <w:lang w:val="en-GB"/>
        </w:rPr>
        <w:t>Excipient with known effect</w:t>
      </w:r>
    </w:p>
    <w:p w14:paraId="1ADF2B2D" w14:textId="77777777" w:rsidR="0078138E" w:rsidRPr="0078138E" w:rsidRDefault="0078138E" w:rsidP="00A11649">
      <w:pPr>
        <w:ind w:left="851"/>
        <w:rPr>
          <w:sz w:val="24"/>
          <w:szCs w:val="24"/>
          <w:lang w:val="en-GB"/>
        </w:rPr>
      </w:pPr>
      <w:r w:rsidRPr="0078138E">
        <w:rPr>
          <w:sz w:val="24"/>
          <w:szCs w:val="24"/>
          <w:lang w:val="en-GB"/>
        </w:rPr>
        <w:t>Each tablet contains 285 mg lactose (as monohydrate).</w:t>
      </w:r>
    </w:p>
    <w:p w14:paraId="7E882B32" w14:textId="77777777" w:rsidR="0078138E" w:rsidRPr="0078138E" w:rsidRDefault="0078138E" w:rsidP="00A11649">
      <w:pPr>
        <w:ind w:left="851"/>
        <w:rPr>
          <w:sz w:val="24"/>
          <w:szCs w:val="24"/>
          <w:lang w:val="en-GB"/>
        </w:rPr>
      </w:pPr>
    </w:p>
    <w:p w14:paraId="48EE12CD" w14:textId="77777777" w:rsidR="0078138E" w:rsidRPr="0078138E" w:rsidRDefault="0078138E" w:rsidP="00A11649">
      <w:pPr>
        <w:ind w:left="851"/>
        <w:rPr>
          <w:sz w:val="24"/>
          <w:szCs w:val="24"/>
          <w:lang w:val="en-GB"/>
        </w:rPr>
      </w:pPr>
      <w:r w:rsidRPr="0078138E">
        <w:rPr>
          <w:sz w:val="24"/>
          <w:szCs w:val="24"/>
          <w:lang w:val="en-GB"/>
        </w:rPr>
        <w:t>For the full list of excipients, see section 6.1.</w:t>
      </w:r>
    </w:p>
    <w:p w14:paraId="6AF1A369" w14:textId="4E012D7B" w:rsidR="008E5F58" w:rsidRDefault="008E5F58">
      <w:pPr>
        <w:rPr>
          <w:sz w:val="24"/>
          <w:szCs w:val="24"/>
          <w:lang w:val="en-GB"/>
        </w:rPr>
      </w:pPr>
      <w:r>
        <w:rPr>
          <w:sz w:val="24"/>
          <w:szCs w:val="24"/>
          <w:lang w:val="en-GB"/>
        </w:rPr>
        <w:br w:type="page"/>
      </w:r>
    </w:p>
    <w:p w14:paraId="1E3AABCA" w14:textId="77777777" w:rsidR="007C5D2A" w:rsidRPr="009B509D" w:rsidRDefault="007C5D2A" w:rsidP="004A3BF4">
      <w:pPr>
        <w:tabs>
          <w:tab w:val="left" w:pos="851"/>
        </w:tabs>
        <w:ind w:left="851"/>
        <w:rPr>
          <w:sz w:val="24"/>
          <w:szCs w:val="24"/>
          <w:lang w:val="en-GB"/>
        </w:rPr>
      </w:pPr>
    </w:p>
    <w:p w14:paraId="5316E5EF" w14:textId="77777777" w:rsidR="007C5D2A" w:rsidRPr="009B509D" w:rsidRDefault="007C5D2A" w:rsidP="007C5D2A">
      <w:pPr>
        <w:tabs>
          <w:tab w:val="left" w:pos="851"/>
        </w:tabs>
        <w:ind w:left="851" w:hanging="851"/>
        <w:rPr>
          <w:b/>
          <w:sz w:val="24"/>
          <w:szCs w:val="24"/>
          <w:lang w:val="en-GB"/>
        </w:rPr>
      </w:pPr>
      <w:r w:rsidRPr="009B509D">
        <w:rPr>
          <w:b/>
          <w:sz w:val="24"/>
          <w:szCs w:val="24"/>
          <w:lang w:val="en-GB"/>
        </w:rPr>
        <w:t>3.</w:t>
      </w:r>
      <w:r w:rsidRPr="009B509D">
        <w:rPr>
          <w:b/>
          <w:sz w:val="24"/>
          <w:szCs w:val="24"/>
          <w:lang w:val="en-GB"/>
        </w:rPr>
        <w:tab/>
        <w:t>PHARMACEUTICAL FORM</w:t>
      </w:r>
    </w:p>
    <w:p w14:paraId="45898842" w14:textId="6597AB63" w:rsidR="0078138E" w:rsidRPr="0078138E" w:rsidRDefault="0078138E" w:rsidP="00A11649">
      <w:pPr>
        <w:ind w:left="851"/>
        <w:rPr>
          <w:sz w:val="24"/>
          <w:szCs w:val="24"/>
          <w:lang w:val="en-GB"/>
        </w:rPr>
      </w:pPr>
      <w:r w:rsidRPr="0078138E">
        <w:rPr>
          <w:sz w:val="24"/>
          <w:szCs w:val="24"/>
          <w:lang w:val="en-GB"/>
        </w:rPr>
        <w:t>Tablet</w:t>
      </w:r>
      <w:r w:rsidR="009B509D">
        <w:rPr>
          <w:sz w:val="24"/>
          <w:szCs w:val="24"/>
          <w:lang w:val="en-GB"/>
        </w:rPr>
        <w:t>s</w:t>
      </w:r>
    </w:p>
    <w:p w14:paraId="483D23F1" w14:textId="77777777" w:rsidR="0078138E" w:rsidRPr="0078138E" w:rsidRDefault="0078138E" w:rsidP="00A11649">
      <w:pPr>
        <w:ind w:left="851"/>
        <w:rPr>
          <w:sz w:val="24"/>
          <w:szCs w:val="24"/>
          <w:lang w:val="en-GB"/>
        </w:rPr>
      </w:pPr>
    </w:p>
    <w:p w14:paraId="6C98B7D4" w14:textId="05D1F35E" w:rsidR="0078138E" w:rsidRPr="0078138E" w:rsidRDefault="0078138E" w:rsidP="00A11649">
      <w:pPr>
        <w:ind w:left="851"/>
        <w:rPr>
          <w:sz w:val="24"/>
          <w:szCs w:val="24"/>
          <w:u w:val="single"/>
          <w:lang w:val="en-GB"/>
        </w:rPr>
      </w:pPr>
      <w:proofErr w:type="spellStart"/>
      <w:r w:rsidRPr="0078138E">
        <w:rPr>
          <w:sz w:val="24"/>
          <w:szCs w:val="24"/>
          <w:u w:val="single"/>
          <w:lang w:val="en-GB"/>
        </w:rPr>
        <w:t>Ruxolitinib</w:t>
      </w:r>
      <w:proofErr w:type="spellEnd"/>
      <w:r w:rsidRPr="0078138E">
        <w:rPr>
          <w:sz w:val="24"/>
          <w:szCs w:val="24"/>
          <w:u w:val="single"/>
          <w:lang w:val="en-GB"/>
        </w:rPr>
        <w:t xml:space="preserve"> </w:t>
      </w:r>
      <w:r w:rsidR="009B509D">
        <w:rPr>
          <w:sz w:val="24"/>
          <w:szCs w:val="24"/>
          <w:u w:val="single"/>
          <w:lang w:val="en-GB"/>
        </w:rPr>
        <w:t>"</w:t>
      </w:r>
      <w:r w:rsidRPr="0078138E">
        <w:rPr>
          <w:sz w:val="24"/>
          <w:szCs w:val="24"/>
          <w:u w:val="single"/>
          <w:lang w:val="en-GB"/>
        </w:rPr>
        <w:t>Sandoz</w:t>
      </w:r>
      <w:r w:rsidR="009B509D">
        <w:rPr>
          <w:sz w:val="24"/>
          <w:szCs w:val="24"/>
          <w:u w:val="single"/>
          <w:lang w:val="en-GB"/>
        </w:rPr>
        <w:t>"</w:t>
      </w:r>
      <w:r w:rsidRPr="0078138E">
        <w:rPr>
          <w:sz w:val="24"/>
          <w:szCs w:val="24"/>
          <w:u w:val="single"/>
          <w:lang w:val="en-GB"/>
        </w:rPr>
        <w:t xml:space="preserve"> 5 mg tablets</w:t>
      </w:r>
    </w:p>
    <w:p w14:paraId="39D133B5" w14:textId="00580E4F" w:rsidR="0078138E" w:rsidRPr="0078138E" w:rsidRDefault="0078138E" w:rsidP="00A11649">
      <w:pPr>
        <w:ind w:left="851"/>
        <w:rPr>
          <w:sz w:val="24"/>
          <w:szCs w:val="24"/>
          <w:lang w:val="en-GB"/>
        </w:rPr>
      </w:pPr>
      <w:r w:rsidRPr="0078138E">
        <w:rPr>
          <w:sz w:val="24"/>
          <w:szCs w:val="24"/>
          <w:lang w:val="en-GB"/>
        </w:rPr>
        <w:t xml:space="preserve">White to off white, round (7.5 mm in diameter), biconvex tablet, debossed with </w:t>
      </w:r>
      <w:r w:rsidR="009B509D">
        <w:rPr>
          <w:sz w:val="24"/>
          <w:szCs w:val="24"/>
          <w:lang w:val="en-GB"/>
        </w:rPr>
        <w:t>"</w:t>
      </w:r>
      <w:r w:rsidRPr="0078138E">
        <w:rPr>
          <w:sz w:val="24"/>
          <w:szCs w:val="24"/>
          <w:lang w:val="en-GB"/>
        </w:rPr>
        <w:t>C24</w:t>
      </w:r>
      <w:r w:rsidR="009B509D">
        <w:rPr>
          <w:sz w:val="24"/>
          <w:szCs w:val="24"/>
          <w:lang w:val="en-GB"/>
        </w:rPr>
        <w:t>"</w:t>
      </w:r>
      <w:r w:rsidRPr="0078138E">
        <w:rPr>
          <w:sz w:val="24"/>
          <w:szCs w:val="24"/>
          <w:lang w:val="en-GB"/>
        </w:rPr>
        <w:t xml:space="preserve"> on one side.</w:t>
      </w:r>
    </w:p>
    <w:p w14:paraId="29B96B9D" w14:textId="77777777" w:rsidR="0078138E" w:rsidRPr="0078138E" w:rsidRDefault="0078138E" w:rsidP="00A11649">
      <w:pPr>
        <w:ind w:left="851"/>
        <w:rPr>
          <w:sz w:val="24"/>
          <w:szCs w:val="24"/>
          <w:lang w:val="en-GB"/>
        </w:rPr>
      </w:pPr>
    </w:p>
    <w:p w14:paraId="49623D1A" w14:textId="6B707BBB" w:rsidR="0078138E" w:rsidRPr="0078138E" w:rsidRDefault="0078138E" w:rsidP="00A11649">
      <w:pPr>
        <w:ind w:left="851"/>
        <w:rPr>
          <w:sz w:val="24"/>
          <w:szCs w:val="24"/>
          <w:u w:val="single"/>
          <w:lang w:val="en-GB"/>
        </w:rPr>
      </w:pPr>
      <w:proofErr w:type="spellStart"/>
      <w:r w:rsidRPr="0078138E">
        <w:rPr>
          <w:sz w:val="24"/>
          <w:szCs w:val="24"/>
          <w:u w:val="single"/>
          <w:lang w:val="en-GB"/>
        </w:rPr>
        <w:t>Ruxolitinib</w:t>
      </w:r>
      <w:proofErr w:type="spellEnd"/>
      <w:r w:rsidRPr="0078138E">
        <w:rPr>
          <w:sz w:val="24"/>
          <w:szCs w:val="24"/>
          <w:u w:val="single"/>
          <w:lang w:val="en-GB"/>
        </w:rPr>
        <w:t xml:space="preserve"> </w:t>
      </w:r>
      <w:r w:rsidR="009B509D">
        <w:rPr>
          <w:sz w:val="24"/>
          <w:szCs w:val="24"/>
          <w:u w:val="single"/>
          <w:lang w:val="en-GB"/>
        </w:rPr>
        <w:t>"</w:t>
      </w:r>
      <w:r w:rsidRPr="0078138E">
        <w:rPr>
          <w:sz w:val="24"/>
          <w:szCs w:val="24"/>
          <w:u w:val="single"/>
          <w:lang w:val="en-GB"/>
        </w:rPr>
        <w:t>Sandoz</w:t>
      </w:r>
      <w:r w:rsidR="009B509D">
        <w:rPr>
          <w:sz w:val="24"/>
          <w:szCs w:val="24"/>
          <w:u w:val="single"/>
          <w:lang w:val="en-GB"/>
        </w:rPr>
        <w:t>"</w:t>
      </w:r>
      <w:r w:rsidRPr="0078138E">
        <w:rPr>
          <w:sz w:val="24"/>
          <w:szCs w:val="24"/>
          <w:u w:val="single"/>
          <w:lang w:val="en-GB"/>
        </w:rPr>
        <w:t xml:space="preserve"> 10 mg tablets</w:t>
      </w:r>
    </w:p>
    <w:p w14:paraId="58CEEAD5" w14:textId="4DAE35A7" w:rsidR="0078138E" w:rsidRPr="0078138E" w:rsidRDefault="0078138E" w:rsidP="00A11649">
      <w:pPr>
        <w:ind w:left="851"/>
        <w:rPr>
          <w:sz w:val="24"/>
          <w:szCs w:val="24"/>
          <w:lang w:val="en-GB"/>
        </w:rPr>
      </w:pPr>
      <w:r w:rsidRPr="0078138E">
        <w:rPr>
          <w:sz w:val="24"/>
          <w:szCs w:val="24"/>
          <w:lang w:val="en-GB"/>
        </w:rPr>
        <w:t xml:space="preserve">White to off white, round (9.3 mm in diameter), biconvex tablet, debossed with </w:t>
      </w:r>
      <w:r w:rsidR="009B509D">
        <w:rPr>
          <w:sz w:val="24"/>
          <w:szCs w:val="24"/>
          <w:lang w:val="en-GB"/>
        </w:rPr>
        <w:t>"</w:t>
      </w:r>
      <w:r w:rsidRPr="0078138E">
        <w:rPr>
          <w:sz w:val="24"/>
          <w:szCs w:val="24"/>
          <w:lang w:val="en-GB"/>
        </w:rPr>
        <w:t>C25</w:t>
      </w:r>
      <w:r w:rsidR="009B509D">
        <w:rPr>
          <w:sz w:val="24"/>
          <w:szCs w:val="24"/>
          <w:lang w:val="en-GB"/>
        </w:rPr>
        <w:t>"</w:t>
      </w:r>
      <w:r w:rsidRPr="0078138E">
        <w:rPr>
          <w:sz w:val="24"/>
          <w:szCs w:val="24"/>
          <w:lang w:val="en-GB"/>
        </w:rPr>
        <w:t xml:space="preserve"> on one side.</w:t>
      </w:r>
    </w:p>
    <w:p w14:paraId="1513C5CC" w14:textId="77777777" w:rsidR="0078138E" w:rsidRPr="0078138E" w:rsidRDefault="0078138E" w:rsidP="00A11649">
      <w:pPr>
        <w:ind w:left="851"/>
        <w:rPr>
          <w:sz w:val="24"/>
          <w:szCs w:val="24"/>
          <w:lang w:val="en-GB"/>
        </w:rPr>
      </w:pPr>
    </w:p>
    <w:p w14:paraId="3297E379" w14:textId="10A595D7" w:rsidR="0078138E" w:rsidRPr="0078138E" w:rsidRDefault="0078138E" w:rsidP="00A11649">
      <w:pPr>
        <w:ind w:left="851"/>
        <w:rPr>
          <w:sz w:val="24"/>
          <w:szCs w:val="24"/>
          <w:u w:val="single"/>
          <w:lang w:val="en-GB"/>
        </w:rPr>
      </w:pPr>
      <w:proofErr w:type="spellStart"/>
      <w:r w:rsidRPr="0078138E">
        <w:rPr>
          <w:sz w:val="24"/>
          <w:szCs w:val="24"/>
          <w:u w:val="single"/>
          <w:lang w:val="en-GB"/>
        </w:rPr>
        <w:t>Ruxolitinib</w:t>
      </w:r>
      <w:proofErr w:type="spellEnd"/>
      <w:r w:rsidRPr="0078138E">
        <w:rPr>
          <w:sz w:val="24"/>
          <w:szCs w:val="24"/>
          <w:u w:val="single"/>
          <w:lang w:val="en-GB"/>
        </w:rPr>
        <w:t xml:space="preserve"> </w:t>
      </w:r>
      <w:r w:rsidR="009B509D">
        <w:rPr>
          <w:sz w:val="24"/>
          <w:szCs w:val="24"/>
          <w:u w:val="single"/>
          <w:lang w:val="en-GB"/>
        </w:rPr>
        <w:t>"</w:t>
      </w:r>
      <w:r w:rsidRPr="0078138E">
        <w:rPr>
          <w:sz w:val="24"/>
          <w:szCs w:val="24"/>
          <w:u w:val="single"/>
          <w:lang w:val="en-GB"/>
        </w:rPr>
        <w:t>Sandoz</w:t>
      </w:r>
      <w:r w:rsidR="009B509D">
        <w:rPr>
          <w:sz w:val="24"/>
          <w:szCs w:val="24"/>
          <w:u w:val="single"/>
          <w:lang w:val="en-GB"/>
        </w:rPr>
        <w:t>"</w:t>
      </w:r>
      <w:r w:rsidRPr="0078138E">
        <w:rPr>
          <w:sz w:val="24"/>
          <w:szCs w:val="24"/>
          <w:u w:val="single"/>
          <w:lang w:val="en-GB"/>
        </w:rPr>
        <w:t xml:space="preserve"> 15 mg tablets</w:t>
      </w:r>
    </w:p>
    <w:p w14:paraId="07FE73EC" w14:textId="40A040A5" w:rsidR="0078138E" w:rsidRPr="0078138E" w:rsidRDefault="0078138E" w:rsidP="00A11649">
      <w:pPr>
        <w:ind w:left="851"/>
        <w:rPr>
          <w:sz w:val="24"/>
          <w:szCs w:val="24"/>
          <w:lang w:val="en-GB"/>
        </w:rPr>
      </w:pPr>
      <w:r w:rsidRPr="0078138E">
        <w:rPr>
          <w:sz w:val="24"/>
          <w:szCs w:val="24"/>
          <w:lang w:val="en-GB"/>
        </w:rPr>
        <w:t xml:space="preserve">White to off white, oval (7.0 </w:t>
      </w:r>
      <w:r w:rsidR="009B509D">
        <w:rPr>
          <w:sz w:val="24"/>
          <w:szCs w:val="24"/>
          <w:lang w:val="en-GB"/>
        </w:rPr>
        <w:t>×</w:t>
      </w:r>
      <w:r w:rsidRPr="0078138E">
        <w:rPr>
          <w:sz w:val="24"/>
          <w:szCs w:val="24"/>
          <w:lang w:val="en-GB"/>
        </w:rPr>
        <w:t xml:space="preserve"> 15.0 mm), biconvex tablet, debossed with </w:t>
      </w:r>
      <w:r w:rsidR="009B509D">
        <w:rPr>
          <w:sz w:val="24"/>
          <w:szCs w:val="24"/>
          <w:lang w:val="en-GB"/>
        </w:rPr>
        <w:t>"</w:t>
      </w:r>
      <w:r w:rsidRPr="0078138E">
        <w:rPr>
          <w:sz w:val="24"/>
          <w:szCs w:val="24"/>
          <w:lang w:val="en-GB"/>
        </w:rPr>
        <w:t>C26</w:t>
      </w:r>
      <w:r w:rsidR="009B509D">
        <w:rPr>
          <w:sz w:val="24"/>
          <w:szCs w:val="24"/>
          <w:lang w:val="en-GB"/>
        </w:rPr>
        <w:t>"</w:t>
      </w:r>
      <w:r w:rsidRPr="0078138E">
        <w:rPr>
          <w:sz w:val="24"/>
          <w:szCs w:val="24"/>
          <w:lang w:val="en-GB"/>
        </w:rPr>
        <w:t xml:space="preserve"> on one side.</w:t>
      </w:r>
    </w:p>
    <w:p w14:paraId="47B1EBD7" w14:textId="77777777" w:rsidR="0078138E" w:rsidRPr="0078138E" w:rsidRDefault="0078138E" w:rsidP="00A11649">
      <w:pPr>
        <w:ind w:left="851"/>
        <w:rPr>
          <w:sz w:val="24"/>
          <w:szCs w:val="24"/>
          <w:lang w:val="en-GB"/>
        </w:rPr>
      </w:pPr>
    </w:p>
    <w:p w14:paraId="0FB17F69" w14:textId="6BB3C630" w:rsidR="0078138E" w:rsidRPr="0078138E" w:rsidRDefault="0078138E" w:rsidP="00A11649">
      <w:pPr>
        <w:ind w:left="851"/>
        <w:rPr>
          <w:sz w:val="24"/>
          <w:szCs w:val="24"/>
          <w:u w:val="single"/>
          <w:lang w:val="en-GB"/>
        </w:rPr>
      </w:pPr>
      <w:proofErr w:type="spellStart"/>
      <w:r w:rsidRPr="0078138E">
        <w:rPr>
          <w:sz w:val="24"/>
          <w:szCs w:val="24"/>
          <w:u w:val="single"/>
          <w:lang w:val="en-GB"/>
        </w:rPr>
        <w:t>Ruxolitinib</w:t>
      </w:r>
      <w:proofErr w:type="spellEnd"/>
      <w:r w:rsidRPr="0078138E">
        <w:rPr>
          <w:sz w:val="24"/>
          <w:szCs w:val="24"/>
          <w:u w:val="single"/>
          <w:lang w:val="en-GB"/>
        </w:rPr>
        <w:t xml:space="preserve"> </w:t>
      </w:r>
      <w:r w:rsidR="009B509D">
        <w:rPr>
          <w:sz w:val="24"/>
          <w:szCs w:val="24"/>
          <w:u w:val="single"/>
          <w:lang w:val="en-GB"/>
        </w:rPr>
        <w:t>"</w:t>
      </w:r>
      <w:r w:rsidRPr="0078138E">
        <w:rPr>
          <w:sz w:val="24"/>
          <w:szCs w:val="24"/>
          <w:u w:val="single"/>
          <w:lang w:val="en-GB"/>
        </w:rPr>
        <w:t>Sandoz</w:t>
      </w:r>
      <w:r w:rsidR="009B509D">
        <w:rPr>
          <w:sz w:val="24"/>
          <w:szCs w:val="24"/>
          <w:u w:val="single"/>
          <w:lang w:val="en-GB"/>
        </w:rPr>
        <w:t>"</w:t>
      </w:r>
      <w:r w:rsidRPr="0078138E">
        <w:rPr>
          <w:sz w:val="24"/>
          <w:szCs w:val="24"/>
          <w:u w:val="single"/>
          <w:lang w:val="en-GB"/>
        </w:rPr>
        <w:t xml:space="preserve"> 20 mg tablets</w:t>
      </w:r>
    </w:p>
    <w:p w14:paraId="27718CA1" w14:textId="571A63D2" w:rsidR="0078138E" w:rsidRPr="0078138E" w:rsidRDefault="0078138E" w:rsidP="00A11649">
      <w:pPr>
        <w:ind w:left="851"/>
        <w:rPr>
          <w:sz w:val="24"/>
          <w:szCs w:val="24"/>
          <w:lang w:val="en-GB"/>
        </w:rPr>
      </w:pPr>
      <w:r w:rsidRPr="0078138E">
        <w:rPr>
          <w:sz w:val="24"/>
          <w:szCs w:val="24"/>
          <w:lang w:val="en-GB"/>
        </w:rPr>
        <w:t xml:space="preserve">White to off white, capsule shape (16.5 </w:t>
      </w:r>
      <w:r w:rsidR="009B509D">
        <w:rPr>
          <w:sz w:val="24"/>
          <w:szCs w:val="24"/>
          <w:lang w:val="en-GB"/>
        </w:rPr>
        <w:t>×</w:t>
      </w:r>
      <w:r w:rsidRPr="0078138E">
        <w:rPr>
          <w:sz w:val="24"/>
          <w:szCs w:val="24"/>
          <w:lang w:val="en-GB"/>
        </w:rPr>
        <w:t xml:space="preserve"> 7.4 mm), biconvex tablet, debossed with </w:t>
      </w:r>
      <w:r w:rsidR="009B509D">
        <w:rPr>
          <w:sz w:val="24"/>
          <w:szCs w:val="24"/>
          <w:lang w:val="en-GB"/>
        </w:rPr>
        <w:t>"</w:t>
      </w:r>
      <w:r w:rsidRPr="0078138E">
        <w:rPr>
          <w:sz w:val="24"/>
          <w:szCs w:val="24"/>
          <w:lang w:val="en-GB"/>
        </w:rPr>
        <w:t>C27</w:t>
      </w:r>
      <w:r w:rsidR="009B509D">
        <w:rPr>
          <w:sz w:val="24"/>
          <w:szCs w:val="24"/>
          <w:lang w:val="en-GB"/>
        </w:rPr>
        <w:t>"</w:t>
      </w:r>
      <w:r w:rsidRPr="0078138E">
        <w:rPr>
          <w:sz w:val="24"/>
          <w:szCs w:val="24"/>
          <w:lang w:val="en-GB"/>
        </w:rPr>
        <w:t xml:space="preserve"> on one side.</w:t>
      </w:r>
    </w:p>
    <w:p w14:paraId="35AD4853" w14:textId="77777777" w:rsidR="007C5D2A" w:rsidRPr="009B509D" w:rsidRDefault="007C5D2A" w:rsidP="004A3BF4">
      <w:pPr>
        <w:tabs>
          <w:tab w:val="left" w:pos="851"/>
        </w:tabs>
        <w:ind w:left="851"/>
        <w:rPr>
          <w:sz w:val="24"/>
          <w:szCs w:val="24"/>
          <w:lang w:val="en-GB"/>
        </w:rPr>
      </w:pPr>
    </w:p>
    <w:p w14:paraId="53BC700B" w14:textId="77777777" w:rsidR="007C5D2A" w:rsidRPr="009B509D" w:rsidRDefault="007C5D2A" w:rsidP="004A3BF4">
      <w:pPr>
        <w:tabs>
          <w:tab w:val="left" w:pos="851"/>
        </w:tabs>
        <w:ind w:left="851"/>
        <w:rPr>
          <w:sz w:val="24"/>
          <w:szCs w:val="24"/>
          <w:lang w:val="en-GB"/>
        </w:rPr>
      </w:pPr>
    </w:p>
    <w:p w14:paraId="7F23324E" w14:textId="77777777" w:rsidR="007C5D2A" w:rsidRPr="009B509D" w:rsidRDefault="007C5D2A" w:rsidP="007C5D2A">
      <w:pPr>
        <w:ind w:left="851" w:hanging="851"/>
        <w:rPr>
          <w:b/>
          <w:sz w:val="24"/>
          <w:szCs w:val="24"/>
          <w:lang w:val="en-GB"/>
        </w:rPr>
      </w:pPr>
      <w:r w:rsidRPr="009B509D">
        <w:rPr>
          <w:b/>
          <w:sz w:val="24"/>
          <w:szCs w:val="24"/>
          <w:lang w:val="en-GB"/>
        </w:rPr>
        <w:t>4.</w:t>
      </w:r>
      <w:r w:rsidRPr="009B509D">
        <w:rPr>
          <w:b/>
          <w:sz w:val="24"/>
          <w:szCs w:val="24"/>
          <w:lang w:val="en-GB"/>
        </w:rPr>
        <w:tab/>
        <w:t>CLINICAL PARTICULARS</w:t>
      </w:r>
    </w:p>
    <w:p w14:paraId="044DD226" w14:textId="77777777" w:rsidR="007C5D2A" w:rsidRPr="009B509D" w:rsidRDefault="007C5D2A" w:rsidP="004A3BF4">
      <w:pPr>
        <w:tabs>
          <w:tab w:val="left" w:pos="851"/>
        </w:tabs>
        <w:ind w:left="851"/>
        <w:rPr>
          <w:sz w:val="24"/>
          <w:szCs w:val="24"/>
          <w:lang w:val="en-GB"/>
        </w:rPr>
      </w:pPr>
    </w:p>
    <w:p w14:paraId="3883C05D" w14:textId="77777777" w:rsidR="007C5D2A" w:rsidRPr="009B509D" w:rsidRDefault="007C5D2A" w:rsidP="007C5D2A">
      <w:pPr>
        <w:ind w:left="851" w:hanging="851"/>
        <w:rPr>
          <w:b/>
          <w:sz w:val="24"/>
          <w:szCs w:val="24"/>
          <w:u w:val="single"/>
          <w:lang w:val="en-GB"/>
        </w:rPr>
      </w:pPr>
      <w:r w:rsidRPr="009B509D">
        <w:rPr>
          <w:b/>
          <w:sz w:val="24"/>
          <w:szCs w:val="24"/>
          <w:lang w:val="en-GB"/>
        </w:rPr>
        <w:t>4.1</w:t>
      </w:r>
      <w:r w:rsidRPr="009B509D">
        <w:rPr>
          <w:b/>
          <w:sz w:val="24"/>
          <w:szCs w:val="24"/>
          <w:lang w:val="en-GB"/>
        </w:rPr>
        <w:tab/>
        <w:t>Therapeutic indications</w:t>
      </w:r>
    </w:p>
    <w:p w14:paraId="450D6132" w14:textId="77777777" w:rsidR="0078138E" w:rsidRPr="0078138E" w:rsidRDefault="0078138E" w:rsidP="0078138E">
      <w:pPr>
        <w:tabs>
          <w:tab w:val="left" w:pos="851"/>
        </w:tabs>
        <w:ind w:left="851"/>
        <w:rPr>
          <w:sz w:val="24"/>
          <w:szCs w:val="24"/>
          <w:lang w:val="en-GB"/>
        </w:rPr>
      </w:pPr>
    </w:p>
    <w:p w14:paraId="2D56893E" w14:textId="77777777" w:rsidR="0078138E" w:rsidRPr="0078138E" w:rsidRDefault="0078138E" w:rsidP="00A11649">
      <w:pPr>
        <w:ind w:left="851"/>
        <w:rPr>
          <w:sz w:val="24"/>
          <w:szCs w:val="24"/>
          <w:u w:val="single"/>
          <w:lang w:val="en-GB"/>
        </w:rPr>
      </w:pPr>
      <w:r w:rsidRPr="0078138E">
        <w:rPr>
          <w:sz w:val="24"/>
          <w:szCs w:val="24"/>
          <w:u w:val="single"/>
          <w:lang w:val="en-GB"/>
        </w:rPr>
        <w:t>Myelofibrosis (MF)</w:t>
      </w:r>
    </w:p>
    <w:p w14:paraId="6BDBCD56" w14:textId="77777777" w:rsidR="0078138E" w:rsidRPr="0078138E" w:rsidRDefault="0078138E" w:rsidP="00A11649">
      <w:pPr>
        <w:ind w:left="851"/>
        <w:rPr>
          <w:sz w:val="24"/>
          <w:szCs w:val="24"/>
          <w:u w:val="single"/>
          <w:lang w:val="en-GB"/>
        </w:rPr>
      </w:pPr>
    </w:p>
    <w:p w14:paraId="6A6156D3" w14:textId="42724E16" w:rsidR="0078138E" w:rsidRPr="0078138E" w:rsidRDefault="0078138E" w:rsidP="00A11649">
      <w:pPr>
        <w:ind w:left="851"/>
        <w:rPr>
          <w:sz w:val="24"/>
          <w:szCs w:val="24"/>
          <w:lang w:val="en-GB"/>
        </w:rPr>
      </w:pPr>
      <w:proofErr w:type="spellStart"/>
      <w:r w:rsidRPr="0078138E">
        <w:rPr>
          <w:sz w:val="24"/>
          <w:szCs w:val="24"/>
          <w:lang w:val="en-GB"/>
        </w:rPr>
        <w:t>Ruxolitinib</w:t>
      </w:r>
      <w:proofErr w:type="spellEnd"/>
      <w:r w:rsidRPr="0078138E">
        <w:rPr>
          <w:sz w:val="24"/>
          <w:szCs w:val="24"/>
          <w:lang w:val="en-GB"/>
        </w:rPr>
        <w:t xml:space="preserve"> </w:t>
      </w:r>
      <w:r w:rsidR="009B509D">
        <w:rPr>
          <w:sz w:val="24"/>
          <w:szCs w:val="24"/>
          <w:lang w:val="en-GB"/>
        </w:rPr>
        <w:t>"</w:t>
      </w:r>
      <w:r w:rsidRPr="0078138E">
        <w:rPr>
          <w:sz w:val="24"/>
          <w:szCs w:val="24"/>
          <w:lang w:val="en-GB"/>
        </w:rPr>
        <w:t>Sandoz</w:t>
      </w:r>
      <w:r w:rsidR="009B509D">
        <w:rPr>
          <w:sz w:val="24"/>
          <w:szCs w:val="24"/>
          <w:lang w:val="en-GB"/>
        </w:rPr>
        <w:t>"</w:t>
      </w:r>
      <w:r w:rsidRPr="0078138E">
        <w:rPr>
          <w:sz w:val="24"/>
          <w:szCs w:val="24"/>
          <w:lang w:val="en-GB"/>
        </w:rPr>
        <w:t xml:space="preserve"> is indicated for the treatment of disease-related splenomegaly or symptoms in adult patients with primary myelofibrosis (also known as chronic idiopathic myelofibrosis), post polycythaemia vera myelofibrosis or post essential </w:t>
      </w:r>
      <w:proofErr w:type="spellStart"/>
      <w:r w:rsidRPr="0078138E">
        <w:rPr>
          <w:sz w:val="24"/>
          <w:szCs w:val="24"/>
          <w:lang w:val="en-GB"/>
        </w:rPr>
        <w:t>thrombocythaemia</w:t>
      </w:r>
      <w:proofErr w:type="spellEnd"/>
      <w:r w:rsidRPr="0078138E">
        <w:rPr>
          <w:sz w:val="24"/>
          <w:szCs w:val="24"/>
          <w:lang w:val="en-GB"/>
        </w:rPr>
        <w:t xml:space="preserve"> myelofibrosis.</w:t>
      </w:r>
    </w:p>
    <w:p w14:paraId="334CBCC9" w14:textId="77777777" w:rsidR="0078138E" w:rsidRPr="0078138E" w:rsidRDefault="0078138E" w:rsidP="00A11649">
      <w:pPr>
        <w:ind w:left="851"/>
        <w:rPr>
          <w:sz w:val="24"/>
          <w:szCs w:val="24"/>
          <w:lang w:val="en-GB"/>
        </w:rPr>
      </w:pPr>
    </w:p>
    <w:p w14:paraId="21F34696" w14:textId="77777777" w:rsidR="0078138E" w:rsidRPr="0078138E" w:rsidRDefault="0078138E" w:rsidP="00A11649">
      <w:pPr>
        <w:ind w:left="851"/>
        <w:rPr>
          <w:sz w:val="24"/>
          <w:szCs w:val="24"/>
          <w:u w:val="single"/>
          <w:lang w:val="en-GB"/>
        </w:rPr>
      </w:pPr>
      <w:r w:rsidRPr="0078138E">
        <w:rPr>
          <w:sz w:val="24"/>
          <w:szCs w:val="24"/>
          <w:u w:val="single"/>
          <w:lang w:val="en-GB"/>
        </w:rPr>
        <w:t>Polycythaemia vera (PV)</w:t>
      </w:r>
    </w:p>
    <w:p w14:paraId="0CE79A9F" w14:textId="77777777" w:rsidR="0078138E" w:rsidRPr="0078138E" w:rsidRDefault="0078138E" w:rsidP="00A11649">
      <w:pPr>
        <w:ind w:left="851"/>
        <w:rPr>
          <w:sz w:val="24"/>
          <w:szCs w:val="24"/>
          <w:lang w:val="en-GB"/>
        </w:rPr>
      </w:pPr>
    </w:p>
    <w:p w14:paraId="2C238D18" w14:textId="73573B59" w:rsidR="0078138E" w:rsidRPr="0078138E" w:rsidRDefault="0078138E" w:rsidP="00A11649">
      <w:pPr>
        <w:ind w:left="851"/>
        <w:rPr>
          <w:sz w:val="24"/>
          <w:szCs w:val="24"/>
          <w:lang w:val="en-GB"/>
        </w:rPr>
      </w:pPr>
      <w:proofErr w:type="spellStart"/>
      <w:r w:rsidRPr="0078138E">
        <w:rPr>
          <w:sz w:val="24"/>
          <w:szCs w:val="24"/>
          <w:lang w:val="en-GB"/>
        </w:rPr>
        <w:t>Ruxolitinib</w:t>
      </w:r>
      <w:proofErr w:type="spellEnd"/>
      <w:r w:rsidRPr="0078138E">
        <w:rPr>
          <w:sz w:val="24"/>
          <w:szCs w:val="24"/>
          <w:lang w:val="en-GB"/>
        </w:rPr>
        <w:t xml:space="preserve"> </w:t>
      </w:r>
      <w:r w:rsidR="009B509D">
        <w:rPr>
          <w:sz w:val="24"/>
          <w:szCs w:val="24"/>
          <w:lang w:val="en-GB"/>
        </w:rPr>
        <w:t>"</w:t>
      </w:r>
      <w:r w:rsidRPr="0078138E">
        <w:rPr>
          <w:sz w:val="24"/>
          <w:szCs w:val="24"/>
          <w:lang w:val="en-GB"/>
        </w:rPr>
        <w:t>Sandoz</w:t>
      </w:r>
      <w:r w:rsidR="009B509D">
        <w:rPr>
          <w:sz w:val="24"/>
          <w:szCs w:val="24"/>
          <w:lang w:val="en-GB"/>
        </w:rPr>
        <w:t>"</w:t>
      </w:r>
      <w:r w:rsidRPr="0078138E">
        <w:rPr>
          <w:sz w:val="24"/>
          <w:szCs w:val="24"/>
          <w:lang w:val="en-GB"/>
        </w:rPr>
        <w:t xml:space="preserve"> is indicated for the treatment of adult patients with polycythaemia vera who are resistant to or intolerant of hydroxyurea.</w:t>
      </w:r>
    </w:p>
    <w:p w14:paraId="6AE8A88F" w14:textId="77777777" w:rsidR="0078138E" w:rsidRPr="0078138E" w:rsidRDefault="0078138E" w:rsidP="00A11649">
      <w:pPr>
        <w:ind w:left="851"/>
        <w:rPr>
          <w:sz w:val="24"/>
          <w:szCs w:val="24"/>
          <w:lang w:val="en-GB"/>
        </w:rPr>
      </w:pPr>
    </w:p>
    <w:p w14:paraId="7A9763CA" w14:textId="77777777" w:rsidR="0078138E" w:rsidRPr="0078138E" w:rsidRDefault="0078138E" w:rsidP="00A11649">
      <w:pPr>
        <w:ind w:left="851"/>
        <w:rPr>
          <w:sz w:val="24"/>
          <w:szCs w:val="24"/>
          <w:u w:val="single"/>
          <w:lang w:val="de-AT"/>
        </w:rPr>
      </w:pPr>
      <w:r w:rsidRPr="0078138E">
        <w:rPr>
          <w:sz w:val="24"/>
          <w:szCs w:val="24"/>
          <w:u w:val="single"/>
          <w:lang w:val="de-AT"/>
        </w:rPr>
        <w:t xml:space="preserve">Graft versus host </w:t>
      </w:r>
      <w:proofErr w:type="spellStart"/>
      <w:r w:rsidRPr="0078138E">
        <w:rPr>
          <w:sz w:val="24"/>
          <w:szCs w:val="24"/>
          <w:u w:val="single"/>
          <w:lang w:val="de-AT"/>
        </w:rPr>
        <w:t>disease</w:t>
      </w:r>
      <w:proofErr w:type="spellEnd"/>
      <w:r w:rsidRPr="0078138E">
        <w:rPr>
          <w:sz w:val="24"/>
          <w:szCs w:val="24"/>
          <w:u w:val="single"/>
          <w:lang w:val="de-AT"/>
        </w:rPr>
        <w:t xml:space="preserve"> (</w:t>
      </w:r>
      <w:proofErr w:type="spellStart"/>
      <w:r w:rsidRPr="0078138E">
        <w:rPr>
          <w:sz w:val="24"/>
          <w:szCs w:val="24"/>
          <w:u w:val="single"/>
          <w:lang w:val="de-AT"/>
        </w:rPr>
        <w:t>GvHD</w:t>
      </w:r>
      <w:proofErr w:type="spellEnd"/>
      <w:r w:rsidRPr="0078138E">
        <w:rPr>
          <w:sz w:val="24"/>
          <w:szCs w:val="24"/>
          <w:u w:val="single"/>
          <w:lang w:val="de-AT"/>
        </w:rPr>
        <w:t>)</w:t>
      </w:r>
    </w:p>
    <w:p w14:paraId="1CDC47AD" w14:textId="77777777" w:rsidR="0078138E" w:rsidRPr="0078138E" w:rsidRDefault="0078138E" w:rsidP="00A11649">
      <w:pPr>
        <w:ind w:left="851"/>
        <w:rPr>
          <w:sz w:val="24"/>
          <w:szCs w:val="24"/>
          <w:u w:val="single"/>
          <w:lang w:val="de-AT"/>
        </w:rPr>
      </w:pPr>
    </w:p>
    <w:p w14:paraId="49B68519" w14:textId="77777777" w:rsidR="0078138E" w:rsidRPr="0078138E" w:rsidRDefault="0078138E" w:rsidP="00A11649">
      <w:pPr>
        <w:ind w:left="851"/>
        <w:rPr>
          <w:i/>
          <w:iCs/>
          <w:sz w:val="24"/>
          <w:szCs w:val="24"/>
          <w:u w:val="single"/>
          <w:lang w:val="en-GB"/>
        </w:rPr>
      </w:pPr>
      <w:r w:rsidRPr="0078138E">
        <w:rPr>
          <w:i/>
          <w:iCs/>
          <w:sz w:val="24"/>
          <w:szCs w:val="24"/>
          <w:u w:val="single"/>
          <w:lang w:val="en-GB"/>
        </w:rPr>
        <w:t>Acute GvHD</w:t>
      </w:r>
    </w:p>
    <w:p w14:paraId="7A1CF455" w14:textId="46C82EE8" w:rsidR="0078138E" w:rsidRPr="0078138E" w:rsidRDefault="0078138E" w:rsidP="00A11649">
      <w:pPr>
        <w:ind w:left="851"/>
        <w:rPr>
          <w:sz w:val="24"/>
          <w:szCs w:val="24"/>
          <w:lang w:val="en-GB"/>
        </w:rPr>
      </w:pPr>
      <w:proofErr w:type="spellStart"/>
      <w:r w:rsidRPr="0078138E">
        <w:rPr>
          <w:sz w:val="24"/>
          <w:szCs w:val="24"/>
          <w:lang w:val="en-GB"/>
        </w:rPr>
        <w:t>Ruxolitinib</w:t>
      </w:r>
      <w:proofErr w:type="spellEnd"/>
      <w:r w:rsidRPr="0078138E">
        <w:rPr>
          <w:sz w:val="24"/>
          <w:szCs w:val="24"/>
          <w:lang w:val="en-GB"/>
        </w:rPr>
        <w:t xml:space="preserve"> </w:t>
      </w:r>
      <w:r w:rsidR="009B509D">
        <w:rPr>
          <w:sz w:val="24"/>
          <w:szCs w:val="24"/>
          <w:lang w:val="en-GB"/>
        </w:rPr>
        <w:t>"</w:t>
      </w:r>
      <w:r w:rsidRPr="0078138E">
        <w:rPr>
          <w:sz w:val="24"/>
          <w:szCs w:val="24"/>
          <w:lang w:val="en-GB"/>
        </w:rPr>
        <w:t>Sandoz</w:t>
      </w:r>
      <w:r w:rsidR="009B509D">
        <w:rPr>
          <w:sz w:val="24"/>
          <w:szCs w:val="24"/>
          <w:lang w:val="en-GB"/>
        </w:rPr>
        <w:t>"</w:t>
      </w:r>
      <w:r w:rsidRPr="0078138E">
        <w:rPr>
          <w:sz w:val="24"/>
          <w:szCs w:val="24"/>
          <w:lang w:val="en-GB"/>
        </w:rPr>
        <w:t xml:space="preserve"> is indicated for the treatment of adults and paediatric patients aged 28 days and older with acute graft versus host disease who have inadequate response to corticosteroids or other systemic therapies (see section 5.1).</w:t>
      </w:r>
    </w:p>
    <w:p w14:paraId="43D6626E" w14:textId="77777777" w:rsidR="0078138E" w:rsidRPr="0078138E" w:rsidRDefault="0078138E" w:rsidP="00A11649">
      <w:pPr>
        <w:ind w:left="851"/>
        <w:rPr>
          <w:sz w:val="24"/>
          <w:szCs w:val="24"/>
          <w:lang w:val="en-GB"/>
        </w:rPr>
      </w:pPr>
    </w:p>
    <w:p w14:paraId="128AF20D" w14:textId="77777777" w:rsidR="0078138E" w:rsidRPr="0078138E" w:rsidRDefault="0078138E" w:rsidP="00A11649">
      <w:pPr>
        <w:ind w:left="851"/>
        <w:rPr>
          <w:sz w:val="24"/>
          <w:szCs w:val="24"/>
          <w:lang w:val="en-GB"/>
        </w:rPr>
      </w:pPr>
      <w:r w:rsidRPr="0078138E">
        <w:rPr>
          <w:i/>
          <w:iCs/>
          <w:sz w:val="24"/>
          <w:szCs w:val="24"/>
          <w:u w:val="single"/>
          <w:lang w:val="en-GB"/>
        </w:rPr>
        <w:t>Chronic GvHD</w:t>
      </w:r>
    </w:p>
    <w:p w14:paraId="77749943" w14:textId="399B84C7" w:rsidR="0078138E" w:rsidRPr="0078138E" w:rsidRDefault="0078138E" w:rsidP="00A11649">
      <w:pPr>
        <w:ind w:left="851"/>
        <w:rPr>
          <w:sz w:val="24"/>
          <w:szCs w:val="24"/>
          <w:lang w:val="en-GB"/>
        </w:rPr>
      </w:pPr>
      <w:bookmarkStart w:id="1" w:name="_Hlk161229240"/>
      <w:proofErr w:type="spellStart"/>
      <w:r w:rsidRPr="0078138E">
        <w:rPr>
          <w:sz w:val="24"/>
          <w:szCs w:val="24"/>
          <w:lang w:val="en-GB"/>
        </w:rPr>
        <w:t>Ruxolitinib</w:t>
      </w:r>
      <w:proofErr w:type="spellEnd"/>
      <w:r w:rsidRPr="0078138E">
        <w:rPr>
          <w:sz w:val="24"/>
          <w:szCs w:val="24"/>
          <w:lang w:val="en-GB"/>
        </w:rPr>
        <w:t xml:space="preserve"> </w:t>
      </w:r>
      <w:r w:rsidR="009B509D">
        <w:rPr>
          <w:sz w:val="24"/>
          <w:szCs w:val="24"/>
          <w:lang w:val="en-GB"/>
        </w:rPr>
        <w:t>"</w:t>
      </w:r>
      <w:r w:rsidRPr="0078138E">
        <w:rPr>
          <w:sz w:val="24"/>
          <w:szCs w:val="24"/>
          <w:lang w:val="en-GB"/>
        </w:rPr>
        <w:t>Sandoz</w:t>
      </w:r>
      <w:r w:rsidR="009B509D">
        <w:rPr>
          <w:sz w:val="24"/>
          <w:szCs w:val="24"/>
          <w:lang w:val="en-GB"/>
        </w:rPr>
        <w:t>"</w:t>
      </w:r>
      <w:r w:rsidRPr="0078138E">
        <w:rPr>
          <w:sz w:val="24"/>
          <w:szCs w:val="24"/>
          <w:lang w:val="en-GB"/>
        </w:rPr>
        <w:t xml:space="preserve"> is indicated for the treatment of adults and paediatric patients aged 6 months and older with chronic graft versus host disease who have inadequate response to corticosteroids or other systemic therapies (see section 5.1).</w:t>
      </w:r>
      <w:bookmarkEnd w:id="1"/>
    </w:p>
    <w:p w14:paraId="530FA37A" w14:textId="4BDD31A2" w:rsidR="008E5F58" w:rsidRDefault="008E5F58">
      <w:pPr>
        <w:rPr>
          <w:sz w:val="24"/>
          <w:szCs w:val="24"/>
          <w:lang w:val="en-GB"/>
        </w:rPr>
      </w:pPr>
      <w:r>
        <w:rPr>
          <w:sz w:val="24"/>
          <w:szCs w:val="24"/>
          <w:lang w:val="en-GB"/>
        </w:rPr>
        <w:br w:type="page"/>
      </w:r>
    </w:p>
    <w:p w14:paraId="7FC5F81A" w14:textId="77777777" w:rsidR="007C5D2A" w:rsidRPr="009B509D" w:rsidRDefault="007C5D2A" w:rsidP="00A85D26">
      <w:pPr>
        <w:tabs>
          <w:tab w:val="left" w:pos="851"/>
        </w:tabs>
        <w:ind w:left="851"/>
        <w:rPr>
          <w:sz w:val="24"/>
          <w:szCs w:val="24"/>
          <w:lang w:val="en-GB"/>
        </w:rPr>
      </w:pPr>
    </w:p>
    <w:p w14:paraId="19FF563D" w14:textId="77777777" w:rsidR="007C5D2A" w:rsidRPr="009B509D" w:rsidRDefault="009925C9" w:rsidP="007C5D2A">
      <w:pPr>
        <w:tabs>
          <w:tab w:val="left" w:pos="851"/>
        </w:tabs>
        <w:ind w:left="851" w:hanging="851"/>
        <w:rPr>
          <w:sz w:val="24"/>
          <w:szCs w:val="24"/>
          <w:lang w:val="en-GB"/>
        </w:rPr>
      </w:pPr>
      <w:r w:rsidRPr="009B509D">
        <w:rPr>
          <w:b/>
          <w:sz w:val="24"/>
          <w:szCs w:val="24"/>
          <w:lang w:val="en-GB"/>
        </w:rPr>
        <w:t>4.2</w:t>
      </w:r>
      <w:r w:rsidR="007C5D2A" w:rsidRPr="009B509D">
        <w:rPr>
          <w:b/>
          <w:sz w:val="24"/>
          <w:szCs w:val="24"/>
          <w:lang w:val="en-GB"/>
        </w:rPr>
        <w:tab/>
        <w:t>Posology and method of administration</w:t>
      </w:r>
    </w:p>
    <w:p w14:paraId="12DF8E87" w14:textId="435C3BDF" w:rsidR="0078138E" w:rsidRPr="0078138E" w:rsidRDefault="0078138E" w:rsidP="00A11649">
      <w:pPr>
        <w:ind w:left="851"/>
        <w:rPr>
          <w:sz w:val="24"/>
          <w:szCs w:val="24"/>
          <w:lang w:val="en-GB"/>
        </w:rPr>
      </w:pPr>
      <w:proofErr w:type="spellStart"/>
      <w:r w:rsidRPr="0078138E">
        <w:rPr>
          <w:sz w:val="24"/>
          <w:szCs w:val="24"/>
          <w:lang w:val="en-GB"/>
        </w:rPr>
        <w:t>Ruxolitinib</w:t>
      </w:r>
      <w:proofErr w:type="spellEnd"/>
      <w:r w:rsidRPr="0078138E">
        <w:rPr>
          <w:sz w:val="24"/>
          <w:szCs w:val="24"/>
          <w:lang w:val="en-GB"/>
        </w:rPr>
        <w:t xml:space="preserve"> </w:t>
      </w:r>
      <w:r w:rsidR="009B509D">
        <w:rPr>
          <w:sz w:val="24"/>
          <w:szCs w:val="24"/>
          <w:lang w:val="en-GB"/>
        </w:rPr>
        <w:t>"</w:t>
      </w:r>
      <w:r w:rsidRPr="0078138E">
        <w:rPr>
          <w:sz w:val="24"/>
          <w:szCs w:val="24"/>
          <w:lang w:val="en-GB"/>
        </w:rPr>
        <w:t>Sandoz</w:t>
      </w:r>
      <w:r w:rsidR="009B509D">
        <w:rPr>
          <w:sz w:val="24"/>
          <w:szCs w:val="24"/>
          <w:lang w:val="en-GB"/>
        </w:rPr>
        <w:t>"</w:t>
      </w:r>
      <w:r w:rsidRPr="0078138E">
        <w:rPr>
          <w:sz w:val="24"/>
          <w:szCs w:val="24"/>
          <w:lang w:val="en-GB"/>
        </w:rPr>
        <w:t xml:space="preserve"> treatment should only be initiated by a physician experienced in the administration of anti-cancer medicinal products.</w:t>
      </w:r>
    </w:p>
    <w:p w14:paraId="256B8592" w14:textId="77777777" w:rsidR="0078138E" w:rsidRPr="0078138E" w:rsidRDefault="0078138E" w:rsidP="00A11649">
      <w:pPr>
        <w:ind w:left="851"/>
        <w:rPr>
          <w:sz w:val="24"/>
          <w:szCs w:val="24"/>
          <w:lang w:val="en-GB"/>
        </w:rPr>
      </w:pPr>
    </w:p>
    <w:p w14:paraId="28F0092F" w14:textId="6100BD12" w:rsidR="0078138E" w:rsidRPr="0078138E" w:rsidRDefault="0078138E" w:rsidP="00A11649">
      <w:pPr>
        <w:ind w:left="851"/>
        <w:rPr>
          <w:sz w:val="24"/>
          <w:szCs w:val="24"/>
          <w:lang w:val="en-GB"/>
        </w:rPr>
      </w:pPr>
      <w:r w:rsidRPr="0078138E">
        <w:rPr>
          <w:sz w:val="24"/>
          <w:szCs w:val="24"/>
          <w:lang w:val="en-GB"/>
        </w:rPr>
        <w:t xml:space="preserve">A complete blood cell count, including a white blood cell count differential, must be performed before initiating therapy with </w:t>
      </w:r>
      <w:proofErr w:type="spellStart"/>
      <w:r w:rsidRPr="0078138E">
        <w:rPr>
          <w:sz w:val="24"/>
          <w:szCs w:val="24"/>
          <w:lang w:val="en-GB"/>
        </w:rPr>
        <w:t>Ruxolitinib</w:t>
      </w:r>
      <w:proofErr w:type="spellEnd"/>
      <w:r w:rsidRPr="0078138E">
        <w:rPr>
          <w:sz w:val="24"/>
          <w:szCs w:val="24"/>
          <w:lang w:val="en-GB"/>
        </w:rPr>
        <w:t xml:space="preserve"> </w:t>
      </w:r>
      <w:r w:rsidR="009B509D">
        <w:rPr>
          <w:sz w:val="24"/>
          <w:szCs w:val="24"/>
          <w:lang w:val="en-GB"/>
        </w:rPr>
        <w:t>"</w:t>
      </w:r>
      <w:r w:rsidRPr="0078138E">
        <w:rPr>
          <w:sz w:val="24"/>
          <w:szCs w:val="24"/>
          <w:lang w:val="en-GB"/>
        </w:rPr>
        <w:t>Sandoz</w:t>
      </w:r>
      <w:r w:rsidR="009B509D">
        <w:rPr>
          <w:sz w:val="24"/>
          <w:szCs w:val="24"/>
          <w:lang w:val="en-GB"/>
        </w:rPr>
        <w:t>"</w:t>
      </w:r>
      <w:r w:rsidRPr="0078138E">
        <w:rPr>
          <w:sz w:val="24"/>
          <w:szCs w:val="24"/>
          <w:lang w:val="en-GB"/>
        </w:rPr>
        <w:t>.</w:t>
      </w:r>
    </w:p>
    <w:p w14:paraId="1B9D0D12" w14:textId="77777777" w:rsidR="0078138E" w:rsidRPr="0078138E" w:rsidRDefault="0078138E" w:rsidP="00A11649">
      <w:pPr>
        <w:ind w:left="851"/>
        <w:rPr>
          <w:sz w:val="24"/>
          <w:szCs w:val="24"/>
          <w:lang w:val="en-GB"/>
        </w:rPr>
      </w:pPr>
    </w:p>
    <w:p w14:paraId="730B1978" w14:textId="14E6B9C8" w:rsidR="0078138E" w:rsidRPr="0078138E" w:rsidRDefault="0078138E" w:rsidP="00A11649">
      <w:pPr>
        <w:ind w:left="851"/>
        <w:rPr>
          <w:sz w:val="24"/>
          <w:szCs w:val="24"/>
          <w:lang w:val="en-GB"/>
        </w:rPr>
      </w:pPr>
      <w:r w:rsidRPr="0078138E">
        <w:rPr>
          <w:sz w:val="24"/>
          <w:szCs w:val="24"/>
          <w:lang w:val="en-GB"/>
        </w:rPr>
        <w:t>Complete blood count, including a white blood cell count differential, should be monitored every 2</w:t>
      </w:r>
      <w:r w:rsidRPr="0078138E">
        <w:rPr>
          <w:sz w:val="24"/>
          <w:szCs w:val="24"/>
          <w:lang w:val="en-GB"/>
        </w:rPr>
        <w:noBreakHyphen/>
        <w:t>4 </w:t>
      </w:r>
      <w:proofErr w:type="gramStart"/>
      <w:r w:rsidRPr="0078138E">
        <w:rPr>
          <w:sz w:val="24"/>
          <w:szCs w:val="24"/>
          <w:lang w:val="en-GB"/>
        </w:rPr>
        <w:t>weeks</w:t>
      </w:r>
      <w:proofErr w:type="gramEnd"/>
      <w:r w:rsidRPr="0078138E">
        <w:rPr>
          <w:sz w:val="24"/>
          <w:szCs w:val="24"/>
          <w:lang w:val="en-GB"/>
        </w:rPr>
        <w:t xml:space="preserve"> until </w:t>
      </w:r>
      <w:proofErr w:type="spellStart"/>
      <w:r w:rsidRPr="0078138E">
        <w:rPr>
          <w:sz w:val="24"/>
          <w:szCs w:val="24"/>
          <w:lang w:val="en-GB"/>
        </w:rPr>
        <w:t>Ruxolitinib</w:t>
      </w:r>
      <w:proofErr w:type="spellEnd"/>
      <w:r w:rsidRPr="0078138E">
        <w:rPr>
          <w:sz w:val="24"/>
          <w:szCs w:val="24"/>
          <w:lang w:val="en-GB"/>
        </w:rPr>
        <w:t xml:space="preserve"> </w:t>
      </w:r>
      <w:r w:rsidR="009B509D">
        <w:rPr>
          <w:sz w:val="24"/>
          <w:szCs w:val="24"/>
          <w:lang w:val="en-GB"/>
        </w:rPr>
        <w:t>"</w:t>
      </w:r>
      <w:r w:rsidRPr="0078138E">
        <w:rPr>
          <w:sz w:val="24"/>
          <w:szCs w:val="24"/>
          <w:lang w:val="en-GB"/>
        </w:rPr>
        <w:t>Sandoz</w:t>
      </w:r>
      <w:r w:rsidR="009B509D">
        <w:rPr>
          <w:sz w:val="24"/>
          <w:szCs w:val="24"/>
          <w:lang w:val="en-GB"/>
        </w:rPr>
        <w:t>"</w:t>
      </w:r>
      <w:r w:rsidRPr="0078138E">
        <w:rPr>
          <w:sz w:val="24"/>
          <w:szCs w:val="24"/>
          <w:lang w:val="en-GB"/>
        </w:rPr>
        <w:t xml:space="preserve"> doses are stabilised, and then as clinically indicated (see section 4.4).</w:t>
      </w:r>
    </w:p>
    <w:p w14:paraId="0BDCF7B3" w14:textId="77777777" w:rsidR="0078138E" w:rsidRPr="0078138E" w:rsidRDefault="0078138E" w:rsidP="00A11649">
      <w:pPr>
        <w:ind w:left="851"/>
        <w:rPr>
          <w:sz w:val="24"/>
          <w:szCs w:val="24"/>
          <w:lang w:val="en-GB"/>
        </w:rPr>
      </w:pPr>
    </w:p>
    <w:p w14:paraId="37173F1B" w14:textId="77777777" w:rsidR="0078138E" w:rsidRPr="0078138E" w:rsidRDefault="0078138E" w:rsidP="00A11649">
      <w:pPr>
        <w:ind w:left="851"/>
        <w:rPr>
          <w:sz w:val="24"/>
          <w:szCs w:val="24"/>
          <w:u w:val="single"/>
          <w:lang w:val="en-GB"/>
        </w:rPr>
      </w:pPr>
      <w:r w:rsidRPr="0078138E">
        <w:rPr>
          <w:sz w:val="24"/>
          <w:szCs w:val="24"/>
          <w:u w:val="single"/>
          <w:lang w:val="en-GB"/>
        </w:rPr>
        <w:t>Posology</w:t>
      </w:r>
    </w:p>
    <w:p w14:paraId="11DCC7AD" w14:textId="77777777" w:rsidR="0078138E" w:rsidRPr="0078138E" w:rsidRDefault="0078138E" w:rsidP="00A11649">
      <w:pPr>
        <w:ind w:left="851"/>
        <w:rPr>
          <w:bCs/>
          <w:i/>
          <w:iCs/>
          <w:sz w:val="24"/>
          <w:szCs w:val="24"/>
          <w:lang w:val="en-GB"/>
        </w:rPr>
      </w:pPr>
    </w:p>
    <w:p w14:paraId="5DE4FBA8" w14:textId="77777777" w:rsidR="0078138E" w:rsidRPr="0078138E" w:rsidRDefault="0078138E" w:rsidP="00A11649">
      <w:pPr>
        <w:ind w:left="851"/>
        <w:rPr>
          <w:i/>
          <w:iCs/>
          <w:sz w:val="24"/>
          <w:szCs w:val="24"/>
          <w:u w:val="single"/>
          <w:lang w:val="en-GB"/>
        </w:rPr>
      </w:pPr>
      <w:r w:rsidRPr="0078138E">
        <w:rPr>
          <w:i/>
          <w:iCs/>
          <w:sz w:val="24"/>
          <w:szCs w:val="24"/>
          <w:u w:val="single"/>
          <w:lang w:val="en-GB"/>
        </w:rPr>
        <w:t>Starting dose</w:t>
      </w:r>
    </w:p>
    <w:p w14:paraId="349744A2" w14:textId="77777777" w:rsidR="0078138E" w:rsidRPr="0078138E" w:rsidRDefault="0078138E" w:rsidP="00A11649">
      <w:pPr>
        <w:ind w:left="851"/>
        <w:rPr>
          <w:i/>
          <w:iCs/>
          <w:sz w:val="24"/>
          <w:szCs w:val="24"/>
          <w:lang w:val="en-GB"/>
        </w:rPr>
      </w:pPr>
      <w:r w:rsidRPr="0078138E">
        <w:rPr>
          <w:i/>
          <w:iCs/>
          <w:sz w:val="24"/>
          <w:szCs w:val="24"/>
          <w:lang w:val="en-GB"/>
        </w:rPr>
        <w:t>Myelofibrosis (MF)</w:t>
      </w:r>
    </w:p>
    <w:p w14:paraId="2A30C435" w14:textId="7E98EE46" w:rsidR="0078138E" w:rsidRPr="0078138E" w:rsidRDefault="0078138E" w:rsidP="00A11649">
      <w:pPr>
        <w:ind w:left="851"/>
        <w:rPr>
          <w:sz w:val="24"/>
          <w:szCs w:val="24"/>
          <w:lang w:val="en-GB"/>
        </w:rPr>
      </w:pPr>
      <w:r w:rsidRPr="0078138E">
        <w:rPr>
          <w:sz w:val="24"/>
          <w:szCs w:val="24"/>
          <w:lang w:val="en-GB"/>
        </w:rPr>
        <w:t xml:space="preserve">The recommended starting dose of </w:t>
      </w:r>
      <w:proofErr w:type="spellStart"/>
      <w:r w:rsidRPr="0078138E">
        <w:rPr>
          <w:sz w:val="24"/>
          <w:szCs w:val="24"/>
          <w:lang w:val="en-GB"/>
        </w:rPr>
        <w:t>Ruxolitinib</w:t>
      </w:r>
      <w:proofErr w:type="spellEnd"/>
      <w:r w:rsidRPr="0078138E">
        <w:rPr>
          <w:sz w:val="24"/>
          <w:szCs w:val="24"/>
          <w:lang w:val="en-GB"/>
        </w:rPr>
        <w:t xml:space="preserve"> </w:t>
      </w:r>
      <w:r w:rsidR="009B509D">
        <w:rPr>
          <w:sz w:val="24"/>
          <w:szCs w:val="24"/>
          <w:lang w:val="en-GB"/>
        </w:rPr>
        <w:t>"</w:t>
      </w:r>
      <w:r w:rsidRPr="0078138E">
        <w:rPr>
          <w:sz w:val="24"/>
          <w:szCs w:val="24"/>
          <w:lang w:val="en-GB"/>
        </w:rPr>
        <w:t>Sandoz</w:t>
      </w:r>
      <w:r w:rsidR="009B509D">
        <w:rPr>
          <w:sz w:val="24"/>
          <w:szCs w:val="24"/>
          <w:lang w:val="en-GB"/>
        </w:rPr>
        <w:t>"</w:t>
      </w:r>
      <w:r w:rsidRPr="0078138E">
        <w:rPr>
          <w:sz w:val="24"/>
          <w:szCs w:val="24"/>
          <w:lang w:val="en-GB"/>
        </w:rPr>
        <w:t xml:space="preserve"> in MF is based on platelet counts (see Table 1):</w:t>
      </w:r>
    </w:p>
    <w:p w14:paraId="2BE3F86D" w14:textId="77777777" w:rsidR="0078138E" w:rsidRPr="0078138E" w:rsidRDefault="0078138E" w:rsidP="00A11649">
      <w:pPr>
        <w:ind w:left="851"/>
        <w:rPr>
          <w:sz w:val="24"/>
          <w:szCs w:val="24"/>
          <w:lang w:val="en-GB"/>
        </w:rPr>
      </w:pPr>
    </w:p>
    <w:p w14:paraId="63BE38E6" w14:textId="77777777" w:rsidR="0078138E" w:rsidRPr="0078138E" w:rsidRDefault="0078138E" w:rsidP="00A11649">
      <w:pPr>
        <w:ind w:left="851"/>
        <w:rPr>
          <w:b/>
          <w:bCs/>
          <w:sz w:val="24"/>
          <w:szCs w:val="24"/>
          <w:lang w:val="en-GB"/>
        </w:rPr>
      </w:pPr>
      <w:r w:rsidRPr="0078138E">
        <w:rPr>
          <w:b/>
          <w:bCs/>
          <w:sz w:val="24"/>
          <w:szCs w:val="24"/>
          <w:lang w:val="en-GB"/>
        </w:rPr>
        <w:t>Table 1 Starting doses in myelofibrosis</w:t>
      </w:r>
    </w:p>
    <w:p w14:paraId="1399BE74" w14:textId="77777777" w:rsidR="0078138E" w:rsidRPr="0078138E" w:rsidRDefault="0078138E" w:rsidP="0078138E">
      <w:pPr>
        <w:tabs>
          <w:tab w:val="left" w:pos="851"/>
        </w:tabs>
        <w:ind w:left="851"/>
        <w:rPr>
          <w:sz w:val="24"/>
          <w:szCs w:val="24"/>
          <w:lang w:val="en-GB"/>
        </w:rPr>
      </w:pPr>
    </w:p>
    <w:tbl>
      <w:tblPr>
        <w:tblW w:w="7029" w:type="dxa"/>
        <w:tblInd w:w="851" w:type="dxa"/>
        <w:tblLayout w:type="fixed"/>
        <w:tblLook w:val="04A0" w:firstRow="1" w:lastRow="0" w:firstColumn="1" w:lastColumn="0" w:noHBand="0" w:noVBand="1"/>
      </w:tblPr>
      <w:tblGrid>
        <w:gridCol w:w="3685"/>
        <w:gridCol w:w="3344"/>
      </w:tblGrid>
      <w:tr w:rsidR="0078138E" w:rsidRPr="0078138E" w14:paraId="3D877B8D" w14:textId="77777777" w:rsidTr="009B509D">
        <w:trPr>
          <w:trHeight w:val="98"/>
        </w:trPr>
        <w:tc>
          <w:tcPr>
            <w:tcW w:w="3685" w:type="dxa"/>
            <w:tcBorders>
              <w:top w:val="single" w:sz="4" w:space="0" w:color="000000"/>
              <w:left w:val="nil"/>
              <w:bottom w:val="single" w:sz="4" w:space="0" w:color="000000"/>
              <w:right w:val="single" w:sz="4" w:space="0" w:color="000000"/>
            </w:tcBorders>
            <w:vAlign w:val="center"/>
            <w:hideMark/>
          </w:tcPr>
          <w:p w14:paraId="0C2C1507" w14:textId="77777777" w:rsidR="0078138E" w:rsidRPr="0078138E" w:rsidRDefault="0078138E" w:rsidP="00A11649">
            <w:pPr>
              <w:ind w:left="32"/>
              <w:rPr>
                <w:sz w:val="24"/>
                <w:szCs w:val="24"/>
                <w:lang w:val="en-GB"/>
              </w:rPr>
            </w:pPr>
            <w:r w:rsidRPr="0078138E">
              <w:rPr>
                <w:b/>
                <w:bCs/>
                <w:sz w:val="24"/>
                <w:szCs w:val="24"/>
                <w:lang w:val="en-GB"/>
              </w:rPr>
              <w:t>Platelet count</w:t>
            </w:r>
          </w:p>
        </w:tc>
        <w:tc>
          <w:tcPr>
            <w:tcW w:w="3344" w:type="dxa"/>
            <w:tcBorders>
              <w:top w:val="single" w:sz="4" w:space="0" w:color="000000"/>
              <w:left w:val="single" w:sz="4" w:space="0" w:color="000000"/>
              <w:bottom w:val="single" w:sz="4" w:space="0" w:color="000000"/>
              <w:right w:val="nil"/>
            </w:tcBorders>
            <w:vAlign w:val="center"/>
            <w:hideMark/>
          </w:tcPr>
          <w:p w14:paraId="122F5974" w14:textId="77777777" w:rsidR="0078138E" w:rsidRPr="0078138E" w:rsidRDefault="0078138E" w:rsidP="00A11649">
            <w:pPr>
              <w:ind w:left="32"/>
              <w:rPr>
                <w:sz w:val="24"/>
                <w:szCs w:val="24"/>
                <w:lang w:val="en-GB"/>
              </w:rPr>
            </w:pPr>
            <w:r w:rsidRPr="0078138E">
              <w:rPr>
                <w:b/>
                <w:bCs/>
                <w:sz w:val="24"/>
                <w:szCs w:val="24"/>
                <w:lang w:val="en-GB"/>
              </w:rPr>
              <w:t>Starting dose</w:t>
            </w:r>
          </w:p>
        </w:tc>
      </w:tr>
      <w:tr w:rsidR="0078138E" w:rsidRPr="0078138E" w14:paraId="06B68E84" w14:textId="77777777" w:rsidTr="009B509D">
        <w:trPr>
          <w:trHeight w:val="117"/>
        </w:trPr>
        <w:tc>
          <w:tcPr>
            <w:tcW w:w="3685" w:type="dxa"/>
            <w:tcBorders>
              <w:top w:val="single" w:sz="4" w:space="0" w:color="000000"/>
              <w:left w:val="nil"/>
              <w:bottom w:val="nil"/>
              <w:right w:val="single" w:sz="4" w:space="0" w:color="000000"/>
            </w:tcBorders>
            <w:vAlign w:val="center"/>
            <w:hideMark/>
          </w:tcPr>
          <w:p w14:paraId="119BA3D9" w14:textId="77777777" w:rsidR="0078138E" w:rsidRPr="0078138E" w:rsidRDefault="0078138E" w:rsidP="00A11649">
            <w:pPr>
              <w:ind w:left="32"/>
              <w:rPr>
                <w:sz w:val="24"/>
                <w:szCs w:val="24"/>
                <w:lang w:val="en-GB"/>
              </w:rPr>
            </w:pPr>
            <w:r w:rsidRPr="0078138E">
              <w:rPr>
                <w:sz w:val="24"/>
                <w:szCs w:val="24"/>
                <w:lang w:val="en-GB"/>
              </w:rPr>
              <w:t>Greater than 200 000/mm</w:t>
            </w:r>
            <w:r w:rsidRPr="0078138E">
              <w:rPr>
                <w:sz w:val="24"/>
                <w:szCs w:val="24"/>
                <w:vertAlign w:val="superscript"/>
                <w:lang w:val="en-GB"/>
              </w:rPr>
              <w:t>3</w:t>
            </w:r>
          </w:p>
        </w:tc>
        <w:tc>
          <w:tcPr>
            <w:tcW w:w="3344" w:type="dxa"/>
            <w:tcBorders>
              <w:top w:val="single" w:sz="4" w:space="0" w:color="000000"/>
              <w:left w:val="single" w:sz="4" w:space="0" w:color="000000"/>
              <w:bottom w:val="nil"/>
              <w:right w:val="nil"/>
            </w:tcBorders>
            <w:vAlign w:val="center"/>
            <w:hideMark/>
          </w:tcPr>
          <w:p w14:paraId="1AE96439" w14:textId="77777777" w:rsidR="0078138E" w:rsidRPr="0078138E" w:rsidRDefault="0078138E" w:rsidP="00A11649">
            <w:pPr>
              <w:ind w:left="32"/>
              <w:rPr>
                <w:sz w:val="24"/>
                <w:szCs w:val="24"/>
                <w:lang w:val="en-GB"/>
              </w:rPr>
            </w:pPr>
            <w:r w:rsidRPr="0078138E">
              <w:rPr>
                <w:sz w:val="24"/>
                <w:szCs w:val="24"/>
                <w:lang w:val="en-GB"/>
              </w:rPr>
              <w:t>20 mg twice daily</w:t>
            </w:r>
          </w:p>
        </w:tc>
      </w:tr>
      <w:tr w:rsidR="0078138E" w:rsidRPr="0078138E" w14:paraId="29147496" w14:textId="77777777" w:rsidTr="009B509D">
        <w:trPr>
          <w:trHeight w:val="117"/>
        </w:trPr>
        <w:tc>
          <w:tcPr>
            <w:tcW w:w="3685" w:type="dxa"/>
            <w:tcBorders>
              <w:top w:val="nil"/>
              <w:left w:val="nil"/>
              <w:bottom w:val="nil"/>
              <w:right w:val="single" w:sz="4" w:space="0" w:color="000000"/>
            </w:tcBorders>
            <w:vAlign w:val="center"/>
            <w:hideMark/>
          </w:tcPr>
          <w:p w14:paraId="24860D16" w14:textId="77777777" w:rsidR="0078138E" w:rsidRPr="0078138E" w:rsidRDefault="0078138E" w:rsidP="00A11649">
            <w:pPr>
              <w:ind w:left="32"/>
              <w:rPr>
                <w:sz w:val="24"/>
                <w:szCs w:val="24"/>
                <w:lang w:val="en-GB"/>
              </w:rPr>
            </w:pPr>
            <w:r w:rsidRPr="0078138E">
              <w:rPr>
                <w:sz w:val="24"/>
                <w:szCs w:val="24"/>
                <w:lang w:val="en-GB"/>
              </w:rPr>
              <w:t>100 000 to 200 000/mm</w:t>
            </w:r>
            <w:r w:rsidRPr="0078138E">
              <w:rPr>
                <w:sz w:val="24"/>
                <w:szCs w:val="24"/>
                <w:vertAlign w:val="superscript"/>
                <w:lang w:val="en-GB"/>
              </w:rPr>
              <w:t>3</w:t>
            </w:r>
          </w:p>
        </w:tc>
        <w:tc>
          <w:tcPr>
            <w:tcW w:w="3344" w:type="dxa"/>
            <w:tcBorders>
              <w:top w:val="nil"/>
              <w:left w:val="single" w:sz="4" w:space="0" w:color="000000"/>
              <w:bottom w:val="nil"/>
              <w:right w:val="nil"/>
            </w:tcBorders>
            <w:vAlign w:val="center"/>
            <w:hideMark/>
          </w:tcPr>
          <w:p w14:paraId="45B0C222" w14:textId="77777777" w:rsidR="0078138E" w:rsidRPr="0078138E" w:rsidRDefault="0078138E" w:rsidP="00A11649">
            <w:pPr>
              <w:ind w:left="32"/>
              <w:rPr>
                <w:sz w:val="24"/>
                <w:szCs w:val="24"/>
                <w:lang w:val="en-GB"/>
              </w:rPr>
            </w:pPr>
            <w:r w:rsidRPr="0078138E">
              <w:rPr>
                <w:sz w:val="24"/>
                <w:szCs w:val="24"/>
                <w:lang w:val="en-GB"/>
              </w:rPr>
              <w:t>15 mg twice daily</w:t>
            </w:r>
          </w:p>
        </w:tc>
      </w:tr>
      <w:tr w:rsidR="0078138E" w:rsidRPr="0078138E" w14:paraId="01DFB745" w14:textId="77777777" w:rsidTr="009B509D">
        <w:trPr>
          <w:trHeight w:val="117"/>
        </w:trPr>
        <w:tc>
          <w:tcPr>
            <w:tcW w:w="3685" w:type="dxa"/>
            <w:tcBorders>
              <w:top w:val="nil"/>
              <w:left w:val="nil"/>
              <w:bottom w:val="nil"/>
              <w:right w:val="single" w:sz="4" w:space="0" w:color="000000"/>
            </w:tcBorders>
            <w:vAlign w:val="center"/>
            <w:hideMark/>
          </w:tcPr>
          <w:p w14:paraId="10C956FE" w14:textId="77777777" w:rsidR="0078138E" w:rsidRPr="0078138E" w:rsidRDefault="0078138E" w:rsidP="00A11649">
            <w:pPr>
              <w:ind w:left="32"/>
              <w:rPr>
                <w:sz w:val="24"/>
                <w:szCs w:val="24"/>
                <w:lang w:val="en-GB"/>
              </w:rPr>
            </w:pPr>
            <w:r w:rsidRPr="0078138E">
              <w:rPr>
                <w:sz w:val="24"/>
                <w:szCs w:val="24"/>
                <w:lang w:val="en-GB"/>
              </w:rPr>
              <w:t>75 000 to less than 100 000/mm</w:t>
            </w:r>
            <w:r w:rsidRPr="0078138E">
              <w:rPr>
                <w:sz w:val="24"/>
                <w:szCs w:val="24"/>
                <w:vertAlign w:val="superscript"/>
                <w:lang w:val="en-GB"/>
              </w:rPr>
              <w:t>3</w:t>
            </w:r>
          </w:p>
        </w:tc>
        <w:tc>
          <w:tcPr>
            <w:tcW w:w="3344" w:type="dxa"/>
            <w:tcBorders>
              <w:top w:val="nil"/>
              <w:left w:val="single" w:sz="4" w:space="0" w:color="000000"/>
              <w:bottom w:val="nil"/>
              <w:right w:val="nil"/>
            </w:tcBorders>
            <w:vAlign w:val="center"/>
            <w:hideMark/>
          </w:tcPr>
          <w:p w14:paraId="171B001B" w14:textId="77777777" w:rsidR="0078138E" w:rsidRPr="0078138E" w:rsidRDefault="0078138E" w:rsidP="00A11649">
            <w:pPr>
              <w:ind w:left="32"/>
              <w:rPr>
                <w:sz w:val="24"/>
                <w:szCs w:val="24"/>
                <w:lang w:val="en-GB"/>
              </w:rPr>
            </w:pPr>
            <w:r w:rsidRPr="0078138E">
              <w:rPr>
                <w:sz w:val="24"/>
                <w:szCs w:val="24"/>
                <w:lang w:val="en-GB"/>
              </w:rPr>
              <w:t>10 mg twice daily</w:t>
            </w:r>
          </w:p>
        </w:tc>
      </w:tr>
      <w:tr w:rsidR="0078138E" w:rsidRPr="0078138E" w14:paraId="61429168" w14:textId="77777777" w:rsidTr="009B509D">
        <w:trPr>
          <w:trHeight w:val="117"/>
        </w:trPr>
        <w:tc>
          <w:tcPr>
            <w:tcW w:w="3685" w:type="dxa"/>
            <w:tcBorders>
              <w:top w:val="nil"/>
              <w:left w:val="nil"/>
              <w:bottom w:val="single" w:sz="4" w:space="0" w:color="000000"/>
              <w:right w:val="single" w:sz="4" w:space="0" w:color="000000"/>
            </w:tcBorders>
            <w:vAlign w:val="center"/>
            <w:hideMark/>
          </w:tcPr>
          <w:p w14:paraId="7E869307" w14:textId="77777777" w:rsidR="0078138E" w:rsidRPr="0078138E" w:rsidRDefault="0078138E" w:rsidP="00A11649">
            <w:pPr>
              <w:ind w:left="32"/>
              <w:rPr>
                <w:sz w:val="24"/>
                <w:szCs w:val="24"/>
                <w:lang w:val="en-GB"/>
              </w:rPr>
            </w:pPr>
            <w:r w:rsidRPr="0078138E">
              <w:rPr>
                <w:sz w:val="24"/>
                <w:szCs w:val="24"/>
                <w:lang w:val="en-GB"/>
              </w:rPr>
              <w:t>50 000 to less than 75 000/mm</w:t>
            </w:r>
            <w:r w:rsidRPr="0078138E">
              <w:rPr>
                <w:sz w:val="24"/>
                <w:szCs w:val="24"/>
                <w:vertAlign w:val="superscript"/>
                <w:lang w:val="en-GB"/>
              </w:rPr>
              <w:t>3</w:t>
            </w:r>
          </w:p>
        </w:tc>
        <w:tc>
          <w:tcPr>
            <w:tcW w:w="3344" w:type="dxa"/>
            <w:tcBorders>
              <w:top w:val="nil"/>
              <w:left w:val="single" w:sz="4" w:space="0" w:color="000000"/>
              <w:bottom w:val="single" w:sz="4" w:space="0" w:color="000000"/>
              <w:right w:val="nil"/>
            </w:tcBorders>
            <w:vAlign w:val="center"/>
            <w:hideMark/>
          </w:tcPr>
          <w:p w14:paraId="0BC35FE5" w14:textId="77777777" w:rsidR="0078138E" w:rsidRPr="0078138E" w:rsidRDefault="0078138E" w:rsidP="00A11649">
            <w:pPr>
              <w:ind w:left="32"/>
              <w:rPr>
                <w:sz w:val="24"/>
                <w:szCs w:val="24"/>
                <w:lang w:val="en-GB"/>
              </w:rPr>
            </w:pPr>
            <w:r w:rsidRPr="0078138E">
              <w:rPr>
                <w:sz w:val="24"/>
                <w:szCs w:val="24"/>
                <w:lang w:val="en-GB"/>
              </w:rPr>
              <w:t>5 mg twice daily</w:t>
            </w:r>
          </w:p>
        </w:tc>
      </w:tr>
    </w:tbl>
    <w:p w14:paraId="51D12BFB" w14:textId="77777777" w:rsidR="0078138E" w:rsidRPr="0078138E" w:rsidRDefault="0078138E" w:rsidP="00A11649">
      <w:pPr>
        <w:ind w:left="851"/>
        <w:rPr>
          <w:sz w:val="24"/>
          <w:szCs w:val="24"/>
          <w:lang w:val="en-GB"/>
        </w:rPr>
      </w:pPr>
    </w:p>
    <w:p w14:paraId="609116EC" w14:textId="77777777" w:rsidR="0078138E" w:rsidRPr="0078138E" w:rsidRDefault="0078138E" w:rsidP="00A11649">
      <w:pPr>
        <w:ind w:left="851"/>
        <w:rPr>
          <w:i/>
          <w:iCs/>
          <w:sz w:val="24"/>
          <w:szCs w:val="24"/>
          <w:lang w:val="en-GB"/>
        </w:rPr>
      </w:pPr>
      <w:r w:rsidRPr="0078138E">
        <w:rPr>
          <w:i/>
          <w:iCs/>
          <w:sz w:val="24"/>
          <w:szCs w:val="24"/>
          <w:lang w:val="en-GB"/>
        </w:rPr>
        <w:t>Polycythaemia vera (PV)</w:t>
      </w:r>
    </w:p>
    <w:p w14:paraId="3929344D" w14:textId="56BBFE24" w:rsidR="0078138E" w:rsidRPr="0078138E" w:rsidRDefault="0078138E" w:rsidP="00A11649">
      <w:pPr>
        <w:ind w:left="851"/>
        <w:rPr>
          <w:sz w:val="24"/>
          <w:szCs w:val="24"/>
          <w:lang w:val="en-GB"/>
        </w:rPr>
      </w:pPr>
      <w:r w:rsidRPr="0078138E">
        <w:rPr>
          <w:sz w:val="24"/>
          <w:szCs w:val="24"/>
          <w:lang w:val="en-GB"/>
        </w:rPr>
        <w:t xml:space="preserve">The recommended starting dose of </w:t>
      </w:r>
      <w:proofErr w:type="spellStart"/>
      <w:r w:rsidRPr="0078138E">
        <w:rPr>
          <w:sz w:val="24"/>
          <w:szCs w:val="24"/>
          <w:lang w:val="en-GB"/>
        </w:rPr>
        <w:t>Ruxolitinib</w:t>
      </w:r>
      <w:proofErr w:type="spellEnd"/>
      <w:r w:rsidRPr="0078138E">
        <w:rPr>
          <w:sz w:val="24"/>
          <w:szCs w:val="24"/>
          <w:lang w:val="en-GB"/>
        </w:rPr>
        <w:t xml:space="preserve"> </w:t>
      </w:r>
      <w:r w:rsidR="009B509D">
        <w:rPr>
          <w:sz w:val="24"/>
          <w:szCs w:val="24"/>
          <w:lang w:val="en-GB"/>
        </w:rPr>
        <w:t>"</w:t>
      </w:r>
      <w:r w:rsidRPr="0078138E">
        <w:rPr>
          <w:sz w:val="24"/>
          <w:szCs w:val="24"/>
          <w:lang w:val="en-GB"/>
        </w:rPr>
        <w:t>Sandoz</w:t>
      </w:r>
      <w:r w:rsidR="009B509D">
        <w:rPr>
          <w:sz w:val="24"/>
          <w:szCs w:val="24"/>
          <w:lang w:val="en-GB"/>
        </w:rPr>
        <w:t>"</w:t>
      </w:r>
      <w:r w:rsidRPr="0078138E">
        <w:rPr>
          <w:sz w:val="24"/>
          <w:szCs w:val="24"/>
          <w:lang w:val="en-GB"/>
        </w:rPr>
        <w:t xml:space="preserve"> in PV is 10 mg twice daily.</w:t>
      </w:r>
    </w:p>
    <w:p w14:paraId="7CC83C45" w14:textId="77777777" w:rsidR="0078138E" w:rsidRPr="0078138E" w:rsidRDefault="0078138E" w:rsidP="00A11649">
      <w:pPr>
        <w:ind w:left="851"/>
        <w:rPr>
          <w:sz w:val="24"/>
          <w:szCs w:val="24"/>
          <w:lang w:val="en-GB"/>
        </w:rPr>
      </w:pPr>
    </w:p>
    <w:p w14:paraId="28BD1C27" w14:textId="77777777" w:rsidR="0078138E" w:rsidRPr="0078138E" w:rsidRDefault="0078138E" w:rsidP="00A11649">
      <w:pPr>
        <w:ind w:left="851"/>
        <w:rPr>
          <w:i/>
          <w:iCs/>
          <w:sz w:val="24"/>
          <w:szCs w:val="24"/>
          <w:lang w:val="de-AT"/>
        </w:rPr>
      </w:pPr>
      <w:r w:rsidRPr="0078138E">
        <w:rPr>
          <w:i/>
          <w:iCs/>
          <w:sz w:val="24"/>
          <w:szCs w:val="24"/>
          <w:lang w:val="de-AT"/>
        </w:rPr>
        <w:t xml:space="preserve">Graft versus host </w:t>
      </w:r>
      <w:proofErr w:type="spellStart"/>
      <w:r w:rsidRPr="0078138E">
        <w:rPr>
          <w:i/>
          <w:iCs/>
          <w:sz w:val="24"/>
          <w:szCs w:val="24"/>
          <w:lang w:val="de-AT"/>
        </w:rPr>
        <w:t>disease</w:t>
      </w:r>
      <w:proofErr w:type="spellEnd"/>
      <w:r w:rsidRPr="0078138E">
        <w:rPr>
          <w:i/>
          <w:iCs/>
          <w:sz w:val="24"/>
          <w:szCs w:val="24"/>
          <w:lang w:val="de-AT"/>
        </w:rPr>
        <w:t xml:space="preserve"> (</w:t>
      </w:r>
      <w:proofErr w:type="spellStart"/>
      <w:r w:rsidRPr="0078138E">
        <w:rPr>
          <w:i/>
          <w:iCs/>
          <w:sz w:val="24"/>
          <w:szCs w:val="24"/>
          <w:lang w:val="de-AT"/>
        </w:rPr>
        <w:t>GvHD</w:t>
      </w:r>
      <w:proofErr w:type="spellEnd"/>
      <w:r w:rsidRPr="0078138E">
        <w:rPr>
          <w:i/>
          <w:iCs/>
          <w:sz w:val="24"/>
          <w:szCs w:val="24"/>
          <w:lang w:val="de-AT"/>
        </w:rPr>
        <w:t>)</w:t>
      </w:r>
    </w:p>
    <w:p w14:paraId="79EDCC05" w14:textId="57AA8563" w:rsidR="0078138E" w:rsidRPr="0078138E" w:rsidRDefault="0078138E" w:rsidP="00A11649">
      <w:pPr>
        <w:ind w:left="851"/>
        <w:rPr>
          <w:sz w:val="24"/>
          <w:szCs w:val="24"/>
          <w:lang w:val="en-GB"/>
        </w:rPr>
      </w:pPr>
      <w:r w:rsidRPr="0078138E">
        <w:rPr>
          <w:sz w:val="24"/>
          <w:szCs w:val="24"/>
          <w:lang w:val="en-GB"/>
        </w:rPr>
        <w:t xml:space="preserve">The recommended starting dose of </w:t>
      </w:r>
      <w:proofErr w:type="spellStart"/>
      <w:r w:rsidRPr="0078138E">
        <w:rPr>
          <w:sz w:val="24"/>
          <w:szCs w:val="24"/>
          <w:lang w:val="en-GB"/>
        </w:rPr>
        <w:t>Ruxolitinib</w:t>
      </w:r>
      <w:proofErr w:type="spellEnd"/>
      <w:r w:rsidRPr="0078138E">
        <w:rPr>
          <w:sz w:val="24"/>
          <w:szCs w:val="24"/>
          <w:lang w:val="en-GB"/>
        </w:rPr>
        <w:t xml:space="preserve"> </w:t>
      </w:r>
      <w:r w:rsidR="009B509D">
        <w:rPr>
          <w:sz w:val="24"/>
          <w:szCs w:val="24"/>
          <w:lang w:val="en-GB"/>
        </w:rPr>
        <w:t>"</w:t>
      </w:r>
      <w:r w:rsidRPr="0078138E">
        <w:rPr>
          <w:sz w:val="24"/>
          <w:szCs w:val="24"/>
          <w:lang w:val="en-GB"/>
        </w:rPr>
        <w:t>Sandoz</w:t>
      </w:r>
      <w:r w:rsidR="009B509D">
        <w:rPr>
          <w:sz w:val="24"/>
          <w:szCs w:val="24"/>
          <w:lang w:val="en-GB"/>
        </w:rPr>
        <w:t>"</w:t>
      </w:r>
      <w:r w:rsidRPr="0078138E">
        <w:rPr>
          <w:sz w:val="24"/>
          <w:szCs w:val="24"/>
          <w:lang w:val="en-GB"/>
        </w:rPr>
        <w:t xml:space="preserve"> in acute and chronic GvHD is based on age (see Tables 2 and 3):</w:t>
      </w:r>
    </w:p>
    <w:p w14:paraId="32B8E370" w14:textId="77777777" w:rsidR="0078138E" w:rsidRPr="0078138E" w:rsidRDefault="0078138E" w:rsidP="00A11649">
      <w:pPr>
        <w:ind w:left="851"/>
        <w:rPr>
          <w:sz w:val="24"/>
          <w:szCs w:val="24"/>
          <w:lang w:val="en-GB"/>
        </w:rPr>
      </w:pPr>
    </w:p>
    <w:p w14:paraId="79FA10D5" w14:textId="77777777" w:rsidR="0078138E" w:rsidRPr="0078138E" w:rsidRDefault="0078138E" w:rsidP="00A11649">
      <w:pPr>
        <w:ind w:left="851"/>
        <w:rPr>
          <w:b/>
          <w:bCs/>
          <w:sz w:val="24"/>
          <w:szCs w:val="24"/>
          <w:lang w:val="en-GB"/>
        </w:rPr>
      </w:pPr>
      <w:r w:rsidRPr="0078138E">
        <w:rPr>
          <w:b/>
          <w:bCs/>
          <w:sz w:val="24"/>
          <w:szCs w:val="24"/>
          <w:lang w:val="en-GB"/>
        </w:rPr>
        <w:t>Table 2 Starting doses in acute graft versus host disease</w:t>
      </w:r>
    </w:p>
    <w:p w14:paraId="0964B0B8" w14:textId="77777777" w:rsidR="0078138E" w:rsidRPr="0078138E" w:rsidRDefault="0078138E" w:rsidP="00A11649">
      <w:pPr>
        <w:ind w:left="851"/>
        <w:rPr>
          <w:sz w:val="24"/>
          <w:szCs w:val="24"/>
          <w:lang w:val="en-GB"/>
        </w:rPr>
      </w:pPr>
    </w:p>
    <w:tbl>
      <w:tblPr>
        <w:tblW w:w="7029" w:type="dxa"/>
        <w:tblInd w:w="851" w:type="dxa"/>
        <w:tblLayout w:type="fixed"/>
        <w:tblLook w:val="04A0" w:firstRow="1" w:lastRow="0" w:firstColumn="1" w:lastColumn="0" w:noHBand="0" w:noVBand="1"/>
      </w:tblPr>
      <w:tblGrid>
        <w:gridCol w:w="3685"/>
        <w:gridCol w:w="3344"/>
      </w:tblGrid>
      <w:tr w:rsidR="0078138E" w:rsidRPr="0078138E" w14:paraId="4DD3B40A" w14:textId="77777777" w:rsidTr="0053732B">
        <w:trPr>
          <w:trHeight w:val="98"/>
        </w:trPr>
        <w:tc>
          <w:tcPr>
            <w:tcW w:w="3685" w:type="dxa"/>
            <w:tcBorders>
              <w:top w:val="single" w:sz="4" w:space="0" w:color="000000"/>
              <w:left w:val="nil"/>
              <w:bottom w:val="single" w:sz="4" w:space="0" w:color="000000"/>
              <w:right w:val="single" w:sz="4" w:space="0" w:color="000000"/>
            </w:tcBorders>
            <w:vAlign w:val="center"/>
            <w:hideMark/>
          </w:tcPr>
          <w:p w14:paraId="76DC47B3" w14:textId="77777777" w:rsidR="0078138E" w:rsidRPr="0078138E" w:rsidRDefault="0078138E" w:rsidP="00A11649">
            <w:pPr>
              <w:rPr>
                <w:sz w:val="24"/>
                <w:szCs w:val="24"/>
                <w:lang w:val="en-GB"/>
              </w:rPr>
            </w:pPr>
            <w:r w:rsidRPr="0078138E">
              <w:rPr>
                <w:b/>
                <w:bCs/>
                <w:sz w:val="24"/>
                <w:szCs w:val="24"/>
                <w:lang w:val="en-GB"/>
              </w:rPr>
              <w:t>Age group</w:t>
            </w:r>
          </w:p>
        </w:tc>
        <w:tc>
          <w:tcPr>
            <w:tcW w:w="3344" w:type="dxa"/>
            <w:tcBorders>
              <w:top w:val="single" w:sz="4" w:space="0" w:color="000000"/>
              <w:left w:val="single" w:sz="4" w:space="0" w:color="000000"/>
              <w:bottom w:val="single" w:sz="4" w:space="0" w:color="000000"/>
              <w:right w:val="nil"/>
            </w:tcBorders>
            <w:vAlign w:val="center"/>
            <w:hideMark/>
          </w:tcPr>
          <w:p w14:paraId="7BB79B74" w14:textId="77777777" w:rsidR="0078138E" w:rsidRPr="0078138E" w:rsidRDefault="0078138E" w:rsidP="00A11649">
            <w:pPr>
              <w:rPr>
                <w:sz w:val="24"/>
                <w:szCs w:val="24"/>
                <w:lang w:val="en-GB"/>
              </w:rPr>
            </w:pPr>
            <w:r w:rsidRPr="0078138E">
              <w:rPr>
                <w:b/>
                <w:bCs/>
                <w:sz w:val="24"/>
                <w:szCs w:val="24"/>
                <w:lang w:val="en-GB"/>
              </w:rPr>
              <w:t>Starting dose</w:t>
            </w:r>
          </w:p>
        </w:tc>
      </w:tr>
      <w:tr w:rsidR="0078138E" w:rsidRPr="0078138E" w14:paraId="6E662382" w14:textId="77777777" w:rsidTr="0053732B">
        <w:trPr>
          <w:trHeight w:val="117"/>
        </w:trPr>
        <w:tc>
          <w:tcPr>
            <w:tcW w:w="3685" w:type="dxa"/>
            <w:tcBorders>
              <w:top w:val="single" w:sz="4" w:space="0" w:color="000000"/>
              <w:left w:val="nil"/>
              <w:bottom w:val="nil"/>
              <w:right w:val="single" w:sz="4" w:space="0" w:color="000000"/>
            </w:tcBorders>
            <w:vAlign w:val="center"/>
            <w:hideMark/>
          </w:tcPr>
          <w:p w14:paraId="4DAECA0F" w14:textId="77777777" w:rsidR="0078138E" w:rsidRPr="0078138E" w:rsidRDefault="0078138E" w:rsidP="00A11649">
            <w:pPr>
              <w:rPr>
                <w:sz w:val="24"/>
                <w:szCs w:val="24"/>
                <w:lang w:val="en-GB"/>
              </w:rPr>
            </w:pPr>
            <w:r w:rsidRPr="0078138E">
              <w:rPr>
                <w:sz w:val="24"/>
                <w:szCs w:val="24"/>
                <w:lang w:val="en-GB"/>
              </w:rPr>
              <w:t>12 years old and above</w:t>
            </w:r>
          </w:p>
        </w:tc>
        <w:tc>
          <w:tcPr>
            <w:tcW w:w="3344" w:type="dxa"/>
            <w:tcBorders>
              <w:top w:val="single" w:sz="4" w:space="0" w:color="000000"/>
              <w:left w:val="single" w:sz="4" w:space="0" w:color="000000"/>
              <w:bottom w:val="nil"/>
              <w:right w:val="nil"/>
            </w:tcBorders>
            <w:vAlign w:val="center"/>
            <w:hideMark/>
          </w:tcPr>
          <w:p w14:paraId="458A86E7" w14:textId="77777777" w:rsidR="0078138E" w:rsidRPr="0078138E" w:rsidRDefault="0078138E" w:rsidP="00A11649">
            <w:pPr>
              <w:rPr>
                <w:sz w:val="24"/>
                <w:szCs w:val="24"/>
                <w:lang w:val="en-GB"/>
              </w:rPr>
            </w:pPr>
            <w:r w:rsidRPr="0078138E">
              <w:rPr>
                <w:sz w:val="24"/>
                <w:szCs w:val="24"/>
                <w:lang w:val="en-GB"/>
              </w:rPr>
              <w:t>10 mg twice daily</w:t>
            </w:r>
          </w:p>
        </w:tc>
      </w:tr>
      <w:tr w:rsidR="0078138E" w:rsidRPr="0078138E" w14:paraId="1FA0224F" w14:textId="77777777" w:rsidTr="0053732B">
        <w:trPr>
          <w:trHeight w:val="117"/>
        </w:trPr>
        <w:tc>
          <w:tcPr>
            <w:tcW w:w="3685" w:type="dxa"/>
            <w:tcBorders>
              <w:top w:val="nil"/>
              <w:left w:val="nil"/>
              <w:bottom w:val="nil"/>
              <w:right w:val="single" w:sz="4" w:space="0" w:color="000000"/>
            </w:tcBorders>
            <w:vAlign w:val="center"/>
            <w:hideMark/>
          </w:tcPr>
          <w:p w14:paraId="5F6D1907" w14:textId="77777777" w:rsidR="0078138E" w:rsidRPr="0078138E" w:rsidRDefault="0078138E" w:rsidP="00A11649">
            <w:pPr>
              <w:rPr>
                <w:sz w:val="24"/>
                <w:szCs w:val="24"/>
                <w:lang w:val="en-GB"/>
              </w:rPr>
            </w:pPr>
            <w:r w:rsidRPr="0078138E">
              <w:rPr>
                <w:sz w:val="24"/>
                <w:szCs w:val="24"/>
                <w:lang w:val="en-GB"/>
              </w:rPr>
              <w:t>6 years to less than 12 years old</w:t>
            </w:r>
          </w:p>
        </w:tc>
        <w:tc>
          <w:tcPr>
            <w:tcW w:w="3344" w:type="dxa"/>
            <w:tcBorders>
              <w:top w:val="nil"/>
              <w:left w:val="single" w:sz="4" w:space="0" w:color="000000"/>
              <w:bottom w:val="nil"/>
              <w:right w:val="nil"/>
            </w:tcBorders>
            <w:vAlign w:val="center"/>
            <w:hideMark/>
          </w:tcPr>
          <w:p w14:paraId="77660379" w14:textId="77777777" w:rsidR="0078138E" w:rsidRPr="0078138E" w:rsidRDefault="0078138E" w:rsidP="00A11649">
            <w:pPr>
              <w:rPr>
                <w:sz w:val="24"/>
                <w:szCs w:val="24"/>
                <w:lang w:val="en-GB"/>
              </w:rPr>
            </w:pPr>
            <w:r w:rsidRPr="0078138E">
              <w:rPr>
                <w:sz w:val="24"/>
                <w:szCs w:val="24"/>
                <w:lang w:val="en-GB"/>
              </w:rPr>
              <w:t>5 mg twice daily</w:t>
            </w:r>
          </w:p>
        </w:tc>
      </w:tr>
      <w:tr w:rsidR="0078138E" w:rsidRPr="0078138E" w14:paraId="1862A757" w14:textId="77777777" w:rsidTr="0053732B">
        <w:trPr>
          <w:trHeight w:val="117"/>
        </w:trPr>
        <w:tc>
          <w:tcPr>
            <w:tcW w:w="3685" w:type="dxa"/>
            <w:tcBorders>
              <w:top w:val="nil"/>
              <w:left w:val="nil"/>
              <w:bottom w:val="single" w:sz="4" w:space="0" w:color="auto"/>
              <w:right w:val="single" w:sz="4" w:space="0" w:color="000000"/>
            </w:tcBorders>
            <w:vAlign w:val="center"/>
            <w:hideMark/>
          </w:tcPr>
          <w:p w14:paraId="5D50F329" w14:textId="77777777" w:rsidR="0078138E" w:rsidRPr="0078138E" w:rsidRDefault="0078138E" w:rsidP="00A11649">
            <w:pPr>
              <w:rPr>
                <w:sz w:val="24"/>
                <w:szCs w:val="24"/>
                <w:lang w:val="en-GB"/>
              </w:rPr>
            </w:pPr>
            <w:r w:rsidRPr="0078138E">
              <w:rPr>
                <w:sz w:val="24"/>
                <w:szCs w:val="24"/>
                <w:lang w:val="en-GB"/>
              </w:rPr>
              <w:t>28 days to less than 6 years old</w:t>
            </w:r>
          </w:p>
        </w:tc>
        <w:tc>
          <w:tcPr>
            <w:tcW w:w="3344" w:type="dxa"/>
            <w:tcBorders>
              <w:top w:val="nil"/>
              <w:left w:val="single" w:sz="4" w:space="0" w:color="000000"/>
              <w:bottom w:val="single" w:sz="4" w:space="0" w:color="auto"/>
              <w:right w:val="nil"/>
            </w:tcBorders>
            <w:vAlign w:val="center"/>
            <w:hideMark/>
          </w:tcPr>
          <w:p w14:paraId="058D4A29" w14:textId="77777777" w:rsidR="0078138E" w:rsidRPr="0078138E" w:rsidRDefault="0078138E" w:rsidP="00A11649">
            <w:pPr>
              <w:rPr>
                <w:sz w:val="24"/>
                <w:szCs w:val="24"/>
                <w:lang w:val="en-GB"/>
              </w:rPr>
            </w:pPr>
            <w:r w:rsidRPr="0078138E">
              <w:rPr>
                <w:sz w:val="24"/>
                <w:szCs w:val="24"/>
                <w:lang w:val="en-GB"/>
              </w:rPr>
              <w:t>8 mg/m</w:t>
            </w:r>
            <w:r w:rsidRPr="0078138E">
              <w:rPr>
                <w:sz w:val="24"/>
                <w:szCs w:val="24"/>
                <w:vertAlign w:val="superscript"/>
                <w:lang w:val="en-GB"/>
              </w:rPr>
              <w:t>2</w:t>
            </w:r>
            <w:r w:rsidRPr="0078138E">
              <w:rPr>
                <w:sz w:val="24"/>
                <w:szCs w:val="24"/>
                <w:lang w:val="en-GB"/>
              </w:rPr>
              <w:t xml:space="preserve"> twice daily</w:t>
            </w:r>
          </w:p>
        </w:tc>
      </w:tr>
    </w:tbl>
    <w:p w14:paraId="1BBA8109" w14:textId="77777777" w:rsidR="0078138E" w:rsidRPr="0078138E" w:rsidRDefault="0078138E" w:rsidP="00A11649">
      <w:pPr>
        <w:ind w:left="851"/>
        <w:rPr>
          <w:sz w:val="24"/>
          <w:szCs w:val="24"/>
          <w:lang w:val="en-GB"/>
        </w:rPr>
      </w:pPr>
    </w:p>
    <w:p w14:paraId="5CF4F43C" w14:textId="77777777" w:rsidR="0078138E" w:rsidRPr="0078138E" w:rsidRDefault="0078138E" w:rsidP="00A11649">
      <w:pPr>
        <w:ind w:left="851"/>
        <w:rPr>
          <w:b/>
          <w:bCs/>
          <w:sz w:val="24"/>
          <w:szCs w:val="24"/>
          <w:lang w:val="en-GB"/>
        </w:rPr>
      </w:pPr>
      <w:r w:rsidRPr="0078138E">
        <w:rPr>
          <w:b/>
          <w:bCs/>
          <w:sz w:val="24"/>
          <w:szCs w:val="24"/>
          <w:lang w:val="en-GB"/>
        </w:rPr>
        <w:t>Table 3 Starting doses in chronic graft versus host disease</w:t>
      </w:r>
    </w:p>
    <w:p w14:paraId="3C4A83F4" w14:textId="77777777" w:rsidR="0078138E" w:rsidRPr="0078138E" w:rsidRDefault="0078138E" w:rsidP="00A11649">
      <w:pPr>
        <w:ind w:left="851"/>
        <w:rPr>
          <w:sz w:val="24"/>
          <w:szCs w:val="24"/>
          <w:lang w:val="en-GB"/>
        </w:rPr>
      </w:pPr>
    </w:p>
    <w:tbl>
      <w:tblPr>
        <w:tblW w:w="7029" w:type="dxa"/>
        <w:tblInd w:w="851" w:type="dxa"/>
        <w:tblLayout w:type="fixed"/>
        <w:tblLook w:val="04A0" w:firstRow="1" w:lastRow="0" w:firstColumn="1" w:lastColumn="0" w:noHBand="0" w:noVBand="1"/>
      </w:tblPr>
      <w:tblGrid>
        <w:gridCol w:w="3685"/>
        <w:gridCol w:w="3344"/>
      </w:tblGrid>
      <w:tr w:rsidR="0078138E" w:rsidRPr="0078138E" w14:paraId="2DA8C44B" w14:textId="77777777" w:rsidTr="0053732B">
        <w:trPr>
          <w:trHeight w:val="98"/>
        </w:trPr>
        <w:tc>
          <w:tcPr>
            <w:tcW w:w="3685" w:type="dxa"/>
            <w:tcBorders>
              <w:top w:val="single" w:sz="4" w:space="0" w:color="000000"/>
              <w:left w:val="nil"/>
              <w:bottom w:val="single" w:sz="4" w:space="0" w:color="000000"/>
              <w:right w:val="single" w:sz="4" w:space="0" w:color="000000"/>
            </w:tcBorders>
            <w:vAlign w:val="center"/>
            <w:hideMark/>
          </w:tcPr>
          <w:p w14:paraId="11B4FF89" w14:textId="77777777" w:rsidR="0078138E" w:rsidRPr="0078138E" w:rsidRDefault="0078138E" w:rsidP="00A11649">
            <w:pPr>
              <w:rPr>
                <w:sz w:val="24"/>
                <w:szCs w:val="24"/>
                <w:lang w:val="en-GB"/>
              </w:rPr>
            </w:pPr>
            <w:r w:rsidRPr="0078138E">
              <w:rPr>
                <w:b/>
                <w:bCs/>
                <w:sz w:val="24"/>
                <w:szCs w:val="24"/>
                <w:lang w:val="en-GB"/>
              </w:rPr>
              <w:t>Age group</w:t>
            </w:r>
          </w:p>
        </w:tc>
        <w:tc>
          <w:tcPr>
            <w:tcW w:w="3344" w:type="dxa"/>
            <w:tcBorders>
              <w:top w:val="single" w:sz="4" w:space="0" w:color="000000"/>
              <w:left w:val="single" w:sz="4" w:space="0" w:color="000000"/>
              <w:bottom w:val="single" w:sz="4" w:space="0" w:color="000000"/>
              <w:right w:val="nil"/>
            </w:tcBorders>
            <w:vAlign w:val="center"/>
            <w:hideMark/>
          </w:tcPr>
          <w:p w14:paraId="67BBE0B7" w14:textId="77777777" w:rsidR="0078138E" w:rsidRPr="0078138E" w:rsidRDefault="0078138E" w:rsidP="00A11649">
            <w:pPr>
              <w:rPr>
                <w:sz w:val="24"/>
                <w:szCs w:val="24"/>
                <w:lang w:val="en-GB"/>
              </w:rPr>
            </w:pPr>
            <w:r w:rsidRPr="0078138E">
              <w:rPr>
                <w:b/>
                <w:bCs/>
                <w:sz w:val="24"/>
                <w:szCs w:val="24"/>
                <w:lang w:val="en-GB"/>
              </w:rPr>
              <w:t>Starting dose</w:t>
            </w:r>
          </w:p>
        </w:tc>
      </w:tr>
      <w:tr w:rsidR="0078138E" w:rsidRPr="0078138E" w14:paraId="113BDC50" w14:textId="77777777" w:rsidTr="0053732B">
        <w:trPr>
          <w:trHeight w:val="117"/>
        </w:trPr>
        <w:tc>
          <w:tcPr>
            <w:tcW w:w="3685" w:type="dxa"/>
            <w:tcBorders>
              <w:top w:val="single" w:sz="4" w:space="0" w:color="000000"/>
              <w:left w:val="nil"/>
              <w:bottom w:val="nil"/>
              <w:right w:val="single" w:sz="4" w:space="0" w:color="000000"/>
            </w:tcBorders>
            <w:vAlign w:val="center"/>
            <w:hideMark/>
          </w:tcPr>
          <w:p w14:paraId="3E7F35BB" w14:textId="77777777" w:rsidR="0078138E" w:rsidRPr="0078138E" w:rsidRDefault="0078138E" w:rsidP="00A11649">
            <w:pPr>
              <w:rPr>
                <w:sz w:val="24"/>
                <w:szCs w:val="24"/>
                <w:lang w:val="en-GB"/>
              </w:rPr>
            </w:pPr>
            <w:r w:rsidRPr="0078138E">
              <w:rPr>
                <w:sz w:val="24"/>
                <w:szCs w:val="24"/>
                <w:lang w:val="en-GB"/>
              </w:rPr>
              <w:t>12 years old and above</w:t>
            </w:r>
          </w:p>
        </w:tc>
        <w:tc>
          <w:tcPr>
            <w:tcW w:w="3344" w:type="dxa"/>
            <w:tcBorders>
              <w:top w:val="single" w:sz="4" w:space="0" w:color="000000"/>
              <w:left w:val="single" w:sz="4" w:space="0" w:color="000000"/>
              <w:bottom w:val="nil"/>
              <w:right w:val="nil"/>
            </w:tcBorders>
            <w:vAlign w:val="center"/>
            <w:hideMark/>
          </w:tcPr>
          <w:p w14:paraId="313D2186" w14:textId="77777777" w:rsidR="0078138E" w:rsidRPr="0078138E" w:rsidRDefault="0078138E" w:rsidP="00A11649">
            <w:pPr>
              <w:rPr>
                <w:sz w:val="24"/>
                <w:szCs w:val="24"/>
                <w:lang w:val="en-GB"/>
              </w:rPr>
            </w:pPr>
            <w:r w:rsidRPr="0078138E">
              <w:rPr>
                <w:sz w:val="24"/>
                <w:szCs w:val="24"/>
                <w:lang w:val="en-GB"/>
              </w:rPr>
              <w:t>10 mg twice daily</w:t>
            </w:r>
          </w:p>
        </w:tc>
      </w:tr>
      <w:tr w:rsidR="0078138E" w:rsidRPr="0078138E" w14:paraId="39742409" w14:textId="77777777" w:rsidTr="0053732B">
        <w:trPr>
          <w:trHeight w:val="117"/>
        </w:trPr>
        <w:tc>
          <w:tcPr>
            <w:tcW w:w="3685" w:type="dxa"/>
            <w:tcBorders>
              <w:top w:val="nil"/>
              <w:left w:val="nil"/>
              <w:bottom w:val="nil"/>
              <w:right w:val="single" w:sz="4" w:space="0" w:color="000000"/>
            </w:tcBorders>
            <w:vAlign w:val="center"/>
            <w:hideMark/>
          </w:tcPr>
          <w:p w14:paraId="407F993E" w14:textId="77777777" w:rsidR="0078138E" w:rsidRPr="0078138E" w:rsidRDefault="0078138E" w:rsidP="00A11649">
            <w:pPr>
              <w:rPr>
                <w:sz w:val="24"/>
                <w:szCs w:val="24"/>
                <w:lang w:val="en-GB"/>
              </w:rPr>
            </w:pPr>
            <w:r w:rsidRPr="0078138E">
              <w:rPr>
                <w:sz w:val="24"/>
                <w:szCs w:val="24"/>
                <w:lang w:val="en-GB"/>
              </w:rPr>
              <w:t>6 years to less than 12 years old</w:t>
            </w:r>
          </w:p>
        </w:tc>
        <w:tc>
          <w:tcPr>
            <w:tcW w:w="3344" w:type="dxa"/>
            <w:tcBorders>
              <w:top w:val="nil"/>
              <w:left w:val="single" w:sz="4" w:space="0" w:color="000000"/>
              <w:bottom w:val="nil"/>
              <w:right w:val="nil"/>
            </w:tcBorders>
            <w:vAlign w:val="center"/>
            <w:hideMark/>
          </w:tcPr>
          <w:p w14:paraId="7A26B17E" w14:textId="77777777" w:rsidR="0078138E" w:rsidRPr="0078138E" w:rsidRDefault="0078138E" w:rsidP="00A11649">
            <w:pPr>
              <w:rPr>
                <w:sz w:val="24"/>
                <w:szCs w:val="24"/>
                <w:lang w:val="en-GB"/>
              </w:rPr>
            </w:pPr>
            <w:r w:rsidRPr="0078138E">
              <w:rPr>
                <w:sz w:val="24"/>
                <w:szCs w:val="24"/>
                <w:lang w:val="en-GB"/>
              </w:rPr>
              <w:t>5 mg twice daily</w:t>
            </w:r>
          </w:p>
        </w:tc>
      </w:tr>
      <w:tr w:rsidR="0078138E" w:rsidRPr="0078138E" w14:paraId="36F422C5" w14:textId="77777777" w:rsidTr="0053732B">
        <w:trPr>
          <w:trHeight w:val="117"/>
        </w:trPr>
        <w:tc>
          <w:tcPr>
            <w:tcW w:w="3685" w:type="dxa"/>
            <w:tcBorders>
              <w:top w:val="nil"/>
              <w:left w:val="nil"/>
              <w:bottom w:val="single" w:sz="4" w:space="0" w:color="auto"/>
              <w:right w:val="single" w:sz="4" w:space="0" w:color="000000"/>
            </w:tcBorders>
            <w:vAlign w:val="center"/>
            <w:hideMark/>
          </w:tcPr>
          <w:p w14:paraId="37975173" w14:textId="77777777" w:rsidR="0078138E" w:rsidRPr="0078138E" w:rsidRDefault="0078138E" w:rsidP="00A11649">
            <w:pPr>
              <w:rPr>
                <w:sz w:val="24"/>
                <w:szCs w:val="24"/>
                <w:lang w:val="en-GB"/>
              </w:rPr>
            </w:pPr>
            <w:r w:rsidRPr="0078138E">
              <w:rPr>
                <w:sz w:val="24"/>
                <w:szCs w:val="24"/>
                <w:lang w:val="en-GB"/>
              </w:rPr>
              <w:t>6 months to less than 6 years old</w:t>
            </w:r>
          </w:p>
        </w:tc>
        <w:tc>
          <w:tcPr>
            <w:tcW w:w="3344" w:type="dxa"/>
            <w:tcBorders>
              <w:top w:val="nil"/>
              <w:left w:val="single" w:sz="4" w:space="0" w:color="000000"/>
              <w:bottom w:val="single" w:sz="4" w:space="0" w:color="auto"/>
              <w:right w:val="nil"/>
            </w:tcBorders>
            <w:vAlign w:val="center"/>
            <w:hideMark/>
          </w:tcPr>
          <w:p w14:paraId="431C7CFF" w14:textId="77777777" w:rsidR="0078138E" w:rsidRPr="0078138E" w:rsidRDefault="0078138E" w:rsidP="00A11649">
            <w:pPr>
              <w:rPr>
                <w:sz w:val="24"/>
                <w:szCs w:val="24"/>
                <w:lang w:val="en-GB"/>
              </w:rPr>
            </w:pPr>
            <w:r w:rsidRPr="0078138E">
              <w:rPr>
                <w:sz w:val="24"/>
                <w:szCs w:val="24"/>
                <w:lang w:val="en-GB"/>
              </w:rPr>
              <w:t>8 mg/m</w:t>
            </w:r>
            <w:r w:rsidRPr="0078138E">
              <w:rPr>
                <w:sz w:val="24"/>
                <w:szCs w:val="24"/>
                <w:vertAlign w:val="superscript"/>
                <w:lang w:val="en-GB"/>
              </w:rPr>
              <w:t>2</w:t>
            </w:r>
            <w:r w:rsidRPr="0078138E">
              <w:rPr>
                <w:sz w:val="24"/>
                <w:szCs w:val="24"/>
                <w:lang w:val="en-GB"/>
              </w:rPr>
              <w:t xml:space="preserve"> twice daily</w:t>
            </w:r>
          </w:p>
        </w:tc>
      </w:tr>
    </w:tbl>
    <w:p w14:paraId="4EE6BB21" w14:textId="77777777" w:rsidR="0078138E" w:rsidRPr="0078138E" w:rsidRDefault="0078138E" w:rsidP="00A11649">
      <w:pPr>
        <w:ind w:left="851"/>
        <w:rPr>
          <w:sz w:val="24"/>
          <w:szCs w:val="24"/>
          <w:lang w:val="en-GB"/>
        </w:rPr>
      </w:pPr>
    </w:p>
    <w:p w14:paraId="04A5B97C" w14:textId="77777777" w:rsidR="0078138E" w:rsidRPr="0078138E" w:rsidRDefault="0078138E" w:rsidP="00A11649">
      <w:pPr>
        <w:ind w:left="851"/>
        <w:rPr>
          <w:sz w:val="24"/>
          <w:szCs w:val="24"/>
          <w:lang w:val="en-GB"/>
        </w:rPr>
      </w:pPr>
      <w:r w:rsidRPr="0078138E">
        <w:rPr>
          <w:sz w:val="24"/>
          <w:szCs w:val="24"/>
          <w:lang w:val="en-GB"/>
        </w:rPr>
        <w:t>These starting doses in GvHD can be administered using either the tablet for patients who can swallow tablets whole or an oral solution that might be available from another marketing authorisation holder.</w:t>
      </w:r>
    </w:p>
    <w:p w14:paraId="64C96B03" w14:textId="77777777" w:rsidR="0078138E" w:rsidRPr="0078138E" w:rsidRDefault="0078138E" w:rsidP="00A11649">
      <w:pPr>
        <w:ind w:left="851"/>
        <w:rPr>
          <w:sz w:val="24"/>
          <w:szCs w:val="24"/>
          <w:lang w:val="en-GB"/>
        </w:rPr>
      </w:pPr>
    </w:p>
    <w:p w14:paraId="1E1B4F4C" w14:textId="1DFF72ED" w:rsidR="0078138E" w:rsidRPr="0078138E" w:rsidRDefault="0078138E" w:rsidP="00A11649">
      <w:pPr>
        <w:ind w:left="851"/>
        <w:rPr>
          <w:sz w:val="24"/>
          <w:szCs w:val="24"/>
          <w:lang w:val="en-GB"/>
        </w:rPr>
      </w:pPr>
      <w:proofErr w:type="spellStart"/>
      <w:r w:rsidRPr="0078138E">
        <w:rPr>
          <w:sz w:val="24"/>
          <w:szCs w:val="24"/>
          <w:lang w:val="en-GB"/>
        </w:rPr>
        <w:t>Ruxolitinib</w:t>
      </w:r>
      <w:proofErr w:type="spellEnd"/>
      <w:r w:rsidRPr="0078138E">
        <w:rPr>
          <w:sz w:val="24"/>
          <w:szCs w:val="24"/>
          <w:lang w:val="en-GB"/>
        </w:rPr>
        <w:t xml:space="preserve"> </w:t>
      </w:r>
      <w:r w:rsidR="009B509D">
        <w:rPr>
          <w:sz w:val="24"/>
          <w:szCs w:val="24"/>
          <w:lang w:val="en-GB"/>
        </w:rPr>
        <w:t>"</w:t>
      </w:r>
      <w:r w:rsidRPr="0078138E">
        <w:rPr>
          <w:sz w:val="24"/>
          <w:szCs w:val="24"/>
          <w:lang w:val="en-GB"/>
        </w:rPr>
        <w:t>Sandoz</w:t>
      </w:r>
      <w:r w:rsidR="009B509D">
        <w:rPr>
          <w:sz w:val="24"/>
          <w:szCs w:val="24"/>
          <w:lang w:val="en-GB"/>
        </w:rPr>
        <w:t>"</w:t>
      </w:r>
      <w:r w:rsidRPr="0078138E">
        <w:rPr>
          <w:sz w:val="24"/>
          <w:szCs w:val="24"/>
          <w:lang w:val="en-GB"/>
        </w:rPr>
        <w:t xml:space="preserve"> can be added to corticosteroids and/or calcineurin inhibitors (CNIs).</w:t>
      </w:r>
    </w:p>
    <w:p w14:paraId="18BDDE18" w14:textId="77777777" w:rsidR="0078138E" w:rsidRPr="0078138E" w:rsidRDefault="0078138E" w:rsidP="00A11649">
      <w:pPr>
        <w:ind w:left="851"/>
        <w:rPr>
          <w:sz w:val="24"/>
          <w:szCs w:val="24"/>
          <w:lang w:val="en-GB"/>
        </w:rPr>
      </w:pPr>
    </w:p>
    <w:p w14:paraId="46FDFD22" w14:textId="77777777" w:rsidR="0078138E" w:rsidRPr="0078138E" w:rsidRDefault="0078138E" w:rsidP="00A11649">
      <w:pPr>
        <w:ind w:left="851"/>
        <w:rPr>
          <w:sz w:val="24"/>
          <w:szCs w:val="24"/>
          <w:u w:val="single"/>
          <w:lang w:val="en-GB"/>
        </w:rPr>
      </w:pPr>
      <w:r w:rsidRPr="0078138E">
        <w:rPr>
          <w:i/>
          <w:iCs/>
          <w:sz w:val="24"/>
          <w:szCs w:val="24"/>
          <w:u w:val="single"/>
          <w:lang w:val="en-GB"/>
        </w:rPr>
        <w:t>Dose modifications</w:t>
      </w:r>
    </w:p>
    <w:p w14:paraId="18E4E6F5" w14:textId="77777777" w:rsidR="0078138E" w:rsidRPr="0078138E" w:rsidRDefault="0078138E" w:rsidP="00A11649">
      <w:pPr>
        <w:ind w:left="851"/>
        <w:rPr>
          <w:sz w:val="24"/>
          <w:szCs w:val="24"/>
          <w:lang w:val="en-GB"/>
        </w:rPr>
      </w:pPr>
      <w:r w:rsidRPr="0078138E">
        <w:rPr>
          <w:sz w:val="24"/>
          <w:szCs w:val="24"/>
          <w:lang w:val="en-GB"/>
        </w:rPr>
        <w:t>Doses may be titrated based on efficacy and safety.</w:t>
      </w:r>
    </w:p>
    <w:p w14:paraId="207D042C" w14:textId="77777777" w:rsidR="0078138E" w:rsidRPr="0078138E" w:rsidRDefault="0078138E" w:rsidP="00A11649">
      <w:pPr>
        <w:ind w:left="851"/>
        <w:rPr>
          <w:sz w:val="24"/>
          <w:szCs w:val="24"/>
          <w:lang w:val="en-GB"/>
        </w:rPr>
      </w:pPr>
    </w:p>
    <w:p w14:paraId="7715C42D" w14:textId="77777777" w:rsidR="0078138E" w:rsidRPr="0078138E" w:rsidRDefault="0078138E" w:rsidP="00A11649">
      <w:pPr>
        <w:ind w:left="851"/>
        <w:rPr>
          <w:sz w:val="24"/>
          <w:szCs w:val="24"/>
          <w:lang w:val="en-GB"/>
        </w:rPr>
      </w:pPr>
      <w:r w:rsidRPr="0078138E">
        <w:rPr>
          <w:i/>
          <w:iCs/>
          <w:sz w:val="24"/>
          <w:szCs w:val="24"/>
          <w:lang w:val="en-GB"/>
        </w:rPr>
        <w:t>Myelofibrosis and polycythaemia vera</w:t>
      </w:r>
    </w:p>
    <w:p w14:paraId="1913FB65" w14:textId="77777777" w:rsidR="0078138E" w:rsidRPr="0078138E" w:rsidRDefault="0078138E" w:rsidP="00A11649">
      <w:pPr>
        <w:ind w:left="851"/>
        <w:rPr>
          <w:sz w:val="24"/>
          <w:szCs w:val="24"/>
          <w:lang w:val="en-GB"/>
        </w:rPr>
      </w:pPr>
      <w:r w:rsidRPr="0078138E">
        <w:rPr>
          <w:sz w:val="24"/>
          <w:szCs w:val="24"/>
          <w:lang w:val="en-GB"/>
        </w:rPr>
        <w:t>If efficacy is considered insufficient and blood counts are adequate, doses may be increased by a maximum of 5 mg twice daily, up to the maximum dose of 25 mg twice daily.</w:t>
      </w:r>
    </w:p>
    <w:p w14:paraId="2EA00DB6" w14:textId="77777777" w:rsidR="0078138E" w:rsidRPr="0078138E" w:rsidRDefault="0078138E" w:rsidP="00A11649">
      <w:pPr>
        <w:ind w:left="851"/>
        <w:rPr>
          <w:sz w:val="24"/>
          <w:szCs w:val="24"/>
          <w:lang w:val="en-GB"/>
        </w:rPr>
      </w:pPr>
    </w:p>
    <w:p w14:paraId="4D3AC58D" w14:textId="77777777" w:rsidR="0078138E" w:rsidRPr="0078138E" w:rsidRDefault="0078138E" w:rsidP="00A11649">
      <w:pPr>
        <w:ind w:left="851"/>
        <w:rPr>
          <w:sz w:val="24"/>
          <w:szCs w:val="24"/>
          <w:lang w:val="en-GB"/>
        </w:rPr>
      </w:pPr>
      <w:r w:rsidRPr="0078138E">
        <w:rPr>
          <w:sz w:val="24"/>
          <w:szCs w:val="24"/>
          <w:lang w:val="en-GB"/>
        </w:rPr>
        <w:t>The starting dose should not be increased within the first four weeks of treatment and thereafter no more frequently than at 2-week intervals.</w:t>
      </w:r>
    </w:p>
    <w:p w14:paraId="62B9822B" w14:textId="77777777" w:rsidR="0078138E" w:rsidRPr="0078138E" w:rsidRDefault="0078138E" w:rsidP="00A11649">
      <w:pPr>
        <w:ind w:left="851"/>
        <w:rPr>
          <w:sz w:val="24"/>
          <w:szCs w:val="24"/>
          <w:lang w:val="en-GB"/>
        </w:rPr>
      </w:pPr>
    </w:p>
    <w:p w14:paraId="01C3A48F" w14:textId="77777777" w:rsidR="0078138E" w:rsidRPr="0078138E" w:rsidRDefault="0078138E" w:rsidP="00A11649">
      <w:pPr>
        <w:ind w:left="851"/>
        <w:rPr>
          <w:sz w:val="24"/>
          <w:szCs w:val="24"/>
          <w:lang w:val="en-GB"/>
        </w:rPr>
      </w:pPr>
      <w:r w:rsidRPr="0078138E">
        <w:rPr>
          <w:sz w:val="24"/>
          <w:szCs w:val="24"/>
          <w:lang w:val="en-GB"/>
        </w:rPr>
        <w:t>Treatment should be discontinued for platelet counts less than 50 000/mm</w:t>
      </w:r>
      <w:r w:rsidRPr="0078138E">
        <w:rPr>
          <w:sz w:val="24"/>
          <w:szCs w:val="24"/>
          <w:vertAlign w:val="superscript"/>
          <w:lang w:val="en-GB"/>
        </w:rPr>
        <w:t>3</w:t>
      </w:r>
      <w:r w:rsidRPr="0078138E">
        <w:rPr>
          <w:sz w:val="24"/>
          <w:szCs w:val="24"/>
          <w:lang w:val="en-GB"/>
        </w:rPr>
        <w:t xml:space="preserve"> or absolute neutrophil counts less than 500/mm</w:t>
      </w:r>
      <w:r w:rsidRPr="0078138E">
        <w:rPr>
          <w:sz w:val="24"/>
          <w:szCs w:val="24"/>
          <w:vertAlign w:val="superscript"/>
          <w:lang w:val="en-GB"/>
        </w:rPr>
        <w:t>3</w:t>
      </w:r>
      <w:r w:rsidRPr="0078138E">
        <w:rPr>
          <w:sz w:val="24"/>
          <w:szCs w:val="24"/>
          <w:lang w:val="en-GB"/>
        </w:rPr>
        <w:t>. In PV, treatment should also be interrupted when haemoglobin is below 8 g/dl. After recovery of blood counts above these levels, dosing may be re-started at 5 mg twice daily and gradually increased based on careful monitoring of complete blood cell count, including a white blood cell count differential.</w:t>
      </w:r>
    </w:p>
    <w:p w14:paraId="498CBBDE" w14:textId="77777777" w:rsidR="0078138E" w:rsidRPr="0078138E" w:rsidRDefault="0078138E" w:rsidP="00A11649">
      <w:pPr>
        <w:ind w:left="851"/>
        <w:rPr>
          <w:sz w:val="24"/>
          <w:szCs w:val="24"/>
          <w:lang w:val="en-GB"/>
        </w:rPr>
      </w:pPr>
    </w:p>
    <w:p w14:paraId="37101D27" w14:textId="77777777" w:rsidR="0078138E" w:rsidRPr="0078138E" w:rsidRDefault="0078138E" w:rsidP="00A11649">
      <w:pPr>
        <w:ind w:left="851"/>
        <w:rPr>
          <w:sz w:val="24"/>
          <w:szCs w:val="24"/>
          <w:lang w:val="en-GB"/>
        </w:rPr>
      </w:pPr>
      <w:r w:rsidRPr="0078138E">
        <w:rPr>
          <w:sz w:val="24"/>
          <w:szCs w:val="24"/>
          <w:lang w:val="en-GB"/>
        </w:rPr>
        <w:t>Dose reductions should be considered if the platelet count decreases during treatment as outlined in Table 4, with the goal of avoiding dose interruptions for thrombocytopenia.</w:t>
      </w:r>
    </w:p>
    <w:p w14:paraId="003B220F" w14:textId="77777777" w:rsidR="0078138E" w:rsidRPr="0078138E" w:rsidRDefault="0078138E" w:rsidP="00A11649">
      <w:pPr>
        <w:ind w:left="851"/>
        <w:rPr>
          <w:sz w:val="24"/>
          <w:szCs w:val="24"/>
          <w:lang w:val="en-GB"/>
        </w:rPr>
      </w:pPr>
    </w:p>
    <w:p w14:paraId="77965876" w14:textId="6F998F2D" w:rsidR="0078138E" w:rsidRPr="0078138E" w:rsidRDefault="0078138E" w:rsidP="0078138E">
      <w:pPr>
        <w:tabs>
          <w:tab w:val="left" w:pos="851"/>
        </w:tabs>
        <w:ind w:left="851"/>
        <w:rPr>
          <w:sz w:val="24"/>
          <w:szCs w:val="24"/>
          <w:lang w:val="en-GB"/>
        </w:rPr>
      </w:pPr>
      <w:r w:rsidRPr="0078138E">
        <w:rPr>
          <w:b/>
          <w:bCs/>
          <w:sz w:val="24"/>
          <w:szCs w:val="24"/>
          <w:lang w:val="en-GB"/>
        </w:rPr>
        <w:t>Table 4</w:t>
      </w:r>
      <w:r w:rsidR="0053732B">
        <w:rPr>
          <w:b/>
          <w:bCs/>
          <w:sz w:val="24"/>
          <w:szCs w:val="24"/>
          <w:lang w:val="en-GB"/>
        </w:rPr>
        <w:t>.</w:t>
      </w:r>
      <w:r w:rsidRPr="0078138E">
        <w:rPr>
          <w:b/>
          <w:bCs/>
          <w:sz w:val="24"/>
          <w:szCs w:val="24"/>
          <w:lang w:val="en-GB"/>
        </w:rPr>
        <w:t xml:space="preserve"> Dosing recommendation for MF patients with thrombocytopenia</w:t>
      </w:r>
    </w:p>
    <w:p w14:paraId="5DCC9DDA" w14:textId="77777777" w:rsidR="0078138E" w:rsidRPr="0078138E" w:rsidRDefault="0078138E" w:rsidP="0078138E">
      <w:pPr>
        <w:tabs>
          <w:tab w:val="left" w:pos="851"/>
        </w:tabs>
        <w:ind w:left="851"/>
        <w:rPr>
          <w:sz w:val="24"/>
          <w:szCs w:val="24"/>
          <w:lang w:val="en-GB"/>
        </w:rPr>
      </w:pPr>
    </w:p>
    <w:tbl>
      <w:tblPr>
        <w:tblW w:w="5126" w:type="pct"/>
        <w:tblLook w:val="04A0" w:firstRow="1" w:lastRow="0" w:firstColumn="1" w:lastColumn="0" w:noHBand="0" w:noVBand="1"/>
      </w:tblPr>
      <w:tblGrid>
        <w:gridCol w:w="2263"/>
        <w:gridCol w:w="1520"/>
        <w:gridCol w:w="65"/>
        <w:gridCol w:w="1425"/>
        <w:gridCol w:w="30"/>
        <w:gridCol w:w="1522"/>
        <w:gridCol w:w="34"/>
        <w:gridCol w:w="1589"/>
        <w:gridCol w:w="1423"/>
      </w:tblGrid>
      <w:tr w:rsidR="0078138E" w:rsidRPr="00873345" w14:paraId="70D59EEF" w14:textId="77777777" w:rsidTr="008E5F58">
        <w:trPr>
          <w:trHeight w:val="98"/>
        </w:trPr>
        <w:tc>
          <w:tcPr>
            <w:tcW w:w="1146" w:type="pct"/>
            <w:vMerge w:val="restart"/>
            <w:tcBorders>
              <w:top w:val="single" w:sz="4" w:space="0" w:color="000000"/>
              <w:left w:val="single" w:sz="4" w:space="0" w:color="000000"/>
              <w:bottom w:val="single" w:sz="4" w:space="0" w:color="000000"/>
              <w:right w:val="single" w:sz="4" w:space="0" w:color="000000"/>
            </w:tcBorders>
          </w:tcPr>
          <w:p w14:paraId="0DD0AD82" w14:textId="77777777" w:rsidR="0078138E" w:rsidRPr="0078138E" w:rsidRDefault="0078138E" w:rsidP="00A11649">
            <w:pPr>
              <w:ind w:left="60"/>
              <w:rPr>
                <w:sz w:val="22"/>
                <w:szCs w:val="22"/>
                <w:lang w:val="en-GB"/>
              </w:rPr>
            </w:pPr>
          </w:p>
        </w:tc>
        <w:tc>
          <w:tcPr>
            <w:tcW w:w="3854" w:type="pct"/>
            <w:gridSpan w:val="8"/>
            <w:tcBorders>
              <w:top w:val="single" w:sz="4" w:space="0" w:color="000000"/>
              <w:left w:val="single" w:sz="4" w:space="0" w:color="000000"/>
              <w:bottom w:val="single" w:sz="4" w:space="0" w:color="000000"/>
              <w:right w:val="single" w:sz="4" w:space="0" w:color="000000"/>
            </w:tcBorders>
          </w:tcPr>
          <w:p w14:paraId="199D0AA1" w14:textId="77777777" w:rsidR="0078138E" w:rsidRPr="0078138E" w:rsidRDefault="0078138E" w:rsidP="0053732B">
            <w:pPr>
              <w:ind w:left="60"/>
              <w:jc w:val="center"/>
              <w:rPr>
                <w:b/>
                <w:bCs/>
                <w:sz w:val="22"/>
                <w:szCs w:val="22"/>
                <w:lang w:val="en-GB"/>
              </w:rPr>
            </w:pPr>
            <w:r w:rsidRPr="0078138E">
              <w:rPr>
                <w:b/>
                <w:bCs/>
                <w:sz w:val="22"/>
                <w:szCs w:val="22"/>
                <w:lang w:val="en-GB"/>
              </w:rPr>
              <w:t>Dose at time of platelet decline</w:t>
            </w:r>
          </w:p>
          <w:p w14:paraId="38AD7105" w14:textId="77777777" w:rsidR="0078138E" w:rsidRPr="0078138E" w:rsidRDefault="0078138E" w:rsidP="0053732B">
            <w:pPr>
              <w:ind w:left="60"/>
              <w:jc w:val="center"/>
              <w:rPr>
                <w:sz w:val="22"/>
                <w:szCs w:val="22"/>
                <w:lang w:val="en-GB"/>
              </w:rPr>
            </w:pPr>
          </w:p>
        </w:tc>
      </w:tr>
      <w:tr w:rsidR="0078138E" w:rsidRPr="0078138E" w14:paraId="5AFC6103" w14:textId="77777777" w:rsidTr="008E5F58">
        <w:trPr>
          <w:trHeight w:val="98"/>
        </w:trPr>
        <w:tc>
          <w:tcPr>
            <w:tcW w:w="1146" w:type="pct"/>
            <w:vMerge/>
            <w:tcBorders>
              <w:top w:val="single" w:sz="4" w:space="0" w:color="000000"/>
              <w:left w:val="single" w:sz="4" w:space="0" w:color="000000"/>
              <w:bottom w:val="single" w:sz="4" w:space="0" w:color="000000"/>
              <w:right w:val="single" w:sz="4" w:space="0" w:color="000000"/>
            </w:tcBorders>
            <w:vAlign w:val="center"/>
            <w:hideMark/>
          </w:tcPr>
          <w:p w14:paraId="4E3F3A06" w14:textId="77777777" w:rsidR="0078138E" w:rsidRPr="0078138E" w:rsidRDefault="0078138E" w:rsidP="00A11649">
            <w:pPr>
              <w:ind w:left="60"/>
              <w:rPr>
                <w:sz w:val="22"/>
                <w:szCs w:val="22"/>
                <w:lang w:val="en-GB"/>
              </w:rPr>
            </w:pPr>
          </w:p>
        </w:tc>
        <w:tc>
          <w:tcPr>
            <w:tcW w:w="770" w:type="pct"/>
            <w:tcBorders>
              <w:top w:val="single" w:sz="4" w:space="0" w:color="000000"/>
              <w:left w:val="single" w:sz="4" w:space="0" w:color="000000"/>
              <w:bottom w:val="single" w:sz="4" w:space="0" w:color="000000"/>
              <w:right w:val="single" w:sz="4" w:space="0" w:color="000000"/>
            </w:tcBorders>
            <w:hideMark/>
          </w:tcPr>
          <w:p w14:paraId="6AA1D41D" w14:textId="77777777" w:rsidR="0078138E" w:rsidRPr="0078138E" w:rsidRDefault="0078138E" w:rsidP="00A11649">
            <w:pPr>
              <w:ind w:left="60"/>
              <w:rPr>
                <w:b/>
                <w:bCs/>
                <w:sz w:val="22"/>
                <w:szCs w:val="22"/>
                <w:lang w:val="en-GB"/>
              </w:rPr>
            </w:pPr>
            <w:r w:rsidRPr="0078138E">
              <w:rPr>
                <w:sz w:val="22"/>
                <w:szCs w:val="22"/>
                <w:lang w:val="en-GB"/>
              </w:rPr>
              <w:t>25 mg twice daily</w:t>
            </w:r>
          </w:p>
        </w:tc>
        <w:tc>
          <w:tcPr>
            <w:tcW w:w="770" w:type="pct"/>
            <w:gridSpan w:val="3"/>
            <w:tcBorders>
              <w:top w:val="single" w:sz="4" w:space="0" w:color="000000"/>
              <w:left w:val="single" w:sz="4" w:space="0" w:color="000000"/>
              <w:bottom w:val="single" w:sz="4" w:space="0" w:color="000000"/>
              <w:right w:val="single" w:sz="4" w:space="0" w:color="000000"/>
            </w:tcBorders>
            <w:hideMark/>
          </w:tcPr>
          <w:p w14:paraId="5D5357DE" w14:textId="77777777" w:rsidR="0078138E" w:rsidRPr="0078138E" w:rsidRDefault="0078138E" w:rsidP="00A11649">
            <w:pPr>
              <w:ind w:left="60"/>
              <w:rPr>
                <w:b/>
                <w:bCs/>
                <w:sz w:val="22"/>
                <w:szCs w:val="22"/>
                <w:lang w:val="en-GB"/>
              </w:rPr>
            </w:pPr>
            <w:r w:rsidRPr="0078138E">
              <w:rPr>
                <w:sz w:val="22"/>
                <w:szCs w:val="22"/>
                <w:lang w:val="en-GB"/>
              </w:rPr>
              <w:t>20 mg twice daily</w:t>
            </w:r>
          </w:p>
        </w:tc>
        <w:tc>
          <w:tcPr>
            <w:tcW w:w="771" w:type="pct"/>
            <w:tcBorders>
              <w:top w:val="single" w:sz="4" w:space="0" w:color="000000"/>
              <w:left w:val="single" w:sz="4" w:space="0" w:color="000000"/>
              <w:bottom w:val="single" w:sz="4" w:space="0" w:color="000000"/>
              <w:right w:val="single" w:sz="4" w:space="0" w:color="000000"/>
            </w:tcBorders>
            <w:hideMark/>
          </w:tcPr>
          <w:p w14:paraId="615EB8BD" w14:textId="77777777" w:rsidR="0078138E" w:rsidRPr="0078138E" w:rsidRDefault="0078138E" w:rsidP="00A11649">
            <w:pPr>
              <w:ind w:left="60"/>
              <w:rPr>
                <w:b/>
                <w:bCs/>
                <w:sz w:val="22"/>
                <w:szCs w:val="22"/>
                <w:lang w:val="en-GB"/>
              </w:rPr>
            </w:pPr>
            <w:r w:rsidRPr="0078138E">
              <w:rPr>
                <w:sz w:val="22"/>
                <w:szCs w:val="22"/>
                <w:lang w:val="en-GB"/>
              </w:rPr>
              <w:t>15 mg twice daily</w:t>
            </w:r>
          </w:p>
        </w:tc>
        <w:tc>
          <w:tcPr>
            <w:tcW w:w="821" w:type="pct"/>
            <w:gridSpan w:val="2"/>
            <w:tcBorders>
              <w:top w:val="single" w:sz="4" w:space="0" w:color="000000"/>
              <w:left w:val="single" w:sz="4" w:space="0" w:color="000000"/>
              <w:bottom w:val="single" w:sz="4" w:space="0" w:color="000000"/>
              <w:right w:val="single" w:sz="4" w:space="0" w:color="000000"/>
            </w:tcBorders>
            <w:hideMark/>
          </w:tcPr>
          <w:p w14:paraId="09E20361" w14:textId="77777777" w:rsidR="0078138E" w:rsidRPr="0078138E" w:rsidRDefault="0078138E" w:rsidP="00A11649">
            <w:pPr>
              <w:ind w:left="60"/>
              <w:rPr>
                <w:b/>
                <w:bCs/>
                <w:sz w:val="22"/>
                <w:szCs w:val="22"/>
                <w:lang w:val="en-GB"/>
              </w:rPr>
            </w:pPr>
            <w:r w:rsidRPr="0078138E">
              <w:rPr>
                <w:sz w:val="22"/>
                <w:szCs w:val="22"/>
                <w:lang w:val="en-GB"/>
              </w:rPr>
              <w:t>10 mg twice daily</w:t>
            </w:r>
          </w:p>
        </w:tc>
        <w:tc>
          <w:tcPr>
            <w:tcW w:w="721" w:type="pct"/>
            <w:tcBorders>
              <w:top w:val="single" w:sz="4" w:space="0" w:color="000000"/>
              <w:left w:val="single" w:sz="4" w:space="0" w:color="000000"/>
              <w:bottom w:val="single" w:sz="4" w:space="0" w:color="000000"/>
              <w:right w:val="single" w:sz="4" w:space="0" w:color="000000"/>
            </w:tcBorders>
            <w:hideMark/>
          </w:tcPr>
          <w:p w14:paraId="3EA8561D" w14:textId="77777777" w:rsidR="0078138E" w:rsidRPr="0078138E" w:rsidRDefault="0078138E" w:rsidP="00A11649">
            <w:pPr>
              <w:ind w:left="60"/>
              <w:rPr>
                <w:b/>
                <w:bCs/>
                <w:sz w:val="22"/>
                <w:szCs w:val="22"/>
                <w:lang w:val="en-GB"/>
              </w:rPr>
            </w:pPr>
            <w:r w:rsidRPr="0078138E">
              <w:rPr>
                <w:sz w:val="22"/>
                <w:szCs w:val="22"/>
                <w:lang w:val="en-GB"/>
              </w:rPr>
              <w:t>5 mg twice daily</w:t>
            </w:r>
          </w:p>
        </w:tc>
      </w:tr>
      <w:tr w:rsidR="0078138E" w:rsidRPr="0078138E" w14:paraId="66D6366D" w14:textId="77777777" w:rsidTr="008E5F58">
        <w:trPr>
          <w:trHeight w:val="98"/>
        </w:trPr>
        <w:tc>
          <w:tcPr>
            <w:tcW w:w="1146" w:type="pct"/>
            <w:tcBorders>
              <w:top w:val="single" w:sz="4" w:space="0" w:color="000000"/>
              <w:left w:val="single" w:sz="4" w:space="0" w:color="000000"/>
              <w:bottom w:val="single" w:sz="4" w:space="0" w:color="000000"/>
              <w:right w:val="single" w:sz="4" w:space="0" w:color="000000"/>
            </w:tcBorders>
            <w:hideMark/>
          </w:tcPr>
          <w:p w14:paraId="1F229F10" w14:textId="77777777" w:rsidR="0078138E" w:rsidRPr="0078138E" w:rsidRDefault="0078138E" w:rsidP="00A11649">
            <w:pPr>
              <w:ind w:left="60"/>
              <w:rPr>
                <w:b/>
                <w:bCs/>
                <w:sz w:val="22"/>
                <w:szCs w:val="22"/>
                <w:lang w:val="en-GB"/>
              </w:rPr>
            </w:pPr>
            <w:r w:rsidRPr="0078138E">
              <w:rPr>
                <w:b/>
                <w:bCs/>
                <w:sz w:val="22"/>
                <w:szCs w:val="22"/>
                <w:lang w:val="en-GB"/>
              </w:rPr>
              <w:t>Platelet count</w:t>
            </w:r>
          </w:p>
        </w:tc>
        <w:tc>
          <w:tcPr>
            <w:tcW w:w="3854" w:type="pct"/>
            <w:gridSpan w:val="8"/>
            <w:tcBorders>
              <w:top w:val="single" w:sz="4" w:space="0" w:color="000000"/>
              <w:left w:val="single" w:sz="4" w:space="0" w:color="000000"/>
              <w:bottom w:val="single" w:sz="4" w:space="0" w:color="000000"/>
              <w:right w:val="single" w:sz="4" w:space="0" w:color="000000"/>
            </w:tcBorders>
          </w:tcPr>
          <w:p w14:paraId="0E3CDCAB" w14:textId="77777777" w:rsidR="0078138E" w:rsidRPr="0078138E" w:rsidRDefault="0078138E" w:rsidP="0053732B">
            <w:pPr>
              <w:ind w:left="60"/>
              <w:jc w:val="center"/>
              <w:rPr>
                <w:b/>
                <w:bCs/>
                <w:sz w:val="22"/>
                <w:szCs w:val="22"/>
                <w:lang w:val="en-GB"/>
              </w:rPr>
            </w:pPr>
            <w:r w:rsidRPr="0078138E">
              <w:rPr>
                <w:b/>
                <w:bCs/>
                <w:sz w:val="22"/>
                <w:szCs w:val="22"/>
                <w:lang w:val="en-GB"/>
              </w:rPr>
              <w:t>New dose</w:t>
            </w:r>
          </w:p>
          <w:p w14:paraId="4FEA33E8" w14:textId="77777777" w:rsidR="0078138E" w:rsidRPr="0078138E" w:rsidRDefault="0078138E" w:rsidP="0053732B">
            <w:pPr>
              <w:ind w:left="60"/>
              <w:jc w:val="center"/>
              <w:rPr>
                <w:b/>
                <w:bCs/>
                <w:sz w:val="22"/>
                <w:szCs w:val="22"/>
                <w:lang w:val="en-GB"/>
              </w:rPr>
            </w:pPr>
          </w:p>
        </w:tc>
      </w:tr>
      <w:tr w:rsidR="0078138E" w:rsidRPr="0078138E" w14:paraId="23E72364" w14:textId="77777777" w:rsidTr="008E5F58">
        <w:trPr>
          <w:trHeight w:val="226"/>
        </w:trPr>
        <w:tc>
          <w:tcPr>
            <w:tcW w:w="1146" w:type="pct"/>
            <w:tcBorders>
              <w:top w:val="single" w:sz="4" w:space="0" w:color="000000"/>
              <w:left w:val="single" w:sz="4" w:space="0" w:color="000000"/>
              <w:bottom w:val="single" w:sz="4" w:space="0" w:color="000000"/>
              <w:right w:val="single" w:sz="4" w:space="0" w:color="000000"/>
            </w:tcBorders>
            <w:hideMark/>
          </w:tcPr>
          <w:p w14:paraId="42F2EA0F" w14:textId="77777777" w:rsidR="0078138E" w:rsidRPr="0078138E" w:rsidRDefault="0078138E" w:rsidP="00A11649">
            <w:pPr>
              <w:ind w:left="60"/>
              <w:rPr>
                <w:sz w:val="22"/>
                <w:szCs w:val="22"/>
                <w:lang w:val="en-GB"/>
              </w:rPr>
            </w:pPr>
            <w:r w:rsidRPr="0078138E">
              <w:rPr>
                <w:sz w:val="22"/>
                <w:szCs w:val="22"/>
                <w:lang w:val="en-GB"/>
              </w:rPr>
              <w:t>100 000 to &lt;125 000/mm</w:t>
            </w:r>
            <w:r w:rsidRPr="0078138E">
              <w:rPr>
                <w:sz w:val="22"/>
                <w:szCs w:val="22"/>
                <w:vertAlign w:val="superscript"/>
                <w:lang w:val="en-GB"/>
              </w:rPr>
              <w:t>3</w:t>
            </w:r>
          </w:p>
        </w:tc>
        <w:tc>
          <w:tcPr>
            <w:tcW w:w="803" w:type="pct"/>
            <w:gridSpan w:val="2"/>
            <w:tcBorders>
              <w:top w:val="single" w:sz="4" w:space="0" w:color="000000"/>
              <w:left w:val="single" w:sz="4" w:space="0" w:color="000000"/>
              <w:bottom w:val="single" w:sz="4" w:space="0" w:color="000000"/>
              <w:right w:val="single" w:sz="4" w:space="0" w:color="000000"/>
            </w:tcBorders>
            <w:hideMark/>
          </w:tcPr>
          <w:p w14:paraId="7C0A21F4" w14:textId="77777777" w:rsidR="0078138E" w:rsidRPr="0078138E" w:rsidRDefault="0078138E" w:rsidP="00A11649">
            <w:pPr>
              <w:ind w:left="60"/>
              <w:rPr>
                <w:sz w:val="22"/>
                <w:szCs w:val="22"/>
                <w:lang w:val="en-GB"/>
              </w:rPr>
            </w:pPr>
            <w:r w:rsidRPr="0078138E">
              <w:rPr>
                <w:sz w:val="22"/>
                <w:szCs w:val="22"/>
                <w:lang w:val="en-GB"/>
              </w:rPr>
              <w:t>20 mg twice daily</w:t>
            </w:r>
          </w:p>
        </w:tc>
        <w:tc>
          <w:tcPr>
            <w:tcW w:w="722" w:type="pct"/>
            <w:tcBorders>
              <w:top w:val="single" w:sz="4" w:space="0" w:color="000000"/>
              <w:left w:val="single" w:sz="4" w:space="0" w:color="000000"/>
              <w:bottom w:val="single" w:sz="4" w:space="0" w:color="000000"/>
              <w:right w:val="single" w:sz="4" w:space="0" w:color="000000"/>
            </w:tcBorders>
            <w:hideMark/>
          </w:tcPr>
          <w:p w14:paraId="2BC58C0C" w14:textId="77777777" w:rsidR="0078138E" w:rsidRPr="0078138E" w:rsidRDefault="0078138E" w:rsidP="00A11649">
            <w:pPr>
              <w:ind w:left="60"/>
              <w:rPr>
                <w:sz w:val="22"/>
                <w:szCs w:val="22"/>
                <w:lang w:val="en-GB"/>
              </w:rPr>
            </w:pPr>
            <w:r w:rsidRPr="0078138E">
              <w:rPr>
                <w:sz w:val="22"/>
                <w:szCs w:val="22"/>
                <w:lang w:val="en-GB"/>
              </w:rPr>
              <w:t>15 mg twice daily</w:t>
            </w:r>
          </w:p>
        </w:tc>
        <w:tc>
          <w:tcPr>
            <w:tcW w:w="803" w:type="pct"/>
            <w:gridSpan w:val="3"/>
            <w:tcBorders>
              <w:top w:val="single" w:sz="4" w:space="0" w:color="000000"/>
              <w:left w:val="single" w:sz="4" w:space="0" w:color="000000"/>
              <w:bottom w:val="single" w:sz="4" w:space="0" w:color="000000"/>
              <w:right w:val="single" w:sz="4" w:space="0" w:color="000000"/>
            </w:tcBorders>
            <w:hideMark/>
          </w:tcPr>
          <w:p w14:paraId="549A6C52" w14:textId="77777777" w:rsidR="0078138E" w:rsidRPr="0078138E" w:rsidRDefault="0078138E" w:rsidP="00A11649">
            <w:pPr>
              <w:ind w:left="60"/>
              <w:rPr>
                <w:sz w:val="22"/>
                <w:szCs w:val="22"/>
                <w:lang w:val="en-GB"/>
              </w:rPr>
            </w:pPr>
            <w:r w:rsidRPr="0078138E">
              <w:rPr>
                <w:sz w:val="22"/>
                <w:szCs w:val="22"/>
                <w:lang w:val="en-GB"/>
              </w:rPr>
              <w:t>No change</w:t>
            </w:r>
          </w:p>
        </w:tc>
        <w:tc>
          <w:tcPr>
            <w:tcW w:w="805" w:type="pct"/>
            <w:tcBorders>
              <w:top w:val="single" w:sz="4" w:space="0" w:color="000000"/>
              <w:left w:val="single" w:sz="4" w:space="0" w:color="000000"/>
              <w:bottom w:val="single" w:sz="4" w:space="0" w:color="000000"/>
              <w:right w:val="single" w:sz="4" w:space="0" w:color="000000"/>
            </w:tcBorders>
            <w:hideMark/>
          </w:tcPr>
          <w:p w14:paraId="433A55F6" w14:textId="77777777" w:rsidR="0078138E" w:rsidRPr="0078138E" w:rsidRDefault="0078138E" w:rsidP="00A11649">
            <w:pPr>
              <w:ind w:left="60"/>
              <w:rPr>
                <w:sz w:val="22"/>
                <w:szCs w:val="22"/>
                <w:lang w:val="en-GB"/>
              </w:rPr>
            </w:pPr>
            <w:r w:rsidRPr="0078138E">
              <w:rPr>
                <w:sz w:val="22"/>
                <w:szCs w:val="22"/>
                <w:lang w:val="en-GB"/>
              </w:rPr>
              <w:t>No change</w:t>
            </w:r>
          </w:p>
        </w:tc>
        <w:tc>
          <w:tcPr>
            <w:tcW w:w="721" w:type="pct"/>
            <w:tcBorders>
              <w:top w:val="single" w:sz="4" w:space="0" w:color="000000"/>
              <w:left w:val="single" w:sz="4" w:space="0" w:color="000000"/>
              <w:bottom w:val="single" w:sz="4" w:space="0" w:color="000000"/>
              <w:right w:val="single" w:sz="4" w:space="0" w:color="000000"/>
            </w:tcBorders>
            <w:hideMark/>
          </w:tcPr>
          <w:p w14:paraId="3000A5D8" w14:textId="77777777" w:rsidR="0078138E" w:rsidRPr="0078138E" w:rsidRDefault="0078138E" w:rsidP="00A11649">
            <w:pPr>
              <w:ind w:left="60"/>
              <w:rPr>
                <w:sz w:val="22"/>
                <w:szCs w:val="22"/>
                <w:lang w:val="en-GB"/>
              </w:rPr>
            </w:pPr>
            <w:r w:rsidRPr="0078138E">
              <w:rPr>
                <w:sz w:val="22"/>
                <w:szCs w:val="22"/>
                <w:lang w:val="en-GB"/>
              </w:rPr>
              <w:t>No change</w:t>
            </w:r>
          </w:p>
        </w:tc>
      </w:tr>
      <w:tr w:rsidR="0078138E" w:rsidRPr="0078138E" w14:paraId="539143B3" w14:textId="77777777" w:rsidTr="008E5F58">
        <w:trPr>
          <w:trHeight w:val="226"/>
        </w:trPr>
        <w:tc>
          <w:tcPr>
            <w:tcW w:w="1146" w:type="pct"/>
            <w:tcBorders>
              <w:top w:val="single" w:sz="4" w:space="0" w:color="000000"/>
              <w:left w:val="single" w:sz="4" w:space="0" w:color="000000"/>
              <w:bottom w:val="single" w:sz="4" w:space="0" w:color="000000"/>
              <w:right w:val="single" w:sz="4" w:space="0" w:color="000000"/>
            </w:tcBorders>
            <w:hideMark/>
          </w:tcPr>
          <w:p w14:paraId="75457796" w14:textId="77777777" w:rsidR="0078138E" w:rsidRPr="0078138E" w:rsidRDefault="0078138E" w:rsidP="00A11649">
            <w:pPr>
              <w:ind w:left="60"/>
              <w:rPr>
                <w:sz w:val="22"/>
                <w:szCs w:val="22"/>
                <w:lang w:val="en-GB"/>
              </w:rPr>
            </w:pPr>
            <w:r w:rsidRPr="0078138E">
              <w:rPr>
                <w:sz w:val="22"/>
                <w:szCs w:val="22"/>
                <w:lang w:val="en-GB"/>
              </w:rPr>
              <w:t>75 000 to &lt;100 000/mm</w:t>
            </w:r>
            <w:r w:rsidRPr="0078138E">
              <w:rPr>
                <w:sz w:val="22"/>
                <w:szCs w:val="22"/>
                <w:vertAlign w:val="superscript"/>
                <w:lang w:val="en-GB"/>
              </w:rPr>
              <w:t>3</w:t>
            </w:r>
          </w:p>
        </w:tc>
        <w:tc>
          <w:tcPr>
            <w:tcW w:w="803" w:type="pct"/>
            <w:gridSpan w:val="2"/>
            <w:tcBorders>
              <w:top w:val="single" w:sz="4" w:space="0" w:color="000000"/>
              <w:left w:val="single" w:sz="4" w:space="0" w:color="000000"/>
              <w:bottom w:val="single" w:sz="4" w:space="0" w:color="000000"/>
              <w:right w:val="single" w:sz="4" w:space="0" w:color="000000"/>
            </w:tcBorders>
            <w:hideMark/>
          </w:tcPr>
          <w:p w14:paraId="0509A18B" w14:textId="77777777" w:rsidR="0078138E" w:rsidRPr="0078138E" w:rsidRDefault="0078138E" w:rsidP="00A11649">
            <w:pPr>
              <w:ind w:left="60"/>
              <w:rPr>
                <w:sz w:val="22"/>
                <w:szCs w:val="22"/>
                <w:lang w:val="en-GB"/>
              </w:rPr>
            </w:pPr>
            <w:r w:rsidRPr="0078138E">
              <w:rPr>
                <w:sz w:val="22"/>
                <w:szCs w:val="22"/>
                <w:lang w:val="en-GB"/>
              </w:rPr>
              <w:t>10 mg twice daily</w:t>
            </w:r>
          </w:p>
        </w:tc>
        <w:tc>
          <w:tcPr>
            <w:tcW w:w="722" w:type="pct"/>
            <w:tcBorders>
              <w:top w:val="single" w:sz="4" w:space="0" w:color="000000"/>
              <w:left w:val="single" w:sz="4" w:space="0" w:color="000000"/>
              <w:bottom w:val="single" w:sz="4" w:space="0" w:color="000000"/>
              <w:right w:val="single" w:sz="4" w:space="0" w:color="000000"/>
            </w:tcBorders>
            <w:hideMark/>
          </w:tcPr>
          <w:p w14:paraId="5D870246" w14:textId="77777777" w:rsidR="0078138E" w:rsidRPr="0078138E" w:rsidRDefault="0078138E" w:rsidP="00A11649">
            <w:pPr>
              <w:ind w:left="60"/>
              <w:rPr>
                <w:sz w:val="22"/>
                <w:szCs w:val="22"/>
                <w:lang w:val="en-GB"/>
              </w:rPr>
            </w:pPr>
            <w:r w:rsidRPr="0078138E">
              <w:rPr>
                <w:sz w:val="22"/>
                <w:szCs w:val="22"/>
                <w:lang w:val="en-GB"/>
              </w:rPr>
              <w:t>10 mg twice daily</w:t>
            </w:r>
          </w:p>
        </w:tc>
        <w:tc>
          <w:tcPr>
            <w:tcW w:w="803" w:type="pct"/>
            <w:gridSpan w:val="3"/>
            <w:tcBorders>
              <w:top w:val="single" w:sz="4" w:space="0" w:color="000000"/>
              <w:left w:val="single" w:sz="4" w:space="0" w:color="000000"/>
              <w:bottom w:val="single" w:sz="4" w:space="0" w:color="000000"/>
              <w:right w:val="single" w:sz="4" w:space="0" w:color="000000"/>
            </w:tcBorders>
            <w:hideMark/>
          </w:tcPr>
          <w:p w14:paraId="1F6F1AC9" w14:textId="77777777" w:rsidR="0078138E" w:rsidRPr="0078138E" w:rsidRDefault="0078138E" w:rsidP="00A11649">
            <w:pPr>
              <w:ind w:left="60"/>
              <w:rPr>
                <w:sz w:val="22"/>
                <w:szCs w:val="22"/>
                <w:lang w:val="en-GB"/>
              </w:rPr>
            </w:pPr>
            <w:r w:rsidRPr="0078138E">
              <w:rPr>
                <w:sz w:val="22"/>
                <w:szCs w:val="22"/>
                <w:lang w:val="en-GB"/>
              </w:rPr>
              <w:t>10 mg twice daily</w:t>
            </w:r>
          </w:p>
        </w:tc>
        <w:tc>
          <w:tcPr>
            <w:tcW w:w="805" w:type="pct"/>
            <w:tcBorders>
              <w:top w:val="single" w:sz="4" w:space="0" w:color="000000"/>
              <w:left w:val="single" w:sz="4" w:space="0" w:color="000000"/>
              <w:bottom w:val="single" w:sz="4" w:space="0" w:color="000000"/>
              <w:right w:val="single" w:sz="4" w:space="0" w:color="000000"/>
            </w:tcBorders>
            <w:hideMark/>
          </w:tcPr>
          <w:p w14:paraId="04636551" w14:textId="77777777" w:rsidR="0078138E" w:rsidRPr="0078138E" w:rsidRDefault="0078138E" w:rsidP="00A11649">
            <w:pPr>
              <w:ind w:left="60"/>
              <w:rPr>
                <w:sz w:val="22"/>
                <w:szCs w:val="22"/>
                <w:lang w:val="en-GB"/>
              </w:rPr>
            </w:pPr>
            <w:r w:rsidRPr="0078138E">
              <w:rPr>
                <w:sz w:val="22"/>
                <w:szCs w:val="22"/>
                <w:lang w:val="en-GB"/>
              </w:rPr>
              <w:t>No change</w:t>
            </w:r>
          </w:p>
        </w:tc>
        <w:tc>
          <w:tcPr>
            <w:tcW w:w="721" w:type="pct"/>
            <w:tcBorders>
              <w:top w:val="single" w:sz="4" w:space="0" w:color="000000"/>
              <w:left w:val="single" w:sz="4" w:space="0" w:color="000000"/>
              <w:bottom w:val="single" w:sz="4" w:space="0" w:color="000000"/>
              <w:right w:val="single" w:sz="4" w:space="0" w:color="000000"/>
            </w:tcBorders>
            <w:hideMark/>
          </w:tcPr>
          <w:p w14:paraId="74329529" w14:textId="77777777" w:rsidR="0078138E" w:rsidRPr="0078138E" w:rsidRDefault="0078138E" w:rsidP="00A11649">
            <w:pPr>
              <w:ind w:left="60"/>
              <w:rPr>
                <w:sz w:val="22"/>
                <w:szCs w:val="22"/>
                <w:lang w:val="en-GB"/>
              </w:rPr>
            </w:pPr>
            <w:r w:rsidRPr="0078138E">
              <w:rPr>
                <w:sz w:val="22"/>
                <w:szCs w:val="22"/>
                <w:lang w:val="en-GB"/>
              </w:rPr>
              <w:t>No change</w:t>
            </w:r>
          </w:p>
        </w:tc>
      </w:tr>
      <w:tr w:rsidR="0078138E" w:rsidRPr="0078138E" w14:paraId="301BC713" w14:textId="77777777" w:rsidTr="008E5F58">
        <w:trPr>
          <w:trHeight w:val="226"/>
        </w:trPr>
        <w:tc>
          <w:tcPr>
            <w:tcW w:w="1146" w:type="pct"/>
            <w:tcBorders>
              <w:top w:val="single" w:sz="4" w:space="0" w:color="000000"/>
              <w:left w:val="single" w:sz="4" w:space="0" w:color="000000"/>
              <w:bottom w:val="single" w:sz="4" w:space="0" w:color="000000"/>
              <w:right w:val="single" w:sz="4" w:space="0" w:color="000000"/>
            </w:tcBorders>
            <w:hideMark/>
          </w:tcPr>
          <w:p w14:paraId="06DF02F9" w14:textId="77777777" w:rsidR="0078138E" w:rsidRPr="0078138E" w:rsidRDefault="0078138E" w:rsidP="00A11649">
            <w:pPr>
              <w:ind w:left="60"/>
              <w:rPr>
                <w:sz w:val="22"/>
                <w:szCs w:val="22"/>
                <w:lang w:val="en-GB"/>
              </w:rPr>
            </w:pPr>
            <w:r w:rsidRPr="0078138E">
              <w:rPr>
                <w:sz w:val="22"/>
                <w:szCs w:val="22"/>
                <w:lang w:val="en-GB"/>
              </w:rPr>
              <w:t>50 000 to &lt;75 000/mm</w:t>
            </w:r>
            <w:r w:rsidRPr="0078138E">
              <w:rPr>
                <w:sz w:val="22"/>
                <w:szCs w:val="22"/>
                <w:vertAlign w:val="superscript"/>
                <w:lang w:val="en-GB"/>
              </w:rPr>
              <w:t>3</w:t>
            </w:r>
          </w:p>
        </w:tc>
        <w:tc>
          <w:tcPr>
            <w:tcW w:w="803" w:type="pct"/>
            <w:gridSpan w:val="2"/>
            <w:tcBorders>
              <w:top w:val="single" w:sz="4" w:space="0" w:color="000000"/>
              <w:left w:val="single" w:sz="4" w:space="0" w:color="000000"/>
              <w:bottom w:val="single" w:sz="4" w:space="0" w:color="000000"/>
              <w:right w:val="single" w:sz="4" w:space="0" w:color="000000"/>
            </w:tcBorders>
            <w:hideMark/>
          </w:tcPr>
          <w:p w14:paraId="3481AEE0" w14:textId="77777777" w:rsidR="0078138E" w:rsidRPr="0078138E" w:rsidRDefault="0078138E" w:rsidP="00A11649">
            <w:pPr>
              <w:ind w:left="60"/>
              <w:rPr>
                <w:sz w:val="22"/>
                <w:szCs w:val="22"/>
                <w:lang w:val="en-GB"/>
              </w:rPr>
            </w:pPr>
            <w:r w:rsidRPr="0078138E">
              <w:rPr>
                <w:sz w:val="22"/>
                <w:szCs w:val="22"/>
                <w:lang w:val="en-GB"/>
              </w:rPr>
              <w:t>5 mg twice daily</w:t>
            </w:r>
          </w:p>
        </w:tc>
        <w:tc>
          <w:tcPr>
            <w:tcW w:w="722" w:type="pct"/>
            <w:tcBorders>
              <w:top w:val="single" w:sz="4" w:space="0" w:color="000000"/>
              <w:left w:val="single" w:sz="4" w:space="0" w:color="000000"/>
              <w:bottom w:val="single" w:sz="4" w:space="0" w:color="000000"/>
              <w:right w:val="single" w:sz="4" w:space="0" w:color="000000"/>
            </w:tcBorders>
            <w:hideMark/>
          </w:tcPr>
          <w:p w14:paraId="6E1E857D" w14:textId="77777777" w:rsidR="0078138E" w:rsidRPr="0078138E" w:rsidRDefault="0078138E" w:rsidP="00A11649">
            <w:pPr>
              <w:ind w:left="60"/>
              <w:rPr>
                <w:sz w:val="22"/>
                <w:szCs w:val="22"/>
                <w:lang w:val="en-GB"/>
              </w:rPr>
            </w:pPr>
            <w:r w:rsidRPr="0078138E">
              <w:rPr>
                <w:sz w:val="22"/>
                <w:szCs w:val="22"/>
                <w:lang w:val="en-GB"/>
              </w:rPr>
              <w:t>5 mg twice daily</w:t>
            </w:r>
          </w:p>
        </w:tc>
        <w:tc>
          <w:tcPr>
            <w:tcW w:w="803" w:type="pct"/>
            <w:gridSpan w:val="3"/>
            <w:tcBorders>
              <w:top w:val="single" w:sz="4" w:space="0" w:color="000000"/>
              <w:left w:val="single" w:sz="4" w:space="0" w:color="000000"/>
              <w:bottom w:val="single" w:sz="4" w:space="0" w:color="000000"/>
              <w:right w:val="single" w:sz="4" w:space="0" w:color="000000"/>
            </w:tcBorders>
            <w:hideMark/>
          </w:tcPr>
          <w:p w14:paraId="23F3FC81" w14:textId="77777777" w:rsidR="0078138E" w:rsidRPr="0078138E" w:rsidRDefault="0078138E" w:rsidP="00A11649">
            <w:pPr>
              <w:ind w:left="60"/>
              <w:rPr>
                <w:sz w:val="22"/>
                <w:szCs w:val="22"/>
                <w:lang w:val="en-GB"/>
              </w:rPr>
            </w:pPr>
            <w:r w:rsidRPr="0078138E">
              <w:rPr>
                <w:sz w:val="22"/>
                <w:szCs w:val="22"/>
                <w:lang w:val="en-GB"/>
              </w:rPr>
              <w:t>5 mg twice daily</w:t>
            </w:r>
          </w:p>
        </w:tc>
        <w:tc>
          <w:tcPr>
            <w:tcW w:w="805" w:type="pct"/>
            <w:tcBorders>
              <w:top w:val="single" w:sz="4" w:space="0" w:color="000000"/>
              <w:left w:val="single" w:sz="4" w:space="0" w:color="000000"/>
              <w:bottom w:val="single" w:sz="4" w:space="0" w:color="000000"/>
              <w:right w:val="single" w:sz="4" w:space="0" w:color="000000"/>
            </w:tcBorders>
            <w:hideMark/>
          </w:tcPr>
          <w:p w14:paraId="622AB083" w14:textId="77777777" w:rsidR="0078138E" w:rsidRPr="0078138E" w:rsidRDefault="0078138E" w:rsidP="00A11649">
            <w:pPr>
              <w:ind w:left="60"/>
              <w:rPr>
                <w:sz w:val="22"/>
                <w:szCs w:val="22"/>
                <w:lang w:val="en-GB"/>
              </w:rPr>
            </w:pPr>
            <w:r w:rsidRPr="0078138E">
              <w:rPr>
                <w:sz w:val="22"/>
                <w:szCs w:val="22"/>
                <w:lang w:val="en-GB"/>
              </w:rPr>
              <w:t>5 mg twice daily</w:t>
            </w:r>
          </w:p>
        </w:tc>
        <w:tc>
          <w:tcPr>
            <w:tcW w:w="721" w:type="pct"/>
            <w:tcBorders>
              <w:top w:val="single" w:sz="4" w:space="0" w:color="000000"/>
              <w:left w:val="single" w:sz="4" w:space="0" w:color="000000"/>
              <w:bottom w:val="single" w:sz="4" w:space="0" w:color="000000"/>
              <w:right w:val="single" w:sz="4" w:space="0" w:color="000000"/>
            </w:tcBorders>
            <w:hideMark/>
          </w:tcPr>
          <w:p w14:paraId="1AC26EA7" w14:textId="77777777" w:rsidR="0078138E" w:rsidRPr="0078138E" w:rsidRDefault="0078138E" w:rsidP="00A11649">
            <w:pPr>
              <w:ind w:left="60"/>
              <w:rPr>
                <w:sz w:val="22"/>
                <w:szCs w:val="22"/>
                <w:lang w:val="en-GB"/>
              </w:rPr>
            </w:pPr>
            <w:r w:rsidRPr="0078138E">
              <w:rPr>
                <w:sz w:val="22"/>
                <w:szCs w:val="22"/>
                <w:lang w:val="en-GB"/>
              </w:rPr>
              <w:t>No change</w:t>
            </w:r>
          </w:p>
        </w:tc>
      </w:tr>
      <w:tr w:rsidR="0078138E" w:rsidRPr="0078138E" w14:paraId="77E3072E" w14:textId="77777777" w:rsidTr="008E5F58">
        <w:trPr>
          <w:trHeight w:val="117"/>
        </w:trPr>
        <w:tc>
          <w:tcPr>
            <w:tcW w:w="1146" w:type="pct"/>
            <w:tcBorders>
              <w:top w:val="single" w:sz="4" w:space="0" w:color="000000"/>
              <w:left w:val="single" w:sz="4" w:space="0" w:color="000000"/>
              <w:bottom w:val="single" w:sz="4" w:space="0" w:color="000000"/>
              <w:right w:val="single" w:sz="4" w:space="0" w:color="000000"/>
            </w:tcBorders>
            <w:hideMark/>
          </w:tcPr>
          <w:p w14:paraId="34B0E58A" w14:textId="4BC8E7A6" w:rsidR="0078138E" w:rsidRPr="0078138E" w:rsidRDefault="0078138E" w:rsidP="00A11649">
            <w:pPr>
              <w:ind w:left="60"/>
              <w:rPr>
                <w:sz w:val="22"/>
                <w:szCs w:val="22"/>
                <w:lang w:val="en-GB"/>
              </w:rPr>
            </w:pPr>
            <w:r w:rsidRPr="0078138E">
              <w:rPr>
                <w:sz w:val="22"/>
                <w:szCs w:val="22"/>
                <w:lang w:val="en-GB"/>
              </w:rPr>
              <w:t>Less than 50 000/mm</w:t>
            </w:r>
            <w:r w:rsidRPr="0078138E">
              <w:rPr>
                <w:sz w:val="22"/>
                <w:szCs w:val="22"/>
                <w:vertAlign w:val="superscript"/>
                <w:lang w:val="en-GB"/>
              </w:rPr>
              <w:t>3</w:t>
            </w:r>
          </w:p>
        </w:tc>
        <w:tc>
          <w:tcPr>
            <w:tcW w:w="803" w:type="pct"/>
            <w:gridSpan w:val="2"/>
            <w:tcBorders>
              <w:top w:val="single" w:sz="4" w:space="0" w:color="000000"/>
              <w:left w:val="single" w:sz="4" w:space="0" w:color="000000"/>
              <w:bottom w:val="single" w:sz="4" w:space="0" w:color="000000"/>
              <w:right w:val="single" w:sz="4" w:space="0" w:color="000000"/>
            </w:tcBorders>
            <w:hideMark/>
          </w:tcPr>
          <w:p w14:paraId="0162BD79" w14:textId="77777777" w:rsidR="0078138E" w:rsidRPr="0078138E" w:rsidRDefault="0078138E" w:rsidP="00A11649">
            <w:pPr>
              <w:ind w:left="60"/>
              <w:rPr>
                <w:sz w:val="22"/>
                <w:szCs w:val="22"/>
                <w:lang w:val="en-GB"/>
              </w:rPr>
            </w:pPr>
            <w:r w:rsidRPr="0078138E">
              <w:rPr>
                <w:sz w:val="22"/>
                <w:szCs w:val="22"/>
                <w:lang w:val="en-GB"/>
              </w:rPr>
              <w:t>Hold</w:t>
            </w:r>
          </w:p>
        </w:tc>
        <w:tc>
          <w:tcPr>
            <w:tcW w:w="722" w:type="pct"/>
            <w:tcBorders>
              <w:top w:val="single" w:sz="4" w:space="0" w:color="000000"/>
              <w:left w:val="single" w:sz="4" w:space="0" w:color="000000"/>
              <w:bottom w:val="single" w:sz="4" w:space="0" w:color="000000"/>
              <w:right w:val="single" w:sz="4" w:space="0" w:color="000000"/>
            </w:tcBorders>
            <w:hideMark/>
          </w:tcPr>
          <w:p w14:paraId="440B725F" w14:textId="77777777" w:rsidR="0078138E" w:rsidRPr="0078138E" w:rsidRDefault="0078138E" w:rsidP="00A11649">
            <w:pPr>
              <w:ind w:left="60"/>
              <w:rPr>
                <w:sz w:val="22"/>
                <w:szCs w:val="22"/>
                <w:lang w:val="en-GB"/>
              </w:rPr>
            </w:pPr>
            <w:r w:rsidRPr="0078138E">
              <w:rPr>
                <w:sz w:val="22"/>
                <w:szCs w:val="22"/>
                <w:lang w:val="en-GB"/>
              </w:rPr>
              <w:t>Hold</w:t>
            </w:r>
          </w:p>
        </w:tc>
        <w:tc>
          <w:tcPr>
            <w:tcW w:w="803" w:type="pct"/>
            <w:gridSpan w:val="3"/>
            <w:tcBorders>
              <w:top w:val="single" w:sz="4" w:space="0" w:color="000000"/>
              <w:left w:val="single" w:sz="4" w:space="0" w:color="000000"/>
              <w:bottom w:val="single" w:sz="4" w:space="0" w:color="000000"/>
              <w:right w:val="single" w:sz="4" w:space="0" w:color="000000"/>
            </w:tcBorders>
            <w:hideMark/>
          </w:tcPr>
          <w:p w14:paraId="062F6ED3" w14:textId="77777777" w:rsidR="0078138E" w:rsidRPr="0078138E" w:rsidRDefault="0078138E" w:rsidP="00A11649">
            <w:pPr>
              <w:ind w:left="60"/>
              <w:rPr>
                <w:sz w:val="22"/>
                <w:szCs w:val="22"/>
                <w:lang w:val="en-GB"/>
              </w:rPr>
            </w:pPr>
            <w:r w:rsidRPr="0078138E">
              <w:rPr>
                <w:sz w:val="22"/>
                <w:szCs w:val="22"/>
                <w:lang w:val="en-GB"/>
              </w:rPr>
              <w:t>Hold</w:t>
            </w:r>
          </w:p>
        </w:tc>
        <w:tc>
          <w:tcPr>
            <w:tcW w:w="805" w:type="pct"/>
            <w:tcBorders>
              <w:top w:val="single" w:sz="4" w:space="0" w:color="000000"/>
              <w:left w:val="single" w:sz="4" w:space="0" w:color="000000"/>
              <w:bottom w:val="single" w:sz="4" w:space="0" w:color="000000"/>
              <w:right w:val="single" w:sz="4" w:space="0" w:color="000000"/>
            </w:tcBorders>
            <w:hideMark/>
          </w:tcPr>
          <w:p w14:paraId="64BB3817" w14:textId="77777777" w:rsidR="0078138E" w:rsidRPr="0078138E" w:rsidRDefault="0078138E" w:rsidP="00A11649">
            <w:pPr>
              <w:ind w:left="60"/>
              <w:rPr>
                <w:sz w:val="22"/>
                <w:szCs w:val="22"/>
                <w:lang w:val="en-GB"/>
              </w:rPr>
            </w:pPr>
            <w:r w:rsidRPr="0078138E">
              <w:rPr>
                <w:sz w:val="22"/>
                <w:szCs w:val="22"/>
                <w:lang w:val="en-GB"/>
              </w:rPr>
              <w:t>Hold</w:t>
            </w:r>
          </w:p>
        </w:tc>
        <w:tc>
          <w:tcPr>
            <w:tcW w:w="721" w:type="pct"/>
            <w:tcBorders>
              <w:top w:val="single" w:sz="4" w:space="0" w:color="000000"/>
              <w:left w:val="single" w:sz="4" w:space="0" w:color="000000"/>
              <w:bottom w:val="single" w:sz="4" w:space="0" w:color="000000"/>
              <w:right w:val="single" w:sz="4" w:space="0" w:color="000000"/>
            </w:tcBorders>
            <w:hideMark/>
          </w:tcPr>
          <w:p w14:paraId="7D63C755" w14:textId="77777777" w:rsidR="0078138E" w:rsidRPr="0078138E" w:rsidRDefault="0078138E" w:rsidP="00A11649">
            <w:pPr>
              <w:ind w:left="60"/>
              <w:rPr>
                <w:sz w:val="22"/>
                <w:szCs w:val="22"/>
                <w:lang w:val="en-GB"/>
              </w:rPr>
            </w:pPr>
            <w:r w:rsidRPr="0078138E">
              <w:rPr>
                <w:sz w:val="22"/>
                <w:szCs w:val="22"/>
                <w:lang w:val="en-GB"/>
              </w:rPr>
              <w:t>Hold</w:t>
            </w:r>
          </w:p>
        </w:tc>
      </w:tr>
    </w:tbl>
    <w:p w14:paraId="5B9760ED" w14:textId="77777777" w:rsidR="0078138E" w:rsidRPr="0078138E" w:rsidRDefault="0078138E" w:rsidP="00A11649">
      <w:pPr>
        <w:ind w:left="851"/>
        <w:rPr>
          <w:sz w:val="24"/>
          <w:szCs w:val="24"/>
          <w:lang w:val="en-GB"/>
        </w:rPr>
      </w:pPr>
    </w:p>
    <w:p w14:paraId="596E4F9E" w14:textId="77777777" w:rsidR="0078138E" w:rsidRPr="0078138E" w:rsidRDefault="0078138E" w:rsidP="00A11649">
      <w:pPr>
        <w:ind w:left="851"/>
        <w:rPr>
          <w:sz w:val="24"/>
          <w:szCs w:val="24"/>
          <w:lang w:val="en-GB"/>
        </w:rPr>
      </w:pPr>
      <w:r w:rsidRPr="0078138E">
        <w:rPr>
          <w:sz w:val="24"/>
          <w:szCs w:val="24"/>
          <w:lang w:val="en-GB"/>
        </w:rPr>
        <w:t>In PV, dose reductions should also be considered if haemoglobin decreases below 12 g/dl and is recommended if it decreases below 10 g/dl.</w:t>
      </w:r>
    </w:p>
    <w:p w14:paraId="77F15356" w14:textId="77777777" w:rsidR="0078138E" w:rsidRPr="0078138E" w:rsidRDefault="0078138E" w:rsidP="00A11649">
      <w:pPr>
        <w:ind w:left="851"/>
        <w:rPr>
          <w:sz w:val="24"/>
          <w:szCs w:val="24"/>
          <w:lang w:val="en-GB"/>
        </w:rPr>
      </w:pPr>
    </w:p>
    <w:p w14:paraId="0016FC83" w14:textId="77777777" w:rsidR="0078138E" w:rsidRPr="0078138E" w:rsidRDefault="0078138E" w:rsidP="00A11649">
      <w:pPr>
        <w:ind w:left="851"/>
        <w:rPr>
          <w:sz w:val="24"/>
          <w:szCs w:val="24"/>
          <w:lang w:val="en-GB"/>
        </w:rPr>
      </w:pPr>
      <w:r w:rsidRPr="0078138E">
        <w:rPr>
          <w:i/>
          <w:iCs/>
          <w:sz w:val="24"/>
          <w:szCs w:val="24"/>
          <w:lang w:val="en-GB"/>
        </w:rPr>
        <w:t>Graft versus host disease</w:t>
      </w:r>
    </w:p>
    <w:p w14:paraId="0CE1E138" w14:textId="716C95B8" w:rsidR="0078138E" w:rsidRPr="0078138E" w:rsidRDefault="0078138E" w:rsidP="00A11649">
      <w:pPr>
        <w:ind w:left="851"/>
        <w:rPr>
          <w:sz w:val="24"/>
          <w:szCs w:val="24"/>
          <w:lang w:val="en-GB"/>
        </w:rPr>
      </w:pPr>
      <w:r w:rsidRPr="0078138E">
        <w:rPr>
          <w:sz w:val="24"/>
          <w:szCs w:val="24"/>
          <w:lang w:val="en-GB"/>
        </w:rPr>
        <w:t xml:space="preserve">Dose reductions and temporary interruptions of treatment may be needed in GvHD-patients with thrombocytopenia, neutropenia, or elevated total bilirubin after standard supportive therapy including growth-factors, anti-infective therapies and transfusions. One dose level reduction step is recommended (10 mg twice daily to 5 mg twice daily or 5 mg twice daily to 5 mg once daily). In patients who are unable to tolerate </w:t>
      </w:r>
      <w:proofErr w:type="spellStart"/>
      <w:r w:rsidRPr="0078138E">
        <w:rPr>
          <w:sz w:val="24"/>
          <w:szCs w:val="24"/>
          <w:lang w:val="en-GB"/>
        </w:rPr>
        <w:t>Ruxolitinib</w:t>
      </w:r>
      <w:proofErr w:type="spellEnd"/>
      <w:r w:rsidRPr="0078138E">
        <w:rPr>
          <w:sz w:val="24"/>
          <w:szCs w:val="24"/>
          <w:lang w:val="en-GB"/>
        </w:rPr>
        <w:t xml:space="preserve"> </w:t>
      </w:r>
      <w:r w:rsidR="009B509D">
        <w:rPr>
          <w:sz w:val="24"/>
          <w:szCs w:val="24"/>
          <w:lang w:val="en-GB"/>
        </w:rPr>
        <w:t>"</w:t>
      </w:r>
      <w:r w:rsidRPr="0078138E">
        <w:rPr>
          <w:sz w:val="24"/>
          <w:szCs w:val="24"/>
          <w:lang w:val="en-GB"/>
        </w:rPr>
        <w:t>Sandoz</w:t>
      </w:r>
      <w:r w:rsidR="009B509D">
        <w:rPr>
          <w:sz w:val="24"/>
          <w:szCs w:val="24"/>
          <w:lang w:val="en-GB"/>
        </w:rPr>
        <w:t>"</w:t>
      </w:r>
      <w:r w:rsidRPr="0078138E">
        <w:rPr>
          <w:sz w:val="24"/>
          <w:szCs w:val="24"/>
          <w:lang w:val="en-GB"/>
        </w:rPr>
        <w:t xml:space="preserve"> at a dose of 5 mg once daily, treatment should be interrupted. Detailed dosing recommendations are provided in Table 5.</w:t>
      </w:r>
    </w:p>
    <w:p w14:paraId="5089DA97" w14:textId="77777777" w:rsidR="0078138E" w:rsidRPr="0078138E" w:rsidRDefault="0078138E" w:rsidP="00A11649">
      <w:pPr>
        <w:ind w:left="851"/>
        <w:rPr>
          <w:sz w:val="24"/>
          <w:szCs w:val="24"/>
          <w:lang w:val="en-GB"/>
        </w:rPr>
      </w:pPr>
    </w:p>
    <w:p w14:paraId="5393B1A8" w14:textId="07D5185C" w:rsidR="0078138E" w:rsidRPr="0078138E" w:rsidRDefault="0078138E" w:rsidP="00A11649">
      <w:pPr>
        <w:ind w:left="851"/>
        <w:rPr>
          <w:sz w:val="24"/>
          <w:szCs w:val="24"/>
          <w:lang w:val="en-GB"/>
        </w:rPr>
      </w:pPr>
      <w:r w:rsidRPr="0078138E">
        <w:rPr>
          <w:b/>
          <w:bCs/>
          <w:sz w:val="24"/>
          <w:szCs w:val="24"/>
          <w:lang w:val="en-GB"/>
        </w:rPr>
        <w:t>Table 5</w:t>
      </w:r>
      <w:r w:rsidR="002A0A70">
        <w:rPr>
          <w:b/>
          <w:bCs/>
          <w:sz w:val="24"/>
          <w:szCs w:val="24"/>
          <w:lang w:val="en-GB"/>
        </w:rPr>
        <w:t xml:space="preserve">. </w:t>
      </w:r>
      <w:r w:rsidRPr="0078138E">
        <w:rPr>
          <w:b/>
          <w:bCs/>
          <w:sz w:val="24"/>
          <w:szCs w:val="24"/>
          <w:lang w:val="en-GB"/>
        </w:rPr>
        <w:t xml:space="preserve">Dosing recommendations during </w:t>
      </w:r>
      <w:proofErr w:type="spellStart"/>
      <w:r w:rsidRPr="0078138E">
        <w:rPr>
          <w:b/>
          <w:bCs/>
          <w:sz w:val="24"/>
          <w:szCs w:val="24"/>
          <w:lang w:val="en-GB"/>
        </w:rPr>
        <w:t>ruxolitinib</w:t>
      </w:r>
      <w:proofErr w:type="spellEnd"/>
      <w:r w:rsidRPr="0078138E">
        <w:rPr>
          <w:b/>
          <w:bCs/>
          <w:sz w:val="24"/>
          <w:szCs w:val="24"/>
          <w:lang w:val="en-GB"/>
        </w:rPr>
        <w:t xml:space="preserve"> therapy for GvHD patients with thrombocytopenia, neutropenia or elevated total bilirubin</w:t>
      </w:r>
    </w:p>
    <w:tbl>
      <w:tblPr>
        <w:tblW w:w="5000" w:type="pct"/>
        <w:tblLook w:val="04A0" w:firstRow="1" w:lastRow="0" w:firstColumn="1" w:lastColumn="0" w:noHBand="0" w:noVBand="1"/>
      </w:tblPr>
      <w:tblGrid>
        <w:gridCol w:w="4517"/>
        <w:gridCol w:w="5111"/>
      </w:tblGrid>
      <w:tr w:rsidR="0078138E" w:rsidRPr="0078138E" w14:paraId="649ED209" w14:textId="77777777" w:rsidTr="00A11649">
        <w:trPr>
          <w:trHeight w:val="98"/>
        </w:trPr>
        <w:tc>
          <w:tcPr>
            <w:tcW w:w="2346" w:type="pct"/>
            <w:tcBorders>
              <w:top w:val="single" w:sz="4" w:space="0" w:color="000000"/>
              <w:left w:val="single" w:sz="4" w:space="0" w:color="000000"/>
              <w:bottom w:val="single" w:sz="4" w:space="0" w:color="000000"/>
              <w:right w:val="single" w:sz="4" w:space="0" w:color="000000"/>
            </w:tcBorders>
            <w:hideMark/>
          </w:tcPr>
          <w:p w14:paraId="641369BF" w14:textId="77777777" w:rsidR="0078138E" w:rsidRPr="0078138E" w:rsidRDefault="0078138E" w:rsidP="00A11649">
            <w:pPr>
              <w:ind w:left="60"/>
              <w:rPr>
                <w:sz w:val="24"/>
                <w:szCs w:val="24"/>
                <w:lang w:val="en-GB"/>
              </w:rPr>
            </w:pPr>
            <w:r w:rsidRPr="0078138E">
              <w:rPr>
                <w:b/>
                <w:bCs/>
                <w:sz w:val="24"/>
                <w:szCs w:val="24"/>
                <w:lang w:val="en-GB"/>
              </w:rPr>
              <w:t>Laboratory parameter</w:t>
            </w:r>
          </w:p>
        </w:tc>
        <w:tc>
          <w:tcPr>
            <w:tcW w:w="2654" w:type="pct"/>
            <w:tcBorders>
              <w:top w:val="single" w:sz="4" w:space="0" w:color="000000"/>
              <w:left w:val="single" w:sz="4" w:space="0" w:color="000000"/>
              <w:bottom w:val="single" w:sz="4" w:space="0" w:color="000000"/>
              <w:right w:val="single" w:sz="4" w:space="0" w:color="000000"/>
            </w:tcBorders>
            <w:hideMark/>
          </w:tcPr>
          <w:p w14:paraId="57CCBDEB" w14:textId="77777777" w:rsidR="0078138E" w:rsidRPr="0078138E" w:rsidRDefault="0078138E" w:rsidP="00A11649">
            <w:pPr>
              <w:ind w:left="60"/>
              <w:rPr>
                <w:sz w:val="24"/>
                <w:szCs w:val="24"/>
                <w:lang w:val="en-GB"/>
              </w:rPr>
            </w:pPr>
            <w:r w:rsidRPr="0078138E">
              <w:rPr>
                <w:b/>
                <w:bCs/>
                <w:sz w:val="24"/>
                <w:szCs w:val="24"/>
                <w:lang w:val="en-GB"/>
              </w:rPr>
              <w:t>Dosing recommendation</w:t>
            </w:r>
          </w:p>
        </w:tc>
      </w:tr>
      <w:tr w:rsidR="0078138E" w:rsidRPr="00873345" w14:paraId="6A0EAF22" w14:textId="77777777" w:rsidTr="00A11649">
        <w:trPr>
          <w:trHeight w:val="370"/>
        </w:trPr>
        <w:tc>
          <w:tcPr>
            <w:tcW w:w="2346" w:type="pct"/>
            <w:tcBorders>
              <w:top w:val="single" w:sz="4" w:space="0" w:color="000000"/>
              <w:left w:val="single" w:sz="4" w:space="0" w:color="000000"/>
              <w:bottom w:val="single" w:sz="4" w:space="0" w:color="000000"/>
              <w:right w:val="single" w:sz="4" w:space="0" w:color="000000"/>
            </w:tcBorders>
            <w:hideMark/>
          </w:tcPr>
          <w:p w14:paraId="3BEC922A" w14:textId="77777777" w:rsidR="0078138E" w:rsidRPr="0078138E" w:rsidRDefault="0078138E" w:rsidP="00A11649">
            <w:pPr>
              <w:ind w:left="60"/>
              <w:rPr>
                <w:sz w:val="24"/>
                <w:szCs w:val="24"/>
                <w:lang w:val="en-GB"/>
              </w:rPr>
            </w:pPr>
            <w:r w:rsidRPr="0078138E">
              <w:rPr>
                <w:sz w:val="24"/>
                <w:szCs w:val="24"/>
                <w:lang w:val="en-GB"/>
              </w:rPr>
              <w:t>Platelet count &lt;20 000/mm</w:t>
            </w:r>
            <w:r w:rsidRPr="0078138E">
              <w:rPr>
                <w:sz w:val="24"/>
                <w:szCs w:val="24"/>
                <w:vertAlign w:val="superscript"/>
                <w:lang w:val="en-GB"/>
              </w:rPr>
              <w:t>3</w:t>
            </w:r>
          </w:p>
        </w:tc>
        <w:tc>
          <w:tcPr>
            <w:tcW w:w="2654" w:type="pct"/>
            <w:tcBorders>
              <w:top w:val="single" w:sz="4" w:space="0" w:color="000000"/>
              <w:left w:val="single" w:sz="4" w:space="0" w:color="000000"/>
              <w:bottom w:val="single" w:sz="4" w:space="0" w:color="000000"/>
              <w:right w:val="single" w:sz="4" w:space="0" w:color="000000"/>
            </w:tcBorders>
            <w:hideMark/>
          </w:tcPr>
          <w:p w14:paraId="7DB02880" w14:textId="50DD850F" w:rsidR="0078138E" w:rsidRPr="0078138E" w:rsidRDefault="0078138E" w:rsidP="00A11649">
            <w:pPr>
              <w:ind w:left="60"/>
              <w:rPr>
                <w:sz w:val="24"/>
                <w:szCs w:val="24"/>
                <w:lang w:val="en-GB"/>
              </w:rPr>
            </w:pPr>
            <w:r w:rsidRPr="0078138E">
              <w:rPr>
                <w:sz w:val="24"/>
                <w:szCs w:val="24"/>
                <w:lang w:val="en-GB"/>
              </w:rPr>
              <w:t xml:space="preserve">Reduce </w:t>
            </w:r>
            <w:proofErr w:type="spellStart"/>
            <w:r w:rsidRPr="0078138E">
              <w:rPr>
                <w:sz w:val="24"/>
                <w:szCs w:val="24"/>
                <w:lang w:val="en-GB"/>
              </w:rPr>
              <w:t>Ruxolitinib</w:t>
            </w:r>
            <w:proofErr w:type="spellEnd"/>
            <w:r w:rsidRPr="0078138E">
              <w:rPr>
                <w:sz w:val="24"/>
                <w:szCs w:val="24"/>
                <w:lang w:val="en-GB"/>
              </w:rPr>
              <w:t xml:space="preserve"> </w:t>
            </w:r>
            <w:r w:rsidR="009B509D">
              <w:rPr>
                <w:sz w:val="24"/>
                <w:szCs w:val="24"/>
                <w:lang w:val="en-GB"/>
              </w:rPr>
              <w:t>"</w:t>
            </w:r>
            <w:r w:rsidRPr="0078138E">
              <w:rPr>
                <w:sz w:val="24"/>
                <w:szCs w:val="24"/>
                <w:lang w:val="en-GB"/>
              </w:rPr>
              <w:t>Sandoz</w:t>
            </w:r>
            <w:r w:rsidR="009B509D">
              <w:rPr>
                <w:sz w:val="24"/>
                <w:szCs w:val="24"/>
                <w:lang w:val="en-GB"/>
              </w:rPr>
              <w:t>"</w:t>
            </w:r>
            <w:r w:rsidRPr="0078138E">
              <w:rPr>
                <w:sz w:val="24"/>
                <w:szCs w:val="24"/>
                <w:lang w:val="en-GB"/>
              </w:rPr>
              <w:t xml:space="preserve"> by one dose level. If platelet count ≥20 000/mm</w:t>
            </w:r>
            <w:r w:rsidRPr="0078138E">
              <w:rPr>
                <w:sz w:val="24"/>
                <w:szCs w:val="24"/>
                <w:vertAlign w:val="superscript"/>
                <w:lang w:val="en-GB"/>
              </w:rPr>
              <w:t xml:space="preserve">3 </w:t>
            </w:r>
            <w:r w:rsidRPr="0078138E">
              <w:rPr>
                <w:sz w:val="24"/>
                <w:szCs w:val="24"/>
                <w:lang w:val="en-GB"/>
              </w:rPr>
              <w:t>within seven days, dose may be increased to initial dose level, otherwise maintain reduced dose.</w:t>
            </w:r>
          </w:p>
        </w:tc>
      </w:tr>
      <w:tr w:rsidR="0078138E" w:rsidRPr="00873345" w14:paraId="7D009C6A" w14:textId="77777777" w:rsidTr="00A11649">
        <w:trPr>
          <w:trHeight w:val="243"/>
        </w:trPr>
        <w:tc>
          <w:tcPr>
            <w:tcW w:w="2346" w:type="pct"/>
            <w:tcBorders>
              <w:top w:val="single" w:sz="4" w:space="0" w:color="000000"/>
              <w:left w:val="single" w:sz="4" w:space="0" w:color="000000"/>
              <w:bottom w:val="single" w:sz="4" w:space="0" w:color="000000"/>
              <w:right w:val="single" w:sz="4" w:space="0" w:color="000000"/>
            </w:tcBorders>
            <w:hideMark/>
          </w:tcPr>
          <w:p w14:paraId="50619646" w14:textId="77777777" w:rsidR="0078138E" w:rsidRPr="0078138E" w:rsidRDefault="0078138E" w:rsidP="00A11649">
            <w:pPr>
              <w:ind w:left="60"/>
              <w:rPr>
                <w:sz w:val="24"/>
                <w:szCs w:val="24"/>
                <w:lang w:val="en-GB"/>
              </w:rPr>
            </w:pPr>
            <w:r w:rsidRPr="0078138E">
              <w:rPr>
                <w:sz w:val="24"/>
                <w:szCs w:val="24"/>
                <w:lang w:val="en-GB"/>
              </w:rPr>
              <w:t>Platelet count &lt;15 000/mm</w:t>
            </w:r>
            <w:r w:rsidRPr="0078138E">
              <w:rPr>
                <w:sz w:val="24"/>
                <w:szCs w:val="24"/>
                <w:vertAlign w:val="superscript"/>
                <w:lang w:val="en-GB"/>
              </w:rPr>
              <w:t>3</w:t>
            </w:r>
          </w:p>
        </w:tc>
        <w:tc>
          <w:tcPr>
            <w:tcW w:w="2654" w:type="pct"/>
            <w:tcBorders>
              <w:top w:val="single" w:sz="4" w:space="0" w:color="000000"/>
              <w:left w:val="single" w:sz="4" w:space="0" w:color="000000"/>
              <w:bottom w:val="single" w:sz="4" w:space="0" w:color="000000"/>
              <w:right w:val="single" w:sz="4" w:space="0" w:color="000000"/>
            </w:tcBorders>
            <w:hideMark/>
          </w:tcPr>
          <w:p w14:paraId="4ACEDCFC" w14:textId="746F5984" w:rsidR="0078138E" w:rsidRPr="0078138E" w:rsidRDefault="0078138E" w:rsidP="00A11649">
            <w:pPr>
              <w:ind w:left="60"/>
              <w:rPr>
                <w:sz w:val="24"/>
                <w:szCs w:val="24"/>
                <w:lang w:val="en-GB"/>
              </w:rPr>
            </w:pPr>
            <w:r w:rsidRPr="0078138E">
              <w:rPr>
                <w:sz w:val="24"/>
                <w:szCs w:val="24"/>
                <w:lang w:val="en-GB"/>
              </w:rPr>
              <w:t xml:space="preserve">Hold </w:t>
            </w:r>
            <w:proofErr w:type="spellStart"/>
            <w:r w:rsidRPr="0078138E">
              <w:rPr>
                <w:sz w:val="24"/>
                <w:szCs w:val="24"/>
                <w:lang w:val="en-GB"/>
              </w:rPr>
              <w:t>Ruxolitinib</w:t>
            </w:r>
            <w:proofErr w:type="spellEnd"/>
            <w:r w:rsidRPr="0078138E">
              <w:rPr>
                <w:sz w:val="24"/>
                <w:szCs w:val="24"/>
                <w:lang w:val="en-GB"/>
              </w:rPr>
              <w:t xml:space="preserve"> </w:t>
            </w:r>
            <w:r w:rsidR="009B509D">
              <w:rPr>
                <w:sz w:val="24"/>
                <w:szCs w:val="24"/>
                <w:lang w:val="en-GB"/>
              </w:rPr>
              <w:t>"</w:t>
            </w:r>
            <w:r w:rsidRPr="0078138E">
              <w:rPr>
                <w:sz w:val="24"/>
                <w:szCs w:val="24"/>
                <w:lang w:val="en-GB"/>
              </w:rPr>
              <w:t>Sandoz</w:t>
            </w:r>
            <w:r w:rsidR="009B509D">
              <w:rPr>
                <w:sz w:val="24"/>
                <w:szCs w:val="24"/>
                <w:lang w:val="en-GB"/>
              </w:rPr>
              <w:t>"</w:t>
            </w:r>
            <w:r w:rsidRPr="0078138E">
              <w:rPr>
                <w:sz w:val="24"/>
                <w:szCs w:val="24"/>
                <w:lang w:val="en-GB"/>
              </w:rPr>
              <w:t xml:space="preserve"> until platelet count ≥20 000/mm</w:t>
            </w:r>
            <w:r w:rsidRPr="0078138E">
              <w:rPr>
                <w:sz w:val="24"/>
                <w:szCs w:val="24"/>
                <w:vertAlign w:val="superscript"/>
                <w:lang w:val="en-GB"/>
              </w:rPr>
              <w:t>3</w:t>
            </w:r>
            <w:r w:rsidRPr="0078138E">
              <w:rPr>
                <w:sz w:val="24"/>
                <w:szCs w:val="24"/>
                <w:lang w:val="en-GB"/>
              </w:rPr>
              <w:t>, then resume at one lower dose level.</w:t>
            </w:r>
          </w:p>
        </w:tc>
      </w:tr>
      <w:tr w:rsidR="0078138E" w:rsidRPr="00873345" w14:paraId="58D5D609" w14:textId="77777777" w:rsidTr="00A11649">
        <w:trPr>
          <w:trHeight w:val="226"/>
        </w:trPr>
        <w:tc>
          <w:tcPr>
            <w:tcW w:w="2346" w:type="pct"/>
            <w:tcBorders>
              <w:top w:val="single" w:sz="4" w:space="0" w:color="000000"/>
              <w:left w:val="single" w:sz="4" w:space="0" w:color="000000"/>
              <w:bottom w:val="single" w:sz="4" w:space="0" w:color="000000"/>
              <w:right w:val="single" w:sz="4" w:space="0" w:color="000000"/>
            </w:tcBorders>
            <w:hideMark/>
          </w:tcPr>
          <w:p w14:paraId="1B7D8BCA" w14:textId="77777777" w:rsidR="0078138E" w:rsidRPr="0078138E" w:rsidRDefault="0078138E" w:rsidP="00A11649">
            <w:pPr>
              <w:ind w:left="60"/>
              <w:rPr>
                <w:sz w:val="24"/>
                <w:szCs w:val="24"/>
                <w:lang w:val="en-GB"/>
              </w:rPr>
            </w:pPr>
            <w:r w:rsidRPr="0078138E">
              <w:rPr>
                <w:sz w:val="24"/>
                <w:szCs w:val="24"/>
                <w:lang w:val="en-GB"/>
              </w:rPr>
              <w:t>Absolute neutrophil count (ANC) ≥500/mm</w:t>
            </w:r>
            <w:r w:rsidRPr="0078138E">
              <w:rPr>
                <w:sz w:val="24"/>
                <w:szCs w:val="24"/>
                <w:vertAlign w:val="superscript"/>
                <w:lang w:val="en-GB"/>
              </w:rPr>
              <w:t xml:space="preserve">3 </w:t>
            </w:r>
            <w:r w:rsidRPr="0078138E">
              <w:rPr>
                <w:sz w:val="24"/>
                <w:szCs w:val="24"/>
                <w:lang w:val="en-GB"/>
              </w:rPr>
              <w:t>to &lt;750/ mm</w:t>
            </w:r>
            <w:r w:rsidRPr="0078138E">
              <w:rPr>
                <w:sz w:val="24"/>
                <w:szCs w:val="24"/>
                <w:vertAlign w:val="superscript"/>
                <w:lang w:val="en-GB"/>
              </w:rPr>
              <w:t>3</w:t>
            </w:r>
          </w:p>
        </w:tc>
        <w:tc>
          <w:tcPr>
            <w:tcW w:w="2654" w:type="pct"/>
            <w:tcBorders>
              <w:top w:val="single" w:sz="4" w:space="0" w:color="000000"/>
              <w:left w:val="single" w:sz="4" w:space="0" w:color="000000"/>
              <w:bottom w:val="single" w:sz="4" w:space="0" w:color="000000"/>
              <w:right w:val="single" w:sz="4" w:space="0" w:color="000000"/>
            </w:tcBorders>
            <w:hideMark/>
          </w:tcPr>
          <w:p w14:paraId="3A6892D5" w14:textId="32C9FC92" w:rsidR="0078138E" w:rsidRPr="0078138E" w:rsidRDefault="0078138E" w:rsidP="00A11649">
            <w:pPr>
              <w:ind w:left="60"/>
              <w:rPr>
                <w:sz w:val="24"/>
                <w:szCs w:val="24"/>
                <w:lang w:val="en-GB"/>
              </w:rPr>
            </w:pPr>
            <w:r w:rsidRPr="0078138E">
              <w:rPr>
                <w:sz w:val="24"/>
                <w:szCs w:val="24"/>
                <w:lang w:val="en-GB"/>
              </w:rPr>
              <w:t xml:space="preserve">Reduce </w:t>
            </w:r>
            <w:proofErr w:type="spellStart"/>
            <w:r w:rsidRPr="0078138E">
              <w:rPr>
                <w:sz w:val="24"/>
                <w:szCs w:val="24"/>
                <w:lang w:val="en-GB"/>
              </w:rPr>
              <w:t>Ruxolitinib</w:t>
            </w:r>
            <w:proofErr w:type="spellEnd"/>
            <w:r w:rsidRPr="0078138E">
              <w:rPr>
                <w:sz w:val="24"/>
                <w:szCs w:val="24"/>
                <w:lang w:val="en-GB"/>
              </w:rPr>
              <w:t xml:space="preserve"> </w:t>
            </w:r>
            <w:r w:rsidR="009B509D">
              <w:rPr>
                <w:sz w:val="24"/>
                <w:szCs w:val="24"/>
                <w:lang w:val="en-GB"/>
              </w:rPr>
              <w:t>"</w:t>
            </w:r>
            <w:r w:rsidRPr="0078138E">
              <w:rPr>
                <w:sz w:val="24"/>
                <w:szCs w:val="24"/>
                <w:lang w:val="en-GB"/>
              </w:rPr>
              <w:t>Sandoz</w:t>
            </w:r>
            <w:r w:rsidR="009B509D">
              <w:rPr>
                <w:sz w:val="24"/>
                <w:szCs w:val="24"/>
                <w:lang w:val="en-GB"/>
              </w:rPr>
              <w:t>"</w:t>
            </w:r>
            <w:r w:rsidRPr="0078138E">
              <w:rPr>
                <w:sz w:val="24"/>
                <w:szCs w:val="24"/>
                <w:lang w:val="en-GB"/>
              </w:rPr>
              <w:t xml:space="preserve"> by one dose level. Resume at initial dose level if ANC &gt;1 000/mm</w:t>
            </w:r>
            <w:r w:rsidRPr="0078138E">
              <w:rPr>
                <w:sz w:val="24"/>
                <w:szCs w:val="24"/>
                <w:vertAlign w:val="superscript"/>
                <w:lang w:val="en-GB"/>
              </w:rPr>
              <w:t>3</w:t>
            </w:r>
            <w:r w:rsidRPr="0078138E">
              <w:rPr>
                <w:sz w:val="24"/>
                <w:szCs w:val="24"/>
                <w:lang w:val="en-GB"/>
              </w:rPr>
              <w:t>.</w:t>
            </w:r>
          </w:p>
        </w:tc>
      </w:tr>
      <w:tr w:rsidR="0078138E" w:rsidRPr="00873345" w14:paraId="33868A26" w14:textId="77777777" w:rsidTr="00A11649">
        <w:trPr>
          <w:trHeight w:val="370"/>
        </w:trPr>
        <w:tc>
          <w:tcPr>
            <w:tcW w:w="2346" w:type="pct"/>
            <w:tcBorders>
              <w:top w:val="single" w:sz="4" w:space="0" w:color="000000"/>
              <w:left w:val="single" w:sz="4" w:space="0" w:color="000000"/>
              <w:bottom w:val="single" w:sz="4" w:space="0" w:color="000000"/>
              <w:right w:val="single" w:sz="4" w:space="0" w:color="000000"/>
            </w:tcBorders>
            <w:hideMark/>
          </w:tcPr>
          <w:p w14:paraId="1E80FD40" w14:textId="77777777" w:rsidR="0078138E" w:rsidRPr="0078138E" w:rsidRDefault="0078138E" w:rsidP="00A11649">
            <w:pPr>
              <w:ind w:left="60"/>
              <w:rPr>
                <w:sz w:val="24"/>
                <w:szCs w:val="24"/>
                <w:lang w:val="en-GB"/>
              </w:rPr>
            </w:pPr>
            <w:r w:rsidRPr="0078138E">
              <w:rPr>
                <w:sz w:val="24"/>
                <w:szCs w:val="24"/>
                <w:lang w:val="en-GB"/>
              </w:rPr>
              <w:t>Absolute neutrophil count &lt;500/mm</w:t>
            </w:r>
            <w:r w:rsidRPr="0078138E">
              <w:rPr>
                <w:sz w:val="24"/>
                <w:szCs w:val="24"/>
                <w:vertAlign w:val="superscript"/>
                <w:lang w:val="en-GB"/>
              </w:rPr>
              <w:t>3</w:t>
            </w:r>
          </w:p>
        </w:tc>
        <w:tc>
          <w:tcPr>
            <w:tcW w:w="2654" w:type="pct"/>
            <w:tcBorders>
              <w:top w:val="single" w:sz="4" w:space="0" w:color="000000"/>
              <w:left w:val="single" w:sz="4" w:space="0" w:color="000000"/>
              <w:bottom w:val="single" w:sz="4" w:space="0" w:color="000000"/>
              <w:right w:val="single" w:sz="4" w:space="0" w:color="000000"/>
            </w:tcBorders>
            <w:hideMark/>
          </w:tcPr>
          <w:p w14:paraId="55803BE4" w14:textId="0B61B221" w:rsidR="0078138E" w:rsidRPr="0078138E" w:rsidRDefault="0078138E" w:rsidP="00A11649">
            <w:pPr>
              <w:ind w:left="60"/>
              <w:rPr>
                <w:sz w:val="24"/>
                <w:szCs w:val="24"/>
                <w:lang w:val="en-GB"/>
              </w:rPr>
            </w:pPr>
            <w:r w:rsidRPr="0078138E">
              <w:rPr>
                <w:sz w:val="24"/>
                <w:szCs w:val="24"/>
                <w:lang w:val="en-GB"/>
              </w:rPr>
              <w:t xml:space="preserve">Hold </w:t>
            </w:r>
            <w:proofErr w:type="spellStart"/>
            <w:r w:rsidRPr="0078138E">
              <w:rPr>
                <w:sz w:val="24"/>
                <w:szCs w:val="24"/>
                <w:lang w:val="en-GB"/>
              </w:rPr>
              <w:t>Ruxolitinib</w:t>
            </w:r>
            <w:proofErr w:type="spellEnd"/>
            <w:r w:rsidRPr="0078138E">
              <w:rPr>
                <w:sz w:val="24"/>
                <w:szCs w:val="24"/>
                <w:lang w:val="en-GB"/>
              </w:rPr>
              <w:t xml:space="preserve"> </w:t>
            </w:r>
            <w:r w:rsidR="009B509D">
              <w:rPr>
                <w:sz w:val="24"/>
                <w:szCs w:val="24"/>
                <w:lang w:val="en-GB"/>
              </w:rPr>
              <w:t>"</w:t>
            </w:r>
            <w:r w:rsidRPr="0078138E">
              <w:rPr>
                <w:sz w:val="24"/>
                <w:szCs w:val="24"/>
                <w:lang w:val="en-GB"/>
              </w:rPr>
              <w:t>Sandoz</w:t>
            </w:r>
            <w:r w:rsidR="009B509D">
              <w:rPr>
                <w:sz w:val="24"/>
                <w:szCs w:val="24"/>
                <w:lang w:val="en-GB"/>
              </w:rPr>
              <w:t>"</w:t>
            </w:r>
            <w:r w:rsidRPr="0078138E">
              <w:rPr>
                <w:sz w:val="24"/>
                <w:szCs w:val="24"/>
                <w:lang w:val="en-GB"/>
              </w:rPr>
              <w:t xml:space="preserve"> until ANC &gt;500/mm</w:t>
            </w:r>
            <w:r w:rsidRPr="0078138E">
              <w:rPr>
                <w:sz w:val="24"/>
                <w:szCs w:val="24"/>
                <w:vertAlign w:val="superscript"/>
                <w:lang w:val="en-GB"/>
              </w:rPr>
              <w:t>3</w:t>
            </w:r>
            <w:r w:rsidRPr="0078138E">
              <w:rPr>
                <w:sz w:val="24"/>
                <w:szCs w:val="24"/>
                <w:lang w:val="en-GB"/>
              </w:rPr>
              <w:t>, then resume at one lower dose level. If ANC &gt;1 000/mm</w:t>
            </w:r>
            <w:r w:rsidRPr="0078138E">
              <w:rPr>
                <w:sz w:val="24"/>
                <w:szCs w:val="24"/>
                <w:vertAlign w:val="superscript"/>
                <w:lang w:val="en-GB"/>
              </w:rPr>
              <w:t>3</w:t>
            </w:r>
            <w:r w:rsidRPr="0078138E">
              <w:rPr>
                <w:sz w:val="24"/>
                <w:szCs w:val="24"/>
                <w:lang w:val="en-GB"/>
              </w:rPr>
              <w:t>, dosing may resume at initial dose level.</w:t>
            </w:r>
          </w:p>
        </w:tc>
      </w:tr>
      <w:tr w:rsidR="0078138E" w:rsidRPr="00873345" w14:paraId="198A12C6" w14:textId="77777777" w:rsidTr="00A11649">
        <w:trPr>
          <w:trHeight w:val="226"/>
        </w:trPr>
        <w:tc>
          <w:tcPr>
            <w:tcW w:w="2346" w:type="pct"/>
            <w:vMerge w:val="restart"/>
            <w:tcBorders>
              <w:top w:val="single" w:sz="4" w:space="0" w:color="000000"/>
              <w:left w:val="single" w:sz="4" w:space="0" w:color="000000"/>
              <w:bottom w:val="single" w:sz="4" w:space="0" w:color="000000"/>
              <w:right w:val="single" w:sz="4" w:space="0" w:color="000000"/>
            </w:tcBorders>
            <w:hideMark/>
          </w:tcPr>
          <w:p w14:paraId="4B6E91FF" w14:textId="77777777" w:rsidR="0078138E" w:rsidRPr="0078138E" w:rsidRDefault="0078138E" w:rsidP="00A11649">
            <w:pPr>
              <w:ind w:left="60"/>
              <w:rPr>
                <w:sz w:val="24"/>
                <w:szCs w:val="24"/>
                <w:lang w:val="en-GB"/>
              </w:rPr>
            </w:pPr>
            <w:r w:rsidRPr="0078138E">
              <w:rPr>
                <w:sz w:val="24"/>
                <w:szCs w:val="24"/>
                <w:lang w:val="en-GB"/>
              </w:rPr>
              <w:t>Total bilirubin elevation not caused by GvHD (no liver GvHD)</w:t>
            </w:r>
          </w:p>
        </w:tc>
        <w:tc>
          <w:tcPr>
            <w:tcW w:w="2654" w:type="pct"/>
            <w:tcBorders>
              <w:top w:val="single" w:sz="4" w:space="0" w:color="000000"/>
              <w:left w:val="single" w:sz="4" w:space="0" w:color="000000"/>
              <w:bottom w:val="single" w:sz="4" w:space="0" w:color="000000"/>
              <w:right w:val="single" w:sz="4" w:space="0" w:color="000000"/>
            </w:tcBorders>
            <w:hideMark/>
          </w:tcPr>
          <w:p w14:paraId="6BE3B455" w14:textId="029C3A7A" w:rsidR="0078138E" w:rsidRPr="0078138E" w:rsidRDefault="0078138E" w:rsidP="00A11649">
            <w:pPr>
              <w:ind w:left="60"/>
              <w:rPr>
                <w:sz w:val="24"/>
                <w:szCs w:val="24"/>
                <w:lang w:val="en-GB"/>
              </w:rPr>
            </w:pPr>
            <w:r w:rsidRPr="0078138E">
              <w:rPr>
                <w:sz w:val="24"/>
                <w:szCs w:val="24"/>
                <w:lang w:val="en-GB"/>
              </w:rPr>
              <w:t xml:space="preserve">&gt;3.0 to 5.0 x upper limit of normal (ULN): Continue </w:t>
            </w:r>
            <w:proofErr w:type="spellStart"/>
            <w:r w:rsidRPr="0078138E">
              <w:rPr>
                <w:sz w:val="24"/>
                <w:szCs w:val="24"/>
                <w:lang w:val="en-GB"/>
              </w:rPr>
              <w:t>Ruxolitinib</w:t>
            </w:r>
            <w:proofErr w:type="spellEnd"/>
            <w:r w:rsidRPr="0078138E">
              <w:rPr>
                <w:sz w:val="24"/>
                <w:szCs w:val="24"/>
                <w:lang w:val="en-GB"/>
              </w:rPr>
              <w:t xml:space="preserve"> </w:t>
            </w:r>
            <w:r w:rsidR="009B509D">
              <w:rPr>
                <w:sz w:val="24"/>
                <w:szCs w:val="24"/>
                <w:lang w:val="en-GB"/>
              </w:rPr>
              <w:t>"</w:t>
            </w:r>
            <w:r w:rsidRPr="0078138E">
              <w:rPr>
                <w:sz w:val="24"/>
                <w:szCs w:val="24"/>
                <w:lang w:val="en-GB"/>
              </w:rPr>
              <w:t>Sandoz</w:t>
            </w:r>
            <w:r w:rsidR="009B509D">
              <w:rPr>
                <w:sz w:val="24"/>
                <w:szCs w:val="24"/>
                <w:lang w:val="en-GB"/>
              </w:rPr>
              <w:t>"</w:t>
            </w:r>
            <w:r w:rsidRPr="0078138E">
              <w:rPr>
                <w:sz w:val="24"/>
                <w:szCs w:val="24"/>
                <w:lang w:val="en-GB"/>
              </w:rPr>
              <w:t xml:space="preserve"> at one lower dose level until ≤3.0 x ULN.</w:t>
            </w:r>
          </w:p>
        </w:tc>
      </w:tr>
      <w:tr w:rsidR="0078138E" w:rsidRPr="00873345" w14:paraId="0A177249" w14:textId="77777777" w:rsidTr="00A11649">
        <w:trPr>
          <w:trHeight w:val="226"/>
        </w:trPr>
        <w:tc>
          <w:tcPr>
            <w:tcW w:w="2346" w:type="pct"/>
            <w:vMerge/>
            <w:tcBorders>
              <w:top w:val="single" w:sz="4" w:space="0" w:color="000000"/>
              <w:left w:val="single" w:sz="4" w:space="0" w:color="000000"/>
              <w:bottom w:val="single" w:sz="4" w:space="0" w:color="000000"/>
              <w:right w:val="single" w:sz="4" w:space="0" w:color="000000"/>
            </w:tcBorders>
            <w:vAlign w:val="center"/>
            <w:hideMark/>
          </w:tcPr>
          <w:p w14:paraId="60FEED00" w14:textId="77777777" w:rsidR="0078138E" w:rsidRPr="0078138E" w:rsidRDefault="0078138E" w:rsidP="00A11649">
            <w:pPr>
              <w:ind w:left="60"/>
              <w:rPr>
                <w:sz w:val="24"/>
                <w:szCs w:val="24"/>
                <w:lang w:val="en-GB"/>
              </w:rPr>
            </w:pPr>
          </w:p>
        </w:tc>
        <w:tc>
          <w:tcPr>
            <w:tcW w:w="2654" w:type="pct"/>
            <w:tcBorders>
              <w:top w:val="single" w:sz="4" w:space="0" w:color="000000"/>
              <w:left w:val="single" w:sz="4" w:space="0" w:color="000000"/>
              <w:bottom w:val="single" w:sz="4" w:space="0" w:color="000000"/>
              <w:right w:val="single" w:sz="4" w:space="0" w:color="000000"/>
            </w:tcBorders>
            <w:hideMark/>
          </w:tcPr>
          <w:p w14:paraId="2ED7063F" w14:textId="1C046372" w:rsidR="0078138E" w:rsidRPr="0078138E" w:rsidRDefault="0078138E" w:rsidP="00A11649">
            <w:pPr>
              <w:ind w:left="60"/>
              <w:rPr>
                <w:sz w:val="24"/>
                <w:szCs w:val="24"/>
                <w:lang w:val="en-GB"/>
              </w:rPr>
            </w:pPr>
            <w:r w:rsidRPr="0078138E">
              <w:rPr>
                <w:sz w:val="24"/>
                <w:szCs w:val="24"/>
                <w:lang w:val="en-GB"/>
              </w:rPr>
              <w:t xml:space="preserve">&gt;5.0 to 10.0 x ULN: Hold </w:t>
            </w:r>
            <w:proofErr w:type="spellStart"/>
            <w:r w:rsidRPr="0078138E">
              <w:rPr>
                <w:sz w:val="24"/>
                <w:szCs w:val="24"/>
                <w:lang w:val="en-GB"/>
              </w:rPr>
              <w:t>Ruxolitinib</w:t>
            </w:r>
            <w:proofErr w:type="spellEnd"/>
            <w:r w:rsidRPr="0078138E">
              <w:rPr>
                <w:sz w:val="24"/>
                <w:szCs w:val="24"/>
                <w:lang w:val="en-GB"/>
              </w:rPr>
              <w:t xml:space="preserve"> </w:t>
            </w:r>
            <w:r w:rsidR="009B509D">
              <w:rPr>
                <w:sz w:val="24"/>
                <w:szCs w:val="24"/>
                <w:lang w:val="en-GB"/>
              </w:rPr>
              <w:t>"</w:t>
            </w:r>
            <w:r w:rsidRPr="0078138E">
              <w:rPr>
                <w:sz w:val="24"/>
                <w:szCs w:val="24"/>
                <w:lang w:val="en-GB"/>
              </w:rPr>
              <w:t>Sandoz</w:t>
            </w:r>
            <w:r w:rsidR="009B509D">
              <w:rPr>
                <w:sz w:val="24"/>
                <w:szCs w:val="24"/>
                <w:lang w:val="en-GB"/>
              </w:rPr>
              <w:t>"</w:t>
            </w:r>
            <w:r w:rsidRPr="0078138E">
              <w:rPr>
                <w:sz w:val="24"/>
                <w:szCs w:val="24"/>
                <w:lang w:val="en-GB"/>
              </w:rPr>
              <w:t xml:space="preserve"> up to 14 days until total bilirubin ≤3.0 x ULN. If total bilirubin ≤3.0 x ULN dosing may resume at current dose. If not ≤3.0 x ULN after 14 days, resume at one lower dose level.</w:t>
            </w:r>
          </w:p>
        </w:tc>
      </w:tr>
      <w:tr w:rsidR="0078138E" w:rsidRPr="00873345" w14:paraId="7C9EF5CB" w14:textId="77777777" w:rsidTr="00A11649">
        <w:trPr>
          <w:trHeight w:val="226"/>
        </w:trPr>
        <w:tc>
          <w:tcPr>
            <w:tcW w:w="2346" w:type="pct"/>
            <w:vMerge/>
            <w:tcBorders>
              <w:top w:val="single" w:sz="4" w:space="0" w:color="000000"/>
              <w:left w:val="single" w:sz="4" w:space="0" w:color="000000"/>
              <w:bottom w:val="single" w:sz="4" w:space="0" w:color="000000"/>
              <w:right w:val="single" w:sz="4" w:space="0" w:color="000000"/>
            </w:tcBorders>
            <w:vAlign w:val="center"/>
            <w:hideMark/>
          </w:tcPr>
          <w:p w14:paraId="4088145D" w14:textId="77777777" w:rsidR="0078138E" w:rsidRPr="0078138E" w:rsidRDefault="0078138E" w:rsidP="00A11649">
            <w:pPr>
              <w:ind w:left="60"/>
              <w:rPr>
                <w:sz w:val="24"/>
                <w:szCs w:val="24"/>
                <w:lang w:val="en-GB"/>
              </w:rPr>
            </w:pPr>
          </w:p>
        </w:tc>
        <w:tc>
          <w:tcPr>
            <w:tcW w:w="2654" w:type="pct"/>
            <w:tcBorders>
              <w:top w:val="single" w:sz="4" w:space="0" w:color="000000"/>
              <w:left w:val="single" w:sz="4" w:space="0" w:color="000000"/>
              <w:bottom w:val="single" w:sz="4" w:space="0" w:color="000000"/>
              <w:right w:val="single" w:sz="4" w:space="0" w:color="000000"/>
            </w:tcBorders>
            <w:hideMark/>
          </w:tcPr>
          <w:p w14:paraId="3F821651" w14:textId="1006FC6C" w:rsidR="0078138E" w:rsidRPr="0078138E" w:rsidRDefault="0078138E" w:rsidP="00A11649">
            <w:pPr>
              <w:ind w:left="60"/>
              <w:rPr>
                <w:sz w:val="24"/>
                <w:szCs w:val="24"/>
                <w:lang w:val="en-GB"/>
              </w:rPr>
            </w:pPr>
            <w:r w:rsidRPr="0078138E">
              <w:rPr>
                <w:sz w:val="24"/>
                <w:szCs w:val="24"/>
                <w:lang w:val="en-GB"/>
              </w:rPr>
              <w:t xml:space="preserve">&gt;10.0 x ULN: Hold </w:t>
            </w:r>
            <w:proofErr w:type="spellStart"/>
            <w:r w:rsidRPr="0078138E">
              <w:rPr>
                <w:sz w:val="24"/>
                <w:szCs w:val="24"/>
                <w:lang w:val="en-GB"/>
              </w:rPr>
              <w:t>Ruxolitinib</w:t>
            </w:r>
            <w:proofErr w:type="spellEnd"/>
            <w:r w:rsidRPr="0078138E">
              <w:rPr>
                <w:sz w:val="24"/>
                <w:szCs w:val="24"/>
                <w:lang w:val="en-GB"/>
              </w:rPr>
              <w:t xml:space="preserve"> </w:t>
            </w:r>
            <w:r w:rsidR="009B509D">
              <w:rPr>
                <w:sz w:val="24"/>
                <w:szCs w:val="24"/>
                <w:lang w:val="en-GB"/>
              </w:rPr>
              <w:t>"</w:t>
            </w:r>
            <w:r w:rsidRPr="0078138E">
              <w:rPr>
                <w:sz w:val="24"/>
                <w:szCs w:val="24"/>
                <w:lang w:val="en-GB"/>
              </w:rPr>
              <w:t>Sandoz</w:t>
            </w:r>
            <w:r w:rsidR="009B509D">
              <w:rPr>
                <w:sz w:val="24"/>
                <w:szCs w:val="24"/>
                <w:lang w:val="en-GB"/>
              </w:rPr>
              <w:t>"</w:t>
            </w:r>
            <w:r w:rsidRPr="0078138E">
              <w:rPr>
                <w:sz w:val="24"/>
                <w:szCs w:val="24"/>
                <w:lang w:val="en-GB"/>
              </w:rPr>
              <w:t xml:space="preserve"> until total bilirubin ≤3.0 x ULN, then resume at one lower dose level.</w:t>
            </w:r>
          </w:p>
        </w:tc>
      </w:tr>
      <w:tr w:rsidR="0078138E" w:rsidRPr="00873345" w14:paraId="51E14512" w14:textId="77777777" w:rsidTr="00A11649">
        <w:trPr>
          <w:trHeight w:val="226"/>
        </w:trPr>
        <w:tc>
          <w:tcPr>
            <w:tcW w:w="2346" w:type="pct"/>
            <w:tcBorders>
              <w:top w:val="single" w:sz="4" w:space="0" w:color="000000"/>
              <w:left w:val="single" w:sz="4" w:space="0" w:color="000000"/>
              <w:bottom w:val="single" w:sz="4" w:space="0" w:color="000000"/>
              <w:right w:val="single" w:sz="4" w:space="0" w:color="000000"/>
            </w:tcBorders>
            <w:hideMark/>
          </w:tcPr>
          <w:p w14:paraId="79485AD0" w14:textId="77777777" w:rsidR="0078138E" w:rsidRPr="0078138E" w:rsidRDefault="0078138E" w:rsidP="00A11649">
            <w:pPr>
              <w:ind w:left="60"/>
              <w:rPr>
                <w:sz w:val="24"/>
                <w:szCs w:val="24"/>
                <w:lang w:val="en-GB"/>
              </w:rPr>
            </w:pPr>
            <w:r w:rsidRPr="0078138E">
              <w:rPr>
                <w:sz w:val="24"/>
                <w:szCs w:val="24"/>
                <w:lang w:val="en-GB"/>
              </w:rPr>
              <w:t>Total bilirubin elevation caused by GvHD (liver GvHD)</w:t>
            </w:r>
          </w:p>
        </w:tc>
        <w:tc>
          <w:tcPr>
            <w:tcW w:w="2654" w:type="pct"/>
            <w:tcBorders>
              <w:top w:val="single" w:sz="4" w:space="0" w:color="000000"/>
              <w:left w:val="single" w:sz="4" w:space="0" w:color="000000"/>
              <w:bottom w:val="single" w:sz="4" w:space="0" w:color="000000"/>
              <w:right w:val="single" w:sz="4" w:space="0" w:color="000000"/>
            </w:tcBorders>
            <w:hideMark/>
          </w:tcPr>
          <w:p w14:paraId="67D0D752" w14:textId="68057F96" w:rsidR="0078138E" w:rsidRPr="0078138E" w:rsidRDefault="0078138E" w:rsidP="00A11649">
            <w:pPr>
              <w:ind w:left="60"/>
              <w:rPr>
                <w:sz w:val="24"/>
                <w:szCs w:val="24"/>
                <w:lang w:val="en-GB"/>
              </w:rPr>
            </w:pPr>
            <w:r w:rsidRPr="0078138E">
              <w:rPr>
                <w:sz w:val="24"/>
                <w:szCs w:val="24"/>
                <w:lang w:val="en-GB"/>
              </w:rPr>
              <w:t xml:space="preserve">&gt;3.0 x ULN: Continue </w:t>
            </w:r>
            <w:proofErr w:type="spellStart"/>
            <w:r w:rsidRPr="0078138E">
              <w:rPr>
                <w:sz w:val="24"/>
                <w:szCs w:val="24"/>
                <w:lang w:val="en-GB"/>
              </w:rPr>
              <w:t>Ruxolitinib</w:t>
            </w:r>
            <w:proofErr w:type="spellEnd"/>
            <w:r w:rsidRPr="0078138E">
              <w:rPr>
                <w:sz w:val="24"/>
                <w:szCs w:val="24"/>
                <w:lang w:val="en-GB"/>
              </w:rPr>
              <w:t xml:space="preserve"> </w:t>
            </w:r>
            <w:r w:rsidR="009B509D">
              <w:rPr>
                <w:sz w:val="24"/>
                <w:szCs w:val="24"/>
                <w:lang w:val="en-GB"/>
              </w:rPr>
              <w:t>"</w:t>
            </w:r>
            <w:r w:rsidRPr="0078138E">
              <w:rPr>
                <w:sz w:val="24"/>
                <w:szCs w:val="24"/>
                <w:lang w:val="en-GB"/>
              </w:rPr>
              <w:t>Sandoz</w:t>
            </w:r>
            <w:r w:rsidR="009B509D">
              <w:rPr>
                <w:sz w:val="24"/>
                <w:szCs w:val="24"/>
                <w:lang w:val="en-GB"/>
              </w:rPr>
              <w:t>"</w:t>
            </w:r>
            <w:r w:rsidRPr="0078138E">
              <w:rPr>
                <w:sz w:val="24"/>
                <w:szCs w:val="24"/>
                <w:lang w:val="en-GB"/>
              </w:rPr>
              <w:t xml:space="preserve"> at one lower dose level until total bilirubin ≤3.0 x ULN.</w:t>
            </w:r>
          </w:p>
        </w:tc>
      </w:tr>
    </w:tbl>
    <w:p w14:paraId="4A23AD0A" w14:textId="77777777" w:rsidR="0078138E" w:rsidRPr="0078138E" w:rsidRDefault="0078138E" w:rsidP="00882574">
      <w:pPr>
        <w:ind w:left="851"/>
        <w:rPr>
          <w:bCs/>
          <w:iCs/>
          <w:sz w:val="24"/>
          <w:szCs w:val="24"/>
          <w:lang w:val="en-GB"/>
        </w:rPr>
      </w:pPr>
    </w:p>
    <w:p w14:paraId="55B228E1" w14:textId="77777777" w:rsidR="0078138E" w:rsidRPr="0078138E" w:rsidRDefault="0078138E" w:rsidP="00882574">
      <w:pPr>
        <w:ind w:left="851"/>
        <w:rPr>
          <w:sz w:val="24"/>
          <w:szCs w:val="24"/>
          <w:u w:val="single"/>
          <w:lang w:val="en-GB"/>
        </w:rPr>
      </w:pPr>
      <w:r w:rsidRPr="0078138E">
        <w:rPr>
          <w:i/>
          <w:iCs/>
          <w:sz w:val="24"/>
          <w:szCs w:val="24"/>
          <w:u w:val="single"/>
          <w:lang w:val="en-GB"/>
        </w:rPr>
        <w:t>Dose adjustment with concomitant strong CYP3A4 inhibitors or dual CYP2C9/3A4 inhibitors</w:t>
      </w:r>
    </w:p>
    <w:p w14:paraId="2ED72E2F" w14:textId="77777777" w:rsidR="0078138E" w:rsidRPr="0078138E" w:rsidRDefault="0078138E" w:rsidP="00882574">
      <w:pPr>
        <w:ind w:left="851"/>
        <w:rPr>
          <w:sz w:val="24"/>
          <w:szCs w:val="24"/>
          <w:lang w:val="en-GB"/>
        </w:rPr>
      </w:pPr>
      <w:r w:rsidRPr="0078138E">
        <w:rPr>
          <w:sz w:val="24"/>
          <w:szCs w:val="24"/>
          <w:lang w:val="en-GB"/>
        </w:rPr>
        <w:t xml:space="preserve">When </w:t>
      </w:r>
      <w:proofErr w:type="spellStart"/>
      <w:r w:rsidRPr="0078138E">
        <w:rPr>
          <w:sz w:val="24"/>
          <w:szCs w:val="24"/>
          <w:lang w:val="en-GB"/>
        </w:rPr>
        <w:t>ruxolitinib</w:t>
      </w:r>
      <w:proofErr w:type="spellEnd"/>
      <w:r w:rsidRPr="0078138E">
        <w:rPr>
          <w:sz w:val="24"/>
          <w:szCs w:val="24"/>
          <w:lang w:val="en-GB"/>
        </w:rPr>
        <w:t xml:space="preserve"> is administered with strong CYP3A4 inhibitors or dual inhibitors of CYP2C9 and CYP3A4 enzymes (e.g. fluconazole) the unit dose of </w:t>
      </w:r>
      <w:proofErr w:type="spellStart"/>
      <w:r w:rsidRPr="0078138E">
        <w:rPr>
          <w:sz w:val="24"/>
          <w:szCs w:val="24"/>
          <w:lang w:val="en-GB"/>
        </w:rPr>
        <w:t>ruxolitinib</w:t>
      </w:r>
      <w:proofErr w:type="spellEnd"/>
      <w:r w:rsidRPr="0078138E">
        <w:rPr>
          <w:sz w:val="24"/>
          <w:szCs w:val="24"/>
          <w:lang w:val="en-GB"/>
        </w:rPr>
        <w:t xml:space="preserve"> should be reduced by approximately 50%, to be administered twice daily (see section 4.4 and 4.5). The concomitant use of </w:t>
      </w:r>
      <w:proofErr w:type="spellStart"/>
      <w:r w:rsidRPr="0078138E">
        <w:rPr>
          <w:sz w:val="24"/>
          <w:szCs w:val="24"/>
          <w:lang w:val="en-GB"/>
        </w:rPr>
        <w:t>ruxolitinib</w:t>
      </w:r>
      <w:proofErr w:type="spellEnd"/>
      <w:r w:rsidRPr="0078138E">
        <w:rPr>
          <w:sz w:val="24"/>
          <w:szCs w:val="24"/>
          <w:lang w:val="en-GB"/>
        </w:rPr>
        <w:t xml:space="preserve"> with fluconazole doses greater than 200 mg daily should be avoided.</w:t>
      </w:r>
    </w:p>
    <w:p w14:paraId="101390E0" w14:textId="77777777" w:rsidR="0078138E" w:rsidRPr="0078138E" w:rsidRDefault="0078138E" w:rsidP="00882574">
      <w:pPr>
        <w:ind w:left="851"/>
        <w:rPr>
          <w:bCs/>
          <w:iCs/>
          <w:sz w:val="24"/>
          <w:szCs w:val="24"/>
          <w:lang w:val="en-GB"/>
        </w:rPr>
      </w:pPr>
    </w:p>
    <w:p w14:paraId="59A9A602" w14:textId="77777777" w:rsidR="0078138E" w:rsidRPr="0078138E" w:rsidRDefault="0078138E" w:rsidP="00882574">
      <w:pPr>
        <w:ind w:left="851"/>
        <w:rPr>
          <w:i/>
          <w:iCs/>
          <w:sz w:val="24"/>
          <w:szCs w:val="24"/>
          <w:u w:val="single"/>
          <w:lang w:val="en-GB"/>
        </w:rPr>
      </w:pPr>
      <w:r w:rsidRPr="0078138E">
        <w:rPr>
          <w:i/>
          <w:iCs/>
          <w:sz w:val="24"/>
          <w:szCs w:val="24"/>
          <w:u w:val="single"/>
          <w:lang w:val="en-GB"/>
        </w:rPr>
        <w:t>Special populations</w:t>
      </w:r>
    </w:p>
    <w:p w14:paraId="5C528340" w14:textId="77777777" w:rsidR="0078138E" w:rsidRPr="0078138E" w:rsidRDefault="0078138E" w:rsidP="00882574">
      <w:pPr>
        <w:ind w:left="851"/>
        <w:rPr>
          <w:sz w:val="24"/>
          <w:szCs w:val="24"/>
          <w:u w:val="single"/>
          <w:lang w:val="en-GB"/>
        </w:rPr>
      </w:pPr>
    </w:p>
    <w:p w14:paraId="648216FF" w14:textId="77777777" w:rsidR="0078138E" w:rsidRPr="0078138E" w:rsidRDefault="0078138E" w:rsidP="00882574">
      <w:pPr>
        <w:ind w:left="851"/>
        <w:rPr>
          <w:sz w:val="24"/>
          <w:szCs w:val="24"/>
          <w:lang w:val="en-GB"/>
        </w:rPr>
      </w:pPr>
      <w:r w:rsidRPr="0078138E">
        <w:rPr>
          <w:i/>
          <w:iCs/>
          <w:sz w:val="24"/>
          <w:szCs w:val="24"/>
          <w:lang w:val="en-GB"/>
        </w:rPr>
        <w:t xml:space="preserve">Renal impairment </w:t>
      </w:r>
    </w:p>
    <w:p w14:paraId="6DB9324A" w14:textId="77777777" w:rsidR="0078138E" w:rsidRPr="0078138E" w:rsidRDefault="0078138E" w:rsidP="00882574">
      <w:pPr>
        <w:ind w:left="851"/>
        <w:rPr>
          <w:sz w:val="24"/>
          <w:szCs w:val="24"/>
          <w:lang w:val="en-GB"/>
        </w:rPr>
      </w:pPr>
      <w:r w:rsidRPr="0078138E">
        <w:rPr>
          <w:sz w:val="24"/>
          <w:szCs w:val="24"/>
          <w:lang w:val="en-GB"/>
        </w:rPr>
        <w:t>No specific dose adjustment is needed in patients with mild or moderate renal impairment.</w:t>
      </w:r>
    </w:p>
    <w:p w14:paraId="74CB322C" w14:textId="77777777" w:rsidR="0078138E" w:rsidRPr="0078138E" w:rsidRDefault="0078138E" w:rsidP="00882574">
      <w:pPr>
        <w:ind w:left="851"/>
        <w:rPr>
          <w:sz w:val="24"/>
          <w:szCs w:val="24"/>
          <w:lang w:val="en-GB"/>
        </w:rPr>
      </w:pPr>
    </w:p>
    <w:p w14:paraId="3250B467" w14:textId="77777777" w:rsidR="0078138E" w:rsidRPr="0078138E" w:rsidRDefault="0078138E" w:rsidP="00882574">
      <w:pPr>
        <w:ind w:left="851"/>
        <w:rPr>
          <w:sz w:val="24"/>
          <w:szCs w:val="24"/>
          <w:lang w:val="en-GB"/>
        </w:rPr>
      </w:pPr>
      <w:r w:rsidRPr="0078138E">
        <w:rPr>
          <w:sz w:val="24"/>
          <w:szCs w:val="24"/>
          <w:lang w:val="en-GB"/>
        </w:rPr>
        <w:t xml:space="preserve">In patients with severe renal impairment (creatinine clearance less than 30 ml/min) the recommended starting dose based on platelet count for MF, PV and GvHD patients should be reduced by approximately 50% to be administered twice daily. Patients should be carefully monitored </w:t>
      </w:r>
      <w:proofErr w:type="gramStart"/>
      <w:r w:rsidRPr="0078138E">
        <w:rPr>
          <w:sz w:val="24"/>
          <w:szCs w:val="24"/>
          <w:lang w:val="en-GB"/>
        </w:rPr>
        <w:t>with regard to</w:t>
      </w:r>
      <w:proofErr w:type="gramEnd"/>
      <w:r w:rsidRPr="0078138E">
        <w:rPr>
          <w:sz w:val="24"/>
          <w:szCs w:val="24"/>
          <w:lang w:val="en-GB"/>
        </w:rPr>
        <w:t xml:space="preserve"> safety and efficacy during </w:t>
      </w:r>
      <w:proofErr w:type="spellStart"/>
      <w:r w:rsidRPr="0078138E">
        <w:rPr>
          <w:sz w:val="24"/>
          <w:szCs w:val="24"/>
          <w:lang w:val="en-GB"/>
        </w:rPr>
        <w:t>ruxolitinib</w:t>
      </w:r>
      <w:proofErr w:type="spellEnd"/>
      <w:r w:rsidRPr="0078138E">
        <w:rPr>
          <w:sz w:val="24"/>
          <w:szCs w:val="24"/>
          <w:lang w:val="en-GB"/>
        </w:rPr>
        <w:t xml:space="preserve"> treatment (see section 4.4).</w:t>
      </w:r>
    </w:p>
    <w:p w14:paraId="5D2594FB" w14:textId="77777777" w:rsidR="0078138E" w:rsidRPr="0078138E" w:rsidRDefault="0078138E" w:rsidP="00882574">
      <w:pPr>
        <w:ind w:left="851"/>
        <w:rPr>
          <w:sz w:val="24"/>
          <w:szCs w:val="24"/>
          <w:lang w:val="en-GB"/>
        </w:rPr>
      </w:pPr>
    </w:p>
    <w:p w14:paraId="05D1388E" w14:textId="77777777" w:rsidR="0078138E" w:rsidRPr="0078138E" w:rsidRDefault="0078138E" w:rsidP="00882574">
      <w:pPr>
        <w:ind w:left="851"/>
        <w:rPr>
          <w:sz w:val="24"/>
          <w:szCs w:val="24"/>
          <w:lang w:val="en-GB"/>
        </w:rPr>
      </w:pPr>
      <w:r w:rsidRPr="0078138E">
        <w:rPr>
          <w:sz w:val="24"/>
          <w:szCs w:val="24"/>
          <w:lang w:val="en-GB"/>
        </w:rPr>
        <w:t>There are limited data to determine the best dosing options for patients with end-stage renal disease (ESRD) on haemodialysis. Pharmacokinetic/pharmacodynamic simulations based on available data in this population suggest that the starting dose for MF patients with ESRD on haemodialysis is a single dose of 15-20 mg or two doses of 10 mg given 12 hours apart, to be administered post-dialysis and only on the day of haemodialysis. A single dose of 15 mg is recommended for MF patients with platelet count between 100 000/mm</w:t>
      </w:r>
      <w:r w:rsidRPr="0078138E">
        <w:rPr>
          <w:sz w:val="24"/>
          <w:szCs w:val="24"/>
          <w:vertAlign w:val="superscript"/>
          <w:lang w:val="en-GB"/>
        </w:rPr>
        <w:t>3</w:t>
      </w:r>
      <w:r w:rsidRPr="0078138E">
        <w:rPr>
          <w:sz w:val="24"/>
          <w:szCs w:val="24"/>
          <w:lang w:val="en-GB"/>
        </w:rPr>
        <w:t xml:space="preserve"> and 200 000/mm</w:t>
      </w:r>
      <w:r w:rsidRPr="0078138E">
        <w:rPr>
          <w:sz w:val="24"/>
          <w:szCs w:val="24"/>
          <w:vertAlign w:val="superscript"/>
          <w:lang w:val="en-GB"/>
        </w:rPr>
        <w:t>3</w:t>
      </w:r>
      <w:r w:rsidRPr="0078138E">
        <w:rPr>
          <w:sz w:val="24"/>
          <w:szCs w:val="24"/>
          <w:lang w:val="en-GB"/>
        </w:rPr>
        <w:t>. A single dose of 20 mg or two doses of 10 mg given 12 hours apart is recommended for MF patients with platelet count of &gt;200 000mm</w:t>
      </w:r>
      <w:r w:rsidRPr="0078138E">
        <w:rPr>
          <w:sz w:val="24"/>
          <w:szCs w:val="24"/>
          <w:vertAlign w:val="superscript"/>
          <w:lang w:val="en-GB"/>
        </w:rPr>
        <w:t>3</w:t>
      </w:r>
      <w:r w:rsidRPr="0078138E">
        <w:rPr>
          <w:sz w:val="24"/>
          <w:szCs w:val="24"/>
          <w:lang w:val="en-GB"/>
        </w:rPr>
        <w:t>. Subsequent doses (single administration or two doses of 10 mg given 12 hours apart) should be administered only on haemodialysis days following each dialysis session.</w:t>
      </w:r>
    </w:p>
    <w:p w14:paraId="46734B1F" w14:textId="77777777" w:rsidR="0078138E" w:rsidRPr="0078138E" w:rsidRDefault="0078138E" w:rsidP="00882574">
      <w:pPr>
        <w:ind w:left="851"/>
        <w:rPr>
          <w:sz w:val="24"/>
          <w:szCs w:val="24"/>
          <w:lang w:val="en-GB"/>
        </w:rPr>
      </w:pPr>
    </w:p>
    <w:p w14:paraId="5015AC31" w14:textId="77777777" w:rsidR="0078138E" w:rsidRPr="0078138E" w:rsidRDefault="0078138E" w:rsidP="00882574">
      <w:pPr>
        <w:ind w:left="851"/>
        <w:rPr>
          <w:sz w:val="24"/>
          <w:szCs w:val="24"/>
          <w:lang w:val="en-GB"/>
        </w:rPr>
      </w:pPr>
      <w:r w:rsidRPr="0078138E">
        <w:rPr>
          <w:sz w:val="24"/>
          <w:szCs w:val="24"/>
          <w:lang w:val="en-GB"/>
        </w:rPr>
        <w:t xml:space="preserve">The recommended starting dose for PV patients with ESRD on haemodialysis is a single dose of 10 mg or two doses of 5 mg given 12 hours apart, to be administered post-dialysis and only on the day of haemodialysis. These dose recommendations are based on simulations and any dose modification in ESRD should be followed by careful monitoring of safety and efficacy in individual patients. No data is available for dosing patients who are undergoing peritoneal dialysis or continuous </w:t>
      </w:r>
      <w:proofErr w:type="spellStart"/>
      <w:r w:rsidRPr="0078138E">
        <w:rPr>
          <w:sz w:val="24"/>
          <w:szCs w:val="24"/>
          <w:lang w:val="en-GB"/>
        </w:rPr>
        <w:t>venovenous</w:t>
      </w:r>
      <w:proofErr w:type="spellEnd"/>
      <w:r w:rsidRPr="0078138E">
        <w:rPr>
          <w:sz w:val="24"/>
          <w:szCs w:val="24"/>
          <w:lang w:val="en-GB"/>
        </w:rPr>
        <w:t xml:space="preserve"> </w:t>
      </w:r>
      <w:proofErr w:type="spellStart"/>
      <w:r w:rsidRPr="0078138E">
        <w:rPr>
          <w:sz w:val="24"/>
          <w:szCs w:val="24"/>
          <w:lang w:val="en-GB"/>
        </w:rPr>
        <w:t>haemofiltration</w:t>
      </w:r>
      <w:proofErr w:type="spellEnd"/>
      <w:r w:rsidRPr="0078138E">
        <w:rPr>
          <w:sz w:val="24"/>
          <w:szCs w:val="24"/>
          <w:lang w:val="en-GB"/>
        </w:rPr>
        <w:t xml:space="preserve"> (see section 5.2).</w:t>
      </w:r>
    </w:p>
    <w:p w14:paraId="6A7BBC06" w14:textId="77777777" w:rsidR="0078138E" w:rsidRPr="0078138E" w:rsidRDefault="0078138E" w:rsidP="00882574">
      <w:pPr>
        <w:ind w:left="851"/>
        <w:rPr>
          <w:sz w:val="24"/>
          <w:szCs w:val="24"/>
          <w:lang w:val="en-GB"/>
        </w:rPr>
      </w:pPr>
    </w:p>
    <w:p w14:paraId="27E9256C" w14:textId="77777777" w:rsidR="0078138E" w:rsidRPr="0078138E" w:rsidRDefault="0078138E" w:rsidP="00882574">
      <w:pPr>
        <w:ind w:left="851"/>
        <w:rPr>
          <w:sz w:val="24"/>
          <w:szCs w:val="24"/>
          <w:lang w:val="en-GB"/>
        </w:rPr>
      </w:pPr>
      <w:r w:rsidRPr="0078138E">
        <w:rPr>
          <w:sz w:val="24"/>
          <w:szCs w:val="24"/>
          <w:lang w:val="en-GB"/>
        </w:rPr>
        <w:t>There are no data for GvHD patients with ESRD.</w:t>
      </w:r>
    </w:p>
    <w:p w14:paraId="364D61A6" w14:textId="77777777" w:rsidR="0078138E" w:rsidRPr="0078138E" w:rsidRDefault="0078138E" w:rsidP="00882574">
      <w:pPr>
        <w:ind w:left="851"/>
        <w:rPr>
          <w:sz w:val="24"/>
          <w:szCs w:val="24"/>
          <w:lang w:val="en-GB"/>
        </w:rPr>
      </w:pPr>
    </w:p>
    <w:p w14:paraId="51A7E6BC" w14:textId="77777777" w:rsidR="0078138E" w:rsidRPr="0078138E" w:rsidRDefault="0078138E" w:rsidP="00882574">
      <w:pPr>
        <w:ind w:left="851"/>
        <w:rPr>
          <w:sz w:val="24"/>
          <w:szCs w:val="24"/>
          <w:lang w:val="en-GB"/>
        </w:rPr>
      </w:pPr>
      <w:r w:rsidRPr="0078138E">
        <w:rPr>
          <w:i/>
          <w:iCs/>
          <w:sz w:val="24"/>
          <w:szCs w:val="24"/>
          <w:lang w:val="en-GB"/>
        </w:rPr>
        <w:t>Hepatic impairment</w:t>
      </w:r>
    </w:p>
    <w:p w14:paraId="314B9470" w14:textId="77777777" w:rsidR="0078138E" w:rsidRPr="0078138E" w:rsidRDefault="0078138E" w:rsidP="00882574">
      <w:pPr>
        <w:ind w:left="851"/>
        <w:rPr>
          <w:sz w:val="24"/>
          <w:szCs w:val="24"/>
          <w:lang w:val="en-GB"/>
        </w:rPr>
      </w:pPr>
      <w:r w:rsidRPr="0078138E">
        <w:rPr>
          <w:sz w:val="24"/>
          <w:szCs w:val="24"/>
          <w:lang w:val="en-GB"/>
        </w:rPr>
        <w:t xml:space="preserve">In MF patients with any hepatic impairment the recommended starting dose based on platelet count should be reduced by approximately 50% to be administered twice daily. Subsequent doses should be adjusted based on careful monitoring of safety and efficacy. The recommended starting dose is 5 mg twice daily for PV patients. </w:t>
      </w:r>
      <w:proofErr w:type="spellStart"/>
      <w:r w:rsidRPr="0078138E">
        <w:rPr>
          <w:sz w:val="24"/>
          <w:szCs w:val="24"/>
          <w:lang w:val="en-GB"/>
        </w:rPr>
        <w:t>Ruxolitinib</w:t>
      </w:r>
      <w:proofErr w:type="spellEnd"/>
      <w:r w:rsidRPr="0078138E">
        <w:rPr>
          <w:sz w:val="24"/>
          <w:szCs w:val="24"/>
          <w:lang w:val="en-GB"/>
        </w:rPr>
        <w:t xml:space="preserve"> dose can be titrated to reduce the risk of cytopenia (see section 4.4).</w:t>
      </w:r>
    </w:p>
    <w:p w14:paraId="3B8A53DF" w14:textId="77777777" w:rsidR="0078138E" w:rsidRPr="0078138E" w:rsidRDefault="0078138E" w:rsidP="00882574">
      <w:pPr>
        <w:ind w:left="851"/>
        <w:rPr>
          <w:sz w:val="24"/>
          <w:szCs w:val="24"/>
          <w:lang w:val="en-GB"/>
        </w:rPr>
      </w:pPr>
    </w:p>
    <w:p w14:paraId="44C05AEB" w14:textId="77777777" w:rsidR="0078138E" w:rsidRPr="0078138E" w:rsidRDefault="0078138E" w:rsidP="00882574">
      <w:pPr>
        <w:ind w:left="851"/>
        <w:rPr>
          <w:sz w:val="24"/>
          <w:szCs w:val="24"/>
          <w:lang w:val="en-GB"/>
        </w:rPr>
      </w:pPr>
      <w:r w:rsidRPr="0078138E">
        <w:rPr>
          <w:sz w:val="24"/>
          <w:szCs w:val="24"/>
          <w:lang w:val="en-GB"/>
        </w:rPr>
        <w:t xml:space="preserve">In patients with mild, moderate or severe hepatic impairment not related to GvHD, the starting dose of </w:t>
      </w:r>
      <w:proofErr w:type="spellStart"/>
      <w:r w:rsidRPr="0078138E">
        <w:rPr>
          <w:sz w:val="24"/>
          <w:szCs w:val="24"/>
          <w:lang w:val="en-GB"/>
        </w:rPr>
        <w:t>ruxolitinib</w:t>
      </w:r>
      <w:proofErr w:type="spellEnd"/>
      <w:r w:rsidRPr="0078138E">
        <w:rPr>
          <w:sz w:val="24"/>
          <w:szCs w:val="24"/>
          <w:lang w:val="en-GB"/>
        </w:rPr>
        <w:t xml:space="preserve"> should be reduced by 50% (see section 5.2).</w:t>
      </w:r>
    </w:p>
    <w:p w14:paraId="226CB919" w14:textId="77777777" w:rsidR="0078138E" w:rsidRPr="0078138E" w:rsidRDefault="0078138E" w:rsidP="00882574">
      <w:pPr>
        <w:ind w:left="851"/>
        <w:rPr>
          <w:sz w:val="24"/>
          <w:szCs w:val="24"/>
          <w:lang w:val="en-GB"/>
        </w:rPr>
      </w:pPr>
    </w:p>
    <w:p w14:paraId="4005B1C0" w14:textId="77777777" w:rsidR="0078138E" w:rsidRPr="0078138E" w:rsidRDefault="0078138E" w:rsidP="00882574">
      <w:pPr>
        <w:ind w:left="851"/>
        <w:rPr>
          <w:sz w:val="24"/>
          <w:szCs w:val="24"/>
          <w:lang w:val="en-GB"/>
        </w:rPr>
      </w:pPr>
      <w:r w:rsidRPr="0078138E">
        <w:rPr>
          <w:sz w:val="24"/>
          <w:szCs w:val="24"/>
          <w:lang w:val="en-GB"/>
        </w:rPr>
        <w:t>In patients with GvHD liver involvement and an increase of total bilirubin to &gt;3 x ULN, blood counts should be monitored more frequently for toxicity and a dose reduction by one dose level is recommended.</w:t>
      </w:r>
    </w:p>
    <w:p w14:paraId="3580D909" w14:textId="77777777" w:rsidR="0078138E" w:rsidRPr="0078138E" w:rsidRDefault="0078138E" w:rsidP="00882574">
      <w:pPr>
        <w:ind w:left="851"/>
        <w:rPr>
          <w:sz w:val="24"/>
          <w:szCs w:val="24"/>
          <w:lang w:val="en-GB"/>
        </w:rPr>
      </w:pPr>
    </w:p>
    <w:p w14:paraId="2B12F048" w14:textId="77777777" w:rsidR="0078138E" w:rsidRPr="0078138E" w:rsidRDefault="0078138E" w:rsidP="00882574">
      <w:pPr>
        <w:ind w:left="851"/>
        <w:rPr>
          <w:i/>
          <w:iCs/>
          <w:sz w:val="24"/>
          <w:szCs w:val="24"/>
          <w:lang w:val="en-GB"/>
        </w:rPr>
      </w:pPr>
      <w:r w:rsidRPr="0078138E">
        <w:rPr>
          <w:i/>
          <w:iCs/>
          <w:sz w:val="24"/>
          <w:szCs w:val="24"/>
          <w:lang w:val="en-GB"/>
        </w:rPr>
        <w:t>Elderly patients (≥65 years)</w:t>
      </w:r>
    </w:p>
    <w:p w14:paraId="1098D4F9" w14:textId="77777777" w:rsidR="0078138E" w:rsidRPr="0078138E" w:rsidRDefault="0078138E" w:rsidP="00882574">
      <w:pPr>
        <w:ind w:left="851"/>
        <w:rPr>
          <w:bCs/>
          <w:iCs/>
          <w:sz w:val="24"/>
          <w:szCs w:val="24"/>
          <w:lang w:val="en-GB"/>
        </w:rPr>
      </w:pPr>
      <w:r w:rsidRPr="0078138E">
        <w:rPr>
          <w:sz w:val="24"/>
          <w:szCs w:val="24"/>
          <w:lang w:val="en-GB"/>
        </w:rPr>
        <w:t>No additional dose adjustments are recommended for elderly patients.</w:t>
      </w:r>
    </w:p>
    <w:p w14:paraId="522F0DA0" w14:textId="77777777" w:rsidR="0078138E" w:rsidRPr="0078138E" w:rsidRDefault="0078138E" w:rsidP="00882574">
      <w:pPr>
        <w:ind w:left="851"/>
        <w:rPr>
          <w:bCs/>
          <w:iCs/>
          <w:sz w:val="24"/>
          <w:szCs w:val="24"/>
          <w:lang w:val="en-GB"/>
        </w:rPr>
      </w:pPr>
    </w:p>
    <w:p w14:paraId="722AA3AA" w14:textId="77777777" w:rsidR="0078138E" w:rsidRPr="0078138E" w:rsidRDefault="0078138E" w:rsidP="00882574">
      <w:pPr>
        <w:ind w:left="851"/>
        <w:rPr>
          <w:sz w:val="24"/>
          <w:szCs w:val="24"/>
          <w:lang w:val="en-GB"/>
        </w:rPr>
      </w:pPr>
      <w:r w:rsidRPr="0078138E">
        <w:rPr>
          <w:i/>
          <w:iCs/>
          <w:sz w:val="24"/>
          <w:szCs w:val="24"/>
          <w:lang w:val="en-GB"/>
        </w:rPr>
        <w:t>Paediatric population</w:t>
      </w:r>
    </w:p>
    <w:p w14:paraId="68D5AA37" w14:textId="361A783D" w:rsidR="0078138E" w:rsidRPr="0078138E" w:rsidRDefault="0078138E" w:rsidP="00882574">
      <w:pPr>
        <w:ind w:left="851"/>
        <w:rPr>
          <w:sz w:val="24"/>
          <w:szCs w:val="24"/>
          <w:lang w:val="en-GB"/>
        </w:rPr>
      </w:pPr>
      <w:r w:rsidRPr="0078138E">
        <w:rPr>
          <w:sz w:val="24"/>
          <w:szCs w:val="24"/>
          <w:lang w:val="en-GB"/>
        </w:rPr>
        <w:t xml:space="preserve">The safety and efficacy of </w:t>
      </w:r>
      <w:proofErr w:type="spellStart"/>
      <w:r w:rsidRPr="0078138E">
        <w:rPr>
          <w:sz w:val="24"/>
          <w:szCs w:val="24"/>
          <w:lang w:val="en-GB"/>
        </w:rPr>
        <w:t>Ruxolitinib</w:t>
      </w:r>
      <w:proofErr w:type="spellEnd"/>
      <w:r w:rsidRPr="0078138E">
        <w:rPr>
          <w:sz w:val="24"/>
          <w:szCs w:val="24"/>
          <w:lang w:val="en-GB"/>
        </w:rPr>
        <w:t xml:space="preserve"> </w:t>
      </w:r>
      <w:r w:rsidR="009B509D">
        <w:rPr>
          <w:sz w:val="24"/>
          <w:szCs w:val="24"/>
          <w:lang w:val="en-GB"/>
        </w:rPr>
        <w:t>"</w:t>
      </w:r>
      <w:r w:rsidRPr="0078138E">
        <w:rPr>
          <w:sz w:val="24"/>
          <w:szCs w:val="24"/>
          <w:lang w:val="en-GB"/>
        </w:rPr>
        <w:t>Sandoz</w:t>
      </w:r>
      <w:r w:rsidR="009B509D">
        <w:rPr>
          <w:sz w:val="24"/>
          <w:szCs w:val="24"/>
          <w:lang w:val="en-GB"/>
        </w:rPr>
        <w:t>"</w:t>
      </w:r>
      <w:r w:rsidRPr="0078138E">
        <w:rPr>
          <w:sz w:val="24"/>
          <w:szCs w:val="24"/>
          <w:lang w:val="en-GB"/>
        </w:rPr>
        <w:t xml:space="preserve"> in children and adolescents aged up to 18 years with MF and PV have not been established. No data are available (see section 5.1).</w:t>
      </w:r>
    </w:p>
    <w:p w14:paraId="67EFEAC0" w14:textId="77777777" w:rsidR="0078138E" w:rsidRPr="0078138E" w:rsidRDefault="0078138E" w:rsidP="00882574">
      <w:pPr>
        <w:ind w:left="851"/>
        <w:rPr>
          <w:sz w:val="24"/>
          <w:szCs w:val="24"/>
          <w:lang w:val="en-GB"/>
        </w:rPr>
      </w:pPr>
    </w:p>
    <w:p w14:paraId="7A0DC1BB" w14:textId="77777777" w:rsidR="0078138E" w:rsidRPr="0078138E" w:rsidRDefault="0078138E" w:rsidP="00882574">
      <w:pPr>
        <w:ind w:left="851"/>
        <w:rPr>
          <w:sz w:val="24"/>
          <w:szCs w:val="24"/>
          <w:u w:val="single"/>
          <w:lang w:val="en-GB"/>
        </w:rPr>
      </w:pPr>
      <w:r w:rsidRPr="0078138E">
        <w:rPr>
          <w:i/>
          <w:iCs/>
          <w:sz w:val="24"/>
          <w:szCs w:val="24"/>
          <w:u w:val="single"/>
          <w:lang w:val="en-GB"/>
        </w:rPr>
        <w:t>Treatment discontinuation</w:t>
      </w:r>
    </w:p>
    <w:p w14:paraId="7CCE180B" w14:textId="77777777" w:rsidR="0078138E" w:rsidRPr="0078138E" w:rsidRDefault="0078138E" w:rsidP="00882574">
      <w:pPr>
        <w:ind w:left="851"/>
        <w:rPr>
          <w:sz w:val="24"/>
          <w:szCs w:val="24"/>
          <w:lang w:val="en-GB"/>
        </w:rPr>
      </w:pPr>
      <w:r w:rsidRPr="0078138E">
        <w:rPr>
          <w:sz w:val="24"/>
          <w:szCs w:val="24"/>
          <w:lang w:val="en-GB"/>
        </w:rPr>
        <w:t xml:space="preserve">Treatment of MF and PV may be continued as long as the benefit-risk assessment remains positive. </w:t>
      </w:r>
      <w:proofErr w:type="gramStart"/>
      <w:r w:rsidRPr="0078138E">
        <w:rPr>
          <w:sz w:val="24"/>
          <w:szCs w:val="24"/>
          <w:lang w:val="en-GB"/>
        </w:rPr>
        <w:t>However</w:t>
      </w:r>
      <w:proofErr w:type="gramEnd"/>
      <w:r w:rsidRPr="0078138E">
        <w:rPr>
          <w:sz w:val="24"/>
          <w:szCs w:val="24"/>
          <w:lang w:val="en-GB"/>
        </w:rPr>
        <w:t xml:space="preserve"> the treatment should be discontinued after 6 months if there has been no reduction in spleen size or improvement in symptoms since initiation of therapy.</w:t>
      </w:r>
    </w:p>
    <w:p w14:paraId="097D5A9B" w14:textId="77777777" w:rsidR="0078138E" w:rsidRPr="0078138E" w:rsidRDefault="0078138E" w:rsidP="00882574">
      <w:pPr>
        <w:ind w:left="851"/>
        <w:rPr>
          <w:sz w:val="24"/>
          <w:szCs w:val="24"/>
          <w:lang w:val="en-GB"/>
        </w:rPr>
      </w:pPr>
    </w:p>
    <w:p w14:paraId="2909A27C" w14:textId="77777777" w:rsidR="0078138E" w:rsidRPr="0078138E" w:rsidRDefault="0078138E" w:rsidP="00882574">
      <w:pPr>
        <w:ind w:left="851"/>
        <w:rPr>
          <w:sz w:val="24"/>
          <w:szCs w:val="24"/>
          <w:lang w:val="en-GB"/>
        </w:rPr>
      </w:pPr>
      <w:r w:rsidRPr="0078138E">
        <w:rPr>
          <w:sz w:val="24"/>
          <w:szCs w:val="24"/>
          <w:lang w:val="en-GB"/>
        </w:rPr>
        <w:t xml:space="preserve">It is recommended that, for patients who have demonstrated some degree of clinical improvement, </w:t>
      </w:r>
      <w:proofErr w:type="spellStart"/>
      <w:r w:rsidRPr="0078138E">
        <w:rPr>
          <w:sz w:val="24"/>
          <w:szCs w:val="24"/>
          <w:lang w:val="en-GB"/>
        </w:rPr>
        <w:t>ruxolitinib</w:t>
      </w:r>
      <w:proofErr w:type="spellEnd"/>
      <w:r w:rsidRPr="0078138E">
        <w:rPr>
          <w:sz w:val="24"/>
          <w:szCs w:val="24"/>
          <w:lang w:val="en-GB"/>
        </w:rPr>
        <w:t xml:space="preserve"> therapy be discontinued if they sustain an increase in their spleen length of 40% compared with baseline size (roughly equivalent to a 25% increase in spleen volume) and no longer have tangible improvement in disease-related symptoms.</w:t>
      </w:r>
    </w:p>
    <w:p w14:paraId="71AB2F08" w14:textId="77777777" w:rsidR="0078138E" w:rsidRPr="0078138E" w:rsidRDefault="0078138E" w:rsidP="00882574">
      <w:pPr>
        <w:ind w:left="851"/>
        <w:rPr>
          <w:sz w:val="24"/>
          <w:szCs w:val="24"/>
          <w:lang w:val="en-GB"/>
        </w:rPr>
      </w:pPr>
    </w:p>
    <w:p w14:paraId="4F384AC1" w14:textId="7C4D8ADA" w:rsidR="0078138E" w:rsidRPr="0078138E" w:rsidRDefault="0078138E" w:rsidP="00882574">
      <w:pPr>
        <w:ind w:left="851"/>
        <w:rPr>
          <w:sz w:val="24"/>
          <w:szCs w:val="24"/>
          <w:lang w:val="en-GB"/>
        </w:rPr>
      </w:pPr>
      <w:r w:rsidRPr="0078138E">
        <w:rPr>
          <w:sz w:val="24"/>
          <w:szCs w:val="24"/>
          <w:lang w:val="en-GB"/>
        </w:rPr>
        <w:t xml:space="preserve">In GvHD, tapering of </w:t>
      </w:r>
      <w:proofErr w:type="spellStart"/>
      <w:r w:rsidRPr="0078138E">
        <w:rPr>
          <w:sz w:val="24"/>
          <w:szCs w:val="24"/>
          <w:lang w:val="en-GB"/>
        </w:rPr>
        <w:t>Ruxolitinib</w:t>
      </w:r>
      <w:proofErr w:type="spellEnd"/>
      <w:r w:rsidRPr="0078138E">
        <w:rPr>
          <w:sz w:val="24"/>
          <w:szCs w:val="24"/>
          <w:lang w:val="en-GB"/>
        </w:rPr>
        <w:t xml:space="preserve"> </w:t>
      </w:r>
      <w:r w:rsidR="009B509D">
        <w:rPr>
          <w:sz w:val="24"/>
          <w:szCs w:val="24"/>
          <w:lang w:val="en-GB"/>
        </w:rPr>
        <w:t>"</w:t>
      </w:r>
      <w:r w:rsidRPr="0078138E">
        <w:rPr>
          <w:sz w:val="24"/>
          <w:szCs w:val="24"/>
          <w:lang w:val="en-GB"/>
        </w:rPr>
        <w:t>Sandoz</w:t>
      </w:r>
      <w:r w:rsidR="009B509D">
        <w:rPr>
          <w:sz w:val="24"/>
          <w:szCs w:val="24"/>
          <w:lang w:val="en-GB"/>
        </w:rPr>
        <w:t>"</w:t>
      </w:r>
      <w:r w:rsidRPr="0078138E">
        <w:rPr>
          <w:sz w:val="24"/>
          <w:szCs w:val="24"/>
          <w:lang w:val="en-GB"/>
        </w:rPr>
        <w:t xml:space="preserve"> may be considered in patients with a response and after having discontinued corticosteroids. A 50% dose reduction of </w:t>
      </w:r>
      <w:proofErr w:type="spellStart"/>
      <w:r w:rsidRPr="0078138E">
        <w:rPr>
          <w:sz w:val="24"/>
          <w:szCs w:val="24"/>
          <w:lang w:val="en-GB"/>
        </w:rPr>
        <w:t>Ruxolitinib</w:t>
      </w:r>
      <w:proofErr w:type="spellEnd"/>
      <w:r w:rsidRPr="0078138E">
        <w:rPr>
          <w:sz w:val="24"/>
          <w:szCs w:val="24"/>
          <w:lang w:val="en-GB"/>
        </w:rPr>
        <w:t xml:space="preserve"> </w:t>
      </w:r>
      <w:r w:rsidR="009B509D">
        <w:rPr>
          <w:sz w:val="24"/>
          <w:szCs w:val="24"/>
          <w:lang w:val="en-GB"/>
        </w:rPr>
        <w:t>"</w:t>
      </w:r>
      <w:r w:rsidRPr="0078138E">
        <w:rPr>
          <w:sz w:val="24"/>
          <w:szCs w:val="24"/>
          <w:lang w:val="en-GB"/>
        </w:rPr>
        <w:t>Sandoz</w:t>
      </w:r>
      <w:r w:rsidR="009B509D">
        <w:rPr>
          <w:sz w:val="24"/>
          <w:szCs w:val="24"/>
          <w:lang w:val="en-GB"/>
        </w:rPr>
        <w:t>"</w:t>
      </w:r>
      <w:r w:rsidRPr="0078138E">
        <w:rPr>
          <w:sz w:val="24"/>
          <w:szCs w:val="24"/>
          <w:lang w:val="en-GB"/>
        </w:rPr>
        <w:t xml:space="preserve"> every two months is recommended. If signs or symptoms of GvHD reoccur during or after the taper of </w:t>
      </w:r>
      <w:proofErr w:type="spellStart"/>
      <w:r w:rsidRPr="0078138E">
        <w:rPr>
          <w:sz w:val="24"/>
          <w:szCs w:val="24"/>
          <w:lang w:val="en-GB"/>
        </w:rPr>
        <w:t>Ruxolitinib</w:t>
      </w:r>
      <w:proofErr w:type="spellEnd"/>
      <w:r w:rsidRPr="0078138E">
        <w:rPr>
          <w:sz w:val="24"/>
          <w:szCs w:val="24"/>
          <w:lang w:val="en-GB"/>
        </w:rPr>
        <w:t xml:space="preserve"> </w:t>
      </w:r>
      <w:r w:rsidR="009B509D">
        <w:rPr>
          <w:sz w:val="24"/>
          <w:szCs w:val="24"/>
          <w:lang w:val="en-GB"/>
        </w:rPr>
        <w:t>"</w:t>
      </w:r>
      <w:r w:rsidRPr="0078138E">
        <w:rPr>
          <w:sz w:val="24"/>
          <w:szCs w:val="24"/>
          <w:lang w:val="en-GB"/>
        </w:rPr>
        <w:t>Sandoz</w:t>
      </w:r>
      <w:r w:rsidR="009B509D">
        <w:rPr>
          <w:sz w:val="24"/>
          <w:szCs w:val="24"/>
          <w:lang w:val="en-GB"/>
        </w:rPr>
        <w:t>"</w:t>
      </w:r>
      <w:r w:rsidRPr="0078138E">
        <w:rPr>
          <w:sz w:val="24"/>
          <w:szCs w:val="24"/>
          <w:lang w:val="en-GB"/>
        </w:rPr>
        <w:t>, re-escalation of treatment should be considered.</w:t>
      </w:r>
    </w:p>
    <w:p w14:paraId="3D98A9E7" w14:textId="77777777" w:rsidR="0078138E" w:rsidRPr="0078138E" w:rsidRDefault="0078138E" w:rsidP="00882574">
      <w:pPr>
        <w:ind w:left="851"/>
        <w:rPr>
          <w:sz w:val="24"/>
          <w:szCs w:val="24"/>
          <w:lang w:val="en-GB"/>
        </w:rPr>
      </w:pPr>
    </w:p>
    <w:p w14:paraId="24BAC9F4" w14:textId="77777777" w:rsidR="0078138E" w:rsidRPr="0078138E" w:rsidRDefault="0078138E" w:rsidP="00882574">
      <w:pPr>
        <w:ind w:left="851"/>
        <w:rPr>
          <w:sz w:val="24"/>
          <w:szCs w:val="24"/>
          <w:u w:val="single"/>
          <w:lang w:val="en-GB"/>
        </w:rPr>
      </w:pPr>
      <w:r w:rsidRPr="0078138E">
        <w:rPr>
          <w:sz w:val="24"/>
          <w:szCs w:val="24"/>
          <w:u w:val="single"/>
          <w:lang w:val="en-GB"/>
        </w:rPr>
        <w:t>Method of administration</w:t>
      </w:r>
    </w:p>
    <w:p w14:paraId="013B48A4" w14:textId="0E17C6E9" w:rsidR="0078138E" w:rsidRPr="0078138E" w:rsidRDefault="0078138E" w:rsidP="00882574">
      <w:pPr>
        <w:ind w:left="851"/>
        <w:rPr>
          <w:sz w:val="24"/>
          <w:szCs w:val="24"/>
          <w:lang w:val="en-GB"/>
        </w:rPr>
      </w:pPr>
      <w:proofErr w:type="spellStart"/>
      <w:r w:rsidRPr="0078138E">
        <w:rPr>
          <w:sz w:val="24"/>
          <w:szCs w:val="24"/>
          <w:lang w:val="en-GB"/>
        </w:rPr>
        <w:t>Ruxolitinib</w:t>
      </w:r>
      <w:proofErr w:type="spellEnd"/>
      <w:r w:rsidRPr="0078138E">
        <w:rPr>
          <w:sz w:val="24"/>
          <w:szCs w:val="24"/>
          <w:lang w:val="en-GB"/>
        </w:rPr>
        <w:t xml:space="preserve"> </w:t>
      </w:r>
      <w:r w:rsidR="009B509D">
        <w:rPr>
          <w:sz w:val="24"/>
          <w:szCs w:val="24"/>
          <w:lang w:val="en-GB"/>
        </w:rPr>
        <w:t>"</w:t>
      </w:r>
      <w:r w:rsidRPr="0078138E">
        <w:rPr>
          <w:sz w:val="24"/>
          <w:szCs w:val="24"/>
          <w:lang w:val="en-GB"/>
        </w:rPr>
        <w:t>Sandoz</w:t>
      </w:r>
      <w:r w:rsidR="009B509D">
        <w:rPr>
          <w:sz w:val="24"/>
          <w:szCs w:val="24"/>
          <w:lang w:val="en-GB"/>
        </w:rPr>
        <w:t>"</w:t>
      </w:r>
      <w:r w:rsidRPr="0078138E">
        <w:rPr>
          <w:sz w:val="24"/>
          <w:szCs w:val="24"/>
          <w:lang w:val="en-GB"/>
        </w:rPr>
        <w:t xml:space="preserve"> is to be taken orally, with or without food.</w:t>
      </w:r>
    </w:p>
    <w:p w14:paraId="5A5E787E" w14:textId="77777777" w:rsidR="0078138E" w:rsidRPr="0078138E" w:rsidRDefault="0078138E" w:rsidP="00882574">
      <w:pPr>
        <w:ind w:left="851"/>
        <w:rPr>
          <w:sz w:val="24"/>
          <w:szCs w:val="24"/>
          <w:lang w:val="en-GB"/>
        </w:rPr>
      </w:pPr>
    </w:p>
    <w:p w14:paraId="75416D76" w14:textId="77777777" w:rsidR="0078138E" w:rsidRPr="0078138E" w:rsidRDefault="0078138E" w:rsidP="00882574">
      <w:pPr>
        <w:ind w:left="851"/>
        <w:rPr>
          <w:sz w:val="24"/>
          <w:szCs w:val="24"/>
          <w:lang w:val="en-GB"/>
        </w:rPr>
      </w:pPr>
      <w:r w:rsidRPr="0078138E">
        <w:rPr>
          <w:sz w:val="24"/>
          <w:szCs w:val="24"/>
          <w:lang w:val="en-GB"/>
        </w:rPr>
        <w:t xml:space="preserve">If a dose is missed, the patient should not take an additional </w:t>
      </w:r>
      <w:proofErr w:type="gramStart"/>
      <w:r w:rsidRPr="0078138E">
        <w:rPr>
          <w:sz w:val="24"/>
          <w:szCs w:val="24"/>
          <w:lang w:val="en-GB"/>
        </w:rPr>
        <w:t>dose, but</w:t>
      </w:r>
      <w:proofErr w:type="gramEnd"/>
      <w:r w:rsidRPr="0078138E">
        <w:rPr>
          <w:sz w:val="24"/>
          <w:szCs w:val="24"/>
          <w:lang w:val="en-GB"/>
        </w:rPr>
        <w:t xml:space="preserve"> should take the next usual prescribed dose.</w:t>
      </w:r>
    </w:p>
    <w:p w14:paraId="4A01B154" w14:textId="77777777" w:rsidR="007C5D2A" w:rsidRPr="009B509D" w:rsidRDefault="007C5D2A" w:rsidP="00A85D26">
      <w:pPr>
        <w:tabs>
          <w:tab w:val="left" w:pos="851"/>
        </w:tabs>
        <w:ind w:left="851"/>
        <w:rPr>
          <w:sz w:val="24"/>
          <w:szCs w:val="24"/>
          <w:lang w:val="en-GB"/>
        </w:rPr>
      </w:pPr>
    </w:p>
    <w:p w14:paraId="3DFCC9A5" w14:textId="77777777" w:rsidR="007C5D2A" w:rsidRPr="009B509D" w:rsidRDefault="007C5D2A" w:rsidP="007C5D2A">
      <w:pPr>
        <w:tabs>
          <w:tab w:val="left" w:pos="851"/>
        </w:tabs>
        <w:ind w:left="851" w:hanging="851"/>
        <w:rPr>
          <w:b/>
          <w:sz w:val="24"/>
          <w:szCs w:val="24"/>
          <w:lang w:val="en-GB"/>
        </w:rPr>
      </w:pPr>
      <w:r w:rsidRPr="009B509D">
        <w:rPr>
          <w:b/>
          <w:sz w:val="24"/>
          <w:szCs w:val="24"/>
          <w:lang w:val="en-GB"/>
        </w:rPr>
        <w:t>4.3</w:t>
      </w:r>
      <w:r w:rsidRPr="009B509D">
        <w:rPr>
          <w:b/>
          <w:sz w:val="24"/>
          <w:szCs w:val="24"/>
          <w:lang w:val="en-GB"/>
        </w:rPr>
        <w:tab/>
        <w:t>Contraindications</w:t>
      </w:r>
    </w:p>
    <w:p w14:paraId="694100C3" w14:textId="77777777" w:rsidR="0078138E" w:rsidRPr="0078138E" w:rsidRDefault="0078138E" w:rsidP="00882574">
      <w:pPr>
        <w:ind w:left="851"/>
        <w:rPr>
          <w:sz w:val="24"/>
          <w:szCs w:val="24"/>
          <w:lang w:val="en-GB"/>
        </w:rPr>
      </w:pPr>
      <w:r w:rsidRPr="0078138E">
        <w:rPr>
          <w:sz w:val="24"/>
          <w:szCs w:val="24"/>
          <w:lang w:val="en-GB"/>
        </w:rPr>
        <w:t>Hypersensitivity to the active substance or to any of the excipients listed in section 6.1.</w:t>
      </w:r>
    </w:p>
    <w:p w14:paraId="7DC73943" w14:textId="77777777" w:rsidR="0078138E" w:rsidRPr="0078138E" w:rsidRDefault="0078138E" w:rsidP="00882574">
      <w:pPr>
        <w:ind w:left="851"/>
        <w:rPr>
          <w:sz w:val="24"/>
          <w:szCs w:val="24"/>
          <w:lang w:val="en-GB"/>
        </w:rPr>
      </w:pPr>
    </w:p>
    <w:p w14:paraId="5EECCC47" w14:textId="77777777" w:rsidR="0078138E" w:rsidRPr="0078138E" w:rsidRDefault="0078138E" w:rsidP="00882574">
      <w:pPr>
        <w:ind w:left="851"/>
        <w:rPr>
          <w:sz w:val="24"/>
          <w:szCs w:val="24"/>
          <w:lang w:val="en-GB"/>
        </w:rPr>
      </w:pPr>
      <w:r w:rsidRPr="0078138E">
        <w:rPr>
          <w:sz w:val="24"/>
          <w:szCs w:val="24"/>
          <w:lang w:val="en-GB"/>
        </w:rPr>
        <w:t>Pregnancy and lactation</w:t>
      </w:r>
    </w:p>
    <w:p w14:paraId="4C123E64" w14:textId="77777777" w:rsidR="007C5D2A" w:rsidRPr="009B509D" w:rsidRDefault="007C5D2A" w:rsidP="00882574">
      <w:pPr>
        <w:ind w:left="851"/>
        <w:rPr>
          <w:sz w:val="24"/>
          <w:szCs w:val="24"/>
          <w:lang w:val="en-GB"/>
        </w:rPr>
      </w:pPr>
    </w:p>
    <w:p w14:paraId="72F067A1" w14:textId="77777777" w:rsidR="007C5D2A" w:rsidRPr="009B509D" w:rsidRDefault="007C5D2A" w:rsidP="007C5D2A">
      <w:pPr>
        <w:tabs>
          <w:tab w:val="left" w:pos="851"/>
        </w:tabs>
        <w:rPr>
          <w:b/>
          <w:sz w:val="24"/>
          <w:szCs w:val="24"/>
          <w:lang w:val="en-GB"/>
        </w:rPr>
      </w:pPr>
      <w:r w:rsidRPr="009B509D">
        <w:rPr>
          <w:b/>
          <w:sz w:val="24"/>
          <w:szCs w:val="24"/>
          <w:lang w:val="en-GB"/>
        </w:rPr>
        <w:t>4.4</w:t>
      </w:r>
      <w:r w:rsidRPr="009B509D">
        <w:rPr>
          <w:b/>
          <w:sz w:val="24"/>
          <w:szCs w:val="24"/>
          <w:lang w:val="en-GB"/>
        </w:rPr>
        <w:tab/>
        <w:t>Special warnings and precautions for use</w:t>
      </w:r>
    </w:p>
    <w:p w14:paraId="40A90AF9" w14:textId="77777777" w:rsidR="002A0A70" w:rsidRDefault="002A0A70" w:rsidP="00882574">
      <w:pPr>
        <w:ind w:left="851"/>
        <w:rPr>
          <w:sz w:val="24"/>
          <w:szCs w:val="24"/>
          <w:u w:val="single"/>
          <w:lang w:val="en-GB"/>
        </w:rPr>
      </w:pPr>
    </w:p>
    <w:p w14:paraId="6484D3C2" w14:textId="151423AB" w:rsidR="0078138E" w:rsidRPr="0078138E" w:rsidRDefault="0078138E" w:rsidP="00882574">
      <w:pPr>
        <w:ind w:left="851"/>
        <w:rPr>
          <w:sz w:val="24"/>
          <w:szCs w:val="24"/>
          <w:u w:val="single"/>
          <w:lang w:val="en-GB"/>
        </w:rPr>
      </w:pPr>
      <w:r w:rsidRPr="0078138E">
        <w:rPr>
          <w:sz w:val="24"/>
          <w:szCs w:val="24"/>
          <w:u w:val="single"/>
          <w:lang w:val="en-GB"/>
        </w:rPr>
        <w:t>Myelosuppression</w:t>
      </w:r>
    </w:p>
    <w:p w14:paraId="56BC9351" w14:textId="77777777" w:rsidR="0078138E" w:rsidRPr="0078138E" w:rsidRDefault="0078138E" w:rsidP="00882574">
      <w:pPr>
        <w:ind w:left="851"/>
        <w:rPr>
          <w:sz w:val="24"/>
          <w:szCs w:val="24"/>
          <w:u w:val="single"/>
          <w:lang w:val="en-GB"/>
        </w:rPr>
      </w:pPr>
    </w:p>
    <w:p w14:paraId="1B6C5C1A" w14:textId="756BB7B9" w:rsidR="0078138E" w:rsidRPr="0078138E" w:rsidRDefault="0078138E" w:rsidP="00882574">
      <w:pPr>
        <w:ind w:left="851"/>
        <w:rPr>
          <w:sz w:val="24"/>
          <w:szCs w:val="24"/>
          <w:lang w:val="en-GB"/>
        </w:rPr>
      </w:pPr>
      <w:r w:rsidRPr="0078138E">
        <w:rPr>
          <w:sz w:val="24"/>
          <w:szCs w:val="24"/>
          <w:lang w:val="en-GB"/>
        </w:rPr>
        <w:t xml:space="preserve">Treatment with </w:t>
      </w:r>
      <w:proofErr w:type="spellStart"/>
      <w:r w:rsidRPr="0078138E">
        <w:rPr>
          <w:sz w:val="24"/>
          <w:szCs w:val="24"/>
          <w:lang w:val="en-GB"/>
        </w:rPr>
        <w:t>ruxolitinib</w:t>
      </w:r>
      <w:proofErr w:type="spellEnd"/>
      <w:r w:rsidRPr="0078138E">
        <w:rPr>
          <w:sz w:val="24"/>
          <w:szCs w:val="24"/>
          <w:lang w:val="en-GB"/>
        </w:rPr>
        <w:t xml:space="preserve"> can cause haematological adverse drug reactions, including thrombocytopenia, anaemia and neutropenia. A complete blood count, including a white blood cell count differential, must be performed before initiating therapy with </w:t>
      </w:r>
      <w:proofErr w:type="spellStart"/>
      <w:r w:rsidRPr="0078138E">
        <w:rPr>
          <w:sz w:val="24"/>
          <w:szCs w:val="24"/>
          <w:lang w:val="en-GB"/>
        </w:rPr>
        <w:t>ruxolitinib</w:t>
      </w:r>
      <w:proofErr w:type="spellEnd"/>
      <w:r w:rsidRPr="0078138E">
        <w:rPr>
          <w:sz w:val="24"/>
          <w:szCs w:val="24"/>
          <w:lang w:val="en-GB"/>
        </w:rPr>
        <w:t>. Treatment should be discontinued in MF patients with platelet count less than 50 000/mm</w:t>
      </w:r>
      <w:r w:rsidRPr="0078138E">
        <w:rPr>
          <w:sz w:val="24"/>
          <w:szCs w:val="24"/>
          <w:vertAlign w:val="superscript"/>
          <w:lang w:val="en-GB"/>
        </w:rPr>
        <w:t>3</w:t>
      </w:r>
      <w:r w:rsidRPr="0078138E">
        <w:rPr>
          <w:sz w:val="24"/>
          <w:szCs w:val="24"/>
          <w:lang w:val="en-GB"/>
        </w:rPr>
        <w:t xml:space="preserve"> or abso</w:t>
      </w:r>
      <w:r w:rsidR="008E5F58">
        <w:rPr>
          <w:sz w:val="24"/>
          <w:szCs w:val="24"/>
          <w:lang w:val="en-GB"/>
        </w:rPr>
        <w:t>l</w:t>
      </w:r>
      <w:r w:rsidRPr="0078138E">
        <w:rPr>
          <w:sz w:val="24"/>
          <w:szCs w:val="24"/>
          <w:lang w:val="en-GB"/>
        </w:rPr>
        <w:t>ute neutrophil count less than 500/mm</w:t>
      </w:r>
      <w:r w:rsidRPr="0078138E">
        <w:rPr>
          <w:sz w:val="24"/>
          <w:szCs w:val="24"/>
          <w:vertAlign w:val="superscript"/>
          <w:lang w:val="en-GB"/>
        </w:rPr>
        <w:t>3</w:t>
      </w:r>
      <w:r w:rsidRPr="0078138E">
        <w:rPr>
          <w:sz w:val="24"/>
          <w:szCs w:val="24"/>
          <w:lang w:val="en-GB"/>
        </w:rPr>
        <w:t xml:space="preserve"> (see section 4.2).</w:t>
      </w:r>
    </w:p>
    <w:p w14:paraId="27160479" w14:textId="77777777" w:rsidR="0078138E" w:rsidRPr="0078138E" w:rsidRDefault="0078138E" w:rsidP="00882574">
      <w:pPr>
        <w:ind w:left="851"/>
        <w:rPr>
          <w:sz w:val="24"/>
          <w:szCs w:val="24"/>
          <w:lang w:val="en-GB"/>
        </w:rPr>
      </w:pPr>
    </w:p>
    <w:p w14:paraId="12B6642F" w14:textId="77777777" w:rsidR="0078138E" w:rsidRPr="0078138E" w:rsidRDefault="0078138E" w:rsidP="00882574">
      <w:pPr>
        <w:ind w:left="851"/>
        <w:rPr>
          <w:sz w:val="24"/>
          <w:szCs w:val="24"/>
          <w:lang w:val="en-GB"/>
        </w:rPr>
      </w:pPr>
      <w:r w:rsidRPr="0078138E">
        <w:rPr>
          <w:sz w:val="24"/>
          <w:szCs w:val="24"/>
          <w:lang w:val="en-GB"/>
        </w:rPr>
        <w:t>It has been observed that MF patients with low platelet counts (&lt;200 000/mm</w:t>
      </w:r>
      <w:r w:rsidRPr="0078138E">
        <w:rPr>
          <w:sz w:val="24"/>
          <w:szCs w:val="24"/>
          <w:vertAlign w:val="superscript"/>
          <w:lang w:val="en-GB"/>
        </w:rPr>
        <w:t>3</w:t>
      </w:r>
      <w:r w:rsidRPr="0078138E">
        <w:rPr>
          <w:sz w:val="24"/>
          <w:szCs w:val="24"/>
          <w:lang w:val="en-GB"/>
        </w:rPr>
        <w:t>) at the start of therapy are more likely to develop thrombocytopenia during treatment.</w:t>
      </w:r>
    </w:p>
    <w:p w14:paraId="7A2E2AD3" w14:textId="77777777" w:rsidR="0078138E" w:rsidRPr="0078138E" w:rsidRDefault="0078138E" w:rsidP="00882574">
      <w:pPr>
        <w:ind w:left="851"/>
        <w:rPr>
          <w:sz w:val="24"/>
          <w:szCs w:val="24"/>
          <w:lang w:val="en-GB"/>
        </w:rPr>
      </w:pPr>
    </w:p>
    <w:p w14:paraId="582DD2FE" w14:textId="77777777" w:rsidR="0078138E" w:rsidRPr="0078138E" w:rsidRDefault="0078138E" w:rsidP="00882574">
      <w:pPr>
        <w:ind w:left="851"/>
        <w:rPr>
          <w:sz w:val="24"/>
          <w:szCs w:val="24"/>
          <w:lang w:val="en-GB"/>
        </w:rPr>
      </w:pPr>
      <w:r w:rsidRPr="0078138E">
        <w:rPr>
          <w:sz w:val="24"/>
          <w:szCs w:val="24"/>
          <w:lang w:val="en-GB"/>
        </w:rPr>
        <w:t xml:space="preserve">Thrombocytopenia is generally reversible and is usually managed by reducing the dose or temporarily withholding </w:t>
      </w:r>
      <w:proofErr w:type="spellStart"/>
      <w:r w:rsidRPr="0078138E">
        <w:rPr>
          <w:sz w:val="24"/>
          <w:szCs w:val="24"/>
          <w:lang w:val="en-GB"/>
        </w:rPr>
        <w:t>ruxolitinib</w:t>
      </w:r>
      <w:proofErr w:type="spellEnd"/>
      <w:r w:rsidRPr="0078138E">
        <w:rPr>
          <w:sz w:val="24"/>
          <w:szCs w:val="24"/>
          <w:lang w:val="en-GB"/>
        </w:rPr>
        <w:t xml:space="preserve"> (see sections 4.2 and 4.8). However, platelet transfusions may be required as clinically indicated.</w:t>
      </w:r>
    </w:p>
    <w:p w14:paraId="71043B4E" w14:textId="77777777" w:rsidR="0078138E" w:rsidRPr="0078138E" w:rsidRDefault="0078138E" w:rsidP="00882574">
      <w:pPr>
        <w:ind w:left="851"/>
        <w:rPr>
          <w:sz w:val="24"/>
          <w:szCs w:val="24"/>
          <w:lang w:val="en-GB"/>
        </w:rPr>
      </w:pPr>
    </w:p>
    <w:p w14:paraId="4A6401CB" w14:textId="77777777" w:rsidR="0078138E" w:rsidRPr="0078138E" w:rsidRDefault="0078138E" w:rsidP="00882574">
      <w:pPr>
        <w:ind w:left="851"/>
        <w:rPr>
          <w:sz w:val="24"/>
          <w:szCs w:val="24"/>
          <w:lang w:val="en-GB"/>
        </w:rPr>
      </w:pPr>
      <w:r w:rsidRPr="0078138E">
        <w:rPr>
          <w:sz w:val="24"/>
          <w:szCs w:val="24"/>
          <w:lang w:val="en-GB"/>
        </w:rPr>
        <w:t>Patients developing anaemia may require blood transfusions. Dose modifications or interruption for patients developing anaemia may also need to be considered.</w:t>
      </w:r>
    </w:p>
    <w:p w14:paraId="79A5964B" w14:textId="77777777" w:rsidR="0078138E" w:rsidRPr="0078138E" w:rsidRDefault="0078138E" w:rsidP="00882574">
      <w:pPr>
        <w:ind w:left="851"/>
        <w:rPr>
          <w:sz w:val="24"/>
          <w:szCs w:val="24"/>
          <w:lang w:val="en-GB"/>
        </w:rPr>
      </w:pPr>
    </w:p>
    <w:p w14:paraId="6083BB5F" w14:textId="77777777" w:rsidR="0078138E" w:rsidRPr="0078138E" w:rsidRDefault="0078138E" w:rsidP="00882574">
      <w:pPr>
        <w:ind w:left="851"/>
        <w:rPr>
          <w:sz w:val="24"/>
          <w:szCs w:val="24"/>
          <w:lang w:val="en-GB"/>
        </w:rPr>
      </w:pPr>
      <w:r w:rsidRPr="0078138E">
        <w:rPr>
          <w:sz w:val="24"/>
          <w:szCs w:val="24"/>
          <w:lang w:val="en-GB"/>
        </w:rPr>
        <w:t xml:space="preserve">Patients with a haemoglobin level below 10.0 g/dl at the beginning of the treatment have a higher risk of developing a haemoglobin level below 8.0 g/dl during treatment compared to patients with a higher baseline haemoglobin level (79.3% versus 30.1%). More frequent monitoring of haematology parameters and of clinical signs and symptoms of </w:t>
      </w:r>
      <w:proofErr w:type="spellStart"/>
      <w:r w:rsidRPr="0078138E">
        <w:rPr>
          <w:sz w:val="24"/>
          <w:szCs w:val="24"/>
          <w:lang w:val="en-GB"/>
        </w:rPr>
        <w:t>ruxolitinib</w:t>
      </w:r>
      <w:proofErr w:type="spellEnd"/>
      <w:r w:rsidRPr="0078138E">
        <w:rPr>
          <w:sz w:val="24"/>
          <w:szCs w:val="24"/>
          <w:lang w:val="en-GB"/>
        </w:rPr>
        <w:t xml:space="preserve"> related adverse drug reactions is recommended for patients with baseline haemoglobin below 10.0 g/dl.</w:t>
      </w:r>
    </w:p>
    <w:p w14:paraId="38B81CBB" w14:textId="77777777" w:rsidR="0078138E" w:rsidRPr="0078138E" w:rsidRDefault="0078138E" w:rsidP="00882574">
      <w:pPr>
        <w:ind w:left="851"/>
        <w:rPr>
          <w:sz w:val="24"/>
          <w:szCs w:val="24"/>
          <w:lang w:val="en-GB"/>
        </w:rPr>
      </w:pPr>
    </w:p>
    <w:p w14:paraId="0A32F705" w14:textId="77777777" w:rsidR="0078138E" w:rsidRPr="0078138E" w:rsidRDefault="0078138E" w:rsidP="00882574">
      <w:pPr>
        <w:ind w:left="851"/>
        <w:rPr>
          <w:sz w:val="24"/>
          <w:szCs w:val="24"/>
          <w:lang w:val="en-GB"/>
        </w:rPr>
      </w:pPr>
      <w:r w:rsidRPr="0078138E">
        <w:rPr>
          <w:sz w:val="24"/>
          <w:szCs w:val="24"/>
          <w:lang w:val="en-GB"/>
        </w:rPr>
        <w:t xml:space="preserve">Neutropenia (absolute neutrophil count &lt;500) was generally reversible and was managed by temporarily withholding </w:t>
      </w:r>
      <w:proofErr w:type="spellStart"/>
      <w:r w:rsidRPr="0078138E">
        <w:rPr>
          <w:sz w:val="24"/>
          <w:szCs w:val="24"/>
          <w:lang w:val="en-GB"/>
        </w:rPr>
        <w:t>ruxolitinib</w:t>
      </w:r>
      <w:proofErr w:type="spellEnd"/>
      <w:r w:rsidRPr="0078138E">
        <w:rPr>
          <w:sz w:val="24"/>
          <w:szCs w:val="24"/>
          <w:lang w:val="en-GB"/>
        </w:rPr>
        <w:t xml:space="preserve"> (see sections 4.2 and 4.8).</w:t>
      </w:r>
    </w:p>
    <w:p w14:paraId="603B406C" w14:textId="77777777" w:rsidR="0078138E" w:rsidRPr="0078138E" w:rsidRDefault="0078138E" w:rsidP="00882574">
      <w:pPr>
        <w:ind w:left="851"/>
        <w:rPr>
          <w:sz w:val="24"/>
          <w:szCs w:val="24"/>
          <w:lang w:val="en-GB"/>
        </w:rPr>
      </w:pPr>
    </w:p>
    <w:p w14:paraId="5C23659F" w14:textId="77777777" w:rsidR="0078138E" w:rsidRPr="0078138E" w:rsidRDefault="0078138E" w:rsidP="00882574">
      <w:pPr>
        <w:ind w:left="851"/>
        <w:rPr>
          <w:sz w:val="24"/>
          <w:szCs w:val="24"/>
          <w:lang w:val="en-GB"/>
        </w:rPr>
      </w:pPr>
      <w:r w:rsidRPr="0078138E">
        <w:rPr>
          <w:sz w:val="24"/>
          <w:szCs w:val="24"/>
          <w:lang w:val="en-GB"/>
        </w:rPr>
        <w:t>Complete blood counts should be monitored as clinically indicated and dose adjusted as required (see sections 4.2 and 4.8).</w:t>
      </w:r>
    </w:p>
    <w:p w14:paraId="54FE5E4D" w14:textId="77777777" w:rsidR="0078138E" w:rsidRPr="0078138E" w:rsidRDefault="0078138E" w:rsidP="00882574">
      <w:pPr>
        <w:ind w:left="851"/>
        <w:rPr>
          <w:sz w:val="24"/>
          <w:szCs w:val="24"/>
          <w:lang w:val="en-GB"/>
        </w:rPr>
      </w:pPr>
    </w:p>
    <w:p w14:paraId="3D748C23" w14:textId="77777777" w:rsidR="0078138E" w:rsidRPr="0078138E" w:rsidRDefault="0078138E" w:rsidP="00882574">
      <w:pPr>
        <w:ind w:left="851"/>
        <w:rPr>
          <w:sz w:val="24"/>
          <w:szCs w:val="24"/>
          <w:u w:val="single"/>
          <w:lang w:val="en-GB"/>
        </w:rPr>
      </w:pPr>
      <w:r w:rsidRPr="0078138E">
        <w:rPr>
          <w:sz w:val="24"/>
          <w:szCs w:val="24"/>
          <w:u w:val="single"/>
          <w:lang w:val="en-GB"/>
        </w:rPr>
        <w:t>Infections</w:t>
      </w:r>
    </w:p>
    <w:p w14:paraId="3B30DE3A" w14:textId="77777777" w:rsidR="0078138E" w:rsidRPr="0078138E" w:rsidRDefault="0078138E" w:rsidP="00882574">
      <w:pPr>
        <w:ind w:left="851"/>
        <w:rPr>
          <w:sz w:val="24"/>
          <w:szCs w:val="24"/>
          <w:lang w:val="en-GB"/>
        </w:rPr>
      </w:pPr>
    </w:p>
    <w:p w14:paraId="5CCA23CC" w14:textId="77777777" w:rsidR="0078138E" w:rsidRPr="0078138E" w:rsidRDefault="0078138E" w:rsidP="00882574">
      <w:pPr>
        <w:ind w:left="851"/>
        <w:rPr>
          <w:sz w:val="24"/>
          <w:szCs w:val="24"/>
          <w:lang w:val="en-GB"/>
        </w:rPr>
      </w:pPr>
      <w:r w:rsidRPr="0078138E">
        <w:rPr>
          <w:sz w:val="24"/>
          <w:szCs w:val="24"/>
          <w:lang w:val="en-GB"/>
        </w:rPr>
        <w:t xml:space="preserve">Serious bacterial, mycobacterial, fungal, viral and other opportunistic infections have occurred in patients treated with </w:t>
      </w:r>
      <w:proofErr w:type="spellStart"/>
      <w:r w:rsidRPr="0078138E">
        <w:rPr>
          <w:sz w:val="24"/>
          <w:szCs w:val="24"/>
          <w:lang w:val="en-GB"/>
        </w:rPr>
        <w:t>ruxolitinib</w:t>
      </w:r>
      <w:proofErr w:type="spellEnd"/>
      <w:r w:rsidRPr="0078138E">
        <w:rPr>
          <w:sz w:val="24"/>
          <w:szCs w:val="24"/>
          <w:lang w:val="en-GB"/>
        </w:rPr>
        <w:t xml:space="preserve">. Patients should be assessed for the risk of developing serious infections. Physicians should carefully observe patients receiving </w:t>
      </w:r>
      <w:proofErr w:type="spellStart"/>
      <w:r w:rsidRPr="0078138E">
        <w:rPr>
          <w:sz w:val="24"/>
          <w:szCs w:val="24"/>
          <w:lang w:val="en-GB"/>
        </w:rPr>
        <w:t>ruxolitinib</w:t>
      </w:r>
      <w:proofErr w:type="spellEnd"/>
      <w:r w:rsidRPr="0078138E">
        <w:rPr>
          <w:sz w:val="24"/>
          <w:szCs w:val="24"/>
          <w:lang w:val="en-GB"/>
        </w:rPr>
        <w:t xml:space="preserve"> for signs and symptoms of infections and initiate appropriate treatment promptly. Treatment with </w:t>
      </w:r>
      <w:proofErr w:type="spellStart"/>
      <w:r w:rsidRPr="0078138E">
        <w:rPr>
          <w:sz w:val="24"/>
          <w:szCs w:val="24"/>
          <w:lang w:val="en-GB"/>
        </w:rPr>
        <w:t>ruxolitinib</w:t>
      </w:r>
      <w:proofErr w:type="spellEnd"/>
      <w:r w:rsidRPr="0078138E">
        <w:rPr>
          <w:sz w:val="24"/>
          <w:szCs w:val="24"/>
          <w:lang w:val="en-GB"/>
        </w:rPr>
        <w:t xml:space="preserve"> should not be started until active serious infections have resolved.</w:t>
      </w:r>
    </w:p>
    <w:p w14:paraId="51CC22F3" w14:textId="77777777" w:rsidR="0078138E" w:rsidRPr="0078138E" w:rsidRDefault="0078138E" w:rsidP="00882574">
      <w:pPr>
        <w:ind w:left="851"/>
        <w:rPr>
          <w:sz w:val="24"/>
          <w:szCs w:val="24"/>
          <w:lang w:val="en-GB"/>
        </w:rPr>
      </w:pPr>
    </w:p>
    <w:p w14:paraId="1F6595F4" w14:textId="01FD28B2" w:rsidR="0078138E" w:rsidRPr="0078138E" w:rsidRDefault="0078138E" w:rsidP="00882574">
      <w:pPr>
        <w:ind w:left="851"/>
        <w:rPr>
          <w:sz w:val="24"/>
          <w:szCs w:val="24"/>
          <w:lang w:val="en-GB"/>
        </w:rPr>
      </w:pPr>
      <w:r w:rsidRPr="0078138E">
        <w:rPr>
          <w:sz w:val="24"/>
          <w:szCs w:val="24"/>
          <w:lang w:val="en-GB"/>
        </w:rPr>
        <w:t xml:space="preserve">Tuberculosis has been reported in patients receiving </w:t>
      </w:r>
      <w:proofErr w:type="spellStart"/>
      <w:r w:rsidRPr="0078138E">
        <w:rPr>
          <w:sz w:val="24"/>
          <w:szCs w:val="24"/>
          <w:lang w:val="en-GB"/>
        </w:rPr>
        <w:t>ruxolitinib</w:t>
      </w:r>
      <w:proofErr w:type="spellEnd"/>
      <w:r w:rsidRPr="0078138E">
        <w:rPr>
          <w:sz w:val="24"/>
          <w:szCs w:val="24"/>
          <w:lang w:val="en-GB"/>
        </w:rPr>
        <w:t>. Before starting treatment, patients should be evaluated for active and inactive (</w:t>
      </w:r>
      <w:r w:rsidR="009B509D">
        <w:rPr>
          <w:sz w:val="24"/>
          <w:szCs w:val="24"/>
          <w:lang w:val="en-GB"/>
        </w:rPr>
        <w:t>"</w:t>
      </w:r>
      <w:r w:rsidRPr="0078138E">
        <w:rPr>
          <w:sz w:val="24"/>
          <w:szCs w:val="24"/>
          <w:lang w:val="en-GB"/>
        </w:rPr>
        <w:t>latent</w:t>
      </w:r>
      <w:r w:rsidR="009B509D">
        <w:rPr>
          <w:sz w:val="24"/>
          <w:szCs w:val="24"/>
          <w:lang w:val="en-GB"/>
        </w:rPr>
        <w:t>"</w:t>
      </w:r>
      <w:r w:rsidRPr="0078138E">
        <w:rPr>
          <w:sz w:val="24"/>
          <w:szCs w:val="24"/>
          <w:lang w:val="en-GB"/>
        </w:rPr>
        <w:t>) tuberculosis, as per local recommendations. This can include medical history, possible previous contact with tuberculosis, and/or appropriate screening such as lung x-ray, tuberculin test and/or interferon-gamma release assay, as applicable. Prescribers are reminded of the risk of false negative tuberculin skin test results, especially in patients who are severely ill or immunocompromised.</w:t>
      </w:r>
    </w:p>
    <w:p w14:paraId="173664AB" w14:textId="77777777" w:rsidR="0078138E" w:rsidRPr="0078138E" w:rsidRDefault="0078138E" w:rsidP="00882574">
      <w:pPr>
        <w:ind w:left="851"/>
        <w:rPr>
          <w:sz w:val="24"/>
          <w:szCs w:val="24"/>
          <w:lang w:val="en-GB"/>
        </w:rPr>
      </w:pPr>
    </w:p>
    <w:p w14:paraId="1CC0C259" w14:textId="77777777" w:rsidR="0078138E" w:rsidRPr="0078138E" w:rsidRDefault="0078138E" w:rsidP="00882574">
      <w:pPr>
        <w:ind w:left="851"/>
        <w:rPr>
          <w:sz w:val="24"/>
          <w:szCs w:val="24"/>
          <w:lang w:val="en-GB"/>
        </w:rPr>
      </w:pPr>
      <w:r w:rsidRPr="0078138E">
        <w:rPr>
          <w:sz w:val="24"/>
          <w:szCs w:val="24"/>
          <w:lang w:val="en-GB"/>
        </w:rPr>
        <w:t xml:space="preserve">Hepatitis B viral load (HBV-DNA titre) increases, with and without associated elevations in alanine aminotransferase and aspartate aminotransferase, have been reported in patients with chronic HBV infections taking </w:t>
      </w:r>
      <w:proofErr w:type="spellStart"/>
      <w:r w:rsidRPr="0078138E">
        <w:rPr>
          <w:sz w:val="24"/>
          <w:szCs w:val="24"/>
          <w:lang w:val="en-GB"/>
        </w:rPr>
        <w:t>ruxolitinib</w:t>
      </w:r>
      <w:proofErr w:type="spellEnd"/>
      <w:r w:rsidRPr="0078138E">
        <w:rPr>
          <w:sz w:val="24"/>
          <w:szCs w:val="24"/>
          <w:lang w:val="en-GB"/>
        </w:rPr>
        <w:t xml:space="preserve">. It is recommended to screen for HBV prior to commencing treatment with </w:t>
      </w:r>
      <w:proofErr w:type="spellStart"/>
      <w:r w:rsidRPr="0078138E">
        <w:rPr>
          <w:sz w:val="24"/>
          <w:szCs w:val="24"/>
          <w:lang w:val="en-GB"/>
        </w:rPr>
        <w:t>ruxolitinib</w:t>
      </w:r>
      <w:proofErr w:type="spellEnd"/>
      <w:r w:rsidRPr="0078138E">
        <w:rPr>
          <w:sz w:val="24"/>
          <w:szCs w:val="24"/>
          <w:lang w:val="en-GB"/>
        </w:rPr>
        <w:t>. Patients with chronic HBV infection should be treated and monitored according to clinical guidelines.</w:t>
      </w:r>
    </w:p>
    <w:p w14:paraId="29EC9C16" w14:textId="77777777" w:rsidR="0078138E" w:rsidRPr="0078138E" w:rsidRDefault="0078138E" w:rsidP="00882574">
      <w:pPr>
        <w:ind w:left="851"/>
        <w:rPr>
          <w:sz w:val="24"/>
          <w:szCs w:val="24"/>
          <w:lang w:val="en-GB"/>
        </w:rPr>
      </w:pPr>
    </w:p>
    <w:p w14:paraId="752CC3F7" w14:textId="77777777" w:rsidR="0078138E" w:rsidRPr="0078138E" w:rsidRDefault="0078138E" w:rsidP="00882574">
      <w:pPr>
        <w:ind w:left="851"/>
        <w:rPr>
          <w:sz w:val="24"/>
          <w:szCs w:val="24"/>
          <w:u w:val="single"/>
          <w:lang w:val="en-GB"/>
        </w:rPr>
      </w:pPr>
      <w:r w:rsidRPr="0078138E">
        <w:rPr>
          <w:sz w:val="24"/>
          <w:szCs w:val="24"/>
          <w:u w:val="single"/>
          <w:lang w:val="en-GB"/>
        </w:rPr>
        <w:t>Herpes zoster</w:t>
      </w:r>
    </w:p>
    <w:p w14:paraId="5166E1FA" w14:textId="77777777" w:rsidR="0078138E" w:rsidRPr="0078138E" w:rsidRDefault="0078138E" w:rsidP="00882574">
      <w:pPr>
        <w:ind w:left="851"/>
        <w:rPr>
          <w:sz w:val="24"/>
          <w:szCs w:val="24"/>
          <w:lang w:val="en-GB"/>
        </w:rPr>
      </w:pPr>
    </w:p>
    <w:p w14:paraId="72F80869" w14:textId="77777777" w:rsidR="0078138E" w:rsidRPr="0078138E" w:rsidRDefault="0078138E" w:rsidP="00882574">
      <w:pPr>
        <w:ind w:left="851"/>
        <w:rPr>
          <w:sz w:val="24"/>
          <w:szCs w:val="24"/>
          <w:lang w:val="en-GB"/>
        </w:rPr>
      </w:pPr>
      <w:r w:rsidRPr="0078138E">
        <w:rPr>
          <w:sz w:val="24"/>
          <w:szCs w:val="24"/>
          <w:lang w:val="en-GB"/>
        </w:rPr>
        <w:t>Physicians should educate patients about early signs and symptoms of herpes zoster, advising that treatment should be sought as early as possible.</w:t>
      </w:r>
    </w:p>
    <w:p w14:paraId="3067A71F" w14:textId="77777777" w:rsidR="0078138E" w:rsidRPr="0078138E" w:rsidRDefault="0078138E" w:rsidP="00882574">
      <w:pPr>
        <w:ind w:left="851"/>
        <w:rPr>
          <w:sz w:val="24"/>
          <w:szCs w:val="24"/>
          <w:lang w:val="en-GB"/>
        </w:rPr>
      </w:pPr>
    </w:p>
    <w:p w14:paraId="13831739" w14:textId="77777777" w:rsidR="0078138E" w:rsidRPr="0078138E" w:rsidRDefault="0078138E" w:rsidP="00882574">
      <w:pPr>
        <w:ind w:left="851"/>
        <w:rPr>
          <w:sz w:val="24"/>
          <w:szCs w:val="24"/>
          <w:u w:val="single"/>
          <w:lang w:val="en-GB"/>
        </w:rPr>
      </w:pPr>
      <w:r w:rsidRPr="0078138E">
        <w:rPr>
          <w:sz w:val="24"/>
          <w:szCs w:val="24"/>
          <w:u w:val="single"/>
          <w:lang w:val="en-GB"/>
        </w:rPr>
        <w:t>Progressive multifocal leukoencephalopathy</w:t>
      </w:r>
    </w:p>
    <w:p w14:paraId="271E99B6" w14:textId="77777777" w:rsidR="0078138E" w:rsidRPr="0078138E" w:rsidRDefault="0078138E" w:rsidP="00882574">
      <w:pPr>
        <w:ind w:left="851"/>
        <w:rPr>
          <w:sz w:val="24"/>
          <w:szCs w:val="24"/>
          <w:lang w:val="en-GB"/>
        </w:rPr>
      </w:pPr>
    </w:p>
    <w:p w14:paraId="5BFB90D7" w14:textId="77777777" w:rsidR="0078138E" w:rsidRPr="0078138E" w:rsidRDefault="0078138E" w:rsidP="00882574">
      <w:pPr>
        <w:ind w:left="851"/>
        <w:rPr>
          <w:sz w:val="24"/>
          <w:szCs w:val="24"/>
          <w:lang w:val="en-GB"/>
        </w:rPr>
      </w:pPr>
      <w:r w:rsidRPr="0078138E">
        <w:rPr>
          <w:sz w:val="24"/>
          <w:szCs w:val="24"/>
          <w:lang w:val="en-GB"/>
        </w:rPr>
        <w:t xml:space="preserve">Progressive multifocal leukoencephalopathy (PML) has been reported with </w:t>
      </w:r>
      <w:proofErr w:type="spellStart"/>
      <w:r w:rsidRPr="0078138E">
        <w:rPr>
          <w:sz w:val="24"/>
          <w:szCs w:val="24"/>
          <w:lang w:val="en-GB"/>
        </w:rPr>
        <w:t>ruxolitinib</w:t>
      </w:r>
      <w:proofErr w:type="spellEnd"/>
      <w:r w:rsidRPr="0078138E">
        <w:rPr>
          <w:sz w:val="24"/>
          <w:szCs w:val="24"/>
          <w:lang w:val="en-GB"/>
        </w:rPr>
        <w:t xml:space="preserve"> treatment. Physicians should be particularly alert to symptoms suggestive of PML that patients may not notice (e.g., cognitive, neurological or psychiatric symptoms or signs). Patients should be monitored for any of these new or worsening symptoms or signs, and if such symptoms/signs occur, referral to a neurologist and appropriate diagnostic measures for PML should be considered. If PML is suspected, further dosing must be suspended until PML has been excluded.</w:t>
      </w:r>
    </w:p>
    <w:p w14:paraId="5CF06B02" w14:textId="77777777" w:rsidR="0078138E" w:rsidRPr="0078138E" w:rsidRDefault="0078138E" w:rsidP="00882574">
      <w:pPr>
        <w:ind w:left="851"/>
        <w:rPr>
          <w:sz w:val="24"/>
          <w:szCs w:val="24"/>
          <w:lang w:val="en-GB"/>
        </w:rPr>
      </w:pPr>
    </w:p>
    <w:p w14:paraId="0E4622F1" w14:textId="77777777" w:rsidR="0078138E" w:rsidRPr="0078138E" w:rsidRDefault="0078138E" w:rsidP="00882574">
      <w:pPr>
        <w:ind w:left="851"/>
        <w:rPr>
          <w:sz w:val="24"/>
          <w:szCs w:val="24"/>
          <w:u w:val="single"/>
          <w:lang w:val="en-GB"/>
        </w:rPr>
      </w:pPr>
      <w:r w:rsidRPr="0078138E">
        <w:rPr>
          <w:sz w:val="24"/>
          <w:szCs w:val="24"/>
          <w:u w:val="single"/>
          <w:lang w:val="en-GB"/>
        </w:rPr>
        <w:t>Lipid abnormalities/elevations</w:t>
      </w:r>
    </w:p>
    <w:p w14:paraId="33B72AA7" w14:textId="77777777" w:rsidR="0078138E" w:rsidRPr="0078138E" w:rsidRDefault="0078138E" w:rsidP="00882574">
      <w:pPr>
        <w:ind w:left="851"/>
        <w:rPr>
          <w:sz w:val="24"/>
          <w:szCs w:val="24"/>
          <w:lang w:val="en-GB"/>
        </w:rPr>
      </w:pPr>
    </w:p>
    <w:p w14:paraId="14EC1DDD" w14:textId="77777777" w:rsidR="0078138E" w:rsidRPr="0078138E" w:rsidRDefault="0078138E" w:rsidP="00882574">
      <w:pPr>
        <w:ind w:left="851"/>
        <w:rPr>
          <w:sz w:val="24"/>
          <w:szCs w:val="24"/>
          <w:lang w:val="en-GB"/>
        </w:rPr>
      </w:pPr>
      <w:r w:rsidRPr="0078138E">
        <w:rPr>
          <w:sz w:val="24"/>
          <w:szCs w:val="24"/>
          <w:lang w:val="en-GB"/>
        </w:rPr>
        <w:t xml:space="preserve">Treatment with </w:t>
      </w:r>
      <w:proofErr w:type="spellStart"/>
      <w:r w:rsidRPr="0078138E">
        <w:rPr>
          <w:sz w:val="24"/>
          <w:szCs w:val="24"/>
          <w:lang w:val="en-GB"/>
        </w:rPr>
        <w:t>ruxolitinib</w:t>
      </w:r>
      <w:proofErr w:type="spellEnd"/>
      <w:r w:rsidRPr="0078138E">
        <w:rPr>
          <w:sz w:val="24"/>
          <w:szCs w:val="24"/>
          <w:lang w:val="en-GB"/>
        </w:rPr>
        <w:t xml:space="preserve"> has been associated with increases in lipid parameters including total cholesterol, high-density lipoprotein (HDL) cholesterol, low-density lipoprotein (LDL) cholesterol, and triglycerides. Lipid monitoring and treatment of dyslipidaemia according to clinical guidelines is recommended.</w:t>
      </w:r>
    </w:p>
    <w:p w14:paraId="41426EEB" w14:textId="40742E0A" w:rsidR="008E5F58" w:rsidRDefault="008E5F58">
      <w:pPr>
        <w:rPr>
          <w:sz w:val="24"/>
          <w:szCs w:val="24"/>
          <w:lang w:val="en-GB"/>
        </w:rPr>
      </w:pPr>
      <w:r>
        <w:rPr>
          <w:sz w:val="24"/>
          <w:szCs w:val="24"/>
          <w:lang w:val="en-GB"/>
        </w:rPr>
        <w:br w:type="page"/>
      </w:r>
    </w:p>
    <w:p w14:paraId="44171CF6" w14:textId="77777777" w:rsidR="0078138E" w:rsidRPr="0078138E" w:rsidRDefault="0078138E" w:rsidP="00882574">
      <w:pPr>
        <w:ind w:left="851"/>
        <w:rPr>
          <w:sz w:val="24"/>
          <w:szCs w:val="24"/>
          <w:lang w:val="en-GB"/>
        </w:rPr>
      </w:pPr>
    </w:p>
    <w:p w14:paraId="2CA5F9B9" w14:textId="77777777" w:rsidR="0078138E" w:rsidRPr="0078138E" w:rsidRDefault="0078138E" w:rsidP="00882574">
      <w:pPr>
        <w:ind w:left="851"/>
        <w:rPr>
          <w:sz w:val="24"/>
          <w:szCs w:val="24"/>
          <w:u w:val="single"/>
          <w:lang w:val="en-GB"/>
        </w:rPr>
      </w:pPr>
      <w:r w:rsidRPr="0078138E">
        <w:rPr>
          <w:sz w:val="24"/>
          <w:szCs w:val="24"/>
          <w:u w:val="single"/>
          <w:lang w:val="en-GB"/>
        </w:rPr>
        <w:t>Major adverse cardiac events (MACE)</w:t>
      </w:r>
    </w:p>
    <w:p w14:paraId="766A0B91" w14:textId="77777777" w:rsidR="0078138E" w:rsidRPr="0078138E" w:rsidRDefault="0078138E" w:rsidP="00882574">
      <w:pPr>
        <w:ind w:left="851"/>
        <w:rPr>
          <w:sz w:val="24"/>
          <w:szCs w:val="24"/>
          <w:u w:val="single"/>
          <w:lang w:val="en-GB"/>
        </w:rPr>
      </w:pPr>
    </w:p>
    <w:p w14:paraId="5D4A9FF4" w14:textId="77777777" w:rsidR="0078138E" w:rsidRPr="0078138E" w:rsidRDefault="0078138E" w:rsidP="00882574">
      <w:pPr>
        <w:ind w:left="851"/>
        <w:rPr>
          <w:sz w:val="24"/>
          <w:szCs w:val="24"/>
          <w:lang w:val="en-GB"/>
        </w:rPr>
      </w:pPr>
      <w:r w:rsidRPr="0078138E">
        <w:rPr>
          <w:sz w:val="24"/>
          <w:szCs w:val="24"/>
          <w:lang w:val="en-GB"/>
        </w:rPr>
        <w:t>In a large randomised active-controlled study of tofacitinib (another JAK inhibitor) in rheumatoid arthritis patients 50 years of age and older with at least one additional cardiovascular risk factor, a higher rate of MACE, defined as cardiovascular death, non-fatal myocardial infarction (MI) and non-fatal stroke, was observed with tofacitinib compared to tumour necrosis factor (TNF) inhibitors.</w:t>
      </w:r>
    </w:p>
    <w:p w14:paraId="12E72B3C" w14:textId="77777777" w:rsidR="0078138E" w:rsidRPr="0078138E" w:rsidRDefault="0078138E" w:rsidP="00882574">
      <w:pPr>
        <w:ind w:left="851"/>
        <w:rPr>
          <w:sz w:val="24"/>
          <w:szCs w:val="24"/>
          <w:lang w:val="en-GB"/>
        </w:rPr>
      </w:pPr>
    </w:p>
    <w:p w14:paraId="49725D3C" w14:textId="77777777" w:rsidR="0078138E" w:rsidRPr="0078138E" w:rsidRDefault="0078138E" w:rsidP="00882574">
      <w:pPr>
        <w:ind w:left="851"/>
        <w:rPr>
          <w:sz w:val="24"/>
          <w:szCs w:val="24"/>
          <w:lang w:val="en-GB"/>
        </w:rPr>
      </w:pPr>
      <w:r w:rsidRPr="0078138E">
        <w:rPr>
          <w:sz w:val="24"/>
          <w:szCs w:val="24"/>
          <w:lang w:val="en-GB"/>
        </w:rPr>
        <w:t xml:space="preserve">MACE have been reported in patients receiving </w:t>
      </w:r>
      <w:proofErr w:type="spellStart"/>
      <w:r w:rsidRPr="0078138E">
        <w:rPr>
          <w:sz w:val="24"/>
          <w:szCs w:val="24"/>
          <w:lang w:val="en-GB"/>
        </w:rPr>
        <w:t>ruxolitinib</w:t>
      </w:r>
      <w:proofErr w:type="spellEnd"/>
      <w:r w:rsidRPr="0078138E">
        <w:rPr>
          <w:sz w:val="24"/>
          <w:szCs w:val="24"/>
          <w:lang w:val="en-GB"/>
        </w:rPr>
        <w:t xml:space="preserve">. Prior to initiating or continuing therapy with </w:t>
      </w:r>
      <w:proofErr w:type="spellStart"/>
      <w:r w:rsidRPr="0078138E">
        <w:rPr>
          <w:sz w:val="24"/>
          <w:szCs w:val="24"/>
          <w:lang w:val="en-GB"/>
        </w:rPr>
        <w:t>ruxolitinib</w:t>
      </w:r>
      <w:proofErr w:type="spellEnd"/>
      <w:r w:rsidRPr="0078138E">
        <w:rPr>
          <w:sz w:val="24"/>
          <w:szCs w:val="24"/>
          <w:lang w:val="en-GB"/>
        </w:rPr>
        <w:t>, the benefits and risks for the individual patient should be considered particularly in patients 65 years of age and older, patients who are current or past long-time smokers, and patients with a history of atherosclerotic cardiovascular disease or other cardiovascular risk factors.</w:t>
      </w:r>
    </w:p>
    <w:p w14:paraId="436FA8BA" w14:textId="77777777" w:rsidR="0078138E" w:rsidRPr="0078138E" w:rsidRDefault="0078138E" w:rsidP="00882574">
      <w:pPr>
        <w:ind w:left="851"/>
        <w:rPr>
          <w:sz w:val="24"/>
          <w:szCs w:val="24"/>
          <w:lang w:val="en-GB"/>
        </w:rPr>
      </w:pPr>
    </w:p>
    <w:p w14:paraId="2DA8D0EC" w14:textId="77777777" w:rsidR="0078138E" w:rsidRPr="0078138E" w:rsidRDefault="0078138E" w:rsidP="00882574">
      <w:pPr>
        <w:ind w:left="851"/>
        <w:rPr>
          <w:sz w:val="24"/>
          <w:szCs w:val="24"/>
          <w:u w:val="single"/>
          <w:lang w:val="en-GB"/>
        </w:rPr>
      </w:pPr>
      <w:r w:rsidRPr="0078138E">
        <w:rPr>
          <w:sz w:val="24"/>
          <w:szCs w:val="24"/>
          <w:u w:val="single"/>
          <w:lang w:val="en-GB"/>
        </w:rPr>
        <w:t>Thrombosis</w:t>
      </w:r>
    </w:p>
    <w:p w14:paraId="4063B00C" w14:textId="77777777" w:rsidR="0078138E" w:rsidRPr="0078138E" w:rsidRDefault="0078138E" w:rsidP="00882574">
      <w:pPr>
        <w:ind w:left="851"/>
        <w:rPr>
          <w:sz w:val="24"/>
          <w:szCs w:val="24"/>
          <w:lang w:val="en-GB"/>
        </w:rPr>
      </w:pPr>
    </w:p>
    <w:p w14:paraId="4B658CAF" w14:textId="77777777" w:rsidR="0078138E" w:rsidRPr="0078138E" w:rsidRDefault="0078138E" w:rsidP="00882574">
      <w:pPr>
        <w:ind w:left="851"/>
        <w:rPr>
          <w:sz w:val="24"/>
          <w:szCs w:val="24"/>
          <w:lang w:val="en-GB"/>
        </w:rPr>
      </w:pPr>
      <w:r w:rsidRPr="0078138E">
        <w:rPr>
          <w:sz w:val="24"/>
          <w:szCs w:val="24"/>
          <w:lang w:val="en-GB"/>
        </w:rPr>
        <w:t>In a large randomised active-controlled study of tofacitinib (another JAK inhibitor) in rheumatoid arthritis patients 50 years of age and older with at least one additional cardiovascular risk factor, a dose dependent higher rate of venous thromboembolic events (VTE) including deep venous thrombosis (DVT) and pulmonary embolism (PE) was observed with tofacitinib compared to TNF inhibitors.</w:t>
      </w:r>
    </w:p>
    <w:p w14:paraId="11D2E4A0" w14:textId="77777777" w:rsidR="0078138E" w:rsidRPr="0078138E" w:rsidRDefault="0078138E" w:rsidP="00882574">
      <w:pPr>
        <w:ind w:left="851"/>
        <w:rPr>
          <w:sz w:val="24"/>
          <w:szCs w:val="24"/>
          <w:lang w:val="en-GB"/>
        </w:rPr>
      </w:pPr>
    </w:p>
    <w:p w14:paraId="629999CD" w14:textId="77777777" w:rsidR="0078138E" w:rsidRPr="0078138E" w:rsidRDefault="0078138E" w:rsidP="00882574">
      <w:pPr>
        <w:ind w:left="851"/>
        <w:rPr>
          <w:sz w:val="24"/>
          <w:szCs w:val="24"/>
          <w:lang w:val="en-GB"/>
        </w:rPr>
      </w:pPr>
      <w:r w:rsidRPr="0078138E">
        <w:rPr>
          <w:sz w:val="24"/>
          <w:szCs w:val="24"/>
          <w:lang w:val="en-GB"/>
        </w:rPr>
        <w:t xml:space="preserve">Events of deep venous thrombosis (DVT) and pulmonary embolism (PE) have been reported in patients receiving </w:t>
      </w:r>
      <w:proofErr w:type="spellStart"/>
      <w:r w:rsidRPr="0078138E">
        <w:rPr>
          <w:sz w:val="24"/>
          <w:szCs w:val="24"/>
          <w:lang w:val="en-GB"/>
        </w:rPr>
        <w:t>ruxolitinib</w:t>
      </w:r>
      <w:proofErr w:type="spellEnd"/>
      <w:r w:rsidRPr="0078138E">
        <w:rPr>
          <w:sz w:val="24"/>
          <w:szCs w:val="24"/>
          <w:lang w:val="en-GB"/>
        </w:rPr>
        <w:t xml:space="preserve">. In patients with MF and PV treated with </w:t>
      </w:r>
      <w:proofErr w:type="spellStart"/>
      <w:r w:rsidRPr="0078138E">
        <w:rPr>
          <w:sz w:val="24"/>
          <w:szCs w:val="24"/>
          <w:lang w:val="en-GB"/>
        </w:rPr>
        <w:t>ruxolitinib</w:t>
      </w:r>
      <w:proofErr w:type="spellEnd"/>
      <w:r w:rsidRPr="0078138E">
        <w:rPr>
          <w:sz w:val="24"/>
          <w:szCs w:val="24"/>
          <w:lang w:val="en-GB"/>
        </w:rPr>
        <w:t xml:space="preserve"> in clinical studies, the rates of thromboembolic events were similar in </w:t>
      </w:r>
      <w:proofErr w:type="spellStart"/>
      <w:r w:rsidRPr="0078138E">
        <w:rPr>
          <w:sz w:val="24"/>
          <w:szCs w:val="24"/>
          <w:lang w:val="en-GB"/>
        </w:rPr>
        <w:t>ruxolitinib</w:t>
      </w:r>
      <w:proofErr w:type="spellEnd"/>
      <w:r w:rsidRPr="0078138E">
        <w:rPr>
          <w:sz w:val="24"/>
          <w:szCs w:val="24"/>
          <w:lang w:val="en-GB"/>
        </w:rPr>
        <w:t xml:space="preserve"> and control-treated patients.</w:t>
      </w:r>
    </w:p>
    <w:p w14:paraId="39AE38D8" w14:textId="77777777" w:rsidR="0078138E" w:rsidRPr="0078138E" w:rsidRDefault="0078138E" w:rsidP="00882574">
      <w:pPr>
        <w:ind w:left="851"/>
        <w:rPr>
          <w:sz w:val="24"/>
          <w:szCs w:val="24"/>
          <w:lang w:val="en-GB"/>
        </w:rPr>
      </w:pPr>
    </w:p>
    <w:p w14:paraId="6BC79B78" w14:textId="20736D2B" w:rsidR="0078138E" w:rsidRPr="0078138E" w:rsidRDefault="0078138E" w:rsidP="00882574">
      <w:pPr>
        <w:ind w:left="851"/>
        <w:rPr>
          <w:sz w:val="24"/>
          <w:szCs w:val="24"/>
          <w:lang w:val="en-GB"/>
        </w:rPr>
      </w:pPr>
      <w:r w:rsidRPr="0078138E">
        <w:rPr>
          <w:sz w:val="24"/>
          <w:szCs w:val="24"/>
          <w:lang w:val="en-GB"/>
        </w:rPr>
        <w:t xml:space="preserve">Prior to initiating or continuing therapy with </w:t>
      </w:r>
      <w:proofErr w:type="spellStart"/>
      <w:r w:rsidRPr="0078138E">
        <w:rPr>
          <w:sz w:val="24"/>
          <w:szCs w:val="24"/>
          <w:lang w:val="en-GB"/>
        </w:rPr>
        <w:t>ruxolitinib</w:t>
      </w:r>
      <w:proofErr w:type="spellEnd"/>
      <w:r w:rsidRPr="0078138E">
        <w:rPr>
          <w:sz w:val="24"/>
          <w:szCs w:val="24"/>
          <w:lang w:val="en-GB"/>
        </w:rPr>
        <w:t xml:space="preserve">, the benefits and risks for the individual patient should be considered, particularly in patients with cardiovascular risk factors (see also section 4.4 </w:t>
      </w:r>
      <w:r w:rsidR="009B509D">
        <w:rPr>
          <w:sz w:val="24"/>
          <w:szCs w:val="24"/>
          <w:lang w:val="en-GB"/>
        </w:rPr>
        <w:t>"</w:t>
      </w:r>
      <w:r w:rsidRPr="0078138E">
        <w:rPr>
          <w:sz w:val="24"/>
          <w:szCs w:val="24"/>
          <w:lang w:val="en-GB"/>
        </w:rPr>
        <w:t>Major adverse cardiovascular events (MACE)</w:t>
      </w:r>
      <w:r w:rsidR="009B509D">
        <w:rPr>
          <w:sz w:val="24"/>
          <w:szCs w:val="24"/>
          <w:lang w:val="en-GB"/>
        </w:rPr>
        <w:t>"</w:t>
      </w:r>
      <w:r w:rsidRPr="0078138E">
        <w:rPr>
          <w:sz w:val="24"/>
          <w:szCs w:val="24"/>
          <w:lang w:val="en-GB"/>
        </w:rPr>
        <w:t>).</w:t>
      </w:r>
    </w:p>
    <w:p w14:paraId="63A4451A" w14:textId="77777777" w:rsidR="0078138E" w:rsidRPr="0078138E" w:rsidRDefault="0078138E" w:rsidP="00882574">
      <w:pPr>
        <w:ind w:left="851"/>
        <w:rPr>
          <w:sz w:val="24"/>
          <w:szCs w:val="24"/>
          <w:lang w:val="en-GB"/>
        </w:rPr>
      </w:pPr>
    </w:p>
    <w:p w14:paraId="2FFBCFB0" w14:textId="77777777" w:rsidR="0078138E" w:rsidRPr="0078138E" w:rsidRDefault="0078138E" w:rsidP="00882574">
      <w:pPr>
        <w:ind w:left="851"/>
        <w:rPr>
          <w:sz w:val="24"/>
          <w:szCs w:val="24"/>
          <w:lang w:val="en-GB"/>
        </w:rPr>
      </w:pPr>
      <w:r w:rsidRPr="0078138E">
        <w:rPr>
          <w:sz w:val="24"/>
          <w:szCs w:val="24"/>
          <w:lang w:val="en-GB"/>
        </w:rPr>
        <w:t>Patients with symptoms of thrombosis should be promptly evaluated and treated appropriately.</w:t>
      </w:r>
    </w:p>
    <w:p w14:paraId="6A5B5339" w14:textId="77777777" w:rsidR="0078138E" w:rsidRPr="0078138E" w:rsidRDefault="0078138E" w:rsidP="00882574">
      <w:pPr>
        <w:ind w:left="851"/>
        <w:rPr>
          <w:sz w:val="24"/>
          <w:szCs w:val="24"/>
          <w:lang w:val="en-GB"/>
        </w:rPr>
      </w:pPr>
    </w:p>
    <w:p w14:paraId="4C94AC11" w14:textId="77777777" w:rsidR="0078138E" w:rsidRPr="0078138E" w:rsidRDefault="0078138E" w:rsidP="00882574">
      <w:pPr>
        <w:ind w:left="851"/>
        <w:rPr>
          <w:sz w:val="24"/>
          <w:szCs w:val="24"/>
          <w:u w:val="single"/>
          <w:lang w:val="en-GB"/>
        </w:rPr>
      </w:pPr>
      <w:r w:rsidRPr="0078138E">
        <w:rPr>
          <w:sz w:val="24"/>
          <w:szCs w:val="24"/>
          <w:u w:val="single"/>
          <w:lang w:val="en-GB"/>
        </w:rPr>
        <w:t>Second primary malignancies.</w:t>
      </w:r>
    </w:p>
    <w:p w14:paraId="7E99D366" w14:textId="77777777" w:rsidR="0078138E" w:rsidRPr="0078138E" w:rsidRDefault="0078138E" w:rsidP="00882574">
      <w:pPr>
        <w:ind w:left="851"/>
        <w:rPr>
          <w:sz w:val="24"/>
          <w:szCs w:val="24"/>
          <w:lang w:val="en-GB"/>
        </w:rPr>
      </w:pPr>
    </w:p>
    <w:p w14:paraId="6E4FFE57" w14:textId="77777777" w:rsidR="0078138E" w:rsidRPr="0078138E" w:rsidRDefault="0078138E" w:rsidP="00882574">
      <w:pPr>
        <w:ind w:left="851"/>
        <w:rPr>
          <w:sz w:val="24"/>
          <w:szCs w:val="24"/>
          <w:lang w:val="en-GB"/>
        </w:rPr>
      </w:pPr>
      <w:r w:rsidRPr="0078138E">
        <w:rPr>
          <w:sz w:val="24"/>
          <w:szCs w:val="24"/>
          <w:lang w:val="en-GB"/>
        </w:rPr>
        <w:t>In a large randomised active-controlled study of tofacitinib (another JAK inhibitor) in rheumatoid arthritis patients 50 years of age and older with at least one additional cardiovascular risk factor, a higher rate of malignancies, particularly lung cancer, lymphoma, and non-melanoma skin cancer (NMSC) was observed with tofacitinib compared to TNF inhibitors.</w:t>
      </w:r>
    </w:p>
    <w:p w14:paraId="0DDD4D6A" w14:textId="77777777" w:rsidR="0078138E" w:rsidRPr="0078138E" w:rsidRDefault="0078138E" w:rsidP="00882574">
      <w:pPr>
        <w:ind w:left="851"/>
        <w:rPr>
          <w:sz w:val="24"/>
          <w:szCs w:val="24"/>
          <w:lang w:val="en-GB"/>
        </w:rPr>
      </w:pPr>
    </w:p>
    <w:p w14:paraId="7DEF8E15" w14:textId="77777777" w:rsidR="0078138E" w:rsidRPr="0078138E" w:rsidRDefault="0078138E" w:rsidP="00882574">
      <w:pPr>
        <w:ind w:left="851"/>
        <w:rPr>
          <w:sz w:val="24"/>
          <w:szCs w:val="24"/>
          <w:lang w:val="en-GB"/>
        </w:rPr>
      </w:pPr>
      <w:r w:rsidRPr="0078138E">
        <w:rPr>
          <w:sz w:val="24"/>
          <w:szCs w:val="24"/>
          <w:lang w:val="en-GB"/>
        </w:rPr>
        <w:t xml:space="preserve">Lymphoma and other malignancies have been reported in patients receiving JAK inhibitors, including </w:t>
      </w:r>
      <w:proofErr w:type="spellStart"/>
      <w:r w:rsidRPr="0078138E">
        <w:rPr>
          <w:sz w:val="24"/>
          <w:szCs w:val="24"/>
          <w:lang w:val="en-GB"/>
        </w:rPr>
        <w:t>ruxolitinib</w:t>
      </w:r>
      <w:proofErr w:type="spellEnd"/>
      <w:r w:rsidRPr="0078138E">
        <w:rPr>
          <w:sz w:val="24"/>
          <w:szCs w:val="24"/>
          <w:lang w:val="en-GB"/>
        </w:rPr>
        <w:t>.</w:t>
      </w:r>
    </w:p>
    <w:p w14:paraId="6A2AACC5" w14:textId="77777777" w:rsidR="0078138E" w:rsidRPr="0078138E" w:rsidRDefault="0078138E" w:rsidP="00882574">
      <w:pPr>
        <w:ind w:left="851"/>
        <w:rPr>
          <w:sz w:val="24"/>
          <w:szCs w:val="24"/>
          <w:lang w:val="en-GB"/>
        </w:rPr>
      </w:pPr>
    </w:p>
    <w:p w14:paraId="0232E633" w14:textId="77777777" w:rsidR="0078138E" w:rsidRPr="0078138E" w:rsidRDefault="0078138E" w:rsidP="00882574">
      <w:pPr>
        <w:ind w:left="851"/>
        <w:rPr>
          <w:sz w:val="24"/>
          <w:szCs w:val="24"/>
          <w:lang w:val="en-GB"/>
        </w:rPr>
      </w:pPr>
      <w:r w:rsidRPr="0078138E">
        <w:rPr>
          <w:sz w:val="24"/>
          <w:szCs w:val="24"/>
          <w:lang w:val="en-GB"/>
        </w:rPr>
        <w:t xml:space="preserve">Non-melanoma skin cancers (NMSCs), including basal cell, squamous cell, and Merkel cell carcinoma, have been reported in patients treated with </w:t>
      </w:r>
      <w:proofErr w:type="spellStart"/>
      <w:r w:rsidRPr="0078138E">
        <w:rPr>
          <w:sz w:val="24"/>
          <w:szCs w:val="24"/>
          <w:lang w:val="en-GB"/>
        </w:rPr>
        <w:t>ruxolitinib</w:t>
      </w:r>
      <w:proofErr w:type="spellEnd"/>
      <w:r w:rsidRPr="0078138E">
        <w:rPr>
          <w:sz w:val="24"/>
          <w:szCs w:val="24"/>
          <w:lang w:val="en-GB"/>
        </w:rPr>
        <w:t>. Most of the MF and PV patients had histories of extended treatment with hydroxyurea and prior NMSC or pre-malignant skin lesions. Periodic skin examination is recommended for patients who are at increased risk for skin cancer.</w:t>
      </w:r>
    </w:p>
    <w:p w14:paraId="75B5E3D4" w14:textId="77777777" w:rsidR="0078138E" w:rsidRPr="0078138E" w:rsidRDefault="0078138E" w:rsidP="00882574">
      <w:pPr>
        <w:ind w:left="851"/>
        <w:rPr>
          <w:sz w:val="24"/>
          <w:szCs w:val="24"/>
          <w:lang w:val="en-GB"/>
        </w:rPr>
      </w:pPr>
    </w:p>
    <w:p w14:paraId="5DF229C9" w14:textId="77777777" w:rsidR="0078138E" w:rsidRPr="0078138E" w:rsidRDefault="0078138E" w:rsidP="00882574">
      <w:pPr>
        <w:ind w:left="851"/>
        <w:rPr>
          <w:sz w:val="24"/>
          <w:szCs w:val="24"/>
          <w:u w:val="single"/>
          <w:lang w:val="en-GB"/>
        </w:rPr>
      </w:pPr>
      <w:r w:rsidRPr="0078138E">
        <w:rPr>
          <w:sz w:val="24"/>
          <w:szCs w:val="24"/>
          <w:u w:val="single"/>
          <w:lang w:val="en-GB"/>
        </w:rPr>
        <w:t>Special populations</w:t>
      </w:r>
    </w:p>
    <w:p w14:paraId="2E39F8D6" w14:textId="77777777" w:rsidR="0078138E" w:rsidRPr="0078138E" w:rsidRDefault="0078138E" w:rsidP="00882574">
      <w:pPr>
        <w:ind w:left="851"/>
        <w:rPr>
          <w:sz w:val="24"/>
          <w:szCs w:val="24"/>
          <w:u w:val="single"/>
          <w:lang w:val="en-GB"/>
        </w:rPr>
      </w:pPr>
    </w:p>
    <w:p w14:paraId="010BE40A" w14:textId="77777777" w:rsidR="0078138E" w:rsidRPr="0078138E" w:rsidRDefault="0078138E" w:rsidP="00882574">
      <w:pPr>
        <w:ind w:left="851"/>
        <w:rPr>
          <w:sz w:val="24"/>
          <w:szCs w:val="24"/>
          <w:lang w:val="en-GB"/>
        </w:rPr>
      </w:pPr>
      <w:r w:rsidRPr="0078138E">
        <w:rPr>
          <w:i/>
          <w:iCs/>
          <w:sz w:val="24"/>
          <w:szCs w:val="24"/>
          <w:lang w:val="en-GB"/>
        </w:rPr>
        <w:t>Renal impairment</w:t>
      </w:r>
    </w:p>
    <w:p w14:paraId="4038133F" w14:textId="6A0CFB40" w:rsidR="0078138E" w:rsidRPr="0078138E" w:rsidRDefault="0078138E" w:rsidP="00882574">
      <w:pPr>
        <w:ind w:left="851"/>
        <w:rPr>
          <w:sz w:val="24"/>
          <w:szCs w:val="24"/>
          <w:lang w:val="en-GB"/>
        </w:rPr>
      </w:pPr>
      <w:r w:rsidRPr="0078138E">
        <w:rPr>
          <w:sz w:val="24"/>
          <w:szCs w:val="24"/>
          <w:lang w:val="en-GB"/>
        </w:rPr>
        <w:t xml:space="preserve">The starting dose of </w:t>
      </w:r>
      <w:proofErr w:type="spellStart"/>
      <w:r w:rsidRPr="0078138E">
        <w:rPr>
          <w:sz w:val="24"/>
          <w:szCs w:val="24"/>
          <w:lang w:val="en-GB"/>
        </w:rPr>
        <w:t>ruxolitinib</w:t>
      </w:r>
      <w:proofErr w:type="spellEnd"/>
      <w:r w:rsidRPr="0078138E">
        <w:rPr>
          <w:sz w:val="24"/>
          <w:szCs w:val="24"/>
          <w:lang w:val="en-GB"/>
        </w:rPr>
        <w:t xml:space="preserve"> should be reduced in patients with severe renal impairment. For patients with end-stage renal disease on haemodialysis the starting dose should be based on platelet counts for MF patients, while the recommended starting dose is a single dose of 10 mg for PV patients (see section 4.2). Subsequent doses (single dose of 20 mg or two doses of 10 mg given 12 hours apart in MF patients; single dose of 10 mg or two doses of 5 mg given 12 hours apart in PV patients) should be administered only on haemodialysis days following each dialysis session. Additional dose modifications should be made with careful monitoring of safety and efficacy. In GvHD patients with severe renal impairment, the starting dose of </w:t>
      </w:r>
      <w:proofErr w:type="spellStart"/>
      <w:r w:rsidRPr="0078138E">
        <w:rPr>
          <w:sz w:val="24"/>
          <w:szCs w:val="24"/>
          <w:lang w:val="en-GB"/>
        </w:rPr>
        <w:t>Ruxolitinib</w:t>
      </w:r>
      <w:proofErr w:type="spellEnd"/>
      <w:r w:rsidRPr="0078138E">
        <w:rPr>
          <w:sz w:val="24"/>
          <w:szCs w:val="24"/>
          <w:lang w:val="en-GB"/>
        </w:rPr>
        <w:t xml:space="preserve"> </w:t>
      </w:r>
      <w:r w:rsidR="009B509D">
        <w:rPr>
          <w:sz w:val="24"/>
          <w:szCs w:val="24"/>
          <w:lang w:val="en-GB"/>
        </w:rPr>
        <w:t>"</w:t>
      </w:r>
      <w:r w:rsidRPr="0078138E">
        <w:rPr>
          <w:sz w:val="24"/>
          <w:szCs w:val="24"/>
          <w:lang w:val="en-GB"/>
        </w:rPr>
        <w:t>Sandoz</w:t>
      </w:r>
      <w:r w:rsidR="009B509D">
        <w:rPr>
          <w:sz w:val="24"/>
          <w:szCs w:val="24"/>
          <w:lang w:val="en-GB"/>
        </w:rPr>
        <w:t>"</w:t>
      </w:r>
      <w:r w:rsidRPr="0078138E">
        <w:rPr>
          <w:sz w:val="24"/>
          <w:szCs w:val="24"/>
          <w:lang w:val="en-GB"/>
        </w:rPr>
        <w:t xml:space="preserve"> should be reduced by approximately 50% (see sections 4.2 and 5.2).</w:t>
      </w:r>
    </w:p>
    <w:p w14:paraId="424739E5" w14:textId="77777777" w:rsidR="0078138E" w:rsidRPr="0078138E" w:rsidRDefault="0078138E" w:rsidP="00882574">
      <w:pPr>
        <w:ind w:left="851"/>
        <w:rPr>
          <w:sz w:val="24"/>
          <w:szCs w:val="24"/>
          <w:lang w:val="en-GB"/>
        </w:rPr>
      </w:pPr>
    </w:p>
    <w:p w14:paraId="4184DB9C" w14:textId="77777777" w:rsidR="0078138E" w:rsidRPr="0078138E" w:rsidRDefault="0078138E" w:rsidP="00882574">
      <w:pPr>
        <w:ind w:left="851"/>
        <w:rPr>
          <w:sz w:val="24"/>
          <w:szCs w:val="24"/>
          <w:lang w:val="en-GB"/>
        </w:rPr>
      </w:pPr>
      <w:r w:rsidRPr="0078138E">
        <w:rPr>
          <w:i/>
          <w:iCs/>
          <w:sz w:val="24"/>
          <w:szCs w:val="24"/>
          <w:lang w:val="en-GB"/>
        </w:rPr>
        <w:t>Hepatic impairment</w:t>
      </w:r>
    </w:p>
    <w:p w14:paraId="20E9CC36" w14:textId="77777777" w:rsidR="0078138E" w:rsidRPr="0078138E" w:rsidRDefault="0078138E" w:rsidP="00882574">
      <w:pPr>
        <w:ind w:left="851"/>
        <w:rPr>
          <w:sz w:val="24"/>
          <w:szCs w:val="24"/>
          <w:lang w:val="en-GB"/>
        </w:rPr>
      </w:pPr>
      <w:r w:rsidRPr="0078138E">
        <w:rPr>
          <w:sz w:val="24"/>
          <w:szCs w:val="24"/>
          <w:lang w:val="en-GB"/>
        </w:rPr>
        <w:t xml:space="preserve">The starting dose of </w:t>
      </w:r>
      <w:proofErr w:type="spellStart"/>
      <w:r w:rsidRPr="0078138E">
        <w:rPr>
          <w:sz w:val="24"/>
          <w:szCs w:val="24"/>
          <w:lang w:val="en-GB"/>
        </w:rPr>
        <w:t>ruxolitinib</w:t>
      </w:r>
      <w:proofErr w:type="spellEnd"/>
      <w:r w:rsidRPr="0078138E">
        <w:rPr>
          <w:sz w:val="24"/>
          <w:szCs w:val="24"/>
          <w:lang w:val="en-GB"/>
        </w:rPr>
        <w:t xml:space="preserve"> should be reduced by approximately 50% in MF and PV patients with hepatic impairment. Further dose modifications should be based on the safety and efficacy of the medicinal product. In GvHD patients with hepatic impairment not related to GvHD, the starting dose of </w:t>
      </w:r>
      <w:proofErr w:type="spellStart"/>
      <w:r w:rsidRPr="0078138E">
        <w:rPr>
          <w:sz w:val="24"/>
          <w:szCs w:val="24"/>
          <w:lang w:val="en-GB"/>
        </w:rPr>
        <w:t>ruxolitinib</w:t>
      </w:r>
      <w:proofErr w:type="spellEnd"/>
      <w:r w:rsidRPr="0078138E">
        <w:rPr>
          <w:sz w:val="24"/>
          <w:szCs w:val="24"/>
          <w:lang w:val="en-GB"/>
        </w:rPr>
        <w:t xml:space="preserve"> should be reduced by approximately 50% (see sections 4.2 and 5.2).</w:t>
      </w:r>
    </w:p>
    <w:p w14:paraId="444BF39B" w14:textId="77777777" w:rsidR="0078138E" w:rsidRPr="0078138E" w:rsidRDefault="0078138E" w:rsidP="00882574">
      <w:pPr>
        <w:ind w:left="851"/>
        <w:rPr>
          <w:sz w:val="24"/>
          <w:szCs w:val="24"/>
          <w:lang w:val="en-GB"/>
        </w:rPr>
      </w:pPr>
    </w:p>
    <w:p w14:paraId="30CD5FCB" w14:textId="77777777" w:rsidR="0078138E" w:rsidRPr="0078138E" w:rsidRDefault="0078138E" w:rsidP="00882574">
      <w:pPr>
        <w:ind w:left="851"/>
        <w:rPr>
          <w:sz w:val="24"/>
          <w:szCs w:val="24"/>
          <w:lang w:val="en-GB"/>
        </w:rPr>
      </w:pPr>
      <w:r w:rsidRPr="0078138E">
        <w:rPr>
          <w:sz w:val="24"/>
          <w:szCs w:val="24"/>
          <w:lang w:val="en-GB"/>
        </w:rPr>
        <w:t xml:space="preserve">Patients diagnosed with hepatic impairment while receiving </w:t>
      </w:r>
      <w:proofErr w:type="spellStart"/>
      <w:r w:rsidRPr="0078138E">
        <w:rPr>
          <w:sz w:val="24"/>
          <w:szCs w:val="24"/>
          <w:lang w:val="en-GB"/>
        </w:rPr>
        <w:t>ruxolitinib</w:t>
      </w:r>
      <w:proofErr w:type="spellEnd"/>
      <w:r w:rsidRPr="0078138E">
        <w:rPr>
          <w:sz w:val="24"/>
          <w:szCs w:val="24"/>
          <w:lang w:val="en-GB"/>
        </w:rPr>
        <w:t xml:space="preserve"> should have complete blood counts, including a white blood cell count differential, monitored at least every one to two weeks for the first 6 weeks after initiation of therapy with </w:t>
      </w:r>
      <w:proofErr w:type="spellStart"/>
      <w:r w:rsidRPr="0078138E">
        <w:rPr>
          <w:sz w:val="24"/>
          <w:szCs w:val="24"/>
          <w:lang w:val="en-GB"/>
        </w:rPr>
        <w:t>ruxolitinib</w:t>
      </w:r>
      <w:proofErr w:type="spellEnd"/>
      <w:r w:rsidRPr="0078138E">
        <w:rPr>
          <w:sz w:val="24"/>
          <w:szCs w:val="24"/>
          <w:lang w:val="en-GB"/>
        </w:rPr>
        <w:t xml:space="preserve"> and as clinically indicated thereafter once their liver function and blood counts have been stabilised.</w:t>
      </w:r>
    </w:p>
    <w:p w14:paraId="51E0CA75" w14:textId="77777777" w:rsidR="0078138E" w:rsidRPr="0078138E" w:rsidRDefault="0078138E" w:rsidP="00882574">
      <w:pPr>
        <w:ind w:left="851"/>
        <w:rPr>
          <w:sz w:val="24"/>
          <w:szCs w:val="24"/>
          <w:u w:val="single"/>
          <w:lang w:val="en-GB"/>
        </w:rPr>
      </w:pPr>
    </w:p>
    <w:p w14:paraId="37C3D0EF" w14:textId="77777777" w:rsidR="0078138E" w:rsidRPr="0078138E" w:rsidRDefault="0078138E" w:rsidP="00882574">
      <w:pPr>
        <w:ind w:left="851"/>
        <w:rPr>
          <w:sz w:val="24"/>
          <w:szCs w:val="24"/>
          <w:u w:val="single"/>
          <w:lang w:val="en-GB"/>
        </w:rPr>
      </w:pPr>
      <w:r w:rsidRPr="0078138E">
        <w:rPr>
          <w:sz w:val="24"/>
          <w:szCs w:val="24"/>
          <w:u w:val="single"/>
          <w:lang w:val="en-GB"/>
        </w:rPr>
        <w:t>Interactions</w:t>
      </w:r>
    </w:p>
    <w:p w14:paraId="6E331FE9" w14:textId="77777777" w:rsidR="0078138E" w:rsidRPr="0078138E" w:rsidRDefault="0078138E" w:rsidP="00882574">
      <w:pPr>
        <w:ind w:left="851"/>
        <w:rPr>
          <w:sz w:val="24"/>
          <w:szCs w:val="24"/>
          <w:u w:val="single"/>
          <w:lang w:val="en-GB"/>
        </w:rPr>
      </w:pPr>
    </w:p>
    <w:p w14:paraId="3A5C2B9A" w14:textId="77777777" w:rsidR="0078138E" w:rsidRPr="0078138E" w:rsidRDefault="0078138E" w:rsidP="00882574">
      <w:pPr>
        <w:ind w:left="851"/>
        <w:rPr>
          <w:sz w:val="24"/>
          <w:szCs w:val="24"/>
          <w:lang w:val="en-GB"/>
        </w:rPr>
      </w:pPr>
      <w:r w:rsidRPr="0078138E">
        <w:rPr>
          <w:sz w:val="24"/>
          <w:szCs w:val="24"/>
          <w:lang w:val="en-GB"/>
        </w:rPr>
        <w:t xml:space="preserve">If </w:t>
      </w:r>
      <w:proofErr w:type="spellStart"/>
      <w:r w:rsidRPr="0078138E">
        <w:rPr>
          <w:sz w:val="24"/>
          <w:szCs w:val="24"/>
          <w:lang w:val="en-GB"/>
        </w:rPr>
        <w:t>ruxolitinib</w:t>
      </w:r>
      <w:proofErr w:type="spellEnd"/>
      <w:r w:rsidRPr="0078138E">
        <w:rPr>
          <w:sz w:val="24"/>
          <w:szCs w:val="24"/>
          <w:lang w:val="en-GB"/>
        </w:rPr>
        <w:t xml:space="preserve"> is to be co-administered with strong CYP3A4 inhibitors or dual inhibitors of CYP3A4 and CYP2C9 enzymes (e.g. fluconazole), the unit dose of </w:t>
      </w:r>
      <w:proofErr w:type="spellStart"/>
      <w:r w:rsidRPr="0078138E">
        <w:rPr>
          <w:sz w:val="24"/>
          <w:szCs w:val="24"/>
          <w:lang w:val="en-GB"/>
        </w:rPr>
        <w:t>ruxolitinib</w:t>
      </w:r>
      <w:proofErr w:type="spellEnd"/>
      <w:r w:rsidRPr="0078138E">
        <w:rPr>
          <w:sz w:val="24"/>
          <w:szCs w:val="24"/>
          <w:lang w:val="en-GB"/>
        </w:rPr>
        <w:t xml:space="preserve"> should be reduced by approximately 50%, to be administered twice daily (see sections 4.2 and 4.5).</w:t>
      </w:r>
    </w:p>
    <w:p w14:paraId="7D017375" w14:textId="77777777" w:rsidR="0078138E" w:rsidRPr="0078138E" w:rsidRDefault="0078138E" w:rsidP="00882574">
      <w:pPr>
        <w:ind w:left="851"/>
        <w:rPr>
          <w:sz w:val="24"/>
          <w:szCs w:val="24"/>
          <w:lang w:val="en-GB"/>
        </w:rPr>
      </w:pPr>
    </w:p>
    <w:p w14:paraId="3BB73867" w14:textId="77777777" w:rsidR="0078138E" w:rsidRPr="0078138E" w:rsidRDefault="0078138E" w:rsidP="00882574">
      <w:pPr>
        <w:ind w:left="851"/>
        <w:rPr>
          <w:sz w:val="24"/>
          <w:szCs w:val="24"/>
          <w:lang w:val="en-GB"/>
        </w:rPr>
      </w:pPr>
      <w:r w:rsidRPr="0078138E">
        <w:rPr>
          <w:sz w:val="24"/>
          <w:szCs w:val="24"/>
          <w:lang w:val="en-GB"/>
        </w:rPr>
        <w:t xml:space="preserve">More frequent monitoring (e.g. twice a week) of haematology parameters and of clinical signs and symptoms of </w:t>
      </w:r>
      <w:proofErr w:type="spellStart"/>
      <w:r w:rsidRPr="0078138E">
        <w:rPr>
          <w:sz w:val="24"/>
          <w:szCs w:val="24"/>
          <w:lang w:val="en-GB"/>
        </w:rPr>
        <w:t>ruxolitinib</w:t>
      </w:r>
      <w:proofErr w:type="spellEnd"/>
      <w:r w:rsidRPr="0078138E">
        <w:rPr>
          <w:sz w:val="24"/>
          <w:szCs w:val="24"/>
          <w:lang w:val="en-GB"/>
        </w:rPr>
        <w:t>-related adverse drug reactions is recommended while on strong CYP3A4 inhibitors or dual inhibitors of CYP2C9 and CYP3A4 enzymes.</w:t>
      </w:r>
    </w:p>
    <w:p w14:paraId="7EFBACA4" w14:textId="77777777" w:rsidR="0078138E" w:rsidRPr="0078138E" w:rsidRDefault="0078138E" w:rsidP="00882574">
      <w:pPr>
        <w:ind w:left="851"/>
        <w:rPr>
          <w:sz w:val="24"/>
          <w:szCs w:val="24"/>
          <w:lang w:val="en-GB"/>
        </w:rPr>
      </w:pPr>
    </w:p>
    <w:p w14:paraId="181B1EFE" w14:textId="77777777" w:rsidR="0078138E" w:rsidRPr="0078138E" w:rsidRDefault="0078138E" w:rsidP="00882574">
      <w:pPr>
        <w:ind w:left="851"/>
        <w:rPr>
          <w:sz w:val="24"/>
          <w:szCs w:val="24"/>
          <w:lang w:val="en-GB"/>
        </w:rPr>
      </w:pPr>
      <w:r w:rsidRPr="0078138E">
        <w:rPr>
          <w:sz w:val="24"/>
          <w:szCs w:val="24"/>
          <w:lang w:val="en-GB"/>
        </w:rPr>
        <w:t xml:space="preserve">The concomitant use of cytoreductive therapies with </w:t>
      </w:r>
      <w:proofErr w:type="spellStart"/>
      <w:r w:rsidRPr="0078138E">
        <w:rPr>
          <w:sz w:val="24"/>
          <w:szCs w:val="24"/>
          <w:lang w:val="en-GB"/>
        </w:rPr>
        <w:t>ruxolitinib</w:t>
      </w:r>
      <w:proofErr w:type="spellEnd"/>
      <w:r w:rsidRPr="0078138E">
        <w:rPr>
          <w:sz w:val="24"/>
          <w:szCs w:val="24"/>
          <w:lang w:val="en-GB"/>
        </w:rPr>
        <w:t xml:space="preserve"> was associated with manageable </w:t>
      </w:r>
      <w:proofErr w:type="spellStart"/>
      <w:r w:rsidRPr="0078138E">
        <w:rPr>
          <w:sz w:val="24"/>
          <w:szCs w:val="24"/>
          <w:lang w:val="en-GB"/>
        </w:rPr>
        <w:t>cytopenias</w:t>
      </w:r>
      <w:proofErr w:type="spellEnd"/>
      <w:r w:rsidRPr="0078138E">
        <w:rPr>
          <w:sz w:val="24"/>
          <w:szCs w:val="24"/>
          <w:lang w:val="en-GB"/>
        </w:rPr>
        <w:t xml:space="preserve"> (see section 4.2 for dose modifications during </w:t>
      </w:r>
      <w:proofErr w:type="spellStart"/>
      <w:r w:rsidRPr="0078138E">
        <w:rPr>
          <w:sz w:val="24"/>
          <w:szCs w:val="24"/>
          <w:lang w:val="en-GB"/>
        </w:rPr>
        <w:t>cytopenias</w:t>
      </w:r>
      <w:proofErr w:type="spellEnd"/>
      <w:r w:rsidRPr="0078138E">
        <w:rPr>
          <w:sz w:val="24"/>
          <w:szCs w:val="24"/>
          <w:lang w:val="en-GB"/>
        </w:rPr>
        <w:t>).</w:t>
      </w:r>
    </w:p>
    <w:p w14:paraId="6380C339" w14:textId="77777777" w:rsidR="0078138E" w:rsidRPr="0078138E" w:rsidRDefault="0078138E" w:rsidP="00882574">
      <w:pPr>
        <w:ind w:left="851"/>
        <w:rPr>
          <w:sz w:val="24"/>
          <w:szCs w:val="24"/>
          <w:lang w:val="en-GB"/>
        </w:rPr>
      </w:pPr>
    </w:p>
    <w:p w14:paraId="5DCE5073" w14:textId="77777777" w:rsidR="0078138E" w:rsidRPr="0078138E" w:rsidRDefault="0078138E" w:rsidP="00882574">
      <w:pPr>
        <w:ind w:left="851"/>
        <w:rPr>
          <w:sz w:val="24"/>
          <w:szCs w:val="24"/>
          <w:u w:val="single"/>
          <w:lang w:val="en-GB"/>
        </w:rPr>
      </w:pPr>
      <w:r w:rsidRPr="0078138E">
        <w:rPr>
          <w:sz w:val="24"/>
          <w:szCs w:val="24"/>
          <w:u w:val="single"/>
          <w:lang w:val="en-GB"/>
        </w:rPr>
        <w:t>Withdrawal effects</w:t>
      </w:r>
    </w:p>
    <w:p w14:paraId="4EF13773" w14:textId="77777777" w:rsidR="0078138E" w:rsidRPr="0078138E" w:rsidRDefault="0078138E" w:rsidP="00882574">
      <w:pPr>
        <w:ind w:left="851"/>
        <w:rPr>
          <w:sz w:val="24"/>
          <w:szCs w:val="24"/>
          <w:u w:val="single"/>
          <w:lang w:val="en-GB"/>
        </w:rPr>
      </w:pPr>
    </w:p>
    <w:p w14:paraId="16E9114B" w14:textId="77777777" w:rsidR="0078138E" w:rsidRPr="0078138E" w:rsidRDefault="0078138E" w:rsidP="00882574">
      <w:pPr>
        <w:ind w:left="851"/>
        <w:rPr>
          <w:sz w:val="24"/>
          <w:szCs w:val="24"/>
          <w:lang w:val="en-GB"/>
        </w:rPr>
      </w:pPr>
      <w:r w:rsidRPr="0078138E">
        <w:rPr>
          <w:sz w:val="24"/>
          <w:szCs w:val="24"/>
          <w:lang w:val="en-GB"/>
        </w:rPr>
        <w:t xml:space="preserve">Following interruption or discontinuation of </w:t>
      </w:r>
      <w:proofErr w:type="spellStart"/>
      <w:r w:rsidRPr="0078138E">
        <w:rPr>
          <w:sz w:val="24"/>
          <w:szCs w:val="24"/>
          <w:lang w:val="en-GB"/>
        </w:rPr>
        <w:t>ruxolitinib</w:t>
      </w:r>
      <w:proofErr w:type="spellEnd"/>
      <w:r w:rsidRPr="0078138E">
        <w:rPr>
          <w:sz w:val="24"/>
          <w:szCs w:val="24"/>
          <w:lang w:val="en-GB"/>
        </w:rPr>
        <w:t xml:space="preserve">, symptoms of MF may return over a period of approximately one week. There have been cases of patients discontinuing </w:t>
      </w:r>
      <w:proofErr w:type="spellStart"/>
      <w:r w:rsidRPr="0078138E">
        <w:rPr>
          <w:sz w:val="24"/>
          <w:szCs w:val="24"/>
          <w:lang w:val="en-GB"/>
        </w:rPr>
        <w:t>ruxolitinib</w:t>
      </w:r>
      <w:proofErr w:type="spellEnd"/>
      <w:r w:rsidRPr="0078138E">
        <w:rPr>
          <w:sz w:val="24"/>
          <w:szCs w:val="24"/>
          <w:lang w:val="en-GB"/>
        </w:rPr>
        <w:t xml:space="preserve"> who experienced severe adverse events, particularly in the presence of acute intercurrent illness. It has not been established whether abrupt discontinuation of </w:t>
      </w:r>
      <w:proofErr w:type="spellStart"/>
      <w:r w:rsidRPr="0078138E">
        <w:rPr>
          <w:sz w:val="24"/>
          <w:szCs w:val="24"/>
          <w:lang w:val="en-GB"/>
        </w:rPr>
        <w:t>ruxolitinib</w:t>
      </w:r>
      <w:proofErr w:type="spellEnd"/>
      <w:r w:rsidRPr="0078138E">
        <w:rPr>
          <w:sz w:val="24"/>
          <w:szCs w:val="24"/>
          <w:lang w:val="en-GB"/>
        </w:rPr>
        <w:t xml:space="preserve"> contributed to these events. Unless abrupt discontinuation is required, gradual tapering of the dose of </w:t>
      </w:r>
      <w:proofErr w:type="spellStart"/>
      <w:r w:rsidRPr="0078138E">
        <w:rPr>
          <w:sz w:val="24"/>
          <w:szCs w:val="24"/>
          <w:lang w:val="en-GB"/>
        </w:rPr>
        <w:t>ruxolitinib</w:t>
      </w:r>
      <w:proofErr w:type="spellEnd"/>
      <w:r w:rsidRPr="0078138E">
        <w:rPr>
          <w:sz w:val="24"/>
          <w:szCs w:val="24"/>
          <w:lang w:val="en-GB"/>
        </w:rPr>
        <w:t xml:space="preserve"> may be considered, although the utility of the tapering is unproven.</w:t>
      </w:r>
    </w:p>
    <w:p w14:paraId="06492DE9" w14:textId="77777777" w:rsidR="0078138E" w:rsidRPr="0078138E" w:rsidRDefault="0078138E" w:rsidP="00882574">
      <w:pPr>
        <w:ind w:left="851"/>
        <w:rPr>
          <w:sz w:val="24"/>
          <w:szCs w:val="24"/>
          <w:lang w:val="en-GB"/>
        </w:rPr>
      </w:pPr>
    </w:p>
    <w:p w14:paraId="4072F7F2" w14:textId="77777777" w:rsidR="0078138E" w:rsidRPr="0078138E" w:rsidRDefault="0078138E" w:rsidP="00882574">
      <w:pPr>
        <w:ind w:left="851"/>
        <w:rPr>
          <w:sz w:val="24"/>
          <w:szCs w:val="24"/>
          <w:u w:val="single"/>
          <w:lang w:val="en-GB"/>
        </w:rPr>
      </w:pPr>
      <w:r w:rsidRPr="0078138E">
        <w:rPr>
          <w:sz w:val="24"/>
          <w:szCs w:val="24"/>
          <w:u w:val="single"/>
          <w:lang w:val="en-GB"/>
        </w:rPr>
        <w:t>Excipients</w:t>
      </w:r>
    </w:p>
    <w:p w14:paraId="159ED084" w14:textId="77777777" w:rsidR="0078138E" w:rsidRPr="0078138E" w:rsidRDefault="0078138E" w:rsidP="00882574">
      <w:pPr>
        <w:ind w:left="851"/>
        <w:rPr>
          <w:sz w:val="24"/>
          <w:szCs w:val="24"/>
          <w:u w:val="single"/>
          <w:lang w:val="en-GB"/>
        </w:rPr>
      </w:pPr>
    </w:p>
    <w:p w14:paraId="08B20404" w14:textId="16D41751" w:rsidR="0078138E" w:rsidRPr="0078138E" w:rsidRDefault="0078138E" w:rsidP="00882574">
      <w:pPr>
        <w:ind w:left="851"/>
        <w:rPr>
          <w:sz w:val="24"/>
          <w:szCs w:val="24"/>
          <w:lang w:val="en-GB"/>
        </w:rPr>
      </w:pPr>
      <w:proofErr w:type="spellStart"/>
      <w:r w:rsidRPr="0078138E">
        <w:rPr>
          <w:sz w:val="24"/>
          <w:szCs w:val="24"/>
          <w:lang w:val="en-GB"/>
        </w:rPr>
        <w:t>Ruxolitinib</w:t>
      </w:r>
      <w:proofErr w:type="spellEnd"/>
      <w:r w:rsidRPr="0078138E">
        <w:rPr>
          <w:sz w:val="24"/>
          <w:szCs w:val="24"/>
          <w:lang w:val="en-GB"/>
        </w:rPr>
        <w:t xml:space="preserve"> </w:t>
      </w:r>
      <w:r w:rsidR="009B509D">
        <w:rPr>
          <w:sz w:val="24"/>
          <w:szCs w:val="24"/>
          <w:lang w:val="en-GB"/>
        </w:rPr>
        <w:t>"</w:t>
      </w:r>
      <w:r w:rsidRPr="0078138E">
        <w:rPr>
          <w:sz w:val="24"/>
          <w:szCs w:val="24"/>
          <w:lang w:val="en-GB"/>
        </w:rPr>
        <w:t>Sandoz</w:t>
      </w:r>
      <w:r w:rsidR="009B509D">
        <w:rPr>
          <w:sz w:val="24"/>
          <w:szCs w:val="24"/>
          <w:lang w:val="en-GB"/>
        </w:rPr>
        <w:t>"</w:t>
      </w:r>
      <w:r w:rsidRPr="0078138E">
        <w:rPr>
          <w:sz w:val="24"/>
          <w:szCs w:val="24"/>
          <w:lang w:val="en-GB"/>
        </w:rPr>
        <w:t xml:space="preserve"> contains lactose. Patients with rare hereditary problems of galactose intolerance, total lactase deficiency or glucose-galactose malabsorption should not take this medicinal product.</w:t>
      </w:r>
    </w:p>
    <w:p w14:paraId="3050B970" w14:textId="77777777" w:rsidR="0078138E" w:rsidRPr="0078138E" w:rsidRDefault="0078138E" w:rsidP="00882574">
      <w:pPr>
        <w:ind w:left="851"/>
        <w:rPr>
          <w:sz w:val="24"/>
          <w:szCs w:val="24"/>
          <w:lang w:val="en-GB"/>
        </w:rPr>
      </w:pPr>
    </w:p>
    <w:p w14:paraId="23E6C911" w14:textId="77777777" w:rsidR="0078138E" w:rsidRPr="0078138E" w:rsidRDefault="0078138E" w:rsidP="00882574">
      <w:pPr>
        <w:ind w:left="851"/>
        <w:rPr>
          <w:sz w:val="24"/>
          <w:szCs w:val="24"/>
          <w:lang w:val="en-GB"/>
        </w:rPr>
      </w:pPr>
      <w:r w:rsidRPr="0078138E">
        <w:rPr>
          <w:sz w:val="24"/>
          <w:szCs w:val="24"/>
          <w:lang w:val="en-GB"/>
        </w:rPr>
        <w:t xml:space="preserve">This medicinal product contains less than 1 mmol sodium (23 mg) per dose, </w:t>
      </w:r>
      <w:proofErr w:type="gramStart"/>
      <w:r w:rsidRPr="0078138E">
        <w:rPr>
          <w:sz w:val="24"/>
          <w:szCs w:val="24"/>
          <w:lang w:val="en-GB"/>
        </w:rPr>
        <w:t>that is to say essentially</w:t>
      </w:r>
      <w:proofErr w:type="gramEnd"/>
      <w:r w:rsidRPr="0078138E">
        <w:rPr>
          <w:sz w:val="24"/>
          <w:szCs w:val="24"/>
          <w:lang w:val="en-GB"/>
        </w:rPr>
        <w:t xml:space="preserve"> ‘sodium-free’.</w:t>
      </w:r>
    </w:p>
    <w:p w14:paraId="0BC2F2FC" w14:textId="77777777" w:rsidR="007C5D2A" w:rsidRPr="009B509D" w:rsidRDefault="007C5D2A" w:rsidP="003E0341">
      <w:pPr>
        <w:tabs>
          <w:tab w:val="left" w:pos="851"/>
        </w:tabs>
        <w:ind w:left="851"/>
        <w:rPr>
          <w:sz w:val="24"/>
          <w:szCs w:val="24"/>
          <w:lang w:val="en-GB"/>
        </w:rPr>
      </w:pPr>
    </w:p>
    <w:p w14:paraId="50F06F55" w14:textId="77777777" w:rsidR="007C5D2A" w:rsidRPr="009B509D" w:rsidRDefault="007C5D2A" w:rsidP="007C5D2A">
      <w:pPr>
        <w:ind w:left="851" w:hanging="851"/>
        <w:rPr>
          <w:b/>
          <w:sz w:val="24"/>
          <w:szCs w:val="24"/>
          <w:lang w:val="en-GB"/>
        </w:rPr>
      </w:pPr>
      <w:r w:rsidRPr="009B509D">
        <w:rPr>
          <w:b/>
          <w:sz w:val="24"/>
          <w:szCs w:val="24"/>
          <w:lang w:val="en-GB"/>
        </w:rPr>
        <w:t>4.5</w:t>
      </w:r>
      <w:r w:rsidRPr="009B509D">
        <w:rPr>
          <w:b/>
          <w:sz w:val="24"/>
          <w:szCs w:val="24"/>
          <w:lang w:val="en-GB"/>
        </w:rPr>
        <w:tab/>
        <w:t>Interaction with other medicinal products and other forms of interaction</w:t>
      </w:r>
    </w:p>
    <w:p w14:paraId="6C86CAC6" w14:textId="77777777" w:rsidR="0078138E" w:rsidRPr="0078138E" w:rsidRDefault="0078138E" w:rsidP="00882574">
      <w:pPr>
        <w:ind w:left="851"/>
        <w:rPr>
          <w:sz w:val="24"/>
          <w:szCs w:val="24"/>
          <w:lang w:val="en-GB"/>
        </w:rPr>
      </w:pPr>
      <w:r w:rsidRPr="0078138E">
        <w:rPr>
          <w:sz w:val="24"/>
          <w:szCs w:val="24"/>
          <w:lang w:val="en-GB"/>
        </w:rPr>
        <w:t>Interaction studies have only been performed in adults.</w:t>
      </w:r>
    </w:p>
    <w:p w14:paraId="0A1E0BF6" w14:textId="77777777" w:rsidR="0078138E" w:rsidRPr="0078138E" w:rsidRDefault="0078138E" w:rsidP="00882574">
      <w:pPr>
        <w:ind w:left="851"/>
        <w:rPr>
          <w:sz w:val="24"/>
          <w:szCs w:val="24"/>
          <w:lang w:val="en-GB"/>
        </w:rPr>
      </w:pPr>
    </w:p>
    <w:p w14:paraId="3DBDA3ED" w14:textId="77777777" w:rsidR="0078138E" w:rsidRPr="0078138E" w:rsidRDefault="0078138E" w:rsidP="00882574">
      <w:pPr>
        <w:ind w:left="851"/>
        <w:rPr>
          <w:sz w:val="24"/>
          <w:szCs w:val="24"/>
          <w:lang w:val="en-GB"/>
        </w:rPr>
      </w:pPr>
      <w:proofErr w:type="spellStart"/>
      <w:r w:rsidRPr="0078138E">
        <w:rPr>
          <w:sz w:val="24"/>
          <w:szCs w:val="24"/>
          <w:lang w:val="en-GB"/>
        </w:rPr>
        <w:t>Ruxolitinib</w:t>
      </w:r>
      <w:proofErr w:type="spellEnd"/>
      <w:r w:rsidRPr="0078138E">
        <w:rPr>
          <w:sz w:val="24"/>
          <w:szCs w:val="24"/>
          <w:lang w:val="en-GB"/>
        </w:rPr>
        <w:t xml:space="preserve"> is eliminated through metabolism catalysed by CYP3A4 and CYP2C9. Thus, medicinal products inhibiting these enzymes can give rise to increased </w:t>
      </w:r>
      <w:proofErr w:type="spellStart"/>
      <w:r w:rsidRPr="0078138E">
        <w:rPr>
          <w:sz w:val="24"/>
          <w:szCs w:val="24"/>
          <w:lang w:val="en-GB"/>
        </w:rPr>
        <w:t>ruxolitinib</w:t>
      </w:r>
      <w:proofErr w:type="spellEnd"/>
      <w:r w:rsidRPr="0078138E">
        <w:rPr>
          <w:sz w:val="24"/>
          <w:szCs w:val="24"/>
          <w:lang w:val="en-GB"/>
        </w:rPr>
        <w:t xml:space="preserve"> exposure.</w:t>
      </w:r>
    </w:p>
    <w:p w14:paraId="2F46807C" w14:textId="77777777" w:rsidR="0078138E" w:rsidRPr="0078138E" w:rsidRDefault="0078138E" w:rsidP="00882574">
      <w:pPr>
        <w:ind w:left="851"/>
        <w:rPr>
          <w:sz w:val="24"/>
          <w:szCs w:val="24"/>
          <w:lang w:val="en-GB"/>
        </w:rPr>
      </w:pPr>
    </w:p>
    <w:p w14:paraId="3EBBD02A" w14:textId="77777777" w:rsidR="0078138E" w:rsidRPr="0078138E" w:rsidRDefault="0078138E" w:rsidP="00882574">
      <w:pPr>
        <w:ind w:left="851"/>
        <w:rPr>
          <w:sz w:val="24"/>
          <w:szCs w:val="24"/>
          <w:u w:val="single"/>
          <w:lang w:val="en-GB"/>
        </w:rPr>
      </w:pPr>
      <w:r w:rsidRPr="0078138E">
        <w:rPr>
          <w:sz w:val="24"/>
          <w:szCs w:val="24"/>
          <w:u w:val="single"/>
          <w:lang w:val="en-GB"/>
        </w:rPr>
        <w:t xml:space="preserve">Interactions resulting in dose reduction of </w:t>
      </w:r>
      <w:proofErr w:type="spellStart"/>
      <w:r w:rsidRPr="0078138E">
        <w:rPr>
          <w:sz w:val="24"/>
          <w:szCs w:val="24"/>
          <w:u w:val="single"/>
          <w:lang w:val="en-GB"/>
        </w:rPr>
        <w:t>ruxolitinib</w:t>
      </w:r>
      <w:proofErr w:type="spellEnd"/>
    </w:p>
    <w:p w14:paraId="462DC129" w14:textId="77777777" w:rsidR="0078138E" w:rsidRPr="0078138E" w:rsidRDefault="0078138E" w:rsidP="00882574">
      <w:pPr>
        <w:ind w:left="851"/>
        <w:rPr>
          <w:i/>
          <w:iCs/>
          <w:sz w:val="24"/>
          <w:szCs w:val="24"/>
          <w:lang w:val="en-GB"/>
        </w:rPr>
      </w:pPr>
    </w:p>
    <w:p w14:paraId="64581CEE" w14:textId="77777777" w:rsidR="0078138E" w:rsidRPr="0078138E" w:rsidRDefault="0078138E" w:rsidP="00882574">
      <w:pPr>
        <w:ind w:left="851"/>
        <w:rPr>
          <w:i/>
          <w:iCs/>
          <w:sz w:val="24"/>
          <w:szCs w:val="24"/>
          <w:u w:val="single"/>
          <w:lang w:val="en-GB"/>
        </w:rPr>
      </w:pPr>
      <w:r w:rsidRPr="0078138E">
        <w:rPr>
          <w:i/>
          <w:iCs/>
          <w:sz w:val="24"/>
          <w:szCs w:val="24"/>
          <w:u w:val="single"/>
          <w:lang w:val="en-GB"/>
        </w:rPr>
        <w:t>CYP3A4 inhibitors</w:t>
      </w:r>
    </w:p>
    <w:p w14:paraId="235ACAE7" w14:textId="77777777" w:rsidR="0078138E" w:rsidRPr="0078138E" w:rsidRDefault="0078138E" w:rsidP="00882574">
      <w:pPr>
        <w:ind w:left="851"/>
        <w:rPr>
          <w:sz w:val="24"/>
          <w:szCs w:val="24"/>
          <w:lang w:val="en-GB"/>
        </w:rPr>
      </w:pPr>
      <w:r w:rsidRPr="0078138E">
        <w:rPr>
          <w:i/>
          <w:iCs/>
          <w:sz w:val="24"/>
          <w:szCs w:val="24"/>
          <w:lang w:val="en-GB"/>
        </w:rPr>
        <w:t xml:space="preserve">Strong CYP3A4 inhibitors (such as, but not limited to, boceprevir, clarithromycin, indinavir, itraconazole, ketoconazole, lopinavir/ritonavir, ritonavir, mibefradil, nefazodone, nelfinavir, posaconazole, saquinavir, telaprevir, telithromycin, voriconazole) </w:t>
      </w:r>
    </w:p>
    <w:p w14:paraId="6D26BDBB" w14:textId="77777777" w:rsidR="0078138E" w:rsidRPr="0078138E" w:rsidRDefault="0078138E" w:rsidP="00882574">
      <w:pPr>
        <w:ind w:left="851"/>
        <w:rPr>
          <w:sz w:val="24"/>
          <w:szCs w:val="24"/>
          <w:lang w:val="en-GB"/>
        </w:rPr>
      </w:pPr>
      <w:r w:rsidRPr="0078138E">
        <w:rPr>
          <w:sz w:val="24"/>
          <w:szCs w:val="24"/>
          <w:lang w:val="en-GB"/>
        </w:rPr>
        <w:t xml:space="preserve">In healthy </w:t>
      </w:r>
      <w:proofErr w:type="gramStart"/>
      <w:r w:rsidRPr="0078138E">
        <w:rPr>
          <w:sz w:val="24"/>
          <w:szCs w:val="24"/>
          <w:lang w:val="en-GB"/>
        </w:rPr>
        <w:t>subjects</w:t>
      </w:r>
      <w:proofErr w:type="gramEnd"/>
      <w:r w:rsidRPr="0078138E">
        <w:rPr>
          <w:sz w:val="24"/>
          <w:szCs w:val="24"/>
          <w:lang w:val="en-GB"/>
        </w:rPr>
        <w:t xml:space="preserve"> co-administration of </w:t>
      </w:r>
      <w:proofErr w:type="spellStart"/>
      <w:r w:rsidRPr="0078138E">
        <w:rPr>
          <w:sz w:val="24"/>
          <w:szCs w:val="24"/>
          <w:lang w:val="en-GB"/>
        </w:rPr>
        <w:t>ruxolitinib</w:t>
      </w:r>
      <w:proofErr w:type="spellEnd"/>
      <w:r w:rsidRPr="0078138E">
        <w:rPr>
          <w:sz w:val="24"/>
          <w:szCs w:val="24"/>
          <w:lang w:val="en-GB"/>
        </w:rPr>
        <w:t xml:space="preserve"> (10 mg single dose) with a strong CYP3A4 inhibitor, ketoconazole, resulted in </w:t>
      </w:r>
      <w:proofErr w:type="spellStart"/>
      <w:r w:rsidRPr="0078138E">
        <w:rPr>
          <w:sz w:val="24"/>
          <w:szCs w:val="24"/>
          <w:lang w:val="en-GB"/>
        </w:rPr>
        <w:t>ruxolitinib</w:t>
      </w:r>
      <w:proofErr w:type="spellEnd"/>
      <w:r w:rsidRPr="0078138E">
        <w:rPr>
          <w:sz w:val="24"/>
          <w:szCs w:val="24"/>
          <w:lang w:val="en-GB"/>
        </w:rPr>
        <w:t xml:space="preserve"> Cmax and AUC that were higher by 33% and 91%, respectively, than with </w:t>
      </w:r>
      <w:proofErr w:type="spellStart"/>
      <w:r w:rsidRPr="0078138E">
        <w:rPr>
          <w:sz w:val="24"/>
          <w:szCs w:val="24"/>
          <w:lang w:val="en-GB"/>
        </w:rPr>
        <w:t>ruxolitinib</w:t>
      </w:r>
      <w:proofErr w:type="spellEnd"/>
      <w:r w:rsidRPr="0078138E">
        <w:rPr>
          <w:sz w:val="24"/>
          <w:szCs w:val="24"/>
          <w:lang w:val="en-GB"/>
        </w:rPr>
        <w:t xml:space="preserve"> alone. The half-life was prolonged from 3.7 to 6.0 hours with concurrent ketoconazole administration.</w:t>
      </w:r>
    </w:p>
    <w:p w14:paraId="0249A985" w14:textId="77777777" w:rsidR="0078138E" w:rsidRPr="0078138E" w:rsidRDefault="0078138E" w:rsidP="00882574">
      <w:pPr>
        <w:ind w:left="851"/>
        <w:rPr>
          <w:sz w:val="24"/>
          <w:szCs w:val="24"/>
          <w:lang w:val="en-GB"/>
        </w:rPr>
      </w:pPr>
    </w:p>
    <w:p w14:paraId="5EF90D16" w14:textId="77777777" w:rsidR="0078138E" w:rsidRPr="0078138E" w:rsidRDefault="0078138E" w:rsidP="00882574">
      <w:pPr>
        <w:ind w:left="851"/>
        <w:rPr>
          <w:sz w:val="24"/>
          <w:szCs w:val="24"/>
          <w:lang w:val="en-GB"/>
        </w:rPr>
      </w:pPr>
      <w:r w:rsidRPr="0078138E">
        <w:rPr>
          <w:sz w:val="24"/>
          <w:szCs w:val="24"/>
          <w:lang w:val="en-GB"/>
        </w:rPr>
        <w:t xml:space="preserve">When administering </w:t>
      </w:r>
      <w:proofErr w:type="spellStart"/>
      <w:r w:rsidRPr="0078138E">
        <w:rPr>
          <w:sz w:val="24"/>
          <w:szCs w:val="24"/>
          <w:lang w:val="en-GB"/>
        </w:rPr>
        <w:t>ruxolitinib</w:t>
      </w:r>
      <w:proofErr w:type="spellEnd"/>
      <w:r w:rsidRPr="0078138E">
        <w:rPr>
          <w:sz w:val="24"/>
          <w:szCs w:val="24"/>
          <w:lang w:val="en-GB"/>
        </w:rPr>
        <w:t xml:space="preserve"> with strong CYP3A4 inhibitors the unit dose of </w:t>
      </w:r>
      <w:proofErr w:type="spellStart"/>
      <w:r w:rsidRPr="0078138E">
        <w:rPr>
          <w:sz w:val="24"/>
          <w:szCs w:val="24"/>
          <w:lang w:val="en-GB"/>
        </w:rPr>
        <w:t>ruxolitinib</w:t>
      </w:r>
      <w:proofErr w:type="spellEnd"/>
      <w:r w:rsidRPr="0078138E">
        <w:rPr>
          <w:sz w:val="24"/>
          <w:szCs w:val="24"/>
          <w:lang w:val="en-GB"/>
        </w:rPr>
        <w:t xml:space="preserve"> should be reduced by approximately 50%, to be administered twice daily.</w:t>
      </w:r>
    </w:p>
    <w:p w14:paraId="1377E08F" w14:textId="77777777" w:rsidR="0078138E" w:rsidRPr="0078138E" w:rsidRDefault="0078138E" w:rsidP="00882574">
      <w:pPr>
        <w:ind w:left="851"/>
        <w:rPr>
          <w:sz w:val="24"/>
          <w:szCs w:val="24"/>
          <w:lang w:val="en-GB"/>
        </w:rPr>
      </w:pPr>
    </w:p>
    <w:p w14:paraId="78EE9713" w14:textId="77777777" w:rsidR="0078138E" w:rsidRPr="0078138E" w:rsidRDefault="0078138E" w:rsidP="00882574">
      <w:pPr>
        <w:ind w:left="851"/>
        <w:rPr>
          <w:sz w:val="24"/>
          <w:szCs w:val="24"/>
          <w:lang w:val="en-GB"/>
        </w:rPr>
      </w:pPr>
      <w:r w:rsidRPr="0078138E">
        <w:rPr>
          <w:sz w:val="24"/>
          <w:szCs w:val="24"/>
          <w:lang w:val="en-GB"/>
        </w:rPr>
        <w:t xml:space="preserve">Patients should be closely monitored (e.g. twice weekly) for </w:t>
      </w:r>
      <w:proofErr w:type="spellStart"/>
      <w:proofErr w:type="gramStart"/>
      <w:r w:rsidRPr="0078138E">
        <w:rPr>
          <w:sz w:val="24"/>
          <w:szCs w:val="24"/>
          <w:lang w:val="en-GB"/>
        </w:rPr>
        <w:t>cytopenias</w:t>
      </w:r>
      <w:proofErr w:type="spellEnd"/>
      <w:proofErr w:type="gramEnd"/>
      <w:r w:rsidRPr="0078138E">
        <w:rPr>
          <w:sz w:val="24"/>
          <w:szCs w:val="24"/>
          <w:lang w:val="en-GB"/>
        </w:rPr>
        <w:t xml:space="preserve"> and dose titrated based on safety and efficacy (see section 4.2).</w:t>
      </w:r>
    </w:p>
    <w:p w14:paraId="7426BEE4" w14:textId="77777777" w:rsidR="0078138E" w:rsidRPr="0078138E" w:rsidRDefault="0078138E" w:rsidP="00882574">
      <w:pPr>
        <w:ind w:left="851"/>
        <w:rPr>
          <w:sz w:val="24"/>
          <w:szCs w:val="24"/>
          <w:lang w:val="en-GB"/>
        </w:rPr>
      </w:pPr>
    </w:p>
    <w:p w14:paraId="0D762EF0" w14:textId="77777777" w:rsidR="0078138E" w:rsidRPr="0078138E" w:rsidRDefault="0078138E" w:rsidP="00882574">
      <w:pPr>
        <w:ind w:left="851"/>
        <w:rPr>
          <w:sz w:val="24"/>
          <w:szCs w:val="24"/>
          <w:lang w:val="en-GB"/>
        </w:rPr>
      </w:pPr>
      <w:r w:rsidRPr="0078138E">
        <w:rPr>
          <w:i/>
          <w:iCs/>
          <w:sz w:val="24"/>
          <w:szCs w:val="24"/>
          <w:lang w:val="en-GB"/>
        </w:rPr>
        <w:t>Dual CYP2C9 and CYP3A4 inhibitors</w:t>
      </w:r>
    </w:p>
    <w:p w14:paraId="09F35547" w14:textId="77777777" w:rsidR="0078138E" w:rsidRPr="0078138E" w:rsidRDefault="0078138E" w:rsidP="00882574">
      <w:pPr>
        <w:ind w:left="851"/>
        <w:rPr>
          <w:sz w:val="24"/>
          <w:szCs w:val="24"/>
          <w:lang w:val="en-GB"/>
        </w:rPr>
      </w:pPr>
      <w:r w:rsidRPr="0078138E">
        <w:rPr>
          <w:sz w:val="24"/>
          <w:szCs w:val="24"/>
          <w:lang w:val="en-GB"/>
        </w:rPr>
        <w:t xml:space="preserve">In healthy </w:t>
      </w:r>
      <w:proofErr w:type="gramStart"/>
      <w:r w:rsidRPr="0078138E">
        <w:rPr>
          <w:sz w:val="24"/>
          <w:szCs w:val="24"/>
          <w:lang w:val="en-GB"/>
        </w:rPr>
        <w:t>subjects</w:t>
      </w:r>
      <w:proofErr w:type="gramEnd"/>
      <w:r w:rsidRPr="0078138E">
        <w:rPr>
          <w:sz w:val="24"/>
          <w:szCs w:val="24"/>
          <w:lang w:val="en-GB"/>
        </w:rPr>
        <w:t xml:space="preserve"> co-administration of </w:t>
      </w:r>
      <w:proofErr w:type="spellStart"/>
      <w:r w:rsidRPr="0078138E">
        <w:rPr>
          <w:sz w:val="24"/>
          <w:szCs w:val="24"/>
          <w:lang w:val="en-GB"/>
        </w:rPr>
        <w:t>ruxolitinib</w:t>
      </w:r>
      <w:proofErr w:type="spellEnd"/>
      <w:r w:rsidRPr="0078138E">
        <w:rPr>
          <w:sz w:val="24"/>
          <w:szCs w:val="24"/>
          <w:lang w:val="en-GB"/>
        </w:rPr>
        <w:t xml:space="preserve"> (10 mg single dose) with a dual CYP2C9 and CYP3A4 inhibitor, fluconazole, resulted in </w:t>
      </w:r>
      <w:proofErr w:type="spellStart"/>
      <w:r w:rsidRPr="0078138E">
        <w:rPr>
          <w:sz w:val="24"/>
          <w:szCs w:val="24"/>
          <w:lang w:val="en-GB"/>
        </w:rPr>
        <w:t>ruxolitinib</w:t>
      </w:r>
      <w:proofErr w:type="spellEnd"/>
      <w:r w:rsidRPr="0078138E">
        <w:rPr>
          <w:sz w:val="24"/>
          <w:szCs w:val="24"/>
          <w:lang w:val="en-GB"/>
        </w:rPr>
        <w:t xml:space="preserve"> Cmax and AUC that were higher by 47% and 232%, respectively, than with </w:t>
      </w:r>
      <w:proofErr w:type="spellStart"/>
      <w:r w:rsidRPr="0078138E">
        <w:rPr>
          <w:sz w:val="24"/>
          <w:szCs w:val="24"/>
          <w:lang w:val="en-GB"/>
        </w:rPr>
        <w:t>ruxolitinib</w:t>
      </w:r>
      <w:proofErr w:type="spellEnd"/>
      <w:r w:rsidRPr="0078138E">
        <w:rPr>
          <w:sz w:val="24"/>
          <w:szCs w:val="24"/>
          <w:lang w:val="en-GB"/>
        </w:rPr>
        <w:t xml:space="preserve"> alone.</w:t>
      </w:r>
    </w:p>
    <w:p w14:paraId="571B3F16" w14:textId="77777777" w:rsidR="0078138E" w:rsidRPr="0078138E" w:rsidRDefault="0078138E" w:rsidP="00882574">
      <w:pPr>
        <w:ind w:left="851"/>
        <w:rPr>
          <w:sz w:val="24"/>
          <w:szCs w:val="24"/>
          <w:lang w:val="en-GB"/>
        </w:rPr>
      </w:pPr>
    </w:p>
    <w:p w14:paraId="4B5014F8" w14:textId="77777777" w:rsidR="0078138E" w:rsidRPr="0078138E" w:rsidRDefault="0078138E" w:rsidP="00882574">
      <w:pPr>
        <w:ind w:left="851"/>
        <w:rPr>
          <w:sz w:val="24"/>
          <w:szCs w:val="24"/>
          <w:lang w:val="en-GB"/>
        </w:rPr>
      </w:pPr>
      <w:r w:rsidRPr="0078138E">
        <w:rPr>
          <w:sz w:val="24"/>
          <w:szCs w:val="24"/>
          <w:lang w:val="en-GB"/>
        </w:rPr>
        <w:t xml:space="preserve">50% dose reduction should be considered when using medicinal products which are dual inhibitors of CYP2C9 and CYP3A4 enzymes (e.g. fluconazole). Avoid the concomitant use of </w:t>
      </w:r>
      <w:proofErr w:type="spellStart"/>
      <w:r w:rsidRPr="0078138E">
        <w:rPr>
          <w:sz w:val="24"/>
          <w:szCs w:val="24"/>
          <w:lang w:val="en-GB"/>
        </w:rPr>
        <w:t>ruxolitinib</w:t>
      </w:r>
      <w:proofErr w:type="spellEnd"/>
      <w:r w:rsidRPr="0078138E">
        <w:rPr>
          <w:sz w:val="24"/>
          <w:szCs w:val="24"/>
          <w:lang w:val="en-GB"/>
        </w:rPr>
        <w:t xml:space="preserve"> with fluconazole doses greater than 200 mg daily.</w:t>
      </w:r>
    </w:p>
    <w:p w14:paraId="5A415019" w14:textId="77777777" w:rsidR="0078138E" w:rsidRPr="0078138E" w:rsidRDefault="0078138E" w:rsidP="00882574">
      <w:pPr>
        <w:ind w:left="851"/>
        <w:rPr>
          <w:sz w:val="24"/>
          <w:szCs w:val="24"/>
          <w:lang w:val="en-GB"/>
        </w:rPr>
      </w:pPr>
    </w:p>
    <w:p w14:paraId="16AABF67" w14:textId="77777777" w:rsidR="0078138E" w:rsidRPr="0078138E" w:rsidRDefault="0078138E" w:rsidP="00882574">
      <w:pPr>
        <w:ind w:left="851"/>
        <w:rPr>
          <w:sz w:val="24"/>
          <w:szCs w:val="24"/>
          <w:u w:val="single"/>
          <w:lang w:val="en-GB"/>
        </w:rPr>
      </w:pPr>
      <w:r w:rsidRPr="0078138E">
        <w:rPr>
          <w:sz w:val="24"/>
          <w:szCs w:val="24"/>
          <w:u w:val="single"/>
          <w:lang w:val="en-GB"/>
        </w:rPr>
        <w:t>Enzyme inducers</w:t>
      </w:r>
    </w:p>
    <w:p w14:paraId="2F7D909C" w14:textId="77777777" w:rsidR="0078138E" w:rsidRPr="0078138E" w:rsidRDefault="0078138E" w:rsidP="00882574">
      <w:pPr>
        <w:ind w:left="851"/>
        <w:rPr>
          <w:i/>
          <w:iCs/>
          <w:sz w:val="24"/>
          <w:szCs w:val="24"/>
          <w:lang w:val="en-GB"/>
        </w:rPr>
      </w:pPr>
    </w:p>
    <w:p w14:paraId="7F21815E" w14:textId="77777777" w:rsidR="0078138E" w:rsidRPr="0078138E" w:rsidRDefault="0078138E" w:rsidP="00882574">
      <w:pPr>
        <w:ind w:left="851"/>
        <w:rPr>
          <w:sz w:val="24"/>
          <w:szCs w:val="24"/>
          <w:u w:val="single"/>
          <w:lang w:val="en-GB"/>
        </w:rPr>
      </w:pPr>
      <w:r w:rsidRPr="0078138E">
        <w:rPr>
          <w:i/>
          <w:iCs/>
          <w:sz w:val="24"/>
          <w:szCs w:val="24"/>
          <w:u w:val="single"/>
          <w:lang w:val="en-GB"/>
        </w:rPr>
        <w:t xml:space="preserve">CYP3A4 inducers (such as, but not limited to, </w:t>
      </w:r>
      <w:proofErr w:type="spellStart"/>
      <w:r w:rsidRPr="0078138E">
        <w:rPr>
          <w:i/>
          <w:iCs/>
          <w:sz w:val="24"/>
          <w:szCs w:val="24"/>
          <w:u w:val="single"/>
          <w:lang w:val="en-GB"/>
        </w:rPr>
        <w:t>avasimibe</w:t>
      </w:r>
      <w:proofErr w:type="spellEnd"/>
      <w:r w:rsidRPr="0078138E">
        <w:rPr>
          <w:i/>
          <w:iCs/>
          <w:sz w:val="24"/>
          <w:szCs w:val="24"/>
          <w:u w:val="single"/>
          <w:lang w:val="en-GB"/>
        </w:rPr>
        <w:t xml:space="preserve">, carbamazepine, phenobarbital, phenytoin, rifabutin, </w:t>
      </w:r>
      <w:proofErr w:type="spellStart"/>
      <w:r w:rsidRPr="0078138E">
        <w:rPr>
          <w:i/>
          <w:iCs/>
          <w:sz w:val="24"/>
          <w:szCs w:val="24"/>
          <w:u w:val="single"/>
          <w:lang w:val="en-GB"/>
        </w:rPr>
        <w:t>rifampin</w:t>
      </w:r>
      <w:proofErr w:type="spellEnd"/>
      <w:r w:rsidRPr="0078138E">
        <w:rPr>
          <w:i/>
          <w:iCs/>
          <w:sz w:val="24"/>
          <w:szCs w:val="24"/>
          <w:u w:val="single"/>
          <w:lang w:val="en-GB"/>
        </w:rPr>
        <w:t xml:space="preserve"> (rifampicin), </w:t>
      </w:r>
      <w:proofErr w:type="spellStart"/>
      <w:proofErr w:type="gramStart"/>
      <w:r w:rsidRPr="0078138E">
        <w:rPr>
          <w:i/>
          <w:iCs/>
          <w:sz w:val="24"/>
          <w:szCs w:val="24"/>
          <w:u w:val="single"/>
          <w:lang w:val="en-GB"/>
        </w:rPr>
        <w:t>St.John’s</w:t>
      </w:r>
      <w:proofErr w:type="spellEnd"/>
      <w:proofErr w:type="gramEnd"/>
      <w:r w:rsidRPr="0078138E">
        <w:rPr>
          <w:i/>
          <w:iCs/>
          <w:sz w:val="24"/>
          <w:szCs w:val="24"/>
          <w:u w:val="single"/>
          <w:lang w:val="en-GB"/>
        </w:rPr>
        <w:t xml:space="preserve"> wort (Hypericum perforatum))</w:t>
      </w:r>
    </w:p>
    <w:p w14:paraId="436CE50A" w14:textId="77777777" w:rsidR="0078138E" w:rsidRPr="0078138E" w:rsidRDefault="0078138E" w:rsidP="00882574">
      <w:pPr>
        <w:ind w:left="851"/>
        <w:rPr>
          <w:sz w:val="24"/>
          <w:szCs w:val="24"/>
          <w:lang w:val="en-GB"/>
        </w:rPr>
      </w:pPr>
      <w:r w:rsidRPr="0078138E">
        <w:rPr>
          <w:sz w:val="24"/>
          <w:szCs w:val="24"/>
          <w:lang w:val="en-GB"/>
        </w:rPr>
        <w:t xml:space="preserve">Patients should be closely </w:t>
      </w:r>
      <w:proofErr w:type="gramStart"/>
      <w:r w:rsidRPr="0078138E">
        <w:rPr>
          <w:sz w:val="24"/>
          <w:szCs w:val="24"/>
          <w:lang w:val="en-GB"/>
        </w:rPr>
        <w:t>monitored</w:t>
      </w:r>
      <w:proofErr w:type="gramEnd"/>
      <w:r w:rsidRPr="0078138E">
        <w:rPr>
          <w:sz w:val="24"/>
          <w:szCs w:val="24"/>
          <w:lang w:val="en-GB"/>
        </w:rPr>
        <w:t xml:space="preserve"> and the dose titrated based on safety and efficacy (see section 4.2).</w:t>
      </w:r>
    </w:p>
    <w:p w14:paraId="439B8E12" w14:textId="77777777" w:rsidR="0078138E" w:rsidRPr="0078138E" w:rsidRDefault="0078138E" w:rsidP="00882574">
      <w:pPr>
        <w:ind w:left="851"/>
        <w:rPr>
          <w:sz w:val="24"/>
          <w:szCs w:val="24"/>
          <w:lang w:val="en-GB"/>
        </w:rPr>
      </w:pPr>
    </w:p>
    <w:p w14:paraId="41A60F6C" w14:textId="77777777" w:rsidR="0078138E" w:rsidRPr="0078138E" w:rsidRDefault="0078138E" w:rsidP="00882574">
      <w:pPr>
        <w:ind w:left="851"/>
        <w:rPr>
          <w:sz w:val="24"/>
          <w:szCs w:val="24"/>
          <w:u w:val="single"/>
          <w:lang w:val="en-GB"/>
        </w:rPr>
      </w:pPr>
      <w:r w:rsidRPr="0078138E">
        <w:rPr>
          <w:sz w:val="24"/>
          <w:szCs w:val="24"/>
          <w:lang w:val="en-GB"/>
        </w:rPr>
        <w:t xml:space="preserve">In healthy subjects given </w:t>
      </w:r>
      <w:proofErr w:type="spellStart"/>
      <w:r w:rsidRPr="0078138E">
        <w:rPr>
          <w:sz w:val="24"/>
          <w:szCs w:val="24"/>
          <w:lang w:val="en-GB"/>
        </w:rPr>
        <w:t>ruxolitinib</w:t>
      </w:r>
      <w:proofErr w:type="spellEnd"/>
      <w:r w:rsidRPr="0078138E">
        <w:rPr>
          <w:sz w:val="24"/>
          <w:szCs w:val="24"/>
          <w:lang w:val="en-GB"/>
        </w:rPr>
        <w:t xml:space="preserve"> (50 mg single dose) following the potent CYP3A4 inducer rifampicin (600 mg daily dose for 10 days), </w:t>
      </w:r>
      <w:proofErr w:type="spellStart"/>
      <w:r w:rsidRPr="0078138E">
        <w:rPr>
          <w:sz w:val="24"/>
          <w:szCs w:val="24"/>
          <w:lang w:val="en-GB"/>
        </w:rPr>
        <w:t>ruxolitinib</w:t>
      </w:r>
      <w:proofErr w:type="spellEnd"/>
      <w:r w:rsidRPr="0078138E">
        <w:rPr>
          <w:sz w:val="24"/>
          <w:szCs w:val="24"/>
          <w:lang w:val="en-GB"/>
        </w:rPr>
        <w:t xml:space="preserve"> AUC was 70% lower than after administration of </w:t>
      </w:r>
      <w:proofErr w:type="spellStart"/>
      <w:r w:rsidRPr="0078138E">
        <w:rPr>
          <w:sz w:val="24"/>
          <w:szCs w:val="24"/>
          <w:lang w:val="en-GB"/>
        </w:rPr>
        <w:t>ruxolitinib</w:t>
      </w:r>
      <w:proofErr w:type="spellEnd"/>
      <w:r w:rsidRPr="0078138E">
        <w:rPr>
          <w:sz w:val="24"/>
          <w:szCs w:val="24"/>
          <w:lang w:val="en-GB"/>
        </w:rPr>
        <w:t xml:space="preserve"> alone. The exposure of </w:t>
      </w:r>
      <w:proofErr w:type="spellStart"/>
      <w:r w:rsidRPr="0078138E">
        <w:rPr>
          <w:sz w:val="24"/>
          <w:szCs w:val="24"/>
          <w:lang w:val="en-GB"/>
        </w:rPr>
        <w:t>ruxolitinib</w:t>
      </w:r>
      <w:proofErr w:type="spellEnd"/>
      <w:r w:rsidRPr="0078138E">
        <w:rPr>
          <w:sz w:val="24"/>
          <w:szCs w:val="24"/>
          <w:lang w:val="en-GB"/>
        </w:rPr>
        <w:t xml:space="preserve"> active metabolites was unchanged. Overall, the </w:t>
      </w:r>
      <w:proofErr w:type="spellStart"/>
      <w:r w:rsidRPr="0078138E">
        <w:rPr>
          <w:sz w:val="24"/>
          <w:szCs w:val="24"/>
          <w:lang w:val="en-GB"/>
        </w:rPr>
        <w:t>ruxolitinib</w:t>
      </w:r>
      <w:proofErr w:type="spellEnd"/>
      <w:r w:rsidRPr="0078138E">
        <w:rPr>
          <w:sz w:val="24"/>
          <w:szCs w:val="24"/>
          <w:lang w:val="en-GB"/>
        </w:rPr>
        <w:t xml:space="preserve"> pharmacodynamic activity was similar, suggesting the CYP3A4 induction resulted in minimal effect on the pharmacodynamics. However, this could be related to the high </w:t>
      </w:r>
      <w:proofErr w:type="spellStart"/>
      <w:r w:rsidRPr="0078138E">
        <w:rPr>
          <w:sz w:val="24"/>
          <w:szCs w:val="24"/>
          <w:lang w:val="en-GB"/>
        </w:rPr>
        <w:t>ruxolitinib</w:t>
      </w:r>
      <w:proofErr w:type="spellEnd"/>
      <w:r w:rsidRPr="0078138E">
        <w:rPr>
          <w:sz w:val="24"/>
          <w:szCs w:val="24"/>
          <w:lang w:val="en-GB"/>
        </w:rPr>
        <w:t xml:space="preserve"> dose resulting in pharmacodynamic effects near Emax. It is possible that in the individual patient, an increase of the </w:t>
      </w:r>
      <w:proofErr w:type="spellStart"/>
      <w:r w:rsidRPr="0078138E">
        <w:rPr>
          <w:sz w:val="24"/>
          <w:szCs w:val="24"/>
          <w:lang w:val="en-GB"/>
        </w:rPr>
        <w:t>ruxolitinib</w:t>
      </w:r>
      <w:proofErr w:type="spellEnd"/>
      <w:r w:rsidRPr="0078138E">
        <w:rPr>
          <w:sz w:val="24"/>
          <w:szCs w:val="24"/>
          <w:lang w:val="en-GB"/>
        </w:rPr>
        <w:t xml:space="preserve"> dose is needed when initiating treatment with a strong enzyme inducer.</w:t>
      </w:r>
    </w:p>
    <w:p w14:paraId="1AAA75A2" w14:textId="77777777" w:rsidR="0078138E" w:rsidRPr="0078138E" w:rsidRDefault="0078138E" w:rsidP="00882574">
      <w:pPr>
        <w:ind w:left="851"/>
        <w:rPr>
          <w:sz w:val="24"/>
          <w:szCs w:val="24"/>
          <w:lang w:val="en-GB"/>
        </w:rPr>
      </w:pPr>
    </w:p>
    <w:p w14:paraId="186F81B3" w14:textId="77777777" w:rsidR="0078138E" w:rsidRPr="0078138E" w:rsidRDefault="0078138E" w:rsidP="00882574">
      <w:pPr>
        <w:ind w:left="851"/>
        <w:rPr>
          <w:sz w:val="24"/>
          <w:szCs w:val="24"/>
          <w:u w:val="single"/>
          <w:lang w:val="en-GB"/>
        </w:rPr>
      </w:pPr>
      <w:r w:rsidRPr="0078138E">
        <w:rPr>
          <w:sz w:val="24"/>
          <w:szCs w:val="24"/>
          <w:u w:val="single"/>
          <w:lang w:val="en-GB"/>
        </w:rPr>
        <w:t xml:space="preserve">Other interactions to be considered affecting </w:t>
      </w:r>
      <w:proofErr w:type="spellStart"/>
      <w:r w:rsidRPr="0078138E">
        <w:rPr>
          <w:sz w:val="24"/>
          <w:szCs w:val="24"/>
          <w:u w:val="single"/>
          <w:lang w:val="en-GB"/>
        </w:rPr>
        <w:t>ruxolitinib</w:t>
      </w:r>
      <w:proofErr w:type="spellEnd"/>
    </w:p>
    <w:p w14:paraId="08CF6C33" w14:textId="77777777" w:rsidR="0078138E" w:rsidRPr="0078138E" w:rsidRDefault="0078138E" w:rsidP="00882574">
      <w:pPr>
        <w:ind w:left="851"/>
        <w:rPr>
          <w:i/>
          <w:iCs/>
          <w:sz w:val="24"/>
          <w:szCs w:val="24"/>
          <w:lang w:val="en-GB"/>
        </w:rPr>
      </w:pPr>
    </w:p>
    <w:p w14:paraId="18768E89" w14:textId="77777777" w:rsidR="0078138E" w:rsidRPr="0078138E" w:rsidRDefault="0078138E" w:rsidP="00882574">
      <w:pPr>
        <w:ind w:left="851"/>
        <w:rPr>
          <w:sz w:val="24"/>
          <w:szCs w:val="24"/>
          <w:u w:val="single"/>
          <w:lang w:val="en-GB"/>
        </w:rPr>
      </w:pPr>
      <w:r w:rsidRPr="0078138E">
        <w:rPr>
          <w:i/>
          <w:iCs/>
          <w:sz w:val="24"/>
          <w:szCs w:val="24"/>
          <w:u w:val="single"/>
          <w:lang w:val="en-GB"/>
        </w:rPr>
        <w:t>Mild or moderate CYP3A4 inhibitors (such as, but not limited to, ciprofloxacin, erythromycin, amprenavir, atazanavir, diltiazem, cimetidine)</w:t>
      </w:r>
    </w:p>
    <w:p w14:paraId="1746E57B" w14:textId="77777777" w:rsidR="0078138E" w:rsidRPr="0078138E" w:rsidRDefault="0078138E" w:rsidP="00882574">
      <w:pPr>
        <w:ind w:left="851"/>
        <w:rPr>
          <w:sz w:val="24"/>
          <w:szCs w:val="24"/>
          <w:lang w:val="en-GB"/>
        </w:rPr>
      </w:pPr>
      <w:r w:rsidRPr="0078138E">
        <w:rPr>
          <w:sz w:val="24"/>
          <w:szCs w:val="24"/>
          <w:lang w:val="en-GB"/>
        </w:rPr>
        <w:t xml:space="preserve">In healthy </w:t>
      </w:r>
      <w:proofErr w:type="gramStart"/>
      <w:r w:rsidRPr="0078138E">
        <w:rPr>
          <w:sz w:val="24"/>
          <w:szCs w:val="24"/>
          <w:lang w:val="en-GB"/>
        </w:rPr>
        <w:t>subjects</w:t>
      </w:r>
      <w:proofErr w:type="gramEnd"/>
      <w:r w:rsidRPr="0078138E">
        <w:rPr>
          <w:sz w:val="24"/>
          <w:szCs w:val="24"/>
          <w:lang w:val="en-GB"/>
        </w:rPr>
        <w:t xml:space="preserve"> co-administration of </w:t>
      </w:r>
      <w:proofErr w:type="spellStart"/>
      <w:r w:rsidRPr="0078138E">
        <w:rPr>
          <w:sz w:val="24"/>
          <w:szCs w:val="24"/>
          <w:lang w:val="en-GB"/>
        </w:rPr>
        <w:t>ruxolitinib</w:t>
      </w:r>
      <w:proofErr w:type="spellEnd"/>
      <w:r w:rsidRPr="0078138E">
        <w:rPr>
          <w:sz w:val="24"/>
          <w:szCs w:val="24"/>
          <w:lang w:val="en-GB"/>
        </w:rPr>
        <w:t xml:space="preserve"> (10 mg single dose) with erythromycin 500 mg twice daily for four days resulted in </w:t>
      </w:r>
      <w:proofErr w:type="spellStart"/>
      <w:r w:rsidRPr="0078138E">
        <w:rPr>
          <w:sz w:val="24"/>
          <w:szCs w:val="24"/>
          <w:lang w:val="en-GB"/>
        </w:rPr>
        <w:t>ruxolitinib</w:t>
      </w:r>
      <w:proofErr w:type="spellEnd"/>
      <w:r w:rsidRPr="0078138E">
        <w:rPr>
          <w:sz w:val="24"/>
          <w:szCs w:val="24"/>
          <w:lang w:val="en-GB"/>
        </w:rPr>
        <w:t xml:space="preserve"> Cmax and AUC that were higher by 8% and 27%, respectively, than with </w:t>
      </w:r>
      <w:proofErr w:type="spellStart"/>
      <w:r w:rsidRPr="0078138E">
        <w:rPr>
          <w:sz w:val="24"/>
          <w:szCs w:val="24"/>
          <w:lang w:val="en-GB"/>
        </w:rPr>
        <w:t>ruxolitinib</w:t>
      </w:r>
      <w:proofErr w:type="spellEnd"/>
      <w:r w:rsidRPr="0078138E">
        <w:rPr>
          <w:sz w:val="24"/>
          <w:szCs w:val="24"/>
          <w:lang w:val="en-GB"/>
        </w:rPr>
        <w:t xml:space="preserve"> alone.</w:t>
      </w:r>
    </w:p>
    <w:p w14:paraId="15DE4CA5" w14:textId="77777777" w:rsidR="0078138E" w:rsidRPr="0078138E" w:rsidRDefault="0078138E" w:rsidP="00882574">
      <w:pPr>
        <w:ind w:left="851"/>
        <w:rPr>
          <w:sz w:val="24"/>
          <w:szCs w:val="24"/>
          <w:lang w:val="en-GB"/>
        </w:rPr>
      </w:pPr>
    </w:p>
    <w:p w14:paraId="0C2F08D2" w14:textId="77777777" w:rsidR="0078138E" w:rsidRPr="0078138E" w:rsidRDefault="0078138E" w:rsidP="00882574">
      <w:pPr>
        <w:ind w:left="851"/>
        <w:rPr>
          <w:sz w:val="24"/>
          <w:szCs w:val="24"/>
          <w:lang w:val="en-GB"/>
        </w:rPr>
      </w:pPr>
      <w:r w:rsidRPr="0078138E">
        <w:rPr>
          <w:sz w:val="24"/>
          <w:szCs w:val="24"/>
          <w:lang w:val="en-GB"/>
        </w:rPr>
        <w:t xml:space="preserve">No dose adjustment is recommended when </w:t>
      </w:r>
      <w:proofErr w:type="spellStart"/>
      <w:r w:rsidRPr="0078138E">
        <w:rPr>
          <w:sz w:val="24"/>
          <w:szCs w:val="24"/>
          <w:lang w:val="en-GB"/>
        </w:rPr>
        <w:t>ruxolitinib</w:t>
      </w:r>
      <w:proofErr w:type="spellEnd"/>
      <w:r w:rsidRPr="0078138E">
        <w:rPr>
          <w:sz w:val="24"/>
          <w:szCs w:val="24"/>
          <w:lang w:val="en-GB"/>
        </w:rPr>
        <w:t xml:space="preserve"> is co-administered with mild or moderate CYP3A4 inhibitors (e.g. erythromycin). However, patients should be closely monitored for </w:t>
      </w:r>
      <w:proofErr w:type="spellStart"/>
      <w:r w:rsidRPr="0078138E">
        <w:rPr>
          <w:sz w:val="24"/>
          <w:szCs w:val="24"/>
          <w:lang w:val="en-GB"/>
        </w:rPr>
        <w:t>cytopenias</w:t>
      </w:r>
      <w:proofErr w:type="spellEnd"/>
      <w:r w:rsidRPr="0078138E">
        <w:rPr>
          <w:sz w:val="24"/>
          <w:szCs w:val="24"/>
          <w:lang w:val="en-GB"/>
        </w:rPr>
        <w:t xml:space="preserve"> when initiating therapy with a moderate CYP3A4 inhibitor.</w:t>
      </w:r>
    </w:p>
    <w:p w14:paraId="03722095" w14:textId="77777777" w:rsidR="0078138E" w:rsidRPr="0078138E" w:rsidRDefault="0078138E" w:rsidP="00882574">
      <w:pPr>
        <w:ind w:left="851"/>
        <w:rPr>
          <w:sz w:val="24"/>
          <w:szCs w:val="24"/>
          <w:lang w:val="en-GB"/>
        </w:rPr>
      </w:pPr>
    </w:p>
    <w:p w14:paraId="4C58A1C3" w14:textId="77777777" w:rsidR="0078138E" w:rsidRPr="0078138E" w:rsidRDefault="0078138E" w:rsidP="00882574">
      <w:pPr>
        <w:ind w:left="851"/>
        <w:rPr>
          <w:sz w:val="24"/>
          <w:szCs w:val="24"/>
          <w:u w:val="single"/>
          <w:lang w:val="en-GB"/>
        </w:rPr>
      </w:pPr>
      <w:r w:rsidRPr="0078138E">
        <w:rPr>
          <w:sz w:val="24"/>
          <w:szCs w:val="24"/>
          <w:u w:val="single"/>
          <w:lang w:val="en-GB"/>
        </w:rPr>
        <w:t xml:space="preserve">Effects of </w:t>
      </w:r>
      <w:proofErr w:type="spellStart"/>
      <w:r w:rsidRPr="0078138E">
        <w:rPr>
          <w:sz w:val="24"/>
          <w:szCs w:val="24"/>
          <w:u w:val="single"/>
          <w:lang w:val="en-GB"/>
        </w:rPr>
        <w:t>ruxolitinib</w:t>
      </w:r>
      <w:proofErr w:type="spellEnd"/>
      <w:r w:rsidRPr="0078138E">
        <w:rPr>
          <w:sz w:val="24"/>
          <w:szCs w:val="24"/>
          <w:u w:val="single"/>
          <w:lang w:val="en-GB"/>
        </w:rPr>
        <w:t xml:space="preserve"> on other medicinal products</w:t>
      </w:r>
    </w:p>
    <w:p w14:paraId="7F428110" w14:textId="77777777" w:rsidR="0078138E" w:rsidRPr="0078138E" w:rsidRDefault="0078138E" w:rsidP="00882574">
      <w:pPr>
        <w:ind w:left="851"/>
        <w:rPr>
          <w:sz w:val="24"/>
          <w:szCs w:val="24"/>
          <w:u w:val="single"/>
          <w:lang w:val="en-GB"/>
        </w:rPr>
      </w:pPr>
    </w:p>
    <w:p w14:paraId="355E511A" w14:textId="77777777" w:rsidR="0078138E" w:rsidRPr="0078138E" w:rsidRDefault="0078138E" w:rsidP="00882574">
      <w:pPr>
        <w:ind w:left="851"/>
        <w:rPr>
          <w:sz w:val="24"/>
          <w:szCs w:val="24"/>
          <w:u w:val="single"/>
          <w:lang w:val="en-GB"/>
        </w:rPr>
      </w:pPr>
      <w:r w:rsidRPr="0078138E">
        <w:rPr>
          <w:i/>
          <w:iCs/>
          <w:sz w:val="24"/>
          <w:szCs w:val="24"/>
          <w:u w:val="single"/>
          <w:lang w:val="en-GB"/>
        </w:rPr>
        <w:t>Substances transported by P-glycoprotein or other transporters</w:t>
      </w:r>
    </w:p>
    <w:p w14:paraId="7E5A29E2" w14:textId="77777777" w:rsidR="0078138E" w:rsidRPr="0078138E" w:rsidRDefault="0078138E" w:rsidP="00882574">
      <w:pPr>
        <w:ind w:left="851"/>
        <w:rPr>
          <w:sz w:val="24"/>
          <w:szCs w:val="24"/>
          <w:lang w:val="en-GB"/>
        </w:rPr>
      </w:pPr>
      <w:proofErr w:type="spellStart"/>
      <w:r w:rsidRPr="0078138E">
        <w:rPr>
          <w:sz w:val="24"/>
          <w:szCs w:val="24"/>
          <w:lang w:val="en-GB"/>
        </w:rPr>
        <w:t>Ruxolitinib</w:t>
      </w:r>
      <w:proofErr w:type="spellEnd"/>
      <w:r w:rsidRPr="0078138E">
        <w:rPr>
          <w:sz w:val="24"/>
          <w:szCs w:val="24"/>
          <w:lang w:val="en-GB"/>
        </w:rPr>
        <w:t xml:space="preserve"> may inhibit P-glycoprotein and breast cancer resistance protein (BCRP) in the intestine. This may result in increased </w:t>
      </w:r>
      <w:proofErr w:type="spellStart"/>
      <w:r w:rsidRPr="0078138E">
        <w:rPr>
          <w:sz w:val="24"/>
          <w:szCs w:val="24"/>
          <w:lang w:val="en-GB"/>
        </w:rPr>
        <w:t>sytemic</w:t>
      </w:r>
      <w:proofErr w:type="spellEnd"/>
      <w:r w:rsidRPr="0078138E">
        <w:rPr>
          <w:sz w:val="24"/>
          <w:szCs w:val="24"/>
          <w:lang w:val="en-GB"/>
        </w:rPr>
        <w:t xml:space="preserve"> exposure of substrates of these transporters, such as dabigatran </w:t>
      </w:r>
      <w:proofErr w:type="spellStart"/>
      <w:r w:rsidRPr="0078138E">
        <w:rPr>
          <w:sz w:val="24"/>
          <w:szCs w:val="24"/>
          <w:lang w:val="en-GB"/>
        </w:rPr>
        <w:t>etexilate</w:t>
      </w:r>
      <w:proofErr w:type="spellEnd"/>
      <w:r w:rsidRPr="0078138E">
        <w:rPr>
          <w:sz w:val="24"/>
          <w:szCs w:val="24"/>
          <w:lang w:val="en-GB"/>
        </w:rPr>
        <w:t>, ciclosporin, rosuvastatin and potentially digoxin. Therapeutic drug monitoring (TDM) or clinical monitoring of the affected substance is advised.</w:t>
      </w:r>
    </w:p>
    <w:p w14:paraId="6405C254" w14:textId="77777777" w:rsidR="0078138E" w:rsidRPr="0078138E" w:rsidRDefault="0078138E" w:rsidP="00882574">
      <w:pPr>
        <w:ind w:left="851"/>
        <w:rPr>
          <w:sz w:val="24"/>
          <w:szCs w:val="24"/>
          <w:lang w:val="en-GB"/>
        </w:rPr>
      </w:pPr>
    </w:p>
    <w:p w14:paraId="4BFCFAD7" w14:textId="77777777" w:rsidR="0078138E" w:rsidRPr="0078138E" w:rsidRDefault="0078138E" w:rsidP="00882574">
      <w:pPr>
        <w:ind w:left="851"/>
        <w:rPr>
          <w:sz w:val="24"/>
          <w:szCs w:val="24"/>
          <w:lang w:val="en-GB"/>
        </w:rPr>
      </w:pPr>
      <w:r w:rsidRPr="0078138E">
        <w:rPr>
          <w:sz w:val="24"/>
          <w:szCs w:val="24"/>
          <w:lang w:val="en-GB"/>
        </w:rPr>
        <w:t>It is possible that the potential inhibition of P-</w:t>
      </w:r>
      <w:proofErr w:type="spellStart"/>
      <w:r w:rsidRPr="0078138E">
        <w:rPr>
          <w:sz w:val="24"/>
          <w:szCs w:val="24"/>
          <w:lang w:val="en-GB"/>
        </w:rPr>
        <w:t>gp</w:t>
      </w:r>
      <w:proofErr w:type="spellEnd"/>
      <w:r w:rsidRPr="0078138E">
        <w:rPr>
          <w:sz w:val="24"/>
          <w:szCs w:val="24"/>
          <w:lang w:val="en-GB"/>
        </w:rPr>
        <w:t xml:space="preserve"> and BCRP in the intestine can be minimised if the time between administrations is kept apart as long as possible.</w:t>
      </w:r>
    </w:p>
    <w:p w14:paraId="432FDA47" w14:textId="77777777" w:rsidR="0078138E" w:rsidRPr="0078138E" w:rsidRDefault="0078138E" w:rsidP="00882574">
      <w:pPr>
        <w:ind w:left="851"/>
        <w:rPr>
          <w:sz w:val="24"/>
          <w:szCs w:val="24"/>
          <w:lang w:val="en-GB"/>
        </w:rPr>
      </w:pPr>
    </w:p>
    <w:p w14:paraId="1DD5BD45" w14:textId="77777777" w:rsidR="0078138E" w:rsidRPr="0078138E" w:rsidRDefault="0078138E" w:rsidP="00882574">
      <w:pPr>
        <w:ind w:left="851"/>
        <w:rPr>
          <w:sz w:val="24"/>
          <w:szCs w:val="24"/>
          <w:lang w:val="en-GB"/>
        </w:rPr>
      </w:pPr>
      <w:r w:rsidRPr="0078138E">
        <w:rPr>
          <w:sz w:val="24"/>
          <w:szCs w:val="24"/>
          <w:lang w:val="en-GB"/>
        </w:rPr>
        <w:t xml:space="preserve">A study in healthy subjects indicated that </w:t>
      </w:r>
      <w:proofErr w:type="spellStart"/>
      <w:r w:rsidRPr="0078138E">
        <w:rPr>
          <w:sz w:val="24"/>
          <w:szCs w:val="24"/>
          <w:lang w:val="en-GB"/>
        </w:rPr>
        <w:t>ruxolitinib</w:t>
      </w:r>
      <w:proofErr w:type="spellEnd"/>
      <w:r w:rsidRPr="0078138E">
        <w:rPr>
          <w:sz w:val="24"/>
          <w:szCs w:val="24"/>
          <w:lang w:val="en-GB"/>
        </w:rPr>
        <w:t xml:space="preserve"> did not inhibit the metabolism of the oral CYP3A4 substrate midazolam. Therefore, no increase in exposure of CYP3A4 substrates is anticipated when combining them with </w:t>
      </w:r>
      <w:proofErr w:type="spellStart"/>
      <w:r w:rsidRPr="0078138E">
        <w:rPr>
          <w:sz w:val="24"/>
          <w:szCs w:val="24"/>
          <w:lang w:val="en-GB"/>
        </w:rPr>
        <w:t>ruxolitinib</w:t>
      </w:r>
      <w:proofErr w:type="spellEnd"/>
      <w:r w:rsidRPr="0078138E">
        <w:rPr>
          <w:sz w:val="24"/>
          <w:szCs w:val="24"/>
          <w:lang w:val="en-GB"/>
        </w:rPr>
        <w:t xml:space="preserve">. Another study in healthy subjects indicated that </w:t>
      </w:r>
      <w:proofErr w:type="spellStart"/>
      <w:r w:rsidRPr="0078138E">
        <w:rPr>
          <w:sz w:val="24"/>
          <w:szCs w:val="24"/>
          <w:lang w:val="en-GB"/>
        </w:rPr>
        <w:t>ruxolitinib</w:t>
      </w:r>
      <w:proofErr w:type="spellEnd"/>
      <w:r w:rsidRPr="0078138E">
        <w:rPr>
          <w:sz w:val="24"/>
          <w:szCs w:val="24"/>
          <w:lang w:val="en-GB"/>
        </w:rPr>
        <w:t xml:space="preserve"> does not affect the pharmacokinetics of an oral contraceptive containing </w:t>
      </w:r>
      <w:proofErr w:type="spellStart"/>
      <w:r w:rsidRPr="0078138E">
        <w:rPr>
          <w:sz w:val="24"/>
          <w:szCs w:val="24"/>
          <w:lang w:val="en-GB"/>
        </w:rPr>
        <w:t>ethinylestradiol</w:t>
      </w:r>
      <w:proofErr w:type="spellEnd"/>
      <w:r w:rsidRPr="0078138E">
        <w:rPr>
          <w:sz w:val="24"/>
          <w:szCs w:val="24"/>
          <w:lang w:val="en-GB"/>
        </w:rPr>
        <w:t xml:space="preserve"> and levonorgestrel. Therefore, it is not anticipated that the contraceptive efficacy of this combination will be compromised by co-administration of </w:t>
      </w:r>
      <w:proofErr w:type="spellStart"/>
      <w:r w:rsidRPr="0078138E">
        <w:rPr>
          <w:sz w:val="24"/>
          <w:szCs w:val="24"/>
          <w:lang w:val="en-GB"/>
        </w:rPr>
        <w:t>ruxolitinib</w:t>
      </w:r>
      <w:proofErr w:type="spellEnd"/>
      <w:r w:rsidRPr="0078138E">
        <w:rPr>
          <w:sz w:val="24"/>
          <w:szCs w:val="24"/>
          <w:lang w:val="en-GB"/>
        </w:rPr>
        <w:t>.</w:t>
      </w:r>
    </w:p>
    <w:p w14:paraId="223529B4" w14:textId="77777777" w:rsidR="007C5D2A" w:rsidRPr="009B509D" w:rsidRDefault="007C5D2A" w:rsidP="003E0341">
      <w:pPr>
        <w:tabs>
          <w:tab w:val="left" w:pos="851"/>
        </w:tabs>
        <w:ind w:left="851"/>
        <w:rPr>
          <w:sz w:val="24"/>
          <w:szCs w:val="24"/>
          <w:lang w:val="en-GB"/>
        </w:rPr>
      </w:pPr>
    </w:p>
    <w:p w14:paraId="6C8DA771" w14:textId="77777777" w:rsidR="007C5D2A" w:rsidRPr="009B509D" w:rsidRDefault="007C5D2A" w:rsidP="007C5D2A">
      <w:pPr>
        <w:tabs>
          <w:tab w:val="left" w:pos="851"/>
        </w:tabs>
        <w:ind w:left="851" w:hanging="851"/>
        <w:rPr>
          <w:b/>
          <w:sz w:val="24"/>
          <w:szCs w:val="24"/>
          <w:lang w:val="en-GB"/>
        </w:rPr>
      </w:pPr>
      <w:r w:rsidRPr="009B509D">
        <w:rPr>
          <w:b/>
          <w:sz w:val="24"/>
          <w:szCs w:val="24"/>
          <w:lang w:val="en-GB"/>
        </w:rPr>
        <w:t>4.6</w:t>
      </w:r>
      <w:r w:rsidRPr="009B509D">
        <w:rPr>
          <w:b/>
          <w:sz w:val="24"/>
          <w:szCs w:val="24"/>
          <w:lang w:val="en-GB"/>
        </w:rPr>
        <w:tab/>
      </w:r>
      <w:r w:rsidR="004860D3" w:rsidRPr="009B509D">
        <w:rPr>
          <w:b/>
          <w:sz w:val="24"/>
          <w:szCs w:val="24"/>
          <w:lang w:val="en-GB"/>
        </w:rPr>
        <w:t>Fertility, p</w:t>
      </w:r>
      <w:r w:rsidRPr="009B509D">
        <w:rPr>
          <w:b/>
          <w:sz w:val="24"/>
          <w:szCs w:val="24"/>
          <w:lang w:val="en-GB"/>
        </w:rPr>
        <w:t>regnancy and lactation</w:t>
      </w:r>
    </w:p>
    <w:p w14:paraId="73E7E574" w14:textId="77777777" w:rsidR="002A0A70" w:rsidRDefault="002A0A70" w:rsidP="00882574">
      <w:pPr>
        <w:ind w:left="851"/>
        <w:rPr>
          <w:sz w:val="24"/>
          <w:szCs w:val="24"/>
          <w:u w:val="single"/>
          <w:lang w:val="en-GB"/>
        </w:rPr>
      </w:pPr>
    </w:p>
    <w:p w14:paraId="344D73C4" w14:textId="3016C09C" w:rsidR="0078138E" w:rsidRPr="0078138E" w:rsidRDefault="0078138E" w:rsidP="00882574">
      <w:pPr>
        <w:ind w:left="851"/>
        <w:rPr>
          <w:sz w:val="24"/>
          <w:szCs w:val="24"/>
          <w:u w:val="single"/>
          <w:lang w:val="en-GB"/>
        </w:rPr>
      </w:pPr>
      <w:r w:rsidRPr="0078138E">
        <w:rPr>
          <w:sz w:val="24"/>
          <w:szCs w:val="24"/>
          <w:u w:val="single"/>
          <w:lang w:val="en-GB"/>
        </w:rPr>
        <w:t>Pregnancy</w:t>
      </w:r>
    </w:p>
    <w:p w14:paraId="1A5EF99A" w14:textId="77777777" w:rsidR="0078138E" w:rsidRPr="0078138E" w:rsidRDefault="0078138E" w:rsidP="00882574">
      <w:pPr>
        <w:ind w:left="851"/>
        <w:rPr>
          <w:sz w:val="24"/>
          <w:szCs w:val="24"/>
          <w:lang w:val="en-GB"/>
        </w:rPr>
      </w:pPr>
    </w:p>
    <w:p w14:paraId="489A42CA" w14:textId="77777777" w:rsidR="0078138E" w:rsidRPr="0078138E" w:rsidRDefault="0078138E" w:rsidP="00882574">
      <w:pPr>
        <w:ind w:left="851"/>
        <w:rPr>
          <w:sz w:val="24"/>
          <w:szCs w:val="24"/>
          <w:lang w:val="en-GB"/>
        </w:rPr>
      </w:pPr>
      <w:r w:rsidRPr="0078138E">
        <w:rPr>
          <w:sz w:val="24"/>
          <w:szCs w:val="24"/>
          <w:lang w:val="en-GB"/>
        </w:rPr>
        <w:t xml:space="preserve">There are no data from the use of </w:t>
      </w:r>
      <w:proofErr w:type="spellStart"/>
      <w:r w:rsidRPr="0078138E">
        <w:rPr>
          <w:sz w:val="24"/>
          <w:szCs w:val="24"/>
          <w:lang w:val="en-GB"/>
        </w:rPr>
        <w:t>ruxolitinib</w:t>
      </w:r>
      <w:proofErr w:type="spellEnd"/>
      <w:r w:rsidRPr="0078138E">
        <w:rPr>
          <w:sz w:val="24"/>
          <w:szCs w:val="24"/>
          <w:lang w:val="en-GB"/>
        </w:rPr>
        <w:t xml:space="preserve"> in pregnant women.</w:t>
      </w:r>
    </w:p>
    <w:p w14:paraId="610121E9" w14:textId="77777777" w:rsidR="0078138E" w:rsidRPr="0078138E" w:rsidRDefault="0078138E" w:rsidP="00882574">
      <w:pPr>
        <w:ind w:left="851"/>
        <w:rPr>
          <w:sz w:val="24"/>
          <w:szCs w:val="24"/>
          <w:lang w:val="en-GB"/>
        </w:rPr>
      </w:pPr>
    </w:p>
    <w:p w14:paraId="037EE262" w14:textId="3C61906C" w:rsidR="0078138E" w:rsidRPr="0078138E" w:rsidRDefault="0078138E" w:rsidP="00882574">
      <w:pPr>
        <w:ind w:left="851"/>
        <w:rPr>
          <w:sz w:val="24"/>
          <w:szCs w:val="24"/>
          <w:lang w:val="en-GB"/>
        </w:rPr>
      </w:pPr>
      <w:r w:rsidRPr="0078138E">
        <w:rPr>
          <w:sz w:val="24"/>
          <w:szCs w:val="24"/>
          <w:lang w:val="en-GB"/>
        </w:rPr>
        <w:t xml:space="preserve">Animal studies have shown that </w:t>
      </w:r>
      <w:proofErr w:type="spellStart"/>
      <w:r w:rsidRPr="0078138E">
        <w:rPr>
          <w:sz w:val="24"/>
          <w:szCs w:val="24"/>
          <w:lang w:val="en-GB"/>
        </w:rPr>
        <w:t>ruxolitinib</w:t>
      </w:r>
      <w:proofErr w:type="spellEnd"/>
      <w:r w:rsidRPr="0078138E">
        <w:rPr>
          <w:sz w:val="24"/>
          <w:szCs w:val="24"/>
          <w:lang w:val="en-GB"/>
        </w:rPr>
        <w:t xml:space="preserve"> is embryotoxic and </w:t>
      </w:r>
      <w:proofErr w:type="spellStart"/>
      <w:r w:rsidRPr="0078138E">
        <w:rPr>
          <w:sz w:val="24"/>
          <w:szCs w:val="24"/>
          <w:lang w:val="en-GB"/>
        </w:rPr>
        <w:t>foetotoxic</w:t>
      </w:r>
      <w:proofErr w:type="spellEnd"/>
      <w:r w:rsidRPr="0078138E">
        <w:rPr>
          <w:sz w:val="24"/>
          <w:szCs w:val="24"/>
          <w:lang w:val="en-GB"/>
        </w:rPr>
        <w:t xml:space="preserve">. Teratogenicity was not observed in rats or rabbits. However, the exposure margins compared to the highest clinical dose were low and the results are therefore of limited relevance for humans (see section 5.3). The potential risk for humans is unknown. As a precautionary measure, the use of </w:t>
      </w:r>
      <w:proofErr w:type="spellStart"/>
      <w:r w:rsidRPr="0078138E">
        <w:rPr>
          <w:sz w:val="24"/>
          <w:szCs w:val="24"/>
          <w:lang w:val="en-GB"/>
        </w:rPr>
        <w:t>Ruxolitinib</w:t>
      </w:r>
      <w:proofErr w:type="spellEnd"/>
      <w:r w:rsidRPr="0078138E">
        <w:rPr>
          <w:sz w:val="24"/>
          <w:szCs w:val="24"/>
          <w:lang w:val="en-GB"/>
        </w:rPr>
        <w:t xml:space="preserve"> </w:t>
      </w:r>
      <w:r w:rsidR="009B509D">
        <w:rPr>
          <w:sz w:val="24"/>
          <w:szCs w:val="24"/>
          <w:lang w:val="en-GB"/>
        </w:rPr>
        <w:t>"</w:t>
      </w:r>
      <w:r w:rsidRPr="0078138E">
        <w:rPr>
          <w:sz w:val="24"/>
          <w:szCs w:val="24"/>
          <w:lang w:val="en-GB"/>
        </w:rPr>
        <w:t>Sandoz</w:t>
      </w:r>
      <w:r w:rsidR="009B509D">
        <w:rPr>
          <w:sz w:val="24"/>
          <w:szCs w:val="24"/>
          <w:lang w:val="en-GB"/>
        </w:rPr>
        <w:t>"</w:t>
      </w:r>
      <w:r w:rsidRPr="0078138E">
        <w:rPr>
          <w:sz w:val="24"/>
          <w:szCs w:val="24"/>
          <w:lang w:val="en-GB"/>
        </w:rPr>
        <w:t xml:space="preserve"> during pregnancy is contraindicated (see section 4.3).</w:t>
      </w:r>
    </w:p>
    <w:p w14:paraId="35BF6AF2" w14:textId="45BECF5A" w:rsidR="008E5F58" w:rsidRDefault="008E5F58">
      <w:pPr>
        <w:rPr>
          <w:sz w:val="24"/>
          <w:szCs w:val="24"/>
          <w:lang w:val="en-GB"/>
        </w:rPr>
      </w:pPr>
      <w:r>
        <w:rPr>
          <w:sz w:val="24"/>
          <w:szCs w:val="24"/>
          <w:lang w:val="en-GB"/>
        </w:rPr>
        <w:br w:type="page"/>
      </w:r>
    </w:p>
    <w:p w14:paraId="44257C32" w14:textId="77777777" w:rsidR="0078138E" w:rsidRPr="0078138E" w:rsidRDefault="0078138E" w:rsidP="00882574">
      <w:pPr>
        <w:ind w:left="851"/>
        <w:rPr>
          <w:sz w:val="24"/>
          <w:szCs w:val="24"/>
          <w:lang w:val="en-GB"/>
        </w:rPr>
      </w:pPr>
    </w:p>
    <w:p w14:paraId="0B76993D" w14:textId="77777777" w:rsidR="0078138E" w:rsidRPr="0078138E" w:rsidRDefault="0078138E" w:rsidP="00882574">
      <w:pPr>
        <w:ind w:left="851"/>
        <w:rPr>
          <w:sz w:val="24"/>
          <w:szCs w:val="24"/>
          <w:u w:val="single"/>
          <w:lang w:val="en-GB"/>
        </w:rPr>
      </w:pPr>
      <w:r w:rsidRPr="0078138E">
        <w:rPr>
          <w:sz w:val="24"/>
          <w:szCs w:val="24"/>
          <w:u w:val="single"/>
          <w:lang w:val="en-GB"/>
        </w:rPr>
        <w:t>Women of childbearing potential/Contraception</w:t>
      </w:r>
    </w:p>
    <w:p w14:paraId="5FE16C09" w14:textId="77777777" w:rsidR="0078138E" w:rsidRPr="0078138E" w:rsidRDefault="0078138E" w:rsidP="00882574">
      <w:pPr>
        <w:ind w:left="851"/>
        <w:rPr>
          <w:sz w:val="24"/>
          <w:szCs w:val="24"/>
          <w:lang w:val="en-GB"/>
        </w:rPr>
      </w:pPr>
    </w:p>
    <w:p w14:paraId="65FA7BEB" w14:textId="77777777" w:rsidR="0078138E" w:rsidRPr="0078138E" w:rsidRDefault="0078138E" w:rsidP="00882574">
      <w:pPr>
        <w:ind w:left="851"/>
        <w:rPr>
          <w:sz w:val="24"/>
          <w:szCs w:val="24"/>
          <w:lang w:val="en-GB"/>
        </w:rPr>
      </w:pPr>
      <w:r w:rsidRPr="0078138E">
        <w:rPr>
          <w:sz w:val="24"/>
          <w:szCs w:val="24"/>
          <w:lang w:val="en-GB"/>
        </w:rPr>
        <w:t xml:space="preserve">Women of child-bearing potential should use effective contraception during the treatment with </w:t>
      </w:r>
      <w:proofErr w:type="spellStart"/>
      <w:r w:rsidRPr="0078138E">
        <w:rPr>
          <w:sz w:val="24"/>
          <w:szCs w:val="24"/>
          <w:lang w:val="en-GB"/>
        </w:rPr>
        <w:t>ruxolitinib</w:t>
      </w:r>
      <w:proofErr w:type="spellEnd"/>
      <w:r w:rsidRPr="0078138E">
        <w:rPr>
          <w:sz w:val="24"/>
          <w:szCs w:val="24"/>
          <w:lang w:val="en-GB"/>
        </w:rPr>
        <w:t xml:space="preserve">. In case pregnancy should occur during treatment with </w:t>
      </w:r>
      <w:proofErr w:type="spellStart"/>
      <w:r w:rsidRPr="0078138E">
        <w:rPr>
          <w:sz w:val="24"/>
          <w:szCs w:val="24"/>
          <w:lang w:val="en-GB"/>
        </w:rPr>
        <w:t>ruxolitinib</w:t>
      </w:r>
      <w:proofErr w:type="spellEnd"/>
      <w:r w:rsidRPr="0078138E">
        <w:rPr>
          <w:sz w:val="24"/>
          <w:szCs w:val="24"/>
          <w:lang w:val="en-GB"/>
        </w:rPr>
        <w:t>, a risk/benefit evaluation must be carried out on an individual basis with careful counselling regarding potential risks to the foetus (see section 5.3).</w:t>
      </w:r>
    </w:p>
    <w:p w14:paraId="5570E0BA" w14:textId="77777777" w:rsidR="0078138E" w:rsidRPr="0078138E" w:rsidRDefault="0078138E" w:rsidP="00882574">
      <w:pPr>
        <w:ind w:left="851"/>
        <w:rPr>
          <w:sz w:val="24"/>
          <w:szCs w:val="24"/>
          <w:lang w:val="en-GB"/>
        </w:rPr>
      </w:pPr>
    </w:p>
    <w:p w14:paraId="666A3129" w14:textId="77777777" w:rsidR="0078138E" w:rsidRPr="0078138E" w:rsidRDefault="0078138E" w:rsidP="00882574">
      <w:pPr>
        <w:ind w:left="851"/>
        <w:rPr>
          <w:sz w:val="24"/>
          <w:szCs w:val="24"/>
          <w:u w:val="single"/>
          <w:lang w:val="en-GB"/>
        </w:rPr>
      </w:pPr>
      <w:r w:rsidRPr="0078138E">
        <w:rPr>
          <w:sz w:val="24"/>
          <w:szCs w:val="24"/>
          <w:u w:val="single"/>
          <w:lang w:val="en-GB"/>
        </w:rPr>
        <w:t>Breast-feeding</w:t>
      </w:r>
    </w:p>
    <w:p w14:paraId="12ECD9D3" w14:textId="77777777" w:rsidR="0078138E" w:rsidRPr="0078138E" w:rsidRDefault="0078138E" w:rsidP="00882574">
      <w:pPr>
        <w:ind w:left="851"/>
        <w:rPr>
          <w:sz w:val="24"/>
          <w:szCs w:val="24"/>
          <w:lang w:val="en-GB"/>
        </w:rPr>
      </w:pPr>
    </w:p>
    <w:p w14:paraId="236D24A8" w14:textId="65B6983B" w:rsidR="0078138E" w:rsidRPr="0078138E" w:rsidRDefault="0078138E" w:rsidP="00882574">
      <w:pPr>
        <w:ind w:left="851"/>
        <w:rPr>
          <w:sz w:val="24"/>
          <w:szCs w:val="24"/>
          <w:lang w:val="en-GB"/>
        </w:rPr>
      </w:pPr>
      <w:proofErr w:type="spellStart"/>
      <w:r w:rsidRPr="0078138E">
        <w:rPr>
          <w:sz w:val="24"/>
          <w:szCs w:val="24"/>
          <w:lang w:val="en-GB"/>
        </w:rPr>
        <w:t>Ruxolitinib</w:t>
      </w:r>
      <w:proofErr w:type="spellEnd"/>
      <w:r w:rsidRPr="0078138E">
        <w:rPr>
          <w:sz w:val="24"/>
          <w:szCs w:val="24"/>
          <w:lang w:val="en-GB"/>
        </w:rPr>
        <w:t xml:space="preserve"> </w:t>
      </w:r>
      <w:r w:rsidR="009B509D">
        <w:rPr>
          <w:sz w:val="24"/>
          <w:szCs w:val="24"/>
          <w:lang w:val="en-GB"/>
        </w:rPr>
        <w:t>"</w:t>
      </w:r>
      <w:r w:rsidRPr="0078138E">
        <w:rPr>
          <w:sz w:val="24"/>
          <w:szCs w:val="24"/>
          <w:lang w:val="en-GB"/>
        </w:rPr>
        <w:t>Sandoz</w:t>
      </w:r>
      <w:r w:rsidR="009B509D">
        <w:rPr>
          <w:sz w:val="24"/>
          <w:szCs w:val="24"/>
          <w:lang w:val="en-GB"/>
        </w:rPr>
        <w:t>"</w:t>
      </w:r>
      <w:r w:rsidRPr="0078138E">
        <w:rPr>
          <w:sz w:val="24"/>
          <w:szCs w:val="24"/>
          <w:lang w:val="en-GB"/>
        </w:rPr>
        <w:t xml:space="preserve"> must not be used during breast-feeding (see section 4.3) and breast-feeding should therefore be discontinued when treatment is started. It is unknown whether </w:t>
      </w:r>
      <w:proofErr w:type="spellStart"/>
      <w:r w:rsidRPr="0078138E">
        <w:rPr>
          <w:sz w:val="24"/>
          <w:szCs w:val="24"/>
          <w:lang w:val="en-GB"/>
        </w:rPr>
        <w:t>ruxolitinib</w:t>
      </w:r>
      <w:proofErr w:type="spellEnd"/>
      <w:r w:rsidRPr="0078138E">
        <w:rPr>
          <w:sz w:val="24"/>
          <w:szCs w:val="24"/>
          <w:lang w:val="en-GB"/>
        </w:rPr>
        <w:t xml:space="preserve"> and/or its metabolites are excreted in human milk. A risk to the breast-fed child cannot be excluded. Available pharmacodynamic/toxicological data in animals have shown excretion of </w:t>
      </w:r>
      <w:proofErr w:type="spellStart"/>
      <w:r w:rsidRPr="0078138E">
        <w:rPr>
          <w:sz w:val="24"/>
          <w:szCs w:val="24"/>
          <w:lang w:val="en-GB"/>
        </w:rPr>
        <w:t>ruxolitinib</w:t>
      </w:r>
      <w:proofErr w:type="spellEnd"/>
      <w:r w:rsidRPr="0078138E">
        <w:rPr>
          <w:sz w:val="24"/>
          <w:szCs w:val="24"/>
          <w:lang w:val="en-GB"/>
        </w:rPr>
        <w:t xml:space="preserve"> and its metabolites in milk (see section 5.3).</w:t>
      </w:r>
    </w:p>
    <w:p w14:paraId="2D2412EE" w14:textId="77777777" w:rsidR="0078138E" w:rsidRPr="0078138E" w:rsidRDefault="0078138E" w:rsidP="00882574">
      <w:pPr>
        <w:ind w:left="851"/>
        <w:rPr>
          <w:bCs/>
          <w:sz w:val="24"/>
          <w:szCs w:val="24"/>
          <w:lang w:val="en-GB"/>
        </w:rPr>
      </w:pPr>
    </w:p>
    <w:p w14:paraId="5BF6FC64" w14:textId="77777777" w:rsidR="0078138E" w:rsidRPr="0078138E" w:rsidRDefault="0078138E" w:rsidP="00882574">
      <w:pPr>
        <w:ind w:left="851"/>
        <w:rPr>
          <w:sz w:val="24"/>
          <w:szCs w:val="24"/>
          <w:u w:val="single"/>
          <w:lang w:val="en-GB"/>
        </w:rPr>
      </w:pPr>
      <w:r w:rsidRPr="0078138E">
        <w:rPr>
          <w:sz w:val="24"/>
          <w:szCs w:val="24"/>
          <w:u w:val="single"/>
          <w:lang w:val="en-GB"/>
        </w:rPr>
        <w:t>Fertility</w:t>
      </w:r>
    </w:p>
    <w:p w14:paraId="2D3D708E" w14:textId="77777777" w:rsidR="0078138E" w:rsidRPr="0078138E" w:rsidRDefault="0078138E" w:rsidP="00882574">
      <w:pPr>
        <w:ind w:left="851"/>
        <w:rPr>
          <w:sz w:val="24"/>
          <w:szCs w:val="24"/>
          <w:u w:val="single"/>
          <w:lang w:val="en-GB"/>
        </w:rPr>
      </w:pPr>
    </w:p>
    <w:p w14:paraId="2913C477" w14:textId="77777777" w:rsidR="0078138E" w:rsidRPr="0078138E" w:rsidRDefault="0078138E" w:rsidP="00882574">
      <w:pPr>
        <w:ind w:left="851"/>
        <w:rPr>
          <w:bCs/>
          <w:sz w:val="24"/>
          <w:szCs w:val="24"/>
          <w:lang w:val="en-GB"/>
        </w:rPr>
      </w:pPr>
      <w:r w:rsidRPr="0078138E">
        <w:rPr>
          <w:sz w:val="24"/>
          <w:szCs w:val="24"/>
          <w:lang w:val="en-GB"/>
        </w:rPr>
        <w:t xml:space="preserve">There are no human data on the effect of </w:t>
      </w:r>
      <w:proofErr w:type="spellStart"/>
      <w:r w:rsidRPr="0078138E">
        <w:rPr>
          <w:sz w:val="24"/>
          <w:szCs w:val="24"/>
          <w:lang w:val="en-GB"/>
        </w:rPr>
        <w:t>ruxolitinib</w:t>
      </w:r>
      <w:proofErr w:type="spellEnd"/>
      <w:r w:rsidRPr="0078138E">
        <w:rPr>
          <w:sz w:val="24"/>
          <w:szCs w:val="24"/>
          <w:lang w:val="en-GB"/>
        </w:rPr>
        <w:t xml:space="preserve"> on fertility. In animal studies, no effect on fertility was observed.</w:t>
      </w:r>
    </w:p>
    <w:p w14:paraId="4F861AD7" w14:textId="77777777" w:rsidR="007C5D2A" w:rsidRPr="009B509D" w:rsidRDefault="007C5D2A" w:rsidP="003E0341">
      <w:pPr>
        <w:tabs>
          <w:tab w:val="left" w:pos="851"/>
        </w:tabs>
        <w:ind w:left="851"/>
        <w:rPr>
          <w:sz w:val="24"/>
          <w:szCs w:val="24"/>
          <w:lang w:val="en-GB"/>
        </w:rPr>
      </w:pPr>
    </w:p>
    <w:p w14:paraId="66C07F12" w14:textId="77777777" w:rsidR="007C5D2A" w:rsidRPr="009B509D" w:rsidRDefault="007C5D2A" w:rsidP="007C5D2A">
      <w:pPr>
        <w:tabs>
          <w:tab w:val="left" w:pos="851"/>
        </w:tabs>
        <w:ind w:left="851" w:hanging="851"/>
        <w:rPr>
          <w:b/>
          <w:sz w:val="24"/>
          <w:szCs w:val="24"/>
          <w:lang w:val="en-GB"/>
        </w:rPr>
      </w:pPr>
      <w:r w:rsidRPr="009B509D">
        <w:rPr>
          <w:b/>
          <w:sz w:val="24"/>
          <w:szCs w:val="24"/>
          <w:lang w:val="en-GB"/>
        </w:rPr>
        <w:t>4.7</w:t>
      </w:r>
      <w:r w:rsidRPr="009B509D">
        <w:rPr>
          <w:b/>
          <w:sz w:val="24"/>
          <w:szCs w:val="24"/>
          <w:lang w:val="en-GB"/>
        </w:rPr>
        <w:tab/>
        <w:t>Effects on ability to drive and use machines</w:t>
      </w:r>
    </w:p>
    <w:p w14:paraId="23DA4514" w14:textId="77777777" w:rsidR="0078138E" w:rsidRPr="009B509D" w:rsidRDefault="0078138E" w:rsidP="00882574">
      <w:pPr>
        <w:ind w:left="851"/>
        <w:rPr>
          <w:sz w:val="24"/>
          <w:szCs w:val="24"/>
          <w:lang w:val="en-GB"/>
        </w:rPr>
      </w:pPr>
      <w:r w:rsidRPr="0078138E">
        <w:rPr>
          <w:sz w:val="24"/>
          <w:szCs w:val="24"/>
          <w:lang w:val="en-GB"/>
        </w:rPr>
        <w:t xml:space="preserve">No </w:t>
      </w:r>
      <w:r w:rsidRPr="009B509D">
        <w:rPr>
          <w:sz w:val="24"/>
          <w:szCs w:val="24"/>
          <w:lang w:val="en-GB"/>
        </w:rPr>
        <w:t>traffic warning.</w:t>
      </w:r>
    </w:p>
    <w:p w14:paraId="1C5AC2FC" w14:textId="3D37E1B2" w:rsidR="0078138E" w:rsidRPr="0078138E" w:rsidRDefault="0078138E" w:rsidP="00882574">
      <w:pPr>
        <w:ind w:left="851"/>
        <w:rPr>
          <w:sz w:val="24"/>
          <w:szCs w:val="24"/>
          <w:lang w:val="en-GB"/>
        </w:rPr>
      </w:pPr>
      <w:proofErr w:type="spellStart"/>
      <w:r w:rsidRPr="0078138E">
        <w:rPr>
          <w:sz w:val="24"/>
          <w:szCs w:val="24"/>
          <w:lang w:val="en-GB"/>
        </w:rPr>
        <w:t>Ruxolitinib</w:t>
      </w:r>
      <w:proofErr w:type="spellEnd"/>
      <w:r w:rsidRPr="0078138E">
        <w:rPr>
          <w:sz w:val="24"/>
          <w:szCs w:val="24"/>
          <w:lang w:val="en-GB"/>
        </w:rPr>
        <w:t xml:space="preserve"> has no or negligible sedating effect. However, patients who experience dizziness after the intake of </w:t>
      </w:r>
      <w:proofErr w:type="spellStart"/>
      <w:r w:rsidRPr="0078138E">
        <w:rPr>
          <w:sz w:val="24"/>
          <w:szCs w:val="24"/>
          <w:lang w:val="en-GB"/>
        </w:rPr>
        <w:t>ruxolitinib</w:t>
      </w:r>
      <w:proofErr w:type="spellEnd"/>
      <w:r w:rsidRPr="0078138E">
        <w:rPr>
          <w:sz w:val="24"/>
          <w:szCs w:val="24"/>
          <w:lang w:val="en-GB"/>
        </w:rPr>
        <w:t xml:space="preserve"> should refrain from driving or using machines.</w:t>
      </w:r>
    </w:p>
    <w:p w14:paraId="5012ECFD" w14:textId="77777777" w:rsidR="007C5D2A" w:rsidRPr="009B509D" w:rsidRDefault="007C5D2A" w:rsidP="003E0341">
      <w:pPr>
        <w:tabs>
          <w:tab w:val="left" w:pos="851"/>
        </w:tabs>
        <w:ind w:left="851"/>
        <w:rPr>
          <w:sz w:val="24"/>
          <w:szCs w:val="24"/>
          <w:lang w:val="en-GB"/>
        </w:rPr>
      </w:pPr>
    </w:p>
    <w:p w14:paraId="011A8227" w14:textId="77777777" w:rsidR="007C5D2A" w:rsidRPr="009B509D" w:rsidRDefault="007C5D2A" w:rsidP="007C5D2A">
      <w:pPr>
        <w:tabs>
          <w:tab w:val="left" w:pos="851"/>
        </w:tabs>
        <w:ind w:left="851" w:hanging="851"/>
        <w:rPr>
          <w:b/>
          <w:sz w:val="24"/>
          <w:szCs w:val="24"/>
          <w:lang w:val="en-GB"/>
        </w:rPr>
      </w:pPr>
      <w:r w:rsidRPr="009B509D">
        <w:rPr>
          <w:b/>
          <w:sz w:val="24"/>
          <w:szCs w:val="24"/>
          <w:lang w:val="en-GB"/>
        </w:rPr>
        <w:t>4.8</w:t>
      </w:r>
      <w:r w:rsidRPr="009B509D">
        <w:rPr>
          <w:b/>
          <w:sz w:val="24"/>
          <w:szCs w:val="24"/>
          <w:lang w:val="en-GB"/>
        </w:rPr>
        <w:tab/>
        <w:t>Undesirable effects</w:t>
      </w:r>
    </w:p>
    <w:p w14:paraId="065DB988" w14:textId="77777777" w:rsidR="002A0A70" w:rsidRDefault="002A0A70" w:rsidP="00882574">
      <w:pPr>
        <w:ind w:left="851"/>
        <w:rPr>
          <w:sz w:val="24"/>
          <w:szCs w:val="24"/>
          <w:u w:val="single"/>
          <w:lang w:val="en-GB"/>
        </w:rPr>
      </w:pPr>
    </w:p>
    <w:p w14:paraId="61A188E4" w14:textId="225A899B" w:rsidR="0078138E" w:rsidRPr="0078138E" w:rsidRDefault="0078138E" w:rsidP="00882574">
      <w:pPr>
        <w:ind w:left="851"/>
        <w:rPr>
          <w:sz w:val="24"/>
          <w:szCs w:val="24"/>
          <w:u w:val="single"/>
          <w:lang w:val="en-GB"/>
        </w:rPr>
      </w:pPr>
      <w:r w:rsidRPr="0078138E">
        <w:rPr>
          <w:sz w:val="24"/>
          <w:szCs w:val="24"/>
          <w:u w:val="single"/>
          <w:lang w:val="en-GB"/>
        </w:rPr>
        <w:t>Summary of the safety profile</w:t>
      </w:r>
    </w:p>
    <w:p w14:paraId="0D0D7656" w14:textId="77777777" w:rsidR="0078138E" w:rsidRPr="0078138E" w:rsidRDefault="0078138E" w:rsidP="00882574">
      <w:pPr>
        <w:ind w:left="851"/>
        <w:rPr>
          <w:i/>
          <w:iCs/>
          <w:sz w:val="24"/>
          <w:szCs w:val="24"/>
          <w:lang w:val="en-GB"/>
        </w:rPr>
      </w:pPr>
    </w:p>
    <w:p w14:paraId="58817D1C" w14:textId="77777777" w:rsidR="0078138E" w:rsidRPr="0078138E" w:rsidRDefault="0078138E" w:rsidP="00882574">
      <w:pPr>
        <w:ind w:left="851"/>
        <w:rPr>
          <w:sz w:val="24"/>
          <w:szCs w:val="24"/>
          <w:u w:val="single"/>
          <w:lang w:val="en-GB"/>
        </w:rPr>
      </w:pPr>
      <w:r w:rsidRPr="0078138E">
        <w:rPr>
          <w:i/>
          <w:iCs/>
          <w:sz w:val="24"/>
          <w:szCs w:val="24"/>
          <w:u w:val="single"/>
          <w:lang w:val="en-GB"/>
        </w:rPr>
        <w:t>Myelofibrosis</w:t>
      </w:r>
    </w:p>
    <w:p w14:paraId="7AA97A07" w14:textId="77777777" w:rsidR="0078138E" w:rsidRPr="0078138E" w:rsidRDefault="0078138E" w:rsidP="00882574">
      <w:pPr>
        <w:ind w:left="851"/>
        <w:rPr>
          <w:sz w:val="24"/>
          <w:szCs w:val="24"/>
          <w:lang w:val="en-GB"/>
        </w:rPr>
      </w:pPr>
    </w:p>
    <w:p w14:paraId="52BB5D19" w14:textId="77777777" w:rsidR="0078138E" w:rsidRPr="0078138E" w:rsidRDefault="0078138E" w:rsidP="00882574">
      <w:pPr>
        <w:ind w:left="851"/>
        <w:rPr>
          <w:sz w:val="24"/>
          <w:szCs w:val="24"/>
          <w:lang w:val="en-GB"/>
        </w:rPr>
      </w:pPr>
      <w:r w:rsidRPr="0078138E">
        <w:rPr>
          <w:sz w:val="24"/>
          <w:szCs w:val="24"/>
          <w:lang w:val="en-GB"/>
        </w:rPr>
        <w:t>The most frequently reported adverse drug reactions were thrombocytopenia and anaemia.</w:t>
      </w:r>
    </w:p>
    <w:p w14:paraId="78EF59FA" w14:textId="77777777" w:rsidR="0078138E" w:rsidRPr="0078138E" w:rsidRDefault="0078138E" w:rsidP="00882574">
      <w:pPr>
        <w:ind w:left="851"/>
        <w:rPr>
          <w:sz w:val="24"/>
          <w:szCs w:val="24"/>
          <w:lang w:val="en-GB"/>
        </w:rPr>
      </w:pPr>
    </w:p>
    <w:p w14:paraId="115BBA1E" w14:textId="77777777" w:rsidR="0078138E" w:rsidRPr="0078138E" w:rsidRDefault="0078138E" w:rsidP="00882574">
      <w:pPr>
        <w:ind w:left="851"/>
        <w:rPr>
          <w:sz w:val="24"/>
          <w:szCs w:val="24"/>
          <w:lang w:val="en-GB"/>
        </w:rPr>
      </w:pPr>
      <w:r w:rsidRPr="0078138E">
        <w:rPr>
          <w:sz w:val="24"/>
          <w:szCs w:val="24"/>
          <w:lang w:val="en-GB"/>
        </w:rPr>
        <w:t>Haematological adverse drug reactions (any Common Terminology Criteria for Adverse Events [CTCAE] grade) included anaemia (83.8%), thrombocytopenia (80.5%) and neutropenia (20.8%).</w:t>
      </w:r>
    </w:p>
    <w:p w14:paraId="06FFD2C4" w14:textId="77777777" w:rsidR="0078138E" w:rsidRPr="0078138E" w:rsidRDefault="0078138E" w:rsidP="00882574">
      <w:pPr>
        <w:ind w:left="851"/>
        <w:rPr>
          <w:sz w:val="24"/>
          <w:szCs w:val="24"/>
          <w:lang w:val="en-GB"/>
        </w:rPr>
      </w:pPr>
    </w:p>
    <w:p w14:paraId="1F454FB8" w14:textId="77777777" w:rsidR="0078138E" w:rsidRPr="0078138E" w:rsidRDefault="0078138E" w:rsidP="00882574">
      <w:pPr>
        <w:ind w:left="851"/>
        <w:rPr>
          <w:sz w:val="24"/>
          <w:szCs w:val="24"/>
          <w:lang w:val="en-GB"/>
        </w:rPr>
      </w:pPr>
      <w:r w:rsidRPr="0078138E">
        <w:rPr>
          <w:sz w:val="24"/>
          <w:szCs w:val="24"/>
          <w:lang w:val="en-GB"/>
        </w:rPr>
        <w:t>Anaemia, thrombocytopenia and neutropenia are dose-related effects.</w:t>
      </w:r>
    </w:p>
    <w:p w14:paraId="41100742" w14:textId="77777777" w:rsidR="0078138E" w:rsidRPr="0078138E" w:rsidRDefault="0078138E" w:rsidP="00882574">
      <w:pPr>
        <w:ind w:left="851"/>
        <w:rPr>
          <w:sz w:val="24"/>
          <w:szCs w:val="24"/>
          <w:lang w:val="en-GB"/>
        </w:rPr>
      </w:pPr>
    </w:p>
    <w:p w14:paraId="1EF33869" w14:textId="77777777" w:rsidR="0078138E" w:rsidRPr="0078138E" w:rsidRDefault="0078138E" w:rsidP="00882574">
      <w:pPr>
        <w:ind w:left="851"/>
        <w:rPr>
          <w:sz w:val="24"/>
          <w:szCs w:val="24"/>
          <w:lang w:val="en-GB"/>
        </w:rPr>
      </w:pPr>
      <w:r w:rsidRPr="0078138E">
        <w:rPr>
          <w:sz w:val="24"/>
          <w:szCs w:val="24"/>
          <w:lang w:val="en-GB"/>
        </w:rPr>
        <w:t>The three most frequent non-haematological adverse drug reactions were bruising (33.3%), other bleeding (including epistaxis, post-procedural haemorrhage and haematuria) (24.3%) and dizziness (21.9%).</w:t>
      </w:r>
    </w:p>
    <w:p w14:paraId="73C7C7EB" w14:textId="77777777" w:rsidR="0078138E" w:rsidRPr="0078138E" w:rsidRDefault="0078138E" w:rsidP="00882574">
      <w:pPr>
        <w:ind w:left="851"/>
        <w:rPr>
          <w:sz w:val="24"/>
          <w:szCs w:val="24"/>
          <w:lang w:val="en-GB"/>
        </w:rPr>
      </w:pPr>
    </w:p>
    <w:p w14:paraId="524D6FEA" w14:textId="77777777" w:rsidR="0078138E" w:rsidRPr="0078138E" w:rsidRDefault="0078138E" w:rsidP="00882574">
      <w:pPr>
        <w:ind w:left="851"/>
        <w:rPr>
          <w:sz w:val="24"/>
          <w:szCs w:val="24"/>
          <w:lang w:val="en-GB"/>
        </w:rPr>
      </w:pPr>
      <w:r w:rsidRPr="0078138E">
        <w:rPr>
          <w:sz w:val="24"/>
          <w:szCs w:val="24"/>
          <w:lang w:val="en-GB"/>
        </w:rPr>
        <w:t xml:space="preserve">The three most frequent non-haematological laboratory abnormalities identified as adverse reactions were increased alanine aminotransferase (40.7%), increased aspartate aminotransferase (31.5%) and </w:t>
      </w:r>
      <w:proofErr w:type="spellStart"/>
      <w:r w:rsidRPr="0078138E">
        <w:rPr>
          <w:sz w:val="24"/>
          <w:szCs w:val="24"/>
          <w:lang w:val="en-GB"/>
        </w:rPr>
        <w:t>hypertriglyceridaemia</w:t>
      </w:r>
      <w:proofErr w:type="spellEnd"/>
      <w:r w:rsidRPr="0078138E">
        <w:rPr>
          <w:sz w:val="24"/>
          <w:szCs w:val="24"/>
          <w:lang w:val="en-GB"/>
        </w:rPr>
        <w:t xml:space="preserve"> (25.2%). In phase 3 clinical studies in MF, neither CTCAE grade 3 or 4 </w:t>
      </w:r>
      <w:proofErr w:type="spellStart"/>
      <w:r w:rsidRPr="0078138E">
        <w:rPr>
          <w:sz w:val="24"/>
          <w:szCs w:val="24"/>
          <w:lang w:val="en-GB"/>
        </w:rPr>
        <w:t>hypertriglyceridaemia</w:t>
      </w:r>
      <w:proofErr w:type="spellEnd"/>
      <w:r w:rsidRPr="0078138E">
        <w:rPr>
          <w:sz w:val="24"/>
          <w:szCs w:val="24"/>
          <w:lang w:val="en-GB"/>
        </w:rPr>
        <w:t xml:space="preserve"> or increased aspartate aminotransferase, nor CTCAE grade 4 increased alanine aminotransferase or hypercholesterolaemia were observed.</w:t>
      </w:r>
    </w:p>
    <w:p w14:paraId="7FCB536C" w14:textId="77777777" w:rsidR="0078138E" w:rsidRPr="0078138E" w:rsidRDefault="0078138E" w:rsidP="00882574">
      <w:pPr>
        <w:ind w:left="851"/>
        <w:rPr>
          <w:sz w:val="24"/>
          <w:szCs w:val="24"/>
          <w:lang w:val="en-GB"/>
        </w:rPr>
      </w:pPr>
    </w:p>
    <w:p w14:paraId="364C5A42" w14:textId="77777777" w:rsidR="0078138E" w:rsidRPr="0078138E" w:rsidRDefault="0078138E" w:rsidP="00882574">
      <w:pPr>
        <w:ind w:left="851"/>
        <w:rPr>
          <w:sz w:val="24"/>
          <w:szCs w:val="24"/>
          <w:lang w:val="en-GB"/>
        </w:rPr>
      </w:pPr>
      <w:r w:rsidRPr="0078138E">
        <w:rPr>
          <w:sz w:val="24"/>
          <w:szCs w:val="24"/>
          <w:lang w:val="en-GB"/>
        </w:rPr>
        <w:t>Discontinuation due to adverse events, regardless of causality, was observed in 30.0% of patients.</w:t>
      </w:r>
    </w:p>
    <w:p w14:paraId="2A2F71EA" w14:textId="77777777" w:rsidR="0078138E" w:rsidRPr="0078138E" w:rsidRDefault="0078138E" w:rsidP="00882574">
      <w:pPr>
        <w:ind w:left="851"/>
        <w:rPr>
          <w:sz w:val="24"/>
          <w:szCs w:val="24"/>
          <w:lang w:val="en-GB"/>
        </w:rPr>
      </w:pPr>
    </w:p>
    <w:p w14:paraId="7931F2F9" w14:textId="77777777" w:rsidR="0078138E" w:rsidRPr="0078138E" w:rsidRDefault="0078138E" w:rsidP="00882574">
      <w:pPr>
        <w:ind w:left="851"/>
        <w:rPr>
          <w:sz w:val="24"/>
          <w:szCs w:val="24"/>
          <w:u w:val="single"/>
          <w:lang w:val="en-GB"/>
        </w:rPr>
      </w:pPr>
      <w:r w:rsidRPr="0078138E">
        <w:rPr>
          <w:i/>
          <w:iCs/>
          <w:sz w:val="24"/>
          <w:szCs w:val="24"/>
          <w:u w:val="single"/>
          <w:lang w:val="en-GB"/>
        </w:rPr>
        <w:t>Polycythaemia vera</w:t>
      </w:r>
    </w:p>
    <w:p w14:paraId="0C4339EA" w14:textId="77777777" w:rsidR="0078138E" w:rsidRPr="0078138E" w:rsidRDefault="0078138E" w:rsidP="00882574">
      <w:pPr>
        <w:ind w:left="851"/>
        <w:rPr>
          <w:sz w:val="24"/>
          <w:szCs w:val="24"/>
          <w:lang w:val="en-GB"/>
        </w:rPr>
      </w:pPr>
      <w:r w:rsidRPr="0078138E">
        <w:rPr>
          <w:sz w:val="24"/>
          <w:szCs w:val="24"/>
          <w:lang w:val="en-GB"/>
        </w:rPr>
        <w:t>The most frequently reported adverse drug reactions were anaemia and increased alanine aminotransferase.</w:t>
      </w:r>
    </w:p>
    <w:p w14:paraId="0A117870" w14:textId="77777777" w:rsidR="0078138E" w:rsidRPr="0078138E" w:rsidRDefault="0078138E" w:rsidP="00882574">
      <w:pPr>
        <w:ind w:left="851"/>
        <w:rPr>
          <w:sz w:val="24"/>
          <w:szCs w:val="24"/>
          <w:lang w:val="en-GB"/>
        </w:rPr>
      </w:pPr>
    </w:p>
    <w:p w14:paraId="5B461D87" w14:textId="77777777" w:rsidR="0078138E" w:rsidRPr="0078138E" w:rsidRDefault="0078138E" w:rsidP="00882574">
      <w:pPr>
        <w:ind w:left="851"/>
        <w:rPr>
          <w:sz w:val="24"/>
          <w:szCs w:val="24"/>
          <w:lang w:val="en-GB"/>
        </w:rPr>
      </w:pPr>
      <w:r w:rsidRPr="0078138E">
        <w:rPr>
          <w:sz w:val="24"/>
          <w:szCs w:val="24"/>
          <w:lang w:val="en-GB"/>
        </w:rPr>
        <w:t>Haematological adverse reactions (any CTCAE grade) included anaemia (61.8%), thrombocytopenia (25.0%) and neutropenia (5.3%). Anaemia and thrombocytopenia CTCAE grade 3 or 4 were reported in 2.9% and 2.6% of the patients, respectively.</w:t>
      </w:r>
    </w:p>
    <w:p w14:paraId="2BE7B0C4" w14:textId="77777777" w:rsidR="0078138E" w:rsidRPr="0078138E" w:rsidRDefault="0078138E" w:rsidP="00882574">
      <w:pPr>
        <w:ind w:left="851"/>
        <w:rPr>
          <w:sz w:val="24"/>
          <w:szCs w:val="24"/>
          <w:lang w:val="en-GB"/>
        </w:rPr>
      </w:pPr>
    </w:p>
    <w:p w14:paraId="7275182E" w14:textId="77777777" w:rsidR="0078138E" w:rsidRPr="0078138E" w:rsidRDefault="0078138E" w:rsidP="00882574">
      <w:pPr>
        <w:ind w:left="851"/>
        <w:rPr>
          <w:sz w:val="24"/>
          <w:szCs w:val="24"/>
          <w:lang w:val="en-GB"/>
        </w:rPr>
      </w:pPr>
      <w:r w:rsidRPr="0078138E">
        <w:rPr>
          <w:sz w:val="24"/>
          <w:szCs w:val="24"/>
          <w:lang w:val="en-GB"/>
        </w:rPr>
        <w:t>The three most frequent non-haematological adverse reactions were weight gain (20.3%), dizziness (19.4%) and headache (17.9%).</w:t>
      </w:r>
    </w:p>
    <w:p w14:paraId="112D99C5" w14:textId="77777777" w:rsidR="0078138E" w:rsidRPr="0078138E" w:rsidRDefault="0078138E" w:rsidP="00882574">
      <w:pPr>
        <w:ind w:left="851"/>
        <w:rPr>
          <w:sz w:val="24"/>
          <w:szCs w:val="24"/>
          <w:lang w:val="en-GB"/>
        </w:rPr>
      </w:pPr>
    </w:p>
    <w:p w14:paraId="1D70D430" w14:textId="77777777" w:rsidR="0078138E" w:rsidRPr="0078138E" w:rsidRDefault="0078138E" w:rsidP="00882574">
      <w:pPr>
        <w:ind w:left="851"/>
        <w:rPr>
          <w:sz w:val="24"/>
          <w:szCs w:val="24"/>
          <w:lang w:val="en-GB"/>
        </w:rPr>
      </w:pPr>
      <w:r w:rsidRPr="0078138E">
        <w:rPr>
          <w:sz w:val="24"/>
          <w:szCs w:val="24"/>
          <w:lang w:val="en-GB"/>
        </w:rPr>
        <w:t xml:space="preserve">The three most frequent non-haematological laboratory abnormalities (any CTCAE grade) identified as adverse reactions were increased alanine aminotransferase (45.3%), increased aspartate aminotransferase (42.6%), and hypercholesterolaemia (34.7%). No CTCAE grade 4 increased alanine aminotransferase or hypercholesterolaemia, and one CTCAE grade 4 increased aspartate </w:t>
      </w:r>
      <w:proofErr w:type="gramStart"/>
      <w:r w:rsidRPr="0078138E">
        <w:rPr>
          <w:sz w:val="24"/>
          <w:szCs w:val="24"/>
          <w:lang w:val="en-GB"/>
        </w:rPr>
        <w:t>aminotransferase</w:t>
      </w:r>
      <w:proofErr w:type="gramEnd"/>
      <w:r w:rsidRPr="0078138E">
        <w:rPr>
          <w:sz w:val="24"/>
          <w:szCs w:val="24"/>
          <w:lang w:val="en-GB"/>
        </w:rPr>
        <w:t xml:space="preserve"> were observed.</w:t>
      </w:r>
    </w:p>
    <w:p w14:paraId="0C890311" w14:textId="77777777" w:rsidR="0078138E" w:rsidRPr="0078138E" w:rsidRDefault="0078138E" w:rsidP="00882574">
      <w:pPr>
        <w:ind w:left="851"/>
        <w:rPr>
          <w:sz w:val="24"/>
          <w:szCs w:val="24"/>
          <w:lang w:val="en-GB"/>
        </w:rPr>
      </w:pPr>
    </w:p>
    <w:p w14:paraId="7F475D8B" w14:textId="77777777" w:rsidR="0078138E" w:rsidRPr="0078138E" w:rsidRDefault="0078138E" w:rsidP="00882574">
      <w:pPr>
        <w:ind w:left="851"/>
        <w:rPr>
          <w:sz w:val="24"/>
          <w:szCs w:val="24"/>
          <w:lang w:val="en-GB"/>
        </w:rPr>
      </w:pPr>
      <w:r w:rsidRPr="0078138E">
        <w:rPr>
          <w:sz w:val="24"/>
          <w:szCs w:val="24"/>
          <w:lang w:val="en-GB"/>
        </w:rPr>
        <w:t>Discontinuation due to adverse events, regardless of causality, was observed in 19.4% of patients.</w:t>
      </w:r>
    </w:p>
    <w:p w14:paraId="6FDC8A70" w14:textId="77777777" w:rsidR="0078138E" w:rsidRPr="0078138E" w:rsidRDefault="0078138E" w:rsidP="00882574">
      <w:pPr>
        <w:ind w:left="851"/>
        <w:rPr>
          <w:bCs/>
          <w:sz w:val="24"/>
          <w:szCs w:val="24"/>
          <w:lang w:val="en-GB"/>
        </w:rPr>
      </w:pPr>
    </w:p>
    <w:p w14:paraId="7AB7EF15" w14:textId="77777777" w:rsidR="0078138E" w:rsidRPr="0078138E" w:rsidRDefault="0078138E" w:rsidP="00882574">
      <w:pPr>
        <w:ind w:left="851"/>
        <w:rPr>
          <w:sz w:val="24"/>
          <w:szCs w:val="24"/>
          <w:u w:val="single"/>
          <w:lang w:val="en-GB"/>
        </w:rPr>
      </w:pPr>
      <w:r w:rsidRPr="0078138E">
        <w:rPr>
          <w:i/>
          <w:iCs/>
          <w:sz w:val="24"/>
          <w:szCs w:val="24"/>
          <w:u w:val="single"/>
          <w:lang w:val="en-GB"/>
        </w:rPr>
        <w:t>Acute GvHD</w:t>
      </w:r>
    </w:p>
    <w:p w14:paraId="7D5BF754" w14:textId="77777777" w:rsidR="0078138E" w:rsidRPr="0078138E" w:rsidRDefault="0078138E" w:rsidP="00882574">
      <w:pPr>
        <w:ind w:left="851"/>
        <w:rPr>
          <w:sz w:val="24"/>
          <w:szCs w:val="24"/>
          <w:lang w:val="en-GB"/>
        </w:rPr>
      </w:pPr>
      <w:r w:rsidRPr="0078138E">
        <w:rPr>
          <w:sz w:val="24"/>
          <w:szCs w:val="24"/>
          <w:lang w:val="en-GB"/>
        </w:rPr>
        <w:t>The most frequently reported adverse drug reactions in REACH2 (adult and adolescent patients) were thrombocytopenia, anaemia, neutropenia, increased alanine aminotransferase and increased aspartate aminotransferase. The most frequently reported adverse drug reactions in the pool of paediatric patients (adolescents from REACH2 and paediatric patients from REACH4) were anaemia, neutropenia, increased alanine aminotransferase, hypercholesterolaemia and thrombocytopenia.</w:t>
      </w:r>
    </w:p>
    <w:p w14:paraId="4C2C57B6" w14:textId="77777777" w:rsidR="0078138E" w:rsidRPr="0078138E" w:rsidRDefault="0078138E" w:rsidP="00882574">
      <w:pPr>
        <w:ind w:left="851"/>
        <w:rPr>
          <w:sz w:val="24"/>
          <w:szCs w:val="24"/>
          <w:lang w:val="en-GB"/>
        </w:rPr>
      </w:pPr>
    </w:p>
    <w:p w14:paraId="5C2DC73E" w14:textId="77777777" w:rsidR="0078138E" w:rsidRPr="0078138E" w:rsidRDefault="0078138E" w:rsidP="00882574">
      <w:pPr>
        <w:ind w:left="851"/>
        <w:rPr>
          <w:sz w:val="24"/>
          <w:szCs w:val="24"/>
          <w:lang w:val="en-GB"/>
        </w:rPr>
      </w:pPr>
      <w:r w:rsidRPr="0078138E">
        <w:rPr>
          <w:sz w:val="24"/>
          <w:szCs w:val="24"/>
          <w:lang w:val="en-GB"/>
        </w:rPr>
        <w:t>Haematological laboratory abnormalities: identified as adverse drug reactions in REACH2 (adult and adolescent patients) and in the pool of paediatric patients (REACH2 and REACH4) included thrombocytopenia (85.2% and 55.1%), anaemia (75.0% and 70.8%) and neutropenia (65.1% and 70.0%), respectively. Grade 3 anaemia was reported in 47.7% of patients in REACH2 and in 45.8% of patients in the paediatric pool. Grade 3 and 4 thrombocytopenia were reported in 31.3% and 47.7% of patients in REACH2 and in 14.6% and 22.4% of patients in the paediatric pool, respectively. Grade 3 and 4 neutropenia were reported in 17.9% and 20.6% of patients in REACH2 and in 32.0% and 22.0% of patients in the paediatric pool, respectively.</w:t>
      </w:r>
    </w:p>
    <w:p w14:paraId="63418577" w14:textId="77777777" w:rsidR="0078138E" w:rsidRPr="0078138E" w:rsidRDefault="0078138E" w:rsidP="00882574">
      <w:pPr>
        <w:ind w:left="851"/>
        <w:rPr>
          <w:sz w:val="24"/>
          <w:szCs w:val="24"/>
          <w:lang w:val="en-GB"/>
        </w:rPr>
      </w:pPr>
    </w:p>
    <w:p w14:paraId="63AA0E4E" w14:textId="77777777" w:rsidR="0078138E" w:rsidRPr="0078138E" w:rsidRDefault="0078138E" w:rsidP="00882574">
      <w:pPr>
        <w:ind w:left="851"/>
        <w:rPr>
          <w:sz w:val="24"/>
          <w:szCs w:val="24"/>
          <w:lang w:val="en-GB"/>
        </w:rPr>
      </w:pPr>
      <w:r w:rsidRPr="0078138E">
        <w:rPr>
          <w:sz w:val="24"/>
          <w:szCs w:val="24"/>
          <w:lang w:val="en-GB"/>
        </w:rPr>
        <w:t>The most frequent non-haematological adverse drug reactions in REACH2 (adult and adolescent patients) and in the pool of paediatric patients (REACH2 and REACH4) were cytomegalovirus (CMV) infection (32.3% and 31.4%), sepsis (25.4% and 9.8%), urinary tract infections (17.9% and 9.8%), hypertension (13.4% and 17.6%) and nausea (16.4% and 3.9%), respectively.</w:t>
      </w:r>
    </w:p>
    <w:p w14:paraId="0DF3ABA4" w14:textId="77777777" w:rsidR="0078138E" w:rsidRPr="0078138E" w:rsidRDefault="0078138E" w:rsidP="00882574">
      <w:pPr>
        <w:ind w:left="851"/>
        <w:rPr>
          <w:sz w:val="24"/>
          <w:szCs w:val="24"/>
          <w:lang w:val="en-GB"/>
        </w:rPr>
      </w:pPr>
    </w:p>
    <w:p w14:paraId="580C7C3B" w14:textId="77777777" w:rsidR="0078138E" w:rsidRPr="0078138E" w:rsidRDefault="0078138E" w:rsidP="00882574">
      <w:pPr>
        <w:ind w:left="851"/>
        <w:rPr>
          <w:sz w:val="24"/>
          <w:szCs w:val="24"/>
          <w:lang w:val="en-GB"/>
        </w:rPr>
      </w:pPr>
      <w:r w:rsidRPr="0078138E">
        <w:rPr>
          <w:sz w:val="24"/>
          <w:szCs w:val="24"/>
          <w:lang w:val="en-GB"/>
        </w:rPr>
        <w:t>The most frequent non-haematological laboratory abnormalities identified as adverse drug reactions in REACH2 (adult and adolescent patients) and in the pool of paediatric patients (REACH2 and REACH4) were increased alanine aminotransferase (54.9% and 63.3%), increased aspartate aminotransferase (52.3% and 50.0%) and hypercholesterolaemia (49.2% and 61.2%), respectively. The majority were of grade 1 and 2, however grade 3 increased alanine aminotransferase was reported in 17.6% of patients in REACH2 and 27.3% of patients in the paediatric pool</w:t>
      </w:r>
    </w:p>
    <w:p w14:paraId="7206D279" w14:textId="77777777" w:rsidR="0078138E" w:rsidRPr="0078138E" w:rsidRDefault="0078138E" w:rsidP="00882574">
      <w:pPr>
        <w:ind w:left="851"/>
        <w:rPr>
          <w:sz w:val="24"/>
          <w:szCs w:val="24"/>
          <w:lang w:val="en-GB"/>
        </w:rPr>
      </w:pPr>
    </w:p>
    <w:p w14:paraId="0AC57382" w14:textId="77777777" w:rsidR="0078138E" w:rsidRPr="0078138E" w:rsidRDefault="0078138E" w:rsidP="00882574">
      <w:pPr>
        <w:ind w:left="851"/>
        <w:rPr>
          <w:sz w:val="24"/>
          <w:szCs w:val="24"/>
          <w:lang w:val="en-GB"/>
        </w:rPr>
      </w:pPr>
      <w:r w:rsidRPr="0078138E">
        <w:rPr>
          <w:sz w:val="24"/>
          <w:szCs w:val="24"/>
          <w:lang w:val="en-GB"/>
        </w:rPr>
        <w:t>Discontinuation due to adverse events, regardless of causality, was observed in 29.4% of patients in REACH2 and in 21.6% of patients in the paediatric pool.</w:t>
      </w:r>
    </w:p>
    <w:p w14:paraId="53ECE5F7" w14:textId="77777777" w:rsidR="0078138E" w:rsidRPr="0078138E" w:rsidRDefault="0078138E" w:rsidP="00882574">
      <w:pPr>
        <w:ind w:left="851"/>
        <w:rPr>
          <w:sz w:val="24"/>
          <w:szCs w:val="24"/>
          <w:lang w:val="en-GB"/>
        </w:rPr>
      </w:pPr>
    </w:p>
    <w:p w14:paraId="423F2739" w14:textId="77777777" w:rsidR="0078138E" w:rsidRPr="0078138E" w:rsidRDefault="0078138E" w:rsidP="00882574">
      <w:pPr>
        <w:ind w:left="851"/>
        <w:rPr>
          <w:sz w:val="24"/>
          <w:szCs w:val="24"/>
          <w:u w:val="single"/>
          <w:lang w:val="en-GB"/>
        </w:rPr>
      </w:pPr>
      <w:r w:rsidRPr="0078138E">
        <w:rPr>
          <w:i/>
          <w:iCs/>
          <w:sz w:val="24"/>
          <w:szCs w:val="24"/>
          <w:u w:val="single"/>
          <w:lang w:val="en-GB"/>
        </w:rPr>
        <w:t>Chronic GvHD</w:t>
      </w:r>
    </w:p>
    <w:p w14:paraId="0BD07E2B" w14:textId="77777777" w:rsidR="0078138E" w:rsidRPr="0078138E" w:rsidRDefault="0078138E" w:rsidP="00882574">
      <w:pPr>
        <w:ind w:left="851"/>
        <w:rPr>
          <w:sz w:val="24"/>
          <w:szCs w:val="24"/>
          <w:lang w:val="en-GB"/>
        </w:rPr>
      </w:pPr>
      <w:r w:rsidRPr="0078138E">
        <w:rPr>
          <w:sz w:val="24"/>
          <w:szCs w:val="24"/>
          <w:lang w:val="en-GB"/>
        </w:rPr>
        <w:t>The most frequently reported adverse drug reactions in REACH3 (adult and adolescent patients) were anaemia, hypercholesterolemia and increased aspartate aminotransferase. The most frequently reported adverse drug reactions in the pool of paediatric patients (adolescents from REACH3 and paediatric patients from REACH5) were neutropenia, hypercholesterolaemia and increased alanine aminotransferase.</w:t>
      </w:r>
    </w:p>
    <w:p w14:paraId="5884DD89" w14:textId="77777777" w:rsidR="0078138E" w:rsidRPr="0078138E" w:rsidRDefault="0078138E" w:rsidP="00882574">
      <w:pPr>
        <w:ind w:left="851"/>
        <w:rPr>
          <w:sz w:val="24"/>
          <w:szCs w:val="24"/>
          <w:lang w:val="en-GB"/>
        </w:rPr>
      </w:pPr>
    </w:p>
    <w:p w14:paraId="7C33A729" w14:textId="77777777" w:rsidR="0078138E" w:rsidRPr="0078138E" w:rsidRDefault="0078138E" w:rsidP="00882574">
      <w:pPr>
        <w:ind w:left="851"/>
        <w:rPr>
          <w:sz w:val="24"/>
          <w:szCs w:val="24"/>
          <w:lang w:val="en-GB"/>
        </w:rPr>
      </w:pPr>
      <w:r w:rsidRPr="0078138E">
        <w:rPr>
          <w:sz w:val="24"/>
          <w:szCs w:val="24"/>
          <w:lang w:val="en-GB"/>
        </w:rPr>
        <w:t>Haematological laboratory abnormalities identified as adverse drug reactions in REACH3 (adult and adolescent patients) and in the pool of paediatric patients (REACH3 and REACH5) included anaemia (68.6% and 49.1%), neutropenia (36.2% and 59.3%), and thrombocytopenia (34.4% and 35.2%), respectively. Grade 3 anaemia was reported in 14.8% of patients in REACH3 and in 17.0% of patients in the paediatric pool. Grade 3 and 4 neutropenia were reported in 9.5% and 6.7% of patients in REACH3 and in 17.3% and 11.1% of patients in the paediatric pool, respectively. Grade 3 and 4 thrombocytopenia were reported in 5.9% and 10.7% of adult and adolescent patients in REACH3 and in 7.7% and 11.1% of patients in the paediatric pool, respectively.</w:t>
      </w:r>
    </w:p>
    <w:p w14:paraId="64A0BA4A" w14:textId="77777777" w:rsidR="0078138E" w:rsidRPr="0078138E" w:rsidRDefault="0078138E" w:rsidP="00882574">
      <w:pPr>
        <w:ind w:left="851"/>
        <w:rPr>
          <w:sz w:val="24"/>
          <w:szCs w:val="24"/>
          <w:lang w:val="en-GB"/>
        </w:rPr>
      </w:pPr>
    </w:p>
    <w:p w14:paraId="0517A664" w14:textId="77777777" w:rsidR="0078138E" w:rsidRPr="0078138E" w:rsidRDefault="0078138E" w:rsidP="00882574">
      <w:pPr>
        <w:ind w:left="851"/>
        <w:rPr>
          <w:sz w:val="24"/>
          <w:szCs w:val="24"/>
          <w:lang w:val="en-GB"/>
        </w:rPr>
      </w:pPr>
      <w:r w:rsidRPr="0078138E">
        <w:rPr>
          <w:sz w:val="24"/>
          <w:szCs w:val="24"/>
          <w:lang w:val="en-GB"/>
        </w:rPr>
        <w:t>The most frequent non-haematological adverse drug reactions in REACH3 (adult and adolescent patients) and in the pool of paediatric patients (REACH3 and REACH5) were hypertension (15.0% and 14.5%) and headache (10.2% and 18.2%), respectively.</w:t>
      </w:r>
    </w:p>
    <w:p w14:paraId="77570751" w14:textId="77777777" w:rsidR="0078138E" w:rsidRPr="0078138E" w:rsidRDefault="0078138E" w:rsidP="00882574">
      <w:pPr>
        <w:ind w:left="851"/>
        <w:rPr>
          <w:sz w:val="24"/>
          <w:szCs w:val="24"/>
          <w:lang w:val="en-GB"/>
        </w:rPr>
      </w:pPr>
    </w:p>
    <w:p w14:paraId="60C0A915" w14:textId="77777777" w:rsidR="0078138E" w:rsidRPr="0078138E" w:rsidRDefault="0078138E" w:rsidP="00882574">
      <w:pPr>
        <w:ind w:left="851"/>
        <w:rPr>
          <w:sz w:val="24"/>
          <w:szCs w:val="24"/>
          <w:lang w:val="en-GB"/>
        </w:rPr>
      </w:pPr>
      <w:r w:rsidRPr="0078138E">
        <w:rPr>
          <w:sz w:val="24"/>
          <w:szCs w:val="24"/>
          <w:lang w:val="en-GB"/>
        </w:rPr>
        <w:t>The most frequent non-haematological laboratory abnormalities identified as adverse drug reactions in REACH3 (adult and adolescent patients) and in the pool of paediatric patients (REACH3 and REACH5) were hypercholesterolaemia (52.3% and 54.9%), increased aspartate aminotransferase (52.2% and 45.5%) and increased alanine aminotransferase (43.1% and 50.9%). The majority were grade 1 and 2, however grade 3 laboratory abnormalities reported in the pool of paediatric patients included increased alanine aminotransferase (14.9%) and increased aspartate aminotransferase (11.5%).</w:t>
      </w:r>
    </w:p>
    <w:p w14:paraId="5A2371CE" w14:textId="77777777" w:rsidR="0078138E" w:rsidRPr="0078138E" w:rsidRDefault="0078138E" w:rsidP="00882574">
      <w:pPr>
        <w:ind w:left="851"/>
        <w:rPr>
          <w:sz w:val="24"/>
          <w:szCs w:val="24"/>
          <w:lang w:val="en-GB"/>
        </w:rPr>
      </w:pPr>
    </w:p>
    <w:p w14:paraId="1CD1CA40" w14:textId="77777777" w:rsidR="0078138E" w:rsidRPr="0078138E" w:rsidRDefault="0078138E" w:rsidP="00882574">
      <w:pPr>
        <w:ind w:left="851"/>
        <w:rPr>
          <w:sz w:val="24"/>
          <w:szCs w:val="24"/>
          <w:lang w:val="en-GB"/>
        </w:rPr>
      </w:pPr>
      <w:r w:rsidRPr="0078138E">
        <w:rPr>
          <w:sz w:val="24"/>
          <w:szCs w:val="24"/>
          <w:lang w:val="en-GB"/>
        </w:rPr>
        <w:t>Discontinuation due to adverse events, regardless of causality, was observed in 18.1% of patients in REACH3 and in 14.5% of patients in the paediatric pool.</w:t>
      </w:r>
    </w:p>
    <w:p w14:paraId="3748A7A2" w14:textId="77777777" w:rsidR="0078138E" w:rsidRPr="0078138E" w:rsidRDefault="0078138E" w:rsidP="00882574">
      <w:pPr>
        <w:ind w:left="851"/>
        <w:rPr>
          <w:sz w:val="24"/>
          <w:szCs w:val="24"/>
          <w:lang w:val="en-GB"/>
        </w:rPr>
      </w:pPr>
    </w:p>
    <w:p w14:paraId="7953B608" w14:textId="77777777" w:rsidR="0078138E" w:rsidRPr="0078138E" w:rsidRDefault="0078138E" w:rsidP="00882574">
      <w:pPr>
        <w:ind w:left="851"/>
        <w:rPr>
          <w:sz w:val="24"/>
          <w:szCs w:val="24"/>
          <w:u w:val="single"/>
          <w:lang w:val="en-GB"/>
        </w:rPr>
      </w:pPr>
      <w:r w:rsidRPr="0078138E">
        <w:rPr>
          <w:sz w:val="24"/>
          <w:szCs w:val="24"/>
          <w:u w:val="single"/>
          <w:lang w:val="en-GB"/>
        </w:rPr>
        <w:t>Tabulated list of adverse reactions</w:t>
      </w:r>
    </w:p>
    <w:p w14:paraId="1B7B5C5A" w14:textId="77777777" w:rsidR="0078138E" w:rsidRPr="0078138E" w:rsidRDefault="0078138E" w:rsidP="00882574">
      <w:pPr>
        <w:ind w:left="851"/>
        <w:rPr>
          <w:sz w:val="24"/>
          <w:szCs w:val="24"/>
          <w:u w:val="single"/>
          <w:lang w:val="en-GB"/>
        </w:rPr>
      </w:pPr>
    </w:p>
    <w:p w14:paraId="66929D85" w14:textId="77777777" w:rsidR="0078138E" w:rsidRPr="0078138E" w:rsidRDefault="0078138E" w:rsidP="00882574">
      <w:pPr>
        <w:ind w:left="851"/>
        <w:rPr>
          <w:sz w:val="24"/>
          <w:szCs w:val="24"/>
          <w:lang w:val="en-GB"/>
        </w:rPr>
      </w:pPr>
      <w:r w:rsidRPr="0078138E">
        <w:rPr>
          <w:sz w:val="24"/>
          <w:szCs w:val="24"/>
          <w:lang w:val="en-GB"/>
        </w:rPr>
        <w:t xml:space="preserve">The safety of </w:t>
      </w:r>
      <w:proofErr w:type="spellStart"/>
      <w:r w:rsidRPr="0078138E">
        <w:rPr>
          <w:sz w:val="24"/>
          <w:szCs w:val="24"/>
          <w:lang w:val="en-GB"/>
        </w:rPr>
        <w:t>ruxolitinib</w:t>
      </w:r>
      <w:proofErr w:type="spellEnd"/>
      <w:r w:rsidRPr="0078138E">
        <w:rPr>
          <w:sz w:val="24"/>
          <w:szCs w:val="24"/>
          <w:lang w:val="en-GB"/>
        </w:rPr>
        <w:t xml:space="preserve"> in MF patients was evaluated using the long-term follow-up data from two phase 3 studies (COMFORT-I and COMFORT-II) including data from patients initially randomised to </w:t>
      </w:r>
      <w:proofErr w:type="spellStart"/>
      <w:r w:rsidRPr="0078138E">
        <w:rPr>
          <w:sz w:val="24"/>
          <w:szCs w:val="24"/>
          <w:lang w:val="en-GB"/>
        </w:rPr>
        <w:t>ruxolitinib</w:t>
      </w:r>
      <w:proofErr w:type="spellEnd"/>
      <w:r w:rsidRPr="0078138E">
        <w:rPr>
          <w:sz w:val="24"/>
          <w:szCs w:val="24"/>
          <w:lang w:val="en-GB"/>
        </w:rPr>
        <w:t xml:space="preserve"> (n=301) and patients who received </w:t>
      </w:r>
      <w:proofErr w:type="spellStart"/>
      <w:r w:rsidRPr="0078138E">
        <w:rPr>
          <w:sz w:val="24"/>
          <w:szCs w:val="24"/>
          <w:lang w:val="en-GB"/>
        </w:rPr>
        <w:t>ruxolitinib</w:t>
      </w:r>
      <w:proofErr w:type="spellEnd"/>
      <w:r w:rsidRPr="0078138E">
        <w:rPr>
          <w:sz w:val="24"/>
          <w:szCs w:val="24"/>
          <w:lang w:val="en-GB"/>
        </w:rPr>
        <w:t xml:space="preserve"> after crossing over from control treatments (n=156). The median exposure upon which the adverse drug reaction frequency categories for MF patients are based was 30.5 months (range 0.3 to 68.1 months).</w:t>
      </w:r>
    </w:p>
    <w:p w14:paraId="21B1D355" w14:textId="77777777" w:rsidR="0078138E" w:rsidRPr="0078138E" w:rsidRDefault="0078138E" w:rsidP="00882574">
      <w:pPr>
        <w:ind w:left="851"/>
        <w:rPr>
          <w:sz w:val="24"/>
          <w:szCs w:val="24"/>
          <w:lang w:val="en-GB"/>
        </w:rPr>
      </w:pPr>
    </w:p>
    <w:p w14:paraId="3E051974" w14:textId="77777777" w:rsidR="0078138E" w:rsidRPr="0078138E" w:rsidRDefault="0078138E" w:rsidP="00882574">
      <w:pPr>
        <w:ind w:left="851"/>
        <w:rPr>
          <w:sz w:val="24"/>
          <w:szCs w:val="24"/>
          <w:lang w:val="en-GB"/>
        </w:rPr>
      </w:pPr>
      <w:r w:rsidRPr="0078138E">
        <w:rPr>
          <w:sz w:val="24"/>
          <w:szCs w:val="24"/>
          <w:lang w:val="en-GB"/>
        </w:rPr>
        <w:t xml:space="preserve">The safety of </w:t>
      </w:r>
      <w:proofErr w:type="spellStart"/>
      <w:r w:rsidRPr="0078138E">
        <w:rPr>
          <w:sz w:val="24"/>
          <w:szCs w:val="24"/>
          <w:lang w:val="en-GB"/>
        </w:rPr>
        <w:t>ruxolitinib</w:t>
      </w:r>
      <w:proofErr w:type="spellEnd"/>
      <w:r w:rsidRPr="0078138E">
        <w:rPr>
          <w:sz w:val="24"/>
          <w:szCs w:val="24"/>
          <w:lang w:val="en-GB"/>
        </w:rPr>
        <w:t xml:space="preserve"> in PV patients was evaluated using the long-term follow-up data from two phase 3 studies (RESPONSE, RESPONSE 2) including data from patients initially randomised to </w:t>
      </w:r>
      <w:proofErr w:type="spellStart"/>
      <w:r w:rsidRPr="0078138E">
        <w:rPr>
          <w:sz w:val="24"/>
          <w:szCs w:val="24"/>
          <w:lang w:val="en-GB"/>
        </w:rPr>
        <w:t>ruxolitinib</w:t>
      </w:r>
      <w:proofErr w:type="spellEnd"/>
      <w:r w:rsidRPr="0078138E">
        <w:rPr>
          <w:sz w:val="24"/>
          <w:szCs w:val="24"/>
          <w:lang w:val="en-GB"/>
        </w:rPr>
        <w:t xml:space="preserve"> (n=184) and patients who received </w:t>
      </w:r>
      <w:proofErr w:type="spellStart"/>
      <w:r w:rsidRPr="0078138E">
        <w:rPr>
          <w:sz w:val="24"/>
          <w:szCs w:val="24"/>
          <w:lang w:val="en-GB"/>
        </w:rPr>
        <w:t>ruxolitinib</w:t>
      </w:r>
      <w:proofErr w:type="spellEnd"/>
      <w:r w:rsidRPr="0078138E">
        <w:rPr>
          <w:sz w:val="24"/>
          <w:szCs w:val="24"/>
          <w:lang w:val="en-GB"/>
        </w:rPr>
        <w:t xml:space="preserve"> after crossing over from control treatments (n=156). The median exposure upon which the adverse drug reaction frequency categories for PV patients are based was 41.7 months (range 0.03 to 59.7 months).</w:t>
      </w:r>
    </w:p>
    <w:p w14:paraId="64AE4C1B" w14:textId="77777777" w:rsidR="0078138E" w:rsidRPr="0078138E" w:rsidRDefault="0078138E" w:rsidP="00882574">
      <w:pPr>
        <w:ind w:left="851"/>
        <w:rPr>
          <w:sz w:val="24"/>
          <w:szCs w:val="24"/>
          <w:lang w:val="en-GB"/>
        </w:rPr>
      </w:pPr>
    </w:p>
    <w:p w14:paraId="0DAAA744" w14:textId="77777777" w:rsidR="0078138E" w:rsidRPr="0078138E" w:rsidRDefault="0078138E" w:rsidP="00882574">
      <w:pPr>
        <w:ind w:left="851"/>
        <w:rPr>
          <w:b/>
          <w:sz w:val="24"/>
          <w:szCs w:val="24"/>
          <w:lang w:val="en-GB"/>
        </w:rPr>
      </w:pPr>
      <w:r w:rsidRPr="0078138E">
        <w:rPr>
          <w:sz w:val="24"/>
          <w:szCs w:val="24"/>
          <w:lang w:val="en-GB"/>
        </w:rPr>
        <w:t xml:space="preserve">The safety of </w:t>
      </w:r>
      <w:proofErr w:type="spellStart"/>
      <w:r w:rsidRPr="0078138E">
        <w:rPr>
          <w:sz w:val="24"/>
          <w:szCs w:val="24"/>
          <w:lang w:val="en-GB"/>
        </w:rPr>
        <w:t>ruxolitinib</w:t>
      </w:r>
      <w:proofErr w:type="spellEnd"/>
      <w:r w:rsidRPr="0078138E">
        <w:rPr>
          <w:sz w:val="24"/>
          <w:szCs w:val="24"/>
          <w:lang w:val="en-GB"/>
        </w:rPr>
        <w:t xml:space="preserve"> in acute GvHD patients was evaluated in the phase 3 study REACH2 and in the phase 2 study REACH4. REACH2 included data from 201 patients ≥12 years of age initially randomised to </w:t>
      </w:r>
      <w:proofErr w:type="spellStart"/>
      <w:r w:rsidRPr="0078138E">
        <w:rPr>
          <w:sz w:val="24"/>
          <w:szCs w:val="24"/>
          <w:lang w:val="en-GB"/>
        </w:rPr>
        <w:t>ruxolitinib</w:t>
      </w:r>
      <w:proofErr w:type="spellEnd"/>
      <w:r w:rsidRPr="0078138E">
        <w:rPr>
          <w:sz w:val="24"/>
          <w:szCs w:val="24"/>
          <w:lang w:val="en-GB"/>
        </w:rPr>
        <w:t xml:space="preserve"> (n=152) and patients who received </w:t>
      </w:r>
      <w:proofErr w:type="spellStart"/>
      <w:r w:rsidRPr="0078138E">
        <w:rPr>
          <w:sz w:val="24"/>
          <w:szCs w:val="24"/>
          <w:lang w:val="en-GB"/>
        </w:rPr>
        <w:t>ruxolitinib</w:t>
      </w:r>
      <w:proofErr w:type="spellEnd"/>
      <w:r w:rsidRPr="0078138E">
        <w:rPr>
          <w:sz w:val="24"/>
          <w:szCs w:val="24"/>
          <w:lang w:val="en-GB"/>
        </w:rPr>
        <w:t xml:space="preserve"> after crossing over from the best available therapy (BAT) arm (n=49). The median exposure upon which the adverse drug reaction frequency categories were based was 8.9 weeks (range 0.3 to 66.1 weeks). In the pool of paediatric patients ≥2 years of age (6 patients in REACH2 and 45 patients in REACH4), the median exposure was 16.7 weeks (range 1.1 to 48.9 weeks).</w:t>
      </w:r>
    </w:p>
    <w:p w14:paraId="66DF8E0E" w14:textId="77777777" w:rsidR="0078138E" w:rsidRPr="0078138E" w:rsidRDefault="0078138E" w:rsidP="00882574">
      <w:pPr>
        <w:ind w:left="851"/>
        <w:rPr>
          <w:bCs/>
          <w:sz w:val="24"/>
          <w:szCs w:val="24"/>
          <w:lang w:val="en-GB"/>
        </w:rPr>
      </w:pPr>
    </w:p>
    <w:p w14:paraId="29598B53" w14:textId="77777777" w:rsidR="0078138E" w:rsidRPr="0078138E" w:rsidRDefault="0078138E" w:rsidP="00882574">
      <w:pPr>
        <w:ind w:left="851"/>
        <w:rPr>
          <w:sz w:val="24"/>
          <w:szCs w:val="24"/>
          <w:lang w:val="en-GB"/>
        </w:rPr>
      </w:pPr>
      <w:r w:rsidRPr="0078138E">
        <w:rPr>
          <w:sz w:val="24"/>
          <w:szCs w:val="24"/>
          <w:lang w:val="en-GB"/>
        </w:rPr>
        <w:t xml:space="preserve">The safety of </w:t>
      </w:r>
      <w:proofErr w:type="spellStart"/>
      <w:r w:rsidRPr="0078138E">
        <w:rPr>
          <w:sz w:val="24"/>
          <w:szCs w:val="24"/>
          <w:lang w:val="en-GB"/>
        </w:rPr>
        <w:t>ruxolitinib</w:t>
      </w:r>
      <w:proofErr w:type="spellEnd"/>
      <w:r w:rsidRPr="0078138E">
        <w:rPr>
          <w:sz w:val="24"/>
          <w:szCs w:val="24"/>
          <w:lang w:val="en-GB"/>
        </w:rPr>
        <w:t xml:space="preserve"> in chronic GvHD patients was evaluated in the phase 3 study REACH3 and in the phase 2 study REACH5. REACH3 included data from 226 patients ≥12 years of age initially randomised to </w:t>
      </w:r>
      <w:proofErr w:type="spellStart"/>
      <w:r w:rsidRPr="0078138E">
        <w:rPr>
          <w:sz w:val="24"/>
          <w:szCs w:val="24"/>
          <w:lang w:val="en-GB"/>
        </w:rPr>
        <w:t>ruxolitinib</w:t>
      </w:r>
      <w:proofErr w:type="spellEnd"/>
      <w:r w:rsidRPr="0078138E">
        <w:rPr>
          <w:sz w:val="24"/>
          <w:szCs w:val="24"/>
          <w:lang w:val="en-GB"/>
        </w:rPr>
        <w:t xml:space="preserve"> (n=165) and patients who received </w:t>
      </w:r>
      <w:proofErr w:type="spellStart"/>
      <w:r w:rsidRPr="0078138E">
        <w:rPr>
          <w:sz w:val="24"/>
          <w:szCs w:val="24"/>
          <w:lang w:val="en-GB"/>
        </w:rPr>
        <w:t>ruxolitinib</w:t>
      </w:r>
      <w:proofErr w:type="spellEnd"/>
      <w:r w:rsidRPr="0078138E">
        <w:rPr>
          <w:sz w:val="24"/>
          <w:szCs w:val="24"/>
          <w:lang w:val="en-GB"/>
        </w:rPr>
        <w:t xml:space="preserve"> after crossing over from BAT (n=61). The median exposure upon which the adverse drug reaction frequency categories were based was 41.4 weeks (range 0.7 to 127.3 weeks). In the pool of paediatric patients ≥2 years of age (10 patients in REACH3 and 45 patients in REACH5), the median exposure was 57.1 weeks (range 2.1 to 155.4 weeks).</w:t>
      </w:r>
    </w:p>
    <w:p w14:paraId="6B42B9A1" w14:textId="77777777" w:rsidR="0078138E" w:rsidRPr="0078138E" w:rsidRDefault="0078138E" w:rsidP="00882574">
      <w:pPr>
        <w:ind w:left="851"/>
        <w:rPr>
          <w:sz w:val="24"/>
          <w:szCs w:val="24"/>
          <w:lang w:val="en-GB"/>
        </w:rPr>
      </w:pPr>
    </w:p>
    <w:p w14:paraId="79D84474" w14:textId="77777777" w:rsidR="0078138E" w:rsidRPr="0078138E" w:rsidRDefault="0078138E" w:rsidP="00882574">
      <w:pPr>
        <w:ind w:left="851"/>
        <w:rPr>
          <w:sz w:val="24"/>
          <w:szCs w:val="24"/>
          <w:lang w:val="en-GB"/>
        </w:rPr>
      </w:pPr>
      <w:r w:rsidRPr="0078138E">
        <w:rPr>
          <w:sz w:val="24"/>
          <w:szCs w:val="24"/>
          <w:lang w:val="en-GB"/>
        </w:rPr>
        <w:t xml:space="preserve">In the clinical study </w:t>
      </w:r>
      <w:proofErr w:type="gramStart"/>
      <w:r w:rsidRPr="0078138E">
        <w:rPr>
          <w:sz w:val="24"/>
          <w:szCs w:val="24"/>
          <w:lang w:val="en-GB"/>
        </w:rPr>
        <w:t>programme</w:t>
      </w:r>
      <w:proofErr w:type="gramEnd"/>
      <w:r w:rsidRPr="0078138E">
        <w:rPr>
          <w:sz w:val="24"/>
          <w:szCs w:val="24"/>
          <w:lang w:val="en-GB"/>
        </w:rPr>
        <w:t xml:space="preserve"> the severity of adverse drug reactions was assessed based on the CTCAE, defining grade 1=mild, grade 2=moderate, grade 3=severe, grade 4=life-threatening or disabling, grade 5=death.</w:t>
      </w:r>
    </w:p>
    <w:p w14:paraId="78C716CA" w14:textId="77777777" w:rsidR="0078138E" w:rsidRPr="0078138E" w:rsidRDefault="0078138E" w:rsidP="00882574">
      <w:pPr>
        <w:ind w:left="851"/>
        <w:rPr>
          <w:sz w:val="24"/>
          <w:szCs w:val="24"/>
          <w:lang w:val="en-GB"/>
        </w:rPr>
      </w:pPr>
    </w:p>
    <w:p w14:paraId="08C23EF1" w14:textId="77777777" w:rsidR="0078138E" w:rsidRPr="0078138E" w:rsidRDefault="0078138E" w:rsidP="00882574">
      <w:pPr>
        <w:ind w:left="851"/>
        <w:rPr>
          <w:sz w:val="24"/>
          <w:szCs w:val="24"/>
          <w:lang w:val="en-GB"/>
        </w:rPr>
      </w:pPr>
      <w:r w:rsidRPr="0078138E">
        <w:rPr>
          <w:sz w:val="24"/>
          <w:szCs w:val="24"/>
          <w:lang w:val="en-GB"/>
        </w:rPr>
        <w:t>Adverse drug reactions from clinical studies in MF and PV (Table 6) and in acute and chronic GvHD (Table 7) are listed by MedDRA system organ class. Within each system organ class, the adverse drug reactions are ranked by frequency, with the most frequent reactions first. In addition, the corresponding frequency category for each adverse drug reaction is based on the following convention: very common (≥1/10); common (≥1/100 to &lt;1/10); uncommon (≥1/1 000 to &lt;1/100); rare (≥1/10 000 to &lt;1/1 000); very rare (&lt;1/10 000); not known (cannot be estimated from the available data).</w:t>
      </w:r>
    </w:p>
    <w:p w14:paraId="1EF56B42" w14:textId="77777777" w:rsidR="0078138E" w:rsidRPr="0078138E" w:rsidRDefault="0078138E" w:rsidP="00882574">
      <w:pPr>
        <w:ind w:left="851"/>
        <w:rPr>
          <w:sz w:val="24"/>
          <w:szCs w:val="24"/>
          <w:lang w:val="en-GB"/>
        </w:rPr>
      </w:pPr>
    </w:p>
    <w:p w14:paraId="4820964C" w14:textId="24429C02" w:rsidR="0078138E" w:rsidRPr="0078138E" w:rsidRDefault="0078138E" w:rsidP="0078138E">
      <w:pPr>
        <w:tabs>
          <w:tab w:val="left" w:pos="851"/>
        </w:tabs>
        <w:ind w:left="851"/>
        <w:rPr>
          <w:b/>
          <w:sz w:val="24"/>
          <w:szCs w:val="24"/>
          <w:lang w:val="en-GB"/>
        </w:rPr>
      </w:pPr>
      <w:r w:rsidRPr="0078138E">
        <w:rPr>
          <w:b/>
          <w:bCs/>
          <w:sz w:val="24"/>
          <w:szCs w:val="24"/>
          <w:lang w:val="en-GB"/>
        </w:rPr>
        <w:t>Table 6</w:t>
      </w:r>
      <w:r w:rsidR="00F876E9">
        <w:rPr>
          <w:b/>
          <w:bCs/>
          <w:sz w:val="24"/>
          <w:szCs w:val="24"/>
          <w:lang w:val="en-GB"/>
        </w:rPr>
        <w:t xml:space="preserve">. </w:t>
      </w:r>
      <w:r w:rsidRPr="0078138E">
        <w:rPr>
          <w:b/>
          <w:bCs/>
          <w:sz w:val="24"/>
          <w:szCs w:val="24"/>
          <w:lang w:val="en-GB"/>
        </w:rPr>
        <w:t>Frequency category of adverse drug reactions reported in the phase 3 studies in MF and PV</w:t>
      </w:r>
    </w:p>
    <w:p w14:paraId="2532BADA" w14:textId="77777777" w:rsidR="0078138E" w:rsidRPr="0078138E" w:rsidRDefault="0078138E" w:rsidP="0078138E">
      <w:pPr>
        <w:tabs>
          <w:tab w:val="left" w:pos="851"/>
        </w:tabs>
        <w:ind w:left="851"/>
        <w:rPr>
          <w:b/>
          <w:sz w:val="24"/>
          <w:szCs w:val="24"/>
          <w:lang w:val="en-GB"/>
        </w:rPr>
      </w:pPr>
    </w:p>
    <w:tbl>
      <w:tblPr>
        <w:tblStyle w:val="Tabel-Gitter"/>
        <w:tblW w:w="5000" w:type="pct"/>
        <w:tblLook w:val="04A0" w:firstRow="1" w:lastRow="0" w:firstColumn="1" w:lastColumn="0" w:noHBand="0" w:noVBand="1"/>
      </w:tblPr>
      <w:tblGrid>
        <w:gridCol w:w="3458"/>
        <w:gridCol w:w="2958"/>
        <w:gridCol w:w="3212"/>
      </w:tblGrid>
      <w:tr w:rsidR="0078138E" w:rsidRPr="00873345" w14:paraId="2303E1A2" w14:textId="77777777" w:rsidTr="00882574">
        <w:tc>
          <w:tcPr>
            <w:tcW w:w="1796" w:type="pct"/>
            <w:tcBorders>
              <w:top w:val="single" w:sz="4" w:space="0" w:color="auto"/>
              <w:left w:val="single" w:sz="4" w:space="0" w:color="auto"/>
              <w:bottom w:val="single" w:sz="4" w:space="0" w:color="auto"/>
              <w:right w:val="single" w:sz="4" w:space="0" w:color="auto"/>
            </w:tcBorders>
            <w:hideMark/>
          </w:tcPr>
          <w:p w14:paraId="2636FD7C" w14:textId="77777777" w:rsidR="0078138E" w:rsidRPr="0078138E" w:rsidRDefault="0078138E" w:rsidP="00882574">
            <w:pPr>
              <w:rPr>
                <w:b/>
                <w:sz w:val="24"/>
                <w:szCs w:val="24"/>
                <w:lang w:val="en-GB"/>
              </w:rPr>
            </w:pPr>
            <w:r w:rsidRPr="0078138E">
              <w:rPr>
                <w:b/>
                <w:bCs/>
                <w:sz w:val="24"/>
                <w:szCs w:val="24"/>
                <w:lang w:val="en-GB"/>
              </w:rPr>
              <w:t>Adverse drug reaction</w:t>
            </w:r>
          </w:p>
        </w:tc>
        <w:tc>
          <w:tcPr>
            <w:tcW w:w="1536" w:type="pct"/>
            <w:tcBorders>
              <w:top w:val="single" w:sz="4" w:space="0" w:color="auto"/>
              <w:left w:val="single" w:sz="4" w:space="0" w:color="auto"/>
              <w:bottom w:val="single" w:sz="4" w:space="0" w:color="auto"/>
              <w:right w:val="single" w:sz="4" w:space="0" w:color="auto"/>
            </w:tcBorders>
            <w:hideMark/>
          </w:tcPr>
          <w:p w14:paraId="26A7520B" w14:textId="77777777" w:rsidR="0078138E" w:rsidRPr="0078138E" w:rsidRDefault="0078138E" w:rsidP="008E5F58">
            <w:pPr>
              <w:ind w:left="116"/>
              <w:jc w:val="center"/>
              <w:rPr>
                <w:b/>
                <w:sz w:val="24"/>
                <w:szCs w:val="24"/>
                <w:lang w:val="en-GB"/>
              </w:rPr>
            </w:pPr>
            <w:r w:rsidRPr="0078138E">
              <w:rPr>
                <w:b/>
                <w:bCs/>
                <w:sz w:val="24"/>
                <w:szCs w:val="24"/>
                <w:lang w:val="en-GB"/>
              </w:rPr>
              <w:t>Frequency category for MF patients</w:t>
            </w:r>
          </w:p>
        </w:tc>
        <w:tc>
          <w:tcPr>
            <w:tcW w:w="1668" w:type="pct"/>
            <w:tcBorders>
              <w:top w:val="single" w:sz="4" w:space="0" w:color="auto"/>
              <w:left w:val="single" w:sz="4" w:space="0" w:color="auto"/>
              <w:bottom w:val="single" w:sz="4" w:space="0" w:color="auto"/>
              <w:right w:val="single" w:sz="4" w:space="0" w:color="auto"/>
            </w:tcBorders>
            <w:hideMark/>
          </w:tcPr>
          <w:p w14:paraId="7C033B39" w14:textId="77777777" w:rsidR="0078138E" w:rsidRPr="0078138E" w:rsidRDefault="0078138E" w:rsidP="008E5F58">
            <w:pPr>
              <w:jc w:val="center"/>
              <w:rPr>
                <w:b/>
                <w:sz w:val="24"/>
                <w:szCs w:val="24"/>
                <w:lang w:val="en-GB"/>
              </w:rPr>
            </w:pPr>
            <w:r w:rsidRPr="0078138E">
              <w:rPr>
                <w:b/>
                <w:bCs/>
                <w:sz w:val="24"/>
                <w:szCs w:val="24"/>
                <w:lang w:val="en-GB"/>
              </w:rPr>
              <w:t>Frequency category for PV patients</w:t>
            </w:r>
          </w:p>
        </w:tc>
      </w:tr>
      <w:tr w:rsidR="0078138E" w:rsidRPr="0078138E" w14:paraId="3430A51D" w14:textId="77777777" w:rsidTr="00882574">
        <w:tc>
          <w:tcPr>
            <w:tcW w:w="5000" w:type="pct"/>
            <w:gridSpan w:val="3"/>
            <w:tcBorders>
              <w:top w:val="single" w:sz="4" w:space="0" w:color="auto"/>
              <w:left w:val="single" w:sz="4" w:space="0" w:color="auto"/>
              <w:bottom w:val="single" w:sz="4" w:space="0" w:color="auto"/>
              <w:right w:val="single" w:sz="4" w:space="0" w:color="auto"/>
            </w:tcBorders>
            <w:hideMark/>
          </w:tcPr>
          <w:p w14:paraId="66F3DB4A" w14:textId="77777777" w:rsidR="0078138E" w:rsidRPr="0078138E" w:rsidRDefault="0078138E" w:rsidP="00882574">
            <w:pPr>
              <w:rPr>
                <w:b/>
                <w:sz w:val="24"/>
                <w:szCs w:val="24"/>
                <w:lang w:val="en-GB"/>
              </w:rPr>
            </w:pPr>
            <w:r w:rsidRPr="0078138E">
              <w:rPr>
                <w:b/>
                <w:bCs/>
                <w:sz w:val="24"/>
                <w:szCs w:val="24"/>
                <w:lang w:val="en-GB"/>
              </w:rPr>
              <w:t>Infections and infestations</w:t>
            </w:r>
          </w:p>
        </w:tc>
      </w:tr>
      <w:tr w:rsidR="0078138E" w:rsidRPr="0078138E" w14:paraId="5673D0F0" w14:textId="77777777" w:rsidTr="00882574">
        <w:tc>
          <w:tcPr>
            <w:tcW w:w="1796" w:type="pct"/>
            <w:tcBorders>
              <w:top w:val="single" w:sz="4" w:space="0" w:color="auto"/>
              <w:left w:val="single" w:sz="4" w:space="0" w:color="auto"/>
              <w:bottom w:val="single" w:sz="4" w:space="0" w:color="auto"/>
              <w:right w:val="single" w:sz="4" w:space="0" w:color="auto"/>
            </w:tcBorders>
            <w:hideMark/>
          </w:tcPr>
          <w:p w14:paraId="493B0D58" w14:textId="77777777" w:rsidR="0078138E" w:rsidRPr="0078138E" w:rsidRDefault="0078138E" w:rsidP="00882574">
            <w:pPr>
              <w:rPr>
                <w:b/>
                <w:sz w:val="24"/>
                <w:szCs w:val="24"/>
                <w:lang w:val="en-GB"/>
              </w:rPr>
            </w:pPr>
            <w:r w:rsidRPr="0078138E">
              <w:rPr>
                <w:sz w:val="24"/>
                <w:szCs w:val="24"/>
                <w:lang w:val="en-GB"/>
              </w:rPr>
              <w:t xml:space="preserve">Urinary tract </w:t>
            </w:r>
            <w:proofErr w:type="spellStart"/>
            <w:r w:rsidRPr="0078138E">
              <w:rPr>
                <w:sz w:val="24"/>
                <w:szCs w:val="24"/>
                <w:lang w:val="en-GB"/>
              </w:rPr>
              <w:t>infections</w:t>
            </w:r>
            <w:r w:rsidRPr="0078138E">
              <w:rPr>
                <w:sz w:val="24"/>
                <w:szCs w:val="24"/>
                <w:vertAlign w:val="superscript"/>
                <w:lang w:val="en-GB"/>
              </w:rPr>
              <w:t>d</w:t>
            </w:r>
            <w:proofErr w:type="spellEnd"/>
          </w:p>
        </w:tc>
        <w:tc>
          <w:tcPr>
            <w:tcW w:w="1536" w:type="pct"/>
            <w:tcBorders>
              <w:top w:val="single" w:sz="4" w:space="0" w:color="auto"/>
              <w:left w:val="single" w:sz="4" w:space="0" w:color="auto"/>
              <w:bottom w:val="single" w:sz="4" w:space="0" w:color="auto"/>
              <w:right w:val="single" w:sz="4" w:space="0" w:color="auto"/>
            </w:tcBorders>
            <w:hideMark/>
          </w:tcPr>
          <w:p w14:paraId="797BD191" w14:textId="77777777" w:rsidR="0078138E" w:rsidRPr="0078138E" w:rsidRDefault="0078138E" w:rsidP="002A0A70">
            <w:pPr>
              <w:ind w:left="116"/>
              <w:jc w:val="center"/>
              <w:rPr>
                <w:b/>
                <w:sz w:val="24"/>
                <w:szCs w:val="24"/>
                <w:lang w:val="en-GB"/>
              </w:rPr>
            </w:pPr>
            <w:r w:rsidRPr="0078138E">
              <w:rPr>
                <w:sz w:val="24"/>
                <w:szCs w:val="24"/>
                <w:lang w:val="en-GB"/>
              </w:rPr>
              <w:t>Very common</w:t>
            </w:r>
          </w:p>
        </w:tc>
        <w:tc>
          <w:tcPr>
            <w:tcW w:w="1668" w:type="pct"/>
            <w:tcBorders>
              <w:top w:val="single" w:sz="4" w:space="0" w:color="auto"/>
              <w:left w:val="single" w:sz="4" w:space="0" w:color="auto"/>
              <w:bottom w:val="single" w:sz="4" w:space="0" w:color="auto"/>
              <w:right w:val="single" w:sz="4" w:space="0" w:color="auto"/>
            </w:tcBorders>
            <w:hideMark/>
          </w:tcPr>
          <w:p w14:paraId="1E239765" w14:textId="77777777" w:rsidR="0078138E" w:rsidRPr="0078138E" w:rsidRDefault="0078138E" w:rsidP="002A0A70">
            <w:pPr>
              <w:jc w:val="center"/>
              <w:rPr>
                <w:b/>
                <w:sz w:val="24"/>
                <w:szCs w:val="24"/>
                <w:lang w:val="en-GB"/>
              </w:rPr>
            </w:pPr>
            <w:r w:rsidRPr="0078138E">
              <w:rPr>
                <w:sz w:val="24"/>
                <w:szCs w:val="24"/>
                <w:lang w:val="en-GB"/>
              </w:rPr>
              <w:t>Very common</w:t>
            </w:r>
          </w:p>
        </w:tc>
      </w:tr>
      <w:tr w:rsidR="0078138E" w:rsidRPr="0078138E" w14:paraId="7E54F441" w14:textId="77777777" w:rsidTr="00882574">
        <w:tc>
          <w:tcPr>
            <w:tcW w:w="1796" w:type="pct"/>
            <w:tcBorders>
              <w:top w:val="single" w:sz="4" w:space="0" w:color="auto"/>
              <w:left w:val="single" w:sz="4" w:space="0" w:color="auto"/>
              <w:bottom w:val="single" w:sz="4" w:space="0" w:color="auto"/>
              <w:right w:val="single" w:sz="4" w:space="0" w:color="auto"/>
            </w:tcBorders>
            <w:hideMark/>
          </w:tcPr>
          <w:p w14:paraId="34235976" w14:textId="77777777" w:rsidR="0078138E" w:rsidRPr="0078138E" w:rsidRDefault="0078138E" w:rsidP="00882574">
            <w:pPr>
              <w:rPr>
                <w:b/>
                <w:sz w:val="24"/>
                <w:szCs w:val="24"/>
                <w:lang w:val="en-GB"/>
              </w:rPr>
            </w:pPr>
            <w:r w:rsidRPr="0078138E">
              <w:rPr>
                <w:sz w:val="24"/>
                <w:szCs w:val="24"/>
                <w:lang w:val="en-GB"/>
              </w:rPr>
              <w:t xml:space="preserve">Herpes </w:t>
            </w:r>
            <w:proofErr w:type="spellStart"/>
            <w:r w:rsidRPr="0078138E">
              <w:rPr>
                <w:sz w:val="24"/>
                <w:szCs w:val="24"/>
                <w:lang w:val="en-GB"/>
              </w:rPr>
              <w:t>zoster</w:t>
            </w:r>
            <w:r w:rsidRPr="0078138E">
              <w:rPr>
                <w:sz w:val="24"/>
                <w:szCs w:val="24"/>
                <w:vertAlign w:val="superscript"/>
                <w:lang w:val="en-GB"/>
              </w:rPr>
              <w:t>d</w:t>
            </w:r>
            <w:proofErr w:type="spellEnd"/>
          </w:p>
        </w:tc>
        <w:tc>
          <w:tcPr>
            <w:tcW w:w="1536" w:type="pct"/>
            <w:tcBorders>
              <w:top w:val="single" w:sz="4" w:space="0" w:color="auto"/>
              <w:left w:val="single" w:sz="4" w:space="0" w:color="auto"/>
              <w:bottom w:val="single" w:sz="4" w:space="0" w:color="auto"/>
              <w:right w:val="single" w:sz="4" w:space="0" w:color="auto"/>
            </w:tcBorders>
            <w:hideMark/>
          </w:tcPr>
          <w:p w14:paraId="4B2BC847" w14:textId="77777777" w:rsidR="0078138E" w:rsidRPr="0078138E" w:rsidRDefault="0078138E" w:rsidP="002A0A70">
            <w:pPr>
              <w:ind w:left="116"/>
              <w:jc w:val="center"/>
              <w:rPr>
                <w:b/>
                <w:sz w:val="24"/>
                <w:szCs w:val="24"/>
                <w:lang w:val="en-GB"/>
              </w:rPr>
            </w:pPr>
            <w:r w:rsidRPr="0078138E">
              <w:rPr>
                <w:sz w:val="24"/>
                <w:szCs w:val="24"/>
                <w:lang w:val="en-GB"/>
              </w:rPr>
              <w:t>Very common</w:t>
            </w:r>
          </w:p>
        </w:tc>
        <w:tc>
          <w:tcPr>
            <w:tcW w:w="1668" w:type="pct"/>
            <w:tcBorders>
              <w:top w:val="single" w:sz="4" w:space="0" w:color="auto"/>
              <w:left w:val="single" w:sz="4" w:space="0" w:color="auto"/>
              <w:bottom w:val="single" w:sz="4" w:space="0" w:color="auto"/>
              <w:right w:val="single" w:sz="4" w:space="0" w:color="auto"/>
            </w:tcBorders>
            <w:hideMark/>
          </w:tcPr>
          <w:p w14:paraId="69AF1F69" w14:textId="77777777" w:rsidR="0078138E" w:rsidRPr="0078138E" w:rsidRDefault="0078138E" w:rsidP="002A0A70">
            <w:pPr>
              <w:jc w:val="center"/>
              <w:rPr>
                <w:b/>
                <w:sz w:val="24"/>
                <w:szCs w:val="24"/>
                <w:lang w:val="en-GB"/>
              </w:rPr>
            </w:pPr>
            <w:r w:rsidRPr="0078138E">
              <w:rPr>
                <w:sz w:val="24"/>
                <w:szCs w:val="24"/>
                <w:lang w:val="en-GB"/>
              </w:rPr>
              <w:t>Very common</w:t>
            </w:r>
          </w:p>
        </w:tc>
      </w:tr>
      <w:tr w:rsidR="0078138E" w:rsidRPr="0078138E" w14:paraId="6DA5E687" w14:textId="77777777" w:rsidTr="00882574">
        <w:tc>
          <w:tcPr>
            <w:tcW w:w="1796" w:type="pct"/>
            <w:tcBorders>
              <w:top w:val="single" w:sz="4" w:space="0" w:color="auto"/>
              <w:left w:val="single" w:sz="4" w:space="0" w:color="auto"/>
              <w:bottom w:val="single" w:sz="4" w:space="0" w:color="auto"/>
              <w:right w:val="single" w:sz="4" w:space="0" w:color="auto"/>
            </w:tcBorders>
            <w:hideMark/>
          </w:tcPr>
          <w:p w14:paraId="1C2B5E26" w14:textId="77777777" w:rsidR="0078138E" w:rsidRPr="0078138E" w:rsidRDefault="0078138E" w:rsidP="00882574">
            <w:pPr>
              <w:rPr>
                <w:b/>
                <w:sz w:val="24"/>
                <w:szCs w:val="24"/>
                <w:lang w:val="en-GB"/>
              </w:rPr>
            </w:pPr>
            <w:r w:rsidRPr="0078138E">
              <w:rPr>
                <w:sz w:val="24"/>
                <w:szCs w:val="24"/>
                <w:lang w:val="en-GB"/>
              </w:rPr>
              <w:t>Pneumonia</w:t>
            </w:r>
          </w:p>
        </w:tc>
        <w:tc>
          <w:tcPr>
            <w:tcW w:w="1536" w:type="pct"/>
            <w:tcBorders>
              <w:top w:val="single" w:sz="4" w:space="0" w:color="auto"/>
              <w:left w:val="single" w:sz="4" w:space="0" w:color="auto"/>
              <w:bottom w:val="single" w:sz="4" w:space="0" w:color="auto"/>
              <w:right w:val="single" w:sz="4" w:space="0" w:color="auto"/>
            </w:tcBorders>
            <w:hideMark/>
          </w:tcPr>
          <w:p w14:paraId="46C78716" w14:textId="77777777" w:rsidR="0078138E" w:rsidRPr="0078138E" w:rsidRDefault="0078138E" w:rsidP="002A0A70">
            <w:pPr>
              <w:ind w:left="116"/>
              <w:jc w:val="center"/>
              <w:rPr>
                <w:b/>
                <w:sz w:val="24"/>
                <w:szCs w:val="24"/>
                <w:lang w:val="en-GB"/>
              </w:rPr>
            </w:pPr>
            <w:r w:rsidRPr="0078138E">
              <w:rPr>
                <w:sz w:val="24"/>
                <w:szCs w:val="24"/>
                <w:lang w:val="en-GB"/>
              </w:rPr>
              <w:t>Very common</w:t>
            </w:r>
          </w:p>
        </w:tc>
        <w:tc>
          <w:tcPr>
            <w:tcW w:w="1668" w:type="pct"/>
            <w:tcBorders>
              <w:top w:val="single" w:sz="4" w:space="0" w:color="auto"/>
              <w:left w:val="single" w:sz="4" w:space="0" w:color="auto"/>
              <w:bottom w:val="single" w:sz="4" w:space="0" w:color="auto"/>
              <w:right w:val="single" w:sz="4" w:space="0" w:color="auto"/>
            </w:tcBorders>
            <w:hideMark/>
          </w:tcPr>
          <w:p w14:paraId="6F962211" w14:textId="77777777" w:rsidR="0078138E" w:rsidRPr="0078138E" w:rsidRDefault="0078138E" w:rsidP="002A0A70">
            <w:pPr>
              <w:jc w:val="center"/>
              <w:rPr>
                <w:b/>
                <w:sz w:val="24"/>
                <w:szCs w:val="24"/>
                <w:lang w:val="en-GB"/>
              </w:rPr>
            </w:pPr>
            <w:r w:rsidRPr="0078138E">
              <w:rPr>
                <w:sz w:val="24"/>
                <w:szCs w:val="24"/>
                <w:lang w:val="en-GB"/>
              </w:rPr>
              <w:t>Common</w:t>
            </w:r>
          </w:p>
        </w:tc>
      </w:tr>
      <w:tr w:rsidR="0078138E" w:rsidRPr="0078138E" w14:paraId="77EAD3B8" w14:textId="77777777" w:rsidTr="00882574">
        <w:tc>
          <w:tcPr>
            <w:tcW w:w="1796" w:type="pct"/>
            <w:tcBorders>
              <w:top w:val="single" w:sz="4" w:space="0" w:color="auto"/>
              <w:left w:val="single" w:sz="4" w:space="0" w:color="auto"/>
              <w:bottom w:val="single" w:sz="4" w:space="0" w:color="auto"/>
              <w:right w:val="single" w:sz="4" w:space="0" w:color="auto"/>
            </w:tcBorders>
            <w:hideMark/>
          </w:tcPr>
          <w:p w14:paraId="1089A8BB" w14:textId="77777777" w:rsidR="0078138E" w:rsidRPr="0078138E" w:rsidRDefault="0078138E" w:rsidP="00882574">
            <w:pPr>
              <w:rPr>
                <w:b/>
                <w:sz w:val="24"/>
                <w:szCs w:val="24"/>
                <w:lang w:val="en-GB"/>
              </w:rPr>
            </w:pPr>
            <w:r w:rsidRPr="0078138E">
              <w:rPr>
                <w:sz w:val="24"/>
                <w:szCs w:val="24"/>
                <w:lang w:val="en-GB"/>
              </w:rPr>
              <w:t>Sepsis</w:t>
            </w:r>
          </w:p>
        </w:tc>
        <w:tc>
          <w:tcPr>
            <w:tcW w:w="1536" w:type="pct"/>
            <w:tcBorders>
              <w:top w:val="single" w:sz="4" w:space="0" w:color="auto"/>
              <w:left w:val="single" w:sz="4" w:space="0" w:color="auto"/>
              <w:bottom w:val="single" w:sz="4" w:space="0" w:color="auto"/>
              <w:right w:val="single" w:sz="4" w:space="0" w:color="auto"/>
            </w:tcBorders>
            <w:hideMark/>
          </w:tcPr>
          <w:p w14:paraId="0C1ABFC4" w14:textId="77777777" w:rsidR="0078138E" w:rsidRPr="0078138E" w:rsidRDefault="0078138E" w:rsidP="002A0A70">
            <w:pPr>
              <w:ind w:left="116"/>
              <w:jc w:val="center"/>
              <w:rPr>
                <w:b/>
                <w:sz w:val="24"/>
                <w:szCs w:val="24"/>
                <w:lang w:val="en-GB"/>
              </w:rPr>
            </w:pPr>
            <w:r w:rsidRPr="0078138E">
              <w:rPr>
                <w:sz w:val="24"/>
                <w:szCs w:val="24"/>
                <w:lang w:val="en-GB"/>
              </w:rPr>
              <w:t>Common</w:t>
            </w:r>
          </w:p>
        </w:tc>
        <w:tc>
          <w:tcPr>
            <w:tcW w:w="1668" w:type="pct"/>
            <w:tcBorders>
              <w:top w:val="single" w:sz="4" w:space="0" w:color="auto"/>
              <w:left w:val="single" w:sz="4" w:space="0" w:color="auto"/>
              <w:bottom w:val="single" w:sz="4" w:space="0" w:color="auto"/>
              <w:right w:val="single" w:sz="4" w:space="0" w:color="auto"/>
            </w:tcBorders>
            <w:hideMark/>
          </w:tcPr>
          <w:p w14:paraId="793B6DA9" w14:textId="77777777" w:rsidR="0078138E" w:rsidRPr="0078138E" w:rsidRDefault="0078138E" w:rsidP="002A0A70">
            <w:pPr>
              <w:jc w:val="center"/>
              <w:rPr>
                <w:b/>
                <w:sz w:val="24"/>
                <w:szCs w:val="24"/>
                <w:lang w:val="en-GB"/>
              </w:rPr>
            </w:pPr>
            <w:r w:rsidRPr="0078138E">
              <w:rPr>
                <w:sz w:val="24"/>
                <w:szCs w:val="24"/>
                <w:lang w:val="en-GB"/>
              </w:rPr>
              <w:t>Uncommon</w:t>
            </w:r>
          </w:p>
        </w:tc>
      </w:tr>
      <w:tr w:rsidR="0078138E" w:rsidRPr="0078138E" w14:paraId="1CEC7259" w14:textId="77777777" w:rsidTr="00882574">
        <w:tc>
          <w:tcPr>
            <w:tcW w:w="1796" w:type="pct"/>
            <w:tcBorders>
              <w:top w:val="single" w:sz="4" w:space="0" w:color="auto"/>
              <w:left w:val="single" w:sz="4" w:space="0" w:color="auto"/>
              <w:bottom w:val="single" w:sz="4" w:space="0" w:color="auto"/>
              <w:right w:val="single" w:sz="4" w:space="0" w:color="auto"/>
            </w:tcBorders>
            <w:hideMark/>
          </w:tcPr>
          <w:p w14:paraId="06C92645" w14:textId="77777777" w:rsidR="0078138E" w:rsidRPr="0078138E" w:rsidRDefault="0078138E" w:rsidP="00882574">
            <w:pPr>
              <w:rPr>
                <w:b/>
                <w:sz w:val="24"/>
                <w:szCs w:val="24"/>
                <w:lang w:val="en-GB"/>
              </w:rPr>
            </w:pPr>
            <w:r w:rsidRPr="0078138E">
              <w:rPr>
                <w:sz w:val="24"/>
                <w:szCs w:val="24"/>
                <w:lang w:val="en-GB"/>
              </w:rPr>
              <w:t>Tuberculosis</w:t>
            </w:r>
          </w:p>
        </w:tc>
        <w:tc>
          <w:tcPr>
            <w:tcW w:w="1536" w:type="pct"/>
            <w:tcBorders>
              <w:top w:val="single" w:sz="4" w:space="0" w:color="auto"/>
              <w:left w:val="single" w:sz="4" w:space="0" w:color="auto"/>
              <w:bottom w:val="single" w:sz="4" w:space="0" w:color="auto"/>
              <w:right w:val="single" w:sz="4" w:space="0" w:color="auto"/>
            </w:tcBorders>
            <w:hideMark/>
          </w:tcPr>
          <w:p w14:paraId="6DCDD23F" w14:textId="77777777" w:rsidR="0078138E" w:rsidRPr="0078138E" w:rsidRDefault="0078138E" w:rsidP="002A0A70">
            <w:pPr>
              <w:ind w:left="116"/>
              <w:jc w:val="center"/>
              <w:rPr>
                <w:b/>
                <w:sz w:val="24"/>
                <w:szCs w:val="24"/>
                <w:lang w:val="en-GB"/>
              </w:rPr>
            </w:pPr>
            <w:r w:rsidRPr="0078138E">
              <w:rPr>
                <w:sz w:val="24"/>
                <w:szCs w:val="24"/>
                <w:lang w:val="en-GB"/>
              </w:rPr>
              <w:t>Uncommon</w:t>
            </w:r>
          </w:p>
        </w:tc>
        <w:tc>
          <w:tcPr>
            <w:tcW w:w="1668" w:type="pct"/>
            <w:tcBorders>
              <w:top w:val="single" w:sz="4" w:space="0" w:color="auto"/>
              <w:left w:val="single" w:sz="4" w:space="0" w:color="auto"/>
              <w:bottom w:val="single" w:sz="4" w:space="0" w:color="auto"/>
              <w:right w:val="single" w:sz="4" w:space="0" w:color="auto"/>
            </w:tcBorders>
            <w:hideMark/>
          </w:tcPr>
          <w:p w14:paraId="0C07A909" w14:textId="77777777" w:rsidR="0078138E" w:rsidRPr="0078138E" w:rsidRDefault="0078138E" w:rsidP="002A0A70">
            <w:pPr>
              <w:jc w:val="center"/>
              <w:rPr>
                <w:b/>
                <w:sz w:val="24"/>
                <w:szCs w:val="24"/>
                <w:lang w:val="en-GB"/>
              </w:rPr>
            </w:pPr>
            <w:r w:rsidRPr="0078138E">
              <w:rPr>
                <w:sz w:val="24"/>
                <w:szCs w:val="24"/>
                <w:lang w:val="en-GB"/>
              </w:rPr>
              <w:t xml:space="preserve">Not </w:t>
            </w:r>
            <w:proofErr w:type="spellStart"/>
            <w:r w:rsidRPr="0078138E">
              <w:rPr>
                <w:sz w:val="24"/>
                <w:szCs w:val="24"/>
                <w:lang w:val="en-GB"/>
              </w:rPr>
              <w:t>known</w:t>
            </w:r>
            <w:r w:rsidRPr="0078138E">
              <w:rPr>
                <w:sz w:val="24"/>
                <w:szCs w:val="24"/>
                <w:vertAlign w:val="superscript"/>
                <w:lang w:val="en-GB"/>
              </w:rPr>
              <w:t>e</w:t>
            </w:r>
            <w:proofErr w:type="spellEnd"/>
          </w:p>
        </w:tc>
      </w:tr>
      <w:tr w:rsidR="0078138E" w:rsidRPr="0078138E" w14:paraId="1387BF96" w14:textId="77777777" w:rsidTr="00882574">
        <w:tc>
          <w:tcPr>
            <w:tcW w:w="1796" w:type="pct"/>
            <w:tcBorders>
              <w:top w:val="single" w:sz="4" w:space="0" w:color="auto"/>
              <w:left w:val="single" w:sz="4" w:space="0" w:color="auto"/>
              <w:bottom w:val="single" w:sz="4" w:space="0" w:color="auto"/>
              <w:right w:val="single" w:sz="4" w:space="0" w:color="auto"/>
            </w:tcBorders>
            <w:hideMark/>
          </w:tcPr>
          <w:p w14:paraId="35EB7D06" w14:textId="77777777" w:rsidR="0078138E" w:rsidRPr="0078138E" w:rsidRDefault="0078138E" w:rsidP="00882574">
            <w:pPr>
              <w:rPr>
                <w:b/>
                <w:sz w:val="24"/>
                <w:szCs w:val="24"/>
                <w:lang w:val="en-GB"/>
              </w:rPr>
            </w:pPr>
            <w:r w:rsidRPr="0078138E">
              <w:rPr>
                <w:sz w:val="24"/>
                <w:szCs w:val="24"/>
                <w:lang w:val="en-GB"/>
              </w:rPr>
              <w:t>HBV reactivation</w:t>
            </w:r>
          </w:p>
        </w:tc>
        <w:tc>
          <w:tcPr>
            <w:tcW w:w="1536" w:type="pct"/>
            <w:tcBorders>
              <w:top w:val="single" w:sz="4" w:space="0" w:color="auto"/>
              <w:left w:val="single" w:sz="4" w:space="0" w:color="auto"/>
              <w:bottom w:val="single" w:sz="4" w:space="0" w:color="auto"/>
              <w:right w:val="single" w:sz="4" w:space="0" w:color="auto"/>
            </w:tcBorders>
            <w:hideMark/>
          </w:tcPr>
          <w:p w14:paraId="26282DF7" w14:textId="77777777" w:rsidR="0078138E" w:rsidRPr="0078138E" w:rsidRDefault="0078138E" w:rsidP="002A0A70">
            <w:pPr>
              <w:ind w:left="116"/>
              <w:jc w:val="center"/>
              <w:rPr>
                <w:b/>
                <w:sz w:val="24"/>
                <w:szCs w:val="24"/>
                <w:lang w:val="en-GB"/>
              </w:rPr>
            </w:pPr>
            <w:r w:rsidRPr="0078138E">
              <w:rPr>
                <w:sz w:val="24"/>
                <w:szCs w:val="24"/>
                <w:lang w:val="en-GB"/>
              </w:rPr>
              <w:t xml:space="preserve">Not </w:t>
            </w:r>
            <w:proofErr w:type="spellStart"/>
            <w:r w:rsidRPr="0078138E">
              <w:rPr>
                <w:sz w:val="24"/>
                <w:szCs w:val="24"/>
                <w:lang w:val="en-GB"/>
              </w:rPr>
              <w:t>known</w:t>
            </w:r>
            <w:r w:rsidRPr="0078138E">
              <w:rPr>
                <w:sz w:val="24"/>
                <w:szCs w:val="24"/>
                <w:vertAlign w:val="superscript"/>
                <w:lang w:val="en-GB"/>
              </w:rPr>
              <w:t>e</w:t>
            </w:r>
            <w:proofErr w:type="spellEnd"/>
          </w:p>
        </w:tc>
        <w:tc>
          <w:tcPr>
            <w:tcW w:w="1668" w:type="pct"/>
            <w:tcBorders>
              <w:top w:val="single" w:sz="4" w:space="0" w:color="auto"/>
              <w:left w:val="single" w:sz="4" w:space="0" w:color="auto"/>
              <w:bottom w:val="single" w:sz="4" w:space="0" w:color="auto"/>
              <w:right w:val="single" w:sz="4" w:space="0" w:color="auto"/>
            </w:tcBorders>
            <w:hideMark/>
          </w:tcPr>
          <w:p w14:paraId="6E782DF3" w14:textId="77777777" w:rsidR="0078138E" w:rsidRPr="0078138E" w:rsidRDefault="0078138E" w:rsidP="002A0A70">
            <w:pPr>
              <w:jc w:val="center"/>
              <w:rPr>
                <w:b/>
                <w:sz w:val="24"/>
                <w:szCs w:val="24"/>
                <w:lang w:val="en-GB"/>
              </w:rPr>
            </w:pPr>
            <w:r w:rsidRPr="0078138E">
              <w:rPr>
                <w:sz w:val="24"/>
                <w:szCs w:val="24"/>
                <w:lang w:val="en-GB"/>
              </w:rPr>
              <w:t>Uncommon</w:t>
            </w:r>
          </w:p>
        </w:tc>
      </w:tr>
      <w:tr w:rsidR="0078138E" w:rsidRPr="00873345" w14:paraId="40393501" w14:textId="77777777" w:rsidTr="00882574">
        <w:tc>
          <w:tcPr>
            <w:tcW w:w="5000" w:type="pct"/>
            <w:gridSpan w:val="3"/>
            <w:tcBorders>
              <w:top w:val="single" w:sz="4" w:space="0" w:color="auto"/>
              <w:left w:val="single" w:sz="4" w:space="0" w:color="auto"/>
              <w:bottom w:val="single" w:sz="4" w:space="0" w:color="auto"/>
              <w:right w:val="single" w:sz="4" w:space="0" w:color="auto"/>
            </w:tcBorders>
            <w:hideMark/>
          </w:tcPr>
          <w:p w14:paraId="59CD9E27" w14:textId="77777777" w:rsidR="0078138E" w:rsidRPr="0078138E" w:rsidRDefault="0078138E" w:rsidP="00882574">
            <w:pPr>
              <w:rPr>
                <w:sz w:val="24"/>
                <w:szCs w:val="24"/>
                <w:lang w:val="en-GB"/>
              </w:rPr>
            </w:pPr>
            <w:r w:rsidRPr="0078138E">
              <w:rPr>
                <w:b/>
                <w:bCs/>
                <w:sz w:val="24"/>
                <w:szCs w:val="24"/>
                <w:lang w:val="en-GB"/>
              </w:rPr>
              <w:t xml:space="preserve">Blood and lymphatic system </w:t>
            </w:r>
            <w:proofErr w:type="spellStart"/>
            <w:proofErr w:type="gramStart"/>
            <w:r w:rsidRPr="0078138E">
              <w:rPr>
                <w:b/>
                <w:bCs/>
                <w:sz w:val="24"/>
                <w:szCs w:val="24"/>
                <w:lang w:val="en-GB"/>
              </w:rPr>
              <w:t>disorders</w:t>
            </w:r>
            <w:r w:rsidRPr="0078138E">
              <w:rPr>
                <w:b/>
                <w:bCs/>
                <w:sz w:val="24"/>
                <w:szCs w:val="24"/>
                <w:vertAlign w:val="superscript"/>
                <w:lang w:val="en-GB"/>
              </w:rPr>
              <w:t>a,d</w:t>
            </w:r>
            <w:proofErr w:type="spellEnd"/>
            <w:proofErr w:type="gramEnd"/>
          </w:p>
        </w:tc>
      </w:tr>
      <w:tr w:rsidR="0078138E" w:rsidRPr="0078138E" w14:paraId="3DFF4A22" w14:textId="77777777" w:rsidTr="00882574">
        <w:tc>
          <w:tcPr>
            <w:tcW w:w="1796" w:type="pct"/>
            <w:tcBorders>
              <w:top w:val="single" w:sz="4" w:space="0" w:color="auto"/>
              <w:left w:val="single" w:sz="4" w:space="0" w:color="auto"/>
              <w:bottom w:val="single" w:sz="4" w:space="0" w:color="auto"/>
              <w:right w:val="single" w:sz="4" w:space="0" w:color="auto"/>
            </w:tcBorders>
            <w:hideMark/>
          </w:tcPr>
          <w:p w14:paraId="6DB34459" w14:textId="77777777" w:rsidR="0078138E" w:rsidRPr="0078138E" w:rsidRDefault="0078138E" w:rsidP="00882574">
            <w:pPr>
              <w:rPr>
                <w:sz w:val="24"/>
                <w:szCs w:val="24"/>
                <w:lang w:val="en-GB"/>
              </w:rPr>
            </w:pPr>
            <w:proofErr w:type="spellStart"/>
            <w:r w:rsidRPr="0078138E">
              <w:rPr>
                <w:sz w:val="24"/>
                <w:szCs w:val="24"/>
                <w:lang w:val="en-GB"/>
              </w:rPr>
              <w:t>Anaemia</w:t>
            </w:r>
            <w:r w:rsidRPr="0078138E">
              <w:rPr>
                <w:sz w:val="24"/>
                <w:szCs w:val="24"/>
                <w:vertAlign w:val="superscript"/>
                <w:lang w:val="en-GB"/>
              </w:rPr>
              <w:t>a</w:t>
            </w:r>
            <w:proofErr w:type="spellEnd"/>
          </w:p>
        </w:tc>
        <w:tc>
          <w:tcPr>
            <w:tcW w:w="1536" w:type="pct"/>
            <w:tcBorders>
              <w:top w:val="single" w:sz="4" w:space="0" w:color="auto"/>
              <w:left w:val="single" w:sz="4" w:space="0" w:color="auto"/>
              <w:bottom w:val="single" w:sz="4" w:space="0" w:color="auto"/>
              <w:right w:val="single" w:sz="4" w:space="0" w:color="auto"/>
            </w:tcBorders>
          </w:tcPr>
          <w:p w14:paraId="1151F422" w14:textId="77777777" w:rsidR="0078138E" w:rsidRPr="0078138E" w:rsidRDefault="0078138E" w:rsidP="00882574">
            <w:pPr>
              <w:ind w:left="116"/>
              <w:rPr>
                <w:sz w:val="24"/>
                <w:szCs w:val="24"/>
                <w:lang w:val="en-GB"/>
              </w:rPr>
            </w:pPr>
          </w:p>
        </w:tc>
        <w:tc>
          <w:tcPr>
            <w:tcW w:w="1668" w:type="pct"/>
            <w:tcBorders>
              <w:top w:val="single" w:sz="4" w:space="0" w:color="auto"/>
              <w:left w:val="single" w:sz="4" w:space="0" w:color="auto"/>
              <w:bottom w:val="single" w:sz="4" w:space="0" w:color="auto"/>
              <w:right w:val="single" w:sz="4" w:space="0" w:color="auto"/>
            </w:tcBorders>
          </w:tcPr>
          <w:p w14:paraId="100F821D" w14:textId="77777777" w:rsidR="0078138E" w:rsidRPr="0078138E" w:rsidRDefault="0078138E" w:rsidP="00882574">
            <w:pPr>
              <w:rPr>
                <w:sz w:val="24"/>
                <w:szCs w:val="24"/>
                <w:lang w:val="en-GB"/>
              </w:rPr>
            </w:pPr>
          </w:p>
        </w:tc>
      </w:tr>
      <w:tr w:rsidR="0078138E" w:rsidRPr="0078138E" w14:paraId="211F3982" w14:textId="77777777" w:rsidTr="00882574">
        <w:tc>
          <w:tcPr>
            <w:tcW w:w="1796" w:type="pct"/>
            <w:tcBorders>
              <w:top w:val="single" w:sz="4" w:space="0" w:color="auto"/>
              <w:left w:val="single" w:sz="4" w:space="0" w:color="auto"/>
              <w:bottom w:val="single" w:sz="4" w:space="0" w:color="auto"/>
              <w:right w:val="single" w:sz="4" w:space="0" w:color="auto"/>
            </w:tcBorders>
            <w:hideMark/>
          </w:tcPr>
          <w:p w14:paraId="05CBCBA7" w14:textId="77777777" w:rsidR="0078138E" w:rsidRPr="0078138E" w:rsidRDefault="0078138E" w:rsidP="002A0A70">
            <w:pPr>
              <w:ind w:left="316"/>
              <w:rPr>
                <w:sz w:val="24"/>
                <w:szCs w:val="24"/>
                <w:lang w:val="en-GB"/>
              </w:rPr>
            </w:pPr>
            <w:proofErr w:type="spellStart"/>
            <w:r w:rsidRPr="0078138E">
              <w:rPr>
                <w:sz w:val="24"/>
                <w:szCs w:val="24"/>
                <w:lang w:val="en-GB"/>
              </w:rPr>
              <w:t>CTCAE</w:t>
            </w:r>
            <w:r w:rsidRPr="0078138E">
              <w:rPr>
                <w:sz w:val="24"/>
                <w:szCs w:val="24"/>
                <w:vertAlign w:val="superscript"/>
                <w:lang w:val="en-GB"/>
              </w:rPr>
              <w:t>c</w:t>
            </w:r>
            <w:proofErr w:type="spellEnd"/>
            <w:r w:rsidRPr="0078138E">
              <w:rPr>
                <w:sz w:val="24"/>
                <w:szCs w:val="24"/>
                <w:lang w:val="en-GB"/>
              </w:rPr>
              <w:t xml:space="preserve"> grade 4</w:t>
            </w:r>
          </w:p>
          <w:p w14:paraId="76507C36" w14:textId="77777777" w:rsidR="0078138E" w:rsidRPr="0078138E" w:rsidRDefault="0078138E" w:rsidP="002A0A70">
            <w:pPr>
              <w:ind w:left="316"/>
              <w:rPr>
                <w:sz w:val="24"/>
                <w:szCs w:val="24"/>
                <w:lang w:val="en-GB"/>
              </w:rPr>
            </w:pPr>
            <w:r w:rsidRPr="0078138E">
              <w:rPr>
                <w:sz w:val="24"/>
                <w:szCs w:val="24"/>
                <w:lang w:val="en-GB"/>
              </w:rPr>
              <w:t>(&lt;6.5g/dl)</w:t>
            </w:r>
          </w:p>
        </w:tc>
        <w:tc>
          <w:tcPr>
            <w:tcW w:w="1536" w:type="pct"/>
            <w:tcBorders>
              <w:top w:val="single" w:sz="4" w:space="0" w:color="auto"/>
              <w:left w:val="single" w:sz="4" w:space="0" w:color="auto"/>
              <w:bottom w:val="single" w:sz="4" w:space="0" w:color="auto"/>
              <w:right w:val="single" w:sz="4" w:space="0" w:color="auto"/>
            </w:tcBorders>
            <w:hideMark/>
          </w:tcPr>
          <w:p w14:paraId="08BA2CD1" w14:textId="77777777" w:rsidR="0078138E" w:rsidRPr="0078138E" w:rsidRDefault="0078138E" w:rsidP="002A0A70">
            <w:pPr>
              <w:ind w:left="116"/>
              <w:jc w:val="center"/>
              <w:rPr>
                <w:sz w:val="24"/>
                <w:szCs w:val="24"/>
                <w:lang w:val="en-GB"/>
              </w:rPr>
            </w:pPr>
            <w:r w:rsidRPr="0078138E">
              <w:rPr>
                <w:sz w:val="24"/>
                <w:szCs w:val="24"/>
                <w:lang w:val="en-GB"/>
              </w:rPr>
              <w:t>Very common</w:t>
            </w:r>
          </w:p>
        </w:tc>
        <w:tc>
          <w:tcPr>
            <w:tcW w:w="1668" w:type="pct"/>
            <w:tcBorders>
              <w:top w:val="single" w:sz="4" w:space="0" w:color="auto"/>
              <w:left w:val="single" w:sz="4" w:space="0" w:color="auto"/>
              <w:bottom w:val="single" w:sz="4" w:space="0" w:color="auto"/>
              <w:right w:val="single" w:sz="4" w:space="0" w:color="auto"/>
            </w:tcBorders>
            <w:hideMark/>
          </w:tcPr>
          <w:p w14:paraId="6955F184" w14:textId="77777777" w:rsidR="0078138E" w:rsidRPr="0078138E" w:rsidRDefault="0078138E" w:rsidP="002A0A70">
            <w:pPr>
              <w:jc w:val="center"/>
              <w:rPr>
                <w:sz w:val="24"/>
                <w:szCs w:val="24"/>
                <w:lang w:val="en-GB"/>
              </w:rPr>
            </w:pPr>
            <w:r w:rsidRPr="0078138E">
              <w:rPr>
                <w:sz w:val="24"/>
                <w:szCs w:val="24"/>
                <w:lang w:val="en-GB"/>
              </w:rPr>
              <w:t>Uncommon</w:t>
            </w:r>
          </w:p>
        </w:tc>
      </w:tr>
      <w:tr w:rsidR="0078138E" w:rsidRPr="0078138E" w14:paraId="37B0BA8F" w14:textId="77777777" w:rsidTr="00882574">
        <w:tc>
          <w:tcPr>
            <w:tcW w:w="1796" w:type="pct"/>
            <w:tcBorders>
              <w:top w:val="single" w:sz="4" w:space="0" w:color="auto"/>
              <w:left w:val="single" w:sz="4" w:space="0" w:color="auto"/>
              <w:bottom w:val="single" w:sz="4" w:space="0" w:color="auto"/>
              <w:right w:val="single" w:sz="4" w:space="0" w:color="auto"/>
            </w:tcBorders>
            <w:hideMark/>
          </w:tcPr>
          <w:p w14:paraId="45EE00ED" w14:textId="77777777" w:rsidR="0078138E" w:rsidRPr="0078138E" w:rsidRDefault="0078138E" w:rsidP="002A0A70">
            <w:pPr>
              <w:ind w:left="316"/>
              <w:rPr>
                <w:sz w:val="24"/>
                <w:szCs w:val="24"/>
                <w:lang w:val="en-GB"/>
              </w:rPr>
            </w:pPr>
            <w:proofErr w:type="spellStart"/>
            <w:r w:rsidRPr="0078138E">
              <w:rPr>
                <w:sz w:val="24"/>
                <w:szCs w:val="24"/>
                <w:lang w:val="en-GB"/>
              </w:rPr>
              <w:t>CTCAE</w:t>
            </w:r>
            <w:r w:rsidRPr="0078138E">
              <w:rPr>
                <w:sz w:val="24"/>
                <w:szCs w:val="24"/>
                <w:vertAlign w:val="superscript"/>
                <w:lang w:val="en-GB"/>
              </w:rPr>
              <w:t>c</w:t>
            </w:r>
            <w:proofErr w:type="spellEnd"/>
            <w:r w:rsidRPr="0078138E">
              <w:rPr>
                <w:sz w:val="24"/>
                <w:szCs w:val="24"/>
                <w:lang w:val="en-GB"/>
              </w:rPr>
              <w:t xml:space="preserve"> grade 3</w:t>
            </w:r>
          </w:p>
          <w:p w14:paraId="56A64FA0" w14:textId="77777777" w:rsidR="0078138E" w:rsidRPr="0078138E" w:rsidRDefault="0078138E" w:rsidP="002A0A70">
            <w:pPr>
              <w:ind w:left="316"/>
              <w:rPr>
                <w:sz w:val="24"/>
                <w:szCs w:val="24"/>
                <w:lang w:val="en-GB"/>
              </w:rPr>
            </w:pPr>
            <w:r w:rsidRPr="0078138E">
              <w:rPr>
                <w:sz w:val="24"/>
                <w:szCs w:val="24"/>
                <w:lang w:val="en-GB"/>
              </w:rPr>
              <w:t>(&lt;8.0 – 6.5 g/dl)</w:t>
            </w:r>
          </w:p>
        </w:tc>
        <w:tc>
          <w:tcPr>
            <w:tcW w:w="1536" w:type="pct"/>
            <w:tcBorders>
              <w:top w:val="single" w:sz="4" w:space="0" w:color="auto"/>
              <w:left w:val="single" w:sz="4" w:space="0" w:color="auto"/>
              <w:bottom w:val="single" w:sz="4" w:space="0" w:color="auto"/>
              <w:right w:val="single" w:sz="4" w:space="0" w:color="auto"/>
            </w:tcBorders>
            <w:hideMark/>
          </w:tcPr>
          <w:p w14:paraId="45498A90" w14:textId="77777777" w:rsidR="0078138E" w:rsidRPr="0078138E" w:rsidRDefault="0078138E" w:rsidP="002A0A70">
            <w:pPr>
              <w:ind w:left="116"/>
              <w:jc w:val="center"/>
              <w:rPr>
                <w:sz w:val="24"/>
                <w:szCs w:val="24"/>
                <w:lang w:val="en-GB"/>
              </w:rPr>
            </w:pPr>
            <w:r w:rsidRPr="0078138E">
              <w:rPr>
                <w:sz w:val="24"/>
                <w:szCs w:val="24"/>
                <w:lang w:val="en-GB"/>
              </w:rPr>
              <w:t>Very common</w:t>
            </w:r>
          </w:p>
        </w:tc>
        <w:tc>
          <w:tcPr>
            <w:tcW w:w="1668" w:type="pct"/>
            <w:tcBorders>
              <w:top w:val="single" w:sz="4" w:space="0" w:color="auto"/>
              <w:left w:val="single" w:sz="4" w:space="0" w:color="auto"/>
              <w:bottom w:val="single" w:sz="4" w:space="0" w:color="auto"/>
              <w:right w:val="single" w:sz="4" w:space="0" w:color="auto"/>
            </w:tcBorders>
            <w:hideMark/>
          </w:tcPr>
          <w:p w14:paraId="31557D32" w14:textId="77777777" w:rsidR="0078138E" w:rsidRPr="0078138E" w:rsidRDefault="0078138E" w:rsidP="002A0A70">
            <w:pPr>
              <w:jc w:val="center"/>
              <w:rPr>
                <w:sz w:val="24"/>
                <w:szCs w:val="24"/>
                <w:lang w:val="en-GB"/>
              </w:rPr>
            </w:pPr>
            <w:r w:rsidRPr="0078138E">
              <w:rPr>
                <w:sz w:val="24"/>
                <w:szCs w:val="24"/>
                <w:lang w:val="en-GB"/>
              </w:rPr>
              <w:t>Common</w:t>
            </w:r>
          </w:p>
        </w:tc>
      </w:tr>
      <w:tr w:rsidR="0078138E" w:rsidRPr="0078138E" w14:paraId="33E0EDC8" w14:textId="77777777" w:rsidTr="00882574">
        <w:tc>
          <w:tcPr>
            <w:tcW w:w="1796" w:type="pct"/>
            <w:tcBorders>
              <w:top w:val="single" w:sz="4" w:space="0" w:color="auto"/>
              <w:left w:val="single" w:sz="4" w:space="0" w:color="auto"/>
              <w:bottom w:val="single" w:sz="4" w:space="0" w:color="auto"/>
              <w:right w:val="single" w:sz="4" w:space="0" w:color="auto"/>
            </w:tcBorders>
            <w:hideMark/>
          </w:tcPr>
          <w:p w14:paraId="11F1E029" w14:textId="77777777" w:rsidR="0078138E" w:rsidRPr="0078138E" w:rsidRDefault="0078138E" w:rsidP="002A0A70">
            <w:pPr>
              <w:ind w:left="316"/>
              <w:rPr>
                <w:sz w:val="24"/>
                <w:szCs w:val="24"/>
                <w:lang w:val="en-GB"/>
              </w:rPr>
            </w:pPr>
            <w:r w:rsidRPr="0078138E">
              <w:rPr>
                <w:sz w:val="24"/>
                <w:szCs w:val="24"/>
                <w:lang w:val="en-GB"/>
              </w:rPr>
              <w:t xml:space="preserve">Any </w:t>
            </w:r>
            <w:proofErr w:type="spellStart"/>
            <w:r w:rsidRPr="0078138E">
              <w:rPr>
                <w:sz w:val="24"/>
                <w:szCs w:val="24"/>
                <w:lang w:val="en-GB"/>
              </w:rPr>
              <w:t>CTCAE</w:t>
            </w:r>
            <w:r w:rsidRPr="0078138E">
              <w:rPr>
                <w:sz w:val="24"/>
                <w:szCs w:val="24"/>
                <w:vertAlign w:val="superscript"/>
                <w:lang w:val="en-GB"/>
              </w:rPr>
              <w:t>c</w:t>
            </w:r>
            <w:proofErr w:type="spellEnd"/>
            <w:r w:rsidRPr="0078138E">
              <w:rPr>
                <w:sz w:val="24"/>
                <w:szCs w:val="24"/>
                <w:lang w:val="en-GB"/>
              </w:rPr>
              <w:t xml:space="preserve"> grade</w:t>
            </w:r>
          </w:p>
        </w:tc>
        <w:tc>
          <w:tcPr>
            <w:tcW w:w="1536" w:type="pct"/>
            <w:tcBorders>
              <w:top w:val="single" w:sz="4" w:space="0" w:color="auto"/>
              <w:left w:val="single" w:sz="4" w:space="0" w:color="auto"/>
              <w:bottom w:val="single" w:sz="4" w:space="0" w:color="auto"/>
              <w:right w:val="single" w:sz="4" w:space="0" w:color="auto"/>
            </w:tcBorders>
            <w:hideMark/>
          </w:tcPr>
          <w:p w14:paraId="07314111" w14:textId="77777777" w:rsidR="0078138E" w:rsidRPr="0078138E" w:rsidRDefault="0078138E" w:rsidP="002A0A70">
            <w:pPr>
              <w:ind w:left="116"/>
              <w:jc w:val="center"/>
              <w:rPr>
                <w:sz w:val="24"/>
                <w:szCs w:val="24"/>
                <w:lang w:val="en-GB"/>
              </w:rPr>
            </w:pPr>
            <w:r w:rsidRPr="0078138E">
              <w:rPr>
                <w:sz w:val="24"/>
                <w:szCs w:val="24"/>
                <w:lang w:val="en-GB"/>
              </w:rPr>
              <w:t>Very common</w:t>
            </w:r>
          </w:p>
        </w:tc>
        <w:tc>
          <w:tcPr>
            <w:tcW w:w="1668" w:type="pct"/>
            <w:tcBorders>
              <w:top w:val="single" w:sz="4" w:space="0" w:color="auto"/>
              <w:left w:val="single" w:sz="4" w:space="0" w:color="auto"/>
              <w:bottom w:val="single" w:sz="4" w:space="0" w:color="auto"/>
              <w:right w:val="single" w:sz="4" w:space="0" w:color="auto"/>
            </w:tcBorders>
            <w:hideMark/>
          </w:tcPr>
          <w:p w14:paraId="0799D72F" w14:textId="77777777" w:rsidR="0078138E" w:rsidRPr="0078138E" w:rsidRDefault="0078138E" w:rsidP="002A0A70">
            <w:pPr>
              <w:jc w:val="center"/>
              <w:rPr>
                <w:sz w:val="24"/>
                <w:szCs w:val="24"/>
                <w:lang w:val="en-GB"/>
              </w:rPr>
            </w:pPr>
            <w:r w:rsidRPr="0078138E">
              <w:rPr>
                <w:sz w:val="24"/>
                <w:szCs w:val="24"/>
                <w:lang w:val="en-GB"/>
              </w:rPr>
              <w:t>Very common</w:t>
            </w:r>
          </w:p>
        </w:tc>
      </w:tr>
      <w:tr w:rsidR="0078138E" w:rsidRPr="0078138E" w14:paraId="2030CB98" w14:textId="77777777" w:rsidTr="00882574">
        <w:tc>
          <w:tcPr>
            <w:tcW w:w="1796" w:type="pct"/>
            <w:tcBorders>
              <w:top w:val="single" w:sz="4" w:space="0" w:color="auto"/>
              <w:left w:val="single" w:sz="4" w:space="0" w:color="auto"/>
              <w:bottom w:val="single" w:sz="4" w:space="0" w:color="auto"/>
              <w:right w:val="single" w:sz="4" w:space="0" w:color="auto"/>
            </w:tcBorders>
            <w:hideMark/>
          </w:tcPr>
          <w:p w14:paraId="570EE4FA" w14:textId="77777777" w:rsidR="0078138E" w:rsidRPr="0078138E" w:rsidRDefault="0078138E" w:rsidP="00882574">
            <w:pPr>
              <w:rPr>
                <w:sz w:val="24"/>
                <w:szCs w:val="24"/>
                <w:lang w:val="en-GB"/>
              </w:rPr>
            </w:pPr>
            <w:proofErr w:type="spellStart"/>
            <w:r w:rsidRPr="0078138E">
              <w:rPr>
                <w:sz w:val="24"/>
                <w:szCs w:val="24"/>
                <w:lang w:val="en-GB"/>
              </w:rPr>
              <w:t>Thrombocytopenia</w:t>
            </w:r>
            <w:r w:rsidRPr="0078138E">
              <w:rPr>
                <w:sz w:val="24"/>
                <w:szCs w:val="24"/>
                <w:vertAlign w:val="superscript"/>
                <w:lang w:val="en-GB"/>
              </w:rPr>
              <w:t>a</w:t>
            </w:r>
            <w:proofErr w:type="spellEnd"/>
          </w:p>
        </w:tc>
        <w:tc>
          <w:tcPr>
            <w:tcW w:w="1536" w:type="pct"/>
            <w:tcBorders>
              <w:top w:val="single" w:sz="4" w:space="0" w:color="auto"/>
              <w:left w:val="single" w:sz="4" w:space="0" w:color="auto"/>
              <w:bottom w:val="single" w:sz="4" w:space="0" w:color="auto"/>
              <w:right w:val="single" w:sz="4" w:space="0" w:color="auto"/>
            </w:tcBorders>
          </w:tcPr>
          <w:p w14:paraId="7173240F" w14:textId="77777777" w:rsidR="0078138E" w:rsidRPr="0078138E" w:rsidRDefault="0078138E" w:rsidP="002A0A70">
            <w:pPr>
              <w:ind w:left="116"/>
              <w:jc w:val="center"/>
              <w:rPr>
                <w:sz w:val="24"/>
                <w:szCs w:val="24"/>
                <w:lang w:val="en-GB"/>
              </w:rPr>
            </w:pPr>
          </w:p>
        </w:tc>
        <w:tc>
          <w:tcPr>
            <w:tcW w:w="1668" w:type="pct"/>
            <w:tcBorders>
              <w:top w:val="single" w:sz="4" w:space="0" w:color="auto"/>
              <w:left w:val="single" w:sz="4" w:space="0" w:color="auto"/>
              <w:bottom w:val="single" w:sz="4" w:space="0" w:color="auto"/>
              <w:right w:val="single" w:sz="4" w:space="0" w:color="auto"/>
            </w:tcBorders>
          </w:tcPr>
          <w:p w14:paraId="693B3A19" w14:textId="77777777" w:rsidR="0078138E" w:rsidRPr="0078138E" w:rsidRDefault="0078138E" w:rsidP="002A0A70">
            <w:pPr>
              <w:jc w:val="center"/>
              <w:rPr>
                <w:sz w:val="24"/>
                <w:szCs w:val="24"/>
                <w:lang w:val="en-GB"/>
              </w:rPr>
            </w:pPr>
          </w:p>
        </w:tc>
      </w:tr>
      <w:tr w:rsidR="0078138E" w:rsidRPr="0078138E" w14:paraId="4E8174B2" w14:textId="77777777" w:rsidTr="00882574">
        <w:tc>
          <w:tcPr>
            <w:tcW w:w="1796" w:type="pct"/>
            <w:tcBorders>
              <w:top w:val="single" w:sz="4" w:space="0" w:color="auto"/>
              <w:left w:val="single" w:sz="4" w:space="0" w:color="auto"/>
              <w:bottom w:val="single" w:sz="4" w:space="0" w:color="auto"/>
              <w:right w:val="single" w:sz="4" w:space="0" w:color="auto"/>
            </w:tcBorders>
            <w:hideMark/>
          </w:tcPr>
          <w:p w14:paraId="0AFF3906" w14:textId="77777777" w:rsidR="0078138E" w:rsidRPr="0078138E" w:rsidRDefault="0078138E" w:rsidP="002A0A70">
            <w:pPr>
              <w:ind w:left="316"/>
              <w:rPr>
                <w:sz w:val="24"/>
                <w:szCs w:val="24"/>
                <w:lang w:val="en-GB"/>
              </w:rPr>
            </w:pPr>
            <w:proofErr w:type="spellStart"/>
            <w:r w:rsidRPr="0078138E">
              <w:rPr>
                <w:sz w:val="24"/>
                <w:szCs w:val="24"/>
                <w:lang w:val="en-GB"/>
              </w:rPr>
              <w:t>CTCAE</w:t>
            </w:r>
            <w:r w:rsidRPr="0078138E">
              <w:rPr>
                <w:sz w:val="24"/>
                <w:szCs w:val="24"/>
                <w:vertAlign w:val="superscript"/>
                <w:lang w:val="en-GB"/>
              </w:rPr>
              <w:t>c</w:t>
            </w:r>
            <w:proofErr w:type="spellEnd"/>
            <w:r w:rsidRPr="0078138E">
              <w:rPr>
                <w:sz w:val="24"/>
                <w:szCs w:val="24"/>
                <w:lang w:val="en-GB"/>
              </w:rPr>
              <w:t xml:space="preserve"> grade 4</w:t>
            </w:r>
          </w:p>
          <w:p w14:paraId="7C3B547F" w14:textId="77777777" w:rsidR="0078138E" w:rsidRPr="0078138E" w:rsidRDefault="0078138E" w:rsidP="002A0A70">
            <w:pPr>
              <w:ind w:left="316"/>
              <w:rPr>
                <w:b/>
                <w:bCs/>
                <w:sz w:val="24"/>
                <w:szCs w:val="24"/>
                <w:lang w:val="en-GB"/>
              </w:rPr>
            </w:pPr>
            <w:r w:rsidRPr="0078138E">
              <w:rPr>
                <w:sz w:val="24"/>
                <w:szCs w:val="24"/>
                <w:lang w:val="en-GB"/>
              </w:rPr>
              <w:t>(&lt;25 000/mm</w:t>
            </w:r>
            <w:r w:rsidRPr="0078138E">
              <w:rPr>
                <w:sz w:val="24"/>
                <w:szCs w:val="24"/>
                <w:vertAlign w:val="superscript"/>
                <w:lang w:val="en-GB"/>
              </w:rPr>
              <w:t>3</w:t>
            </w:r>
            <w:r w:rsidRPr="0078138E">
              <w:rPr>
                <w:sz w:val="24"/>
                <w:szCs w:val="24"/>
                <w:lang w:val="en-GB"/>
              </w:rPr>
              <w:t>)</w:t>
            </w:r>
          </w:p>
        </w:tc>
        <w:tc>
          <w:tcPr>
            <w:tcW w:w="1536" w:type="pct"/>
            <w:tcBorders>
              <w:top w:val="single" w:sz="4" w:space="0" w:color="auto"/>
              <w:left w:val="single" w:sz="4" w:space="0" w:color="auto"/>
              <w:bottom w:val="single" w:sz="4" w:space="0" w:color="auto"/>
              <w:right w:val="single" w:sz="4" w:space="0" w:color="auto"/>
            </w:tcBorders>
            <w:hideMark/>
          </w:tcPr>
          <w:p w14:paraId="0B258A9F" w14:textId="77777777" w:rsidR="0078138E" w:rsidRPr="0078138E" w:rsidRDefault="0078138E" w:rsidP="002A0A70">
            <w:pPr>
              <w:ind w:left="116"/>
              <w:jc w:val="center"/>
              <w:rPr>
                <w:sz w:val="24"/>
                <w:szCs w:val="24"/>
                <w:lang w:val="en-GB"/>
              </w:rPr>
            </w:pPr>
            <w:r w:rsidRPr="0078138E">
              <w:rPr>
                <w:sz w:val="24"/>
                <w:szCs w:val="24"/>
                <w:lang w:val="en-GB"/>
              </w:rPr>
              <w:t>Common</w:t>
            </w:r>
          </w:p>
        </w:tc>
        <w:tc>
          <w:tcPr>
            <w:tcW w:w="1668" w:type="pct"/>
            <w:tcBorders>
              <w:top w:val="single" w:sz="4" w:space="0" w:color="auto"/>
              <w:left w:val="single" w:sz="4" w:space="0" w:color="auto"/>
              <w:bottom w:val="single" w:sz="4" w:space="0" w:color="auto"/>
              <w:right w:val="single" w:sz="4" w:space="0" w:color="auto"/>
            </w:tcBorders>
            <w:hideMark/>
          </w:tcPr>
          <w:p w14:paraId="3A439A41" w14:textId="77777777" w:rsidR="0078138E" w:rsidRPr="0078138E" w:rsidRDefault="0078138E" w:rsidP="002A0A70">
            <w:pPr>
              <w:jc w:val="center"/>
              <w:rPr>
                <w:sz w:val="24"/>
                <w:szCs w:val="24"/>
                <w:lang w:val="en-GB"/>
              </w:rPr>
            </w:pPr>
            <w:r w:rsidRPr="0078138E">
              <w:rPr>
                <w:sz w:val="24"/>
                <w:szCs w:val="24"/>
                <w:lang w:val="en-GB"/>
              </w:rPr>
              <w:t>Uncommon</w:t>
            </w:r>
          </w:p>
        </w:tc>
      </w:tr>
      <w:tr w:rsidR="0078138E" w:rsidRPr="0078138E" w14:paraId="366B0050" w14:textId="77777777" w:rsidTr="00882574">
        <w:tc>
          <w:tcPr>
            <w:tcW w:w="1796" w:type="pct"/>
            <w:tcBorders>
              <w:top w:val="single" w:sz="4" w:space="0" w:color="auto"/>
              <w:left w:val="single" w:sz="4" w:space="0" w:color="auto"/>
              <w:bottom w:val="single" w:sz="4" w:space="0" w:color="auto"/>
              <w:right w:val="single" w:sz="4" w:space="0" w:color="auto"/>
            </w:tcBorders>
            <w:hideMark/>
          </w:tcPr>
          <w:p w14:paraId="5766BCA2" w14:textId="77777777" w:rsidR="0078138E" w:rsidRPr="0078138E" w:rsidRDefault="0078138E" w:rsidP="002A0A70">
            <w:pPr>
              <w:ind w:left="316"/>
              <w:rPr>
                <w:sz w:val="24"/>
                <w:szCs w:val="24"/>
                <w:lang w:val="en-GB"/>
              </w:rPr>
            </w:pPr>
            <w:proofErr w:type="spellStart"/>
            <w:r w:rsidRPr="0078138E">
              <w:rPr>
                <w:sz w:val="24"/>
                <w:szCs w:val="24"/>
                <w:lang w:val="en-GB"/>
              </w:rPr>
              <w:t>CTCAE</w:t>
            </w:r>
            <w:r w:rsidRPr="0078138E">
              <w:rPr>
                <w:sz w:val="24"/>
                <w:szCs w:val="24"/>
                <w:vertAlign w:val="superscript"/>
                <w:lang w:val="en-GB"/>
              </w:rPr>
              <w:t>c</w:t>
            </w:r>
            <w:proofErr w:type="spellEnd"/>
            <w:r w:rsidRPr="0078138E">
              <w:rPr>
                <w:sz w:val="24"/>
                <w:szCs w:val="24"/>
                <w:lang w:val="en-GB"/>
              </w:rPr>
              <w:t xml:space="preserve"> grade 3</w:t>
            </w:r>
          </w:p>
          <w:p w14:paraId="1B5F893E" w14:textId="77777777" w:rsidR="0078138E" w:rsidRPr="0078138E" w:rsidRDefault="0078138E" w:rsidP="002A0A70">
            <w:pPr>
              <w:ind w:left="316"/>
              <w:rPr>
                <w:sz w:val="24"/>
                <w:szCs w:val="24"/>
                <w:lang w:val="en-GB"/>
              </w:rPr>
            </w:pPr>
            <w:r w:rsidRPr="0078138E">
              <w:rPr>
                <w:sz w:val="24"/>
                <w:szCs w:val="24"/>
                <w:lang w:val="en-GB"/>
              </w:rPr>
              <w:t>(50 000 – 25 000/mm</w:t>
            </w:r>
            <w:r w:rsidRPr="0078138E">
              <w:rPr>
                <w:sz w:val="24"/>
                <w:szCs w:val="24"/>
                <w:vertAlign w:val="superscript"/>
                <w:lang w:val="en-GB"/>
              </w:rPr>
              <w:t>3</w:t>
            </w:r>
            <w:r w:rsidRPr="0078138E">
              <w:rPr>
                <w:sz w:val="24"/>
                <w:szCs w:val="24"/>
                <w:lang w:val="en-GB"/>
              </w:rPr>
              <w:t>)</w:t>
            </w:r>
          </w:p>
        </w:tc>
        <w:tc>
          <w:tcPr>
            <w:tcW w:w="1536" w:type="pct"/>
            <w:tcBorders>
              <w:top w:val="single" w:sz="4" w:space="0" w:color="auto"/>
              <w:left w:val="single" w:sz="4" w:space="0" w:color="auto"/>
              <w:bottom w:val="single" w:sz="4" w:space="0" w:color="auto"/>
              <w:right w:val="single" w:sz="4" w:space="0" w:color="auto"/>
            </w:tcBorders>
            <w:hideMark/>
          </w:tcPr>
          <w:p w14:paraId="3B20C2B3" w14:textId="77777777" w:rsidR="0078138E" w:rsidRPr="0078138E" w:rsidRDefault="0078138E" w:rsidP="002A0A70">
            <w:pPr>
              <w:ind w:left="116"/>
              <w:jc w:val="center"/>
              <w:rPr>
                <w:sz w:val="24"/>
                <w:szCs w:val="24"/>
                <w:lang w:val="en-GB"/>
              </w:rPr>
            </w:pPr>
            <w:r w:rsidRPr="0078138E">
              <w:rPr>
                <w:sz w:val="24"/>
                <w:szCs w:val="24"/>
                <w:lang w:val="en-GB"/>
              </w:rPr>
              <w:t>Very common</w:t>
            </w:r>
          </w:p>
        </w:tc>
        <w:tc>
          <w:tcPr>
            <w:tcW w:w="1668" w:type="pct"/>
            <w:tcBorders>
              <w:top w:val="single" w:sz="4" w:space="0" w:color="auto"/>
              <w:left w:val="single" w:sz="4" w:space="0" w:color="auto"/>
              <w:bottom w:val="single" w:sz="4" w:space="0" w:color="auto"/>
              <w:right w:val="single" w:sz="4" w:space="0" w:color="auto"/>
            </w:tcBorders>
            <w:hideMark/>
          </w:tcPr>
          <w:p w14:paraId="72DA2930" w14:textId="77777777" w:rsidR="0078138E" w:rsidRPr="0078138E" w:rsidRDefault="0078138E" w:rsidP="002A0A70">
            <w:pPr>
              <w:jc w:val="center"/>
              <w:rPr>
                <w:sz w:val="24"/>
                <w:szCs w:val="24"/>
                <w:lang w:val="en-GB"/>
              </w:rPr>
            </w:pPr>
            <w:r w:rsidRPr="0078138E">
              <w:rPr>
                <w:sz w:val="24"/>
                <w:szCs w:val="24"/>
                <w:lang w:val="en-GB"/>
              </w:rPr>
              <w:t>Common</w:t>
            </w:r>
          </w:p>
        </w:tc>
      </w:tr>
      <w:tr w:rsidR="0078138E" w:rsidRPr="0078138E" w14:paraId="766F62D4" w14:textId="77777777" w:rsidTr="00882574">
        <w:tc>
          <w:tcPr>
            <w:tcW w:w="1796" w:type="pct"/>
            <w:tcBorders>
              <w:top w:val="single" w:sz="4" w:space="0" w:color="auto"/>
              <w:left w:val="single" w:sz="4" w:space="0" w:color="auto"/>
              <w:bottom w:val="single" w:sz="4" w:space="0" w:color="auto"/>
              <w:right w:val="single" w:sz="4" w:space="0" w:color="auto"/>
            </w:tcBorders>
            <w:hideMark/>
          </w:tcPr>
          <w:p w14:paraId="41F7C9DD" w14:textId="77777777" w:rsidR="0078138E" w:rsidRPr="0078138E" w:rsidRDefault="0078138E" w:rsidP="002A0A70">
            <w:pPr>
              <w:ind w:left="316"/>
              <w:rPr>
                <w:sz w:val="24"/>
                <w:szCs w:val="24"/>
                <w:lang w:val="en-GB"/>
              </w:rPr>
            </w:pPr>
            <w:r w:rsidRPr="0078138E">
              <w:rPr>
                <w:sz w:val="24"/>
                <w:szCs w:val="24"/>
                <w:lang w:val="en-GB"/>
              </w:rPr>
              <w:t xml:space="preserve">Any </w:t>
            </w:r>
            <w:proofErr w:type="spellStart"/>
            <w:r w:rsidRPr="0078138E">
              <w:rPr>
                <w:sz w:val="24"/>
                <w:szCs w:val="24"/>
                <w:lang w:val="en-GB"/>
              </w:rPr>
              <w:t>CTCAE</w:t>
            </w:r>
            <w:r w:rsidRPr="0078138E">
              <w:rPr>
                <w:sz w:val="24"/>
                <w:szCs w:val="24"/>
                <w:vertAlign w:val="superscript"/>
                <w:lang w:val="en-GB"/>
              </w:rPr>
              <w:t>c</w:t>
            </w:r>
            <w:proofErr w:type="spellEnd"/>
            <w:r w:rsidRPr="0078138E">
              <w:rPr>
                <w:sz w:val="24"/>
                <w:szCs w:val="24"/>
                <w:lang w:val="en-GB"/>
              </w:rPr>
              <w:t xml:space="preserve"> grade</w:t>
            </w:r>
          </w:p>
        </w:tc>
        <w:tc>
          <w:tcPr>
            <w:tcW w:w="1536" w:type="pct"/>
            <w:tcBorders>
              <w:top w:val="single" w:sz="4" w:space="0" w:color="auto"/>
              <w:left w:val="single" w:sz="4" w:space="0" w:color="auto"/>
              <w:bottom w:val="single" w:sz="4" w:space="0" w:color="auto"/>
              <w:right w:val="single" w:sz="4" w:space="0" w:color="auto"/>
            </w:tcBorders>
            <w:hideMark/>
          </w:tcPr>
          <w:p w14:paraId="5A080417" w14:textId="77777777" w:rsidR="0078138E" w:rsidRPr="0078138E" w:rsidRDefault="0078138E" w:rsidP="002A0A70">
            <w:pPr>
              <w:ind w:left="116"/>
              <w:jc w:val="center"/>
              <w:rPr>
                <w:sz w:val="24"/>
                <w:szCs w:val="24"/>
                <w:lang w:val="en-GB"/>
              </w:rPr>
            </w:pPr>
            <w:r w:rsidRPr="0078138E">
              <w:rPr>
                <w:sz w:val="24"/>
                <w:szCs w:val="24"/>
                <w:lang w:val="en-GB"/>
              </w:rPr>
              <w:t>Very common</w:t>
            </w:r>
          </w:p>
        </w:tc>
        <w:tc>
          <w:tcPr>
            <w:tcW w:w="1668" w:type="pct"/>
            <w:tcBorders>
              <w:top w:val="single" w:sz="4" w:space="0" w:color="auto"/>
              <w:left w:val="single" w:sz="4" w:space="0" w:color="auto"/>
              <w:bottom w:val="single" w:sz="4" w:space="0" w:color="auto"/>
              <w:right w:val="single" w:sz="4" w:space="0" w:color="auto"/>
            </w:tcBorders>
            <w:hideMark/>
          </w:tcPr>
          <w:p w14:paraId="0091DA46" w14:textId="77777777" w:rsidR="0078138E" w:rsidRPr="0078138E" w:rsidRDefault="0078138E" w:rsidP="002A0A70">
            <w:pPr>
              <w:jc w:val="center"/>
              <w:rPr>
                <w:sz w:val="24"/>
                <w:szCs w:val="24"/>
                <w:lang w:val="en-GB"/>
              </w:rPr>
            </w:pPr>
            <w:r w:rsidRPr="0078138E">
              <w:rPr>
                <w:sz w:val="24"/>
                <w:szCs w:val="24"/>
                <w:lang w:val="en-GB"/>
              </w:rPr>
              <w:t>Very common</w:t>
            </w:r>
          </w:p>
        </w:tc>
      </w:tr>
      <w:tr w:rsidR="0078138E" w:rsidRPr="0078138E" w14:paraId="7110ABEF" w14:textId="77777777" w:rsidTr="00882574">
        <w:tc>
          <w:tcPr>
            <w:tcW w:w="1796" w:type="pct"/>
            <w:tcBorders>
              <w:top w:val="single" w:sz="4" w:space="0" w:color="auto"/>
              <w:left w:val="single" w:sz="4" w:space="0" w:color="auto"/>
              <w:bottom w:val="single" w:sz="4" w:space="0" w:color="auto"/>
              <w:right w:val="single" w:sz="4" w:space="0" w:color="auto"/>
            </w:tcBorders>
            <w:hideMark/>
          </w:tcPr>
          <w:p w14:paraId="2A2F5016" w14:textId="77777777" w:rsidR="0078138E" w:rsidRPr="0078138E" w:rsidRDefault="0078138E" w:rsidP="00882574">
            <w:pPr>
              <w:rPr>
                <w:sz w:val="24"/>
                <w:szCs w:val="24"/>
                <w:lang w:val="en-GB"/>
              </w:rPr>
            </w:pPr>
            <w:proofErr w:type="spellStart"/>
            <w:r w:rsidRPr="0078138E">
              <w:rPr>
                <w:sz w:val="24"/>
                <w:szCs w:val="24"/>
                <w:lang w:val="en-GB"/>
              </w:rPr>
              <w:t>Neutropenia</w:t>
            </w:r>
            <w:r w:rsidRPr="0078138E">
              <w:rPr>
                <w:sz w:val="24"/>
                <w:szCs w:val="24"/>
                <w:vertAlign w:val="superscript"/>
                <w:lang w:val="en-GB"/>
              </w:rPr>
              <w:t>a</w:t>
            </w:r>
            <w:proofErr w:type="spellEnd"/>
          </w:p>
        </w:tc>
        <w:tc>
          <w:tcPr>
            <w:tcW w:w="1536" w:type="pct"/>
            <w:tcBorders>
              <w:top w:val="single" w:sz="4" w:space="0" w:color="auto"/>
              <w:left w:val="single" w:sz="4" w:space="0" w:color="auto"/>
              <w:bottom w:val="single" w:sz="4" w:space="0" w:color="auto"/>
              <w:right w:val="single" w:sz="4" w:space="0" w:color="auto"/>
            </w:tcBorders>
          </w:tcPr>
          <w:p w14:paraId="74201EC0" w14:textId="77777777" w:rsidR="0078138E" w:rsidRPr="0078138E" w:rsidRDefault="0078138E" w:rsidP="00882574">
            <w:pPr>
              <w:ind w:left="116"/>
              <w:rPr>
                <w:sz w:val="24"/>
                <w:szCs w:val="24"/>
                <w:lang w:val="en-GB"/>
              </w:rPr>
            </w:pPr>
          </w:p>
        </w:tc>
        <w:tc>
          <w:tcPr>
            <w:tcW w:w="1668" w:type="pct"/>
            <w:tcBorders>
              <w:top w:val="single" w:sz="4" w:space="0" w:color="auto"/>
              <w:left w:val="single" w:sz="4" w:space="0" w:color="auto"/>
              <w:bottom w:val="single" w:sz="4" w:space="0" w:color="auto"/>
              <w:right w:val="single" w:sz="4" w:space="0" w:color="auto"/>
            </w:tcBorders>
          </w:tcPr>
          <w:p w14:paraId="0F48A5E3" w14:textId="77777777" w:rsidR="0078138E" w:rsidRPr="0078138E" w:rsidRDefault="0078138E" w:rsidP="00882574">
            <w:pPr>
              <w:rPr>
                <w:sz w:val="24"/>
                <w:szCs w:val="24"/>
                <w:lang w:val="en-GB"/>
              </w:rPr>
            </w:pPr>
          </w:p>
        </w:tc>
      </w:tr>
      <w:tr w:rsidR="0078138E" w:rsidRPr="0078138E" w14:paraId="213A6CC9" w14:textId="77777777" w:rsidTr="00882574">
        <w:tc>
          <w:tcPr>
            <w:tcW w:w="1796" w:type="pct"/>
            <w:tcBorders>
              <w:top w:val="single" w:sz="4" w:space="0" w:color="auto"/>
              <w:left w:val="single" w:sz="4" w:space="0" w:color="auto"/>
              <w:bottom w:val="single" w:sz="4" w:space="0" w:color="auto"/>
              <w:right w:val="single" w:sz="4" w:space="0" w:color="auto"/>
            </w:tcBorders>
            <w:hideMark/>
          </w:tcPr>
          <w:p w14:paraId="27A0F20D" w14:textId="77777777" w:rsidR="0078138E" w:rsidRPr="0078138E" w:rsidRDefault="0078138E" w:rsidP="002A0A70">
            <w:pPr>
              <w:ind w:left="316"/>
              <w:rPr>
                <w:sz w:val="24"/>
                <w:szCs w:val="24"/>
                <w:lang w:val="en-GB"/>
              </w:rPr>
            </w:pPr>
            <w:proofErr w:type="spellStart"/>
            <w:r w:rsidRPr="0078138E">
              <w:rPr>
                <w:sz w:val="24"/>
                <w:szCs w:val="24"/>
                <w:lang w:val="en-GB"/>
              </w:rPr>
              <w:t>CTCAE</w:t>
            </w:r>
            <w:r w:rsidRPr="0078138E">
              <w:rPr>
                <w:sz w:val="24"/>
                <w:szCs w:val="24"/>
                <w:vertAlign w:val="superscript"/>
                <w:lang w:val="en-GB"/>
              </w:rPr>
              <w:t>c</w:t>
            </w:r>
            <w:proofErr w:type="spellEnd"/>
            <w:r w:rsidRPr="0078138E">
              <w:rPr>
                <w:sz w:val="24"/>
                <w:szCs w:val="24"/>
                <w:lang w:val="en-GB"/>
              </w:rPr>
              <w:t xml:space="preserve"> grade 4</w:t>
            </w:r>
          </w:p>
          <w:p w14:paraId="6472AADF" w14:textId="77777777" w:rsidR="0078138E" w:rsidRPr="0078138E" w:rsidRDefault="0078138E" w:rsidP="002A0A70">
            <w:pPr>
              <w:ind w:left="316"/>
              <w:rPr>
                <w:sz w:val="24"/>
                <w:szCs w:val="24"/>
                <w:lang w:val="en-GB"/>
              </w:rPr>
            </w:pPr>
            <w:r w:rsidRPr="0078138E">
              <w:rPr>
                <w:sz w:val="24"/>
                <w:szCs w:val="24"/>
                <w:lang w:val="en-GB"/>
              </w:rPr>
              <w:t>(&lt;500/mm</w:t>
            </w:r>
            <w:r w:rsidRPr="0078138E">
              <w:rPr>
                <w:sz w:val="24"/>
                <w:szCs w:val="24"/>
                <w:vertAlign w:val="superscript"/>
                <w:lang w:val="en-GB"/>
              </w:rPr>
              <w:t>3</w:t>
            </w:r>
            <w:r w:rsidRPr="0078138E">
              <w:rPr>
                <w:sz w:val="24"/>
                <w:szCs w:val="24"/>
                <w:lang w:val="en-GB"/>
              </w:rPr>
              <w:t>)</w:t>
            </w:r>
          </w:p>
        </w:tc>
        <w:tc>
          <w:tcPr>
            <w:tcW w:w="1536" w:type="pct"/>
            <w:tcBorders>
              <w:top w:val="single" w:sz="4" w:space="0" w:color="auto"/>
              <w:left w:val="single" w:sz="4" w:space="0" w:color="auto"/>
              <w:bottom w:val="single" w:sz="4" w:space="0" w:color="auto"/>
              <w:right w:val="single" w:sz="4" w:space="0" w:color="auto"/>
            </w:tcBorders>
            <w:hideMark/>
          </w:tcPr>
          <w:p w14:paraId="1E121829" w14:textId="77777777" w:rsidR="0078138E" w:rsidRPr="0078138E" w:rsidRDefault="0078138E" w:rsidP="002A0A70">
            <w:pPr>
              <w:ind w:left="116"/>
              <w:jc w:val="center"/>
              <w:rPr>
                <w:sz w:val="24"/>
                <w:szCs w:val="24"/>
                <w:lang w:val="en-GB"/>
              </w:rPr>
            </w:pPr>
            <w:r w:rsidRPr="0078138E">
              <w:rPr>
                <w:sz w:val="24"/>
                <w:szCs w:val="24"/>
                <w:lang w:val="en-GB"/>
              </w:rPr>
              <w:t>Common</w:t>
            </w:r>
          </w:p>
        </w:tc>
        <w:tc>
          <w:tcPr>
            <w:tcW w:w="1668" w:type="pct"/>
            <w:tcBorders>
              <w:top w:val="single" w:sz="4" w:space="0" w:color="auto"/>
              <w:left w:val="single" w:sz="4" w:space="0" w:color="auto"/>
              <w:bottom w:val="single" w:sz="4" w:space="0" w:color="auto"/>
              <w:right w:val="single" w:sz="4" w:space="0" w:color="auto"/>
            </w:tcBorders>
            <w:hideMark/>
          </w:tcPr>
          <w:p w14:paraId="3735ACFE" w14:textId="77777777" w:rsidR="0078138E" w:rsidRPr="0078138E" w:rsidRDefault="0078138E" w:rsidP="002A0A70">
            <w:pPr>
              <w:jc w:val="center"/>
              <w:rPr>
                <w:sz w:val="24"/>
                <w:szCs w:val="24"/>
                <w:lang w:val="en-GB"/>
              </w:rPr>
            </w:pPr>
            <w:r w:rsidRPr="0078138E">
              <w:rPr>
                <w:sz w:val="24"/>
                <w:szCs w:val="24"/>
                <w:lang w:val="en-GB"/>
              </w:rPr>
              <w:t>Uncommon</w:t>
            </w:r>
          </w:p>
        </w:tc>
      </w:tr>
      <w:tr w:rsidR="0078138E" w:rsidRPr="0078138E" w14:paraId="73AD0C86" w14:textId="77777777" w:rsidTr="00882574">
        <w:tc>
          <w:tcPr>
            <w:tcW w:w="1796" w:type="pct"/>
            <w:tcBorders>
              <w:top w:val="single" w:sz="4" w:space="0" w:color="auto"/>
              <w:left w:val="single" w:sz="4" w:space="0" w:color="auto"/>
              <w:bottom w:val="single" w:sz="4" w:space="0" w:color="auto"/>
              <w:right w:val="single" w:sz="4" w:space="0" w:color="auto"/>
            </w:tcBorders>
            <w:hideMark/>
          </w:tcPr>
          <w:p w14:paraId="596C0CB2" w14:textId="77777777" w:rsidR="0078138E" w:rsidRPr="0078138E" w:rsidRDefault="0078138E" w:rsidP="002A0A70">
            <w:pPr>
              <w:ind w:left="316"/>
              <w:rPr>
                <w:sz w:val="24"/>
                <w:szCs w:val="24"/>
                <w:lang w:val="en-GB"/>
              </w:rPr>
            </w:pPr>
            <w:proofErr w:type="spellStart"/>
            <w:r w:rsidRPr="0078138E">
              <w:rPr>
                <w:sz w:val="24"/>
                <w:szCs w:val="24"/>
                <w:lang w:val="en-GB"/>
              </w:rPr>
              <w:t>CTCAE</w:t>
            </w:r>
            <w:r w:rsidRPr="0078138E">
              <w:rPr>
                <w:sz w:val="24"/>
                <w:szCs w:val="24"/>
                <w:vertAlign w:val="superscript"/>
                <w:lang w:val="en-GB"/>
              </w:rPr>
              <w:t>c</w:t>
            </w:r>
            <w:proofErr w:type="spellEnd"/>
            <w:r w:rsidRPr="0078138E">
              <w:rPr>
                <w:sz w:val="24"/>
                <w:szCs w:val="24"/>
                <w:lang w:val="en-GB"/>
              </w:rPr>
              <w:t xml:space="preserve"> grade 3</w:t>
            </w:r>
          </w:p>
          <w:p w14:paraId="212FF2EA" w14:textId="77777777" w:rsidR="0078138E" w:rsidRPr="0078138E" w:rsidRDefault="0078138E" w:rsidP="002A0A70">
            <w:pPr>
              <w:ind w:left="316"/>
              <w:rPr>
                <w:sz w:val="24"/>
                <w:szCs w:val="24"/>
                <w:lang w:val="en-GB"/>
              </w:rPr>
            </w:pPr>
            <w:r w:rsidRPr="0078138E">
              <w:rPr>
                <w:sz w:val="24"/>
                <w:szCs w:val="24"/>
                <w:lang w:val="en-GB"/>
              </w:rPr>
              <w:t>(&lt;1 000 – 500/mm</w:t>
            </w:r>
            <w:r w:rsidRPr="0078138E">
              <w:rPr>
                <w:sz w:val="24"/>
                <w:szCs w:val="24"/>
                <w:vertAlign w:val="superscript"/>
                <w:lang w:val="en-GB"/>
              </w:rPr>
              <w:t>3</w:t>
            </w:r>
            <w:r w:rsidRPr="0078138E">
              <w:rPr>
                <w:sz w:val="24"/>
                <w:szCs w:val="24"/>
                <w:lang w:val="en-GB"/>
              </w:rPr>
              <w:t>)</w:t>
            </w:r>
          </w:p>
        </w:tc>
        <w:tc>
          <w:tcPr>
            <w:tcW w:w="1536" w:type="pct"/>
            <w:tcBorders>
              <w:top w:val="single" w:sz="4" w:space="0" w:color="auto"/>
              <w:left w:val="single" w:sz="4" w:space="0" w:color="auto"/>
              <w:bottom w:val="single" w:sz="4" w:space="0" w:color="auto"/>
              <w:right w:val="single" w:sz="4" w:space="0" w:color="auto"/>
            </w:tcBorders>
            <w:hideMark/>
          </w:tcPr>
          <w:p w14:paraId="4786C436" w14:textId="77777777" w:rsidR="0078138E" w:rsidRPr="0078138E" w:rsidRDefault="0078138E" w:rsidP="002A0A70">
            <w:pPr>
              <w:ind w:left="116"/>
              <w:jc w:val="center"/>
              <w:rPr>
                <w:sz w:val="24"/>
                <w:szCs w:val="24"/>
                <w:lang w:val="en-GB"/>
              </w:rPr>
            </w:pPr>
            <w:r w:rsidRPr="0078138E">
              <w:rPr>
                <w:sz w:val="24"/>
                <w:szCs w:val="24"/>
                <w:lang w:val="en-GB"/>
              </w:rPr>
              <w:t>Common</w:t>
            </w:r>
          </w:p>
        </w:tc>
        <w:tc>
          <w:tcPr>
            <w:tcW w:w="1668" w:type="pct"/>
            <w:tcBorders>
              <w:top w:val="single" w:sz="4" w:space="0" w:color="auto"/>
              <w:left w:val="single" w:sz="4" w:space="0" w:color="auto"/>
              <w:bottom w:val="single" w:sz="4" w:space="0" w:color="auto"/>
              <w:right w:val="single" w:sz="4" w:space="0" w:color="auto"/>
            </w:tcBorders>
            <w:hideMark/>
          </w:tcPr>
          <w:p w14:paraId="18223738" w14:textId="77777777" w:rsidR="0078138E" w:rsidRPr="0078138E" w:rsidRDefault="0078138E" w:rsidP="002A0A70">
            <w:pPr>
              <w:jc w:val="center"/>
              <w:rPr>
                <w:sz w:val="24"/>
                <w:szCs w:val="24"/>
                <w:lang w:val="en-GB"/>
              </w:rPr>
            </w:pPr>
            <w:r w:rsidRPr="0078138E">
              <w:rPr>
                <w:sz w:val="24"/>
                <w:szCs w:val="24"/>
                <w:lang w:val="en-GB"/>
              </w:rPr>
              <w:t>Uncommon</w:t>
            </w:r>
          </w:p>
        </w:tc>
      </w:tr>
      <w:tr w:rsidR="0078138E" w:rsidRPr="0078138E" w14:paraId="563952EE" w14:textId="77777777" w:rsidTr="00882574">
        <w:tc>
          <w:tcPr>
            <w:tcW w:w="1796" w:type="pct"/>
            <w:tcBorders>
              <w:top w:val="single" w:sz="4" w:space="0" w:color="auto"/>
              <w:left w:val="single" w:sz="4" w:space="0" w:color="auto"/>
              <w:bottom w:val="single" w:sz="4" w:space="0" w:color="auto"/>
              <w:right w:val="single" w:sz="4" w:space="0" w:color="auto"/>
            </w:tcBorders>
            <w:hideMark/>
          </w:tcPr>
          <w:p w14:paraId="50C65ED3" w14:textId="77777777" w:rsidR="0078138E" w:rsidRPr="0078138E" w:rsidRDefault="0078138E" w:rsidP="002A0A70">
            <w:pPr>
              <w:ind w:left="316"/>
              <w:rPr>
                <w:sz w:val="24"/>
                <w:szCs w:val="24"/>
                <w:lang w:val="en-GB"/>
              </w:rPr>
            </w:pPr>
            <w:r w:rsidRPr="0078138E">
              <w:rPr>
                <w:sz w:val="24"/>
                <w:szCs w:val="24"/>
                <w:lang w:val="en-GB"/>
              </w:rPr>
              <w:t xml:space="preserve">Any </w:t>
            </w:r>
            <w:proofErr w:type="spellStart"/>
            <w:r w:rsidRPr="0078138E">
              <w:rPr>
                <w:sz w:val="24"/>
                <w:szCs w:val="24"/>
                <w:lang w:val="en-GB"/>
              </w:rPr>
              <w:t>CTCAE</w:t>
            </w:r>
            <w:r w:rsidRPr="0078138E">
              <w:rPr>
                <w:sz w:val="24"/>
                <w:szCs w:val="24"/>
                <w:vertAlign w:val="superscript"/>
                <w:lang w:val="en-GB"/>
              </w:rPr>
              <w:t>c</w:t>
            </w:r>
            <w:proofErr w:type="spellEnd"/>
            <w:r w:rsidRPr="0078138E">
              <w:rPr>
                <w:sz w:val="24"/>
                <w:szCs w:val="24"/>
                <w:lang w:val="en-GB"/>
              </w:rPr>
              <w:t xml:space="preserve"> grade</w:t>
            </w:r>
          </w:p>
        </w:tc>
        <w:tc>
          <w:tcPr>
            <w:tcW w:w="1536" w:type="pct"/>
            <w:tcBorders>
              <w:top w:val="single" w:sz="4" w:space="0" w:color="auto"/>
              <w:left w:val="single" w:sz="4" w:space="0" w:color="auto"/>
              <w:bottom w:val="single" w:sz="4" w:space="0" w:color="auto"/>
              <w:right w:val="single" w:sz="4" w:space="0" w:color="auto"/>
            </w:tcBorders>
            <w:hideMark/>
          </w:tcPr>
          <w:p w14:paraId="65309F17" w14:textId="77777777" w:rsidR="0078138E" w:rsidRPr="0078138E" w:rsidRDefault="0078138E" w:rsidP="002A0A70">
            <w:pPr>
              <w:ind w:left="116"/>
              <w:jc w:val="center"/>
              <w:rPr>
                <w:sz w:val="24"/>
                <w:szCs w:val="24"/>
                <w:lang w:val="en-GB"/>
              </w:rPr>
            </w:pPr>
            <w:r w:rsidRPr="0078138E">
              <w:rPr>
                <w:sz w:val="24"/>
                <w:szCs w:val="24"/>
                <w:lang w:val="en-GB"/>
              </w:rPr>
              <w:t>Very common</w:t>
            </w:r>
          </w:p>
        </w:tc>
        <w:tc>
          <w:tcPr>
            <w:tcW w:w="1668" w:type="pct"/>
            <w:tcBorders>
              <w:top w:val="single" w:sz="4" w:space="0" w:color="auto"/>
              <w:left w:val="single" w:sz="4" w:space="0" w:color="auto"/>
              <w:bottom w:val="single" w:sz="4" w:space="0" w:color="auto"/>
              <w:right w:val="single" w:sz="4" w:space="0" w:color="auto"/>
            </w:tcBorders>
            <w:hideMark/>
          </w:tcPr>
          <w:p w14:paraId="1554186A" w14:textId="77777777" w:rsidR="0078138E" w:rsidRPr="0078138E" w:rsidRDefault="0078138E" w:rsidP="002A0A70">
            <w:pPr>
              <w:jc w:val="center"/>
              <w:rPr>
                <w:sz w:val="24"/>
                <w:szCs w:val="24"/>
                <w:lang w:val="en-GB"/>
              </w:rPr>
            </w:pPr>
            <w:r w:rsidRPr="0078138E">
              <w:rPr>
                <w:sz w:val="24"/>
                <w:szCs w:val="24"/>
                <w:lang w:val="en-GB"/>
              </w:rPr>
              <w:t>Common</w:t>
            </w:r>
          </w:p>
        </w:tc>
      </w:tr>
      <w:tr w:rsidR="0078138E" w:rsidRPr="0078138E" w14:paraId="2677C3A9" w14:textId="77777777" w:rsidTr="00882574">
        <w:tc>
          <w:tcPr>
            <w:tcW w:w="1796" w:type="pct"/>
            <w:tcBorders>
              <w:top w:val="single" w:sz="4" w:space="0" w:color="auto"/>
              <w:left w:val="single" w:sz="4" w:space="0" w:color="auto"/>
              <w:bottom w:val="single" w:sz="4" w:space="0" w:color="auto"/>
              <w:right w:val="single" w:sz="4" w:space="0" w:color="auto"/>
            </w:tcBorders>
            <w:hideMark/>
          </w:tcPr>
          <w:p w14:paraId="702F45AE" w14:textId="77777777" w:rsidR="0078138E" w:rsidRPr="0078138E" w:rsidRDefault="0078138E" w:rsidP="00882574">
            <w:pPr>
              <w:rPr>
                <w:sz w:val="24"/>
                <w:szCs w:val="24"/>
                <w:lang w:val="en-GB"/>
              </w:rPr>
            </w:pPr>
            <w:proofErr w:type="spellStart"/>
            <w:proofErr w:type="gramStart"/>
            <w:r w:rsidRPr="0078138E">
              <w:rPr>
                <w:sz w:val="24"/>
                <w:szCs w:val="24"/>
                <w:lang w:val="en-GB"/>
              </w:rPr>
              <w:t>Pancytopenia</w:t>
            </w:r>
            <w:r w:rsidRPr="0078138E">
              <w:rPr>
                <w:sz w:val="24"/>
                <w:szCs w:val="24"/>
                <w:vertAlign w:val="superscript"/>
                <w:lang w:val="en-GB"/>
              </w:rPr>
              <w:t>a,b</w:t>
            </w:r>
            <w:proofErr w:type="spellEnd"/>
            <w:proofErr w:type="gramEnd"/>
          </w:p>
        </w:tc>
        <w:tc>
          <w:tcPr>
            <w:tcW w:w="1536" w:type="pct"/>
            <w:tcBorders>
              <w:top w:val="single" w:sz="4" w:space="0" w:color="auto"/>
              <w:left w:val="single" w:sz="4" w:space="0" w:color="auto"/>
              <w:bottom w:val="single" w:sz="4" w:space="0" w:color="auto"/>
              <w:right w:val="single" w:sz="4" w:space="0" w:color="auto"/>
            </w:tcBorders>
            <w:hideMark/>
          </w:tcPr>
          <w:p w14:paraId="60912084" w14:textId="77777777" w:rsidR="0078138E" w:rsidRPr="0078138E" w:rsidRDefault="0078138E" w:rsidP="002A0A70">
            <w:pPr>
              <w:ind w:left="116"/>
              <w:jc w:val="center"/>
              <w:rPr>
                <w:sz w:val="24"/>
                <w:szCs w:val="24"/>
                <w:lang w:val="en-GB"/>
              </w:rPr>
            </w:pPr>
            <w:r w:rsidRPr="0078138E">
              <w:rPr>
                <w:sz w:val="24"/>
                <w:szCs w:val="24"/>
                <w:lang w:val="en-GB"/>
              </w:rPr>
              <w:t>Common</w:t>
            </w:r>
          </w:p>
        </w:tc>
        <w:tc>
          <w:tcPr>
            <w:tcW w:w="1668" w:type="pct"/>
            <w:tcBorders>
              <w:top w:val="single" w:sz="4" w:space="0" w:color="auto"/>
              <w:left w:val="single" w:sz="4" w:space="0" w:color="auto"/>
              <w:bottom w:val="single" w:sz="4" w:space="0" w:color="auto"/>
              <w:right w:val="single" w:sz="4" w:space="0" w:color="auto"/>
            </w:tcBorders>
            <w:hideMark/>
          </w:tcPr>
          <w:p w14:paraId="3A994EFB" w14:textId="77777777" w:rsidR="0078138E" w:rsidRPr="0078138E" w:rsidRDefault="0078138E" w:rsidP="002A0A70">
            <w:pPr>
              <w:jc w:val="center"/>
              <w:rPr>
                <w:sz w:val="24"/>
                <w:szCs w:val="24"/>
                <w:lang w:val="en-GB"/>
              </w:rPr>
            </w:pPr>
            <w:r w:rsidRPr="0078138E">
              <w:rPr>
                <w:sz w:val="24"/>
                <w:szCs w:val="24"/>
                <w:lang w:val="en-GB"/>
              </w:rPr>
              <w:t>Common</w:t>
            </w:r>
          </w:p>
        </w:tc>
      </w:tr>
      <w:tr w:rsidR="0078138E" w:rsidRPr="0078138E" w14:paraId="32D6F179" w14:textId="77777777" w:rsidTr="00882574">
        <w:tc>
          <w:tcPr>
            <w:tcW w:w="1796" w:type="pct"/>
            <w:tcBorders>
              <w:top w:val="single" w:sz="4" w:space="0" w:color="auto"/>
              <w:left w:val="single" w:sz="4" w:space="0" w:color="auto"/>
              <w:bottom w:val="single" w:sz="4" w:space="0" w:color="auto"/>
              <w:right w:val="single" w:sz="4" w:space="0" w:color="auto"/>
            </w:tcBorders>
            <w:hideMark/>
          </w:tcPr>
          <w:p w14:paraId="5B99E104" w14:textId="77777777" w:rsidR="0078138E" w:rsidRPr="0078138E" w:rsidRDefault="0078138E" w:rsidP="00882574">
            <w:pPr>
              <w:rPr>
                <w:sz w:val="24"/>
                <w:szCs w:val="24"/>
                <w:lang w:val="en-GB"/>
              </w:rPr>
            </w:pPr>
            <w:r w:rsidRPr="0078138E">
              <w:rPr>
                <w:sz w:val="24"/>
                <w:szCs w:val="24"/>
                <w:lang w:val="en-GB"/>
              </w:rPr>
              <w:t>Bleeding (any bleeding including intracranial, and gastrointestinal bleeding, bruising and other bleeding)</w:t>
            </w:r>
          </w:p>
        </w:tc>
        <w:tc>
          <w:tcPr>
            <w:tcW w:w="1536" w:type="pct"/>
            <w:tcBorders>
              <w:top w:val="single" w:sz="4" w:space="0" w:color="auto"/>
              <w:left w:val="single" w:sz="4" w:space="0" w:color="auto"/>
              <w:bottom w:val="single" w:sz="4" w:space="0" w:color="auto"/>
              <w:right w:val="single" w:sz="4" w:space="0" w:color="auto"/>
            </w:tcBorders>
            <w:hideMark/>
          </w:tcPr>
          <w:p w14:paraId="395A4041" w14:textId="77777777" w:rsidR="0078138E" w:rsidRPr="0078138E" w:rsidRDefault="0078138E" w:rsidP="002A0A70">
            <w:pPr>
              <w:ind w:left="116"/>
              <w:jc w:val="center"/>
              <w:rPr>
                <w:sz w:val="24"/>
                <w:szCs w:val="24"/>
                <w:lang w:val="en-GB"/>
              </w:rPr>
            </w:pPr>
            <w:r w:rsidRPr="0078138E">
              <w:rPr>
                <w:sz w:val="24"/>
                <w:szCs w:val="24"/>
                <w:lang w:val="en-GB"/>
              </w:rPr>
              <w:t>Very common</w:t>
            </w:r>
          </w:p>
        </w:tc>
        <w:tc>
          <w:tcPr>
            <w:tcW w:w="1668" w:type="pct"/>
            <w:tcBorders>
              <w:top w:val="single" w:sz="4" w:space="0" w:color="auto"/>
              <w:left w:val="single" w:sz="4" w:space="0" w:color="auto"/>
              <w:bottom w:val="single" w:sz="4" w:space="0" w:color="auto"/>
              <w:right w:val="single" w:sz="4" w:space="0" w:color="auto"/>
            </w:tcBorders>
            <w:hideMark/>
          </w:tcPr>
          <w:p w14:paraId="565FC35F" w14:textId="77777777" w:rsidR="0078138E" w:rsidRPr="0078138E" w:rsidRDefault="0078138E" w:rsidP="002A0A70">
            <w:pPr>
              <w:jc w:val="center"/>
              <w:rPr>
                <w:sz w:val="24"/>
                <w:szCs w:val="24"/>
                <w:lang w:val="en-GB"/>
              </w:rPr>
            </w:pPr>
            <w:r w:rsidRPr="0078138E">
              <w:rPr>
                <w:sz w:val="24"/>
                <w:szCs w:val="24"/>
                <w:lang w:val="en-GB"/>
              </w:rPr>
              <w:t>Very common</w:t>
            </w:r>
          </w:p>
        </w:tc>
      </w:tr>
      <w:tr w:rsidR="0078138E" w:rsidRPr="0078138E" w14:paraId="5019908B" w14:textId="77777777" w:rsidTr="00882574">
        <w:tc>
          <w:tcPr>
            <w:tcW w:w="1796" w:type="pct"/>
            <w:tcBorders>
              <w:top w:val="single" w:sz="4" w:space="0" w:color="auto"/>
              <w:left w:val="single" w:sz="4" w:space="0" w:color="auto"/>
              <w:bottom w:val="single" w:sz="4" w:space="0" w:color="auto"/>
              <w:right w:val="single" w:sz="4" w:space="0" w:color="auto"/>
            </w:tcBorders>
            <w:hideMark/>
          </w:tcPr>
          <w:p w14:paraId="7AFA8040" w14:textId="77777777" w:rsidR="0078138E" w:rsidRPr="0078138E" w:rsidRDefault="0078138E" w:rsidP="002A0A70">
            <w:pPr>
              <w:ind w:left="316"/>
              <w:rPr>
                <w:sz w:val="24"/>
                <w:szCs w:val="24"/>
                <w:lang w:val="en-GB"/>
              </w:rPr>
            </w:pPr>
            <w:r w:rsidRPr="0078138E">
              <w:rPr>
                <w:sz w:val="24"/>
                <w:szCs w:val="24"/>
                <w:lang w:val="en-GB"/>
              </w:rPr>
              <w:t>Bruising</w:t>
            </w:r>
          </w:p>
        </w:tc>
        <w:tc>
          <w:tcPr>
            <w:tcW w:w="1536" w:type="pct"/>
            <w:tcBorders>
              <w:top w:val="single" w:sz="4" w:space="0" w:color="auto"/>
              <w:left w:val="single" w:sz="4" w:space="0" w:color="auto"/>
              <w:bottom w:val="single" w:sz="4" w:space="0" w:color="auto"/>
              <w:right w:val="single" w:sz="4" w:space="0" w:color="auto"/>
            </w:tcBorders>
            <w:hideMark/>
          </w:tcPr>
          <w:p w14:paraId="77171A85" w14:textId="77777777" w:rsidR="0078138E" w:rsidRPr="0078138E" w:rsidRDefault="0078138E" w:rsidP="002A0A70">
            <w:pPr>
              <w:ind w:left="116"/>
              <w:jc w:val="center"/>
              <w:rPr>
                <w:sz w:val="24"/>
                <w:szCs w:val="24"/>
                <w:lang w:val="en-GB"/>
              </w:rPr>
            </w:pPr>
            <w:r w:rsidRPr="0078138E">
              <w:rPr>
                <w:sz w:val="24"/>
                <w:szCs w:val="24"/>
                <w:lang w:val="en-GB"/>
              </w:rPr>
              <w:t>Very common</w:t>
            </w:r>
          </w:p>
        </w:tc>
        <w:tc>
          <w:tcPr>
            <w:tcW w:w="1668" w:type="pct"/>
            <w:tcBorders>
              <w:top w:val="single" w:sz="4" w:space="0" w:color="auto"/>
              <w:left w:val="single" w:sz="4" w:space="0" w:color="auto"/>
              <w:bottom w:val="single" w:sz="4" w:space="0" w:color="auto"/>
              <w:right w:val="single" w:sz="4" w:space="0" w:color="auto"/>
            </w:tcBorders>
            <w:hideMark/>
          </w:tcPr>
          <w:p w14:paraId="4C616982" w14:textId="77777777" w:rsidR="0078138E" w:rsidRPr="0078138E" w:rsidRDefault="0078138E" w:rsidP="002A0A70">
            <w:pPr>
              <w:jc w:val="center"/>
              <w:rPr>
                <w:sz w:val="24"/>
                <w:szCs w:val="24"/>
                <w:lang w:val="en-GB"/>
              </w:rPr>
            </w:pPr>
            <w:r w:rsidRPr="0078138E">
              <w:rPr>
                <w:sz w:val="24"/>
                <w:szCs w:val="24"/>
                <w:lang w:val="en-GB"/>
              </w:rPr>
              <w:t>Very common</w:t>
            </w:r>
          </w:p>
        </w:tc>
      </w:tr>
      <w:tr w:rsidR="0078138E" w:rsidRPr="0078138E" w14:paraId="6C5D1025" w14:textId="77777777" w:rsidTr="00882574">
        <w:tc>
          <w:tcPr>
            <w:tcW w:w="1796" w:type="pct"/>
            <w:tcBorders>
              <w:top w:val="single" w:sz="4" w:space="0" w:color="auto"/>
              <w:left w:val="single" w:sz="4" w:space="0" w:color="auto"/>
              <w:bottom w:val="single" w:sz="4" w:space="0" w:color="auto"/>
              <w:right w:val="single" w:sz="4" w:space="0" w:color="auto"/>
            </w:tcBorders>
            <w:hideMark/>
          </w:tcPr>
          <w:p w14:paraId="7FCB090C" w14:textId="77777777" w:rsidR="0078138E" w:rsidRPr="0078138E" w:rsidRDefault="0078138E" w:rsidP="002A0A70">
            <w:pPr>
              <w:ind w:left="316"/>
              <w:rPr>
                <w:sz w:val="24"/>
                <w:szCs w:val="24"/>
                <w:lang w:val="en-GB"/>
              </w:rPr>
            </w:pPr>
            <w:r w:rsidRPr="0078138E">
              <w:rPr>
                <w:sz w:val="24"/>
                <w:szCs w:val="24"/>
                <w:lang w:val="en-GB"/>
              </w:rPr>
              <w:t>Gastrointestinal bleeding</w:t>
            </w:r>
          </w:p>
        </w:tc>
        <w:tc>
          <w:tcPr>
            <w:tcW w:w="1536" w:type="pct"/>
            <w:tcBorders>
              <w:top w:val="single" w:sz="4" w:space="0" w:color="auto"/>
              <w:left w:val="single" w:sz="4" w:space="0" w:color="auto"/>
              <w:bottom w:val="single" w:sz="4" w:space="0" w:color="auto"/>
              <w:right w:val="single" w:sz="4" w:space="0" w:color="auto"/>
            </w:tcBorders>
            <w:hideMark/>
          </w:tcPr>
          <w:p w14:paraId="2B27086C" w14:textId="77777777" w:rsidR="0078138E" w:rsidRPr="0078138E" w:rsidRDefault="0078138E" w:rsidP="002A0A70">
            <w:pPr>
              <w:ind w:left="116"/>
              <w:jc w:val="center"/>
              <w:rPr>
                <w:sz w:val="24"/>
                <w:szCs w:val="24"/>
                <w:lang w:val="en-GB"/>
              </w:rPr>
            </w:pPr>
            <w:r w:rsidRPr="0078138E">
              <w:rPr>
                <w:sz w:val="24"/>
                <w:szCs w:val="24"/>
                <w:lang w:val="en-GB"/>
              </w:rPr>
              <w:t>Very common</w:t>
            </w:r>
          </w:p>
        </w:tc>
        <w:tc>
          <w:tcPr>
            <w:tcW w:w="1668" w:type="pct"/>
            <w:tcBorders>
              <w:top w:val="single" w:sz="4" w:space="0" w:color="auto"/>
              <w:left w:val="single" w:sz="4" w:space="0" w:color="auto"/>
              <w:bottom w:val="single" w:sz="4" w:space="0" w:color="auto"/>
              <w:right w:val="single" w:sz="4" w:space="0" w:color="auto"/>
            </w:tcBorders>
            <w:hideMark/>
          </w:tcPr>
          <w:p w14:paraId="137AE2D7" w14:textId="77777777" w:rsidR="0078138E" w:rsidRPr="0078138E" w:rsidRDefault="0078138E" w:rsidP="002A0A70">
            <w:pPr>
              <w:jc w:val="center"/>
              <w:rPr>
                <w:sz w:val="24"/>
                <w:szCs w:val="24"/>
                <w:lang w:val="en-GB"/>
              </w:rPr>
            </w:pPr>
            <w:r w:rsidRPr="0078138E">
              <w:rPr>
                <w:sz w:val="24"/>
                <w:szCs w:val="24"/>
                <w:lang w:val="en-GB"/>
              </w:rPr>
              <w:t>Common</w:t>
            </w:r>
          </w:p>
        </w:tc>
      </w:tr>
      <w:tr w:rsidR="0078138E" w:rsidRPr="0078138E" w14:paraId="0F81D944" w14:textId="77777777" w:rsidTr="00882574">
        <w:tc>
          <w:tcPr>
            <w:tcW w:w="1796" w:type="pct"/>
            <w:tcBorders>
              <w:top w:val="single" w:sz="4" w:space="0" w:color="auto"/>
              <w:left w:val="single" w:sz="4" w:space="0" w:color="auto"/>
              <w:bottom w:val="single" w:sz="4" w:space="0" w:color="auto"/>
              <w:right w:val="single" w:sz="4" w:space="0" w:color="auto"/>
            </w:tcBorders>
            <w:hideMark/>
          </w:tcPr>
          <w:p w14:paraId="49414491" w14:textId="77777777" w:rsidR="0078138E" w:rsidRPr="0078138E" w:rsidRDefault="0078138E" w:rsidP="002A0A70">
            <w:pPr>
              <w:ind w:left="316"/>
              <w:rPr>
                <w:sz w:val="24"/>
                <w:szCs w:val="24"/>
                <w:lang w:val="en-GB"/>
              </w:rPr>
            </w:pPr>
            <w:r w:rsidRPr="0078138E">
              <w:rPr>
                <w:sz w:val="24"/>
                <w:szCs w:val="24"/>
                <w:lang w:val="en-GB"/>
              </w:rPr>
              <w:t>Intracranial bleeding</w:t>
            </w:r>
          </w:p>
        </w:tc>
        <w:tc>
          <w:tcPr>
            <w:tcW w:w="1536" w:type="pct"/>
            <w:tcBorders>
              <w:top w:val="single" w:sz="4" w:space="0" w:color="auto"/>
              <w:left w:val="single" w:sz="4" w:space="0" w:color="auto"/>
              <w:bottom w:val="single" w:sz="4" w:space="0" w:color="auto"/>
              <w:right w:val="single" w:sz="4" w:space="0" w:color="auto"/>
            </w:tcBorders>
            <w:hideMark/>
          </w:tcPr>
          <w:p w14:paraId="67F04285" w14:textId="77777777" w:rsidR="0078138E" w:rsidRPr="0078138E" w:rsidRDefault="0078138E" w:rsidP="002A0A70">
            <w:pPr>
              <w:ind w:left="116"/>
              <w:jc w:val="center"/>
              <w:rPr>
                <w:sz w:val="24"/>
                <w:szCs w:val="24"/>
                <w:lang w:val="en-GB"/>
              </w:rPr>
            </w:pPr>
            <w:r w:rsidRPr="0078138E">
              <w:rPr>
                <w:sz w:val="24"/>
                <w:szCs w:val="24"/>
                <w:lang w:val="en-GB"/>
              </w:rPr>
              <w:t>Common</w:t>
            </w:r>
          </w:p>
        </w:tc>
        <w:tc>
          <w:tcPr>
            <w:tcW w:w="1668" w:type="pct"/>
            <w:tcBorders>
              <w:top w:val="single" w:sz="4" w:space="0" w:color="auto"/>
              <w:left w:val="single" w:sz="4" w:space="0" w:color="auto"/>
              <w:bottom w:val="single" w:sz="4" w:space="0" w:color="auto"/>
              <w:right w:val="single" w:sz="4" w:space="0" w:color="auto"/>
            </w:tcBorders>
            <w:hideMark/>
          </w:tcPr>
          <w:p w14:paraId="0734CBFA" w14:textId="77777777" w:rsidR="0078138E" w:rsidRPr="0078138E" w:rsidRDefault="0078138E" w:rsidP="002A0A70">
            <w:pPr>
              <w:jc w:val="center"/>
              <w:rPr>
                <w:sz w:val="24"/>
                <w:szCs w:val="24"/>
                <w:lang w:val="en-GB"/>
              </w:rPr>
            </w:pPr>
            <w:r w:rsidRPr="0078138E">
              <w:rPr>
                <w:sz w:val="24"/>
                <w:szCs w:val="24"/>
                <w:lang w:val="en-GB"/>
              </w:rPr>
              <w:t>Uncommon</w:t>
            </w:r>
          </w:p>
        </w:tc>
      </w:tr>
      <w:tr w:rsidR="0078138E" w:rsidRPr="0078138E" w14:paraId="734D50C7" w14:textId="77777777" w:rsidTr="00882574">
        <w:tc>
          <w:tcPr>
            <w:tcW w:w="1796" w:type="pct"/>
            <w:tcBorders>
              <w:top w:val="single" w:sz="4" w:space="0" w:color="auto"/>
              <w:left w:val="single" w:sz="4" w:space="0" w:color="auto"/>
              <w:bottom w:val="single" w:sz="4" w:space="0" w:color="auto"/>
              <w:right w:val="single" w:sz="4" w:space="0" w:color="auto"/>
            </w:tcBorders>
            <w:hideMark/>
          </w:tcPr>
          <w:p w14:paraId="0378B5F6" w14:textId="77777777" w:rsidR="0078138E" w:rsidRPr="0078138E" w:rsidRDefault="0078138E" w:rsidP="002A0A70">
            <w:pPr>
              <w:ind w:left="316"/>
              <w:rPr>
                <w:sz w:val="24"/>
                <w:szCs w:val="24"/>
                <w:lang w:val="en-GB"/>
              </w:rPr>
            </w:pPr>
            <w:r w:rsidRPr="0078138E">
              <w:rPr>
                <w:sz w:val="24"/>
                <w:szCs w:val="24"/>
                <w:lang w:val="en-GB"/>
              </w:rPr>
              <w:t>Other bleeding (including epistaxis, post-procedural haemorrhage and haematuria)</w:t>
            </w:r>
          </w:p>
        </w:tc>
        <w:tc>
          <w:tcPr>
            <w:tcW w:w="1536" w:type="pct"/>
            <w:tcBorders>
              <w:top w:val="single" w:sz="4" w:space="0" w:color="auto"/>
              <w:left w:val="single" w:sz="4" w:space="0" w:color="auto"/>
              <w:bottom w:val="single" w:sz="4" w:space="0" w:color="auto"/>
              <w:right w:val="single" w:sz="4" w:space="0" w:color="auto"/>
            </w:tcBorders>
            <w:hideMark/>
          </w:tcPr>
          <w:p w14:paraId="48E950F2" w14:textId="77777777" w:rsidR="0078138E" w:rsidRPr="0078138E" w:rsidRDefault="0078138E" w:rsidP="002A0A70">
            <w:pPr>
              <w:ind w:left="116"/>
              <w:jc w:val="center"/>
              <w:rPr>
                <w:sz w:val="24"/>
                <w:szCs w:val="24"/>
                <w:lang w:val="en-GB"/>
              </w:rPr>
            </w:pPr>
            <w:r w:rsidRPr="0078138E">
              <w:rPr>
                <w:sz w:val="24"/>
                <w:szCs w:val="24"/>
                <w:lang w:val="en-GB"/>
              </w:rPr>
              <w:t>Very common</w:t>
            </w:r>
          </w:p>
        </w:tc>
        <w:tc>
          <w:tcPr>
            <w:tcW w:w="1668" w:type="pct"/>
            <w:tcBorders>
              <w:top w:val="single" w:sz="4" w:space="0" w:color="auto"/>
              <w:left w:val="single" w:sz="4" w:space="0" w:color="auto"/>
              <w:bottom w:val="single" w:sz="4" w:space="0" w:color="auto"/>
              <w:right w:val="single" w:sz="4" w:space="0" w:color="auto"/>
            </w:tcBorders>
            <w:hideMark/>
          </w:tcPr>
          <w:p w14:paraId="39D31EB1" w14:textId="77777777" w:rsidR="0078138E" w:rsidRPr="0078138E" w:rsidRDefault="0078138E" w:rsidP="002A0A70">
            <w:pPr>
              <w:jc w:val="center"/>
              <w:rPr>
                <w:sz w:val="24"/>
                <w:szCs w:val="24"/>
                <w:lang w:val="en-GB"/>
              </w:rPr>
            </w:pPr>
            <w:r w:rsidRPr="0078138E">
              <w:rPr>
                <w:sz w:val="24"/>
                <w:szCs w:val="24"/>
                <w:lang w:val="en-GB"/>
              </w:rPr>
              <w:t>Very common</w:t>
            </w:r>
          </w:p>
        </w:tc>
      </w:tr>
      <w:tr w:rsidR="0078138E" w:rsidRPr="0078138E" w14:paraId="1E33EF9E" w14:textId="77777777" w:rsidTr="00882574">
        <w:tc>
          <w:tcPr>
            <w:tcW w:w="5000" w:type="pct"/>
            <w:gridSpan w:val="3"/>
            <w:tcBorders>
              <w:top w:val="single" w:sz="4" w:space="0" w:color="auto"/>
              <w:left w:val="single" w:sz="4" w:space="0" w:color="auto"/>
              <w:bottom w:val="single" w:sz="4" w:space="0" w:color="auto"/>
              <w:right w:val="single" w:sz="4" w:space="0" w:color="auto"/>
            </w:tcBorders>
            <w:hideMark/>
          </w:tcPr>
          <w:p w14:paraId="7820D262" w14:textId="77777777" w:rsidR="0078138E" w:rsidRPr="0078138E" w:rsidRDefault="0078138E" w:rsidP="00882574">
            <w:pPr>
              <w:rPr>
                <w:sz w:val="24"/>
                <w:szCs w:val="24"/>
                <w:lang w:val="en-GB"/>
              </w:rPr>
            </w:pPr>
            <w:r w:rsidRPr="0078138E">
              <w:rPr>
                <w:b/>
                <w:bCs/>
                <w:sz w:val="24"/>
                <w:szCs w:val="24"/>
                <w:lang w:val="en-GB"/>
              </w:rPr>
              <w:t>Metabolism and nutrition disorders</w:t>
            </w:r>
          </w:p>
        </w:tc>
      </w:tr>
      <w:tr w:rsidR="0078138E" w:rsidRPr="0078138E" w14:paraId="273ECCCF" w14:textId="77777777" w:rsidTr="00882574">
        <w:tc>
          <w:tcPr>
            <w:tcW w:w="1796" w:type="pct"/>
            <w:tcBorders>
              <w:top w:val="single" w:sz="4" w:space="0" w:color="auto"/>
              <w:left w:val="single" w:sz="4" w:space="0" w:color="auto"/>
              <w:bottom w:val="single" w:sz="4" w:space="0" w:color="auto"/>
              <w:right w:val="single" w:sz="4" w:space="0" w:color="auto"/>
            </w:tcBorders>
            <w:hideMark/>
          </w:tcPr>
          <w:p w14:paraId="497C372C" w14:textId="77777777" w:rsidR="0078138E" w:rsidRPr="0078138E" w:rsidRDefault="0078138E" w:rsidP="00882574">
            <w:pPr>
              <w:rPr>
                <w:sz w:val="24"/>
                <w:szCs w:val="24"/>
                <w:lang w:val="en-GB"/>
              </w:rPr>
            </w:pPr>
            <w:proofErr w:type="spellStart"/>
            <w:r w:rsidRPr="0078138E">
              <w:rPr>
                <w:sz w:val="24"/>
                <w:szCs w:val="24"/>
                <w:lang w:val="en-GB"/>
              </w:rPr>
              <w:t>Hypercholesterolaemia</w:t>
            </w:r>
            <w:r w:rsidRPr="0078138E">
              <w:rPr>
                <w:sz w:val="24"/>
                <w:szCs w:val="24"/>
                <w:vertAlign w:val="superscript"/>
                <w:lang w:val="en-GB"/>
              </w:rPr>
              <w:t>a</w:t>
            </w:r>
            <w:proofErr w:type="spellEnd"/>
          </w:p>
          <w:p w14:paraId="3D5D645B" w14:textId="77777777" w:rsidR="0078138E" w:rsidRPr="0078138E" w:rsidRDefault="0078138E" w:rsidP="002A0A70">
            <w:pPr>
              <w:ind w:left="316"/>
              <w:rPr>
                <w:sz w:val="24"/>
                <w:szCs w:val="24"/>
                <w:lang w:val="en-GB"/>
              </w:rPr>
            </w:pPr>
            <w:r w:rsidRPr="0078138E">
              <w:rPr>
                <w:sz w:val="24"/>
                <w:szCs w:val="24"/>
                <w:lang w:val="en-GB"/>
              </w:rPr>
              <w:t xml:space="preserve">any </w:t>
            </w:r>
            <w:proofErr w:type="spellStart"/>
            <w:r w:rsidRPr="0078138E">
              <w:rPr>
                <w:sz w:val="24"/>
                <w:szCs w:val="24"/>
                <w:lang w:val="en-GB"/>
              </w:rPr>
              <w:t>CTCAE</w:t>
            </w:r>
            <w:r w:rsidRPr="0078138E">
              <w:rPr>
                <w:sz w:val="24"/>
                <w:szCs w:val="24"/>
                <w:vertAlign w:val="superscript"/>
                <w:lang w:val="en-GB"/>
              </w:rPr>
              <w:t>c</w:t>
            </w:r>
            <w:proofErr w:type="spellEnd"/>
            <w:r w:rsidRPr="0078138E">
              <w:rPr>
                <w:sz w:val="24"/>
                <w:szCs w:val="24"/>
                <w:lang w:val="en-GB"/>
              </w:rPr>
              <w:t xml:space="preserve"> grade</w:t>
            </w:r>
          </w:p>
        </w:tc>
        <w:tc>
          <w:tcPr>
            <w:tcW w:w="1536" w:type="pct"/>
            <w:tcBorders>
              <w:top w:val="single" w:sz="4" w:space="0" w:color="auto"/>
              <w:left w:val="single" w:sz="4" w:space="0" w:color="auto"/>
              <w:bottom w:val="single" w:sz="4" w:space="0" w:color="auto"/>
              <w:right w:val="single" w:sz="4" w:space="0" w:color="auto"/>
            </w:tcBorders>
            <w:hideMark/>
          </w:tcPr>
          <w:p w14:paraId="42DFDAF0" w14:textId="77777777" w:rsidR="0078138E" w:rsidRPr="0078138E" w:rsidRDefault="0078138E" w:rsidP="002A0A70">
            <w:pPr>
              <w:ind w:left="116"/>
              <w:jc w:val="center"/>
              <w:rPr>
                <w:sz w:val="24"/>
                <w:szCs w:val="24"/>
                <w:lang w:val="en-GB"/>
              </w:rPr>
            </w:pPr>
            <w:r w:rsidRPr="0078138E">
              <w:rPr>
                <w:sz w:val="24"/>
                <w:szCs w:val="24"/>
                <w:lang w:val="en-GB"/>
              </w:rPr>
              <w:t>Very common</w:t>
            </w:r>
          </w:p>
        </w:tc>
        <w:tc>
          <w:tcPr>
            <w:tcW w:w="1668" w:type="pct"/>
            <w:tcBorders>
              <w:top w:val="single" w:sz="4" w:space="0" w:color="auto"/>
              <w:left w:val="single" w:sz="4" w:space="0" w:color="auto"/>
              <w:bottom w:val="single" w:sz="4" w:space="0" w:color="auto"/>
              <w:right w:val="single" w:sz="4" w:space="0" w:color="auto"/>
            </w:tcBorders>
            <w:hideMark/>
          </w:tcPr>
          <w:p w14:paraId="20DF07E6" w14:textId="77777777" w:rsidR="0078138E" w:rsidRPr="0078138E" w:rsidRDefault="0078138E" w:rsidP="002A0A70">
            <w:pPr>
              <w:jc w:val="center"/>
              <w:rPr>
                <w:sz w:val="24"/>
                <w:szCs w:val="24"/>
                <w:lang w:val="en-GB"/>
              </w:rPr>
            </w:pPr>
            <w:r w:rsidRPr="0078138E">
              <w:rPr>
                <w:sz w:val="24"/>
                <w:szCs w:val="24"/>
                <w:lang w:val="en-GB"/>
              </w:rPr>
              <w:t>Very common</w:t>
            </w:r>
          </w:p>
        </w:tc>
      </w:tr>
      <w:tr w:rsidR="0078138E" w:rsidRPr="0078138E" w14:paraId="7AF7CE0A" w14:textId="77777777" w:rsidTr="00882574">
        <w:tc>
          <w:tcPr>
            <w:tcW w:w="1796" w:type="pct"/>
            <w:tcBorders>
              <w:top w:val="single" w:sz="4" w:space="0" w:color="auto"/>
              <w:left w:val="single" w:sz="4" w:space="0" w:color="auto"/>
              <w:bottom w:val="single" w:sz="4" w:space="0" w:color="auto"/>
              <w:right w:val="single" w:sz="4" w:space="0" w:color="auto"/>
            </w:tcBorders>
            <w:hideMark/>
          </w:tcPr>
          <w:p w14:paraId="2F43FB44" w14:textId="77777777" w:rsidR="0078138E" w:rsidRPr="0078138E" w:rsidRDefault="0078138E" w:rsidP="00882574">
            <w:pPr>
              <w:rPr>
                <w:sz w:val="24"/>
                <w:szCs w:val="24"/>
                <w:lang w:val="en-GB"/>
              </w:rPr>
            </w:pPr>
            <w:proofErr w:type="spellStart"/>
            <w:r w:rsidRPr="0078138E">
              <w:rPr>
                <w:sz w:val="24"/>
                <w:szCs w:val="24"/>
                <w:lang w:val="en-GB"/>
              </w:rPr>
              <w:t>Hypertriglyceridaemia</w:t>
            </w:r>
            <w:r w:rsidRPr="0078138E">
              <w:rPr>
                <w:sz w:val="24"/>
                <w:szCs w:val="24"/>
                <w:vertAlign w:val="superscript"/>
                <w:lang w:val="en-GB"/>
              </w:rPr>
              <w:t>a</w:t>
            </w:r>
            <w:proofErr w:type="spellEnd"/>
          </w:p>
          <w:p w14:paraId="5E0B1FEA" w14:textId="77777777" w:rsidR="0078138E" w:rsidRPr="0078138E" w:rsidRDefault="0078138E" w:rsidP="002A0A70">
            <w:pPr>
              <w:ind w:left="316"/>
              <w:rPr>
                <w:sz w:val="24"/>
                <w:szCs w:val="24"/>
                <w:lang w:val="en-GB"/>
              </w:rPr>
            </w:pPr>
            <w:r w:rsidRPr="0078138E">
              <w:rPr>
                <w:sz w:val="24"/>
                <w:szCs w:val="24"/>
                <w:lang w:val="en-GB"/>
              </w:rPr>
              <w:t xml:space="preserve">any </w:t>
            </w:r>
            <w:proofErr w:type="spellStart"/>
            <w:r w:rsidRPr="0078138E">
              <w:rPr>
                <w:sz w:val="24"/>
                <w:szCs w:val="24"/>
                <w:lang w:val="en-GB"/>
              </w:rPr>
              <w:t>CTCAE</w:t>
            </w:r>
            <w:r w:rsidRPr="0078138E">
              <w:rPr>
                <w:sz w:val="24"/>
                <w:szCs w:val="24"/>
                <w:vertAlign w:val="superscript"/>
                <w:lang w:val="en-GB"/>
              </w:rPr>
              <w:t>c</w:t>
            </w:r>
            <w:proofErr w:type="spellEnd"/>
            <w:r w:rsidRPr="0078138E">
              <w:rPr>
                <w:sz w:val="24"/>
                <w:szCs w:val="24"/>
                <w:lang w:val="en-GB"/>
              </w:rPr>
              <w:t xml:space="preserve"> grade</w:t>
            </w:r>
          </w:p>
        </w:tc>
        <w:tc>
          <w:tcPr>
            <w:tcW w:w="1536" w:type="pct"/>
            <w:tcBorders>
              <w:top w:val="single" w:sz="4" w:space="0" w:color="auto"/>
              <w:left w:val="single" w:sz="4" w:space="0" w:color="auto"/>
              <w:bottom w:val="single" w:sz="4" w:space="0" w:color="auto"/>
              <w:right w:val="single" w:sz="4" w:space="0" w:color="auto"/>
            </w:tcBorders>
            <w:hideMark/>
          </w:tcPr>
          <w:p w14:paraId="6BD44765" w14:textId="77777777" w:rsidR="0078138E" w:rsidRPr="0078138E" w:rsidRDefault="0078138E" w:rsidP="002A0A70">
            <w:pPr>
              <w:ind w:left="116"/>
              <w:jc w:val="center"/>
              <w:rPr>
                <w:sz w:val="24"/>
                <w:szCs w:val="24"/>
                <w:lang w:val="en-GB"/>
              </w:rPr>
            </w:pPr>
            <w:r w:rsidRPr="0078138E">
              <w:rPr>
                <w:sz w:val="24"/>
                <w:szCs w:val="24"/>
                <w:lang w:val="en-GB"/>
              </w:rPr>
              <w:t>Very common</w:t>
            </w:r>
          </w:p>
        </w:tc>
        <w:tc>
          <w:tcPr>
            <w:tcW w:w="1668" w:type="pct"/>
            <w:tcBorders>
              <w:top w:val="single" w:sz="4" w:space="0" w:color="auto"/>
              <w:left w:val="single" w:sz="4" w:space="0" w:color="auto"/>
              <w:bottom w:val="single" w:sz="4" w:space="0" w:color="auto"/>
              <w:right w:val="single" w:sz="4" w:space="0" w:color="auto"/>
            </w:tcBorders>
            <w:hideMark/>
          </w:tcPr>
          <w:p w14:paraId="49C3E367" w14:textId="77777777" w:rsidR="0078138E" w:rsidRPr="0078138E" w:rsidRDefault="0078138E" w:rsidP="002A0A70">
            <w:pPr>
              <w:jc w:val="center"/>
              <w:rPr>
                <w:sz w:val="24"/>
                <w:szCs w:val="24"/>
                <w:lang w:val="en-GB"/>
              </w:rPr>
            </w:pPr>
            <w:r w:rsidRPr="0078138E">
              <w:rPr>
                <w:sz w:val="24"/>
                <w:szCs w:val="24"/>
                <w:lang w:val="en-GB"/>
              </w:rPr>
              <w:t>Very common</w:t>
            </w:r>
          </w:p>
        </w:tc>
      </w:tr>
      <w:tr w:rsidR="0078138E" w:rsidRPr="0078138E" w14:paraId="2C5A7242" w14:textId="77777777" w:rsidTr="00882574">
        <w:tc>
          <w:tcPr>
            <w:tcW w:w="1796" w:type="pct"/>
            <w:tcBorders>
              <w:top w:val="single" w:sz="4" w:space="0" w:color="auto"/>
              <w:left w:val="single" w:sz="4" w:space="0" w:color="auto"/>
              <w:bottom w:val="single" w:sz="4" w:space="0" w:color="auto"/>
              <w:right w:val="single" w:sz="4" w:space="0" w:color="auto"/>
            </w:tcBorders>
            <w:hideMark/>
          </w:tcPr>
          <w:p w14:paraId="0FA85DDB" w14:textId="77777777" w:rsidR="0078138E" w:rsidRPr="0078138E" w:rsidRDefault="0078138E" w:rsidP="00882574">
            <w:pPr>
              <w:rPr>
                <w:sz w:val="24"/>
                <w:szCs w:val="24"/>
                <w:lang w:val="en-GB"/>
              </w:rPr>
            </w:pPr>
            <w:r w:rsidRPr="0078138E">
              <w:rPr>
                <w:sz w:val="24"/>
                <w:szCs w:val="24"/>
                <w:lang w:val="en-GB"/>
              </w:rPr>
              <w:t>Weight gain</w:t>
            </w:r>
          </w:p>
        </w:tc>
        <w:tc>
          <w:tcPr>
            <w:tcW w:w="1536" w:type="pct"/>
            <w:tcBorders>
              <w:top w:val="single" w:sz="4" w:space="0" w:color="auto"/>
              <w:left w:val="single" w:sz="4" w:space="0" w:color="auto"/>
              <w:bottom w:val="single" w:sz="4" w:space="0" w:color="auto"/>
              <w:right w:val="single" w:sz="4" w:space="0" w:color="auto"/>
            </w:tcBorders>
            <w:hideMark/>
          </w:tcPr>
          <w:p w14:paraId="492556BA" w14:textId="77777777" w:rsidR="0078138E" w:rsidRPr="0078138E" w:rsidRDefault="0078138E" w:rsidP="002A0A70">
            <w:pPr>
              <w:ind w:left="116"/>
              <w:jc w:val="center"/>
              <w:rPr>
                <w:sz w:val="24"/>
                <w:szCs w:val="24"/>
                <w:lang w:val="en-GB"/>
              </w:rPr>
            </w:pPr>
            <w:r w:rsidRPr="0078138E">
              <w:rPr>
                <w:sz w:val="24"/>
                <w:szCs w:val="24"/>
                <w:lang w:val="en-GB"/>
              </w:rPr>
              <w:t>Very common</w:t>
            </w:r>
          </w:p>
        </w:tc>
        <w:tc>
          <w:tcPr>
            <w:tcW w:w="1668" w:type="pct"/>
            <w:tcBorders>
              <w:top w:val="single" w:sz="4" w:space="0" w:color="auto"/>
              <w:left w:val="single" w:sz="4" w:space="0" w:color="auto"/>
              <w:bottom w:val="single" w:sz="4" w:space="0" w:color="auto"/>
              <w:right w:val="single" w:sz="4" w:space="0" w:color="auto"/>
            </w:tcBorders>
            <w:hideMark/>
          </w:tcPr>
          <w:p w14:paraId="387CF1F1" w14:textId="77777777" w:rsidR="0078138E" w:rsidRPr="0078138E" w:rsidRDefault="0078138E" w:rsidP="002A0A70">
            <w:pPr>
              <w:jc w:val="center"/>
              <w:rPr>
                <w:sz w:val="24"/>
                <w:szCs w:val="24"/>
                <w:lang w:val="en-GB"/>
              </w:rPr>
            </w:pPr>
            <w:r w:rsidRPr="0078138E">
              <w:rPr>
                <w:sz w:val="24"/>
                <w:szCs w:val="24"/>
                <w:lang w:val="en-GB"/>
              </w:rPr>
              <w:t>Very common</w:t>
            </w:r>
          </w:p>
        </w:tc>
      </w:tr>
      <w:tr w:rsidR="0078138E" w:rsidRPr="0078138E" w14:paraId="78B039D9" w14:textId="77777777" w:rsidTr="00882574">
        <w:tc>
          <w:tcPr>
            <w:tcW w:w="5000" w:type="pct"/>
            <w:gridSpan w:val="3"/>
            <w:tcBorders>
              <w:top w:val="single" w:sz="4" w:space="0" w:color="auto"/>
              <w:left w:val="single" w:sz="4" w:space="0" w:color="auto"/>
              <w:bottom w:val="single" w:sz="4" w:space="0" w:color="auto"/>
              <w:right w:val="single" w:sz="4" w:space="0" w:color="auto"/>
            </w:tcBorders>
            <w:hideMark/>
          </w:tcPr>
          <w:p w14:paraId="24DE214C" w14:textId="77777777" w:rsidR="0078138E" w:rsidRPr="0078138E" w:rsidRDefault="0078138E" w:rsidP="00882574">
            <w:pPr>
              <w:rPr>
                <w:sz w:val="24"/>
                <w:szCs w:val="24"/>
                <w:lang w:val="en-GB"/>
              </w:rPr>
            </w:pPr>
            <w:r w:rsidRPr="0078138E">
              <w:rPr>
                <w:b/>
                <w:bCs/>
                <w:sz w:val="24"/>
                <w:szCs w:val="24"/>
                <w:lang w:val="en-GB"/>
              </w:rPr>
              <w:t>Nervous system disorders</w:t>
            </w:r>
          </w:p>
        </w:tc>
      </w:tr>
      <w:tr w:rsidR="0078138E" w:rsidRPr="0078138E" w14:paraId="071E646B" w14:textId="77777777" w:rsidTr="00882574">
        <w:tc>
          <w:tcPr>
            <w:tcW w:w="1796" w:type="pct"/>
            <w:tcBorders>
              <w:top w:val="single" w:sz="4" w:space="0" w:color="auto"/>
              <w:left w:val="single" w:sz="4" w:space="0" w:color="auto"/>
              <w:bottom w:val="single" w:sz="4" w:space="0" w:color="auto"/>
              <w:right w:val="single" w:sz="4" w:space="0" w:color="auto"/>
            </w:tcBorders>
            <w:hideMark/>
          </w:tcPr>
          <w:p w14:paraId="1BA8207D" w14:textId="77777777" w:rsidR="0078138E" w:rsidRPr="0078138E" w:rsidRDefault="0078138E" w:rsidP="00882574">
            <w:pPr>
              <w:rPr>
                <w:sz w:val="24"/>
                <w:szCs w:val="24"/>
                <w:lang w:val="en-GB"/>
              </w:rPr>
            </w:pPr>
            <w:r w:rsidRPr="0078138E">
              <w:rPr>
                <w:sz w:val="24"/>
                <w:szCs w:val="24"/>
                <w:lang w:val="en-GB"/>
              </w:rPr>
              <w:t>Dizziness</w:t>
            </w:r>
          </w:p>
        </w:tc>
        <w:tc>
          <w:tcPr>
            <w:tcW w:w="1536" w:type="pct"/>
            <w:tcBorders>
              <w:top w:val="single" w:sz="4" w:space="0" w:color="auto"/>
              <w:left w:val="single" w:sz="4" w:space="0" w:color="auto"/>
              <w:bottom w:val="single" w:sz="4" w:space="0" w:color="auto"/>
              <w:right w:val="single" w:sz="4" w:space="0" w:color="auto"/>
            </w:tcBorders>
            <w:hideMark/>
          </w:tcPr>
          <w:p w14:paraId="1BF30932" w14:textId="77777777" w:rsidR="0078138E" w:rsidRPr="0078138E" w:rsidRDefault="0078138E" w:rsidP="002A0A70">
            <w:pPr>
              <w:ind w:left="116"/>
              <w:jc w:val="center"/>
              <w:rPr>
                <w:sz w:val="24"/>
                <w:szCs w:val="24"/>
                <w:lang w:val="en-GB"/>
              </w:rPr>
            </w:pPr>
            <w:r w:rsidRPr="0078138E">
              <w:rPr>
                <w:sz w:val="24"/>
                <w:szCs w:val="24"/>
                <w:lang w:val="en-GB"/>
              </w:rPr>
              <w:t>Very common</w:t>
            </w:r>
          </w:p>
        </w:tc>
        <w:tc>
          <w:tcPr>
            <w:tcW w:w="1668" w:type="pct"/>
            <w:tcBorders>
              <w:top w:val="single" w:sz="4" w:space="0" w:color="auto"/>
              <w:left w:val="single" w:sz="4" w:space="0" w:color="auto"/>
              <w:bottom w:val="single" w:sz="4" w:space="0" w:color="auto"/>
              <w:right w:val="single" w:sz="4" w:space="0" w:color="auto"/>
            </w:tcBorders>
            <w:hideMark/>
          </w:tcPr>
          <w:p w14:paraId="55B475F7" w14:textId="77777777" w:rsidR="0078138E" w:rsidRPr="0078138E" w:rsidRDefault="0078138E" w:rsidP="002A0A70">
            <w:pPr>
              <w:jc w:val="center"/>
              <w:rPr>
                <w:sz w:val="24"/>
                <w:szCs w:val="24"/>
                <w:lang w:val="en-GB"/>
              </w:rPr>
            </w:pPr>
            <w:r w:rsidRPr="0078138E">
              <w:rPr>
                <w:sz w:val="24"/>
                <w:szCs w:val="24"/>
                <w:lang w:val="en-GB"/>
              </w:rPr>
              <w:t>Very common</w:t>
            </w:r>
          </w:p>
        </w:tc>
      </w:tr>
      <w:tr w:rsidR="0078138E" w:rsidRPr="0078138E" w14:paraId="786DE0AC" w14:textId="77777777" w:rsidTr="00882574">
        <w:tc>
          <w:tcPr>
            <w:tcW w:w="1796" w:type="pct"/>
            <w:tcBorders>
              <w:top w:val="single" w:sz="4" w:space="0" w:color="auto"/>
              <w:left w:val="single" w:sz="4" w:space="0" w:color="auto"/>
              <w:bottom w:val="single" w:sz="4" w:space="0" w:color="auto"/>
              <w:right w:val="single" w:sz="4" w:space="0" w:color="auto"/>
            </w:tcBorders>
            <w:hideMark/>
          </w:tcPr>
          <w:p w14:paraId="33FF0EA0" w14:textId="77777777" w:rsidR="0078138E" w:rsidRPr="0078138E" w:rsidRDefault="0078138E" w:rsidP="00882574">
            <w:pPr>
              <w:rPr>
                <w:sz w:val="24"/>
                <w:szCs w:val="24"/>
                <w:lang w:val="en-GB"/>
              </w:rPr>
            </w:pPr>
            <w:r w:rsidRPr="0078138E">
              <w:rPr>
                <w:sz w:val="24"/>
                <w:szCs w:val="24"/>
                <w:lang w:val="en-GB"/>
              </w:rPr>
              <w:t>Headache</w:t>
            </w:r>
          </w:p>
        </w:tc>
        <w:tc>
          <w:tcPr>
            <w:tcW w:w="1536" w:type="pct"/>
            <w:tcBorders>
              <w:top w:val="single" w:sz="4" w:space="0" w:color="auto"/>
              <w:left w:val="single" w:sz="4" w:space="0" w:color="auto"/>
              <w:bottom w:val="single" w:sz="4" w:space="0" w:color="auto"/>
              <w:right w:val="single" w:sz="4" w:space="0" w:color="auto"/>
            </w:tcBorders>
            <w:hideMark/>
          </w:tcPr>
          <w:p w14:paraId="5AE0DAFA" w14:textId="77777777" w:rsidR="0078138E" w:rsidRPr="0078138E" w:rsidRDefault="0078138E" w:rsidP="002A0A70">
            <w:pPr>
              <w:ind w:left="116"/>
              <w:jc w:val="center"/>
              <w:rPr>
                <w:sz w:val="24"/>
                <w:szCs w:val="24"/>
                <w:lang w:val="en-GB"/>
              </w:rPr>
            </w:pPr>
            <w:r w:rsidRPr="0078138E">
              <w:rPr>
                <w:sz w:val="24"/>
                <w:szCs w:val="24"/>
                <w:lang w:val="en-GB"/>
              </w:rPr>
              <w:t>Very common</w:t>
            </w:r>
          </w:p>
        </w:tc>
        <w:tc>
          <w:tcPr>
            <w:tcW w:w="1668" w:type="pct"/>
            <w:tcBorders>
              <w:top w:val="single" w:sz="4" w:space="0" w:color="auto"/>
              <w:left w:val="single" w:sz="4" w:space="0" w:color="auto"/>
              <w:bottom w:val="single" w:sz="4" w:space="0" w:color="auto"/>
              <w:right w:val="single" w:sz="4" w:space="0" w:color="auto"/>
            </w:tcBorders>
            <w:hideMark/>
          </w:tcPr>
          <w:p w14:paraId="7F3D9444" w14:textId="77777777" w:rsidR="0078138E" w:rsidRPr="0078138E" w:rsidRDefault="0078138E" w:rsidP="002A0A70">
            <w:pPr>
              <w:jc w:val="center"/>
              <w:rPr>
                <w:sz w:val="24"/>
                <w:szCs w:val="24"/>
                <w:lang w:val="en-GB"/>
              </w:rPr>
            </w:pPr>
            <w:r w:rsidRPr="0078138E">
              <w:rPr>
                <w:sz w:val="24"/>
                <w:szCs w:val="24"/>
                <w:lang w:val="en-GB"/>
              </w:rPr>
              <w:t>Very common</w:t>
            </w:r>
          </w:p>
        </w:tc>
      </w:tr>
      <w:tr w:rsidR="0078138E" w:rsidRPr="0078138E" w14:paraId="04D05080" w14:textId="77777777" w:rsidTr="00882574">
        <w:tc>
          <w:tcPr>
            <w:tcW w:w="5000" w:type="pct"/>
            <w:gridSpan w:val="3"/>
            <w:tcBorders>
              <w:top w:val="single" w:sz="4" w:space="0" w:color="auto"/>
              <w:left w:val="single" w:sz="4" w:space="0" w:color="auto"/>
              <w:bottom w:val="single" w:sz="4" w:space="0" w:color="auto"/>
              <w:right w:val="single" w:sz="4" w:space="0" w:color="auto"/>
            </w:tcBorders>
            <w:hideMark/>
          </w:tcPr>
          <w:p w14:paraId="2A511CF3" w14:textId="77777777" w:rsidR="0078138E" w:rsidRPr="0078138E" w:rsidRDefault="0078138E" w:rsidP="00882574">
            <w:pPr>
              <w:rPr>
                <w:sz w:val="24"/>
                <w:szCs w:val="24"/>
                <w:lang w:val="en-GB"/>
              </w:rPr>
            </w:pPr>
            <w:r w:rsidRPr="0078138E">
              <w:rPr>
                <w:b/>
                <w:bCs/>
                <w:sz w:val="24"/>
                <w:szCs w:val="24"/>
                <w:lang w:val="en-GB"/>
              </w:rPr>
              <w:t>Gastrointestinal disorders</w:t>
            </w:r>
          </w:p>
        </w:tc>
      </w:tr>
      <w:tr w:rsidR="0078138E" w:rsidRPr="0078138E" w14:paraId="6138E39F" w14:textId="77777777" w:rsidTr="00882574">
        <w:tc>
          <w:tcPr>
            <w:tcW w:w="1796" w:type="pct"/>
            <w:tcBorders>
              <w:top w:val="single" w:sz="4" w:space="0" w:color="auto"/>
              <w:left w:val="single" w:sz="4" w:space="0" w:color="auto"/>
              <w:bottom w:val="single" w:sz="4" w:space="0" w:color="auto"/>
              <w:right w:val="single" w:sz="4" w:space="0" w:color="auto"/>
            </w:tcBorders>
            <w:hideMark/>
          </w:tcPr>
          <w:p w14:paraId="46ACF725" w14:textId="77777777" w:rsidR="0078138E" w:rsidRPr="0078138E" w:rsidRDefault="0078138E" w:rsidP="00882574">
            <w:pPr>
              <w:rPr>
                <w:sz w:val="24"/>
                <w:szCs w:val="24"/>
                <w:lang w:val="en-GB"/>
              </w:rPr>
            </w:pPr>
            <w:r w:rsidRPr="0078138E">
              <w:rPr>
                <w:sz w:val="24"/>
                <w:szCs w:val="24"/>
                <w:lang w:val="en-GB"/>
              </w:rPr>
              <w:t xml:space="preserve">Elevated lipase, any </w:t>
            </w:r>
            <w:proofErr w:type="spellStart"/>
            <w:r w:rsidRPr="0078138E">
              <w:rPr>
                <w:sz w:val="24"/>
                <w:szCs w:val="24"/>
                <w:lang w:val="en-GB"/>
              </w:rPr>
              <w:t>CTCAE</w:t>
            </w:r>
            <w:r w:rsidRPr="0078138E">
              <w:rPr>
                <w:sz w:val="24"/>
                <w:szCs w:val="24"/>
                <w:vertAlign w:val="superscript"/>
                <w:lang w:val="en-GB"/>
              </w:rPr>
              <w:t>c</w:t>
            </w:r>
            <w:proofErr w:type="spellEnd"/>
            <w:r w:rsidRPr="0078138E">
              <w:rPr>
                <w:sz w:val="24"/>
                <w:szCs w:val="24"/>
                <w:lang w:val="en-GB"/>
              </w:rPr>
              <w:t xml:space="preserve"> grade</w:t>
            </w:r>
          </w:p>
        </w:tc>
        <w:tc>
          <w:tcPr>
            <w:tcW w:w="1536" w:type="pct"/>
            <w:tcBorders>
              <w:top w:val="single" w:sz="4" w:space="0" w:color="auto"/>
              <w:left w:val="single" w:sz="4" w:space="0" w:color="auto"/>
              <w:bottom w:val="single" w:sz="4" w:space="0" w:color="auto"/>
              <w:right w:val="single" w:sz="4" w:space="0" w:color="auto"/>
            </w:tcBorders>
            <w:hideMark/>
          </w:tcPr>
          <w:p w14:paraId="74922C91" w14:textId="77777777" w:rsidR="0078138E" w:rsidRPr="0078138E" w:rsidRDefault="0078138E" w:rsidP="002A0A70">
            <w:pPr>
              <w:ind w:left="116"/>
              <w:jc w:val="center"/>
              <w:rPr>
                <w:sz w:val="24"/>
                <w:szCs w:val="24"/>
                <w:lang w:val="en-GB"/>
              </w:rPr>
            </w:pPr>
            <w:r w:rsidRPr="0078138E">
              <w:rPr>
                <w:sz w:val="24"/>
                <w:szCs w:val="24"/>
                <w:lang w:val="en-GB"/>
              </w:rPr>
              <w:t>Very common</w:t>
            </w:r>
          </w:p>
        </w:tc>
        <w:tc>
          <w:tcPr>
            <w:tcW w:w="1668" w:type="pct"/>
            <w:tcBorders>
              <w:top w:val="single" w:sz="4" w:space="0" w:color="auto"/>
              <w:left w:val="single" w:sz="4" w:space="0" w:color="auto"/>
              <w:bottom w:val="single" w:sz="4" w:space="0" w:color="auto"/>
              <w:right w:val="single" w:sz="4" w:space="0" w:color="auto"/>
            </w:tcBorders>
            <w:hideMark/>
          </w:tcPr>
          <w:p w14:paraId="26C4A69F" w14:textId="77777777" w:rsidR="0078138E" w:rsidRPr="0078138E" w:rsidRDefault="0078138E" w:rsidP="002A0A70">
            <w:pPr>
              <w:jc w:val="center"/>
              <w:rPr>
                <w:sz w:val="24"/>
                <w:szCs w:val="24"/>
                <w:lang w:val="en-GB"/>
              </w:rPr>
            </w:pPr>
            <w:r w:rsidRPr="0078138E">
              <w:rPr>
                <w:sz w:val="24"/>
                <w:szCs w:val="24"/>
                <w:lang w:val="en-GB"/>
              </w:rPr>
              <w:t>Very common</w:t>
            </w:r>
          </w:p>
        </w:tc>
      </w:tr>
      <w:tr w:rsidR="0078138E" w:rsidRPr="0078138E" w14:paraId="54477758" w14:textId="77777777" w:rsidTr="00882574">
        <w:tc>
          <w:tcPr>
            <w:tcW w:w="1796" w:type="pct"/>
            <w:tcBorders>
              <w:top w:val="single" w:sz="4" w:space="0" w:color="auto"/>
              <w:left w:val="single" w:sz="4" w:space="0" w:color="auto"/>
              <w:bottom w:val="single" w:sz="4" w:space="0" w:color="auto"/>
              <w:right w:val="single" w:sz="4" w:space="0" w:color="auto"/>
            </w:tcBorders>
            <w:hideMark/>
          </w:tcPr>
          <w:p w14:paraId="5E813E00" w14:textId="77777777" w:rsidR="0078138E" w:rsidRPr="0078138E" w:rsidRDefault="0078138E" w:rsidP="00882574">
            <w:pPr>
              <w:rPr>
                <w:sz w:val="24"/>
                <w:szCs w:val="24"/>
                <w:lang w:val="en-GB"/>
              </w:rPr>
            </w:pPr>
            <w:r w:rsidRPr="0078138E">
              <w:rPr>
                <w:sz w:val="24"/>
                <w:szCs w:val="24"/>
                <w:lang w:val="en-GB"/>
              </w:rPr>
              <w:t>Constipation</w:t>
            </w:r>
          </w:p>
        </w:tc>
        <w:tc>
          <w:tcPr>
            <w:tcW w:w="1536" w:type="pct"/>
            <w:tcBorders>
              <w:top w:val="single" w:sz="4" w:space="0" w:color="auto"/>
              <w:left w:val="single" w:sz="4" w:space="0" w:color="auto"/>
              <w:bottom w:val="single" w:sz="4" w:space="0" w:color="auto"/>
              <w:right w:val="single" w:sz="4" w:space="0" w:color="auto"/>
            </w:tcBorders>
            <w:hideMark/>
          </w:tcPr>
          <w:p w14:paraId="1F346DC7" w14:textId="77777777" w:rsidR="0078138E" w:rsidRPr="0078138E" w:rsidRDefault="0078138E" w:rsidP="002A0A70">
            <w:pPr>
              <w:ind w:left="116"/>
              <w:jc w:val="center"/>
              <w:rPr>
                <w:sz w:val="24"/>
                <w:szCs w:val="24"/>
                <w:lang w:val="en-GB"/>
              </w:rPr>
            </w:pPr>
            <w:r w:rsidRPr="0078138E">
              <w:rPr>
                <w:sz w:val="24"/>
                <w:szCs w:val="24"/>
                <w:lang w:val="en-GB"/>
              </w:rPr>
              <w:t>Very common</w:t>
            </w:r>
          </w:p>
        </w:tc>
        <w:tc>
          <w:tcPr>
            <w:tcW w:w="1668" w:type="pct"/>
            <w:tcBorders>
              <w:top w:val="single" w:sz="4" w:space="0" w:color="auto"/>
              <w:left w:val="single" w:sz="4" w:space="0" w:color="auto"/>
              <w:bottom w:val="single" w:sz="4" w:space="0" w:color="auto"/>
              <w:right w:val="single" w:sz="4" w:space="0" w:color="auto"/>
            </w:tcBorders>
            <w:hideMark/>
          </w:tcPr>
          <w:p w14:paraId="396434B9" w14:textId="77777777" w:rsidR="0078138E" w:rsidRPr="0078138E" w:rsidRDefault="0078138E" w:rsidP="002A0A70">
            <w:pPr>
              <w:jc w:val="center"/>
              <w:rPr>
                <w:sz w:val="24"/>
                <w:szCs w:val="24"/>
                <w:lang w:val="en-GB"/>
              </w:rPr>
            </w:pPr>
            <w:r w:rsidRPr="0078138E">
              <w:rPr>
                <w:sz w:val="24"/>
                <w:szCs w:val="24"/>
                <w:lang w:val="en-GB"/>
              </w:rPr>
              <w:t>Very common</w:t>
            </w:r>
          </w:p>
        </w:tc>
      </w:tr>
      <w:tr w:rsidR="0078138E" w:rsidRPr="0078138E" w14:paraId="5195B0F8" w14:textId="77777777" w:rsidTr="00882574">
        <w:tc>
          <w:tcPr>
            <w:tcW w:w="1796" w:type="pct"/>
            <w:tcBorders>
              <w:top w:val="single" w:sz="4" w:space="0" w:color="auto"/>
              <w:left w:val="single" w:sz="4" w:space="0" w:color="auto"/>
              <w:bottom w:val="single" w:sz="4" w:space="0" w:color="auto"/>
              <w:right w:val="single" w:sz="4" w:space="0" w:color="auto"/>
            </w:tcBorders>
            <w:hideMark/>
          </w:tcPr>
          <w:p w14:paraId="54BA5883" w14:textId="77777777" w:rsidR="0078138E" w:rsidRPr="0078138E" w:rsidRDefault="0078138E" w:rsidP="00882574">
            <w:pPr>
              <w:rPr>
                <w:sz w:val="24"/>
                <w:szCs w:val="24"/>
                <w:lang w:val="en-GB"/>
              </w:rPr>
            </w:pPr>
            <w:r w:rsidRPr="0078138E">
              <w:rPr>
                <w:sz w:val="24"/>
                <w:szCs w:val="24"/>
                <w:lang w:val="en-GB"/>
              </w:rPr>
              <w:t>Flatulence</w:t>
            </w:r>
          </w:p>
        </w:tc>
        <w:tc>
          <w:tcPr>
            <w:tcW w:w="1536" w:type="pct"/>
            <w:tcBorders>
              <w:top w:val="single" w:sz="4" w:space="0" w:color="auto"/>
              <w:left w:val="single" w:sz="4" w:space="0" w:color="auto"/>
              <w:bottom w:val="single" w:sz="4" w:space="0" w:color="auto"/>
              <w:right w:val="single" w:sz="4" w:space="0" w:color="auto"/>
            </w:tcBorders>
            <w:hideMark/>
          </w:tcPr>
          <w:p w14:paraId="0BE288DD" w14:textId="77777777" w:rsidR="0078138E" w:rsidRPr="0078138E" w:rsidRDefault="0078138E" w:rsidP="002A0A70">
            <w:pPr>
              <w:ind w:left="116"/>
              <w:jc w:val="center"/>
              <w:rPr>
                <w:sz w:val="24"/>
                <w:szCs w:val="24"/>
                <w:lang w:val="en-GB"/>
              </w:rPr>
            </w:pPr>
            <w:r w:rsidRPr="0078138E">
              <w:rPr>
                <w:sz w:val="24"/>
                <w:szCs w:val="24"/>
                <w:lang w:val="en-GB"/>
              </w:rPr>
              <w:t>Common</w:t>
            </w:r>
          </w:p>
        </w:tc>
        <w:tc>
          <w:tcPr>
            <w:tcW w:w="1668" w:type="pct"/>
            <w:tcBorders>
              <w:top w:val="single" w:sz="4" w:space="0" w:color="auto"/>
              <w:left w:val="single" w:sz="4" w:space="0" w:color="auto"/>
              <w:bottom w:val="single" w:sz="4" w:space="0" w:color="auto"/>
              <w:right w:val="single" w:sz="4" w:space="0" w:color="auto"/>
            </w:tcBorders>
            <w:hideMark/>
          </w:tcPr>
          <w:p w14:paraId="0CA92FA6" w14:textId="77777777" w:rsidR="0078138E" w:rsidRPr="0078138E" w:rsidRDefault="0078138E" w:rsidP="002A0A70">
            <w:pPr>
              <w:jc w:val="center"/>
              <w:rPr>
                <w:sz w:val="24"/>
                <w:szCs w:val="24"/>
                <w:lang w:val="en-GB"/>
              </w:rPr>
            </w:pPr>
            <w:r w:rsidRPr="0078138E">
              <w:rPr>
                <w:sz w:val="24"/>
                <w:szCs w:val="24"/>
                <w:lang w:val="en-GB"/>
              </w:rPr>
              <w:t>Common</w:t>
            </w:r>
          </w:p>
        </w:tc>
      </w:tr>
      <w:tr w:rsidR="0078138E" w:rsidRPr="0078138E" w14:paraId="4D166909" w14:textId="77777777" w:rsidTr="00882574">
        <w:tc>
          <w:tcPr>
            <w:tcW w:w="5000" w:type="pct"/>
            <w:gridSpan w:val="3"/>
            <w:tcBorders>
              <w:top w:val="single" w:sz="4" w:space="0" w:color="auto"/>
              <w:left w:val="single" w:sz="4" w:space="0" w:color="auto"/>
              <w:bottom w:val="single" w:sz="4" w:space="0" w:color="auto"/>
              <w:right w:val="single" w:sz="4" w:space="0" w:color="auto"/>
            </w:tcBorders>
            <w:hideMark/>
          </w:tcPr>
          <w:p w14:paraId="76B306BD" w14:textId="77777777" w:rsidR="0078138E" w:rsidRPr="0078138E" w:rsidRDefault="0078138E" w:rsidP="00882574">
            <w:pPr>
              <w:rPr>
                <w:sz w:val="24"/>
                <w:szCs w:val="24"/>
                <w:lang w:val="en-GB"/>
              </w:rPr>
            </w:pPr>
            <w:r w:rsidRPr="0078138E">
              <w:rPr>
                <w:b/>
                <w:bCs/>
                <w:sz w:val="24"/>
                <w:szCs w:val="24"/>
                <w:lang w:val="en-GB"/>
              </w:rPr>
              <w:t>Hepatobiliary disorders</w:t>
            </w:r>
          </w:p>
        </w:tc>
      </w:tr>
      <w:tr w:rsidR="0078138E" w:rsidRPr="0078138E" w14:paraId="272D3710" w14:textId="77777777" w:rsidTr="00882574">
        <w:tc>
          <w:tcPr>
            <w:tcW w:w="1796" w:type="pct"/>
            <w:tcBorders>
              <w:top w:val="single" w:sz="4" w:space="0" w:color="auto"/>
              <w:left w:val="single" w:sz="4" w:space="0" w:color="auto"/>
              <w:bottom w:val="single" w:sz="4" w:space="0" w:color="auto"/>
              <w:right w:val="single" w:sz="4" w:space="0" w:color="auto"/>
            </w:tcBorders>
            <w:hideMark/>
          </w:tcPr>
          <w:p w14:paraId="6FC85928" w14:textId="77777777" w:rsidR="0078138E" w:rsidRPr="0078138E" w:rsidRDefault="0078138E" w:rsidP="00882574">
            <w:pPr>
              <w:rPr>
                <w:sz w:val="24"/>
                <w:szCs w:val="24"/>
                <w:lang w:val="en-GB"/>
              </w:rPr>
            </w:pPr>
            <w:r w:rsidRPr="0078138E">
              <w:rPr>
                <w:sz w:val="24"/>
                <w:szCs w:val="24"/>
                <w:lang w:val="en-GB"/>
              </w:rPr>
              <w:t xml:space="preserve">Increased alanine </w:t>
            </w:r>
            <w:proofErr w:type="spellStart"/>
            <w:r w:rsidRPr="0078138E">
              <w:rPr>
                <w:sz w:val="24"/>
                <w:szCs w:val="24"/>
                <w:lang w:val="en-GB"/>
              </w:rPr>
              <w:t>aminotransferase</w:t>
            </w:r>
            <w:r w:rsidRPr="0078138E">
              <w:rPr>
                <w:sz w:val="24"/>
                <w:szCs w:val="24"/>
                <w:vertAlign w:val="superscript"/>
                <w:lang w:val="en-GB"/>
              </w:rPr>
              <w:t>a</w:t>
            </w:r>
            <w:proofErr w:type="spellEnd"/>
          </w:p>
        </w:tc>
        <w:tc>
          <w:tcPr>
            <w:tcW w:w="1536" w:type="pct"/>
            <w:tcBorders>
              <w:top w:val="single" w:sz="4" w:space="0" w:color="auto"/>
              <w:left w:val="single" w:sz="4" w:space="0" w:color="auto"/>
              <w:bottom w:val="single" w:sz="4" w:space="0" w:color="auto"/>
              <w:right w:val="single" w:sz="4" w:space="0" w:color="auto"/>
            </w:tcBorders>
          </w:tcPr>
          <w:p w14:paraId="74113A08" w14:textId="77777777" w:rsidR="0078138E" w:rsidRPr="0078138E" w:rsidRDefault="0078138E" w:rsidP="002A0A70">
            <w:pPr>
              <w:ind w:left="116"/>
              <w:jc w:val="center"/>
              <w:rPr>
                <w:sz w:val="24"/>
                <w:szCs w:val="24"/>
                <w:lang w:val="en-GB"/>
              </w:rPr>
            </w:pPr>
          </w:p>
        </w:tc>
        <w:tc>
          <w:tcPr>
            <w:tcW w:w="1668" w:type="pct"/>
            <w:tcBorders>
              <w:top w:val="single" w:sz="4" w:space="0" w:color="auto"/>
              <w:left w:val="single" w:sz="4" w:space="0" w:color="auto"/>
              <w:bottom w:val="single" w:sz="4" w:space="0" w:color="auto"/>
              <w:right w:val="single" w:sz="4" w:space="0" w:color="auto"/>
            </w:tcBorders>
          </w:tcPr>
          <w:p w14:paraId="53EC3154" w14:textId="77777777" w:rsidR="0078138E" w:rsidRPr="0078138E" w:rsidRDefault="0078138E" w:rsidP="002A0A70">
            <w:pPr>
              <w:jc w:val="center"/>
              <w:rPr>
                <w:sz w:val="24"/>
                <w:szCs w:val="24"/>
                <w:lang w:val="en-GB"/>
              </w:rPr>
            </w:pPr>
          </w:p>
        </w:tc>
      </w:tr>
      <w:tr w:rsidR="0078138E" w:rsidRPr="0078138E" w14:paraId="6898A21C" w14:textId="77777777" w:rsidTr="00882574">
        <w:tc>
          <w:tcPr>
            <w:tcW w:w="1796" w:type="pct"/>
            <w:tcBorders>
              <w:top w:val="single" w:sz="4" w:space="0" w:color="auto"/>
              <w:left w:val="single" w:sz="4" w:space="0" w:color="auto"/>
              <w:bottom w:val="single" w:sz="4" w:space="0" w:color="auto"/>
              <w:right w:val="single" w:sz="4" w:space="0" w:color="auto"/>
            </w:tcBorders>
            <w:hideMark/>
          </w:tcPr>
          <w:p w14:paraId="0CA62899" w14:textId="77777777" w:rsidR="0078138E" w:rsidRPr="0078138E" w:rsidRDefault="0078138E" w:rsidP="002A0A70">
            <w:pPr>
              <w:ind w:left="316"/>
              <w:rPr>
                <w:sz w:val="24"/>
                <w:szCs w:val="24"/>
                <w:lang w:val="sv-SE"/>
              </w:rPr>
            </w:pPr>
            <w:proofErr w:type="spellStart"/>
            <w:r w:rsidRPr="0078138E">
              <w:rPr>
                <w:sz w:val="24"/>
                <w:szCs w:val="24"/>
                <w:lang w:val="sv-SE"/>
              </w:rPr>
              <w:t>CTCAE</w:t>
            </w:r>
            <w:r w:rsidRPr="0078138E">
              <w:rPr>
                <w:sz w:val="24"/>
                <w:szCs w:val="24"/>
                <w:vertAlign w:val="superscript"/>
                <w:lang w:val="sv-SE"/>
              </w:rPr>
              <w:t>c</w:t>
            </w:r>
            <w:proofErr w:type="spellEnd"/>
            <w:r w:rsidRPr="0078138E">
              <w:rPr>
                <w:sz w:val="24"/>
                <w:szCs w:val="24"/>
                <w:lang w:val="sv-SE"/>
              </w:rPr>
              <w:t xml:space="preserve"> </w:t>
            </w:r>
            <w:proofErr w:type="spellStart"/>
            <w:r w:rsidRPr="0078138E">
              <w:rPr>
                <w:sz w:val="24"/>
                <w:szCs w:val="24"/>
                <w:lang w:val="sv-SE"/>
              </w:rPr>
              <w:t>grade</w:t>
            </w:r>
            <w:proofErr w:type="spellEnd"/>
            <w:r w:rsidRPr="0078138E">
              <w:rPr>
                <w:sz w:val="24"/>
                <w:szCs w:val="24"/>
                <w:lang w:val="sv-SE"/>
              </w:rPr>
              <w:t xml:space="preserve"> 3</w:t>
            </w:r>
          </w:p>
          <w:p w14:paraId="5D702982" w14:textId="77777777" w:rsidR="0078138E" w:rsidRPr="0078138E" w:rsidRDefault="0078138E" w:rsidP="002A0A70">
            <w:pPr>
              <w:ind w:left="316"/>
              <w:rPr>
                <w:sz w:val="24"/>
                <w:szCs w:val="24"/>
                <w:lang w:val="sv-SE"/>
              </w:rPr>
            </w:pPr>
            <w:r w:rsidRPr="0078138E">
              <w:rPr>
                <w:sz w:val="24"/>
                <w:szCs w:val="24"/>
                <w:lang w:val="sv-SE"/>
              </w:rPr>
              <w:t>(&gt; 5x – 20 x ULN)</w:t>
            </w:r>
          </w:p>
        </w:tc>
        <w:tc>
          <w:tcPr>
            <w:tcW w:w="1536" w:type="pct"/>
            <w:tcBorders>
              <w:top w:val="single" w:sz="4" w:space="0" w:color="auto"/>
              <w:left w:val="single" w:sz="4" w:space="0" w:color="auto"/>
              <w:bottom w:val="single" w:sz="4" w:space="0" w:color="auto"/>
              <w:right w:val="single" w:sz="4" w:space="0" w:color="auto"/>
            </w:tcBorders>
            <w:hideMark/>
          </w:tcPr>
          <w:p w14:paraId="32F53559" w14:textId="77777777" w:rsidR="0078138E" w:rsidRPr="0078138E" w:rsidRDefault="0078138E" w:rsidP="002A0A70">
            <w:pPr>
              <w:ind w:left="116"/>
              <w:jc w:val="center"/>
              <w:rPr>
                <w:sz w:val="24"/>
                <w:szCs w:val="24"/>
                <w:lang w:val="en-GB"/>
              </w:rPr>
            </w:pPr>
            <w:r w:rsidRPr="0078138E">
              <w:rPr>
                <w:sz w:val="24"/>
                <w:szCs w:val="24"/>
                <w:lang w:val="en-GB"/>
              </w:rPr>
              <w:t>Common</w:t>
            </w:r>
          </w:p>
        </w:tc>
        <w:tc>
          <w:tcPr>
            <w:tcW w:w="1668" w:type="pct"/>
            <w:tcBorders>
              <w:top w:val="single" w:sz="4" w:space="0" w:color="auto"/>
              <w:left w:val="single" w:sz="4" w:space="0" w:color="auto"/>
              <w:bottom w:val="single" w:sz="4" w:space="0" w:color="auto"/>
              <w:right w:val="single" w:sz="4" w:space="0" w:color="auto"/>
            </w:tcBorders>
            <w:hideMark/>
          </w:tcPr>
          <w:p w14:paraId="040C5800" w14:textId="77777777" w:rsidR="0078138E" w:rsidRPr="0078138E" w:rsidRDefault="0078138E" w:rsidP="002A0A70">
            <w:pPr>
              <w:jc w:val="center"/>
              <w:rPr>
                <w:sz w:val="24"/>
                <w:szCs w:val="24"/>
                <w:lang w:val="en-GB"/>
              </w:rPr>
            </w:pPr>
            <w:r w:rsidRPr="0078138E">
              <w:rPr>
                <w:sz w:val="24"/>
                <w:szCs w:val="24"/>
                <w:lang w:val="en-GB"/>
              </w:rPr>
              <w:t>Common</w:t>
            </w:r>
          </w:p>
        </w:tc>
      </w:tr>
      <w:tr w:rsidR="0078138E" w:rsidRPr="0078138E" w14:paraId="51AD3A2D" w14:textId="77777777" w:rsidTr="00882574">
        <w:tc>
          <w:tcPr>
            <w:tcW w:w="1796" w:type="pct"/>
            <w:tcBorders>
              <w:top w:val="single" w:sz="4" w:space="0" w:color="auto"/>
              <w:left w:val="single" w:sz="4" w:space="0" w:color="auto"/>
              <w:bottom w:val="single" w:sz="4" w:space="0" w:color="auto"/>
              <w:right w:val="single" w:sz="4" w:space="0" w:color="auto"/>
            </w:tcBorders>
            <w:hideMark/>
          </w:tcPr>
          <w:p w14:paraId="428FE928" w14:textId="77777777" w:rsidR="0078138E" w:rsidRPr="0078138E" w:rsidRDefault="0078138E" w:rsidP="002A0A70">
            <w:pPr>
              <w:ind w:left="316"/>
              <w:rPr>
                <w:sz w:val="24"/>
                <w:szCs w:val="24"/>
                <w:lang w:val="en-GB"/>
              </w:rPr>
            </w:pPr>
            <w:r w:rsidRPr="0078138E">
              <w:rPr>
                <w:sz w:val="24"/>
                <w:szCs w:val="24"/>
                <w:lang w:val="en-GB"/>
              </w:rPr>
              <w:t xml:space="preserve">Any </w:t>
            </w:r>
            <w:proofErr w:type="spellStart"/>
            <w:r w:rsidRPr="0078138E">
              <w:rPr>
                <w:sz w:val="24"/>
                <w:szCs w:val="24"/>
                <w:lang w:val="en-GB"/>
              </w:rPr>
              <w:t>CTCAE</w:t>
            </w:r>
            <w:r w:rsidRPr="0078138E">
              <w:rPr>
                <w:sz w:val="24"/>
                <w:szCs w:val="24"/>
                <w:vertAlign w:val="superscript"/>
                <w:lang w:val="en-GB"/>
              </w:rPr>
              <w:t>c</w:t>
            </w:r>
            <w:proofErr w:type="spellEnd"/>
            <w:r w:rsidRPr="0078138E">
              <w:rPr>
                <w:sz w:val="24"/>
                <w:szCs w:val="24"/>
                <w:lang w:val="en-GB"/>
              </w:rPr>
              <w:t xml:space="preserve"> grade</w:t>
            </w:r>
          </w:p>
        </w:tc>
        <w:tc>
          <w:tcPr>
            <w:tcW w:w="1536" w:type="pct"/>
            <w:tcBorders>
              <w:top w:val="single" w:sz="4" w:space="0" w:color="auto"/>
              <w:left w:val="single" w:sz="4" w:space="0" w:color="auto"/>
              <w:bottom w:val="single" w:sz="4" w:space="0" w:color="auto"/>
              <w:right w:val="single" w:sz="4" w:space="0" w:color="auto"/>
            </w:tcBorders>
            <w:hideMark/>
          </w:tcPr>
          <w:p w14:paraId="25F08D55" w14:textId="77777777" w:rsidR="0078138E" w:rsidRPr="0078138E" w:rsidRDefault="0078138E" w:rsidP="002A0A70">
            <w:pPr>
              <w:ind w:left="116"/>
              <w:jc w:val="center"/>
              <w:rPr>
                <w:sz w:val="24"/>
                <w:szCs w:val="24"/>
                <w:lang w:val="en-GB"/>
              </w:rPr>
            </w:pPr>
            <w:r w:rsidRPr="0078138E">
              <w:rPr>
                <w:sz w:val="24"/>
                <w:szCs w:val="24"/>
                <w:lang w:val="en-GB"/>
              </w:rPr>
              <w:t>Very common</w:t>
            </w:r>
          </w:p>
        </w:tc>
        <w:tc>
          <w:tcPr>
            <w:tcW w:w="1668" w:type="pct"/>
            <w:tcBorders>
              <w:top w:val="single" w:sz="4" w:space="0" w:color="auto"/>
              <w:left w:val="single" w:sz="4" w:space="0" w:color="auto"/>
              <w:bottom w:val="single" w:sz="4" w:space="0" w:color="auto"/>
              <w:right w:val="single" w:sz="4" w:space="0" w:color="auto"/>
            </w:tcBorders>
            <w:hideMark/>
          </w:tcPr>
          <w:p w14:paraId="186ABBA4" w14:textId="77777777" w:rsidR="0078138E" w:rsidRPr="0078138E" w:rsidRDefault="0078138E" w:rsidP="002A0A70">
            <w:pPr>
              <w:jc w:val="center"/>
              <w:rPr>
                <w:sz w:val="24"/>
                <w:szCs w:val="24"/>
                <w:lang w:val="en-GB"/>
              </w:rPr>
            </w:pPr>
            <w:r w:rsidRPr="0078138E">
              <w:rPr>
                <w:sz w:val="24"/>
                <w:szCs w:val="24"/>
                <w:lang w:val="en-GB"/>
              </w:rPr>
              <w:t>Very common</w:t>
            </w:r>
          </w:p>
        </w:tc>
      </w:tr>
      <w:tr w:rsidR="0078138E" w:rsidRPr="0078138E" w14:paraId="04CB576D" w14:textId="77777777" w:rsidTr="00882574">
        <w:tc>
          <w:tcPr>
            <w:tcW w:w="1796" w:type="pct"/>
            <w:tcBorders>
              <w:top w:val="single" w:sz="4" w:space="0" w:color="auto"/>
              <w:left w:val="single" w:sz="4" w:space="0" w:color="auto"/>
              <w:bottom w:val="single" w:sz="4" w:space="0" w:color="auto"/>
              <w:right w:val="single" w:sz="4" w:space="0" w:color="auto"/>
            </w:tcBorders>
            <w:hideMark/>
          </w:tcPr>
          <w:p w14:paraId="7D9DA1A4" w14:textId="77777777" w:rsidR="0078138E" w:rsidRPr="0078138E" w:rsidRDefault="0078138E" w:rsidP="00882574">
            <w:pPr>
              <w:rPr>
                <w:sz w:val="24"/>
                <w:szCs w:val="24"/>
                <w:lang w:val="en-GB"/>
              </w:rPr>
            </w:pPr>
            <w:r w:rsidRPr="0078138E">
              <w:rPr>
                <w:sz w:val="24"/>
                <w:szCs w:val="24"/>
                <w:lang w:val="en-GB"/>
              </w:rPr>
              <w:t xml:space="preserve">Increased aspartate </w:t>
            </w:r>
            <w:proofErr w:type="spellStart"/>
            <w:r w:rsidRPr="0078138E">
              <w:rPr>
                <w:sz w:val="24"/>
                <w:szCs w:val="24"/>
                <w:lang w:val="en-GB"/>
              </w:rPr>
              <w:t>aminotransferase</w:t>
            </w:r>
            <w:r w:rsidRPr="0078138E">
              <w:rPr>
                <w:sz w:val="24"/>
                <w:szCs w:val="24"/>
                <w:vertAlign w:val="superscript"/>
                <w:lang w:val="en-GB"/>
              </w:rPr>
              <w:t>a</w:t>
            </w:r>
            <w:proofErr w:type="spellEnd"/>
          </w:p>
        </w:tc>
        <w:tc>
          <w:tcPr>
            <w:tcW w:w="1536" w:type="pct"/>
            <w:tcBorders>
              <w:top w:val="single" w:sz="4" w:space="0" w:color="auto"/>
              <w:left w:val="single" w:sz="4" w:space="0" w:color="auto"/>
              <w:bottom w:val="single" w:sz="4" w:space="0" w:color="auto"/>
              <w:right w:val="single" w:sz="4" w:space="0" w:color="auto"/>
            </w:tcBorders>
          </w:tcPr>
          <w:p w14:paraId="234F13DB" w14:textId="77777777" w:rsidR="0078138E" w:rsidRPr="0078138E" w:rsidRDefault="0078138E" w:rsidP="002A0A70">
            <w:pPr>
              <w:ind w:left="116"/>
              <w:jc w:val="center"/>
              <w:rPr>
                <w:sz w:val="24"/>
                <w:szCs w:val="24"/>
                <w:lang w:val="en-GB"/>
              </w:rPr>
            </w:pPr>
          </w:p>
        </w:tc>
        <w:tc>
          <w:tcPr>
            <w:tcW w:w="1668" w:type="pct"/>
            <w:tcBorders>
              <w:top w:val="single" w:sz="4" w:space="0" w:color="auto"/>
              <w:left w:val="single" w:sz="4" w:space="0" w:color="auto"/>
              <w:bottom w:val="single" w:sz="4" w:space="0" w:color="auto"/>
              <w:right w:val="single" w:sz="4" w:space="0" w:color="auto"/>
            </w:tcBorders>
          </w:tcPr>
          <w:p w14:paraId="2BB97507" w14:textId="77777777" w:rsidR="0078138E" w:rsidRPr="0078138E" w:rsidRDefault="0078138E" w:rsidP="002A0A70">
            <w:pPr>
              <w:jc w:val="center"/>
              <w:rPr>
                <w:sz w:val="24"/>
                <w:szCs w:val="24"/>
                <w:lang w:val="en-GB"/>
              </w:rPr>
            </w:pPr>
          </w:p>
        </w:tc>
      </w:tr>
      <w:tr w:rsidR="0078138E" w:rsidRPr="0078138E" w14:paraId="2A68F21C" w14:textId="77777777" w:rsidTr="00882574">
        <w:tc>
          <w:tcPr>
            <w:tcW w:w="1796" w:type="pct"/>
            <w:tcBorders>
              <w:top w:val="single" w:sz="4" w:space="0" w:color="auto"/>
              <w:left w:val="single" w:sz="4" w:space="0" w:color="auto"/>
              <w:bottom w:val="single" w:sz="4" w:space="0" w:color="auto"/>
              <w:right w:val="single" w:sz="4" w:space="0" w:color="auto"/>
            </w:tcBorders>
            <w:hideMark/>
          </w:tcPr>
          <w:p w14:paraId="07E5A7D3" w14:textId="77777777" w:rsidR="0078138E" w:rsidRPr="0078138E" w:rsidRDefault="0078138E" w:rsidP="002A0A70">
            <w:pPr>
              <w:ind w:left="316"/>
              <w:rPr>
                <w:sz w:val="24"/>
                <w:szCs w:val="24"/>
                <w:lang w:val="en-GB"/>
              </w:rPr>
            </w:pPr>
            <w:r w:rsidRPr="0078138E">
              <w:rPr>
                <w:sz w:val="24"/>
                <w:szCs w:val="24"/>
                <w:lang w:val="en-GB"/>
              </w:rPr>
              <w:t xml:space="preserve">Any </w:t>
            </w:r>
            <w:proofErr w:type="spellStart"/>
            <w:r w:rsidRPr="0078138E">
              <w:rPr>
                <w:sz w:val="24"/>
                <w:szCs w:val="24"/>
                <w:lang w:val="en-GB"/>
              </w:rPr>
              <w:t>CTCAE</w:t>
            </w:r>
            <w:r w:rsidRPr="0078138E">
              <w:rPr>
                <w:sz w:val="24"/>
                <w:szCs w:val="24"/>
                <w:vertAlign w:val="superscript"/>
                <w:lang w:val="en-GB"/>
              </w:rPr>
              <w:t>c</w:t>
            </w:r>
            <w:proofErr w:type="spellEnd"/>
            <w:r w:rsidRPr="0078138E">
              <w:rPr>
                <w:sz w:val="24"/>
                <w:szCs w:val="24"/>
                <w:lang w:val="en-GB"/>
              </w:rPr>
              <w:t xml:space="preserve"> grade</w:t>
            </w:r>
          </w:p>
        </w:tc>
        <w:tc>
          <w:tcPr>
            <w:tcW w:w="1536" w:type="pct"/>
            <w:tcBorders>
              <w:top w:val="single" w:sz="4" w:space="0" w:color="auto"/>
              <w:left w:val="single" w:sz="4" w:space="0" w:color="auto"/>
              <w:bottom w:val="single" w:sz="4" w:space="0" w:color="auto"/>
              <w:right w:val="single" w:sz="4" w:space="0" w:color="auto"/>
            </w:tcBorders>
            <w:hideMark/>
          </w:tcPr>
          <w:p w14:paraId="1063F81C" w14:textId="77777777" w:rsidR="0078138E" w:rsidRPr="0078138E" w:rsidRDefault="0078138E" w:rsidP="002A0A70">
            <w:pPr>
              <w:ind w:left="116"/>
              <w:jc w:val="center"/>
              <w:rPr>
                <w:sz w:val="24"/>
                <w:szCs w:val="24"/>
                <w:lang w:val="en-GB"/>
              </w:rPr>
            </w:pPr>
            <w:r w:rsidRPr="0078138E">
              <w:rPr>
                <w:sz w:val="24"/>
                <w:szCs w:val="24"/>
                <w:lang w:val="en-GB"/>
              </w:rPr>
              <w:t>Very common</w:t>
            </w:r>
          </w:p>
        </w:tc>
        <w:tc>
          <w:tcPr>
            <w:tcW w:w="1668" w:type="pct"/>
            <w:tcBorders>
              <w:top w:val="single" w:sz="4" w:space="0" w:color="auto"/>
              <w:left w:val="single" w:sz="4" w:space="0" w:color="auto"/>
              <w:bottom w:val="single" w:sz="4" w:space="0" w:color="auto"/>
              <w:right w:val="single" w:sz="4" w:space="0" w:color="auto"/>
            </w:tcBorders>
            <w:hideMark/>
          </w:tcPr>
          <w:p w14:paraId="66321553" w14:textId="77777777" w:rsidR="0078138E" w:rsidRPr="0078138E" w:rsidRDefault="0078138E" w:rsidP="002A0A70">
            <w:pPr>
              <w:jc w:val="center"/>
              <w:rPr>
                <w:sz w:val="24"/>
                <w:szCs w:val="24"/>
                <w:lang w:val="en-GB"/>
              </w:rPr>
            </w:pPr>
            <w:r w:rsidRPr="0078138E">
              <w:rPr>
                <w:sz w:val="24"/>
                <w:szCs w:val="24"/>
                <w:lang w:val="en-GB"/>
              </w:rPr>
              <w:t>Very common</w:t>
            </w:r>
          </w:p>
        </w:tc>
      </w:tr>
      <w:tr w:rsidR="0078138E" w:rsidRPr="0078138E" w14:paraId="4D55DFEB" w14:textId="77777777" w:rsidTr="00882574">
        <w:tc>
          <w:tcPr>
            <w:tcW w:w="5000" w:type="pct"/>
            <w:gridSpan w:val="3"/>
            <w:tcBorders>
              <w:top w:val="single" w:sz="4" w:space="0" w:color="auto"/>
              <w:left w:val="single" w:sz="4" w:space="0" w:color="auto"/>
              <w:bottom w:val="single" w:sz="4" w:space="0" w:color="auto"/>
              <w:right w:val="single" w:sz="4" w:space="0" w:color="auto"/>
            </w:tcBorders>
            <w:hideMark/>
          </w:tcPr>
          <w:p w14:paraId="171CF7AA" w14:textId="77777777" w:rsidR="0078138E" w:rsidRPr="0078138E" w:rsidRDefault="0078138E" w:rsidP="00882574">
            <w:pPr>
              <w:rPr>
                <w:sz w:val="24"/>
                <w:szCs w:val="24"/>
                <w:lang w:val="en-GB"/>
              </w:rPr>
            </w:pPr>
            <w:r w:rsidRPr="0078138E">
              <w:rPr>
                <w:b/>
                <w:bCs/>
                <w:sz w:val="24"/>
                <w:szCs w:val="24"/>
                <w:lang w:val="en-GB"/>
              </w:rPr>
              <w:t>Vascular disorders</w:t>
            </w:r>
          </w:p>
        </w:tc>
      </w:tr>
      <w:tr w:rsidR="0078138E" w:rsidRPr="0078138E" w14:paraId="39AF6977" w14:textId="77777777" w:rsidTr="00882574">
        <w:tc>
          <w:tcPr>
            <w:tcW w:w="1796" w:type="pct"/>
            <w:tcBorders>
              <w:top w:val="single" w:sz="4" w:space="0" w:color="auto"/>
              <w:left w:val="single" w:sz="4" w:space="0" w:color="auto"/>
              <w:bottom w:val="single" w:sz="4" w:space="0" w:color="auto"/>
              <w:right w:val="single" w:sz="4" w:space="0" w:color="auto"/>
            </w:tcBorders>
            <w:hideMark/>
          </w:tcPr>
          <w:p w14:paraId="727C05D2" w14:textId="77777777" w:rsidR="0078138E" w:rsidRPr="0078138E" w:rsidRDefault="0078138E" w:rsidP="00882574">
            <w:pPr>
              <w:rPr>
                <w:sz w:val="24"/>
                <w:szCs w:val="24"/>
                <w:lang w:val="en-GB"/>
              </w:rPr>
            </w:pPr>
            <w:r w:rsidRPr="0078138E">
              <w:rPr>
                <w:sz w:val="24"/>
                <w:szCs w:val="24"/>
                <w:lang w:val="en-GB"/>
              </w:rPr>
              <w:t>Hypertension</w:t>
            </w:r>
          </w:p>
        </w:tc>
        <w:tc>
          <w:tcPr>
            <w:tcW w:w="1536" w:type="pct"/>
            <w:tcBorders>
              <w:top w:val="single" w:sz="4" w:space="0" w:color="auto"/>
              <w:left w:val="single" w:sz="4" w:space="0" w:color="auto"/>
              <w:bottom w:val="single" w:sz="4" w:space="0" w:color="auto"/>
              <w:right w:val="single" w:sz="4" w:space="0" w:color="auto"/>
            </w:tcBorders>
            <w:hideMark/>
          </w:tcPr>
          <w:p w14:paraId="1AF8461F" w14:textId="77777777" w:rsidR="0078138E" w:rsidRPr="0078138E" w:rsidRDefault="0078138E" w:rsidP="002A0A70">
            <w:pPr>
              <w:ind w:left="116"/>
              <w:jc w:val="center"/>
              <w:rPr>
                <w:sz w:val="24"/>
                <w:szCs w:val="24"/>
                <w:lang w:val="en-GB"/>
              </w:rPr>
            </w:pPr>
            <w:r w:rsidRPr="0078138E">
              <w:rPr>
                <w:sz w:val="24"/>
                <w:szCs w:val="24"/>
                <w:lang w:val="en-GB"/>
              </w:rPr>
              <w:t>Very common</w:t>
            </w:r>
          </w:p>
        </w:tc>
        <w:tc>
          <w:tcPr>
            <w:tcW w:w="1668" w:type="pct"/>
            <w:tcBorders>
              <w:top w:val="single" w:sz="4" w:space="0" w:color="auto"/>
              <w:left w:val="single" w:sz="4" w:space="0" w:color="auto"/>
              <w:bottom w:val="single" w:sz="4" w:space="0" w:color="auto"/>
              <w:right w:val="single" w:sz="4" w:space="0" w:color="auto"/>
            </w:tcBorders>
            <w:hideMark/>
          </w:tcPr>
          <w:p w14:paraId="41A6DE6A" w14:textId="77777777" w:rsidR="0078138E" w:rsidRPr="0078138E" w:rsidRDefault="0078138E" w:rsidP="002A0A70">
            <w:pPr>
              <w:jc w:val="center"/>
              <w:rPr>
                <w:sz w:val="24"/>
                <w:szCs w:val="24"/>
                <w:lang w:val="en-GB"/>
              </w:rPr>
            </w:pPr>
            <w:r w:rsidRPr="0078138E">
              <w:rPr>
                <w:sz w:val="24"/>
                <w:szCs w:val="24"/>
                <w:lang w:val="en-GB"/>
              </w:rPr>
              <w:t>Very common</w:t>
            </w:r>
          </w:p>
        </w:tc>
      </w:tr>
      <w:tr w:rsidR="0078138E" w:rsidRPr="00873345" w14:paraId="7ED20159" w14:textId="77777777" w:rsidTr="00882574">
        <w:tc>
          <w:tcPr>
            <w:tcW w:w="5000" w:type="pct"/>
            <w:gridSpan w:val="3"/>
            <w:tcBorders>
              <w:top w:val="single" w:sz="4" w:space="0" w:color="auto"/>
              <w:left w:val="single" w:sz="4" w:space="0" w:color="auto"/>
              <w:bottom w:val="single" w:sz="4" w:space="0" w:color="auto"/>
              <w:right w:val="single" w:sz="4" w:space="0" w:color="auto"/>
            </w:tcBorders>
            <w:hideMark/>
          </w:tcPr>
          <w:p w14:paraId="196DD5B8" w14:textId="46AC0EF5" w:rsidR="0078138E" w:rsidRPr="0078138E" w:rsidRDefault="0078138E" w:rsidP="00E318A0">
            <w:pPr>
              <w:ind w:left="316" w:hanging="284"/>
              <w:rPr>
                <w:sz w:val="24"/>
                <w:szCs w:val="24"/>
                <w:lang w:val="en-GB"/>
              </w:rPr>
            </w:pPr>
            <w:r w:rsidRPr="0078138E">
              <w:rPr>
                <w:sz w:val="24"/>
                <w:szCs w:val="24"/>
                <w:vertAlign w:val="superscript"/>
                <w:lang w:val="en-GB"/>
              </w:rPr>
              <w:t>a</w:t>
            </w:r>
            <w:r w:rsidRPr="0078138E">
              <w:rPr>
                <w:sz w:val="24"/>
                <w:szCs w:val="24"/>
                <w:lang w:val="en-GB"/>
              </w:rPr>
              <w:t xml:space="preserve"> </w:t>
            </w:r>
            <w:r w:rsidR="00E318A0">
              <w:rPr>
                <w:sz w:val="24"/>
                <w:szCs w:val="24"/>
                <w:lang w:val="en-GB"/>
              </w:rPr>
              <w:tab/>
            </w:r>
            <w:r w:rsidRPr="0078138E">
              <w:rPr>
                <w:sz w:val="24"/>
                <w:szCs w:val="24"/>
                <w:lang w:val="en-GB"/>
              </w:rPr>
              <w:t>Frequency is based on new or worsened laboratory abnormalities compared to baseline.</w:t>
            </w:r>
          </w:p>
          <w:p w14:paraId="25ACC55E" w14:textId="51C6A3EC" w:rsidR="0078138E" w:rsidRPr="0078138E" w:rsidRDefault="0078138E" w:rsidP="00E318A0">
            <w:pPr>
              <w:ind w:left="316" w:hanging="284"/>
              <w:rPr>
                <w:sz w:val="24"/>
                <w:szCs w:val="24"/>
                <w:lang w:val="en-GB"/>
              </w:rPr>
            </w:pPr>
            <w:r w:rsidRPr="0078138E">
              <w:rPr>
                <w:sz w:val="24"/>
                <w:szCs w:val="24"/>
                <w:vertAlign w:val="superscript"/>
                <w:lang w:val="en-GB"/>
              </w:rPr>
              <w:t xml:space="preserve">b </w:t>
            </w:r>
            <w:r w:rsidR="00E318A0">
              <w:rPr>
                <w:sz w:val="24"/>
                <w:szCs w:val="24"/>
                <w:vertAlign w:val="superscript"/>
                <w:lang w:val="en-GB"/>
              </w:rPr>
              <w:tab/>
            </w:r>
            <w:r w:rsidRPr="0078138E">
              <w:rPr>
                <w:sz w:val="24"/>
                <w:szCs w:val="24"/>
                <w:lang w:val="en-GB"/>
              </w:rPr>
              <w:t>Pancytopenia is defined as haemoglobin level &lt;100 g/l, platelet count &lt;100x10</w:t>
            </w:r>
            <w:r w:rsidRPr="0078138E">
              <w:rPr>
                <w:sz w:val="24"/>
                <w:szCs w:val="24"/>
                <w:vertAlign w:val="superscript"/>
                <w:lang w:val="en-GB"/>
              </w:rPr>
              <w:t>9</w:t>
            </w:r>
            <w:r w:rsidRPr="0078138E">
              <w:rPr>
                <w:sz w:val="24"/>
                <w:szCs w:val="24"/>
                <w:lang w:val="en-GB"/>
              </w:rPr>
              <w:t>/l, and neutrophil count &lt;1.5x10</w:t>
            </w:r>
            <w:r w:rsidRPr="0078138E">
              <w:rPr>
                <w:sz w:val="24"/>
                <w:szCs w:val="24"/>
                <w:vertAlign w:val="superscript"/>
                <w:lang w:val="en-GB"/>
              </w:rPr>
              <w:t>9</w:t>
            </w:r>
            <w:r w:rsidRPr="0078138E">
              <w:rPr>
                <w:sz w:val="24"/>
                <w:szCs w:val="24"/>
                <w:lang w:val="en-GB"/>
              </w:rPr>
              <w:t>/l (or low white blood cell count of grade 2 if neutrophil count is missing), simultaneously in the same lab assessment</w:t>
            </w:r>
          </w:p>
          <w:p w14:paraId="701C7299" w14:textId="4C8B632F" w:rsidR="0078138E" w:rsidRPr="0078138E" w:rsidRDefault="0078138E" w:rsidP="00E318A0">
            <w:pPr>
              <w:ind w:left="316" w:hanging="284"/>
              <w:rPr>
                <w:sz w:val="24"/>
                <w:szCs w:val="24"/>
                <w:lang w:val="en-GB"/>
              </w:rPr>
            </w:pPr>
            <w:r w:rsidRPr="0078138E">
              <w:rPr>
                <w:sz w:val="24"/>
                <w:szCs w:val="24"/>
                <w:vertAlign w:val="superscript"/>
                <w:lang w:val="en-GB"/>
              </w:rPr>
              <w:t>c</w:t>
            </w:r>
            <w:r w:rsidRPr="0078138E">
              <w:rPr>
                <w:sz w:val="24"/>
                <w:szCs w:val="24"/>
                <w:lang w:val="en-GB"/>
              </w:rPr>
              <w:t xml:space="preserve"> </w:t>
            </w:r>
            <w:r w:rsidR="00E318A0">
              <w:rPr>
                <w:sz w:val="24"/>
                <w:szCs w:val="24"/>
                <w:lang w:val="en-GB"/>
              </w:rPr>
              <w:tab/>
            </w:r>
            <w:r w:rsidRPr="0078138E">
              <w:rPr>
                <w:sz w:val="24"/>
                <w:szCs w:val="24"/>
                <w:lang w:val="en-GB"/>
              </w:rPr>
              <w:t>Common Terminology Criteria for Adverse Events (CTCAE) version 3.0; grade 1 = mild, grade 2 = moderate, grade 3 = severe, grade 4 = life-threatening</w:t>
            </w:r>
          </w:p>
          <w:p w14:paraId="0E65546A" w14:textId="1A68E2BC" w:rsidR="0078138E" w:rsidRPr="0078138E" w:rsidRDefault="0078138E" w:rsidP="00E318A0">
            <w:pPr>
              <w:ind w:left="316" w:hanging="284"/>
              <w:rPr>
                <w:sz w:val="24"/>
                <w:szCs w:val="24"/>
                <w:lang w:val="en-GB"/>
              </w:rPr>
            </w:pPr>
            <w:r w:rsidRPr="0078138E">
              <w:rPr>
                <w:sz w:val="24"/>
                <w:szCs w:val="24"/>
                <w:vertAlign w:val="superscript"/>
                <w:lang w:val="en-GB"/>
              </w:rPr>
              <w:t>d</w:t>
            </w:r>
            <w:r w:rsidRPr="0078138E">
              <w:rPr>
                <w:sz w:val="24"/>
                <w:szCs w:val="24"/>
                <w:lang w:val="en-GB"/>
              </w:rPr>
              <w:t xml:space="preserve"> </w:t>
            </w:r>
            <w:r w:rsidR="00E318A0">
              <w:rPr>
                <w:sz w:val="24"/>
                <w:szCs w:val="24"/>
                <w:lang w:val="en-GB"/>
              </w:rPr>
              <w:tab/>
            </w:r>
            <w:r w:rsidRPr="0078138E">
              <w:rPr>
                <w:sz w:val="24"/>
                <w:szCs w:val="24"/>
                <w:lang w:val="en-GB"/>
              </w:rPr>
              <w:t>These adverse drug reactions are discussed in the text.</w:t>
            </w:r>
          </w:p>
          <w:p w14:paraId="606431A9" w14:textId="44CF05E9" w:rsidR="0078138E" w:rsidRPr="0078138E" w:rsidRDefault="0078138E" w:rsidP="00E318A0">
            <w:pPr>
              <w:ind w:left="316" w:hanging="284"/>
              <w:rPr>
                <w:sz w:val="24"/>
                <w:szCs w:val="24"/>
                <w:lang w:val="en-GB"/>
              </w:rPr>
            </w:pPr>
            <w:r w:rsidRPr="0078138E">
              <w:rPr>
                <w:sz w:val="24"/>
                <w:szCs w:val="24"/>
                <w:vertAlign w:val="superscript"/>
                <w:lang w:val="en-GB"/>
              </w:rPr>
              <w:t>e</w:t>
            </w:r>
            <w:r w:rsidRPr="0078138E">
              <w:rPr>
                <w:sz w:val="24"/>
                <w:szCs w:val="24"/>
                <w:lang w:val="en-GB"/>
              </w:rPr>
              <w:t xml:space="preserve"> </w:t>
            </w:r>
            <w:r w:rsidR="00E318A0">
              <w:rPr>
                <w:sz w:val="24"/>
                <w:szCs w:val="24"/>
                <w:lang w:val="en-GB"/>
              </w:rPr>
              <w:tab/>
            </w:r>
            <w:r w:rsidRPr="0078138E">
              <w:rPr>
                <w:sz w:val="24"/>
                <w:szCs w:val="24"/>
                <w:lang w:val="en-GB"/>
              </w:rPr>
              <w:t>Adverse drug reactions derived from post-marketing experience</w:t>
            </w:r>
          </w:p>
        </w:tc>
      </w:tr>
    </w:tbl>
    <w:p w14:paraId="598AB52E" w14:textId="77777777" w:rsidR="0078138E" w:rsidRPr="0078138E" w:rsidRDefault="0078138E" w:rsidP="00882574">
      <w:pPr>
        <w:ind w:left="851"/>
        <w:rPr>
          <w:bCs/>
          <w:sz w:val="24"/>
          <w:szCs w:val="24"/>
          <w:lang w:val="en-GB"/>
        </w:rPr>
      </w:pPr>
    </w:p>
    <w:p w14:paraId="39559DAC" w14:textId="77777777" w:rsidR="0078138E" w:rsidRPr="0078138E" w:rsidRDefault="0078138E" w:rsidP="00882574">
      <w:pPr>
        <w:ind w:left="851"/>
        <w:rPr>
          <w:b/>
          <w:sz w:val="24"/>
          <w:szCs w:val="24"/>
          <w:lang w:val="en-GB"/>
        </w:rPr>
      </w:pPr>
      <w:r w:rsidRPr="0078138E">
        <w:rPr>
          <w:sz w:val="24"/>
          <w:szCs w:val="24"/>
          <w:lang w:val="en-GB"/>
        </w:rPr>
        <w:t>Upon discontinuation, MF patients may experience a return of MF symptoms such as fatigue, bone pain, fever, pruritus, night sweats, symptomatic splenomegaly and weight loss. In clinical studies in MF the total symptom score for MF symptoms gradually returned to baseline value within 7 days after dose discontinuation (see section 4.4).</w:t>
      </w:r>
    </w:p>
    <w:p w14:paraId="248EA1E8" w14:textId="77777777" w:rsidR="0078138E" w:rsidRPr="0078138E" w:rsidRDefault="0078138E" w:rsidP="00882574">
      <w:pPr>
        <w:ind w:left="851"/>
        <w:rPr>
          <w:bCs/>
          <w:sz w:val="24"/>
          <w:szCs w:val="24"/>
          <w:lang w:val="en-GB"/>
        </w:rPr>
      </w:pPr>
    </w:p>
    <w:p w14:paraId="0EE613A1" w14:textId="58C77017" w:rsidR="0078138E" w:rsidRPr="0078138E" w:rsidRDefault="0078138E" w:rsidP="0078138E">
      <w:pPr>
        <w:tabs>
          <w:tab w:val="left" w:pos="851"/>
        </w:tabs>
        <w:ind w:left="851"/>
        <w:rPr>
          <w:b/>
          <w:sz w:val="24"/>
          <w:szCs w:val="24"/>
          <w:lang w:val="en-GB"/>
        </w:rPr>
      </w:pPr>
      <w:r w:rsidRPr="0078138E">
        <w:rPr>
          <w:b/>
          <w:bCs/>
          <w:sz w:val="24"/>
          <w:szCs w:val="24"/>
          <w:lang w:val="en-GB"/>
        </w:rPr>
        <w:t>Table 7</w:t>
      </w:r>
      <w:r w:rsidR="00F876E9">
        <w:rPr>
          <w:b/>
          <w:bCs/>
          <w:sz w:val="24"/>
          <w:szCs w:val="24"/>
          <w:lang w:val="en-GB"/>
        </w:rPr>
        <w:t xml:space="preserve">. </w:t>
      </w:r>
      <w:r w:rsidRPr="0078138E">
        <w:rPr>
          <w:b/>
          <w:bCs/>
          <w:sz w:val="24"/>
          <w:szCs w:val="24"/>
          <w:lang w:val="en-GB"/>
        </w:rPr>
        <w:t>Frequency category of adverse drug reactions reported in clinical studies in GvHD</w:t>
      </w:r>
    </w:p>
    <w:p w14:paraId="2B8BD2DE" w14:textId="77777777" w:rsidR="0078138E" w:rsidRPr="0078138E" w:rsidRDefault="0078138E" w:rsidP="0078138E">
      <w:pPr>
        <w:tabs>
          <w:tab w:val="left" w:pos="851"/>
        </w:tabs>
        <w:ind w:left="851"/>
        <w:rPr>
          <w:b/>
          <w:sz w:val="24"/>
          <w:szCs w:val="24"/>
          <w:lang w:val="en-GB"/>
        </w:rPr>
      </w:pPr>
    </w:p>
    <w:tbl>
      <w:tblPr>
        <w:tblStyle w:val="Tabel-Gitter"/>
        <w:tblW w:w="9315" w:type="dxa"/>
        <w:tblInd w:w="-113" w:type="dxa"/>
        <w:tblLayout w:type="fixed"/>
        <w:tblLook w:val="04A0" w:firstRow="1" w:lastRow="0" w:firstColumn="1" w:lastColumn="0" w:noHBand="0" w:noVBand="1"/>
      </w:tblPr>
      <w:tblGrid>
        <w:gridCol w:w="2658"/>
        <w:gridCol w:w="1982"/>
        <w:gridCol w:w="1559"/>
        <w:gridCol w:w="1558"/>
        <w:gridCol w:w="1558"/>
      </w:tblGrid>
      <w:tr w:rsidR="0078138E" w:rsidRPr="00F876E9" w14:paraId="498F6BA3" w14:textId="77777777" w:rsidTr="0078138E">
        <w:tc>
          <w:tcPr>
            <w:tcW w:w="2660" w:type="dxa"/>
            <w:tcBorders>
              <w:top w:val="single" w:sz="4" w:space="0" w:color="auto"/>
              <w:left w:val="single" w:sz="4" w:space="0" w:color="auto"/>
              <w:bottom w:val="single" w:sz="4" w:space="0" w:color="auto"/>
              <w:right w:val="single" w:sz="4" w:space="0" w:color="auto"/>
            </w:tcBorders>
          </w:tcPr>
          <w:p w14:paraId="2E255E26" w14:textId="77777777" w:rsidR="0078138E" w:rsidRPr="00F876E9" w:rsidRDefault="0078138E" w:rsidP="00882574">
            <w:pPr>
              <w:rPr>
                <w:b/>
                <w:sz w:val="24"/>
                <w:szCs w:val="24"/>
                <w:lang w:val="en-GB"/>
              </w:rPr>
            </w:pPr>
          </w:p>
        </w:tc>
        <w:tc>
          <w:tcPr>
            <w:tcW w:w="1984" w:type="dxa"/>
            <w:tcBorders>
              <w:top w:val="single" w:sz="4" w:space="0" w:color="auto"/>
              <w:left w:val="single" w:sz="4" w:space="0" w:color="auto"/>
              <w:bottom w:val="single" w:sz="4" w:space="0" w:color="auto"/>
              <w:right w:val="single" w:sz="4" w:space="0" w:color="auto"/>
            </w:tcBorders>
            <w:hideMark/>
          </w:tcPr>
          <w:p w14:paraId="6A99A6ED" w14:textId="77777777" w:rsidR="0078138E" w:rsidRPr="00F876E9" w:rsidRDefault="0078138E" w:rsidP="00F876E9">
            <w:pPr>
              <w:jc w:val="center"/>
              <w:rPr>
                <w:b/>
                <w:sz w:val="24"/>
                <w:szCs w:val="24"/>
                <w:lang w:val="en-GB"/>
              </w:rPr>
            </w:pPr>
            <w:r w:rsidRPr="00F876E9">
              <w:rPr>
                <w:b/>
                <w:sz w:val="24"/>
                <w:szCs w:val="24"/>
                <w:lang w:val="en-GB"/>
              </w:rPr>
              <w:t>Acute GvHD (REACH2)</w:t>
            </w:r>
          </w:p>
        </w:tc>
        <w:tc>
          <w:tcPr>
            <w:tcW w:w="1560" w:type="dxa"/>
            <w:tcBorders>
              <w:top w:val="single" w:sz="4" w:space="0" w:color="auto"/>
              <w:left w:val="single" w:sz="4" w:space="0" w:color="auto"/>
              <w:bottom w:val="single" w:sz="4" w:space="0" w:color="auto"/>
              <w:right w:val="single" w:sz="4" w:space="0" w:color="auto"/>
            </w:tcBorders>
            <w:hideMark/>
          </w:tcPr>
          <w:p w14:paraId="23A5CB1C" w14:textId="7623FE5D" w:rsidR="0078138E" w:rsidRPr="00F876E9" w:rsidRDefault="0078138E" w:rsidP="00F876E9">
            <w:pPr>
              <w:jc w:val="center"/>
              <w:rPr>
                <w:b/>
                <w:sz w:val="24"/>
                <w:szCs w:val="24"/>
                <w:lang w:val="en-GB"/>
              </w:rPr>
            </w:pPr>
            <w:r w:rsidRPr="00F876E9">
              <w:rPr>
                <w:b/>
                <w:sz w:val="24"/>
                <w:szCs w:val="24"/>
                <w:lang w:val="en-GB"/>
              </w:rPr>
              <w:t>Acute GvHD (Paediatric pool)</w:t>
            </w:r>
          </w:p>
        </w:tc>
        <w:tc>
          <w:tcPr>
            <w:tcW w:w="1559" w:type="dxa"/>
            <w:tcBorders>
              <w:top w:val="single" w:sz="4" w:space="0" w:color="auto"/>
              <w:left w:val="single" w:sz="4" w:space="0" w:color="auto"/>
              <w:bottom w:val="single" w:sz="4" w:space="0" w:color="auto"/>
              <w:right w:val="single" w:sz="4" w:space="0" w:color="auto"/>
            </w:tcBorders>
            <w:hideMark/>
          </w:tcPr>
          <w:p w14:paraId="2A6DB210" w14:textId="77777777" w:rsidR="0078138E" w:rsidRPr="00F876E9" w:rsidRDefault="0078138E" w:rsidP="00F876E9">
            <w:pPr>
              <w:jc w:val="center"/>
              <w:rPr>
                <w:b/>
                <w:sz w:val="24"/>
                <w:szCs w:val="24"/>
                <w:lang w:val="en-GB"/>
              </w:rPr>
            </w:pPr>
            <w:r w:rsidRPr="00F876E9">
              <w:rPr>
                <w:b/>
                <w:sz w:val="24"/>
                <w:szCs w:val="24"/>
                <w:lang w:val="en-GB"/>
              </w:rPr>
              <w:t>Chronic GvHD (REACH3)</w:t>
            </w:r>
          </w:p>
        </w:tc>
        <w:tc>
          <w:tcPr>
            <w:tcW w:w="1559" w:type="dxa"/>
            <w:tcBorders>
              <w:top w:val="single" w:sz="4" w:space="0" w:color="auto"/>
              <w:left w:val="single" w:sz="4" w:space="0" w:color="auto"/>
              <w:bottom w:val="single" w:sz="4" w:space="0" w:color="auto"/>
              <w:right w:val="single" w:sz="4" w:space="0" w:color="auto"/>
            </w:tcBorders>
            <w:hideMark/>
          </w:tcPr>
          <w:p w14:paraId="4D54CED4" w14:textId="77777777" w:rsidR="0078138E" w:rsidRPr="00F876E9" w:rsidRDefault="0078138E" w:rsidP="00F876E9">
            <w:pPr>
              <w:jc w:val="center"/>
              <w:rPr>
                <w:b/>
                <w:sz w:val="24"/>
                <w:szCs w:val="24"/>
                <w:lang w:val="en-GB"/>
              </w:rPr>
            </w:pPr>
            <w:r w:rsidRPr="00F876E9">
              <w:rPr>
                <w:b/>
                <w:sz w:val="24"/>
                <w:szCs w:val="24"/>
                <w:lang w:val="en-GB"/>
              </w:rPr>
              <w:t>Chronic GvHD (Paediatric pool)</w:t>
            </w:r>
          </w:p>
        </w:tc>
      </w:tr>
      <w:tr w:rsidR="0078138E" w:rsidRPr="00F876E9" w14:paraId="6EDC7886"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1E213724" w14:textId="77777777" w:rsidR="0078138E" w:rsidRPr="00F876E9" w:rsidRDefault="0078138E" w:rsidP="00882574">
            <w:pPr>
              <w:rPr>
                <w:b/>
                <w:sz w:val="24"/>
                <w:szCs w:val="24"/>
                <w:lang w:val="en-GB"/>
              </w:rPr>
            </w:pPr>
            <w:r w:rsidRPr="00F876E9">
              <w:rPr>
                <w:b/>
                <w:sz w:val="24"/>
                <w:szCs w:val="24"/>
                <w:lang w:val="en-GB"/>
              </w:rPr>
              <w:t>Adverse drug reaction</w:t>
            </w:r>
          </w:p>
        </w:tc>
        <w:tc>
          <w:tcPr>
            <w:tcW w:w="1984" w:type="dxa"/>
            <w:tcBorders>
              <w:top w:val="single" w:sz="4" w:space="0" w:color="auto"/>
              <w:left w:val="single" w:sz="4" w:space="0" w:color="auto"/>
              <w:bottom w:val="single" w:sz="4" w:space="0" w:color="auto"/>
              <w:right w:val="single" w:sz="4" w:space="0" w:color="auto"/>
            </w:tcBorders>
            <w:hideMark/>
          </w:tcPr>
          <w:p w14:paraId="7B4D1B45" w14:textId="77777777" w:rsidR="0078138E" w:rsidRPr="00F876E9" w:rsidRDefault="0078138E" w:rsidP="00F876E9">
            <w:pPr>
              <w:jc w:val="center"/>
              <w:rPr>
                <w:b/>
                <w:sz w:val="24"/>
                <w:szCs w:val="24"/>
                <w:lang w:val="en-GB"/>
              </w:rPr>
            </w:pPr>
            <w:r w:rsidRPr="00F876E9">
              <w:rPr>
                <w:b/>
                <w:sz w:val="24"/>
                <w:szCs w:val="24"/>
                <w:lang w:val="en-GB"/>
              </w:rPr>
              <w:t>Frequency category</w:t>
            </w:r>
          </w:p>
        </w:tc>
        <w:tc>
          <w:tcPr>
            <w:tcW w:w="1560" w:type="dxa"/>
            <w:tcBorders>
              <w:top w:val="single" w:sz="4" w:space="0" w:color="auto"/>
              <w:left w:val="single" w:sz="4" w:space="0" w:color="auto"/>
              <w:bottom w:val="single" w:sz="4" w:space="0" w:color="auto"/>
              <w:right w:val="single" w:sz="4" w:space="0" w:color="auto"/>
            </w:tcBorders>
            <w:hideMark/>
          </w:tcPr>
          <w:p w14:paraId="581C12F0" w14:textId="77777777" w:rsidR="0078138E" w:rsidRPr="00F876E9" w:rsidRDefault="0078138E" w:rsidP="00F876E9">
            <w:pPr>
              <w:jc w:val="center"/>
              <w:rPr>
                <w:b/>
                <w:sz w:val="24"/>
                <w:szCs w:val="24"/>
                <w:lang w:val="en-GB"/>
              </w:rPr>
            </w:pPr>
            <w:r w:rsidRPr="00F876E9">
              <w:rPr>
                <w:b/>
                <w:sz w:val="24"/>
                <w:szCs w:val="24"/>
                <w:lang w:val="en-GB"/>
              </w:rPr>
              <w:t>Frequency category</w:t>
            </w:r>
          </w:p>
        </w:tc>
        <w:tc>
          <w:tcPr>
            <w:tcW w:w="1559" w:type="dxa"/>
            <w:tcBorders>
              <w:top w:val="single" w:sz="4" w:space="0" w:color="auto"/>
              <w:left w:val="single" w:sz="4" w:space="0" w:color="auto"/>
              <w:bottom w:val="single" w:sz="4" w:space="0" w:color="auto"/>
              <w:right w:val="single" w:sz="4" w:space="0" w:color="auto"/>
            </w:tcBorders>
            <w:hideMark/>
          </w:tcPr>
          <w:p w14:paraId="480F582E" w14:textId="77777777" w:rsidR="0078138E" w:rsidRPr="00F876E9" w:rsidRDefault="0078138E" w:rsidP="00F876E9">
            <w:pPr>
              <w:jc w:val="center"/>
              <w:rPr>
                <w:b/>
                <w:sz w:val="24"/>
                <w:szCs w:val="24"/>
                <w:lang w:val="en-GB"/>
              </w:rPr>
            </w:pPr>
            <w:r w:rsidRPr="00F876E9">
              <w:rPr>
                <w:b/>
                <w:sz w:val="24"/>
                <w:szCs w:val="24"/>
                <w:lang w:val="en-GB"/>
              </w:rPr>
              <w:t>Frequency category</w:t>
            </w:r>
          </w:p>
        </w:tc>
        <w:tc>
          <w:tcPr>
            <w:tcW w:w="1559" w:type="dxa"/>
            <w:tcBorders>
              <w:top w:val="single" w:sz="4" w:space="0" w:color="auto"/>
              <w:left w:val="single" w:sz="4" w:space="0" w:color="auto"/>
              <w:bottom w:val="single" w:sz="4" w:space="0" w:color="auto"/>
              <w:right w:val="single" w:sz="4" w:space="0" w:color="auto"/>
            </w:tcBorders>
            <w:hideMark/>
          </w:tcPr>
          <w:p w14:paraId="0FB6B222" w14:textId="77777777" w:rsidR="0078138E" w:rsidRPr="00F876E9" w:rsidRDefault="0078138E" w:rsidP="00F876E9">
            <w:pPr>
              <w:jc w:val="center"/>
              <w:rPr>
                <w:b/>
                <w:sz w:val="24"/>
                <w:szCs w:val="24"/>
                <w:lang w:val="en-GB"/>
              </w:rPr>
            </w:pPr>
            <w:r w:rsidRPr="00F876E9">
              <w:rPr>
                <w:b/>
                <w:sz w:val="24"/>
                <w:szCs w:val="24"/>
                <w:lang w:val="en-GB"/>
              </w:rPr>
              <w:t>Frequency category</w:t>
            </w:r>
          </w:p>
        </w:tc>
      </w:tr>
      <w:tr w:rsidR="0078138E" w:rsidRPr="00F876E9" w14:paraId="2563E9D8" w14:textId="77777777" w:rsidTr="0078138E">
        <w:tc>
          <w:tcPr>
            <w:tcW w:w="6204" w:type="dxa"/>
            <w:gridSpan w:val="3"/>
            <w:tcBorders>
              <w:top w:val="single" w:sz="4" w:space="0" w:color="auto"/>
              <w:left w:val="single" w:sz="4" w:space="0" w:color="auto"/>
              <w:bottom w:val="single" w:sz="4" w:space="0" w:color="auto"/>
              <w:right w:val="single" w:sz="4" w:space="0" w:color="auto"/>
            </w:tcBorders>
            <w:hideMark/>
          </w:tcPr>
          <w:p w14:paraId="1B089309" w14:textId="77777777" w:rsidR="0078138E" w:rsidRPr="00F876E9" w:rsidRDefault="0078138E" w:rsidP="00882574">
            <w:pPr>
              <w:rPr>
                <w:b/>
                <w:sz w:val="24"/>
                <w:szCs w:val="24"/>
                <w:lang w:val="en-GB"/>
              </w:rPr>
            </w:pPr>
            <w:r w:rsidRPr="00F876E9">
              <w:rPr>
                <w:b/>
                <w:sz w:val="24"/>
                <w:szCs w:val="24"/>
                <w:lang w:val="en-GB"/>
              </w:rPr>
              <w:t>Infections and infestations</w:t>
            </w:r>
          </w:p>
        </w:tc>
        <w:tc>
          <w:tcPr>
            <w:tcW w:w="1559" w:type="dxa"/>
            <w:tcBorders>
              <w:top w:val="single" w:sz="4" w:space="0" w:color="auto"/>
              <w:left w:val="single" w:sz="4" w:space="0" w:color="auto"/>
              <w:bottom w:val="single" w:sz="4" w:space="0" w:color="auto"/>
              <w:right w:val="single" w:sz="4" w:space="0" w:color="auto"/>
            </w:tcBorders>
          </w:tcPr>
          <w:p w14:paraId="32FD788B" w14:textId="77777777" w:rsidR="0078138E" w:rsidRPr="00F876E9" w:rsidRDefault="0078138E" w:rsidP="00882574">
            <w:pPr>
              <w:rPr>
                <w:b/>
                <w:sz w:val="24"/>
                <w:szCs w:val="24"/>
                <w:lang w:val="en-GB"/>
              </w:rPr>
            </w:pPr>
          </w:p>
        </w:tc>
        <w:tc>
          <w:tcPr>
            <w:tcW w:w="1559" w:type="dxa"/>
            <w:tcBorders>
              <w:top w:val="single" w:sz="4" w:space="0" w:color="auto"/>
              <w:left w:val="single" w:sz="4" w:space="0" w:color="auto"/>
              <w:bottom w:val="single" w:sz="4" w:space="0" w:color="auto"/>
              <w:right w:val="single" w:sz="4" w:space="0" w:color="auto"/>
            </w:tcBorders>
          </w:tcPr>
          <w:p w14:paraId="41062FC8" w14:textId="77777777" w:rsidR="0078138E" w:rsidRPr="00F876E9" w:rsidRDefault="0078138E" w:rsidP="00882574">
            <w:pPr>
              <w:rPr>
                <w:b/>
                <w:sz w:val="24"/>
                <w:szCs w:val="24"/>
                <w:lang w:val="en-GB"/>
              </w:rPr>
            </w:pPr>
          </w:p>
        </w:tc>
      </w:tr>
      <w:tr w:rsidR="0078138E" w:rsidRPr="009B509D" w14:paraId="4EBD0A7A"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050EC350" w14:textId="77777777" w:rsidR="0078138E" w:rsidRPr="009B509D" w:rsidRDefault="0078138E" w:rsidP="00882574">
            <w:pPr>
              <w:rPr>
                <w:sz w:val="24"/>
                <w:szCs w:val="24"/>
                <w:lang w:val="en-GB"/>
              </w:rPr>
            </w:pPr>
            <w:r w:rsidRPr="009B509D">
              <w:rPr>
                <w:sz w:val="24"/>
                <w:szCs w:val="24"/>
                <w:lang w:val="en-GB"/>
              </w:rPr>
              <w:t>CMV infections</w:t>
            </w:r>
          </w:p>
        </w:tc>
        <w:tc>
          <w:tcPr>
            <w:tcW w:w="1984" w:type="dxa"/>
            <w:tcBorders>
              <w:top w:val="single" w:sz="4" w:space="0" w:color="auto"/>
              <w:left w:val="single" w:sz="4" w:space="0" w:color="auto"/>
              <w:bottom w:val="single" w:sz="4" w:space="0" w:color="auto"/>
              <w:right w:val="single" w:sz="4" w:space="0" w:color="auto"/>
            </w:tcBorders>
            <w:hideMark/>
          </w:tcPr>
          <w:p w14:paraId="22677E40" w14:textId="77777777" w:rsidR="0078138E" w:rsidRPr="009B509D" w:rsidRDefault="0078138E" w:rsidP="00F876E9">
            <w:pPr>
              <w:jc w:val="center"/>
              <w:rPr>
                <w:sz w:val="24"/>
                <w:szCs w:val="24"/>
                <w:lang w:val="en-GB"/>
              </w:rPr>
            </w:pPr>
            <w:r w:rsidRPr="009B509D">
              <w:rPr>
                <w:sz w:val="24"/>
                <w:szCs w:val="24"/>
                <w:lang w:val="en-GB"/>
              </w:rPr>
              <w:t>Very common</w:t>
            </w:r>
          </w:p>
        </w:tc>
        <w:tc>
          <w:tcPr>
            <w:tcW w:w="1560" w:type="dxa"/>
            <w:tcBorders>
              <w:top w:val="single" w:sz="4" w:space="0" w:color="auto"/>
              <w:left w:val="single" w:sz="4" w:space="0" w:color="auto"/>
              <w:bottom w:val="single" w:sz="4" w:space="0" w:color="auto"/>
              <w:right w:val="single" w:sz="4" w:space="0" w:color="auto"/>
            </w:tcBorders>
            <w:hideMark/>
          </w:tcPr>
          <w:p w14:paraId="77631AD7" w14:textId="77777777" w:rsidR="0078138E" w:rsidRPr="009B509D" w:rsidRDefault="0078138E" w:rsidP="00F876E9">
            <w:pPr>
              <w:jc w:val="center"/>
              <w:rPr>
                <w:sz w:val="24"/>
                <w:szCs w:val="24"/>
                <w:lang w:val="en-GB"/>
              </w:rPr>
            </w:pPr>
            <w:r w:rsidRPr="009B509D">
              <w:rPr>
                <w:sz w:val="24"/>
                <w:szCs w:val="24"/>
                <w:lang w:val="en-GB"/>
              </w:rPr>
              <w:t>Very common</w:t>
            </w:r>
          </w:p>
        </w:tc>
        <w:tc>
          <w:tcPr>
            <w:tcW w:w="1559" w:type="dxa"/>
            <w:tcBorders>
              <w:top w:val="single" w:sz="4" w:space="0" w:color="auto"/>
              <w:left w:val="single" w:sz="4" w:space="0" w:color="auto"/>
              <w:bottom w:val="single" w:sz="4" w:space="0" w:color="auto"/>
              <w:right w:val="single" w:sz="4" w:space="0" w:color="auto"/>
            </w:tcBorders>
            <w:hideMark/>
          </w:tcPr>
          <w:p w14:paraId="30098FC9" w14:textId="77777777" w:rsidR="0078138E" w:rsidRPr="009B509D" w:rsidRDefault="0078138E" w:rsidP="00F876E9">
            <w:pPr>
              <w:jc w:val="center"/>
              <w:rPr>
                <w:sz w:val="24"/>
                <w:szCs w:val="24"/>
                <w:lang w:val="en-GB"/>
              </w:rPr>
            </w:pPr>
            <w:r w:rsidRPr="009B509D">
              <w:rPr>
                <w:sz w:val="24"/>
                <w:szCs w:val="24"/>
                <w:lang w:val="en-GB"/>
              </w:rPr>
              <w:t>Common</w:t>
            </w:r>
          </w:p>
        </w:tc>
        <w:tc>
          <w:tcPr>
            <w:tcW w:w="1559" w:type="dxa"/>
            <w:tcBorders>
              <w:top w:val="single" w:sz="4" w:space="0" w:color="auto"/>
              <w:left w:val="single" w:sz="4" w:space="0" w:color="auto"/>
              <w:bottom w:val="single" w:sz="4" w:space="0" w:color="auto"/>
              <w:right w:val="single" w:sz="4" w:space="0" w:color="auto"/>
            </w:tcBorders>
            <w:hideMark/>
          </w:tcPr>
          <w:p w14:paraId="79DDD839" w14:textId="77777777" w:rsidR="0078138E" w:rsidRPr="009B509D" w:rsidRDefault="0078138E" w:rsidP="00F876E9">
            <w:pPr>
              <w:jc w:val="center"/>
              <w:rPr>
                <w:sz w:val="24"/>
                <w:szCs w:val="24"/>
                <w:lang w:val="en-GB"/>
              </w:rPr>
            </w:pPr>
            <w:r w:rsidRPr="009B509D">
              <w:rPr>
                <w:sz w:val="24"/>
                <w:szCs w:val="24"/>
                <w:lang w:val="en-GB"/>
              </w:rPr>
              <w:t>Common</w:t>
            </w:r>
          </w:p>
        </w:tc>
      </w:tr>
      <w:tr w:rsidR="0078138E" w:rsidRPr="009B509D" w14:paraId="1B28DA7E"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4547C941" w14:textId="77777777" w:rsidR="0078138E" w:rsidRPr="009B509D" w:rsidRDefault="0078138E" w:rsidP="00762250">
            <w:pPr>
              <w:ind w:left="284"/>
              <w:rPr>
                <w:sz w:val="24"/>
                <w:szCs w:val="24"/>
                <w:lang w:val="en-GB"/>
              </w:rPr>
            </w:pPr>
            <w:r w:rsidRPr="009B509D">
              <w:rPr>
                <w:sz w:val="24"/>
                <w:szCs w:val="24"/>
                <w:lang w:val="en-GB"/>
              </w:rPr>
              <w:t>CTCAE</w:t>
            </w:r>
            <w:r w:rsidRPr="009B509D">
              <w:rPr>
                <w:sz w:val="24"/>
                <w:szCs w:val="24"/>
                <w:vertAlign w:val="superscript"/>
                <w:lang w:val="en-GB"/>
              </w:rPr>
              <w:t>3</w:t>
            </w:r>
            <w:r w:rsidRPr="009B509D">
              <w:rPr>
                <w:sz w:val="24"/>
                <w:szCs w:val="24"/>
                <w:lang w:val="en-GB"/>
              </w:rPr>
              <w:t xml:space="preserve"> grade ≥3</w:t>
            </w:r>
          </w:p>
        </w:tc>
        <w:tc>
          <w:tcPr>
            <w:tcW w:w="1984" w:type="dxa"/>
            <w:tcBorders>
              <w:top w:val="single" w:sz="4" w:space="0" w:color="auto"/>
              <w:left w:val="single" w:sz="4" w:space="0" w:color="auto"/>
              <w:bottom w:val="single" w:sz="4" w:space="0" w:color="auto"/>
              <w:right w:val="single" w:sz="4" w:space="0" w:color="auto"/>
            </w:tcBorders>
            <w:hideMark/>
          </w:tcPr>
          <w:p w14:paraId="6E00A1C5" w14:textId="77777777" w:rsidR="0078138E" w:rsidRPr="009B509D" w:rsidRDefault="0078138E" w:rsidP="00F876E9">
            <w:pPr>
              <w:jc w:val="center"/>
              <w:rPr>
                <w:sz w:val="24"/>
                <w:szCs w:val="24"/>
                <w:lang w:val="en-GB"/>
              </w:rPr>
            </w:pPr>
            <w:r w:rsidRPr="009B509D">
              <w:rPr>
                <w:sz w:val="24"/>
                <w:szCs w:val="24"/>
                <w:lang w:val="en-GB"/>
              </w:rPr>
              <w:t>Very common</w:t>
            </w:r>
          </w:p>
        </w:tc>
        <w:tc>
          <w:tcPr>
            <w:tcW w:w="1560" w:type="dxa"/>
            <w:tcBorders>
              <w:top w:val="single" w:sz="4" w:space="0" w:color="auto"/>
              <w:left w:val="single" w:sz="4" w:space="0" w:color="auto"/>
              <w:bottom w:val="single" w:sz="4" w:space="0" w:color="auto"/>
              <w:right w:val="single" w:sz="4" w:space="0" w:color="auto"/>
            </w:tcBorders>
            <w:hideMark/>
          </w:tcPr>
          <w:p w14:paraId="294AF6A2" w14:textId="77777777" w:rsidR="0078138E" w:rsidRPr="009B509D" w:rsidRDefault="0078138E" w:rsidP="00F876E9">
            <w:pPr>
              <w:jc w:val="center"/>
              <w:rPr>
                <w:sz w:val="24"/>
                <w:szCs w:val="24"/>
                <w:lang w:val="en-GB"/>
              </w:rPr>
            </w:pPr>
            <w:r w:rsidRPr="009B509D">
              <w:rPr>
                <w:sz w:val="24"/>
                <w:szCs w:val="24"/>
                <w:lang w:val="en-GB"/>
              </w:rPr>
              <w:t>Common</w:t>
            </w:r>
          </w:p>
        </w:tc>
        <w:tc>
          <w:tcPr>
            <w:tcW w:w="1559" w:type="dxa"/>
            <w:tcBorders>
              <w:top w:val="single" w:sz="4" w:space="0" w:color="auto"/>
              <w:left w:val="single" w:sz="4" w:space="0" w:color="auto"/>
              <w:bottom w:val="single" w:sz="4" w:space="0" w:color="auto"/>
              <w:right w:val="single" w:sz="4" w:space="0" w:color="auto"/>
            </w:tcBorders>
            <w:hideMark/>
          </w:tcPr>
          <w:p w14:paraId="3BE46644" w14:textId="77777777" w:rsidR="0078138E" w:rsidRPr="009B509D" w:rsidRDefault="0078138E" w:rsidP="00F876E9">
            <w:pPr>
              <w:jc w:val="center"/>
              <w:rPr>
                <w:sz w:val="24"/>
                <w:szCs w:val="24"/>
                <w:lang w:val="en-GB"/>
              </w:rPr>
            </w:pPr>
            <w:r w:rsidRPr="009B509D">
              <w:rPr>
                <w:sz w:val="24"/>
                <w:szCs w:val="24"/>
                <w:lang w:val="en-GB"/>
              </w:rPr>
              <w:t>Common</w:t>
            </w:r>
          </w:p>
        </w:tc>
        <w:tc>
          <w:tcPr>
            <w:tcW w:w="1559" w:type="dxa"/>
            <w:tcBorders>
              <w:top w:val="single" w:sz="4" w:space="0" w:color="auto"/>
              <w:left w:val="single" w:sz="4" w:space="0" w:color="auto"/>
              <w:bottom w:val="single" w:sz="4" w:space="0" w:color="auto"/>
              <w:right w:val="single" w:sz="4" w:space="0" w:color="auto"/>
            </w:tcBorders>
            <w:hideMark/>
          </w:tcPr>
          <w:p w14:paraId="44340822" w14:textId="77777777" w:rsidR="0078138E" w:rsidRPr="009B509D" w:rsidRDefault="0078138E" w:rsidP="00F876E9">
            <w:pPr>
              <w:jc w:val="center"/>
              <w:rPr>
                <w:sz w:val="24"/>
                <w:szCs w:val="24"/>
                <w:lang w:val="en-GB"/>
              </w:rPr>
            </w:pPr>
            <w:r w:rsidRPr="009B509D">
              <w:rPr>
                <w:sz w:val="24"/>
                <w:szCs w:val="24"/>
                <w:lang w:val="en-GB"/>
              </w:rPr>
              <w:t>N/A</w:t>
            </w:r>
            <w:r w:rsidRPr="009B509D">
              <w:rPr>
                <w:sz w:val="24"/>
                <w:szCs w:val="24"/>
                <w:vertAlign w:val="superscript"/>
                <w:lang w:val="en-GB"/>
              </w:rPr>
              <w:t>5</w:t>
            </w:r>
          </w:p>
        </w:tc>
      </w:tr>
      <w:tr w:rsidR="0078138E" w:rsidRPr="009B509D" w14:paraId="57E30785"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0952DAF5" w14:textId="77777777" w:rsidR="0078138E" w:rsidRPr="009B509D" w:rsidRDefault="0078138E" w:rsidP="00882574">
            <w:pPr>
              <w:rPr>
                <w:sz w:val="24"/>
                <w:szCs w:val="24"/>
                <w:lang w:val="en-GB"/>
              </w:rPr>
            </w:pPr>
            <w:r w:rsidRPr="009B509D">
              <w:rPr>
                <w:sz w:val="24"/>
                <w:szCs w:val="24"/>
                <w:lang w:val="en-GB"/>
              </w:rPr>
              <w:t>Sepsis</w:t>
            </w:r>
          </w:p>
        </w:tc>
        <w:tc>
          <w:tcPr>
            <w:tcW w:w="1984" w:type="dxa"/>
            <w:tcBorders>
              <w:top w:val="single" w:sz="4" w:space="0" w:color="auto"/>
              <w:left w:val="single" w:sz="4" w:space="0" w:color="auto"/>
              <w:bottom w:val="single" w:sz="4" w:space="0" w:color="auto"/>
              <w:right w:val="single" w:sz="4" w:space="0" w:color="auto"/>
            </w:tcBorders>
            <w:hideMark/>
          </w:tcPr>
          <w:p w14:paraId="4AA6B1E9" w14:textId="77777777" w:rsidR="0078138E" w:rsidRPr="009B509D" w:rsidRDefault="0078138E" w:rsidP="00F876E9">
            <w:pPr>
              <w:jc w:val="center"/>
              <w:rPr>
                <w:sz w:val="24"/>
                <w:szCs w:val="24"/>
                <w:lang w:val="en-GB"/>
              </w:rPr>
            </w:pPr>
            <w:r w:rsidRPr="009B509D">
              <w:rPr>
                <w:sz w:val="24"/>
                <w:szCs w:val="24"/>
                <w:lang w:val="en-GB"/>
              </w:rPr>
              <w:t>Very common</w:t>
            </w:r>
          </w:p>
        </w:tc>
        <w:tc>
          <w:tcPr>
            <w:tcW w:w="1560" w:type="dxa"/>
            <w:tcBorders>
              <w:top w:val="single" w:sz="4" w:space="0" w:color="auto"/>
              <w:left w:val="single" w:sz="4" w:space="0" w:color="auto"/>
              <w:bottom w:val="single" w:sz="4" w:space="0" w:color="auto"/>
              <w:right w:val="single" w:sz="4" w:space="0" w:color="auto"/>
            </w:tcBorders>
            <w:hideMark/>
          </w:tcPr>
          <w:p w14:paraId="7804075D" w14:textId="77777777" w:rsidR="0078138E" w:rsidRPr="009B509D" w:rsidRDefault="0078138E" w:rsidP="00F876E9">
            <w:pPr>
              <w:jc w:val="center"/>
              <w:rPr>
                <w:sz w:val="24"/>
                <w:szCs w:val="24"/>
                <w:lang w:val="en-GB"/>
              </w:rPr>
            </w:pPr>
            <w:r w:rsidRPr="009B509D">
              <w:rPr>
                <w:sz w:val="24"/>
                <w:szCs w:val="24"/>
                <w:lang w:val="en-GB"/>
              </w:rPr>
              <w:t>Common</w:t>
            </w:r>
          </w:p>
        </w:tc>
        <w:tc>
          <w:tcPr>
            <w:tcW w:w="1559" w:type="dxa"/>
            <w:tcBorders>
              <w:top w:val="single" w:sz="4" w:space="0" w:color="auto"/>
              <w:left w:val="single" w:sz="4" w:space="0" w:color="auto"/>
              <w:bottom w:val="single" w:sz="4" w:space="0" w:color="auto"/>
              <w:right w:val="single" w:sz="4" w:space="0" w:color="auto"/>
            </w:tcBorders>
            <w:hideMark/>
          </w:tcPr>
          <w:p w14:paraId="4D9B852D" w14:textId="77777777" w:rsidR="0078138E" w:rsidRPr="009B509D" w:rsidRDefault="0078138E" w:rsidP="00F876E9">
            <w:pPr>
              <w:jc w:val="center"/>
              <w:rPr>
                <w:sz w:val="24"/>
                <w:szCs w:val="24"/>
                <w:vertAlign w:val="superscript"/>
                <w:lang w:val="en-GB"/>
              </w:rPr>
            </w:pPr>
            <w:r w:rsidRPr="009B509D">
              <w:rPr>
                <w:sz w:val="24"/>
                <w:szCs w:val="24"/>
                <w:lang w:val="en-GB"/>
              </w:rPr>
              <w:t>-</w:t>
            </w:r>
            <w:r w:rsidRPr="009B509D">
              <w:rPr>
                <w:sz w:val="24"/>
                <w:szCs w:val="24"/>
                <w:vertAlign w:val="superscript"/>
                <w:lang w:val="en-GB"/>
              </w:rPr>
              <w:t>6</w:t>
            </w:r>
          </w:p>
        </w:tc>
        <w:tc>
          <w:tcPr>
            <w:tcW w:w="1559" w:type="dxa"/>
            <w:tcBorders>
              <w:top w:val="single" w:sz="4" w:space="0" w:color="auto"/>
              <w:left w:val="single" w:sz="4" w:space="0" w:color="auto"/>
              <w:bottom w:val="single" w:sz="4" w:space="0" w:color="auto"/>
              <w:right w:val="single" w:sz="4" w:space="0" w:color="auto"/>
            </w:tcBorders>
            <w:hideMark/>
          </w:tcPr>
          <w:p w14:paraId="6250FC11" w14:textId="77777777" w:rsidR="0078138E" w:rsidRPr="009B509D" w:rsidRDefault="0078138E" w:rsidP="00F876E9">
            <w:pPr>
              <w:jc w:val="center"/>
              <w:rPr>
                <w:sz w:val="24"/>
                <w:szCs w:val="24"/>
                <w:lang w:val="en-GB"/>
              </w:rPr>
            </w:pPr>
            <w:r w:rsidRPr="009B509D">
              <w:rPr>
                <w:sz w:val="24"/>
                <w:szCs w:val="24"/>
                <w:lang w:val="en-GB"/>
              </w:rPr>
              <w:t>-</w:t>
            </w:r>
            <w:r w:rsidRPr="009B509D">
              <w:rPr>
                <w:sz w:val="24"/>
                <w:szCs w:val="24"/>
                <w:vertAlign w:val="superscript"/>
                <w:lang w:val="en-GB"/>
              </w:rPr>
              <w:t>6</w:t>
            </w:r>
          </w:p>
        </w:tc>
      </w:tr>
      <w:tr w:rsidR="0078138E" w:rsidRPr="009B509D" w14:paraId="0DF756F8"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3BA45002" w14:textId="77777777" w:rsidR="0078138E" w:rsidRPr="009B509D" w:rsidRDefault="0078138E" w:rsidP="00762250">
            <w:pPr>
              <w:ind w:left="284"/>
              <w:rPr>
                <w:sz w:val="24"/>
                <w:szCs w:val="24"/>
                <w:lang w:val="en-GB"/>
              </w:rPr>
            </w:pPr>
            <w:r w:rsidRPr="009B509D">
              <w:rPr>
                <w:sz w:val="24"/>
                <w:szCs w:val="24"/>
                <w:lang w:val="en-GB"/>
              </w:rPr>
              <w:t>CTCAE grade ≥3</w:t>
            </w:r>
            <w:r w:rsidRPr="009B509D">
              <w:rPr>
                <w:sz w:val="24"/>
                <w:szCs w:val="24"/>
                <w:vertAlign w:val="superscript"/>
                <w:lang w:val="en-GB"/>
              </w:rPr>
              <w:t>4</w:t>
            </w:r>
          </w:p>
        </w:tc>
        <w:tc>
          <w:tcPr>
            <w:tcW w:w="1984" w:type="dxa"/>
            <w:tcBorders>
              <w:top w:val="single" w:sz="4" w:space="0" w:color="auto"/>
              <w:left w:val="single" w:sz="4" w:space="0" w:color="auto"/>
              <w:bottom w:val="single" w:sz="4" w:space="0" w:color="auto"/>
              <w:right w:val="single" w:sz="4" w:space="0" w:color="auto"/>
            </w:tcBorders>
            <w:hideMark/>
          </w:tcPr>
          <w:p w14:paraId="299E3CA3" w14:textId="77777777" w:rsidR="0078138E" w:rsidRPr="009B509D" w:rsidRDefault="0078138E" w:rsidP="00F876E9">
            <w:pPr>
              <w:jc w:val="center"/>
              <w:rPr>
                <w:sz w:val="24"/>
                <w:szCs w:val="24"/>
                <w:lang w:val="en-GB"/>
              </w:rPr>
            </w:pPr>
            <w:r w:rsidRPr="009B509D">
              <w:rPr>
                <w:sz w:val="24"/>
                <w:szCs w:val="24"/>
                <w:lang w:val="en-GB"/>
              </w:rPr>
              <w:t>Very common</w:t>
            </w:r>
          </w:p>
        </w:tc>
        <w:tc>
          <w:tcPr>
            <w:tcW w:w="1560" w:type="dxa"/>
            <w:tcBorders>
              <w:top w:val="single" w:sz="4" w:space="0" w:color="auto"/>
              <w:left w:val="single" w:sz="4" w:space="0" w:color="auto"/>
              <w:bottom w:val="single" w:sz="4" w:space="0" w:color="auto"/>
              <w:right w:val="single" w:sz="4" w:space="0" w:color="auto"/>
            </w:tcBorders>
            <w:hideMark/>
          </w:tcPr>
          <w:p w14:paraId="3688FFE0" w14:textId="77777777" w:rsidR="0078138E" w:rsidRPr="009B509D" w:rsidRDefault="0078138E" w:rsidP="00F876E9">
            <w:pPr>
              <w:jc w:val="center"/>
              <w:rPr>
                <w:sz w:val="24"/>
                <w:szCs w:val="24"/>
                <w:lang w:val="en-GB"/>
              </w:rPr>
            </w:pPr>
            <w:r w:rsidRPr="009B509D">
              <w:rPr>
                <w:sz w:val="24"/>
                <w:szCs w:val="24"/>
                <w:lang w:val="en-GB"/>
              </w:rPr>
              <w:t>Common</w:t>
            </w:r>
          </w:p>
        </w:tc>
        <w:tc>
          <w:tcPr>
            <w:tcW w:w="1559" w:type="dxa"/>
            <w:tcBorders>
              <w:top w:val="single" w:sz="4" w:space="0" w:color="auto"/>
              <w:left w:val="single" w:sz="4" w:space="0" w:color="auto"/>
              <w:bottom w:val="single" w:sz="4" w:space="0" w:color="auto"/>
              <w:right w:val="single" w:sz="4" w:space="0" w:color="auto"/>
            </w:tcBorders>
            <w:hideMark/>
          </w:tcPr>
          <w:p w14:paraId="40CCF2DE" w14:textId="77777777" w:rsidR="0078138E" w:rsidRPr="009B509D" w:rsidRDefault="0078138E" w:rsidP="00F876E9">
            <w:pPr>
              <w:jc w:val="center"/>
              <w:rPr>
                <w:sz w:val="24"/>
                <w:szCs w:val="24"/>
                <w:lang w:val="en-GB"/>
              </w:rPr>
            </w:pPr>
            <w:r w:rsidRPr="009B509D">
              <w:rPr>
                <w:sz w:val="24"/>
                <w:szCs w:val="24"/>
                <w:lang w:val="en-GB"/>
              </w:rPr>
              <w:t>-</w:t>
            </w:r>
            <w:r w:rsidRPr="009B509D">
              <w:rPr>
                <w:sz w:val="24"/>
                <w:szCs w:val="24"/>
                <w:vertAlign w:val="superscript"/>
                <w:lang w:val="en-GB"/>
              </w:rPr>
              <w:t>6</w:t>
            </w:r>
          </w:p>
        </w:tc>
        <w:tc>
          <w:tcPr>
            <w:tcW w:w="1559" w:type="dxa"/>
            <w:tcBorders>
              <w:top w:val="single" w:sz="4" w:space="0" w:color="auto"/>
              <w:left w:val="single" w:sz="4" w:space="0" w:color="auto"/>
              <w:bottom w:val="single" w:sz="4" w:space="0" w:color="auto"/>
              <w:right w:val="single" w:sz="4" w:space="0" w:color="auto"/>
            </w:tcBorders>
            <w:hideMark/>
          </w:tcPr>
          <w:p w14:paraId="118DF4DC" w14:textId="77777777" w:rsidR="0078138E" w:rsidRPr="009B509D" w:rsidRDefault="0078138E" w:rsidP="00F876E9">
            <w:pPr>
              <w:jc w:val="center"/>
              <w:rPr>
                <w:sz w:val="24"/>
                <w:szCs w:val="24"/>
                <w:lang w:val="en-GB"/>
              </w:rPr>
            </w:pPr>
            <w:r w:rsidRPr="009B509D">
              <w:rPr>
                <w:sz w:val="24"/>
                <w:szCs w:val="24"/>
                <w:lang w:val="en-GB"/>
              </w:rPr>
              <w:t>-</w:t>
            </w:r>
            <w:r w:rsidRPr="009B509D">
              <w:rPr>
                <w:sz w:val="24"/>
                <w:szCs w:val="24"/>
                <w:vertAlign w:val="superscript"/>
                <w:lang w:val="en-GB"/>
              </w:rPr>
              <w:t>6</w:t>
            </w:r>
          </w:p>
        </w:tc>
      </w:tr>
      <w:tr w:rsidR="0078138E" w:rsidRPr="009B509D" w14:paraId="10AA78CF"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64D020AA" w14:textId="77777777" w:rsidR="0078138E" w:rsidRPr="009B509D" w:rsidRDefault="0078138E" w:rsidP="00882574">
            <w:pPr>
              <w:rPr>
                <w:sz w:val="24"/>
                <w:szCs w:val="24"/>
                <w:lang w:val="en-GB"/>
              </w:rPr>
            </w:pPr>
            <w:r w:rsidRPr="009B509D">
              <w:rPr>
                <w:sz w:val="24"/>
                <w:szCs w:val="24"/>
                <w:lang w:val="en-GB"/>
              </w:rPr>
              <w:t>Urinary tract infections</w:t>
            </w:r>
          </w:p>
        </w:tc>
        <w:tc>
          <w:tcPr>
            <w:tcW w:w="1984" w:type="dxa"/>
            <w:tcBorders>
              <w:top w:val="single" w:sz="4" w:space="0" w:color="auto"/>
              <w:left w:val="single" w:sz="4" w:space="0" w:color="auto"/>
              <w:bottom w:val="single" w:sz="4" w:space="0" w:color="auto"/>
              <w:right w:val="single" w:sz="4" w:space="0" w:color="auto"/>
            </w:tcBorders>
            <w:hideMark/>
          </w:tcPr>
          <w:p w14:paraId="1F81F8EB" w14:textId="77777777" w:rsidR="0078138E" w:rsidRPr="009B509D" w:rsidRDefault="0078138E" w:rsidP="00F876E9">
            <w:pPr>
              <w:jc w:val="center"/>
              <w:rPr>
                <w:sz w:val="24"/>
                <w:szCs w:val="24"/>
                <w:lang w:val="en-GB"/>
              </w:rPr>
            </w:pPr>
            <w:r w:rsidRPr="009B509D">
              <w:rPr>
                <w:sz w:val="24"/>
                <w:szCs w:val="24"/>
                <w:lang w:val="en-GB"/>
              </w:rPr>
              <w:t>Very common</w:t>
            </w:r>
          </w:p>
        </w:tc>
        <w:tc>
          <w:tcPr>
            <w:tcW w:w="1560" w:type="dxa"/>
            <w:tcBorders>
              <w:top w:val="single" w:sz="4" w:space="0" w:color="auto"/>
              <w:left w:val="single" w:sz="4" w:space="0" w:color="auto"/>
              <w:bottom w:val="single" w:sz="4" w:space="0" w:color="auto"/>
              <w:right w:val="single" w:sz="4" w:space="0" w:color="auto"/>
            </w:tcBorders>
            <w:hideMark/>
          </w:tcPr>
          <w:p w14:paraId="58371D12" w14:textId="77777777" w:rsidR="0078138E" w:rsidRPr="009B509D" w:rsidRDefault="0078138E" w:rsidP="00F876E9">
            <w:pPr>
              <w:jc w:val="center"/>
              <w:rPr>
                <w:sz w:val="24"/>
                <w:szCs w:val="24"/>
                <w:lang w:val="en-GB"/>
              </w:rPr>
            </w:pPr>
            <w:r w:rsidRPr="009B509D">
              <w:rPr>
                <w:sz w:val="24"/>
                <w:szCs w:val="24"/>
                <w:lang w:val="en-GB"/>
              </w:rPr>
              <w:t>Common</w:t>
            </w:r>
          </w:p>
        </w:tc>
        <w:tc>
          <w:tcPr>
            <w:tcW w:w="1559" w:type="dxa"/>
            <w:tcBorders>
              <w:top w:val="single" w:sz="4" w:space="0" w:color="auto"/>
              <w:left w:val="single" w:sz="4" w:space="0" w:color="auto"/>
              <w:bottom w:val="single" w:sz="4" w:space="0" w:color="auto"/>
              <w:right w:val="single" w:sz="4" w:space="0" w:color="auto"/>
            </w:tcBorders>
            <w:hideMark/>
          </w:tcPr>
          <w:p w14:paraId="5563233D" w14:textId="77777777" w:rsidR="0078138E" w:rsidRPr="009B509D" w:rsidRDefault="0078138E" w:rsidP="00F876E9">
            <w:pPr>
              <w:jc w:val="center"/>
              <w:rPr>
                <w:sz w:val="24"/>
                <w:szCs w:val="24"/>
                <w:lang w:val="en-GB"/>
              </w:rPr>
            </w:pPr>
            <w:r w:rsidRPr="009B509D">
              <w:rPr>
                <w:sz w:val="24"/>
                <w:szCs w:val="24"/>
                <w:lang w:val="en-GB"/>
              </w:rPr>
              <w:t>Common</w:t>
            </w:r>
          </w:p>
        </w:tc>
        <w:tc>
          <w:tcPr>
            <w:tcW w:w="1559" w:type="dxa"/>
            <w:tcBorders>
              <w:top w:val="single" w:sz="4" w:space="0" w:color="auto"/>
              <w:left w:val="single" w:sz="4" w:space="0" w:color="auto"/>
              <w:bottom w:val="single" w:sz="4" w:space="0" w:color="auto"/>
              <w:right w:val="single" w:sz="4" w:space="0" w:color="auto"/>
            </w:tcBorders>
            <w:hideMark/>
          </w:tcPr>
          <w:p w14:paraId="574BC3FC" w14:textId="77777777" w:rsidR="0078138E" w:rsidRPr="009B509D" w:rsidRDefault="0078138E" w:rsidP="00F876E9">
            <w:pPr>
              <w:jc w:val="center"/>
              <w:rPr>
                <w:sz w:val="24"/>
                <w:szCs w:val="24"/>
                <w:lang w:val="en-GB"/>
              </w:rPr>
            </w:pPr>
            <w:r w:rsidRPr="009B509D">
              <w:rPr>
                <w:sz w:val="24"/>
                <w:szCs w:val="24"/>
                <w:lang w:val="en-GB"/>
              </w:rPr>
              <w:t>Common</w:t>
            </w:r>
          </w:p>
        </w:tc>
      </w:tr>
      <w:tr w:rsidR="0078138E" w:rsidRPr="009B509D" w14:paraId="728688EA"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76E96401" w14:textId="77777777" w:rsidR="0078138E" w:rsidRPr="009B509D" w:rsidRDefault="0078138E" w:rsidP="00762250">
            <w:pPr>
              <w:ind w:left="284"/>
              <w:rPr>
                <w:sz w:val="24"/>
                <w:szCs w:val="24"/>
                <w:lang w:val="en-GB"/>
              </w:rPr>
            </w:pPr>
            <w:r w:rsidRPr="009B509D">
              <w:rPr>
                <w:sz w:val="24"/>
                <w:szCs w:val="24"/>
                <w:lang w:val="en-GB"/>
              </w:rPr>
              <w:t>CTCAE grade ≥3</w:t>
            </w:r>
          </w:p>
        </w:tc>
        <w:tc>
          <w:tcPr>
            <w:tcW w:w="1984" w:type="dxa"/>
            <w:tcBorders>
              <w:top w:val="single" w:sz="4" w:space="0" w:color="auto"/>
              <w:left w:val="single" w:sz="4" w:space="0" w:color="auto"/>
              <w:bottom w:val="single" w:sz="4" w:space="0" w:color="auto"/>
              <w:right w:val="single" w:sz="4" w:space="0" w:color="auto"/>
            </w:tcBorders>
            <w:hideMark/>
          </w:tcPr>
          <w:p w14:paraId="72AE6D27" w14:textId="77777777" w:rsidR="0078138E" w:rsidRPr="009B509D" w:rsidRDefault="0078138E" w:rsidP="00F876E9">
            <w:pPr>
              <w:jc w:val="center"/>
              <w:rPr>
                <w:sz w:val="24"/>
                <w:szCs w:val="24"/>
                <w:lang w:val="en-GB"/>
              </w:rPr>
            </w:pPr>
            <w:r w:rsidRPr="009B509D">
              <w:rPr>
                <w:sz w:val="24"/>
                <w:szCs w:val="24"/>
                <w:lang w:val="en-GB"/>
              </w:rPr>
              <w:t>Common</w:t>
            </w:r>
          </w:p>
        </w:tc>
        <w:tc>
          <w:tcPr>
            <w:tcW w:w="1560" w:type="dxa"/>
            <w:tcBorders>
              <w:top w:val="single" w:sz="4" w:space="0" w:color="auto"/>
              <w:left w:val="single" w:sz="4" w:space="0" w:color="auto"/>
              <w:bottom w:val="single" w:sz="4" w:space="0" w:color="auto"/>
              <w:right w:val="single" w:sz="4" w:space="0" w:color="auto"/>
            </w:tcBorders>
            <w:hideMark/>
          </w:tcPr>
          <w:p w14:paraId="289E5580" w14:textId="77777777" w:rsidR="0078138E" w:rsidRPr="009B509D" w:rsidRDefault="0078138E" w:rsidP="00F876E9">
            <w:pPr>
              <w:jc w:val="center"/>
              <w:rPr>
                <w:sz w:val="24"/>
                <w:szCs w:val="24"/>
                <w:lang w:val="en-GB"/>
              </w:rPr>
            </w:pPr>
            <w:r w:rsidRPr="009B509D">
              <w:rPr>
                <w:sz w:val="24"/>
                <w:szCs w:val="24"/>
                <w:lang w:val="en-GB"/>
              </w:rPr>
              <w:t>Common</w:t>
            </w:r>
          </w:p>
        </w:tc>
        <w:tc>
          <w:tcPr>
            <w:tcW w:w="1559" w:type="dxa"/>
            <w:tcBorders>
              <w:top w:val="single" w:sz="4" w:space="0" w:color="auto"/>
              <w:left w:val="single" w:sz="4" w:space="0" w:color="auto"/>
              <w:bottom w:val="single" w:sz="4" w:space="0" w:color="auto"/>
              <w:right w:val="single" w:sz="4" w:space="0" w:color="auto"/>
            </w:tcBorders>
            <w:hideMark/>
          </w:tcPr>
          <w:p w14:paraId="5D42CB5E" w14:textId="77777777" w:rsidR="0078138E" w:rsidRPr="009B509D" w:rsidRDefault="0078138E" w:rsidP="00F876E9">
            <w:pPr>
              <w:jc w:val="center"/>
              <w:rPr>
                <w:sz w:val="24"/>
                <w:szCs w:val="24"/>
                <w:lang w:val="en-GB"/>
              </w:rPr>
            </w:pPr>
            <w:r w:rsidRPr="009B509D">
              <w:rPr>
                <w:sz w:val="24"/>
                <w:szCs w:val="24"/>
                <w:lang w:val="en-GB"/>
              </w:rPr>
              <w:t>Common</w:t>
            </w:r>
          </w:p>
        </w:tc>
        <w:tc>
          <w:tcPr>
            <w:tcW w:w="1559" w:type="dxa"/>
            <w:tcBorders>
              <w:top w:val="single" w:sz="4" w:space="0" w:color="auto"/>
              <w:left w:val="single" w:sz="4" w:space="0" w:color="auto"/>
              <w:bottom w:val="single" w:sz="4" w:space="0" w:color="auto"/>
              <w:right w:val="single" w:sz="4" w:space="0" w:color="auto"/>
            </w:tcBorders>
            <w:hideMark/>
          </w:tcPr>
          <w:p w14:paraId="6680B401" w14:textId="77777777" w:rsidR="0078138E" w:rsidRPr="009B509D" w:rsidRDefault="0078138E" w:rsidP="00F876E9">
            <w:pPr>
              <w:jc w:val="center"/>
              <w:rPr>
                <w:sz w:val="24"/>
                <w:szCs w:val="24"/>
                <w:lang w:val="en-GB"/>
              </w:rPr>
            </w:pPr>
            <w:r w:rsidRPr="009B509D">
              <w:rPr>
                <w:sz w:val="24"/>
                <w:szCs w:val="24"/>
                <w:lang w:val="en-GB"/>
              </w:rPr>
              <w:t>Common</w:t>
            </w:r>
          </w:p>
        </w:tc>
      </w:tr>
      <w:tr w:rsidR="0078138E" w:rsidRPr="009B509D" w14:paraId="2118DD03"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2E3F7132" w14:textId="77777777" w:rsidR="0078138E" w:rsidRPr="009B509D" w:rsidRDefault="0078138E" w:rsidP="00882574">
            <w:pPr>
              <w:rPr>
                <w:sz w:val="24"/>
                <w:szCs w:val="24"/>
                <w:lang w:val="en-GB"/>
              </w:rPr>
            </w:pPr>
            <w:r w:rsidRPr="009B509D">
              <w:rPr>
                <w:sz w:val="24"/>
                <w:szCs w:val="24"/>
                <w:lang w:val="en-GB"/>
              </w:rPr>
              <w:t>BK virus infections</w:t>
            </w:r>
          </w:p>
        </w:tc>
        <w:tc>
          <w:tcPr>
            <w:tcW w:w="1984" w:type="dxa"/>
            <w:tcBorders>
              <w:top w:val="single" w:sz="4" w:space="0" w:color="auto"/>
              <w:left w:val="single" w:sz="4" w:space="0" w:color="auto"/>
              <w:bottom w:val="single" w:sz="4" w:space="0" w:color="auto"/>
              <w:right w:val="single" w:sz="4" w:space="0" w:color="auto"/>
            </w:tcBorders>
            <w:hideMark/>
          </w:tcPr>
          <w:p w14:paraId="52E64C20" w14:textId="77777777" w:rsidR="0078138E" w:rsidRPr="009B509D" w:rsidRDefault="0078138E" w:rsidP="00F876E9">
            <w:pPr>
              <w:jc w:val="center"/>
              <w:rPr>
                <w:sz w:val="24"/>
                <w:szCs w:val="24"/>
                <w:lang w:val="en-GB"/>
              </w:rPr>
            </w:pPr>
            <w:r w:rsidRPr="009B509D">
              <w:rPr>
                <w:sz w:val="24"/>
                <w:szCs w:val="24"/>
                <w:lang w:val="en-GB"/>
              </w:rPr>
              <w:t>-</w:t>
            </w:r>
            <w:r w:rsidRPr="009B509D">
              <w:rPr>
                <w:sz w:val="24"/>
                <w:szCs w:val="24"/>
                <w:vertAlign w:val="superscript"/>
                <w:lang w:val="en-GB"/>
              </w:rPr>
              <w:t>6</w:t>
            </w:r>
          </w:p>
        </w:tc>
        <w:tc>
          <w:tcPr>
            <w:tcW w:w="1560" w:type="dxa"/>
            <w:tcBorders>
              <w:top w:val="single" w:sz="4" w:space="0" w:color="auto"/>
              <w:left w:val="single" w:sz="4" w:space="0" w:color="auto"/>
              <w:bottom w:val="single" w:sz="4" w:space="0" w:color="auto"/>
              <w:right w:val="single" w:sz="4" w:space="0" w:color="auto"/>
            </w:tcBorders>
            <w:hideMark/>
          </w:tcPr>
          <w:p w14:paraId="680353F8" w14:textId="77777777" w:rsidR="0078138E" w:rsidRPr="009B509D" w:rsidRDefault="0078138E" w:rsidP="00F876E9">
            <w:pPr>
              <w:jc w:val="center"/>
              <w:rPr>
                <w:sz w:val="24"/>
                <w:szCs w:val="24"/>
                <w:lang w:val="en-GB"/>
              </w:rPr>
            </w:pPr>
            <w:r w:rsidRPr="009B509D">
              <w:rPr>
                <w:sz w:val="24"/>
                <w:szCs w:val="24"/>
                <w:lang w:val="en-GB"/>
              </w:rPr>
              <w:t>-</w:t>
            </w:r>
            <w:r w:rsidRPr="009B509D">
              <w:rPr>
                <w:sz w:val="24"/>
                <w:szCs w:val="24"/>
                <w:vertAlign w:val="superscript"/>
                <w:lang w:val="en-GB"/>
              </w:rPr>
              <w:t>6</w:t>
            </w:r>
          </w:p>
        </w:tc>
        <w:tc>
          <w:tcPr>
            <w:tcW w:w="1559" w:type="dxa"/>
            <w:tcBorders>
              <w:top w:val="single" w:sz="4" w:space="0" w:color="auto"/>
              <w:left w:val="single" w:sz="4" w:space="0" w:color="auto"/>
              <w:bottom w:val="single" w:sz="4" w:space="0" w:color="auto"/>
              <w:right w:val="single" w:sz="4" w:space="0" w:color="auto"/>
            </w:tcBorders>
            <w:hideMark/>
          </w:tcPr>
          <w:p w14:paraId="62B943F5" w14:textId="77777777" w:rsidR="0078138E" w:rsidRPr="009B509D" w:rsidRDefault="0078138E" w:rsidP="00F876E9">
            <w:pPr>
              <w:jc w:val="center"/>
              <w:rPr>
                <w:sz w:val="24"/>
                <w:szCs w:val="24"/>
                <w:lang w:val="en-GB"/>
              </w:rPr>
            </w:pPr>
            <w:r w:rsidRPr="009B509D">
              <w:rPr>
                <w:sz w:val="24"/>
                <w:szCs w:val="24"/>
                <w:lang w:val="en-GB"/>
              </w:rPr>
              <w:t>Common</w:t>
            </w:r>
          </w:p>
        </w:tc>
        <w:tc>
          <w:tcPr>
            <w:tcW w:w="1559" w:type="dxa"/>
            <w:tcBorders>
              <w:top w:val="single" w:sz="4" w:space="0" w:color="auto"/>
              <w:left w:val="single" w:sz="4" w:space="0" w:color="auto"/>
              <w:bottom w:val="single" w:sz="4" w:space="0" w:color="auto"/>
              <w:right w:val="single" w:sz="4" w:space="0" w:color="auto"/>
            </w:tcBorders>
            <w:hideMark/>
          </w:tcPr>
          <w:p w14:paraId="7870F94C" w14:textId="77777777" w:rsidR="0078138E" w:rsidRPr="009B509D" w:rsidRDefault="0078138E" w:rsidP="00F876E9">
            <w:pPr>
              <w:jc w:val="center"/>
              <w:rPr>
                <w:sz w:val="24"/>
                <w:szCs w:val="24"/>
                <w:lang w:val="en-GB"/>
              </w:rPr>
            </w:pPr>
            <w:r w:rsidRPr="009B509D">
              <w:rPr>
                <w:sz w:val="24"/>
                <w:szCs w:val="24"/>
                <w:lang w:val="en-GB"/>
              </w:rPr>
              <w:t>Common</w:t>
            </w:r>
          </w:p>
        </w:tc>
      </w:tr>
      <w:tr w:rsidR="0078138E" w:rsidRPr="009B509D" w14:paraId="3069801E"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51E36E11" w14:textId="77777777" w:rsidR="0078138E" w:rsidRPr="009B509D" w:rsidRDefault="0078138E" w:rsidP="00762250">
            <w:pPr>
              <w:ind w:left="284"/>
              <w:rPr>
                <w:sz w:val="24"/>
                <w:szCs w:val="24"/>
                <w:lang w:val="en-GB"/>
              </w:rPr>
            </w:pPr>
            <w:r w:rsidRPr="009B509D">
              <w:rPr>
                <w:sz w:val="24"/>
                <w:szCs w:val="24"/>
                <w:lang w:val="en-GB"/>
              </w:rPr>
              <w:t>CTCAE grade ≥3</w:t>
            </w:r>
          </w:p>
        </w:tc>
        <w:tc>
          <w:tcPr>
            <w:tcW w:w="1984" w:type="dxa"/>
            <w:tcBorders>
              <w:top w:val="single" w:sz="4" w:space="0" w:color="auto"/>
              <w:left w:val="single" w:sz="4" w:space="0" w:color="auto"/>
              <w:bottom w:val="single" w:sz="4" w:space="0" w:color="auto"/>
              <w:right w:val="single" w:sz="4" w:space="0" w:color="auto"/>
            </w:tcBorders>
            <w:hideMark/>
          </w:tcPr>
          <w:p w14:paraId="1D0261F0" w14:textId="77777777" w:rsidR="0078138E" w:rsidRPr="009B509D" w:rsidRDefault="0078138E" w:rsidP="00F876E9">
            <w:pPr>
              <w:jc w:val="center"/>
              <w:rPr>
                <w:sz w:val="24"/>
                <w:szCs w:val="24"/>
                <w:lang w:val="en-GB"/>
              </w:rPr>
            </w:pPr>
            <w:r w:rsidRPr="009B509D">
              <w:rPr>
                <w:sz w:val="24"/>
                <w:szCs w:val="24"/>
                <w:lang w:val="en-GB"/>
              </w:rPr>
              <w:t>-</w:t>
            </w:r>
            <w:r w:rsidRPr="009B509D">
              <w:rPr>
                <w:sz w:val="24"/>
                <w:szCs w:val="24"/>
                <w:vertAlign w:val="superscript"/>
                <w:lang w:val="en-GB"/>
              </w:rPr>
              <w:t>6</w:t>
            </w:r>
          </w:p>
        </w:tc>
        <w:tc>
          <w:tcPr>
            <w:tcW w:w="1560" w:type="dxa"/>
            <w:tcBorders>
              <w:top w:val="single" w:sz="4" w:space="0" w:color="auto"/>
              <w:left w:val="single" w:sz="4" w:space="0" w:color="auto"/>
              <w:bottom w:val="single" w:sz="4" w:space="0" w:color="auto"/>
              <w:right w:val="single" w:sz="4" w:space="0" w:color="auto"/>
            </w:tcBorders>
            <w:hideMark/>
          </w:tcPr>
          <w:p w14:paraId="7F73ECE8" w14:textId="77777777" w:rsidR="0078138E" w:rsidRPr="009B509D" w:rsidRDefault="0078138E" w:rsidP="00F876E9">
            <w:pPr>
              <w:jc w:val="center"/>
              <w:rPr>
                <w:sz w:val="24"/>
                <w:szCs w:val="24"/>
                <w:lang w:val="en-GB"/>
              </w:rPr>
            </w:pPr>
            <w:r w:rsidRPr="009B509D">
              <w:rPr>
                <w:sz w:val="24"/>
                <w:szCs w:val="24"/>
                <w:lang w:val="en-GB"/>
              </w:rPr>
              <w:t>-</w:t>
            </w:r>
            <w:r w:rsidRPr="009B509D">
              <w:rPr>
                <w:sz w:val="24"/>
                <w:szCs w:val="24"/>
                <w:vertAlign w:val="superscript"/>
                <w:lang w:val="en-GB"/>
              </w:rPr>
              <w:t>6</w:t>
            </w:r>
          </w:p>
        </w:tc>
        <w:tc>
          <w:tcPr>
            <w:tcW w:w="1559" w:type="dxa"/>
            <w:tcBorders>
              <w:top w:val="single" w:sz="4" w:space="0" w:color="auto"/>
              <w:left w:val="single" w:sz="4" w:space="0" w:color="auto"/>
              <w:bottom w:val="single" w:sz="4" w:space="0" w:color="auto"/>
              <w:right w:val="single" w:sz="4" w:space="0" w:color="auto"/>
            </w:tcBorders>
            <w:hideMark/>
          </w:tcPr>
          <w:p w14:paraId="1D546D61" w14:textId="77777777" w:rsidR="0078138E" w:rsidRPr="009B509D" w:rsidRDefault="0078138E" w:rsidP="00F876E9">
            <w:pPr>
              <w:jc w:val="center"/>
              <w:rPr>
                <w:sz w:val="24"/>
                <w:szCs w:val="24"/>
                <w:lang w:val="en-GB"/>
              </w:rPr>
            </w:pPr>
            <w:r w:rsidRPr="009B509D">
              <w:rPr>
                <w:sz w:val="24"/>
                <w:szCs w:val="24"/>
                <w:lang w:val="en-GB"/>
              </w:rPr>
              <w:t>Uncommon</w:t>
            </w:r>
          </w:p>
        </w:tc>
        <w:tc>
          <w:tcPr>
            <w:tcW w:w="1559" w:type="dxa"/>
            <w:tcBorders>
              <w:top w:val="single" w:sz="4" w:space="0" w:color="auto"/>
              <w:left w:val="single" w:sz="4" w:space="0" w:color="auto"/>
              <w:bottom w:val="single" w:sz="4" w:space="0" w:color="auto"/>
              <w:right w:val="single" w:sz="4" w:space="0" w:color="auto"/>
            </w:tcBorders>
            <w:hideMark/>
          </w:tcPr>
          <w:p w14:paraId="4AF4E7B2" w14:textId="77777777" w:rsidR="0078138E" w:rsidRPr="009B509D" w:rsidRDefault="0078138E" w:rsidP="00F876E9">
            <w:pPr>
              <w:jc w:val="center"/>
              <w:rPr>
                <w:sz w:val="24"/>
                <w:szCs w:val="24"/>
                <w:lang w:val="en-GB"/>
              </w:rPr>
            </w:pPr>
            <w:r w:rsidRPr="009B509D">
              <w:rPr>
                <w:sz w:val="24"/>
                <w:szCs w:val="24"/>
                <w:lang w:val="en-GB"/>
              </w:rPr>
              <w:t>N/A</w:t>
            </w:r>
            <w:r w:rsidRPr="009B509D">
              <w:rPr>
                <w:sz w:val="24"/>
                <w:szCs w:val="24"/>
                <w:vertAlign w:val="superscript"/>
                <w:lang w:val="en-GB"/>
              </w:rPr>
              <w:t>5</w:t>
            </w:r>
          </w:p>
        </w:tc>
      </w:tr>
      <w:tr w:rsidR="0078138E" w:rsidRPr="00873345" w14:paraId="2838ECF8" w14:textId="77777777" w:rsidTr="0078138E">
        <w:tc>
          <w:tcPr>
            <w:tcW w:w="6204" w:type="dxa"/>
            <w:gridSpan w:val="3"/>
            <w:tcBorders>
              <w:top w:val="single" w:sz="4" w:space="0" w:color="auto"/>
              <w:left w:val="single" w:sz="4" w:space="0" w:color="auto"/>
              <w:bottom w:val="single" w:sz="4" w:space="0" w:color="auto"/>
              <w:right w:val="single" w:sz="4" w:space="0" w:color="auto"/>
            </w:tcBorders>
            <w:hideMark/>
          </w:tcPr>
          <w:p w14:paraId="5A64BA51" w14:textId="77777777" w:rsidR="0078138E" w:rsidRPr="00F876E9" w:rsidRDefault="0078138E" w:rsidP="00882574">
            <w:pPr>
              <w:rPr>
                <w:b/>
                <w:sz w:val="24"/>
                <w:szCs w:val="24"/>
                <w:lang w:val="en-GB"/>
              </w:rPr>
            </w:pPr>
            <w:r w:rsidRPr="00F876E9">
              <w:rPr>
                <w:b/>
                <w:sz w:val="24"/>
                <w:szCs w:val="24"/>
                <w:lang w:val="en-GB"/>
              </w:rPr>
              <w:t>Blood and lymphatic system disorders</w:t>
            </w:r>
          </w:p>
        </w:tc>
        <w:tc>
          <w:tcPr>
            <w:tcW w:w="1559" w:type="dxa"/>
            <w:tcBorders>
              <w:top w:val="single" w:sz="4" w:space="0" w:color="auto"/>
              <w:left w:val="single" w:sz="4" w:space="0" w:color="auto"/>
              <w:bottom w:val="single" w:sz="4" w:space="0" w:color="auto"/>
              <w:right w:val="single" w:sz="4" w:space="0" w:color="auto"/>
            </w:tcBorders>
          </w:tcPr>
          <w:p w14:paraId="654C90D6" w14:textId="77777777" w:rsidR="0078138E" w:rsidRPr="00F876E9" w:rsidRDefault="0078138E" w:rsidP="00882574">
            <w:pPr>
              <w:rPr>
                <w:b/>
                <w:sz w:val="24"/>
                <w:szCs w:val="24"/>
                <w:lang w:val="en-GB"/>
              </w:rPr>
            </w:pPr>
          </w:p>
        </w:tc>
        <w:tc>
          <w:tcPr>
            <w:tcW w:w="1559" w:type="dxa"/>
            <w:tcBorders>
              <w:top w:val="single" w:sz="4" w:space="0" w:color="auto"/>
              <w:left w:val="single" w:sz="4" w:space="0" w:color="auto"/>
              <w:bottom w:val="single" w:sz="4" w:space="0" w:color="auto"/>
              <w:right w:val="single" w:sz="4" w:space="0" w:color="auto"/>
            </w:tcBorders>
          </w:tcPr>
          <w:p w14:paraId="455D52A9" w14:textId="77777777" w:rsidR="0078138E" w:rsidRPr="00F876E9" w:rsidRDefault="0078138E" w:rsidP="00882574">
            <w:pPr>
              <w:rPr>
                <w:b/>
                <w:sz w:val="24"/>
                <w:szCs w:val="24"/>
                <w:lang w:val="en-GB"/>
              </w:rPr>
            </w:pPr>
          </w:p>
        </w:tc>
      </w:tr>
      <w:tr w:rsidR="0078138E" w:rsidRPr="009B509D" w14:paraId="465AD7C3"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2AE7BC30" w14:textId="77777777" w:rsidR="0078138E" w:rsidRPr="009B509D" w:rsidRDefault="0078138E" w:rsidP="00882574">
            <w:pPr>
              <w:rPr>
                <w:sz w:val="24"/>
                <w:szCs w:val="24"/>
                <w:lang w:val="en-GB"/>
              </w:rPr>
            </w:pPr>
            <w:r w:rsidRPr="009B509D">
              <w:rPr>
                <w:sz w:val="24"/>
                <w:szCs w:val="24"/>
                <w:lang w:val="en-GB"/>
              </w:rPr>
              <w:t>Thrombocytopenia</w:t>
            </w:r>
            <w:r w:rsidRPr="009B509D">
              <w:rPr>
                <w:sz w:val="24"/>
                <w:szCs w:val="24"/>
                <w:vertAlign w:val="superscript"/>
                <w:lang w:val="en-GB"/>
              </w:rPr>
              <w:t>1</w:t>
            </w:r>
          </w:p>
        </w:tc>
        <w:tc>
          <w:tcPr>
            <w:tcW w:w="1984" w:type="dxa"/>
            <w:tcBorders>
              <w:top w:val="single" w:sz="4" w:space="0" w:color="auto"/>
              <w:left w:val="single" w:sz="4" w:space="0" w:color="auto"/>
              <w:bottom w:val="single" w:sz="4" w:space="0" w:color="auto"/>
              <w:right w:val="single" w:sz="4" w:space="0" w:color="auto"/>
            </w:tcBorders>
            <w:hideMark/>
          </w:tcPr>
          <w:p w14:paraId="172B4BF7" w14:textId="77777777" w:rsidR="0078138E" w:rsidRPr="009B509D" w:rsidRDefault="0078138E" w:rsidP="00762250">
            <w:pPr>
              <w:jc w:val="center"/>
              <w:rPr>
                <w:sz w:val="24"/>
                <w:szCs w:val="24"/>
                <w:lang w:val="en-GB"/>
              </w:rPr>
            </w:pPr>
            <w:r w:rsidRPr="009B509D">
              <w:rPr>
                <w:sz w:val="24"/>
                <w:szCs w:val="24"/>
                <w:lang w:val="en-GB"/>
              </w:rPr>
              <w:t>Very common</w:t>
            </w:r>
          </w:p>
        </w:tc>
        <w:tc>
          <w:tcPr>
            <w:tcW w:w="1560" w:type="dxa"/>
            <w:tcBorders>
              <w:top w:val="single" w:sz="4" w:space="0" w:color="auto"/>
              <w:left w:val="single" w:sz="4" w:space="0" w:color="auto"/>
              <w:bottom w:val="single" w:sz="4" w:space="0" w:color="auto"/>
              <w:right w:val="single" w:sz="4" w:space="0" w:color="auto"/>
            </w:tcBorders>
            <w:hideMark/>
          </w:tcPr>
          <w:p w14:paraId="730E03FD" w14:textId="77777777" w:rsidR="0078138E" w:rsidRPr="009B509D" w:rsidRDefault="0078138E" w:rsidP="00762250">
            <w:pPr>
              <w:jc w:val="center"/>
              <w:rPr>
                <w:sz w:val="24"/>
                <w:szCs w:val="24"/>
                <w:lang w:val="en-GB"/>
              </w:rPr>
            </w:pPr>
            <w:r w:rsidRPr="009B509D">
              <w:rPr>
                <w:sz w:val="24"/>
                <w:szCs w:val="24"/>
                <w:lang w:val="en-GB"/>
              </w:rPr>
              <w:t>Very common</w:t>
            </w:r>
          </w:p>
        </w:tc>
        <w:tc>
          <w:tcPr>
            <w:tcW w:w="1559" w:type="dxa"/>
            <w:tcBorders>
              <w:top w:val="single" w:sz="4" w:space="0" w:color="auto"/>
              <w:left w:val="single" w:sz="4" w:space="0" w:color="auto"/>
              <w:bottom w:val="single" w:sz="4" w:space="0" w:color="auto"/>
              <w:right w:val="single" w:sz="4" w:space="0" w:color="auto"/>
            </w:tcBorders>
            <w:hideMark/>
          </w:tcPr>
          <w:p w14:paraId="7BBC0920" w14:textId="77777777" w:rsidR="0078138E" w:rsidRPr="009B509D" w:rsidRDefault="0078138E" w:rsidP="00762250">
            <w:pPr>
              <w:jc w:val="center"/>
              <w:rPr>
                <w:sz w:val="24"/>
                <w:szCs w:val="24"/>
                <w:lang w:val="en-GB"/>
              </w:rPr>
            </w:pPr>
            <w:r w:rsidRPr="009B509D">
              <w:rPr>
                <w:sz w:val="24"/>
                <w:szCs w:val="24"/>
                <w:lang w:val="en-GB"/>
              </w:rPr>
              <w:t>Very common</w:t>
            </w:r>
          </w:p>
        </w:tc>
        <w:tc>
          <w:tcPr>
            <w:tcW w:w="1559" w:type="dxa"/>
            <w:tcBorders>
              <w:top w:val="single" w:sz="4" w:space="0" w:color="auto"/>
              <w:left w:val="single" w:sz="4" w:space="0" w:color="auto"/>
              <w:bottom w:val="single" w:sz="4" w:space="0" w:color="auto"/>
              <w:right w:val="single" w:sz="4" w:space="0" w:color="auto"/>
            </w:tcBorders>
            <w:hideMark/>
          </w:tcPr>
          <w:p w14:paraId="77B71984" w14:textId="77777777" w:rsidR="0078138E" w:rsidRPr="009B509D" w:rsidRDefault="0078138E" w:rsidP="00762250">
            <w:pPr>
              <w:jc w:val="center"/>
              <w:rPr>
                <w:sz w:val="24"/>
                <w:szCs w:val="24"/>
                <w:lang w:val="en-GB"/>
              </w:rPr>
            </w:pPr>
            <w:r w:rsidRPr="009B509D">
              <w:rPr>
                <w:sz w:val="24"/>
                <w:szCs w:val="24"/>
                <w:lang w:val="en-GB"/>
              </w:rPr>
              <w:t>Very common</w:t>
            </w:r>
          </w:p>
        </w:tc>
      </w:tr>
      <w:tr w:rsidR="0078138E" w:rsidRPr="009B509D" w14:paraId="3D01C2D4"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26142297" w14:textId="77777777" w:rsidR="0078138E" w:rsidRPr="009B509D" w:rsidRDefault="0078138E" w:rsidP="00762250">
            <w:pPr>
              <w:ind w:left="284"/>
              <w:rPr>
                <w:sz w:val="24"/>
                <w:szCs w:val="24"/>
                <w:lang w:val="en-GB"/>
              </w:rPr>
            </w:pPr>
            <w:r w:rsidRPr="009B509D">
              <w:rPr>
                <w:sz w:val="24"/>
                <w:szCs w:val="24"/>
                <w:lang w:val="en-GB"/>
              </w:rPr>
              <w:t>CTCAE grade 3</w:t>
            </w:r>
          </w:p>
        </w:tc>
        <w:tc>
          <w:tcPr>
            <w:tcW w:w="1984" w:type="dxa"/>
            <w:tcBorders>
              <w:top w:val="single" w:sz="4" w:space="0" w:color="auto"/>
              <w:left w:val="single" w:sz="4" w:space="0" w:color="auto"/>
              <w:bottom w:val="single" w:sz="4" w:space="0" w:color="auto"/>
              <w:right w:val="single" w:sz="4" w:space="0" w:color="auto"/>
            </w:tcBorders>
            <w:hideMark/>
          </w:tcPr>
          <w:p w14:paraId="6D7FD105" w14:textId="77777777" w:rsidR="0078138E" w:rsidRPr="009B509D" w:rsidRDefault="0078138E" w:rsidP="00762250">
            <w:pPr>
              <w:jc w:val="center"/>
              <w:rPr>
                <w:sz w:val="24"/>
                <w:szCs w:val="24"/>
                <w:lang w:val="en-GB"/>
              </w:rPr>
            </w:pPr>
            <w:r w:rsidRPr="009B509D">
              <w:rPr>
                <w:sz w:val="24"/>
                <w:szCs w:val="24"/>
                <w:lang w:val="en-GB"/>
              </w:rPr>
              <w:t>Very common</w:t>
            </w:r>
          </w:p>
        </w:tc>
        <w:tc>
          <w:tcPr>
            <w:tcW w:w="1560" w:type="dxa"/>
            <w:tcBorders>
              <w:top w:val="single" w:sz="4" w:space="0" w:color="auto"/>
              <w:left w:val="single" w:sz="4" w:space="0" w:color="auto"/>
              <w:bottom w:val="single" w:sz="4" w:space="0" w:color="auto"/>
              <w:right w:val="single" w:sz="4" w:space="0" w:color="auto"/>
            </w:tcBorders>
            <w:hideMark/>
          </w:tcPr>
          <w:p w14:paraId="5B82A8AC" w14:textId="77777777" w:rsidR="0078138E" w:rsidRPr="009B509D" w:rsidRDefault="0078138E" w:rsidP="00762250">
            <w:pPr>
              <w:jc w:val="center"/>
              <w:rPr>
                <w:sz w:val="24"/>
                <w:szCs w:val="24"/>
                <w:lang w:val="en-GB"/>
              </w:rPr>
            </w:pPr>
            <w:r w:rsidRPr="009B509D">
              <w:rPr>
                <w:sz w:val="24"/>
                <w:szCs w:val="24"/>
                <w:lang w:val="en-GB"/>
              </w:rPr>
              <w:t>Very common</w:t>
            </w:r>
          </w:p>
        </w:tc>
        <w:tc>
          <w:tcPr>
            <w:tcW w:w="1559" w:type="dxa"/>
            <w:tcBorders>
              <w:top w:val="single" w:sz="4" w:space="0" w:color="auto"/>
              <w:left w:val="single" w:sz="4" w:space="0" w:color="auto"/>
              <w:bottom w:val="single" w:sz="4" w:space="0" w:color="auto"/>
              <w:right w:val="single" w:sz="4" w:space="0" w:color="auto"/>
            </w:tcBorders>
            <w:hideMark/>
          </w:tcPr>
          <w:p w14:paraId="3E8DB211" w14:textId="77777777" w:rsidR="0078138E" w:rsidRPr="009B509D" w:rsidRDefault="0078138E" w:rsidP="00762250">
            <w:pPr>
              <w:jc w:val="center"/>
              <w:rPr>
                <w:sz w:val="24"/>
                <w:szCs w:val="24"/>
                <w:lang w:val="en-GB"/>
              </w:rPr>
            </w:pPr>
            <w:r w:rsidRPr="009B509D">
              <w:rPr>
                <w:sz w:val="24"/>
                <w:szCs w:val="24"/>
                <w:lang w:val="en-GB"/>
              </w:rPr>
              <w:t>Common</w:t>
            </w:r>
          </w:p>
        </w:tc>
        <w:tc>
          <w:tcPr>
            <w:tcW w:w="1559" w:type="dxa"/>
            <w:tcBorders>
              <w:top w:val="single" w:sz="4" w:space="0" w:color="auto"/>
              <w:left w:val="single" w:sz="4" w:space="0" w:color="auto"/>
              <w:bottom w:val="single" w:sz="4" w:space="0" w:color="auto"/>
              <w:right w:val="single" w:sz="4" w:space="0" w:color="auto"/>
            </w:tcBorders>
            <w:hideMark/>
          </w:tcPr>
          <w:p w14:paraId="5CF4F903" w14:textId="77777777" w:rsidR="0078138E" w:rsidRPr="009B509D" w:rsidRDefault="0078138E" w:rsidP="00762250">
            <w:pPr>
              <w:jc w:val="center"/>
              <w:rPr>
                <w:sz w:val="24"/>
                <w:szCs w:val="24"/>
                <w:lang w:val="en-GB"/>
              </w:rPr>
            </w:pPr>
            <w:r w:rsidRPr="009B509D">
              <w:rPr>
                <w:sz w:val="24"/>
                <w:szCs w:val="24"/>
                <w:lang w:val="en-GB"/>
              </w:rPr>
              <w:t>Common</w:t>
            </w:r>
          </w:p>
        </w:tc>
      </w:tr>
      <w:tr w:rsidR="0078138E" w:rsidRPr="009B509D" w14:paraId="3C2F5A7E"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079C1796" w14:textId="77777777" w:rsidR="0078138E" w:rsidRPr="009B509D" w:rsidRDefault="0078138E" w:rsidP="00762250">
            <w:pPr>
              <w:ind w:left="284"/>
              <w:rPr>
                <w:sz w:val="24"/>
                <w:szCs w:val="24"/>
                <w:lang w:val="en-GB"/>
              </w:rPr>
            </w:pPr>
            <w:r w:rsidRPr="009B509D">
              <w:rPr>
                <w:sz w:val="24"/>
                <w:szCs w:val="24"/>
                <w:lang w:val="en-GB"/>
              </w:rPr>
              <w:t>CTCAE grade 4</w:t>
            </w:r>
          </w:p>
        </w:tc>
        <w:tc>
          <w:tcPr>
            <w:tcW w:w="1984" w:type="dxa"/>
            <w:tcBorders>
              <w:top w:val="single" w:sz="4" w:space="0" w:color="auto"/>
              <w:left w:val="single" w:sz="4" w:space="0" w:color="auto"/>
              <w:bottom w:val="single" w:sz="4" w:space="0" w:color="auto"/>
              <w:right w:val="single" w:sz="4" w:space="0" w:color="auto"/>
            </w:tcBorders>
            <w:hideMark/>
          </w:tcPr>
          <w:p w14:paraId="0A417D6F" w14:textId="77777777" w:rsidR="0078138E" w:rsidRPr="009B509D" w:rsidRDefault="0078138E" w:rsidP="00762250">
            <w:pPr>
              <w:jc w:val="center"/>
              <w:rPr>
                <w:sz w:val="24"/>
                <w:szCs w:val="24"/>
                <w:lang w:val="en-GB"/>
              </w:rPr>
            </w:pPr>
            <w:r w:rsidRPr="009B509D">
              <w:rPr>
                <w:sz w:val="24"/>
                <w:szCs w:val="24"/>
                <w:lang w:val="en-GB"/>
              </w:rPr>
              <w:t>Very common</w:t>
            </w:r>
          </w:p>
        </w:tc>
        <w:tc>
          <w:tcPr>
            <w:tcW w:w="1560" w:type="dxa"/>
            <w:tcBorders>
              <w:top w:val="single" w:sz="4" w:space="0" w:color="auto"/>
              <w:left w:val="single" w:sz="4" w:space="0" w:color="auto"/>
              <w:bottom w:val="single" w:sz="4" w:space="0" w:color="auto"/>
              <w:right w:val="single" w:sz="4" w:space="0" w:color="auto"/>
            </w:tcBorders>
            <w:hideMark/>
          </w:tcPr>
          <w:p w14:paraId="0D75B7AF" w14:textId="77777777" w:rsidR="0078138E" w:rsidRPr="009B509D" w:rsidRDefault="0078138E" w:rsidP="00762250">
            <w:pPr>
              <w:jc w:val="center"/>
              <w:rPr>
                <w:sz w:val="24"/>
                <w:szCs w:val="24"/>
                <w:lang w:val="en-GB"/>
              </w:rPr>
            </w:pPr>
            <w:r w:rsidRPr="009B509D">
              <w:rPr>
                <w:sz w:val="24"/>
                <w:szCs w:val="24"/>
                <w:lang w:val="en-GB"/>
              </w:rPr>
              <w:t>Very common</w:t>
            </w:r>
          </w:p>
        </w:tc>
        <w:tc>
          <w:tcPr>
            <w:tcW w:w="1559" w:type="dxa"/>
            <w:tcBorders>
              <w:top w:val="single" w:sz="4" w:space="0" w:color="auto"/>
              <w:left w:val="single" w:sz="4" w:space="0" w:color="auto"/>
              <w:bottom w:val="single" w:sz="4" w:space="0" w:color="auto"/>
              <w:right w:val="single" w:sz="4" w:space="0" w:color="auto"/>
            </w:tcBorders>
            <w:hideMark/>
          </w:tcPr>
          <w:p w14:paraId="78147C6D" w14:textId="77777777" w:rsidR="0078138E" w:rsidRPr="009B509D" w:rsidRDefault="0078138E" w:rsidP="00762250">
            <w:pPr>
              <w:jc w:val="center"/>
              <w:rPr>
                <w:sz w:val="24"/>
                <w:szCs w:val="24"/>
                <w:lang w:val="en-GB"/>
              </w:rPr>
            </w:pPr>
            <w:r w:rsidRPr="009B509D">
              <w:rPr>
                <w:sz w:val="24"/>
                <w:szCs w:val="24"/>
                <w:lang w:val="en-GB"/>
              </w:rPr>
              <w:t>Very common</w:t>
            </w:r>
          </w:p>
        </w:tc>
        <w:tc>
          <w:tcPr>
            <w:tcW w:w="1559" w:type="dxa"/>
            <w:tcBorders>
              <w:top w:val="single" w:sz="4" w:space="0" w:color="auto"/>
              <w:left w:val="single" w:sz="4" w:space="0" w:color="auto"/>
              <w:bottom w:val="single" w:sz="4" w:space="0" w:color="auto"/>
              <w:right w:val="single" w:sz="4" w:space="0" w:color="auto"/>
            </w:tcBorders>
            <w:hideMark/>
          </w:tcPr>
          <w:p w14:paraId="44F66938" w14:textId="77777777" w:rsidR="0078138E" w:rsidRPr="009B509D" w:rsidRDefault="0078138E" w:rsidP="00762250">
            <w:pPr>
              <w:jc w:val="center"/>
              <w:rPr>
                <w:sz w:val="24"/>
                <w:szCs w:val="24"/>
                <w:lang w:val="en-GB"/>
              </w:rPr>
            </w:pPr>
            <w:r w:rsidRPr="009B509D">
              <w:rPr>
                <w:sz w:val="24"/>
                <w:szCs w:val="24"/>
                <w:lang w:val="en-GB"/>
              </w:rPr>
              <w:t>Very common</w:t>
            </w:r>
          </w:p>
        </w:tc>
      </w:tr>
      <w:tr w:rsidR="0078138E" w:rsidRPr="009B509D" w14:paraId="465A261F"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7FAF62BF" w14:textId="77777777" w:rsidR="0078138E" w:rsidRPr="009B509D" w:rsidRDefault="0078138E" w:rsidP="00882574">
            <w:pPr>
              <w:rPr>
                <w:sz w:val="24"/>
                <w:szCs w:val="24"/>
                <w:lang w:val="en-GB"/>
              </w:rPr>
            </w:pPr>
            <w:r w:rsidRPr="009B509D">
              <w:rPr>
                <w:sz w:val="24"/>
                <w:szCs w:val="24"/>
                <w:lang w:val="en-GB"/>
              </w:rPr>
              <w:t>Anaemia</w:t>
            </w:r>
            <w:r w:rsidRPr="009B509D">
              <w:rPr>
                <w:sz w:val="24"/>
                <w:szCs w:val="24"/>
                <w:vertAlign w:val="superscript"/>
                <w:lang w:val="en-GB"/>
              </w:rPr>
              <w:t>1</w:t>
            </w:r>
          </w:p>
        </w:tc>
        <w:tc>
          <w:tcPr>
            <w:tcW w:w="1984" w:type="dxa"/>
            <w:tcBorders>
              <w:top w:val="single" w:sz="4" w:space="0" w:color="auto"/>
              <w:left w:val="single" w:sz="4" w:space="0" w:color="auto"/>
              <w:bottom w:val="single" w:sz="4" w:space="0" w:color="auto"/>
              <w:right w:val="single" w:sz="4" w:space="0" w:color="auto"/>
            </w:tcBorders>
            <w:hideMark/>
          </w:tcPr>
          <w:p w14:paraId="066C2477" w14:textId="77777777" w:rsidR="0078138E" w:rsidRPr="009B509D" w:rsidRDefault="0078138E" w:rsidP="00762250">
            <w:pPr>
              <w:jc w:val="center"/>
              <w:rPr>
                <w:sz w:val="24"/>
                <w:szCs w:val="24"/>
                <w:lang w:val="en-GB"/>
              </w:rPr>
            </w:pPr>
            <w:r w:rsidRPr="009B509D">
              <w:rPr>
                <w:sz w:val="24"/>
                <w:szCs w:val="24"/>
                <w:lang w:val="en-GB"/>
              </w:rPr>
              <w:t>Very common</w:t>
            </w:r>
          </w:p>
        </w:tc>
        <w:tc>
          <w:tcPr>
            <w:tcW w:w="1560" w:type="dxa"/>
            <w:tcBorders>
              <w:top w:val="single" w:sz="4" w:space="0" w:color="auto"/>
              <w:left w:val="single" w:sz="4" w:space="0" w:color="auto"/>
              <w:bottom w:val="single" w:sz="4" w:space="0" w:color="auto"/>
              <w:right w:val="single" w:sz="4" w:space="0" w:color="auto"/>
            </w:tcBorders>
            <w:hideMark/>
          </w:tcPr>
          <w:p w14:paraId="7DBF8C12" w14:textId="77777777" w:rsidR="0078138E" w:rsidRPr="009B509D" w:rsidRDefault="0078138E" w:rsidP="00762250">
            <w:pPr>
              <w:jc w:val="center"/>
              <w:rPr>
                <w:sz w:val="24"/>
                <w:szCs w:val="24"/>
                <w:lang w:val="en-GB"/>
              </w:rPr>
            </w:pPr>
            <w:r w:rsidRPr="009B509D">
              <w:rPr>
                <w:sz w:val="24"/>
                <w:szCs w:val="24"/>
                <w:lang w:val="en-GB"/>
              </w:rPr>
              <w:t>Very common</w:t>
            </w:r>
          </w:p>
        </w:tc>
        <w:tc>
          <w:tcPr>
            <w:tcW w:w="1559" w:type="dxa"/>
            <w:tcBorders>
              <w:top w:val="single" w:sz="4" w:space="0" w:color="auto"/>
              <w:left w:val="single" w:sz="4" w:space="0" w:color="auto"/>
              <w:bottom w:val="single" w:sz="4" w:space="0" w:color="auto"/>
              <w:right w:val="single" w:sz="4" w:space="0" w:color="auto"/>
            </w:tcBorders>
            <w:hideMark/>
          </w:tcPr>
          <w:p w14:paraId="386D7A23" w14:textId="77777777" w:rsidR="0078138E" w:rsidRPr="009B509D" w:rsidRDefault="0078138E" w:rsidP="00762250">
            <w:pPr>
              <w:jc w:val="center"/>
              <w:rPr>
                <w:sz w:val="24"/>
                <w:szCs w:val="24"/>
                <w:lang w:val="en-GB"/>
              </w:rPr>
            </w:pPr>
            <w:r w:rsidRPr="009B509D">
              <w:rPr>
                <w:sz w:val="24"/>
                <w:szCs w:val="24"/>
                <w:lang w:val="en-GB"/>
              </w:rPr>
              <w:t>Very common</w:t>
            </w:r>
          </w:p>
        </w:tc>
        <w:tc>
          <w:tcPr>
            <w:tcW w:w="1559" w:type="dxa"/>
            <w:tcBorders>
              <w:top w:val="single" w:sz="4" w:space="0" w:color="auto"/>
              <w:left w:val="single" w:sz="4" w:space="0" w:color="auto"/>
              <w:bottom w:val="single" w:sz="4" w:space="0" w:color="auto"/>
              <w:right w:val="single" w:sz="4" w:space="0" w:color="auto"/>
            </w:tcBorders>
            <w:hideMark/>
          </w:tcPr>
          <w:p w14:paraId="5AF36442" w14:textId="77777777" w:rsidR="0078138E" w:rsidRPr="009B509D" w:rsidRDefault="0078138E" w:rsidP="00762250">
            <w:pPr>
              <w:jc w:val="center"/>
              <w:rPr>
                <w:sz w:val="24"/>
                <w:szCs w:val="24"/>
                <w:lang w:val="en-GB"/>
              </w:rPr>
            </w:pPr>
            <w:r w:rsidRPr="009B509D">
              <w:rPr>
                <w:sz w:val="24"/>
                <w:szCs w:val="24"/>
                <w:lang w:val="en-GB"/>
              </w:rPr>
              <w:t>Very common</w:t>
            </w:r>
          </w:p>
        </w:tc>
      </w:tr>
      <w:tr w:rsidR="0078138E" w:rsidRPr="009B509D" w14:paraId="51A4FF83"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0B754D8E" w14:textId="77777777" w:rsidR="0078138E" w:rsidRPr="009B509D" w:rsidRDefault="0078138E" w:rsidP="00762250">
            <w:pPr>
              <w:ind w:left="284"/>
              <w:rPr>
                <w:sz w:val="24"/>
                <w:szCs w:val="24"/>
                <w:lang w:val="en-GB"/>
              </w:rPr>
            </w:pPr>
            <w:r w:rsidRPr="009B509D">
              <w:rPr>
                <w:sz w:val="24"/>
                <w:szCs w:val="24"/>
                <w:lang w:val="en-GB"/>
              </w:rPr>
              <w:t>CTCAE grade 3</w:t>
            </w:r>
          </w:p>
        </w:tc>
        <w:tc>
          <w:tcPr>
            <w:tcW w:w="1984" w:type="dxa"/>
            <w:tcBorders>
              <w:top w:val="single" w:sz="4" w:space="0" w:color="auto"/>
              <w:left w:val="single" w:sz="4" w:space="0" w:color="auto"/>
              <w:bottom w:val="single" w:sz="4" w:space="0" w:color="auto"/>
              <w:right w:val="single" w:sz="4" w:space="0" w:color="auto"/>
            </w:tcBorders>
            <w:hideMark/>
          </w:tcPr>
          <w:p w14:paraId="2E2CEF58" w14:textId="77777777" w:rsidR="0078138E" w:rsidRPr="009B509D" w:rsidRDefault="0078138E" w:rsidP="00762250">
            <w:pPr>
              <w:jc w:val="center"/>
              <w:rPr>
                <w:sz w:val="24"/>
                <w:szCs w:val="24"/>
                <w:lang w:val="en-GB"/>
              </w:rPr>
            </w:pPr>
            <w:r w:rsidRPr="009B509D">
              <w:rPr>
                <w:sz w:val="24"/>
                <w:szCs w:val="24"/>
                <w:lang w:val="en-GB"/>
              </w:rPr>
              <w:t>Very common</w:t>
            </w:r>
          </w:p>
        </w:tc>
        <w:tc>
          <w:tcPr>
            <w:tcW w:w="1560" w:type="dxa"/>
            <w:tcBorders>
              <w:top w:val="single" w:sz="4" w:space="0" w:color="auto"/>
              <w:left w:val="single" w:sz="4" w:space="0" w:color="auto"/>
              <w:bottom w:val="single" w:sz="4" w:space="0" w:color="auto"/>
              <w:right w:val="single" w:sz="4" w:space="0" w:color="auto"/>
            </w:tcBorders>
            <w:hideMark/>
          </w:tcPr>
          <w:p w14:paraId="0CE6C3A3" w14:textId="77777777" w:rsidR="0078138E" w:rsidRPr="009B509D" w:rsidRDefault="0078138E" w:rsidP="00762250">
            <w:pPr>
              <w:jc w:val="center"/>
              <w:rPr>
                <w:sz w:val="24"/>
                <w:szCs w:val="24"/>
                <w:lang w:val="en-GB"/>
              </w:rPr>
            </w:pPr>
            <w:r w:rsidRPr="009B509D">
              <w:rPr>
                <w:sz w:val="24"/>
                <w:szCs w:val="24"/>
                <w:lang w:val="en-GB"/>
              </w:rPr>
              <w:t>Very common</w:t>
            </w:r>
          </w:p>
        </w:tc>
        <w:tc>
          <w:tcPr>
            <w:tcW w:w="1559" w:type="dxa"/>
            <w:tcBorders>
              <w:top w:val="single" w:sz="4" w:space="0" w:color="auto"/>
              <w:left w:val="single" w:sz="4" w:space="0" w:color="auto"/>
              <w:bottom w:val="single" w:sz="4" w:space="0" w:color="auto"/>
              <w:right w:val="single" w:sz="4" w:space="0" w:color="auto"/>
            </w:tcBorders>
            <w:hideMark/>
          </w:tcPr>
          <w:p w14:paraId="0BEBEE54" w14:textId="77777777" w:rsidR="0078138E" w:rsidRPr="009B509D" w:rsidRDefault="0078138E" w:rsidP="00762250">
            <w:pPr>
              <w:jc w:val="center"/>
              <w:rPr>
                <w:sz w:val="24"/>
                <w:szCs w:val="24"/>
                <w:lang w:val="en-GB"/>
              </w:rPr>
            </w:pPr>
            <w:r w:rsidRPr="009B509D">
              <w:rPr>
                <w:sz w:val="24"/>
                <w:szCs w:val="24"/>
                <w:lang w:val="en-GB"/>
              </w:rPr>
              <w:t>Very common</w:t>
            </w:r>
          </w:p>
        </w:tc>
        <w:tc>
          <w:tcPr>
            <w:tcW w:w="1559" w:type="dxa"/>
            <w:tcBorders>
              <w:top w:val="single" w:sz="4" w:space="0" w:color="auto"/>
              <w:left w:val="single" w:sz="4" w:space="0" w:color="auto"/>
              <w:bottom w:val="single" w:sz="4" w:space="0" w:color="auto"/>
              <w:right w:val="single" w:sz="4" w:space="0" w:color="auto"/>
            </w:tcBorders>
            <w:hideMark/>
          </w:tcPr>
          <w:p w14:paraId="7522C323" w14:textId="77777777" w:rsidR="0078138E" w:rsidRPr="009B509D" w:rsidRDefault="0078138E" w:rsidP="00762250">
            <w:pPr>
              <w:jc w:val="center"/>
              <w:rPr>
                <w:sz w:val="24"/>
                <w:szCs w:val="24"/>
                <w:lang w:val="en-GB"/>
              </w:rPr>
            </w:pPr>
            <w:r w:rsidRPr="009B509D">
              <w:rPr>
                <w:sz w:val="24"/>
                <w:szCs w:val="24"/>
                <w:lang w:val="en-GB"/>
              </w:rPr>
              <w:t>Very common</w:t>
            </w:r>
          </w:p>
        </w:tc>
      </w:tr>
      <w:tr w:rsidR="0078138E" w:rsidRPr="009B509D" w14:paraId="1AE217E8"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41EB30B6" w14:textId="77777777" w:rsidR="0078138E" w:rsidRPr="009B509D" w:rsidRDefault="0078138E" w:rsidP="00882574">
            <w:pPr>
              <w:rPr>
                <w:bCs/>
                <w:sz w:val="24"/>
                <w:szCs w:val="24"/>
                <w:lang w:val="en-GB"/>
              </w:rPr>
            </w:pPr>
            <w:r w:rsidRPr="009B509D">
              <w:rPr>
                <w:sz w:val="24"/>
                <w:szCs w:val="24"/>
                <w:lang w:val="en-GB"/>
              </w:rPr>
              <w:t>Neutropenia</w:t>
            </w:r>
            <w:r w:rsidRPr="009B509D">
              <w:rPr>
                <w:sz w:val="24"/>
                <w:szCs w:val="24"/>
                <w:vertAlign w:val="superscript"/>
                <w:lang w:val="en-GB"/>
              </w:rPr>
              <w:t>1</w:t>
            </w:r>
          </w:p>
        </w:tc>
        <w:tc>
          <w:tcPr>
            <w:tcW w:w="1984" w:type="dxa"/>
            <w:tcBorders>
              <w:top w:val="single" w:sz="4" w:space="0" w:color="auto"/>
              <w:left w:val="single" w:sz="4" w:space="0" w:color="auto"/>
              <w:bottom w:val="single" w:sz="4" w:space="0" w:color="auto"/>
              <w:right w:val="single" w:sz="4" w:space="0" w:color="auto"/>
            </w:tcBorders>
            <w:hideMark/>
          </w:tcPr>
          <w:p w14:paraId="76B89413" w14:textId="77777777" w:rsidR="0078138E" w:rsidRPr="009B509D" w:rsidRDefault="0078138E" w:rsidP="00762250">
            <w:pPr>
              <w:jc w:val="center"/>
              <w:rPr>
                <w:sz w:val="24"/>
                <w:szCs w:val="24"/>
                <w:lang w:val="en-GB"/>
              </w:rPr>
            </w:pPr>
            <w:r w:rsidRPr="009B509D">
              <w:rPr>
                <w:sz w:val="24"/>
                <w:szCs w:val="24"/>
                <w:lang w:val="en-GB"/>
              </w:rPr>
              <w:t>Very common</w:t>
            </w:r>
          </w:p>
        </w:tc>
        <w:tc>
          <w:tcPr>
            <w:tcW w:w="1560" w:type="dxa"/>
            <w:tcBorders>
              <w:top w:val="single" w:sz="4" w:space="0" w:color="auto"/>
              <w:left w:val="single" w:sz="4" w:space="0" w:color="auto"/>
              <w:bottom w:val="single" w:sz="4" w:space="0" w:color="auto"/>
              <w:right w:val="single" w:sz="4" w:space="0" w:color="auto"/>
            </w:tcBorders>
            <w:hideMark/>
          </w:tcPr>
          <w:p w14:paraId="22159491" w14:textId="77777777" w:rsidR="0078138E" w:rsidRPr="009B509D" w:rsidRDefault="0078138E" w:rsidP="00762250">
            <w:pPr>
              <w:jc w:val="center"/>
              <w:rPr>
                <w:sz w:val="24"/>
                <w:szCs w:val="24"/>
                <w:lang w:val="en-GB"/>
              </w:rPr>
            </w:pPr>
            <w:r w:rsidRPr="009B509D">
              <w:rPr>
                <w:sz w:val="24"/>
                <w:szCs w:val="24"/>
                <w:lang w:val="en-GB"/>
              </w:rPr>
              <w:t>Very common</w:t>
            </w:r>
          </w:p>
        </w:tc>
        <w:tc>
          <w:tcPr>
            <w:tcW w:w="1559" w:type="dxa"/>
            <w:tcBorders>
              <w:top w:val="single" w:sz="4" w:space="0" w:color="auto"/>
              <w:left w:val="single" w:sz="4" w:space="0" w:color="auto"/>
              <w:bottom w:val="single" w:sz="4" w:space="0" w:color="auto"/>
              <w:right w:val="single" w:sz="4" w:space="0" w:color="auto"/>
            </w:tcBorders>
            <w:hideMark/>
          </w:tcPr>
          <w:p w14:paraId="30F1354D" w14:textId="77777777" w:rsidR="0078138E" w:rsidRPr="009B509D" w:rsidRDefault="0078138E" w:rsidP="00762250">
            <w:pPr>
              <w:jc w:val="center"/>
              <w:rPr>
                <w:sz w:val="24"/>
                <w:szCs w:val="24"/>
                <w:lang w:val="en-GB"/>
              </w:rPr>
            </w:pPr>
            <w:r w:rsidRPr="009B509D">
              <w:rPr>
                <w:sz w:val="24"/>
                <w:szCs w:val="24"/>
                <w:lang w:val="en-GB"/>
              </w:rPr>
              <w:t>Very common</w:t>
            </w:r>
          </w:p>
        </w:tc>
        <w:tc>
          <w:tcPr>
            <w:tcW w:w="1559" w:type="dxa"/>
            <w:tcBorders>
              <w:top w:val="single" w:sz="4" w:space="0" w:color="auto"/>
              <w:left w:val="single" w:sz="4" w:space="0" w:color="auto"/>
              <w:bottom w:val="single" w:sz="4" w:space="0" w:color="auto"/>
              <w:right w:val="single" w:sz="4" w:space="0" w:color="auto"/>
            </w:tcBorders>
            <w:hideMark/>
          </w:tcPr>
          <w:p w14:paraId="30968E69" w14:textId="77777777" w:rsidR="0078138E" w:rsidRPr="009B509D" w:rsidRDefault="0078138E" w:rsidP="00762250">
            <w:pPr>
              <w:jc w:val="center"/>
              <w:rPr>
                <w:sz w:val="24"/>
                <w:szCs w:val="24"/>
                <w:lang w:val="en-GB"/>
              </w:rPr>
            </w:pPr>
            <w:r w:rsidRPr="009B509D">
              <w:rPr>
                <w:sz w:val="24"/>
                <w:szCs w:val="24"/>
                <w:lang w:val="en-GB"/>
              </w:rPr>
              <w:t>Very common</w:t>
            </w:r>
          </w:p>
        </w:tc>
      </w:tr>
      <w:tr w:rsidR="0078138E" w:rsidRPr="009B509D" w14:paraId="63253AA9"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6EBBD6E0" w14:textId="77777777" w:rsidR="0078138E" w:rsidRPr="009B509D" w:rsidRDefault="0078138E" w:rsidP="00762250">
            <w:pPr>
              <w:ind w:left="284"/>
              <w:rPr>
                <w:sz w:val="24"/>
                <w:szCs w:val="24"/>
                <w:lang w:val="en-GB"/>
              </w:rPr>
            </w:pPr>
            <w:r w:rsidRPr="009B509D">
              <w:rPr>
                <w:sz w:val="24"/>
                <w:szCs w:val="24"/>
                <w:lang w:val="en-GB"/>
              </w:rPr>
              <w:t>CTCAE grade 3</w:t>
            </w:r>
          </w:p>
        </w:tc>
        <w:tc>
          <w:tcPr>
            <w:tcW w:w="1984" w:type="dxa"/>
            <w:tcBorders>
              <w:top w:val="single" w:sz="4" w:space="0" w:color="auto"/>
              <w:left w:val="single" w:sz="4" w:space="0" w:color="auto"/>
              <w:bottom w:val="single" w:sz="4" w:space="0" w:color="auto"/>
              <w:right w:val="single" w:sz="4" w:space="0" w:color="auto"/>
            </w:tcBorders>
            <w:hideMark/>
          </w:tcPr>
          <w:p w14:paraId="372F4709" w14:textId="77777777" w:rsidR="0078138E" w:rsidRPr="009B509D" w:rsidRDefault="0078138E" w:rsidP="00762250">
            <w:pPr>
              <w:jc w:val="center"/>
              <w:rPr>
                <w:sz w:val="24"/>
                <w:szCs w:val="24"/>
                <w:lang w:val="en-GB"/>
              </w:rPr>
            </w:pPr>
            <w:r w:rsidRPr="009B509D">
              <w:rPr>
                <w:sz w:val="24"/>
                <w:szCs w:val="24"/>
                <w:lang w:val="en-GB"/>
              </w:rPr>
              <w:t>Very common</w:t>
            </w:r>
          </w:p>
        </w:tc>
        <w:tc>
          <w:tcPr>
            <w:tcW w:w="1560" w:type="dxa"/>
            <w:tcBorders>
              <w:top w:val="single" w:sz="4" w:space="0" w:color="auto"/>
              <w:left w:val="single" w:sz="4" w:space="0" w:color="auto"/>
              <w:bottom w:val="single" w:sz="4" w:space="0" w:color="auto"/>
              <w:right w:val="single" w:sz="4" w:space="0" w:color="auto"/>
            </w:tcBorders>
            <w:hideMark/>
          </w:tcPr>
          <w:p w14:paraId="2BC50142" w14:textId="77777777" w:rsidR="0078138E" w:rsidRPr="009B509D" w:rsidRDefault="0078138E" w:rsidP="00762250">
            <w:pPr>
              <w:jc w:val="center"/>
              <w:rPr>
                <w:sz w:val="24"/>
                <w:szCs w:val="24"/>
                <w:lang w:val="en-GB"/>
              </w:rPr>
            </w:pPr>
            <w:r w:rsidRPr="009B509D">
              <w:rPr>
                <w:sz w:val="24"/>
                <w:szCs w:val="24"/>
                <w:lang w:val="en-GB"/>
              </w:rPr>
              <w:t>Very common</w:t>
            </w:r>
          </w:p>
        </w:tc>
        <w:tc>
          <w:tcPr>
            <w:tcW w:w="1559" w:type="dxa"/>
            <w:tcBorders>
              <w:top w:val="single" w:sz="4" w:space="0" w:color="auto"/>
              <w:left w:val="single" w:sz="4" w:space="0" w:color="auto"/>
              <w:bottom w:val="single" w:sz="4" w:space="0" w:color="auto"/>
              <w:right w:val="single" w:sz="4" w:space="0" w:color="auto"/>
            </w:tcBorders>
            <w:hideMark/>
          </w:tcPr>
          <w:p w14:paraId="3FCE046A" w14:textId="77777777" w:rsidR="0078138E" w:rsidRPr="009B509D" w:rsidRDefault="0078138E" w:rsidP="00762250">
            <w:pPr>
              <w:jc w:val="center"/>
              <w:rPr>
                <w:sz w:val="24"/>
                <w:szCs w:val="24"/>
                <w:lang w:val="en-GB"/>
              </w:rPr>
            </w:pPr>
            <w:r w:rsidRPr="009B509D">
              <w:rPr>
                <w:sz w:val="24"/>
                <w:szCs w:val="24"/>
                <w:lang w:val="en-GB"/>
              </w:rPr>
              <w:t>Common</w:t>
            </w:r>
          </w:p>
        </w:tc>
        <w:tc>
          <w:tcPr>
            <w:tcW w:w="1559" w:type="dxa"/>
            <w:tcBorders>
              <w:top w:val="single" w:sz="4" w:space="0" w:color="auto"/>
              <w:left w:val="single" w:sz="4" w:space="0" w:color="auto"/>
              <w:bottom w:val="single" w:sz="4" w:space="0" w:color="auto"/>
              <w:right w:val="single" w:sz="4" w:space="0" w:color="auto"/>
            </w:tcBorders>
            <w:hideMark/>
          </w:tcPr>
          <w:p w14:paraId="5D8C1C44" w14:textId="77777777" w:rsidR="0078138E" w:rsidRPr="009B509D" w:rsidRDefault="0078138E" w:rsidP="00762250">
            <w:pPr>
              <w:jc w:val="center"/>
              <w:rPr>
                <w:sz w:val="24"/>
                <w:szCs w:val="24"/>
                <w:lang w:val="en-GB"/>
              </w:rPr>
            </w:pPr>
            <w:r w:rsidRPr="009B509D">
              <w:rPr>
                <w:sz w:val="24"/>
                <w:szCs w:val="24"/>
                <w:lang w:val="en-GB"/>
              </w:rPr>
              <w:t>Very common</w:t>
            </w:r>
          </w:p>
        </w:tc>
      </w:tr>
      <w:tr w:rsidR="0078138E" w:rsidRPr="009B509D" w14:paraId="22729451"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26485D0F" w14:textId="77777777" w:rsidR="0078138E" w:rsidRPr="009B509D" w:rsidRDefault="0078138E" w:rsidP="00762250">
            <w:pPr>
              <w:ind w:left="284"/>
              <w:rPr>
                <w:sz w:val="24"/>
                <w:szCs w:val="24"/>
                <w:lang w:val="en-GB"/>
              </w:rPr>
            </w:pPr>
            <w:r w:rsidRPr="009B509D">
              <w:rPr>
                <w:sz w:val="24"/>
                <w:szCs w:val="24"/>
                <w:lang w:val="en-GB"/>
              </w:rPr>
              <w:t>CTCAE grade 4</w:t>
            </w:r>
          </w:p>
        </w:tc>
        <w:tc>
          <w:tcPr>
            <w:tcW w:w="1984" w:type="dxa"/>
            <w:tcBorders>
              <w:top w:val="single" w:sz="4" w:space="0" w:color="auto"/>
              <w:left w:val="single" w:sz="4" w:space="0" w:color="auto"/>
              <w:bottom w:val="single" w:sz="4" w:space="0" w:color="auto"/>
              <w:right w:val="single" w:sz="4" w:space="0" w:color="auto"/>
            </w:tcBorders>
            <w:hideMark/>
          </w:tcPr>
          <w:p w14:paraId="4126BEFF" w14:textId="77777777" w:rsidR="0078138E" w:rsidRPr="009B509D" w:rsidRDefault="0078138E" w:rsidP="00762250">
            <w:pPr>
              <w:jc w:val="center"/>
              <w:rPr>
                <w:sz w:val="24"/>
                <w:szCs w:val="24"/>
                <w:lang w:val="en-GB"/>
              </w:rPr>
            </w:pPr>
            <w:r w:rsidRPr="009B509D">
              <w:rPr>
                <w:sz w:val="24"/>
                <w:szCs w:val="24"/>
                <w:lang w:val="en-GB"/>
              </w:rPr>
              <w:t>Very common</w:t>
            </w:r>
          </w:p>
        </w:tc>
        <w:tc>
          <w:tcPr>
            <w:tcW w:w="1560" w:type="dxa"/>
            <w:tcBorders>
              <w:top w:val="single" w:sz="4" w:space="0" w:color="auto"/>
              <w:left w:val="single" w:sz="4" w:space="0" w:color="auto"/>
              <w:bottom w:val="single" w:sz="4" w:space="0" w:color="auto"/>
              <w:right w:val="single" w:sz="4" w:space="0" w:color="auto"/>
            </w:tcBorders>
            <w:hideMark/>
          </w:tcPr>
          <w:p w14:paraId="067A1F79" w14:textId="77777777" w:rsidR="0078138E" w:rsidRPr="009B509D" w:rsidRDefault="0078138E" w:rsidP="00762250">
            <w:pPr>
              <w:jc w:val="center"/>
              <w:rPr>
                <w:sz w:val="24"/>
                <w:szCs w:val="24"/>
                <w:lang w:val="en-GB"/>
              </w:rPr>
            </w:pPr>
            <w:r w:rsidRPr="009B509D">
              <w:rPr>
                <w:sz w:val="24"/>
                <w:szCs w:val="24"/>
                <w:lang w:val="en-GB"/>
              </w:rPr>
              <w:t>Very common</w:t>
            </w:r>
          </w:p>
        </w:tc>
        <w:tc>
          <w:tcPr>
            <w:tcW w:w="1559" w:type="dxa"/>
            <w:tcBorders>
              <w:top w:val="single" w:sz="4" w:space="0" w:color="auto"/>
              <w:left w:val="single" w:sz="4" w:space="0" w:color="auto"/>
              <w:bottom w:val="single" w:sz="4" w:space="0" w:color="auto"/>
              <w:right w:val="single" w:sz="4" w:space="0" w:color="auto"/>
            </w:tcBorders>
            <w:hideMark/>
          </w:tcPr>
          <w:p w14:paraId="1616087A" w14:textId="77777777" w:rsidR="0078138E" w:rsidRPr="009B509D" w:rsidRDefault="0078138E" w:rsidP="00762250">
            <w:pPr>
              <w:jc w:val="center"/>
              <w:rPr>
                <w:sz w:val="24"/>
                <w:szCs w:val="24"/>
                <w:lang w:val="en-GB"/>
              </w:rPr>
            </w:pPr>
            <w:r w:rsidRPr="009B509D">
              <w:rPr>
                <w:sz w:val="24"/>
                <w:szCs w:val="24"/>
                <w:lang w:val="en-GB"/>
              </w:rPr>
              <w:t>Common</w:t>
            </w:r>
          </w:p>
        </w:tc>
        <w:tc>
          <w:tcPr>
            <w:tcW w:w="1559" w:type="dxa"/>
            <w:tcBorders>
              <w:top w:val="single" w:sz="4" w:space="0" w:color="auto"/>
              <w:left w:val="single" w:sz="4" w:space="0" w:color="auto"/>
              <w:bottom w:val="single" w:sz="4" w:space="0" w:color="auto"/>
              <w:right w:val="single" w:sz="4" w:space="0" w:color="auto"/>
            </w:tcBorders>
            <w:hideMark/>
          </w:tcPr>
          <w:p w14:paraId="664FE78A" w14:textId="77777777" w:rsidR="0078138E" w:rsidRPr="009B509D" w:rsidRDefault="0078138E" w:rsidP="00762250">
            <w:pPr>
              <w:jc w:val="center"/>
              <w:rPr>
                <w:sz w:val="24"/>
                <w:szCs w:val="24"/>
                <w:lang w:val="en-GB"/>
              </w:rPr>
            </w:pPr>
            <w:r w:rsidRPr="009B509D">
              <w:rPr>
                <w:sz w:val="24"/>
                <w:szCs w:val="24"/>
                <w:lang w:val="en-GB"/>
              </w:rPr>
              <w:t>Very common</w:t>
            </w:r>
          </w:p>
        </w:tc>
      </w:tr>
      <w:tr w:rsidR="0078138E" w:rsidRPr="009B509D" w14:paraId="20D9974C"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20B0B295" w14:textId="77777777" w:rsidR="0078138E" w:rsidRPr="009B509D" w:rsidRDefault="0078138E" w:rsidP="00882574">
            <w:pPr>
              <w:rPr>
                <w:sz w:val="24"/>
                <w:szCs w:val="24"/>
                <w:lang w:val="en-GB"/>
              </w:rPr>
            </w:pPr>
            <w:r w:rsidRPr="009B509D">
              <w:rPr>
                <w:sz w:val="24"/>
                <w:szCs w:val="24"/>
                <w:lang w:val="en-GB"/>
              </w:rPr>
              <w:t>Pancytopenia</w:t>
            </w:r>
            <w:r w:rsidRPr="009B509D">
              <w:rPr>
                <w:sz w:val="24"/>
                <w:szCs w:val="24"/>
                <w:vertAlign w:val="superscript"/>
                <w:lang w:val="en-GB"/>
              </w:rPr>
              <w:t>1,2</w:t>
            </w:r>
          </w:p>
        </w:tc>
        <w:tc>
          <w:tcPr>
            <w:tcW w:w="1984" w:type="dxa"/>
            <w:tcBorders>
              <w:top w:val="single" w:sz="4" w:space="0" w:color="auto"/>
              <w:left w:val="single" w:sz="4" w:space="0" w:color="auto"/>
              <w:bottom w:val="single" w:sz="4" w:space="0" w:color="auto"/>
              <w:right w:val="single" w:sz="4" w:space="0" w:color="auto"/>
            </w:tcBorders>
            <w:hideMark/>
          </w:tcPr>
          <w:p w14:paraId="35BFB8B9" w14:textId="77777777" w:rsidR="0078138E" w:rsidRPr="009B509D" w:rsidRDefault="0078138E" w:rsidP="00762250">
            <w:pPr>
              <w:jc w:val="center"/>
              <w:rPr>
                <w:sz w:val="24"/>
                <w:szCs w:val="24"/>
                <w:lang w:val="en-GB"/>
              </w:rPr>
            </w:pPr>
            <w:r w:rsidRPr="009B509D">
              <w:rPr>
                <w:sz w:val="24"/>
                <w:szCs w:val="24"/>
                <w:lang w:val="en-GB"/>
              </w:rPr>
              <w:t>Very common</w:t>
            </w:r>
          </w:p>
        </w:tc>
        <w:tc>
          <w:tcPr>
            <w:tcW w:w="1560" w:type="dxa"/>
            <w:tcBorders>
              <w:top w:val="single" w:sz="4" w:space="0" w:color="auto"/>
              <w:left w:val="single" w:sz="4" w:space="0" w:color="auto"/>
              <w:bottom w:val="single" w:sz="4" w:space="0" w:color="auto"/>
              <w:right w:val="single" w:sz="4" w:space="0" w:color="auto"/>
            </w:tcBorders>
            <w:hideMark/>
          </w:tcPr>
          <w:p w14:paraId="171E6CB3" w14:textId="4A53D6C5" w:rsidR="0078138E" w:rsidRPr="009B509D" w:rsidRDefault="0078138E" w:rsidP="00762250">
            <w:pPr>
              <w:jc w:val="center"/>
              <w:rPr>
                <w:sz w:val="24"/>
                <w:szCs w:val="24"/>
                <w:lang w:val="en-GB"/>
              </w:rPr>
            </w:pPr>
            <w:r w:rsidRPr="009B509D">
              <w:rPr>
                <w:sz w:val="24"/>
                <w:szCs w:val="24"/>
                <w:lang w:val="en-GB"/>
              </w:rPr>
              <w:t>Very common</w:t>
            </w:r>
          </w:p>
        </w:tc>
        <w:tc>
          <w:tcPr>
            <w:tcW w:w="1559" w:type="dxa"/>
            <w:tcBorders>
              <w:top w:val="single" w:sz="4" w:space="0" w:color="auto"/>
              <w:left w:val="single" w:sz="4" w:space="0" w:color="auto"/>
              <w:bottom w:val="single" w:sz="4" w:space="0" w:color="auto"/>
              <w:right w:val="single" w:sz="4" w:space="0" w:color="auto"/>
            </w:tcBorders>
            <w:hideMark/>
          </w:tcPr>
          <w:p w14:paraId="053CBA31" w14:textId="77777777" w:rsidR="0078138E" w:rsidRPr="009B509D" w:rsidRDefault="0078138E" w:rsidP="00762250">
            <w:pPr>
              <w:jc w:val="center"/>
              <w:rPr>
                <w:sz w:val="24"/>
                <w:szCs w:val="24"/>
                <w:lang w:val="en-GB"/>
              </w:rPr>
            </w:pPr>
            <w:r w:rsidRPr="009B509D">
              <w:rPr>
                <w:sz w:val="24"/>
                <w:szCs w:val="24"/>
                <w:lang w:val="en-GB"/>
              </w:rPr>
              <w:t>-</w:t>
            </w:r>
            <w:r w:rsidRPr="009B509D">
              <w:rPr>
                <w:sz w:val="24"/>
                <w:szCs w:val="24"/>
                <w:vertAlign w:val="superscript"/>
                <w:lang w:val="en-GB"/>
              </w:rPr>
              <w:t>6</w:t>
            </w:r>
          </w:p>
        </w:tc>
        <w:tc>
          <w:tcPr>
            <w:tcW w:w="1559" w:type="dxa"/>
            <w:tcBorders>
              <w:top w:val="single" w:sz="4" w:space="0" w:color="auto"/>
              <w:left w:val="single" w:sz="4" w:space="0" w:color="auto"/>
              <w:bottom w:val="single" w:sz="4" w:space="0" w:color="auto"/>
              <w:right w:val="single" w:sz="4" w:space="0" w:color="auto"/>
            </w:tcBorders>
            <w:hideMark/>
          </w:tcPr>
          <w:p w14:paraId="05BF8EE5" w14:textId="77777777" w:rsidR="0078138E" w:rsidRPr="009B509D" w:rsidRDefault="0078138E" w:rsidP="00762250">
            <w:pPr>
              <w:jc w:val="center"/>
              <w:rPr>
                <w:sz w:val="24"/>
                <w:szCs w:val="24"/>
                <w:lang w:val="en-GB"/>
              </w:rPr>
            </w:pPr>
            <w:r w:rsidRPr="009B509D">
              <w:rPr>
                <w:sz w:val="24"/>
                <w:szCs w:val="24"/>
                <w:lang w:val="en-GB"/>
              </w:rPr>
              <w:t>-</w:t>
            </w:r>
            <w:r w:rsidRPr="009B509D">
              <w:rPr>
                <w:sz w:val="24"/>
                <w:szCs w:val="24"/>
                <w:vertAlign w:val="superscript"/>
                <w:lang w:val="en-GB"/>
              </w:rPr>
              <w:t>6</w:t>
            </w:r>
          </w:p>
        </w:tc>
      </w:tr>
      <w:tr w:rsidR="0078138E" w:rsidRPr="00F876E9" w14:paraId="07D085B4" w14:textId="77777777" w:rsidTr="0078138E">
        <w:tc>
          <w:tcPr>
            <w:tcW w:w="6204" w:type="dxa"/>
            <w:gridSpan w:val="3"/>
            <w:tcBorders>
              <w:top w:val="single" w:sz="4" w:space="0" w:color="auto"/>
              <w:left w:val="single" w:sz="4" w:space="0" w:color="auto"/>
              <w:bottom w:val="single" w:sz="4" w:space="0" w:color="auto"/>
              <w:right w:val="single" w:sz="4" w:space="0" w:color="auto"/>
            </w:tcBorders>
            <w:hideMark/>
          </w:tcPr>
          <w:p w14:paraId="568E099D" w14:textId="77777777" w:rsidR="0078138E" w:rsidRPr="00F876E9" w:rsidRDefault="0078138E" w:rsidP="00882574">
            <w:pPr>
              <w:rPr>
                <w:b/>
                <w:sz w:val="24"/>
                <w:szCs w:val="24"/>
                <w:lang w:val="en-GB"/>
              </w:rPr>
            </w:pPr>
            <w:r w:rsidRPr="00F876E9">
              <w:rPr>
                <w:b/>
                <w:sz w:val="24"/>
                <w:szCs w:val="24"/>
                <w:lang w:val="en-GB"/>
              </w:rPr>
              <w:t>Metabolism and nutrition disorders</w:t>
            </w:r>
          </w:p>
        </w:tc>
        <w:tc>
          <w:tcPr>
            <w:tcW w:w="1559" w:type="dxa"/>
            <w:tcBorders>
              <w:top w:val="single" w:sz="4" w:space="0" w:color="auto"/>
              <w:left w:val="single" w:sz="4" w:space="0" w:color="auto"/>
              <w:bottom w:val="single" w:sz="4" w:space="0" w:color="auto"/>
              <w:right w:val="single" w:sz="4" w:space="0" w:color="auto"/>
            </w:tcBorders>
          </w:tcPr>
          <w:p w14:paraId="22139F0F" w14:textId="77777777" w:rsidR="0078138E" w:rsidRPr="00F876E9" w:rsidRDefault="0078138E" w:rsidP="00882574">
            <w:pPr>
              <w:rPr>
                <w:b/>
                <w:sz w:val="24"/>
                <w:szCs w:val="24"/>
                <w:lang w:val="en-GB"/>
              </w:rPr>
            </w:pPr>
          </w:p>
        </w:tc>
        <w:tc>
          <w:tcPr>
            <w:tcW w:w="1559" w:type="dxa"/>
            <w:tcBorders>
              <w:top w:val="single" w:sz="4" w:space="0" w:color="auto"/>
              <w:left w:val="single" w:sz="4" w:space="0" w:color="auto"/>
              <w:bottom w:val="single" w:sz="4" w:space="0" w:color="auto"/>
              <w:right w:val="single" w:sz="4" w:space="0" w:color="auto"/>
            </w:tcBorders>
          </w:tcPr>
          <w:p w14:paraId="65C9BFD0" w14:textId="77777777" w:rsidR="0078138E" w:rsidRPr="00F876E9" w:rsidRDefault="0078138E" w:rsidP="00882574">
            <w:pPr>
              <w:rPr>
                <w:b/>
                <w:sz w:val="24"/>
                <w:szCs w:val="24"/>
                <w:lang w:val="en-GB"/>
              </w:rPr>
            </w:pPr>
          </w:p>
        </w:tc>
      </w:tr>
      <w:tr w:rsidR="0078138E" w:rsidRPr="009B509D" w14:paraId="123566B3"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65A5F685" w14:textId="77777777" w:rsidR="0078138E" w:rsidRPr="009B509D" w:rsidRDefault="0078138E" w:rsidP="00882574">
            <w:pPr>
              <w:rPr>
                <w:sz w:val="24"/>
                <w:szCs w:val="24"/>
                <w:lang w:val="en-GB"/>
              </w:rPr>
            </w:pPr>
            <w:r w:rsidRPr="009B509D">
              <w:rPr>
                <w:sz w:val="24"/>
                <w:szCs w:val="24"/>
                <w:lang w:val="en-GB"/>
              </w:rPr>
              <w:t>Hypercholesterolaemia</w:t>
            </w:r>
            <w:r w:rsidRPr="009B509D">
              <w:rPr>
                <w:sz w:val="24"/>
                <w:szCs w:val="24"/>
                <w:vertAlign w:val="superscript"/>
                <w:lang w:val="en-GB"/>
              </w:rPr>
              <w:t>1</w:t>
            </w:r>
          </w:p>
        </w:tc>
        <w:tc>
          <w:tcPr>
            <w:tcW w:w="1984" w:type="dxa"/>
            <w:tcBorders>
              <w:top w:val="single" w:sz="4" w:space="0" w:color="auto"/>
              <w:left w:val="single" w:sz="4" w:space="0" w:color="auto"/>
              <w:bottom w:val="single" w:sz="4" w:space="0" w:color="auto"/>
              <w:right w:val="single" w:sz="4" w:space="0" w:color="auto"/>
            </w:tcBorders>
            <w:hideMark/>
          </w:tcPr>
          <w:p w14:paraId="2AEF4BFF" w14:textId="77777777" w:rsidR="0078138E" w:rsidRPr="009B509D" w:rsidRDefault="0078138E" w:rsidP="00762250">
            <w:pPr>
              <w:jc w:val="center"/>
              <w:rPr>
                <w:sz w:val="24"/>
                <w:szCs w:val="24"/>
                <w:lang w:val="en-GB"/>
              </w:rPr>
            </w:pPr>
            <w:r w:rsidRPr="009B509D">
              <w:rPr>
                <w:sz w:val="24"/>
                <w:szCs w:val="24"/>
                <w:lang w:val="en-GB"/>
              </w:rPr>
              <w:t>Very common</w:t>
            </w:r>
          </w:p>
        </w:tc>
        <w:tc>
          <w:tcPr>
            <w:tcW w:w="1560" w:type="dxa"/>
            <w:tcBorders>
              <w:top w:val="single" w:sz="4" w:space="0" w:color="auto"/>
              <w:left w:val="single" w:sz="4" w:space="0" w:color="auto"/>
              <w:bottom w:val="single" w:sz="4" w:space="0" w:color="auto"/>
              <w:right w:val="single" w:sz="4" w:space="0" w:color="auto"/>
            </w:tcBorders>
            <w:hideMark/>
          </w:tcPr>
          <w:p w14:paraId="39433CE5" w14:textId="77777777" w:rsidR="0078138E" w:rsidRPr="009B509D" w:rsidRDefault="0078138E" w:rsidP="00762250">
            <w:pPr>
              <w:jc w:val="center"/>
              <w:rPr>
                <w:sz w:val="24"/>
                <w:szCs w:val="24"/>
                <w:lang w:val="en-GB"/>
              </w:rPr>
            </w:pPr>
            <w:r w:rsidRPr="009B509D">
              <w:rPr>
                <w:sz w:val="24"/>
                <w:szCs w:val="24"/>
                <w:lang w:val="en-GB"/>
              </w:rPr>
              <w:t>Very common</w:t>
            </w:r>
          </w:p>
        </w:tc>
        <w:tc>
          <w:tcPr>
            <w:tcW w:w="1559" w:type="dxa"/>
            <w:tcBorders>
              <w:top w:val="single" w:sz="4" w:space="0" w:color="auto"/>
              <w:left w:val="single" w:sz="4" w:space="0" w:color="auto"/>
              <w:bottom w:val="single" w:sz="4" w:space="0" w:color="auto"/>
              <w:right w:val="single" w:sz="4" w:space="0" w:color="auto"/>
            </w:tcBorders>
            <w:hideMark/>
          </w:tcPr>
          <w:p w14:paraId="6383ED10" w14:textId="77777777" w:rsidR="0078138E" w:rsidRPr="009B509D" w:rsidRDefault="0078138E" w:rsidP="00762250">
            <w:pPr>
              <w:jc w:val="center"/>
              <w:rPr>
                <w:sz w:val="24"/>
                <w:szCs w:val="24"/>
                <w:lang w:val="en-GB"/>
              </w:rPr>
            </w:pPr>
            <w:r w:rsidRPr="009B509D">
              <w:rPr>
                <w:sz w:val="24"/>
                <w:szCs w:val="24"/>
                <w:lang w:val="en-GB"/>
              </w:rPr>
              <w:t>Very common</w:t>
            </w:r>
          </w:p>
        </w:tc>
        <w:tc>
          <w:tcPr>
            <w:tcW w:w="1559" w:type="dxa"/>
            <w:tcBorders>
              <w:top w:val="single" w:sz="4" w:space="0" w:color="auto"/>
              <w:left w:val="single" w:sz="4" w:space="0" w:color="auto"/>
              <w:bottom w:val="single" w:sz="4" w:space="0" w:color="auto"/>
              <w:right w:val="single" w:sz="4" w:space="0" w:color="auto"/>
            </w:tcBorders>
            <w:hideMark/>
          </w:tcPr>
          <w:p w14:paraId="572A70C7" w14:textId="77777777" w:rsidR="0078138E" w:rsidRPr="009B509D" w:rsidRDefault="0078138E" w:rsidP="00762250">
            <w:pPr>
              <w:jc w:val="center"/>
              <w:rPr>
                <w:sz w:val="24"/>
                <w:szCs w:val="24"/>
                <w:lang w:val="en-GB"/>
              </w:rPr>
            </w:pPr>
            <w:r w:rsidRPr="009B509D">
              <w:rPr>
                <w:sz w:val="24"/>
                <w:szCs w:val="24"/>
                <w:lang w:val="en-GB"/>
              </w:rPr>
              <w:t>Very common</w:t>
            </w:r>
          </w:p>
        </w:tc>
      </w:tr>
      <w:tr w:rsidR="0078138E" w:rsidRPr="009B509D" w14:paraId="0DFC7D59"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25B1A3CA" w14:textId="77777777" w:rsidR="0078138E" w:rsidRPr="009B509D" w:rsidRDefault="0078138E" w:rsidP="00762250">
            <w:pPr>
              <w:ind w:left="284"/>
              <w:rPr>
                <w:sz w:val="24"/>
                <w:szCs w:val="24"/>
                <w:lang w:val="en-GB"/>
              </w:rPr>
            </w:pPr>
            <w:r w:rsidRPr="009B509D">
              <w:rPr>
                <w:sz w:val="24"/>
                <w:szCs w:val="24"/>
                <w:lang w:val="en-GB"/>
              </w:rPr>
              <w:t>CTCAE grade 3</w:t>
            </w:r>
          </w:p>
        </w:tc>
        <w:tc>
          <w:tcPr>
            <w:tcW w:w="1984" w:type="dxa"/>
            <w:tcBorders>
              <w:top w:val="single" w:sz="4" w:space="0" w:color="auto"/>
              <w:left w:val="single" w:sz="4" w:space="0" w:color="auto"/>
              <w:bottom w:val="single" w:sz="4" w:space="0" w:color="auto"/>
              <w:right w:val="single" w:sz="4" w:space="0" w:color="auto"/>
            </w:tcBorders>
            <w:hideMark/>
          </w:tcPr>
          <w:p w14:paraId="2AE55027" w14:textId="77777777" w:rsidR="0078138E" w:rsidRPr="009B509D" w:rsidRDefault="0078138E" w:rsidP="00762250">
            <w:pPr>
              <w:jc w:val="center"/>
              <w:rPr>
                <w:sz w:val="24"/>
                <w:szCs w:val="24"/>
                <w:lang w:val="en-GB"/>
              </w:rPr>
            </w:pPr>
            <w:r w:rsidRPr="009B509D">
              <w:rPr>
                <w:sz w:val="24"/>
                <w:szCs w:val="24"/>
                <w:lang w:val="en-GB"/>
              </w:rPr>
              <w:t>Common</w:t>
            </w:r>
          </w:p>
        </w:tc>
        <w:tc>
          <w:tcPr>
            <w:tcW w:w="1560" w:type="dxa"/>
            <w:tcBorders>
              <w:top w:val="single" w:sz="4" w:space="0" w:color="auto"/>
              <w:left w:val="single" w:sz="4" w:space="0" w:color="auto"/>
              <w:bottom w:val="single" w:sz="4" w:space="0" w:color="auto"/>
              <w:right w:val="single" w:sz="4" w:space="0" w:color="auto"/>
            </w:tcBorders>
            <w:hideMark/>
          </w:tcPr>
          <w:p w14:paraId="3A40C4DB" w14:textId="77777777" w:rsidR="0078138E" w:rsidRPr="009B509D" w:rsidRDefault="0078138E" w:rsidP="00762250">
            <w:pPr>
              <w:jc w:val="center"/>
              <w:rPr>
                <w:sz w:val="24"/>
                <w:szCs w:val="24"/>
                <w:lang w:val="en-GB"/>
              </w:rPr>
            </w:pPr>
            <w:r w:rsidRPr="009B509D">
              <w:rPr>
                <w:sz w:val="24"/>
                <w:szCs w:val="24"/>
                <w:lang w:val="en-GB"/>
              </w:rPr>
              <w:t>N/A</w:t>
            </w:r>
            <w:r w:rsidRPr="009B509D">
              <w:rPr>
                <w:sz w:val="24"/>
                <w:szCs w:val="24"/>
                <w:vertAlign w:val="superscript"/>
                <w:lang w:val="en-GB"/>
              </w:rPr>
              <w:t>5</w:t>
            </w:r>
          </w:p>
        </w:tc>
        <w:tc>
          <w:tcPr>
            <w:tcW w:w="1559" w:type="dxa"/>
            <w:tcBorders>
              <w:top w:val="single" w:sz="4" w:space="0" w:color="auto"/>
              <w:left w:val="single" w:sz="4" w:space="0" w:color="auto"/>
              <w:bottom w:val="single" w:sz="4" w:space="0" w:color="auto"/>
              <w:right w:val="single" w:sz="4" w:space="0" w:color="auto"/>
            </w:tcBorders>
            <w:hideMark/>
          </w:tcPr>
          <w:p w14:paraId="61CCD37B" w14:textId="77777777" w:rsidR="0078138E" w:rsidRPr="009B509D" w:rsidRDefault="0078138E" w:rsidP="00762250">
            <w:pPr>
              <w:jc w:val="center"/>
              <w:rPr>
                <w:sz w:val="24"/>
                <w:szCs w:val="24"/>
                <w:lang w:val="en-GB"/>
              </w:rPr>
            </w:pPr>
            <w:r w:rsidRPr="009B509D">
              <w:rPr>
                <w:sz w:val="24"/>
                <w:szCs w:val="24"/>
                <w:lang w:val="en-GB"/>
              </w:rPr>
              <w:t>Common</w:t>
            </w:r>
          </w:p>
        </w:tc>
        <w:tc>
          <w:tcPr>
            <w:tcW w:w="1559" w:type="dxa"/>
            <w:tcBorders>
              <w:top w:val="single" w:sz="4" w:space="0" w:color="auto"/>
              <w:left w:val="single" w:sz="4" w:space="0" w:color="auto"/>
              <w:bottom w:val="single" w:sz="4" w:space="0" w:color="auto"/>
              <w:right w:val="single" w:sz="4" w:space="0" w:color="auto"/>
            </w:tcBorders>
            <w:hideMark/>
          </w:tcPr>
          <w:p w14:paraId="09DA124B" w14:textId="77777777" w:rsidR="0078138E" w:rsidRPr="009B509D" w:rsidRDefault="0078138E" w:rsidP="00762250">
            <w:pPr>
              <w:jc w:val="center"/>
              <w:rPr>
                <w:sz w:val="24"/>
                <w:szCs w:val="24"/>
                <w:lang w:val="en-GB"/>
              </w:rPr>
            </w:pPr>
            <w:r w:rsidRPr="009B509D">
              <w:rPr>
                <w:sz w:val="24"/>
                <w:szCs w:val="24"/>
                <w:lang w:val="en-GB"/>
              </w:rPr>
              <w:t>Common</w:t>
            </w:r>
          </w:p>
        </w:tc>
      </w:tr>
      <w:tr w:rsidR="0078138E" w:rsidRPr="009B509D" w14:paraId="1D6B039C"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2A61785B" w14:textId="77777777" w:rsidR="0078138E" w:rsidRPr="009B509D" w:rsidRDefault="0078138E" w:rsidP="00762250">
            <w:pPr>
              <w:ind w:left="284"/>
              <w:rPr>
                <w:sz w:val="24"/>
                <w:szCs w:val="24"/>
                <w:lang w:val="en-GB"/>
              </w:rPr>
            </w:pPr>
            <w:r w:rsidRPr="009B509D">
              <w:rPr>
                <w:sz w:val="24"/>
                <w:szCs w:val="24"/>
                <w:lang w:val="en-GB"/>
              </w:rPr>
              <w:t>CTCAE grade 4</w:t>
            </w:r>
          </w:p>
        </w:tc>
        <w:tc>
          <w:tcPr>
            <w:tcW w:w="1984" w:type="dxa"/>
            <w:tcBorders>
              <w:top w:val="single" w:sz="4" w:space="0" w:color="auto"/>
              <w:left w:val="single" w:sz="4" w:space="0" w:color="auto"/>
              <w:bottom w:val="single" w:sz="4" w:space="0" w:color="auto"/>
              <w:right w:val="single" w:sz="4" w:space="0" w:color="auto"/>
            </w:tcBorders>
            <w:hideMark/>
          </w:tcPr>
          <w:p w14:paraId="7852F74C" w14:textId="77777777" w:rsidR="0078138E" w:rsidRPr="009B509D" w:rsidRDefault="0078138E" w:rsidP="00762250">
            <w:pPr>
              <w:jc w:val="center"/>
              <w:rPr>
                <w:sz w:val="24"/>
                <w:szCs w:val="24"/>
                <w:lang w:val="en-GB"/>
              </w:rPr>
            </w:pPr>
            <w:r w:rsidRPr="009B509D">
              <w:rPr>
                <w:sz w:val="24"/>
                <w:szCs w:val="24"/>
                <w:lang w:val="en-GB"/>
              </w:rPr>
              <w:t>Common</w:t>
            </w:r>
          </w:p>
        </w:tc>
        <w:tc>
          <w:tcPr>
            <w:tcW w:w="1560" w:type="dxa"/>
            <w:tcBorders>
              <w:top w:val="single" w:sz="4" w:space="0" w:color="auto"/>
              <w:left w:val="single" w:sz="4" w:space="0" w:color="auto"/>
              <w:bottom w:val="single" w:sz="4" w:space="0" w:color="auto"/>
              <w:right w:val="single" w:sz="4" w:space="0" w:color="auto"/>
            </w:tcBorders>
            <w:hideMark/>
          </w:tcPr>
          <w:p w14:paraId="21E62050" w14:textId="77777777" w:rsidR="0078138E" w:rsidRPr="009B509D" w:rsidRDefault="0078138E" w:rsidP="00762250">
            <w:pPr>
              <w:jc w:val="center"/>
              <w:rPr>
                <w:sz w:val="24"/>
                <w:szCs w:val="24"/>
                <w:lang w:val="en-GB"/>
              </w:rPr>
            </w:pPr>
            <w:r w:rsidRPr="009B509D">
              <w:rPr>
                <w:sz w:val="24"/>
                <w:szCs w:val="24"/>
                <w:lang w:val="en-GB"/>
              </w:rPr>
              <w:t>N/A</w:t>
            </w:r>
            <w:r w:rsidRPr="009B509D">
              <w:rPr>
                <w:sz w:val="24"/>
                <w:szCs w:val="24"/>
                <w:vertAlign w:val="superscript"/>
                <w:lang w:val="en-GB"/>
              </w:rPr>
              <w:t>5</w:t>
            </w:r>
          </w:p>
        </w:tc>
        <w:tc>
          <w:tcPr>
            <w:tcW w:w="1559" w:type="dxa"/>
            <w:tcBorders>
              <w:top w:val="single" w:sz="4" w:space="0" w:color="auto"/>
              <w:left w:val="single" w:sz="4" w:space="0" w:color="auto"/>
              <w:bottom w:val="single" w:sz="4" w:space="0" w:color="auto"/>
              <w:right w:val="single" w:sz="4" w:space="0" w:color="auto"/>
            </w:tcBorders>
            <w:hideMark/>
          </w:tcPr>
          <w:p w14:paraId="147260BA" w14:textId="77777777" w:rsidR="0078138E" w:rsidRPr="009B509D" w:rsidRDefault="0078138E" w:rsidP="00762250">
            <w:pPr>
              <w:jc w:val="center"/>
              <w:rPr>
                <w:sz w:val="24"/>
                <w:szCs w:val="24"/>
                <w:lang w:val="en-GB"/>
              </w:rPr>
            </w:pPr>
            <w:r w:rsidRPr="009B509D">
              <w:rPr>
                <w:sz w:val="24"/>
                <w:szCs w:val="24"/>
                <w:lang w:val="en-GB"/>
              </w:rPr>
              <w:t>Uncommon</w:t>
            </w:r>
          </w:p>
        </w:tc>
        <w:tc>
          <w:tcPr>
            <w:tcW w:w="1559" w:type="dxa"/>
            <w:tcBorders>
              <w:top w:val="single" w:sz="4" w:space="0" w:color="auto"/>
              <w:left w:val="single" w:sz="4" w:space="0" w:color="auto"/>
              <w:bottom w:val="single" w:sz="4" w:space="0" w:color="auto"/>
              <w:right w:val="single" w:sz="4" w:space="0" w:color="auto"/>
            </w:tcBorders>
            <w:hideMark/>
          </w:tcPr>
          <w:p w14:paraId="02F573E0" w14:textId="77777777" w:rsidR="0078138E" w:rsidRPr="009B509D" w:rsidRDefault="0078138E" w:rsidP="00762250">
            <w:pPr>
              <w:jc w:val="center"/>
              <w:rPr>
                <w:sz w:val="24"/>
                <w:szCs w:val="24"/>
                <w:lang w:val="en-GB"/>
              </w:rPr>
            </w:pPr>
            <w:r w:rsidRPr="009B509D">
              <w:rPr>
                <w:sz w:val="24"/>
                <w:szCs w:val="24"/>
                <w:lang w:val="en-GB"/>
              </w:rPr>
              <w:t>Common</w:t>
            </w:r>
          </w:p>
        </w:tc>
      </w:tr>
      <w:tr w:rsidR="0078138E" w:rsidRPr="009B509D" w14:paraId="752205E6"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2D764A19" w14:textId="77777777" w:rsidR="0078138E" w:rsidRPr="009B509D" w:rsidRDefault="0078138E" w:rsidP="00882574">
            <w:pPr>
              <w:rPr>
                <w:sz w:val="24"/>
                <w:szCs w:val="24"/>
                <w:lang w:val="en-GB"/>
              </w:rPr>
            </w:pPr>
            <w:r w:rsidRPr="009B509D">
              <w:rPr>
                <w:sz w:val="24"/>
                <w:szCs w:val="24"/>
                <w:lang w:val="en-GB"/>
              </w:rPr>
              <w:t>Weight gain</w:t>
            </w:r>
          </w:p>
        </w:tc>
        <w:tc>
          <w:tcPr>
            <w:tcW w:w="1984" w:type="dxa"/>
            <w:tcBorders>
              <w:top w:val="single" w:sz="4" w:space="0" w:color="auto"/>
              <w:left w:val="single" w:sz="4" w:space="0" w:color="auto"/>
              <w:bottom w:val="single" w:sz="4" w:space="0" w:color="auto"/>
              <w:right w:val="single" w:sz="4" w:space="0" w:color="auto"/>
            </w:tcBorders>
            <w:hideMark/>
          </w:tcPr>
          <w:p w14:paraId="2E056412" w14:textId="77777777" w:rsidR="0078138E" w:rsidRPr="009B509D" w:rsidRDefault="0078138E" w:rsidP="00762250">
            <w:pPr>
              <w:jc w:val="center"/>
              <w:rPr>
                <w:sz w:val="24"/>
                <w:szCs w:val="24"/>
                <w:lang w:val="en-GB"/>
              </w:rPr>
            </w:pPr>
            <w:r w:rsidRPr="009B509D">
              <w:rPr>
                <w:sz w:val="24"/>
                <w:szCs w:val="24"/>
                <w:lang w:val="en-GB"/>
              </w:rPr>
              <w:t>-</w:t>
            </w:r>
            <w:r w:rsidRPr="009B509D">
              <w:rPr>
                <w:sz w:val="24"/>
                <w:szCs w:val="24"/>
                <w:vertAlign w:val="superscript"/>
                <w:lang w:val="en-GB"/>
              </w:rPr>
              <w:t>6</w:t>
            </w:r>
          </w:p>
        </w:tc>
        <w:tc>
          <w:tcPr>
            <w:tcW w:w="1560" w:type="dxa"/>
            <w:tcBorders>
              <w:top w:val="single" w:sz="4" w:space="0" w:color="auto"/>
              <w:left w:val="single" w:sz="4" w:space="0" w:color="auto"/>
              <w:bottom w:val="single" w:sz="4" w:space="0" w:color="auto"/>
              <w:right w:val="single" w:sz="4" w:space="0" w:color="auto"/>
            </w:tcBorders>
            <w:hideMark/>
          </w:tcPr>
          <w:p w14:paraId="1FDCC8DA" w14:textId="77777777" w:rsidR="0078138E" w:rsidRPr="009B509D" w:rsidRDefault="0078138E" w:rsidP="00762250">
            <w:pPr>
              <w:jc w:val="center"/>
              <w:rPr>
                <w:sz w:val="24"/>
                <w:szCs w:val="24"/>
                <w:lang w:val="en-GB"/>
              </w:rPr>
            </w:pPr>
            <w:r w:rsidRPr="009B509D">
              <w:rPr>
                <w:sz w:val="24"/>
                <w:szCs w:val="24"/>
                <w:lang w:val="en-GB"/>
              </w:rPr>
              <w:t>-</w:t>
            </w:r>
            <w:r w:rsidRPr="009B509D">
              <w:rPr>
                <w:sz w:val="24"/>
                <w:szCs w:val="24"/>
                <w:vertAlign w:val="superscript"/>
                <w:lang w:val="en-GB"/>
              </w:rPr>
              <w:t>6</w:t>
            </w:r>
          </w:p>
        </w:tc>
        <w:tc>
          <w:tcPr>
            <w:tcW w:w="1559" w:type="dxa"/>
            <w:tcBorders>
              <w:top w:val="single" w:sz="4" w:space="0" w:color="auto"/>
              <w:left w:val="single" w:sz="4" w:space="0" w:color="auto"/>
              <w:bottom w:val="single" w:sz="4" w:space="0" w:color="auto"/>
              <w:right w:val="single" w:sz="4" w:space="0" w:color="auto"/>
            </w:tcBorders>
            <w:hideMark/>
          </w:tcPr>
          <w:p w14:paraId="74122384" w14:textId="77777777" w:rsidR="0078138E" w:rsidRPr="009B509D" w:rsidRDefault="0078138E" w:rsidP="00762250">
            <w:pPr>
              <w:jc w:val="center"/>
              <w:rPr>
                <w:sz w:val="24"/>
                <w:szCs w:val="24"/>
                <w:lang w:val="en-GB"/>
              </w:rPr>
            </w:pPr>
            <w:r w:rsidRPr="009B509D">
              <w:rPr>
                <w:sz w:val="24"/>
                <w:szCs w:val="24"/>
                <w:lang w:val="en-GB"/>
              </w:rPr>
              <w:t>Common</w:t>
            </w:r>
          </w:p>
        </w:tc>
        <w:tc>
          <w:tcPr>
            <w:tcW w:w="1559" w:type="dxa"/>
            <w:tcBorders>
              <w:top w:val="single" w:sz="4" w:space="0" w:color="auto"/>
              <w:left w:val="single" w:sz="4" w:space="0" w:color="auto"/>
              <w:bottom w:val="single" w:sz="4" w:space="0" w:color="auto"/>
              <w:right w:val="single" w:sz="4" w:space="0" w:color="auto"/>
            </w:tcBorders>
            <w:hideMark/>
          </w:tcPr>
          <w:p w14:paraId="76E9745D" w14:textId="77777777" w:rsidR="0078138E" w:rsidRPr="009B509D" w:rsidRDefault="0078138E" w:rsidP="00762250">
            <w:pPr>
              <w:jc w:val="center"/>
              <w:rPr>
                <w:sz w:val="24"/>
                <w:szCs w:val="24"/>
                <w:lang w:val="en-GB"/>
              </w:rPr>
            </w:pPr>
            <w:r w:rsidRPr="009B509D">
              <w:rPr>
                <w:sz w:val="24"/>
                <w:szCs w:val="24"/>
                <w:lang w:val="en-GB"/>
              </w:rPr>
              <w:t>Common</w:t>
            </w:r>
          </w:p>
        </w:tc>
      </w:tr>
      <w:tr w:rsidR="0078138E" w:rsidRPr="009B509D" w14:paraId="369F8931"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35493AF9" w14:textId="77777777" w:rsidR="0078138E" w:rsidRPr="009B509D" w:rsidRDefault="0078138E" w:rsidP="00762250">
            <w:pPr>
              <w:ind w:left="284"/>
              <w:rPr>
                <w:sz w:val="24"/>
                <w:szCs w:val="24"/>
                <w:lang w:val="en-GB"/>
              </w:rPr>
            </w:pPr>
            <w:r w:rsidRPr="009B509D">
              <w:rPr>
                <w:sz w:val="24"/>
                <w:szCs w:val="24"/>
                <w:lang w:val="en-GB"/>
              </w:rPr>
              <w:t>CTCAE grade ≥3</w:t>
            </w:r>
          </w:p>
        </w:tc>
        <w:tc>
          <w:tcPr>
            <w:tcW w:w="1984" w:type="dxa"/>
            <w:tcBorders>
              <w:top w:val="single" w:sz="4" w:space="0" w:color="auto"/>
              <w:left w:val="single" w:sz="4" w:space="0" w:color="auto"/>
              <w:bottom w:val="single" w:sz="4" w:space="0" w:color="auto"/>
              <w:right w:val="single" w:sz="4" w:space="0" w:color="auto"/>
            </w:tcBorders>
            <w:hideMark/>
          </w:tcPr>
          <w:p w14:paraId="55682405" w14:textId="77777777" w:rsidR="0078138E" w:rsidRPr="009B509D" w:rsidRDefault="0078138E" w:rsidP="00762250">
            <w:pPr>
              <w:jc w:val="center"/>
              <w:rPr>
                <w:sz w:val="24"/>
                <w:szCs w:val="24"/>
                <w:lang w:val="en-GB"/>
              </w:rPr>
            </w:pPr>
            <w:r w:rsidRPr="009B509D">
              <w:rPr>
                <w:sz w:val="24"/>
                <w:szCs w:val="24"/>
                <w:lang w:val="en-GB"/>
              </w:rPr>
              <w:t>-</w:t>
            </w:r>
            <w:r w:rsidRPr="009B509D">
              <w:rPr>
                <w:sz w:val="24"/>
                <w:szCs w:val="24"/>
                <w:vertAlign w:val="superscript"/>
                <w:lang w:val="en-GB"/>
              </w:rPr>
              <w:t>6</w:t>
            </w:r>
          </w:p>
        </w:tc>
        <w:tc>
          <w:tcPr>
            <w:tcW w:w="1560" w:type="dxa"/>
            <w:tcBorders>
              <w:top w:val="single" w:sz="4" w:space="0" w:color="auto"/>
              <w:left w:val="single" w:sz="4" w:space="0" w:color="auto"/>
              <w:bottom w:val="single" w:sz="4" w:space="0" w:color="auto"/>
              <w:right w:val="single" w:sz="4" w:space="0" w:color="auto"/>
            </w:tcBorders>
            <w:hideMark/>
          </w:tcPr>
          <w:p w14:paraId="173AAB30" w14:textId="77777777" w:rsidR="0078138E" w:rsidRPr="009B509D" w:rsidRDefault="0078138E" w:rsidP="00762250">
            <w:pPr>
              <w:jc w:val="center"/>
              <w:rPr>
                <w:sz w:val="24"/>
                <w:szCs w:val="24"/>
                <w:lang w:val="en-GB"/>
              </w:rPr>
            </w:pPr>
            <w:r w:rsidRPr="009B509D">
              <w:rPr>
                <w:sz w:val="24"/>
                <w:szCs w:val="24"/>
                <w:lang w:val="en-GB"/>
              </w:rPr>
              <w:t>-</w:t>
            </w:r>
            <w:r w:rsidRPr="009B509D">
              <w:rPr>
                <w:sz w:val="24"/>
                <w:szCs w:val="24"/>
                <w:vertAlign w:val="superscript"/>
                <w:lang w:val="en-GB"/>
              </w:rPr>
              <w:t>6</w:t>
            </w:r>
          </w:p>
        </w:tc>
        <w:tc>
          <w:tcPr>
            <w:tcW w:w="1559" w:type="dxa"/>
            <w:tcBorders>
              <w:top w:val="single" w:sz="4" w:space="0" w:color="auto"/>
              <w:left w:val="single" w:sz="4" w:space="0" w:color="auto"/>
              <w:bottom w:val="single" w:sz="4" w:space="0" w:color="auto"/>
              <w:right w:val="single" w:sz="4" w:space="0" w:color="auto"/>
            </w:tcBorders>
            <w:hideMark/>
          </w:tcPr>
          <w:p w14:paraId="40C5FBF9" w14:textId="77777777" w:rsidR="0078138E" w:rsidRPr="009B509D" w:rsidRDefault="0078138E" w:rsidP="00762250">
            <w:pPr>
              <w:jc w:val="center"/>
              <w:rPr>
                <w:sz w:val="24"/>
                <w:szCs w:val="24"/>
                <w:lang w:val="en-GB"/>
              </w:rPr>
            </w:pPr>
            <w:r w:rsidRPr="009B509D">
              <w:rPr>
                <w:sz w:val="24"/>
                <w:szCs w:val="24"/>
                <w:lang w:val="en-GB"/>
              </w:rPr>
              <w:t>N/A</w:t>
            </w:r>
            <w:r w:rsidRPr="009B509D">
              <w:rPr>
                <w:sz w:val="24"/>
                <w:szCs w:val="24"/>
                <w:vertAlign w:val="superscript"/>
                <w:lang w:val="en-GB"/>
              </w:rPr>
              <w:t>5</w:t>
            </w:r>
          </w:p>
        </w:tc>
        <w:tc>
          <w:tcPr>
            <w:tcW w:w="1559" w:type="dxa"/>
            <w:tcBorders>
              <w:top w:val="single" w:sz="4" w:space="0" w:color="auto"/>
              <w:left w:val="single" w:sz="4" w:space="0" w:color="auto"/>
              <w:bottom w:val="single" w:sz="4" w:space="0" w:color="auto"/>
              <w:right w:val="single" w:sz="4" w:space="0" w:color="auto"/>
            </w:tcBorders>
            <w:hideMark/>
          </w:tcPr>
          <w:p w14:paraId="06604764" w14:textId="77777777" w:rsidR="0078138E" w:rsidRPr="009B509D" w:rsidRDefault="0078138E" w:rsidP="00762250">
            <w:pPr>
              <w:jc w:val="center"/>
              <w:rPr>
                <w:sz w:val="24"/>
                <w:szCs w:val="24"/>
                <w:lang w:val="en-GB"/>
              </w:rPr>
            </w:pPr>
            <w:r w:rsidRPr="009B509D">
              <w:rPr>
                <w:sz w:val="24"/>
                <w:szCs w:val="24"/>
                <w:lang w:val="en-GB"/>
              </w:rPr>
              <w:t>Common</w:t>
            </w:r>
          </w:p>
        </w:tc>
      </w:tr>
      <w:tr w:rsidR="0078138E" w:rsidRPr="00F876E9" w14:paraId="6C51F9B9" w14:textId="77777777" w:rsidTr="0078138E">
        <w:tc>
          <w:tcPr>
            <w:tcW w:w="6204" w:type="dxa"/>
            <w:gridSpan w:val="3"/>
            <w:tcBorders>
              <w:top w:val="single" w:sz="4" w:space="0" w:color="auto"/>
              <w:left w:val="single" w:sz="4" w:space="0" w:color="auto"/>
              <w:bottom w:val="single" w:sz="4" w:space="0" w:color="auto"/>
              <w:right w:val="single" w:sz="4" w:space="0" w:color="auto"/>
            </w:tcBorders>
            <w:hideMark/>
          </w:tcPr>
          <w:p w14:paraId="215EE9AE" w14:textId="77777777" w:rsidR="0078138E" w:rsidRPr="00F876E9" w:rsidRDefault="0078138E" w:rsidP="00882574">
            <w:pPr>
              <w:rPr>
                <w:b/>
                <w:sz w:val="24"/>
                <w:szCs w:val="24"/>
                <w:lang w:val="en-GB"/>
              </w:rPr>
            </w:pPr>
            <w:r w:rsidRPr="00F876E9">
              <w:rPr>
                <w:b/>
                <w:sz w:val="24"/>
                <w:szCs w:val="24"/>
                <w:lang w:val="en-GB"/>
              </w:rPr>
              <w:t>Nervous system disorders</w:t>
            </w:r>
          </w:p>
        </w:tc>
        <w:tc>
          <w:tcPr>
            <w:tcW w:w="1559" w:type="dxa"/>
            <w:tcBorders>
              <w:top w:val="single" w:sz="4" w:space="0" w:color="auto"/>
              <w:left w:val="single" w:sz="4" w:space="0" w:color="auto"/>
              <w:bottom w:val="single" w:sz="4" w:space="0" w:color="auto"/>
              <w:right w:val="single" w:sz="4" w:space="0" w:color="auto"/>
            </w:tcBorders>
          </w:tcPr>
          <w:p w14:paraId="5137799F" w14:textId="77777777" w:rsidR="0078138E" w:rsidRPr="00F876E9" w:rsidRDefault="0078138E" w:rsidP="00882574">
            <w:pPr>
              <w:rPr>
                <w:b/>
                <w:sz w:val="24"/>
                <w:szCs w:val="24"/>
                <w:lang w:val="en-GB"/>
              </w:rPr>
            </w:pPr>
          </w:p>
        </w:tc>
        <w:tc>
          <w:tcPr>
            <w:tcW w:w="1559" w:type="dxa"/>
            <w:tcBorders>
              <w:top w:val="single" w:sz="4" w:space="0" w:color="auto"/>
              <w:left w:val="single" w:sz="4" w:space="0" w:color="auto"/>
              <w:bottom w:val="single" w:sz="4" w:space="0" w:color="auto"/>
              <w:right w:val="single" w:sz="4" w:space="0" w:color="auto"/>
            </w:tcBorders>
          </w:tcPr>
          <w:p w14:paraId="5841B88E" w14:textId="77777777" w:rsidR="0078138E" w:rsidRPr="00F876E9" w:rsidRDefault="0078138E" w:rsidP="00882574">
            <w:pPr>
              <w:rPr>
                <w:b/>
                <w:sz w:val="24"/>
                <w:szCs w:val="24"/>
                <w:lang w:val="en-GB"/>
              </w:rPr>
            </w:pPr>
          </w:p>
        </w:tc>
      </w:tr>
      <w:tr w:rsidR="0078138E" w:rsidRPr="009B509D" w14:paraId="45B2A33F"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1FE61BC1" w14:textId="77777777" w:rsidR="0078138E" w:rsidRPr="009B509D" w:rsidRDefault="0078138E" w:rsidP="00882574">
            <w:pPr>
              <w:rPr>
                <w:sz w:val="24"/>
                <w:szCs w:val="24"/>
                <w:lang w:val="en-GB"/>
              </w:rPr>
            </w:pPr>
            <w:r w:rsidRPr="009B509D">
              <w:rPr>
                <w:sz w:val="24"/>
                <w:szCs w:val="24"/>
                <w:lang w:val="en-GB"/>
              </w:rPr>
              <w:t>Headache</w:t>
            </w:r>
          </w:p>
        </w:tc>
        <w:tc>
          <w:tcPr>
            <w:tcW w:w="1984" w:type="dxa"/>
            <w:tcBorders>
              <w:top w:val="single" w:sz="4" w:space="0" w:color="auto"/>
              <w:left w:val="single" w:sz="4" w:space="0" w:color="auto"/>
              <w:bottom w:val="single" w:sz="4" w:space="0" w:color="auto"/>
              <w:right w:val="single" w:sz="4" w:space="0" w:color="auto"/>
            </w:tcBorders>
            <w:hideMark/>
          </w:tcPr>
          <w:p w14:paraId="59C3842B" w14:textId="77777777" w:rsidR="0078138E" w:rsidRPr="009B509D" w:rsidRDefault="0078138E" w:rsidP="00762250">
            <w:pPr>
              <w:jc w:val="center"/>
              <w:rPr>
                <w:sz w:val="24"/>
                <w:szCs w:val="24"/>
                <w:lang w:val="en-GB"/>
              </w:rPr>
            </w:pPr>
            <w:r w:rsidRPr="009B509D">
              <w:rPr>
                <w:sz w:val="24"/>
                <w:szCs w:val="24"/>
                <w:lang w:val="en-GB"/>
              </w:rPr>
              <w:t>Common</w:t>
            </w:r>
          </w:p>
        </w:tc>
        <w:tc>
          <w:tcPr>
            <w:tcW w:w="1560" w:type="dxa"/>
            <w:tcBorders>
              <w:top w:val="single" w:sz="4" w:space="0" w:color="auto"/>
              <w:left w:val="single" w:sz="4" w:space="0" w:color="auto"/>
              <w:bottom w:val="single" w:sz="4" w:space="0" w:color="auto"/>
              <w:right w:val="single" w:sz="4" w:space="0" w:color="auto"/>
            </w:tcBorders>
            <w:hideMark/>
          </w:tcPr>
          <w:p w14:paraId="3CB24348" w14:textId="77777777" w:rsidR="0078138E" w:rsidRPr="009B509D" w:rsidRDefault="0078138E" w:rsidP="00762250">
            <w:pPr>
              <w:jc w:val="center"/>
              <w:rPr>
                <w:sz w:val="24"/>
                <w:szCs w:val="24"/>
                <w:lang w:val="en-GB"/>
              </w:rPr>
            </w:pPr>
            <w:r w:rsidRPr="009B509D">
              <w:rPr>
                <w:sz w:val="24"/>
                <w:szCs w:val="24"/>
                <w:lang w:val="en-GB"/>
              </w:rPr>
              <w:t>Common</w:t>
            </w:r>
          </w:p>
        </w:tc>
        <w:tc>
          <w:tcPr>
            <w:tcW w:w="1559" w:type="dxa"/>
            <w:tcBorders>
              <w:top w:val="single" w:sz="4" w:space="0" w:color="auto"/>
              <w:left w:val="single" w:sz="4" w:space="0" w:color="auto"/>
              <w:bottom w:val="single" w:sz="4" w:space="0" w:color="auto"/>
              <w:right w:val="single" w:sz="4" w:space="0" w:color="auto"/>
            </w:tcBorders>
            <w:hideMark/>
          </w:tcPr>
          <w:p w14:paraId="1DCBFCF2" w14:textId="77777777" w:rsidR="0078138E" w:rsidRPr="009B509D" w:rsidRDefault="0078138E" w:rsidP="00762250">
            <w:pPr>
              <w:jc w:val="center"/>
              <w:rPr>
                <w:sz w:val="24"/>
                <w:szCs w:val="24"/>
                <w:lang w:val="en-GB"/>
              </w:rPr>
            </w:pPr>
            <w:r w:rsidRPr="009B509D">
              <w:rPr>
                <w:sz w:val="24"/>
                <w:szCs w:val="24"/>
                <w:lang w:val="en-GB"/>
              </w:rPr>
              <w:t>Very common</w:t>
            </w:r>
          </w:p>
        </w:tc>
        <w:tc>
          <w:tcPr>
            <w:tcW w:w="1559" w:type="dxa"/>
            <w:tcBorders>
              <w:top w:val="single" w:sz="4" w:space="0" w:color="auto"/>
              <w:left w:val="single" w:sz="4" w:space="0" w:color="auto"/>
              <w:bottom w:val="single" w:sz="4" w:space="0" w:color="auto"/>
              <w:right w:val="single" w:sz="4" w:space="0" w:color="auto"/>
            </w:tcBorders>
            <w:hideMark/>
          </w:tcPr>
          <w:p w14:paraId="35B396F2" w14:textId="77777777" w:rsidR="0078138E" w:rsidRPr="009B509D" w:rsidRDefault="0078138E" w:rsidP="00762250">
            <w:pPr>
              <w:jc w:val="center"/>
              <w:rPr>
                <w:sz w:val="24"/>
                <w:szCs w:val="24"/>
                <w:lang w:val="en-GB"/>
              </w:rPr>
            </w:pPr>
            <w:r w:rsidRPr="009B509D">
              <w:rPr>
                <w:sz w:val="24"/>
                <w:szCs w:val="24"/>
                <w:lang w:val="en-GB"/>
              </w:rPr>
              <w:t>Very common</w:t>
            </w:r>
          </w:p>
        </w:tc>
      </w:tr>
      <w:tr w:rsidR="0078138E" w:rsidRPr="009B509D" w14:paraId="55C6B794"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712D7FDA" w14:textId="77777777" w:rsidR="0078138E" w:rsidRPr="009B509D" w:rsidRDefault="0078138E" w:rsidP="00762250">
            <w:pPr>
              <w:ind w:left="284"/>
              <w:rPr>
                <w:sz w:val="24"/>
                <w:szCs w:val="24"/>
                <w:lang w:val="en-GB"/>
              </w:rPr>
            </w:pPr>
            <w:r w:rsidRPr="009B509D">
              <w:rPr>
                <w:sz w:val="24"/>
                <w:szCs w:val="24"/>
                <w:lang w:val="en-GB"/>
              </w:rPr>
              <w:t>CTCAE grade ≥3</w:t>
            </w:r>
          </w:p>
        </w:tc>
        <w:tc>
          <w:tcPr>
            <w:tcW w:w="1984" w:type="dxa"/>
            <w:tcBorders>
              <w:top w:val="single" w:sz="4" w:space="0" w:color="auto"/>
              <w:left w:val="single" w:sz="4" w:space="0" w:color="auto"/>
              <w:bottom w:val="single" w:sz="4" w:space="0" w:color="auto"/>
              <w:right w:val="single" w:sz="4" w:space="0" w:color="auto"/>
            </w:tcBorders>
            <w:hideMark/>
          </w:tcPr>
          <w:p w14:paraId="798EB179" w14:textId="77777777" w:rsidR="0078138E" w:rsidRPr="009B509D" w:rsidRDefault="0078138E" w:rsidP="00762250">
            <w:pPr>
              <w:jc w:val="center"/>
              <w:rPr>
                <w:sz w:val="24"/>
                <w:szCs w:val="24"/>
                <w:lang w:val="en-GB"/>
              </w:rPr>
            </w:pPr>
            <w:r w:rsidRPr="009B509D">
              <w:rPr>
                <w:sz w:val="24"/>
                <w:szCs w:val="24"/>
                <w:lang w:val="en-GB"/>
              </w:rPr>
              <w:t>Uncommon</w:t>
            </w:r>
          </w:p>
        </w:tc>
        <w:tc>
          <w:tcPr>
            <w:tcW w:w="1560" w:type="dxa"/>
            <w:tcBorders>
              <w:top w:val="single" w:sz="4" w:space="0" w:color="auto"/>
              <w:left w:val="single" w:sz="4" w:space="0" w:color="auto"/>
              <w:bottom w:val="single" w:sz="4" w:space="0" w:color="auto"/>
              <w:right w:val="single" w:sz="4" w:space="0" w:color="auto"/>
            </w:tcBorders>
            <w:hideMark/>
          </w:tcPr>
          <w:p w14:paraId="723B62B8" w14:textId="77777777" w:rsidR="0078138E" w:rsidRPr="009B509D" w:rsidRDefault="0078138E" w:rsidP="00762250">
            <w:pPr>
              <w:jc w:val="center"/>
              <w:rPr>
                <w:sz w:val="24"/>
                <w:szCs w:val="24"/>
                <w:lang w:val="en-GB"/>
              </w:rPr>
            </w:pPr>
            <w:r w:rsidRPr="009B509D">
              <w:rPr>
                <w:sz w:val="24"/>
                <w:szCs w:val="24"/>
                <w:lang w:val="en-GB"/>
              </w:rPr>
              <w:t>N/A</w:t>
            </w:r>
            <w:r w:rsidRPr="009B509D">
              <w:rPr>
                <w:sz w:val="24"/>
                <w:szCs w:val="24"/>
                <w:vertAlign w:val="superscript"/>
                <w:lang w:val="en-GB"/>
              </w:rPr>
              <w:t>5</w:t>
            </w:r>
          </w:p>
        </w:tc>
        <w:tc>
          <w:tcPr>
            <w:tcW w:w="1559" w:type="dxa"/>
            <w:tcBorders>
              <w:top w:val="single" w:sz="4" w:space="0" w:color="auto"/>
              <w:left w:val="single" w:sz="4" w:space="0" w:color="auto"/>
              <w:bottom w:val="single" w:sz="4" w:space="0" w:color="auto"/>
              <w:right w:val="single" w:sz="4" w:space="0" w:color="auto"/>
            </w:tcBorders>
            <w:hideMark/>
          </w:tcPr>
          <w:p w14:paraId="6B471F1B" w14:textId="77777777" w:rsidR="0078138E" w:rsidRPr="009B509D" w:rsidRDefault="0078138E" w:rsidP="00762250">
            <w:pPr>
              <w:jc w:val="center"/>
              <w:rPr>
                <w:sz w:val="24"/>
                <w:szCs w:val="24"/>
                <w:lang w:val="en-GB"/>
              </w:rPr>
            </w:pPr>
            <w:r w:rsidRPr="009B509D">
              <w:rPr>
                <w:sz w:val="24"/>
                <w:szCs w:val="24"/>
                <w:lang w:val="en-GB"/>
              </w:rPr>
              <w:t>Common</w:t>
            </w:r>
          </w:p>
        </w:tc>
        <w:tc>
          <w:tcPr>
            <w:tcW w:w="1559" w:type="dxa"/>
            <w:tcBorders>
              <w:top w:val="single" w:sz="4" w:space="0" w:color="auto"/>
              <w:left w:val="single" w:sz="4" w:space="0" w:color="auto"/>
              <w:bottom w:val="single" w:sz="4" w:space="0" w:color="auto"/>
              <w:right w:val="single" w:sz="4" w:space="0" w:color="auto"/>
            </w:tcBorders>
            <w:hideMark/>
          </w:tcPr>
          <w:p w14:paraId="22814F2A" w14:textId="77777777" w:rsidR="0078138E" w:rsidRPr="009B509D" w:rsidRDefault="0078138E" w:rsidP="00762250">
            <w:pPr>
              <w:jc w:val="center"/>
              <w:rPr>
                <w:sz w:val="24"/>
                <w:szCs w:val="24"/>
                <w:lang w:val="en-GB"/>
              </w:rPr>
            </w:pPr>
            <w:r w:rsidRPr="009B509D">
              <w:rPr>
                <w:sz w:val="24"/>
                <w:szCs w:val="24"/>
                <w:lang w:val="en-GB"/>
              </w:rPr>
              <w:t>Common</w:t>
            </w:r>
          </w:p>
        </w:tc>
      </w:tr>
      <w:tr w:rsidR="0078138E" w:rsidRPr="00762250" w14:paraId="538FABF7" w14:textId="77777777" w:rsidTr="0078138E">
        <w:tc>
          <w:tcPr>
            <w:tcW w:w="6204" w:type="dxa"/>
            <w:gridSpan w:val="3"/>
            <w:tcBorders>
              <w:top w:val="single" w:sz="4" w:space="0" w:color="auto"/>
              <w:left w:val="single" w:sz="4" w:space="0" w:color="auto"/>
              <w:bottom w:val="single" w:sz="4" w:space="0" w:color="auto"/>
              <w:right w:val="single" w:sz="4" w:space="0" w:color="auto"/>
            </w:tcBorders>
            <w:hideMark/>
          </w:tcPr>
          <w:p w14:paraId="437D80E2" w14:textId="77777777" w:rsidR="0078138E" w:rsidRPr="00762250" w:rsidRDefault="0078138E" w:rsidP="00882574">
            <w:pPr>
              <w:rPr>
                <w:b/>
                <w:sz w:val="24"/>
                <w:szCs w:val="24"/>
                <w:lang w:val="en-GB"/>
              </w:rPr>
            </w:pPr>
            <w:r w:rsidRPr="00762250">
              <w:rPr>
                <w:b/>
                <w:sz w:val="24"/>
                <w:szCs w:val="24"/>
                <w:lang w:val="en-GB"/>
              </w:rPr>
              <w:t>Vascular disorders</w:t>
            </w:r>
          </w:p>
        </w:tc>
        <w:tc>
          <w:tcPr>
            <w:tcW w:w="1559" w:type="dxa"/>
            <w:tcBorders>
              <w:top w:val="single" w:sz="4" w:space="0" w:color="auto"/>
              <w:left w:val="single" w:sz="4" w:space="0" w:color="auto"/>
              <w:bottom w:val="single" w:sz="4" w:space="0" w:color="auto"/>
              <w:right w:val="single" w:sz="4" w:space="0" w:color="auto"/>
            </w:tcBorders>
          </w:tcPr>
          <w:p w14:paraId="40C628F5" w14:textId="77777777" w:rsidR="0078138E" w:rsidRPr="00762250" w:rsidRDefault="0078138E" w:rsidP="00882574">
            <w:pPr>
              <w:rPr>
                <w:b/>
                <w:sz w:val="24"/>
                <w:szCs w:val="24"/>
                <w:lang w:val="en-GB"/>
              </w:rPr>
            </w:pPr>
          </w:p>
        </w:tc>
        <w:tc>
          <w:tcPr>
            <w:tcW w:w="1559" w:type="dxa"/>
            <w:tcBorders>
              <w:top w:val="single" w:sz="4" w:space="0" w:color="auto"/>
              <w:left w:val="single" w:sz="4" w:space="0" w:color="auto"/>
              <w:bottom w:val="single" w:sz="4" w:space="0" w:color="auto"/>
              <w:right w:val="single" w:sz="4" w:space="0" w:color="auto"/>
            </w:tcBorders>
          </w:tcPr>
          <w:p w14:paraId="0D1E0417" w14:textId="77777777" w:rsidR="0078138E" w:rsidRPr="00762250" w:rsidRDefault="0078138E" w:rsidP="00882574">
            <w:pPr>
              <w:rPr>
                <w:b/>
                <w:sz w:val="24"/>
                <w:szCs w:val="24"/>
                <w:lang w:val="en-GB"/>
              </w:rPr>
            </w:pPr>
          </w:p>
        </w:tc>
      </w:tr>
      <w:tr w:rsidR="0078138E" w:rsidRPr="009B509D" w14:paraId="031CC36E"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49C4F2C1" w14:textId="77777777" w:rsidR="0078138E" w:rsidRPr="009B509D" w:rsidRDefault="0078138E" w:rsidP="00882574">
            <w:pPr>
              <w:rPr>
                <w:sz w:val="24"/>
                <w:szCs w:val="24"/>
                <w:lang w:val="en-GB"/>
              </w:rPr>
            </w:pPr>
            <w:r w:rsidRPr="009B509D">
              <w:rPr>
                <w:sz w:val="24"/>
                <w:szCs w:val="24"/>
                <w:lang w:val="en-GB"/>
              </w:rPr>
              <w:t>Hypertension</w:t>
            </w:r>
          </w:p>
        </w:tc>
        <w:tc>
          <w:tcPr>
            <w:tcW w:w="1984" w:type="dxa"/>
            <w:tcBorders>
              <w:top w:val="single" w:sz="4" w:space="0" w:color="auto"/>
              <w:left w:val="single" w:sz="4" w:space="0" w:color="auto"/>
              <w:bottom w:val="single" w:sz="4" w:space="0" w:color="auto"/>
              <w:right w:val="single" w:sz="4" w:space="0" w:color="auto"/>
            </w:tcBorders>
            <w:hideMark/>
          </w:tcPr>
          <w:p w14:paraId="23A1AFA8" w14:textId="77777777" w:rsidR="0078138E" w:rsidRPr="009B509D" w:rsidRDefault="0078138E" w:rsidP="00762250">
            <w:pPr>
              <w:jc w:val="center"/>
              <w:rPr>
                <w:sz w:val="24"/>
                <w:szCs w:val="24"/>
                <w:lang w:val="en-GB"/>
              </w:rPr>
            </w:pPr>
            <w:r w:rsidRPr="009B509D">
              <w:rPr>
                <w:sz w:val="24"/>
                <w:szCs w:val="24"/>
                <w:lang w:val="en-GB"/>
              </w:rPr>
              <w:t>Very common</w:t>
            </w:r>
          </w:p>
        </w:tc>
        <w:tc>
          <w:tcPr>
            <w:tcW w:w="1560" w:type="dxa"/>
            <w:tcBorders>
              <w:top w:val="single" w:sz="4" w:space="0" w:color="auto"/>
              <w:left w:val="single" w:sz="4" w:space="0" w:color="auto"/>
              <w:bottom w:val="single" w:sz="4" w:space="0" w:color="auto"/>
              <w:right w:val="single" w:sz="4" w:space="0" w:color="auto"/>
            </w:tcBorders>
            <w:hideMark/>
          </w:tcPr>
          <w:p w14:paraId="0CDC75D5" w14:textId="77777777" w:rsidR="0078138E" w:rsidRPr="009B509D" w:rsidRDefault="0078138E" w:rsidP="00762250">
            <w:pPr>
              <w:jc w:val="center"/>
              <w:rPr>
                <w:sz w:val="24"/>
                <w:szCs w:val="24"/>
                <w:lang w:val="en-GB"/>
              </w:rPr>
            </w:pPr>
            <w:r w:rsidRPr="009B509D">
              <w:rPr>
                <w:sz w:val="24"/>
                <w:szCs w:val="24"/>
                <w:lang w:val="en-GB"/>
              </w:rPr>
              <w:t>Very common</w:t>
            </w:r>
          </w:p>
        </w:tc>
        <w:tc>
          <w:tcPr>
            <w:tcW w:w="1559" w:type="dxa"/>
            <w:tcBorders>
              <w:top w:val="single" w:sz="4" w:space="0" w:color="auto"/>
              <w:left w:val="single" w:sz="4" w:space="0" w:color="auto"/>
              <w:bottom w:val="single" w:sz="4" w:space="0" w:color="auto"/>
              <w:right w:val="single" w:sz="4" w:space="0" w:color="auto"/>
            </w:tcBorders>
            <w:hideMark/>
          </w:tcPr>
          <w:p w14:paraId="00A12FE5" w14:textId="77777777" w:rsidR="0078138E" w:rsidRPr="009B509D" w:rsidRDefault="0078138E" w:rsidP="00762250">
            <w:pPr>
              <w:jc w:val="center"/>
              <w:rPr>
                <w:sz w:val="24"/>
                <w:szCs w:val="24"/>
                <w:lang w:val="en-GB"/>
              </w:rPr>
            </w:pPr>
            <w:r w:rsidRPr="009B509D">
              <w:rPr>
                <w:sz w:val="24"/>
                <w:szCs w:val="24"/>
                <w:lang w:val="en-GB"/>
              </w:rPr>
              <w:t>Very common</w:t>
            </w:r>
          </w:p>
        </w:tc>
        <w:tc>
          <w:tcPr>
            <w:tcW w:w="1559" w:type="dxa"/>
            <w:tcBorders>
              <w:top w:val="single" w:sz="4" w:space="0" w:color="auto"/>
              <w:left w:val="single" w:sz="4" w:space="0" w:color="auto"/>
              <w:bottom w:val="single" w:sz="4" w:space="0" w:color="auto"/>
              <w:right w:val="single" w:sz="4" w:space="0" w:color="auto"/>
            </w:tcBorders>
            <w:hideMark/>
          </w:tcPr>
          <w:p w14:paraId="42B70A8E" w14:textId="77777777" w:rsidR="0078138E" w:rsidRPr="009B509D" w:rsidRDefault="0078138E" w:rsidP="00762250">
            <w:pPr>
              <w:jc w:val="center"/>
              <w:rPr>
                <w:sz w:val="24"/>
                <w:szCs w:val="24"/>
                <w:lang w:val="en-GB"/>
              </w:rPr>
            </w:pPr>
            <w:r w:rsidRPr="009B509D">
              <w:rPr>
                <w:sz w:val="24"/>
                <w:szCs w:val="24"/>
                <w:lang w:val="en-GB"/>
              </w:rPr>
              <w:t>Very common</w:t>
            </w:r>
          </w:p>
        </w:tc>
      </w:tr>
      <w:tr w:rsidR="0078138E" w:rsidRPr="009B509D" w14:paraId="7EFFE072"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018209BD" w14:textId="77777777" w:rsidR="0078138E" w:rsidRPr="009B509D" w:rsidRDefault="0078138E" w:rsidP="00762250">
            <w:pPr>
              <w:ind w:left="284"/>
              <w:rPr>
                <w:sz w:val="24"/>
                <w:szCs w:val="24"/>
                <w:lang w:val="en-GB"/>
              </w:rPr>
            </w:pPr>
            <w:r w:rsidRPr="009B509D">
              <w:rPr>
                <w:sz w:val="24"/>
                <w:szCs w:val="24"/>
                <w:lang w:val="en-GB"/>
              </w:rPr>
              <w:t>CTCAE grade ≥3</w:t>
            </w:r>
          </w:p>
        </w:tc>
        <w:tc>
          <w:tcPr>
            <w:tcW w:w="1984" w:type="dxa"/>
            <w:tcBorders>
              <w:top w:val="single" w:sz="4" w:space="0" w:color="auto"/>
              <w:left w:val="single" w:sz="4" w:space="0" w:color="auto"/>
              <w:bottom w:val="single" w:sz="4" w:space="0" w:color="auto"/>
              <w:right w:val="single" w:sz="4" w:space="0" w:color="auto"/>
            </w:tcBorders>
            <w:hideMark/>
          </w:tcPr>
          <w:p w14:paraId="74BC42AB" w14:textId="77777777" w:rsidR="0078138E" w:rsidRPr="009B509D" w:rsidRDefault="0078138E" w:rsidP="00762250">
            <w:pPr>
              <w:jc w:val="center"/>
              <w:rPr>
                <w:sz w:val="24"/>
                <w:szCs w:val="24"/>
                <w:lang w:val="en-GB"/>
              </w:rPr>
            </w:pPr>
            <w:r w:rsidRPr="009B509D">
              <w:rPr>
                <w:sz w:val="24"/>
                <w:szCs w:val="24"/>
                <w:lang w:val="en-GB"/>
              </w:rPr>
              <w:t>Common</w:t>
            </w:r>
          </w:p>
        </w:tc>
        <w:tc>
          <w:tcPr>
            <w:tcW w:w="1560" w:type="dxa"/>
            <w:tcBorders>
              <w:top w:val="single" w:sz="4" w:space="0" w:color="auto"/>
              <w:left w:val="single" w:sz="4" w:space="0" w:color="auto"/>
              <w:bottom w:val="single" w:sz="4" w:space="0" w:color="auto"/>
              <w:right w:val="single" w:sz="4" w:space="0" w:color="auto"/>
            </w:tcBorders>
            <w:hideMark/>
          </w:tcPr>
          <w:p w14:paraId="755694FF" w14:textId="77777777" w:rsidR="0078138E" w:rsidRPr="009B509D" w:rsidRDefault="0078138E" w:rsidP="00762250">
            <w:pPr>
              <w:jc w:val="center"/>
              <w:rPr>
                <w:sz w:val="24"/>
                <w:szCs w:val="24"/>
                <w:lang w:val="en-GB"/>
              </w:rPr>
            </w:pPr>
            <w:r w:rsidRPr="009B509D">
              <w:rPr>
                <w:sz w:val="24"/>
                <w:szCs w:val="24"/>
                <w:lang w:val="en-GB"/>
              </w:rPr>
              <w:t>Very common</w:t>
            </w:r>
          </w:p>
        </w:tc>
        <w:tc>
          <w:tcPr>
            <w:tcW w:w="1559" w:type="dxa"/>
            <w:tcBorders>
              <w:top w:val="single" w:sz="4" w:space="0" w:color="auto"/>
              <w:left w:val="single" w:sz="4" w:space="0" w:color="auto"/>
              <w:bottom w:val="single" w:sz="4" w:space="0" w:color="auto"/>
              <w:right w:val="single" w:sz="4" w:space="0" w:color="auto"/>
            </w:tcBorders>
            <w:hideMark/>
          </w:tcPr>
          <w:p w14:paraId="159EE39D" w14:textId="77777777" w:rsidR="0078138E" w:rsidRPr="009B509D" w:rsidRDefault="0078138E" w:rsidP="00762250">
            <w:pPr>
              <w:jc w:val="center"/>
              <w:rPr>
                <w:sz w:val="24"/>
                <w:szCs w:val="24"/>
                <w:lang w:val="en-GB"/>
              </w:rPr>
            </w:pPr>
            <w:r w:rsidRPr="009B509D">
              <w:rPr>
                <w:sz w:val="24"/>
                <w:szCs w:val="24"/>
                <w:lang w:val="en-GB"/>
              </w:rPr>
              <w:t>Common</w:t>
            </w:r>
          </w:p>
        </w:tc>
        <w:tc>
          <w:tcPr>
            <w:tcW w:w="1559" w:type="dxa"/>
            <w:tcBorders>
              <w:top w:val="single" w:sz="4" w:space="0" w:color="auto"/>
              <w:left w:val="single" w:sz="4" w:space="0" w:color="auto"/>
              <w:bottom w:val="single" w:sz="4" w:space="0" w:color="auto"/>
              <w:right w:val="single" w:sz="4" w:space="0" w:color="auto"/>
            </w:tcBorders>
            <w:hideMark/>
          </w:tcPr>
          <w:p w14:paraId="0B8EC3F2" w14:textId="77777777" w:rsidR="0078138E" w:rsidRPr="009B509D" w:rsidRDefault="0078138E" w:rsidP="00762250">
            <w:pPr>
              <w:jc w:val="center"/>
              <w:rPr>
                <w:sz w:val="24"/>
                <w:szCs w:val="24"/>
                <w:lang w:val="en-GB"/>
              </w:rPr>
            </w:pPr>
            <w:r w:rsidRPr="009B509D">
              <w:rPr>
                <w:sz w:val="24"/>
                <w:szCs w:val="24"/>
                <w:lang w:val="en-GB"/>
              </w:rPr>
              <w:t>Common</w:t>
            </w:r>
          </w:p>
        </w:tc>
      </w:tr>
      <w:tr w:rsidR="0078138E" w:rsidRPr="00762250" w14:paraId="45673428" w14:textId="77777777" w:rsidTr="0078138E">
        <w:tc>
          <w:tcPr>
            <w:tcW w:w="6204" w:type="dxa"/>
            <w:gridSpan w:val="3"/>
            <w:tcBorders>
              <w:top w:val="single" w:sz="4" w:space="0" w:color="auto"/>
              <w:left w:val="single" w:sz="4" w:space="0" w:color="auto"/>
              <w:bottom w:val="single" w:sz="4" w:space="0" w:color="auto"/>
              <w:right w:val="single" w:sz="4" w:space="0" w:color="auto"/>
            </w:tcBorders>
            <w:hideMark/>
          </w:tcPr>
          <w:p w14:paraId="395264D5" w14:textId="77777777" w:rsidR="0078138E" w:rsidRPr="00762250" w:rsidRDefault="0078138E" w:rsidP="00882574">
            <w:pPr>
              <w:rPr>
                <w:b/>
                <w:sz w:val="24"/>
                <w:szCs w:val="24"/>
                <w:lang w:val="en-GB"/>
              </w:rPr>
            </w:pPr>
            <w:r w:rsidRPr="00762250">
              <w:rPr>
                <w:b/>
                <w:sz w:val="24"/>
                <w:szCs w:val="24"/>
                <w:lang w:val="en-GB"/>
              </w:rPr>
              <w:t>Gastrointestinal disorders</w:t>
            </w:r>
          </w:p>
        </w:tc>
        <w:tc>
          <w:tcPr>
            <w:tcW w:w="1559" w:type="dxa"/>
            <w:tcBorders>
              <w:top w:val="single" w:sz="4" w:space="0" w:color="auto"/>
              <w:left w:val="single" w:sz="4" w:space="0" w:color="auto"/>
              <w:bottom w:val="single" w:sz="4" w:space="0" w:color="auto"/>
              <w:right w:val="single" w:sz="4" w:space="0" w:color="auto"/>
            </w:tcBorders>
          </w:tcPr>
          <w:p w14:paraId="28F31D1E" w14:textId="77777777" w:rsidR="0078138E" w:rsidRPr="00762250" w:rsidRDefault="0078138E" w:rsidP="00882574">
            <w:pPr>
              <w:rPr>
                <w:b/>
                <w:sz w:val="24"/>
                <w:szCs w:val="24"/>
                <w:lang w:val="en-GB"/>
              </w:rPr>
            </w:pPr>
          </w:p>
        </w:tc>
        <w:tc>
          <w:tcPr>
            <w:tcW w:w="1559" w:type="dxa"/>
            <w:tcBorders>
              <w:top w:val="single" w:sz="4" w:space="0" w:color="auto"/>
              <w:left w:val="single" w:sz="4" w:space="0" w:color="auto"/>
              <w:bottom w:val="single" w:sz="4" w:space="0" w:color="auto"/>
              <w:right w:val="single" w:sz="4" w:space="0" w:color="auto"/>
            </w:tcBorders>
          </w:tcPr>
          <w:p w14:paraId="11B0C44B" w14:textId="77777777" w:rsidR="0078138E" w:rsidRPr="00762250" w:rsidRDefault="0078138E" w:rsidP="00882574">
            <w:pPr>
              <w:rPr>
                <w:b/>
                <w:sz w:val="24"/>
                <w:szCs w:val="24"/>
                <w:lang w:val="en-GB"/>
              </w:rPr>
            </w:pPr>
          </w:p>
        </w:tc>
      </w:tr>
      <w:tr w:rsidR="0078138E" w:rsidRPr="009B509D" w14:paraId="4B8B8E21"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2348C43D" w14:textId="77777777" w:rsidR="0078138E" w:rsidRPr="009B509D" w:rsidRDefault="0078138E" w:rsidP="00882574">
            <w:pPr>
              <w:rPr>
                <w:sz w:val="24"/>
                <w:szCs w:val="24"/>
                <w:lang w:val="en-GB"/>
              </w:rPr>
            </w:pPr>
            <w:r w:rsidRPr="009B509D">
              <w:rPr>
                <w:sz w:val="24"/>
                <w:szCs w:val="24"/>
                <w:lang w:val="en-GB"/>
              </w:rPr>
              <w:t>Increased lipase</w:t>
            </w:r>
            <w:r w:rsidRPr="009B509D">
              <w:rPr>
                <w:sz w:val="24"/>
                <w:szCs w:val="24"/>
                <w:vertAlign w:val="superscript"/>
                <w:lang w:val="en-GB"/>
              </w:rPr>
              <w:t>1</w:t>
            </w:r>
          </w:p>
        </w:tc>
        <w:tc>
          <w:tcPr>
            <w:tcW w:w="1984" w:type="dxa"/>
            <w:tcBorders>
              <w:top w:val="single" w:sz="4" w:space="0" w:color="auto"/>
              <w:left w:val="single" w:sz="4" w:space="0" w:color="auto"/>
              <w:bottom w:val="single" w:sz="4" w:space="0" w:color="auto"/>
              <w:right w:val="single" w:sz="4" w:space="0" w:color="auto"/>
            </w:tcBorders>
            <w:hideMark/>
          </w:tcPr>
          <w:p w14:paraId="399D2C9B" w14:textId="77777777" w:rsidR="0078138E" w:rsidRPr="009B509D" w:rsidRDefault="0078138E" w:rsidP="00762250">
            <w:pPr>
              <w:jc w:val="center"/>
              <w:rPr>
                <w:sz w:val="24"/>
                <w:szCs w:val="24"/>
                <w:lang w:val="en-GB"/>
              </w:rPr>
            </w:pPr>
            <w:r w:rsidRPr="009B509D">
              <w:rPr>
                <w:sz w:val="24"/>
                <w:szCs w:val="24"/>
                <w:lang w:val="en-GB"/>
              </w:rPr>
              <w:t>-</w:t>
            </w:r>
            <w:r w:rsidRPr="009B509D">
              <w:rPr>
                <w:sz w:val="24"/>
                <w:szCs w:val="24"/>
                <w:vertAlign w:val="superscript"/>
                <w:lang w:val="en-GB"/>
              </w:rPr>
              <w:t>6</w:t>
            </w:r>
          </w:p>
        </w:tc>
        <w:tc>
          <w:tcPr>
            <w:tcW w:w="1560" w:type="dxa"/>
            <w:tcBorders>
              <w:top w:val="single" w:sz="4" w:space="0" w:color="auto"/>
              <w:left w:val="single" w:sz="4" w:space="0" w:color="auto"/>
              <w:bottom w:val="single" w:sz="4" w:space="0" w:color="auto"/>
              <w:right w:val="single" w:sz="4" w:space="0" w:color="auto"/>
            </w:tcBorders>
            <w:hideMark/>
          </w:tcPr>
          <w:p w14:paraId="5DC504FB" w14:textId="77777777" w:rsidR="0078138E" w:rsidRPr="009B509D" w:rsidRDefault="0078138E" w:rsidP="00762250">
            <w:pPr>
              <w:jc w:val="center"/>
              <w:rPr>
                <w:sz w:val="24"/>
                <w:szCs w:val="24"/>
                <w:lang w:val="en-GB"/>
              </w:rPr>
            </w:pPr>
            <w:r w:rsidRPr="009B509D">
              <w:rPr>
                <w:sz w:val="24"/>
                <w:szCs w:val="24"/>
                <w:lang w:val="en-GB"/>
              </w:rPr>
              <w:t>-</w:t>
            </w:r>
            <w:r w:rsidRPr="009B509D">
              <w:rPr>
                <w:sz w:val="24"/>
                <w:szCs w:val="24"/>
                <w:vertAlign w:val="superscript"/>
                <w:lang w:val="en-GB"/>
              </w:rPr>
              <w:t>6</w:t>
            </w:r>
          </w:p>
        </w:tc>
        <w:tc>
          <w:tcPr>
            <w:tcW w:w="1559" w:type="dxa"/>
            <w:tcBorders>
              <w:top w:val="single" w:sz="4" w:space="0" w:color="auto"/>
              <w:left w:val="single" w:sz="4" w:space="0" w:color="auto"/>
              <w:bottom w:val="single" w:sz="4" w:space="0" w:color="auto"/>
              <w:right w:val="single" w:sz="4" w:space="0" w:color="auto"/>
            </w:tcBorders>
            <w:hideMark/>
          </w:tcPr>
          <w:p w14:paraId="6A5D06BE" w14:textId="77777777" w:rsidR="0078138E" w:rsidRPr="009B509D" w:rsidRDefault="0078138E" w:rsidP="00762250">
            <w:pPr>
              <w:jc w:val="center"/>
              <w:rPr>
                <w:sz w:val="24"/>
                <w:szCs w:val="24"/>
                <w:lang w:val="en-GB"/>
              </w:rPr>
            </w:pPr>
            <w:r w:rsidRPr="009B509D">
              <w:rPr>
                <w:sz w:val="24"/>
                <w:szCs w:val="24"/>
                <w:lang w:val="en-GB"/>
              </w:rPr>
              <w:t>Very common</w:t>
            </w:r>
          </w:p>
        </w:tc>
        <w:tc>
          <w:tcPr>
            <w:tcW w:w="1559" w:type="dxa"/>
            <w:tcBorders>
              <w:top w:val="single" w:sz="4" w:space="0" w:color="auto"/>
              <w:left w:val="single" w:sz="4" w:space="0" w:color="auto"/>
              <w:bottom w:val="single" w:sz="4" w:space="0" w:color="auto"/>
              <w:right w:val="single" w:sz="4" w:space="0" w:color="auto"/>
            </w:tcBorders>
            <w:hideMark/>
          </w:tcPr>
          <w:p w14:paraId="0DD8A701" w14:textId="77777777" w:rsidR="0078138E" w:rsidRPr="009B509D" w:rsidRDefault="0078138E" w:rsidP="00762250">
            <w:pPr>
              <w:jc w:val="center"/>
              <w:rPr>
                <w:sz w:val="24"/>
                <w:szCs w:val="24"/>
                <w:lang w:val="en-GB"/>
              </w:rPr>
            </w:pPr>
            <w:r w:rsidRPr="009B509D">
              <w:rPr>
                <w:sz w:val="24"/>
                <w:szCs w:val="24"/>
                <w:lang w:val="en-GB"/>
              </w:rPr>
              <w:t>Very common</w:t>
            </w:r>
          </w:p>
        </w:tc>
      </w:tr>
      <w:tr w:rsidR="0078138E" w:rsidRPr="009B509D" w14:paraId="5E24A443"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43D86DBE" w14:textId="77777777" w:rsidR="0078138E" w:rsidRPr="009B509D" w:rsidRDefault="0078138E" w:rsidP="00762250">
            <w:pPr>
              <w:ind w:left="284"/>
              <w:rPr>
                <w:sz w:val="24"/>
                <w:szCs w:val="24"/>
                <w:lang w:val="en-GB"/>
              </w:rPr>
            </w:pPr>
            <w:r w:rsidRPr="009B509D">
              <w:rPr>
                <w:sz w:val="24"/>
                <w:szCs w:val="24"/>
                <w:lang w:val="en-GB"/>
              </w:rPr>
              <w:t>CTCAE grade 3</w:t>
            </w:r>
          </w:p>
        </w:tc>
        <w:tc>
          <w:tcPr>
            <w:tcW w:w="1984" w:type="dxa"/>
            <w:tcBorders>
              <w:top w:val="single" w:sz="4" w:space="0" w:color="auto"/>
              <w:left w:val="single" w:sz="4" w:space="0" w:color="auto"/>
              <w:bottom w:val="single" w:sz="4" w:space="0" w:color="auto"/>
              <w:right w:val="single" w:sz="4" w:space="0" w:color="auto"/>
            </w:tcBorders>
            <w:hideMark/>
          </w:tcPr>
          <w:p w14:paraId="60F6DF1F" w14:textId="77777777" w:rsidR="0078138E" w:rsidRPr="009B509D" w:rsidRDefault="0078138E" w:rsidP="00762250">
            <w:pPr>
              <w:jc w:val="center"/>
              <w:rPr>
                <w:sz w:val="24"/>
                <w:szCs w:val="24"/>
                <w:lang w:val="en-GB"/>
              </w:rPr>
            </w:pPr>
            <w:r w:rsidRPr="009B509D">
              <w:rPr>
                <w:sz w:val="24"/>
                <w:szCs w:val="24"/>
                <w:lang w:val="en-GB"/>
              </w:rPr>
              <w:t>-</w:t>
            </w:r>
            <w:r w:rsidRPr="009B509D">
              <w:rPr>
                <w:sz w:val="24"/>
                <w:szCs w:val="24"/>
                <w:vertAlign w:val="superscript"/>
                <w:lang w:val="en-GB"/>
              </w:rPr>
              <w:t>6</w:t>
            </w:r>
          </w:p>
        </w:tc>
        <w:tc>
          <w:tcPr>
            <w:tcW w:w="1560" w:type="dxa"/>
            <w:tcBorders>
              <w:top w:val="single" w:sz="4" w:space="0" w:color="auto"/>
              <w:left w:val="single" w:sz="4" w:space="0" w:color="auto"/>
              <w:bottom w:val="single" w:sz="4" w:space="0" w:color="auto"/>
              <w:right w:val="single" w:sz="4" w:space="0" w:color="auto"/>
            </w:tcBorders>
            <w:hideMark/>
          </w:tcPr>
          <w:p w14:paraId="79DAA4F0" w14:textId="77777777" w:rsidR="0078138E" w:rsidRPr="009B509D" w:rsidRDefault="0078138E" w:rsidP="00762250">
            <w:pPr>
              <w:jc w:val="center"/>
              <w:rPr>
                <w:sz w:val="24"/>
                <w:szCs w:val="24"/>
                <w:lang w:val="en-GB"/>
              </w:rPr>
            </w:pPr>
            <w:r w:rsidRPr="009B509D">
              <w:rPr>
                <w:sz w:val="24"/>
                <w:szCs w:val="24"/>
                <w:lang w:val="en-GB"/>
              </w:rPr>
              <w:t>-</w:t>
            </w:r>
            <w:r w:rsidRPr="009B509D">
              <w:rPr>
                <w:sz w:val="24"/>
                <w:szCs w:val="24"/>
                <w:vertAlign w:val="superscript"/>
                <w:lang w:val="en-GB"/>
              </w:rPr>
              <w:t>6</w:t>
            </w:r>
          </w:p>
        </w:tc>
        <w:tc>
          <w:tcPr>
            <w:tcW w:w="1559" w:type="dxa"/>
            <w:tcBorders>
              <w:top w:val="single" w:sz="4" w:space="0" w:color="auto"/>
              <w:left w:val="single" w:sz="4" w:space="0" w:color="auto"/>
              <w:bottom w:val="single" w:sz="4" w:space="0" w:color="auto"/>
              <w:right w:val="single" w:sz="4" w:space="0" w:color="auto"/>
            </w:tcBorders>
            <w:hideMark/>
          </w:tcPr>
          <w:p w14:paraId="53F694FB" w14:textId="77777777" w:rsidR="0078138E" w:rsidRPr="009B509D" w:rsidRDefault="0078138E" w:rsidP="00762250">
            <w:pPr>
              <w:jc w:val="center"/>
              <w:rPr>
                <w:sz w:val="24"/>
                <w:szCs w:val="24"/>
                <w:lang w:val="en-GB"/>
              </w:rPr>
            </w:pPr>
            <w:r w:rsidRPr="009B509D">
              <w:rPr>
                <w:sz w:val="24"/>
                <w:szCs w:val="24"/>
                <w:lang w:val="en-GB"/>
              </w:rPr>
              <w:t>Common</w:t>
            </w:r>
          </w:p>
        </w:tc>
        <w:tc>
          <w:tcPr>
            <w:tcW w:w="1559" w:type="dxa"/>
            <w:tcBorders>
              <w:top w:val="single" w:sz="4" w:space="0" w:color="auto"/>
              <w:left w:val="single" w:sz="4" w:space="0" w:color="auto"/>
              <w:bottom w:val="single" w:sz="4" w:space="0" w:color="auto"/>
              <w:right w:val="single" w:sz="4" w:space="0" w:color="auto"/>
            </w:tcBorders>
            <w:hideMark/>
          </w:tcPr>
          <w:p w14:paraId="35BE3C86" w14:textId="77777777" w:rsidR="0078138E" w:rsidRPr="009B509D" w:rsidRDefault="0078138E" w:rsidP="00762250">
            <w:pPr>
              <w:jc w:val="center"/>
              <w:rPr>
                <w:sz w:val="24"/>
                <w:szCs w:val="24"/>
                <w:lang w:val="en-GB"/>
              </w:rPr>
            </w:pPr>
            <w:r w:rsidRPr="009B509D">
              <w:rPr>
                <w:sz w:val="24"/>
                <w:szCs w:val="24"/>
                <w:lang w:val="en-GB"/>
              </w:rPr>
              <w:t>Common</w:t>
            </w:r>
          </w:p>
        </w:tc>
      </w:tr>
      <w:tr w:rsidR="0078138E" w:rsidRPr="009B509D" w14:paraId="4CFB785D"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3EBE9866" w14:textId="77777777" w:rsidR="0078138E" w:rsidRPr="009B509D" w:rsidRDefault="0078138E" w:rsidP="00762250">
            <w:pPr>
              <w:ind w:left="284"/>
              <w:rPr>
                <w:sz w:val="24"/>
                <w:szCs w:val="24"/>
                <w:lang w:val="en-GB"/>
              </w:rPr>
            </w:pPr>
            <w:r w:rsidRPr="009B509D">
              <w:rPr>
                <w:sz w:val="24"/>
                <w:szCs w:val="24"/>
                <w:lang w:val="en-GB"/>
              </w:rPr>
              <w:t>CTCAE grade 4</w:t>
            </w:r>
          </w:p>
        </w:tc>
        <w:tc>
          <w:tcPr>
            <w:tcW w:w="1984" w:type="dxa"/>
            <w:tcBorders>
              <w:top w:val="single" w:sz="4" w:space="0" w:color="auto"/>
              <w:left w:val="single" w:sz="4" w:space="0" w:color="auto"/>
              <w:bottom w:val="single" w:sz="4" w:space="0" w:color="auto"/>
              <w:right w:val="single" w:sz="4" w:space="0" w:color="auto"/>
            </w:tcBorders>
            <w:hideMark/>
          </w:tcPr>
          <w:p w14:paraId="30E956C6" w14:textId="77777777" w:rsidR="0078138E" w:rsidRPr="009B509D" w:rsidRDefault="0078138E" w:rsidP="00762250">
            <w:pPr>
              <w:jc w:val="center"/>
              <w:rPr>
                <w:sz w:val="24"/>
                <w:szCs w:val="24"/>
                <w:lang w:val="en-GB"/>
              </w:rPr>
            </w:pPr>
            <w:r w:rsidRPr="009B509D">
              <w:rPr>
                <w:sz w:val="24"/>
                <w:szCs w:val="24"/>
                <w:lang w:val="en-GB"/>
              </w:rPr>
              <w:t>-</w:t>
            </w:r>
            <w:r w:rsidRPr="009B509D">
              <w:rPr>
                <w:sz w:val="24"/>
                <w:szCs w:val="24"/>
                <w:vertAlign w:val="superscript"/>
                <w:lang w:val="en-GB"/>
              </w:rPr>
              <w:t>6</w:t>
            </w:r>
          </w:p>
        </w:tc>
        <w:tc>
          <w:tcPr>
            <w:tcW w:w="1560" w:type="dxa"/>
            <w:tcBorders>
              <w:top w:val="single" w:sz="4" w:space="0" w:color="auto"/>
              <w:left w:val="single" w:sz="4" w:space="0" w:color="auto"/>
              <w:bottom w:val="single" w:sz="4" w:space="0" w:color="auto"/>
              <w:right w:val="single" w:sz="4" w:space="0" w:color="auto"/>
            </w:tcBorders>
            <w:hideMark/>
          </w:tcPr>
          <w:p w14:paraId="02B2BBFB" w14:textId="77777777" w:rsidR="0078138E" w:rsidRPr="009B509D" w:rsidRDefault="0078138E" w:rsidP="00762250">
            <w:pPr>
              <w:jc w:val="center"/>
              <w:rPr>
                <w:sz w:val="24"/>
                <w:szCs w:val="24"/>
                <w:lang w:val="en-GB"/>
              </w:rPr>
            </w:pPr>
            <w:r w:rsidRPr="009B509D">
              <w:rPr>
                <w:sz w:val="24"/>
                <w:szCs w:val="24"/>
                <w:lang w:val="en-GB"/>
              </w:rPr>
              <w:t>-</w:t>
            </w:r>
            <w:r w:rsidRPr="009B509D">
              <w:rPr>
                <w:sz w:val="24"/>
                <w:szCs w:val="24"/>
                <w:vertAlign w:val="superscript"/>
                <w:lang w:val="en-GB"/>
              </w:rPr>
              <w:t>6</w:t>
            </w:r>
          </w:p>
        </w:tc>
        <w:tc>
          <w:tcPr>
            <w:tcW w:w="1559" w:type="dxa"/>
            <w:tcBorders>
              <w:top w:val="single" w:sz="4" w:space="0" w:color="auto"/>
              <w:left w:val="single" w:sz="4" w:space="0" w:color="auto"/>
              <w:bottom w:val="single" w:sz="4" w:space="0" w:color="auto"/>
              <w:right w:val="single" w:sz="4" w:space="0" w:color="auto"/>
            </w:tcBorders>
            <w:hideMark/>
          </w:tcPr>
          <w:p w14:paraId="1DE23BB1" w14:textId="77777777" w:rsidR="0078138E" w:rsidRPr="009B509D" w:rsidRDefault="0078138E" w:rsidP="00762250">
            <w:pPr>
              <w:jc w:val="center"/>
              <w:rPr>
                <w:sz w:val="24"/>
                <w:szCs w:val="24"/>
                <w:lang w:val="en-GB"/>
              </w:rPr>
            </w:pPr>
            <w:r w:rsidRPr="009B509D">
              <w:rPr>
                <w:sz w:val="24"/>
                <w:szCs w:val="24"/>
                <w:lang w:val="en-GB"/>
              </w:rPr>
              <w:t>Uncommon</w:t>
            </w:r>
          </w:p>
        </w:tc>
        <w:tc>
          <w:tcPr>
            <w:tcW w:w="1559" w:type="dxa"/>
            <w:tcBorders>
              <w:top w:val="single" w:sz="4" w:space="0" w:color="auto"/>
              <w:left w:val="single" w:sz="4" w:space="0" w:color="auto"/>
              <w:bottom w:val="single" w:sz="4" w:space="0" w:color="auto"/>
              <w:right w:val="single" w:sz="4" w:space="0" w:color="auto"/>
            </w:tcBorders>
            <w:hideMark/>
          </w:tcPr>
          <w:p w14:paraId="0B18AEED" w14:textId="77777777" w:rsidR="0078138E" w:rsidRPr="009B509D" w:rsidRDefault="0078138E" w:rsidP="00762250">
            <w:pPr>
              <w:jc w:val="center"/>
              <w:rPr>
                <w:sz w:val="24"/>
                <w:szCs w:val="24"/>
                <w:lang w:val="en-GB"/>
              </w:rPr>
            </w:pPr>
            <w:r w:rsidRPr="009B509D">
              <w:rPr>
                <w:sz w:val="24"/>
                <w:szCs w:val="24"/>
                <w:lang w:val="en-GB"/>
              </w:rPr>
              <w:t>Common</w:t>
            </w:r>
          </w:p>
        </w:tc>
      </w:tr>
      <w:tr w:rsidR="0078138E" w:rsidRPr="009B509D" w14:paraId="467341D8"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66455F73" w14:textId="77777777" w:rsidR="0078138E" w:rsidRPr="009B509D" w:rsidRDefault="0078138E" w:rsidP="00882574">
            <w:pPr>
              <w:rPr>
                <w:sz w:val="24"/>
                <w:szCs w:val="24"/>
                <w:lang w:val="en-GB"/>
              </w:rPr>
            </w:pPr>
            <w:r w:rsidRPr="009B509D">
              <w:rPr>
                <w:sz w:val="24"/>
                <w:szCs w:val="24"/>
                <w:lang w:val="en-GB"/>
              </w:rPr>
              <w:t>Increased amylase</w:t>
            </w:r>
            <w:r w:rsidRPr="009B509D">
              <w:rPr>
                <w:sz w:val="24"/>
                <w:szCs w:val="24"/>
                <w:vertAlign w:val="superscript"/>
                <w:lang w:val="en-GB"/>
              </w:rPr>
              <w:t>1</w:t>
            </w:r>
          </w:p>
        </w:tc>
        <w:tc>
          <w:tcPr>
            <w:tcW w:w="1984" w:type="dxa"/>
            <w:tcBorders>
              <w:top w:val="single" w:sz="4" w:space="0" w:color="auto"/>
              <w:left w:val="single" w:sz="4" w:space="0" w:color="auto"/>
              <w:bottom w:val="single" w:sz="4" w:space="0" w:color="auto"/>
              <w:right w:val="single" w:sz="4" w:space="0" w:color="auto"/>
            </w:tcBorders>
            <w:hideMark/>
          </w:tcPr>
          <w:p w14:paraId="0E6BAC8D" w14:textId="77777777" w:rsidR="0078138E" w:rsidRPr="009B509D" w:rsidRDefault="0078138E" w:rsidP="00762250">
            <w:pPr>
              <w:jc w:val="center"/>
              <w:rPr>
                <w:sz w:val="24"/>
                <w:szCs w:val="24"/>
                <w:lang w:val="en-GB"/>
              </w:rPr>
            </w:pPr>
            <w:r w:rsidRPr="009B509D">
              <w:rPr>
                <w:sz w:val="24"/>
                <w:szCs w:val="24"/>
                <w:lang w:val="en-GB"/>
              </w:rPr>
              <w:t>-</w:t>
            </w:r>
            <w:r w:rsidRPr="009B509D">
              <w:rPr>
                <w:sz w:val="24"/>
                <w:szCs w:val="24"/>
                <w:vertAlign w:val="superscript"/>
                <w:lang w:val="en-GB"/>
              </w:rPr>
              <w:t>6</w:t>
            </w:r>
          </w:p>
        </w:tc>
        <w:tc>
          <w:tcPr>
            <w:tcW w:w="1560" w:type="dxa"/>
            <w:tcBorders>
              <w:top w:val="single" w:sz="4" w:space="0" w:color="auto"/>
              <w:left w:val="single" w:sz="4" w:space="0" w:color="auto"/>
              <w:bottom w:val="single" w:sz="4" w:space="0" w:color="auto"/>
              <w:right w:val="single" w:sz="4" w:space="0" w:color="auto"/>
            </w:tcBorders>
            <w:hideMark/>
          </w:tcPr>
          <w:p w14:paraId="53C754AB" w14:textId="77777777" w:rsidR="0078138E" w:rsidRPr="009B509D" w:rsidRDefault="0078138E" w:rsidP="00762250">
            <w:pPr>
              <w:jc w:val="center"/>
              <w:rPr>
                <w:sz w:val="24"/>
                <w:szCs w:val="24"/>
                <w:lang w:val="en-GB"/>
              </w:rPr>
            </w:pPr>
            <w:r w:rsidRPr="009B509D">
              <w:rPr>
                <w:sz w:val="24"/>
                <w:szCs w:val="24"/>
                <w:lang w:val="en-GB"/>
              </w:rPr>
              <w:t>-</w:t>
            </w:r>
            <w:r w:rsidRPr="009B509D">
              <w:rPr>
                <w:sz w:val="24"/>
                <w:szCs w:val="24"/>
                <w:vertAlign w:val="superscript"/>
                <w:lang w:val="en-GB"/>
              </w:rPr>
              <w:t>6</w:t>
            </w:r>
          </w:p>
        </w:tc>
        <w:tc>
          <w:tcPr>
            <w:tcW w:w="1559" w:type="dxa"/>
            <w:tcBorders>
              <w:top w:val="single" w:sz="4" w:space="0" w:color="auto"/>
              <w:left w:val="single" w:sz="4" w:space="0" w:color="auto"/>
              <w:bottom w:val="single" w:sz="4" w:space="0" w:color="auto"/>
              <w:right w:val="single" w:sz="4" w:space="0" w:color="auto"/>
            </w:tcBorders>
            <w:hideMark/>
          </w:tcPr>
          <w:p w14:paraId="21080DD9" w14:textId="77777777" w:rsidR="0078138E" w:rsidRPr="009B509D" w:rsidRDefault="0078138E" w:rsidP="00762250">
            <w:pPr>
              <w:jc w:val="center"/>
              <w:rPr>
                <w:sz w:val="24"/>
                <w:szCs w:val="24"/>
                <w:lang w:val="en-GB"/>
              </w:rPr>
            </w:pPr>
            <w:r w:rsidRPr="009B509D">
              <w:rPr>
                <w:sz w:val="24"/>
                <w:szCs w:val="24"/>
                <w:lang w:val="en-GB"/>
              </w:rPr>
              <w:t>Very common</w:t>
            </w:r>
          </w:p>
        </w:tc>
        <w:tc>
          <w:tcPr>
            <w:tcW w:w="1559" w:type="dxa"/>
            <w:tcBorders>
              <w:top w:val="single" w:sz="4" w:space="0" w:color="auto"/>
              <w:left w:val="single" w:sz="4" w:space="0" w:color="auto"/>
              <w:bottom w:val="single" w:sz="4" w:space="0" w:color="auto"/>
              <w:right w:val="single" w:sz="4" w:space="0" w:color="auto"/>
            </w:tcBorders>
            <w:hideMark/>
          </w:tcPr>
          <w:p w14:paraId="4D07FC9F" w14:textId="77777777" w:rsidR="0078138E" w:rsidRPr="009B509D" w:rsidRDefault="0078138E" w:rsidP="00762250">
            <w:pPr>
              <w:jc w:val="center"/>
              <w:rPr>
                <w:sz w:val="24"/>
                <w:szCs w:val="24"/>
                <w:lang w:val="en-GB"/>
              </w:rPr>
            </w:pPr>
            <w:r w:rsidRPr="009B509D">
              <w:rPr>
                <w:sz w:val="24"/>
                <w:szCs w:val="24"/>
                <w:lang w:val="en-GB"/>
              </w:rPr>
              <w:t>Very common</w:t>
            </w:r>
          </w:p>
        </w:tc>
      </w:tr>
      <w:tr w:rsidR="0078138E" w:rsidRPr="009B509D" w14:paraId="33CD5947"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4EB1CC64" w14:textId="77777777" w:rsidR="0078138E" w:rsidRPr="009B509D" w:rsidRDefault="0078138E" w:rsidP="00762250">
            <w:pPr>
              <w:ind w:left="284"/>
              <w:rPr>
                <w:sz w:val="24"/>
                <w:szCs w:val="24"/>
                <w:lang w:val="en-GB"/>
              </w:rPr>
            </w:pPr>
            <w:r w:rsidRPr="009B509D">
              <w:rPr>
                <w:sz w:val="24"/>
                <w:szCs w:val="24"/>
                <w:lang w:val="en-GB"/>
              </w:rPr>
              <w:t>CTCAE grade 3</w:t>
            </w:r>
          </w:p>
        </w:tc>
        <w:tc>
          <w:tcPr>
            <w:tcW w:w="1984" w:type="dxa"/>
            <w:tcBorders>
              <w:top w:val="single" w:sz="4" w:space="0" w:color="auto"/>
              <w:left w:val="single" w:sz="4" w:space="0" w:color="auto"/>
              <w:bottom w:val="single" w:sz="4" w:space="0" w:color="auto"/>
              <w:right w:val="single" w:sz="4" w:space="0" w:color="auto"/>
            </w:tcBorders>
            <w:hideMark/>
          </w:tcPr>
          <w:p w14:paraId="15FAF8C4" w14:textId="77777777" w:rsidR="0078138E" w:rsidRPr="009B509D" w:rsidRDefault="0078138E" w:rsidP="00762250">
            <w:pPr>
              <w:jc w:val="center"/>
              <w:rPr>
                <w:sz w:val="24"/>
                <w:szCs w:val="24"/>
                <w:lang w:val="en-GB"/>
              </w:rPr>
            </w:pPr>
            <w:r w:rsidRPr="009B509D">
              <w:rPr>
                <w:sz w:val="24"/>
                <w:szCs w:val="24"/>
                <w:lang w:val="en-GB"/>
              </w:rPr>
              <w:t>-</w:t>
            </w:r>
            <w:r w:rsidRPr="009B509D">
              <w:rPr>
                <w:sz w:val="24"/>
                <w:szCs w:val="24"/>
                <w:vertAlign w:val="superscript"/>
                <w:lang w:val="en-GB"/>
              </w:rPr>
              <w:t>6</w:t>
            </w:r>
          </w:p>
        </w:tc>
        <w:tc>
          <w:tcPr>
            <w:tcW w:w="1560" w:type="dxa"/>
            <w:tcBorders>
              <w:top w:val="single" w:sz="4" w:space="0" w:color="auto"/>
              <w:left w:val="single" w:sz="4" w:space="0" w:color="auto"/>
              <w:bottom w:val="single" w:sz="4" w:space="0" w:color="auto"/>
              <w:right w:val="single" w:sz="4" w:space="0" w:color="auto"/>
            </w:tcBorders>
            <w:hideMark/>
          </w:tcPr>
          <w:p w14:paraId="582621E9" w14:textId="77777777" w:rsidR="0078138E" w:rsidRPr="009B509D" w:rsidRDefault="0078138E" w:rsidP="00762250">
            <w:pPr>
              <w:jc w:val="center"/>
              <w:rPr>
                <w:sz w:val="24"/>
                <w:szCs w:val="24"/>
                <w:lang w:val="en-GB"/>
              </w:rPr>
            </w:pPr>
            <w:r w:rsidRPr="009B509D">
              <w:rPr>
                <w:sz w:val="24"/>
                <w:szCs w:val="24"/>
                <w:lang w:val="en-GB"/>
              </w:rPr>
              <w:t>-</w:t>
            </w:r>
            <w:r w:rsidRPr="009B509D">
              <w:rPr>
                <w:sz w:val="24"/>
                <w:szCs w:val="24"/>
                <w:vertAlign w:val="superscript"/>
                <w:lang w:val="en-GB"/>
              </w:rPr>
              <w:t>6</w:t>
            </w:r>
          </w:p>
        </w:tc>
        <w:tc>
          <w:tcPr>
            <w:tcW w:w="1559" w:type="dxa"/>
            <w:tcBorders>
              <w:top w:val="single" w:sz="4" w:space="0" w:color="auto"/>
              <w:left w:val="single" w:sz="4" w:space="0" w:color="auto"/>
              <w:bottom w:val="single" w:sz="4" w:space="0" w:color="auto"/>
              <w:right w:val="single" w:sz="4" w:space="0" w:color="auto"/>
            </w:tcBorders>
            <w:hideMark/>
          </w:tcPr>
          <w:p w14:paraId="49EFD603" w14:textId="77777777" w:rsidR="0078138E" w:rsidRPr="009B509D" w:rsidRDefault="0078138E" w:rsidP="00762250">
            <w:pPr>
              <w:jc w:val="center"/>
              <w:rPr>
                <w:sz w:val="24"/>
                <w:szCs w:val="24"/>
                <w:lang w:val="en-GB"/>
              </w:rPr>
            </w:pPr>
            <w:r w:rsidRPr="009B509D">
              <w:rPr>
                <w:sz w:val="24"/>
                <w:szCs w:val="24"/>
                <w:lang w:val="en-GB"/>
              </w:rPr>
              <w:t>Common</w:t>
            </w:r>
          </w:p>
        </w:tc>
        <w:tc>
          <w:tcPr>
            <w:tcW w:w="1559" w:type="dxa"/>
            <w:tcBorders>
              <w:top w:val="single" w:sz="4" w:space="0" w:color="auto"/>
              <w:left w:val="single" w:sz="4" w:space="0" w:color="auto"/>
              <w:bottom w:val="single" w:sz="4" w:space="0" w:color="auto"/>
              <w:right w:val="single" w:sz="4" w:space="0" w:color="auto"/>
            </w:tcBorders>
            <w:hideMark/>
          </w:tcPr>
          <w:p w14:paraId="10F22049" w14:textId="77777777" w:rsidR="0078138E" w:rsidRPr="009B509D" w:rsidRDefault="0078138E" w:rsidP="00762250">
            <w:pPr>
              <w:jc w:val="center"/>
              <w:rPr>
                <w:sz w:val="24"/>
                <w:szCs w:val="24"/>
                <w:lang w:val="en-GB"/>
              </w:rPr>
            </w:pPr>
            <w:r w:rsidRPr="009B509D">
              <w:rPr>
                <w:sz w:val="24"/>
                <w:szCs w:val="24"/>
                <w:lang w:val="en-GB"/>
              </w:rPr>
              <w:t>Common</w:t>
            </w:r>
          </w:p>
        </w:tc>
      </w:tr>
      <w:tr w:rsidR="0078138E" w:rsidRPr="009B509D" w14:paraId="149E0804"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67E6BA94" w14:textId="77777777" w:rsidR="0078138E" w:rsidRPr="009B509D" w:rsidRDefault="0078138E" w:rsidP="00762250">
            <w:pPr>
              <w:ind w:left="284"/>
              <w:rPr>
                <w:sz w:val="24"/>
                <w:szCs w:val="24"/>
                <w:lang w:val="en-GB"/>
              </w:rPr>
            </w:pPr>
            <w:r w:rsidRPr="009B509D">
              <w:rPr>
                <w:sz w:val="24"/>
                <w:szCs w:val="24"/>
                <w:lang w:val="en-GB"/>
              </w:rPr>
              <w:t>CTCAE grade 4</w:t>
            </w:r>
          </w:p>
        </w:tc>
        <w:tc>
          <w:tcPr>
            <w:tcW w:w="1984" w:type="dxa"/>
            <w:tcBorders>
              <w:top w:val="single" w:sz="4" w:space="0" w:color="auto"/>
              <w:left w:val="single" w:sz="4" w:space="0" w:color="auto"/>
              <w:bottom w:val="single" w:sz="4" w:space="0" w:color="auto"/>
              <w:right w:val="single" w:sz="4" w:space="0" w:color="auto"/>
            </w:tcBorders>
            <w:hideMark/>
          </w:tcPr>
          <w:p w14:paraId="1990AC0A" w14:textId="77777777" w:rsidR="0078138E" w:rsidRPr="009B509D" w:rsidRDefault="0078138E" w:rsidP="00762250">
            <w:pPr>
              <w:jc w:val="center"/>
              <w:rPr>
                <w:sz w:val="24"/>
                <w:szCs w:val="24"/>
                <w:lang w:val="en-GB"/>
              </w:rPr>
            </w:pPr>
            <w:r w:rsidRPr="009B509D">
              <w:rPr>
                <w:sz w:val="24"/>
                <w:szCs w:val="24"/>
                <w:lang w:val="en-GB"/>
              </w:rPr>
              <w:t>-</w:t>
            </w:r>
            <w:r w:rsidRPr="009B509D">
              <w:rPr>
                <w:sz w:val="24"/>
                <w:szCs w:val="24"/>
                <w:vertAlign w:val="superscript"/>
                <w:lang w:val="en-GB"/>
              </w:rPr>
              <w:t>6</w:t>
            </w:r>
          </w:p>
        </w:tc>
        <w:tc>
          <w:tcPr>
            <w:tcW w:w="1560" w:type="dxa"/>
            <w:tcBorders>
              <w:top w:val="single" w:sz="4" w:space="0" w:color="auto"/>
              <w:left w:val="single" w:sz="4" w:space="0" w:color="auto"/>
              <w:bottom w:val="single" w:sz="4" w:space="0" w:color="auto"/>
              <w:right w:val="single" w:sz="4" w:space="0" w:color="auto"/>
            </w:tcBorders>
            <w:hideMark/>
          </w:tcPr>
          <w:p w14:paraId="5E24C12A" w14:textId="77777777" w:rsidR="0078138E" w:rsidRPr="009B509D" w:rsidRDefault="0078138E" w:rsidP="00762250">
            <w:pPr>
              <w:jc w:val="center"/>
              <w:rPr>
                <w:sz w:val="24"/>
                <w:szCs w:val="24"/>
                <w:lang w:val="en-GB"/>
              </w:rPr>
            </w:pPr>
            <w:r w:rsidRPr="009B509D">
              <w:rPr>
                <w:sz w:val="24"/>
                <w:szCs w:val="24"/>
                <w:lang w:val="en-GB"/>
              </w:rPr>
              <w:t>-</w:t>
            </w:r>
            <w:r w:rsidRPr="009B509D">
              <w:rPr>
                <w:sz w:val="24"/>
                <w:szCs w:val="24"/>
                <w:vertAlign w:val="superscript"/>
                <w:lang w:val="en-GB"/>
              </w:rPr>
              <w:t>6</w:t>
            </w:r>
          </w:p>
        </w:tc>
        <w:tc>
          <w:tcPr>
            <w:tcW w:w="1559" w:type="dxa"/>
            <w:tcBorders>
              <w:top w:val="single" w:sz="4" w:space="0" w:color="auto"/>
              <w:left w:val="single" w:sz="4" w:space="0" w:color="auto"/>
              <w:bottom w:val="single" w:sz="4" w:space="0" w:color="auto"/>
              <w:right w:val="single" w:sz="4" w:space="0" w:color="auto"/>
            </w:tcBorders>
            <w:hideMark/>
          </w:tcPr>
          <w:p w14:paraId="431357AD" w14:textId="77777777" w:rsidR="0078138E" w:rsidRPr="009B509D" w:rsidRDefault="0078138E" w:rsidP="00762250">
            <w:pPr>
              <w:jc w:val="center"/>
              <w:rPr>
                <w:sz w:val="24"/>
                <w:szCs w:val="24"/>
                <w:lang w:val="en-GB"/>
              </w:rPr>
            </w:pPr>
            <w:r w:rsidRPr="009B509D">
              <w:rPr>
                <w:sz w:val="24"/>
                <w:szCs w:val="24"/>
                <w:lang w:val="en-GB"/>
              </w:rPr>
              <w:t>Common</w:t>
            </w:r>
          </w:p>
        </w:tc>
        <w:tc>
          <w:tcPr>
            <w:tcW w:w="1559" w:type="dxa"/>
            <w:tcBorders>
              <w:top w:val="single" w:sz="4" w:space="0" w:color="auto"/>
              <w:left w:val="single" w:sz="4" w:space="0" w:color="auto"/>
              <w:bottom w:val="single" w:sz="4" w:space="0" w:color="auto"/>
              <w:right w:val="single" w:sz="4" w:space="0" w:color="auto"/>
            </w:tcBorders>
            <w:hideMark/>
          </w:tcPr>
          <w:p w14:paraId="58176582" w14:textId="77777777" w:rsidR="0078138E" w:rsidRPr="009B509D" w:rsidRDefault="0078138E" w:rsidP="00762250">
            <w:pPr>
              <w:jc w:val="center"/>
              <w:rPr>
                <w:sz w:val="24"/>
                <w:szCs w:val="24"/>
                <w:lang w:val="en-GB"/>
              </w:rPr>
            </w:pPr>
            <w:r w:rsidRPr="009B509D">
              <w:rPr>
                <w:sz w:val="24"/>
                <w:szCs w:val="24"/>
                <w:lang w:val="en-GB"/>
              </w:rPr>
              <w:t>N/A</w:t>
            </w:r>
            <w:r w:rsidRPr="009B509D">
              <w:rPr>
                <w:sz w:val="24"/>
                <w:szCs w:val="24"/>
                <w:vertAlign w:val="superscript"/>
                <w:lang w:val="en-GB"/>
              </w:rPr>
              <w:t>5</w:t>
            </w:r>
          </w:p>
        </w:tc>
      </w:tr>
      <w:tr w:rsidR="0078138E" w:rsidRPr="009B509D" w14:paraId="471FF3EC"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0DA6487D" w14:textId="77777777" w:rsidR="0078138E" w:rsidRPr="009B509D" w:rsidRDefault="0078138E" w:rsidP="00882574">
            <w:pPr>
              <w:rPr>
                <w:sz w:val="24"/>
                <w:szCs w:val="24"/>
                <w:lang w:val="en-GB"/>
              </w:rPr>
            </w:pPr>
            <w:r w:rsidRPr="009B509D">
              <w:rPr>
                <w:sz w:val="24"/>
                <w:szCs w:val="24"/>
                <w:lang w:val="en-GB"/>
              </w:rPr>
              <w:t>Nausea</w:t>
            </w:r>
          </w:p>
        </w:tc>
        <w:tc>
          <w:tcPr>
            <w:tcW w:w="1984" w:type="dxa"/>
            <w:tcBorders>
              <w:top w:val="single" w:sz="4" w:space="0" w:color="auto"/>
              <w:left w:val="single" w:sz="4" w:space="0" w:color="auto"/>
              <w:bottom w:val="single" w:sz="4" w:space="0" w:color="auto"/>
              <w:right w:val="single" w:sz="4" w:space="0" w:color="auto"/>
            </w:tcBorders>
            <w:hideMark/>
          </w:tcPr>
          <w:p w14:paraId="3F379E61" w14:textId="77777777" w:rsidR="0078138E" w:rsidRPr="009B509D" w:rsidRDefault="0078138E" w:rsidP="00762250">
            <w:pPr>
              <w:jc w:val="center"/>
              <w:rPr>
                <w:sz w:val="24"/>
                <w:szCs w:val="24"/>
                <w:lang w:val="en-GB"/>
              </w:rPr>
            </w:pPr>
            <w:r w:rsidRPr="009B509D">
              <w:rPr>
                <w:sz w:val="24"/>
                <w:szCs w:val="24"/>
                <w:lang w:val="en-GB"/>
              </w:rPr>
              <w:t>Very common</w:t>
            </w:r>
          </w:p>
        </w:tc>
        <w:tc>
          <w:tcPr>
            <w:tcW w:w="1560" w:type="dxa"/>
            <w:tcBorders>
              <w:top w:val="single" w:sz="4" w:space="0" w:color="auto"/>
              <w:left w:val="single" w:sz="4" w:space="0" w:color="auto"/>
              <w:bottom w:val="single" w:sz="4" w:space="0" w:color="auto"/>
              <w:right w:val="single" w:sz="4" w:space="0" w:color="auto"/>
            </w:tcBorders>
            <w:hideMark/>
          </w:tcPr>
          <w:p w14:paraId="53C3C734" w14:textId="77777777" w:rsidR="0078138E" w:rsidRPr="009B509D" w:rsidRDefault="0078138E" w:rsidP="00762250">
            <w:pPr>
              <w:jc w:val="center"/>
              <w:rPr>
                <w:sz w:val="24"/>
                <w:szCs w:val="24"/>
                <w:lang w:val="en-GB"/>
              </w:rPr>
            </w:pPr>
            <w:r w:rsidRPr="009B509D">
              <w:rPr>
                <w:sz w:val="24"/>
                <w:szCs w:val="24"/>
                <w:lang w:val="en-GB"/>
              </w:rPr>
              <w:t>Common</w:t>
            </w:r>
          </w:p>
        </w:tc>
        <w:tc>
          <w:tcPr>
            <w:tcW w:w="1559" w:type="dxa"/>
            <w:tcBorders>
              <w:top w:val="single" w:sz="4" w:space="0" w:color="auto"/>
              <w:left w:val="single" w:sz="4" w:space="0" w:color="auto"/>
              <w:bottom w:val="single" w:sz="4" w:space="0" w:color="auto"/>
              <w:right w:val="single" w:sz="4" w:space="0" w:color="auto"/>
            </w:tcBorders>
            <w:hideMark/>
          </w:tcPr>
          <w:p w14:paraId="18BDF92C" w14:textId="77777777" w:rsidR="0078138E" w:rsidRPr="009B509D" w:rsidRDefault="0078138E" w:rsidP="00762250">
            <w:pPr>
              <w:jc w:val="center"/>
              <w:rPr>
                <w:sz w:val="24"/>
                <w:szCs w:val="24"/>
                <w:lang w:val="en-GB"/>
              </w:rPr>
            </w:pPr>
            <w:r w:rsidRPr="009B509D">
              <w:rPr>
                <w:sz w:val="24"/>
                <w:szCs w:val="24"/>
                <w:lang w:val="en-GB"/>
              </w:rPr>
              <w:t>-</w:t>
            </w:r>
            <w:r w:rsidRPr="009B509D">
              <w:rPr>
                <w:sz w:val="24"/>
                <w:szCs w:val="24"/>
                <w:vertAlign w:val="superscript"/>
                <w:lang w:val="en-GB"/>
              </w:rPr>
              <w:t>6</w:t>
            </w:r>
          </w:p>
        </w:tc>
        <w:tc>
          <w:tcPr>
            <w:tcW w:w="1559" w:type="dxa"/>
            <w:tcBorders>
              <w:top w:val="single" w:sz="4" w:space="0" w:color="auto"/>
              <w:left w:val="single" w:sz="4" w:space="0" w:color="auto"/>
              <w:bottom w:val="single" w:sz="4" w:space="0" w:color="auto"/>
              <w:right w:val="single" w:sz="4" w:space="0" w:color="auto"/>
            </w:tcBorders>
            <w:hideMark/>
          </w:tcPr>
          <w:p w14:paraId="4B0CDA4F" w14:textId="77777777" w:rsidR="0078138E" w:rsidRPr="009B509D" w:rsidRDefault="0078138E" w:rsidP="00762250">
            <w:pPr>
              <w:jc w:val="center"/>
              <w:rPr>
                <w:sz w:val="24"/>
                <w:szCs w:val="24"/>
                <w:lang w:val="en-GB"/>
              </w:rPr>
            </w:pPr>
            <w:r w:rsidRPr="009B509D">
              <w:rPr>
                <w:sz w:val="24"/>
                <w:szCs w:val="24"/>
                <w:lang w:val="en-GB"/>
              </w:rPr>
              <w:t>-</w:t>
            </w:r>
            <w:r w:rsidRPr="009B509D">
              <w:rPr>
                <w:sz w:val="24"/>
                <w:szCs w:val="24"/>
                <w:vertAlign w:val="superscript"/>
                <w:lang w:val="en-GB"/>
              </w:rPr>
              <w:t>6</w:t>
            </w:r>
          </w:p>
        </w:tc>
      </w:tr>
      <w:tr w:rsidR="0078138E" w:rsidRPr="009B509D" w14:paraId="3A806B8F"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2FDD7BCD" w14:textId="77777777" w:rsidR="0078138E" w:rsidRPr="009B509D" w:rsidRDefault="0078138E" w:rsidP="00762250">
            <w:pPr>
              <w:ind w:left="284"/>
              <w:rPr>
                <w:sz w:val="24"/>
                <w:szCs w:val="24"/>
                <w:lang w:val="en-GB"/>
              </w:rPr>
            </w:pPr>
            <w:r w:rsidRPr="009B509D">
              <w:rPr>
                <w:sz w:val="24"/>
                <w:szCs w:val="24"/>
                <w:lang w:val="en-GB"/>
              </w:rPr>
              <w:t>CTCAE grade ≥3</w:t>
            </w:r>
          </w:p>
        </w:tc>
        <w:tc>
          <w:tcPr>
            <w:tcW w:w="1984" w:type="dxa"/>
            <w:tcBorders>
              <w:top w:val="single" w:sz="4" w:space="0" w:color="auto"/>
              <w:left w:val="single" w:sz="4" w:space="0" w:color="auto"/>
              <w:bottom w:val="single" w:sz="4" w:space="0" w:color="auto"/>
              <w:right w:val="single" w:sz="4" w:space="0" w:color="auto"/>
            </w:tcBorders>
            <w:hideMark/>
          </w:tcPr>
          <w:p w14:paraId="5EE343DC" w14:textId="77777777" w:rsidR="0078138E" w:rsidRPr="009B509D" w:rsidRDefault="0078138E" w:rsidP="00762250">
            <w:pPr>
              <w:jc w:val="center"/>
              <w:rPr>
                <w:sz w:val="24"/>
                <w:szCs w:val="24"/>
                <w:lang w:val="en-GB"/>
              </w:rPr>
            </w:pPr>
            <w:r w:rsidRPr="009B509D">
              <w:rPr>
                <w:sz w:val="24"/>
                <w:szCs w:val="24"/>
                <w:lang w:val="en-GB"/>
              </w:rPr>
              <w:t>Uncommon</w:t>
            </w:r>
          </w:p>
        </w:tc>
        <w:tc>
          <w:tcPr>
            <w:tcW w:w="1560" w:type="dxa"/>
            <w:tcBorders>
              <w:top w:val="single" w:sz="4" w:space="0" w:color="auto"/>
              <w:left w:val="single" w:sz="4" w:space="0" w:color="auto"/>
              <w:bottom w:val="single" w:sz="4" w:space="0" w:color="auto"/>
              <w:right w:val="single" w:sz="4" w:space="0" w:color="auto"/>
            </w:tcBorders>
            <w:hideMark/>
          </w:tcPr>
          <w:p w14:paraId="4FAF2756" w14:textId="77777777" w:rsidR="0078138E" w:rsidRPr="009B509D" w:rsidRDefault="0078138E" w:rsidP="00762250">
            <w:pPr>
              <w:jc w:val="center"/>
              <w:rPr>
                <w:sz w:val="24"/>
                <w:szCs w:val="24"/>
                <w:lang w:val="en-GB"/>
              </w:rPr>
            </w:pPr>
            <w:r w:rsidRPr="009B509D">
              <w:rPr>
                <w:sz w:val="24"/>
                <w:szCs w:val="24"/>
                <w:lang w:val="en-GB"/>
              </w:rPr>
              <w:t>N/A</w:t>
            </w:r>
            <w:r w:rsidRPr="009B509D">
              <w:rPr>
                <w:sz w:val="24"/>
                <w:szCs w:val="24"/>
                <w:vertAlign w:val="superscript"/>
                <w:lang w:val="en-GB"/>
              </w:rPr>
              <w:t>5</w:t>
            </w:r>
          </w:p>
        </w:tc>
        <w:tc>
          <w:tcPr>
            <w:tcW w:w="1559" w:type="dxa"/>
            <w:tcBorders>
              <w:top w:val="single" w:sz="4" w:space="0" w:color="auto"/>
              <w:left w:val="single" w:sz="4" w:space="0" w:color="auto"/>
              <w:bottom w:val="single" w:sz="4" w:space="0" w:color="auto"/>
              <w:right w:val="single" w:sz="4" w:space="0" w:color="auto"/>
            </w:tcBorders>
            <w:hideMark/>
          </w:tcPr>
          <w:p w14:paraId="0D84F4F9" w14:textId="77777777" w:rsidR="0078138E" w:rsidRPr="009B509D" w:rsidRDefault="0078138E" w:rsidP="00762250">
            <w:pPr>
              <w:jc w:val="center"/>
              <w:rPr>
                <w:sz w:val="24"/>
                <w:szCs w:val="24"/>
                <w:lang w:val="en-GB"/>
              </w:rPr>
            </w:pPr>
            <w:r w:rsidRPr="009B509D">
              <w:rPr>
                <w:sz w:val="24"/>
                <w:szCs w:val="24"/>
                <w:lang w:val="en-GB"/>
              </w:rPr>
              <w:t>-</w:t>
            </w:r>
            <w:r w:rsidRPr="009B509D">
              <w:rPr>
                <w:sz w:val="24"/>
                <w:szCs w:val="24"/>
                <w:vertAlign w:val="superscript"/>
                <w:lang w:val="en-GB"/>
              </w:rPr>
              <w:t>6</w:t>
            </w:r>
          </w:p>
        </w:tc>
        <w:tc>
          <w:tcPr>
            <w:tcW w:w="1559" w:type="dxa"/>
            <w:tcBorders>
              <w:top w:val="single" w:sz="4" w:space="0" w:color="auto"/>
              <w:left w:val="single" w:sz="4" w:space="0" w:color="auto"/>
              <w:bottom w:val="single" w:sz="4" w:space="0" w:color="auto"/>
              <w:right w:val="single" w:sz="4" w:space="0" w:color="auto"/>
            </w:tcBorders>
            <w:hideMark/>
          </w:tcPr>
          <w:p w14:paraId="40B6A90F" w14:textId="77777777" w:rsidR="0078138E" w:rsidRPr="009B509D" w:rsidRDefault="0078138E" w:rsidP="00762250">
            <w:pPr>
              <w:jc w:val="center"/>
              <w:rPr>
                <w:sz w:val="24"/>
                <w:szCs w:val="24"/>
                <w:lang w:val="en-GB"/>
              </w:rPr>
            </w:pPr>
            <w:r w:rsidRPr="009B509D">
              <w:rPr>
                <w:sz w:val="24"/>
                <w:szCs w:val="24"/>
                <w:lang w:val="en-GB"/>
              </w:rPr>
              <w:t>-</w:t>
            </w:r>
            <w:r w:rsidRPr="009B509D">
              <w:rPr>
                <w:sz w:val="24"/>
                <w:szCs w:val="24"/>
                <w:vertAlign w:val="superscript"/>
                <w:lang w:val="en-GB"/>
              </w:rPr>
              <w:t>6</w:t>
            </w:r>
          </w:p>
        </w:tc>
      </w:tr>
      <w:tr w:rsidR="0078138E" w:rsidRPr="009B509D" w14:paraId="2E762723"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6BAB0EE2" w14:textId="77777777" w:rsidR="0078138E" w:rsidRPr="009B509D" w:rsidRDefault="0078138E" w:rsidP="00882574">
            <w:pPr>
              <w:rPr>
                <w:sz w:val="24"/>
                <w:szCs w:val="24"/>
                <w:lang w:val="en-GB"/>
              </w:rPr>
            </w:pPr>
            <w:r w:rsidRPr="009B509D">
              <w:rPr>
                <w:sz w:val="24"/>
                <w:szCs w:val="24"/>
                <w:lang w:val="en-GB"/>
              </w:rPr>
              <w:t>Constipation</w:t>
            </w:r>
          </w:p>
        </w:tc>
        <w:tc>
          <w:tcPr>
            <w:tcW w:w="1984" w:type="dxa"/>
            <w:tcBorders>
              <w:top w:val="single" w:sz="4" w:space="0" w:color="auto"/>
              <w:left w:val="single" w:sz="4" w:space="0" w:color="auto"/>
              <w:bottom w:val="single" w:sz="4" w:space="0" w:color="auto"/>
              <w:right w:val="single" w:sz="4" w:space="0" w:color="auto"/>
            </w:tcBorders>
            <w:hideMark/>
          </w:tcPr>
          <w:p w14:paraId="1C66EE50" w14:textId="77777777" w:rsidR="0078138E" w:rsidRPr="009B509D" w:rsidRDefault="0078138E" w:rsidP="00762250">
            <w:pPr>
              <w:jc w:val="center"/>
              <w:rPr>
                <w:sz w:val="24"/>
                <w:szCs w:val="24"/>
                <w:lang w:val="en-GB"/>
              </w:rPr>
            </w:pPr>
            <w:r w:rsidRPr="009B509D">
              <w:rPr>
                <w:sz w:val="24"/>
                <w:szCs w:val="24"/>
                <w:lang w:val="en-GB"/>
              </w:rPr>
              <w:t>-</w:t>
            </w:r>
            <w:r w:rsidRPr="009B509D">
              <w:rPr>
                <w:sz w:val="24"/>
                <w:szCs w:val="24"/>
                <w:vertAlign w:val="superscript"/>
                <w:lang w:val="en-GB"/>
              </w:rPr>
              <w:t>6</w:t>
            </w:r>
          </w:p>
        </w:tc>
        <w:tc>
          <w:tcPr>
            <w:tcW w:w="1560" w:type="dxa"/>
            <w:tcBorders>
              <w:top w:val="single" w:sz="4" w:space="0" w:color="auto"/>
              <w:left w:val="single" w:sz="4" w:space="0" w:color="auto"/>
              <w:bottom w:val="single" w:sz="4" w:space="0" w:color="auto"/>
              <w:right w:val="single" w:sz="4" w:space="0" w:color="auto"/>
            </w:tcBorders>
            <w:hideMark/>
          </w:tcPr>
          <w:p w14:paraId="33D1306E" w14:textId="77777777" w:rsidR="0078138E" w:rsidRPr="009B509D" w:rsidRDefault="0078138E" w:rsidP="00762250">
            <w:pPr>
              <w:jc w:val="center"/>
              <w:rPr>
                <w:sz w:val="24"/>
                <w:szCs w:val="24"/>
                <w:lang w:val="en-GB"/>
              </w:rPr>
            </w:pPr>
            <w:r w:rsidRPr="009B509D">
              <w:rPr>
                <w:sz w:val="24"/>
                <w:szCs w:val="24"/>
                <w:lang w:val="en-GB"/>
              </w:rPr>
              <w:t>-</w:t>
            </w:r>
            <w:r w:rsidRPr="009B509D">
              <w:rPr>
                <w:sz w:val="24"/>
                <w:szCs w:val="24"/>
                <w:vertAlign w:val="superscript"/>
                <w:lang w:val="en-GB"/>
              </w:rPr>
              <w:t>6</w:t>
            </w:r>
          </w:p>
        </w:tc>
        <w:tc>
          <w:tcPr>
            <w:tcW w:w="1559" w:type="dxa"/>
            <w:tcBorders>
              <w:top w:val="single" w:sz="4" w:space="0" w:color="auto"/>
              <w:left w:val="single" w:sz="4" w:space="0" w:color="auto"/>
              <w:bottom w:val="single" w:sz="4" w:space="0" w:color="auto"/>
              <w:right w:val="single" w:sz="4" w:space="0" w:color="auto"/>
            </w:tcBorders>
            <w:hideMark/>
          </w:tcPr>
          <w:p w14:paraId="7B3BBCBB" w14:textId="77777777" w:rsidR="0078138E" w:rsidRPr="009B509D" w:rsidRDefault="0078138E" w:rsidP="00762250">
            <w:pPr>
              <w:jc w:val="center"/>
              <w:rPr>
                <w:sz w:val="24"/>
                <w:szCs w:val="24"/>
                <w:lang w:val="en-GB"/>
              </w:rPr>
            </w:pPr>
            <w:r w:rsidRPr="009B509D">
              <w:rPr>
                <w:sz w:val="24"/>
                <w:szCs w:val="24"/>
                <w:lang w:val="en-GB"/>
              </w:rPr>
              <w:t>Common</w:t>
            </w:r>
          </w:p>
        </w:tc>
        <w:tc>
          <w:tcPr>
            <w:tcW w:w="1559" w:type="dxa"/>
            <w:tcBorders>
              <w:top w:val="single" w:sz="4" w:space="0" w:color="auto"/>
              <w:left w:val="single" w:sz="4" w:space="0" w:color="auto"/>
              <w:bottom w:val="single" w:sz="4" w:space="0" w:color="auto"/>
              <w:right w:val="single" w:sz="4" w:space="0" w:color="auto"/>
            </w:tcBorders>
            <w:hideMark/>
          </w:tcPr>
          <w:p w14:paraId="3DC44ACB" w14:textId="77777777" w:rsidR="0078138E" w:rsidRPr="009B509D" w:rsidRDefault="0078138E" w:rsidP="00762250">
            <w:pPr>
              <w:jc w:val="center"/>
              <w:rPr>
                <w:sz w:val="24"/>
                <w:szCs w:val="24"/>
                <w:lang w:val="en-GB"/>
              </w:rPr>
            </w:pPr>
            <w:r w:rsidRPr="009B509D">
              <w:rPr>
                <w:sz w:val="24"/>
                <w:szCs w:val="24"/>
                <w:lang w:val="en-GB"/>
              </w:rPr>
              <w:t>Common</w:t>
            </w:r>
          </w:p>
        </w:tc>
      </w:tr>
      <w:tr w:rsidR="0078138E" w:rsidRPr="009B509D" w14:paraId="488518C0"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05C837F2" w14:textId="77777777" w:rsidR="0078138E" w:rsidRPr="009B509D" w:rsidRDefault="0078138E" w:rsidP="00762250">
            <w:pPr>
              <w:ind w:left="284"/>
              <w:rPr>
                <w:sz w:val="24"/>
                <w:szCs w:val="24"/>
                <w:lang w:val="en-GB"/>
              </w:rPr>
            </w:pPr>
            <w:r w:rsidRPr="009B509D">
              <w:rPr>
                <w:sz w:val="24"/>
                <w:szCs w:val="24"/>
                <w:lang w:val="en-GB"/>
              </w:rPr>
              <w:t>CTCAE grade ≥3</w:t>
            </w:r>
          </w:p>
        </w:tc>
        <w:tc>
          <w:tcPr>
            <w:tcW w:w="1984" w:type="dxa"/>
            <w:tcBorders>
              <w:top w:val="single" w:sz="4" w:space="0" w:color="auto"/>
              <w:left w:val="single" w:sz="4" w:space="0" w:color="auto"/>
              <w:bottom w:val="single" w:sz="4" w:space="0" w:color="auto"/>
              <w:right w:val="single" w:sz="4" w:space="0" w:color="auto"/>
            </w:tcBorders>
            <w:hideMark/>
          </w:tcPr>
          <w:p w14:paraId="6D16E44D" w14:textId="77777777" w:rsidR="0078138E" w:rsidRPr="009B509D" w:rsidRDefault="0078138E" w:rsidP="00762250">
            <w:pPr>
              <w:jc w:val="center"/>
              <w:rPr>
                <w:sz w:val="24"/>
                <w:szCs w:val="24"/>
                <w:lang w:val="en-GB"/>
              </w:rPr>
            </w:pPr>
            <w:r w:rsidRPr="009B509D">
              <w:rPr>
                <w:sz w:val="24"/>
                <w:szCs w:val="24"/>
                <w:lang w:val="en-GB"/>
              </w:rPr>
              <w:t>-</w:t>
            </w:r>
            <w:r w:rsidRPr="009B509D">
              <w:rPr>
                <w:sz w:val="24"/>
                <w:szCs w:val="24"/>
                <w:vertAlign w:val="superscript"/>
                <w:lang w:val="en-GB"/>
              </w:rPr>
              <w:t>6</w:t>
            </w:r>
          </w:p>
        </w:tc>
        <w:tc>
          <w:tcPr>
            <w:tcW w:w="1560" w:type="dxa"/>
            <w:tcBorders>
              <w:top w:val="single" w:sz="4" w:space="0" w:color="auto"/>
              <w:left w:val="single" w:sz="4" w:space="0" w:color="auto"/>
              <w:bottom w:val="single" w:sz="4" w:space="0" w:color="auto"/>
              <w:right w:val="single" w:sz="4" w:space="0" w:color="auto"/>
            </w:tcBorders>
            <w:hideMark/>
          </w:tcPr>
          <w:p w14:paraId="22415051" w14:textId="77777777" w:rsidR="0078138E" w:rsidRPr="009B509D" w:rsidRDefault="0078138E" w:rsidP="00762250">
            <w:pPr>
              <w:jc w:val="center"/>
              <w:rPr>
                <w:sz w:val="24"/>
                <w:szCs w:val="24"/>
                <w:lang w:val="en-GB"/>
              </w:rPr>
            </w:pPr>
            <w:r w:rsidRPr="009B509D">
              <w:rPr>
                <w:sz w:val="24"/>
                <w:szCs w:val="24"/>
                <w:lang w:val="en-GB"/>
              </w:rPr>
              <w:t>-</w:t>
            </w:r>
            <w:r w:rsidRPr="009B509D">
              <w:rPr>
                <w:sz w:val="24"/>
                <w:szCs w:val="24"/>
                <w:vertAlign w:val="superscript"/>
                <w:lang w:val="en-GB"/>
              </w:rPr>
              <w:t>6</w:t>
            </w:r>
          </w:p>
        </w:tc>
        <w:tc>
          <w:tcPr>
            <w:tcW w:w="1559" w:type="dxa"/>
            <w:tcBorders>
              <w:top w:val="single" w:sz="4" w:space="0" w:color="auto"/>
              <w:left w:val="single" w:sz="4" w:space="0" w:color="auto"/>
              <w:bottom w:val="single" w:sz="4" w:space="0" w:color="auto"/>
              <w:right w:val="single" w:sz="4" w:space="0" w:color="auto"/>
            </w:tcBorders>
            <w:hideMark/>
          </w:tcPr>
          <w:p w14:paraId="3EB2EE18" w14:textId="77777777" w:rsidR="0078138E" w:rsidRPr="009B509D" w:rsidRDefault="0078138E" w:rsidP="00762250">
            <w:pPr>
              <w:jc w:val="center"/>
              <w:rPr>
                <w:sz w:val="24"/>
                <w:szCs w:val="24"/>
                <w:lang w:val="en-GB"/>
              </w:rPr>
            </w:pPr>
            <w:r w:rsidRPr="009B509D">
              <w:rPr>
                <w:sz w:val="24"/>
                <w:szCs w:val="24"/>
                <w:lang w:val="en-GB"/>
              </w:rPr>
              <w:t>N/A</w:t>
            </w:r>
            <w:r w:rsidRPr="009B509D">
              <w:rPr>
                <w:sz w:val="24"/>
                <w:szCs w:val="24"/>
                <w:vertAlign w:val="superscript"/>
                <w:lang w:val="en-GB"/>
              </w:rPr>
              <w:t>5</w:t>
            </w:r>
          </w:p>
        </w:tc>
        <w:tc>
          <w:tcPr>
            <w:tcW w:w="1559" w:type="dxa"/>
            <w:tcBorders>
              <w:top w:val="single" w:sz="4" w:space="0" w:color="auto"/>
              <w:left w:val="single" w:sz="4" w:space="0" w:color="auto"/>
              <w:bottom w:val="single" w:sz="4" w:space="0" w:color="auto"/>
              <w:right w:val="single" w:sz="4" w:space="0" w:color="auto"/>
            </w:tcBorders>
            <w:hideMark/>
          </w:tcPr>
          <w:p w14:paraId="7164F12C" w14:textId="77777777" w:rsidR="0078138E" w:rsidRPr="009B509D" w:rsidRDefault="0078138E" w:rsidP="00762250">
            <w:pPr>
              <w:jc w:val="center"/>
              <w:rPr>
                <w:sz w:val="24"/>
                <w:szCs w:val="24"/>
                <w:lang w:val="en-GB"/>
              </w:rPr>
            </w:pPr>
            <w:r w:rsidRPr="009B509D">
              <w:rPr>
                <w:sz w:val="24"/>
                <w:szCs w:val="24"/>
                <w:lang w:val="en-GB"/>
              </w:rPr>
              <w:t>N/A</w:t>
            </w:r>
            <w:r w:rsidRPr="009B509D">
              <w:rPr>
                <w:sz w:val="24"/>
                <w:szCs w:val="24"/>
                <w:vertAlign w:val="superscript"/>
                <w:lang w:val="en-GB"/>
              </w:rPr>
              <w:t>5</w:t>
            </w:r>
          </w:p>
        </w:tc>
      </w:tr>
      <w:tr w:rsidR="0078138E" w:rsidRPr="00762250" w14:paraId="5BFEA3D5" w14:textId="77777777" w:rsidTr="0078138E">
        <w:tc>
          <w:tcPr>
            <w:tcW w:w="6204" w:type="dxa"/>
            <w:gridSpan w:val="3"/>
            <w:tcBorders>
              <w:top w:val="single" w:sz="4" w:space="0" w:color="auto"/>
              <w:left w:val="single" w:sz="4" w:space="0" w:color="auto"/>
              <w:bottom w:val="single" w:sz="4" w:space="0" w:color="auto"/>
              <w:right w:val="single" w:sz="4" w:space="0" w:color="auto"/>
            </w:tcBorders>
            <w:hideMark/>
          </w:tcPr>
          <w:p w14:paraId="351349A7" w14:textId="77777777" w:rsidR="0078138E" w:rsidRPr="00762250" w:rsidRDefault="0078138E" w:rsidP="00882574">
            <w:pPr>
              <w:rPr>
                <w:b/>
                <w:sz w:val="24"/>
                <w:szCs w:val="24"/>
                <w:lang w:val="en-GB"/>
              </w:rPr>
            </w:pPr>
            <w:r w:rsidRPr="00762250">
              <w:rPr>
                <w:b/>
                <w:sz w:val="24"/>
                <w:szCs w:val="24"/>
                <w:lang w:val="en-GB"/>
              </w:rPr>
              <w:t>Hepatobiliary disorders</w:t>
            </w:r>
          </w:p>
        </w:tc>
        <w:tc>
          <w:tcPr>
            <w:tcW w:w="1559" w:type="dxa"/>
            <w:tcBorders>
              <w:top w:val="single" w:sz="4" w:space="0" w:color="auto"/>
              <w:left w:val="single" w:sz="4" w:space="0" w:color="auto"/>
              <w:bottom w:val="single" w:sz="4" w:space="0" w:color="auto"/>
              <w:right w:val="single" w:sz="4" w:space="0" w:color="auto"/>
            </w:tcBorders>
          </w:tcPr>
          <w:p w14:paraId="3FFD6595" w14:textId="77777777" w:rsidR="0078138E" w:rsidRPr="00762250" w:rsidRDefault="0078138E" w:rsidP="00882574">
            <w:pPr>
              <w:rPr>
                <w:b/>
                <w:sz w:val="24"/>
                <w:szCs w:val="24"/>
                <w:lang w:val="en-GB"/>
              </w:rPr>
            </w:pPr>
          </w:p>
        </w:tc>
        <w:tc>
          <w:tcPr>
            <w:tcW w:w="1559" w:type="dxa"/>
            <w:tcBorders>
              <w:top w:val="single" w:sz="4" w:space="0" w:color="auto"/>
              <w:left w:val="single" w:sz="4" w:space="0" w:color="auto"/>
              <w:bottom w:val="single" w:sz="4" w:space="0" w:color="auto"/>
              <w:right w:val="single" w:sz="4" w:space="0" w:color="auto"/>
            </w:tcBorders>
          </w:tcPr>
          <w:p w14:paraId="772EDDC4" w14:textId="77777777" w:rsidR="0078138E" w:rsidRPr="00762250" w:rsidRDefault="0078138E" w:rsidP="00882574">
            <w:pPr>
              <w:rPr>
                <w:b/>
                <w:sz w:val="24"/>
                <w:szCs w:val="24"/>
                <w:lang w:val="en-GB"/>
              </w:rPr>
            </w:pPr>
          </w:p>
        </w:tc>
      </w:tr>
      <w:tr w:rsidR="0078138E" w:rsidRPr="009B509D" w14:paraId="19AF20B0"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52E0177E" w14:textId="77777777" w:rsidR="0078138E" w:rsidRPr="009B509D" w:rsidRDefault="0078138E" w:rsidP="00882574">
            <w:pPr>
              <w:rPr>
                <w:sz w:val="24"/>
                <w:szCs w:val="24"/>
                <w:lang w:val="en-GB"/>
              </w:rPr>
            </w:pPr>
            <w:r w:rsidRPr="009B509D">
              <w:rPr>
                <w:sz w:val="24"/>
                <w:szCs w:val="24"/>
                <w:lang w:val="en-GB"/>
              </w:rPr>
              <w:t>Increased alanine aminotransferase</w:t>
            </w:r>
            <w:r w:rsidRPr="009B509D">
              <w:rPr>
                <w:sz w:val="24"/>
                <w:szCs w:val="24"/>
                <w:vertAlign w:val="superscript"/>
                <w:lang w:val="en-GB"/>
              </w:rPr>
              <w:t>1</w:t>
            </w:r>
          </w:p>
        </w:tc>
        <w:tc>
          <w:tcPr>
            <w:tcW w:w="1984" w:type="dxa"/>
            <w:tcBorders>
              <w:top w:val="single" w:sz="4" w:space="0" w:color="auto"/>
              <w:left w:val="single" w:sz="4" w:space="0" w:color="auto"/>
              <w:bottom w:val="single" w:sz="4" w:space="0" w:color="auto"/>
              <w:right w:val="single" w:sz="4" w:space="0" w:color="auto"/>
            </w:tcBorders>
            <w:hideMark/>
          </w:tcPr>
          <w:p w14:paraId="79F212F0" w14:textId="77777777" w:rsidR="0078138E" w:rsidRPr="009B509D" w:rsidRDefault="0078138E" w:rsidP="00762250">
            <w:pPr>
              <w:jc w:val="center"/>
              <w:rPr>
                <w:sz w:val="24"/>
                <w:szCs w:val="24"/>
                <w:lang w:val="en-GB"/>
              </w:rPr>
            </w:pPr>
            <w:r w:rsidRPr="009B509D">
              <w:rPr>
                <w:sz w:val="24"/>
                <w:szCs w:val="24"/>
                <w:lang w:val="en-GB"/>
              </w:rPr>
              <w:t>Very common</w:t>
            </w:r>
          </w:p>
        </w:tc>
        <w:tc>
          <w:tcPr>
            <w:tcW w:w="1560" w:type="dxa"/>
            <w:tcBorders>
              <w:top w:val="single" w:sz="4" w:space="0" w:color="auto"/>
              <w:left w:val="single" w:sz="4" w:space="0" w:color="auto"/>
              <w:bottom w:val="single" w:sz="4" w:space="0" w:color="auto"/>
              <w:right w:val="single" w:sz="4" w:space="0" w:color="auto"/>
            </w:tcBorders>
            <w:hideMark/>
          </w:tcPr>
          <w:p w14:paraId="56CD7D0B" w14:textId="77777777" w:rsidR="0078138E" w:rsidRPr="009B509D" w:rsidRDefault="0078138E" w:rsidP="00762250">
            <w:pPr>
              <w:jc w:val="center"/>
              <w:rPr>
                <w:sz w:val="24"/>
                <w:szCs w:val="24"/>
                <w:lang w:val="en-GB"/>
              </w:rPr>
            </w:pPr>
            <w:r w:rsidRPr="009B509D">
              <w:rPr>
                <w:sz w:val="24"/>
                <w:szCs w:val="24"/>
                <w:lang w:val="en-GB"/>
              </w:rPr>
              <w:t>Very common</w:t>
            </w:r>
          </w:p>
        </w:tc>
        <w:tc>
          <w:tcPr>
            <w:tcW w:w="1559" w:type="dxa"/>
            <w:tcBorders>
              <w:top w:val="single" w:sz="4" w:space="0" w:color="auto"/>
              <w:left w:val="single" w:sz="4" w:space="0" w:color="auto"/>
              <w:bottom w:val="single" w:sz="4" w:space="0" w:color="auto"/>
              <w:right w:val="single" w:sz="4" w:space="0" w:color="auto"/>
            </w:tcBorders>
            <w:hideMark/>
          </w:tcPr>
          <w:p w14:paraId="2442F294" w14:textId="77777777" w:rsidR="0078138E" w:rsidRPr="009B509D" w:rsidRDefault="0078138E" w:rsidP="00762250">
            <w:pPr>
              <w:jc w:val="center"/>
              <w:rPr>
                <w:sz w:val="24"/>
                <w:szCs w:val="24"/>
                <w:lang w:val="en-GB"/>
              </w:rPr>
            </w:pPr>
            <w:r w:rsidRPr="009B509D">
              <w:rPr>
                <w:sz w:val="24"/>
                <w:szCs w:val="24"/>
                <w:lang w:val="en-GB"/>
              </w:rPr>
              <w:t>Very common</w:t>
            </w:r>
          </w:p>
        </w:tc>
        <w:tc>
          <w:tcPr>
            <w:tcW w:w="1559" w:type="dxa"/>
            <w:tcBorders>
              <w:top w:val="single" w:sz="4" w:space="0" w:color="auto"/>
              <w:left w:val="single" w:sz="4" w:space="0" w:color="auto"/>
              <w:bottom w:val="single" w:sz="4" w:space="0" w:color="auto"/>
              <w:right w:val="single" w:sz="4" w:space="0" w:color="auto"/>
            </w:tcBorders>
            <w:hideMark/>
          </w:tcPr>
          <w:p w14:paraId="3760DA9A" w14:textId="77777777" w:rsidR="0078138E" w:rsidRPr="009B509D" w:rsidRDefault="0078138E" w:rsidP="00762250">
            <w:pPr>
              <w:jc w:val="center"/>
              <w:rPr>
                <w:sz w:val="24"/>
                <w:szCs w:val="24"/>
                <w:lang w:val="en-GB"/>
              </w:rPr>
            </w:pPr>
            <w:r w:rsidRPr="009B509D">
              <w:rPr>
                <w:sz w:val="24"/>
                <w:szCs w:val="24"/>
                <w:lang w:val="en-GB"/>
              </w:rPr>
              <w:t>Very common</w:t>
            </w:r>
          </w:p>
        </w:tc>
      </w:tr>
      <w:tr w:rsidR="0078138E" w:rsidRPr="009B509D" w14:paraId="6F72C4EE"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6E85B223" w14:textId="77777777" w:rsidR="0078138E" w:rsidRPr="009B509D" w:rsidRDefault="0078138E" w:rsidP="00762250">
            <w:pPr>
              <w:ind w:left="284"/>
              <w:rPr>
                <w:sz w:val="24"/>
                <w:szCs w:val="24"/>
                <w:lang w:val="en-GB"/>
              </w:rPr>
            </w:pPr>
            <w:r w:rsidRPr="009B509D">
              <w:rPr>
                <w:sz w:val="24"/>
                <w:szCs w:val="24"/>
                <w:lang w:val="en-GB"/>
              </w:rPr>
              <w:t>CTCAE grade 3</w:t>
            </w:r>
          </w:p>
        </w:tc>
        <w:tc>
          <w:tcPr>
            <w:tcW w:w="1984" w:type="dxa"/>
            <w:tcBorders>
              <w:top w:val="single" w:sz="4" w:space="0" w:color="auto"/>
              <w:left w:val="single" w:sz="4" w:space="0" w:color="auto"/>
              <w:bottom w:val="single" w:sz="4" w:space="0" w:color="auto"/>
              <w:right w:val="single" w:sz="4" w:space="0" w:color="auto"/>
            </w:tcBorders>
            <w:hideMark/>
          </w:tcPr>
          <w:p w14:paraId="1A0FDD61" w14:textId="77777777" w:rsidR="0078138E" w:rsidRPr="009B509D" w:rsidRDefault="0078138E" w:rsidP="00762250">
            <w:pPr>
              <w:jc w:val="center"/>
              <w:rPr>
                <w:sz w:val="24"/>
                <w:szCs w:val="24"/>
                <w:lang w:val="en-GB"/>
              </w:rPr>
            </w:pPr>
            <w:r w:rsidRPr="009B509D">
              <w:rPr>
                <w:sz w:val="24"/>
                <w:szCs w:val="24"/>
                <w:lang w:val="en-GB"/>
              </w:rPr>
              <w:t>Very common</w:t>
            </w:r>
          </w:p>
        </w:tc>
        <w:tc>
          <w:tcPr>
            <w:tcW w:w="1560" w:type="dxa"/>
            <w:tcBorders>
              <w:top w:val="single" w:sz="4" w:space="0" w:color="auto"/>
              <w:left w:val="single" w:sz="4" w:space="0" w:color="auto"/>
              <w:bottom w:val="single" w:sz="4" w:space="0" w:color="auto"/>
              <w:right w:val="single" w:sz="4" w:space="0" w:color="auto"/>
            </w:tcBorders>
            <w:hideMark/>
          </w:tcPr>
          <w:p w14:paraId="6DACA508" w14:textId="77777777" w:rsidR="0078138E" w:rsidRPr="009B509D" w:rsidRDefault="0078138E" w:rsidP="00762250">
            <w:pPr>
              <w:jc w:val="center"/>
              <w:rPr>
                <w:sz w:val="24"/>
                <w:szCs w:val="24"/>
                <w:lang w:val="en-GB"/>
              </w:rPr>
            </w:pPr>
            <w:r w:rsidRPr="009B509D">
              <w:rPr>
                <w:sz w:val="24"/>
                <w:szCs w:val="24"/>
                <w:lang w:val="en-GB"/>
              </w:rPr>
              <w:t>Very common</w:t>
            </w:r>
          </w:p>
        </w:tc>
        <w:tc>
          <w:tcPr>
            <w:tcW w:w="1559" w:type="dxa"/>
            <w:tcBorders>
              <w:top w:val="single" w:sz="4" w:space="0" w:color="auto"/>
              <w:left w:val="single" w:sz="4" w:space="0" w:color="auto"/>
              <w:bottom w:val="single" w:sz="4" w:space="0" w:color="auto"/>
              <w:right w:val="single" w:sz="4" w:space="0" w:color="auto"/>
            </w:tcBorders>
            <w:hideMark/>
          </w:tcPr>
          <w:p w14:paraId="13441919" w14:textId="77777777" w:rsidR="0078138E" w:rsidRPr="009B509D" w:rsidRDefault="0078138E" w:rsidP="00762250">
            <w:pPr>
              <w:jc w:val="center"/>
              <w:rPr>
                <w:sz w:val="24"/>
                <w:szCs w:val="24"/>
                <w:lang w:val="en-GB"/>
              </w:rPr>
            </w:pPr>
            <w:r w:rsidRPr="009B509D">
              <w:rPr>
                <w:sz w:val="24"/>
                <w:szCs w:val="24"/>
                <w:lang w:val="en-GB"/>
              </w:rPr>
              <w:t>Common</w:t>
            </w:r>
          </w:p>
        </w:tc>
        <w:tc>
          <w:tcPr>
            <w:tcW w:w="1559" w:type="dxa"/>
            <w:tcBorders>
              <w:top w:val="single" w:sz="4" w:space="0" w:color="auto"/>
              <w:left w:val="single" w:sz="4" w:space="0" w:color="auto"/>
              <w:bottom w:val="single" w:sz="4" w:space="0" w:color="auto"/>
              <w:right w:val="single" w:sz="4" w:space="0" w:color="auto"/>
            </w:tcBorders>
            <w:hideMark/>
          </w:tcPr>
          <w:p w14:paraId="36838ADB" w14:textId="77777777" w:rsidR="0078138E" w:rsidRPr="009B509D" w:rsidRDefault="0078138E" w:rsidP="00762250">
            <w:pPr>
              <w:jc w:val="center"/>
              <w:rPr>
                <w:sz w:val="24"/>
                <w:szCs w:val="24"/>
                <w:lang w:val="en-GB"/>
              </w:rPr>
            </w:pPr>
            <w:r w:rsidRPr="009B509D">
              <w:rPr>
                <w:sz w:val="24"/>
                <w:szCs w:val="24"/>
                <w:lang w:val="en-GB"/>
              </w:rPr>
              <w:t>Very common</w:t>
            </w:r>
          </w:p>
        </w:tc>
      </w:tr>
      <w:tr w:rsidR="0078138E" w:rsidRPr="009B509D" w14:paraId="0561FD20"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20F9C258" w14:textId="77777777" w:rsidR="0078138E" w:rsidRPr="009B509D" w:rsidRDefault="0078138E" w:rsidP="00762250">
            <w:pPr>
              <w:ind w:left="284"/>
              <w:rPr>
                <w:sz w:val="24"/>
                <w:szCs w:val="24"/>
                <w:lang w:val="en-GB"/>
              </w:rPr>
            </w:pPr>
            <w:r w:rsidRPr="009B509D">
              <w:rPr>
                <w:sz w:val="24"/>
                <w:szCs w:val="24"/>
                <w:lang w:val="en-GB"/>
              </w:rPr>
              <w:t>CTCAE grade 4</w:t>
            </w:r>
          </w:p>
        </w:tc>
        <w:tc>
          <w:tcPr>
            <w:tcW w:w="1984" w:type="dxa"/>
            <w:tcBorders>
              <w:top w:val="single" w:sz="4" w:space="0" w:color="auto"/>
              <w:left w:val="single" w:sz="4" w:space="0" w:color="auto"/>
              <w:bottom w:val="single" w:sz="4" w:space="0" w:color="auto"/>
              <w:right w:val="single" w:sz="4" w:space="0" w:color="auto"/>
            </w:tcBorders>
            <w:hideMark/>
          </w:tcPr>
          <w:p w14:paraId="28A16264" w14:textId="77777777" w:rsidR="0078138E" w:rsidRPr="009B509D" w:rsidRDefault="0078138E" w:rsidP="00762250">
            <w:pPr>
              <w:jc w:val="center"/>
              <w:rPr>
                <w:sz w:val="24"/>
                <w:szCs w:val="24"/>
                <w:lang w:val="en-GB"/>
              </w:rPr>
            </w:pPr>
            <w:r w:rsidRPr="009B509D">
              <w:rPr>
                <w:sz w:val="24"/>
                <w:szCs w:val="24"/>
                <w:lang w:val="en-GB"/>
              </w:rPr>
              <w:t>Common</w:t>
            </w:r>
          </w:p>
        </w:tc>
        <w:tc>
          <w:tcPr>
            <w:tcW w:w="1560" w:type="dxa"/>
            <w:tcBorders>
              <w:top w:val="single" w:sz="4" w:space="0" w:color="auto"/>
              <w:left w:val="single" w:sz="4" w:space="0" w:color="auto"/>
              <w:bottom w:val="single" w:sz="4" w:space="0" w:color="auto"/>
              <w:right w:val="single" w:sz="4" w:space="0" w:color="auto"/>
            </w:tcBorders>
            <w:hideMark/>
          </w:tcPr>
          <w:p w14:paraId="5248678D" w14:textId="77777777" w:rsidR="0078138E" w:rsidRPr="009B509D" w:rsidRDefault="0078138E" w:rsidP="00762250">
            <w:pPr>
              <w:jc w:val="center"/>
              <w:rPr>
                <w:sz w:val="24"/>
                <w:szCs w:val="24"/>
                <w:lang w:val="en-GB"/>
              </w:rPr>
            </w:pPr>
            <w:r w:rsidRPr="009B509D">
              <w:rPr>
                <w:sz w:val="24"/>
                <w:szCs w:val="24"/>
                <w:lang w:val="en-GB"/>
              </w:rPr>
              <w:t>N/A</w:t>
            </w:r>
            <w:r w:rsidRPr="009B509D">
              <w:rPr>
                <w:sz w:val="24"/>
                <w:szCs w:val="24"/>
                <w:vertAlign w:val="superscript"/>
                <w:lang w:val="en-GB"/>
              </w:rPr>
              <w:t>5</w:t>
            </w:r>
          </w:p>
        </w:tc>
        <w:tc>
          <w:tcPr>
            <w:tcW w:w="1559" w:type="dxa"/>
            <w:tcBorders>
              <w:top w:val="single" w:sz="4" w:space="0" w:color="auto"/>
              <w:left w:val="single" w:sz="4" w:space="0" w:color="auto"/>
              <w:bottom w:val="single" w:sz="4" w:space="0" w:color="auto"/>
              <w:right w:val="single" w:sz="4" w:space="0" w:color="auto"/>
            </w:tcBorders>
            <w:hideMark/>
          </w:tcPr>
          <w:p w14:paraId="3EB9622A" w14:textId="77777777" w:rsidR="0078138E" w:rsidRPr="009B509D" w:rsidRDefault="0078138E" w:rsidP="00762250">
            <w:pPr>
              <w:jc w:val="center"/>
              <w:rPr>
                <w:sz w:val="24"/>
                <w:szCs w:val="24"/>
                <w:lang w:val="en-GB"/>
              </w:rPr>
            </w:pPr>
            <w:r w:rsidRPr="009B509D">
              <w:rPr>
                <w:sz w:val="24"/>
                <w:szCs w:val="24"/>
                <w:lang w:val="en-GB"/>
              </w:rPr>
              <w:t>Uncommon</w:t>
            </w:r>
          </w:p>
        </w:tc>
        <w:tc>
          <w:tcPr>
            <w:tcW w:w="1559" w:type="dxa"/>
            <w:tcBorders>
              <w:top w:val="single" w:sz="4" w:space="0" w:color="auto"/>
              <w:left w:val="single" w:sz="4" w:space="0" w:color="auto"/>
              <w:bottom w:val="single" w:sz="4" w:space="0" w:color="auto"/>
              <w:right w:val="single" w:sz="4" w:space="0" w:color="auto"/>
            </w:tcBorders>
            <w:hideMark/>
          </w:tcPr>
          <w:p w14:paraId="68F7CC35" w14:textId="77777777" w:rsidR="0078138E" w:rsidRPr="009B509D" w:rsidRDefault="0078138E" w:rsidP="00762250">
            <w:pPr>
              <w:jc w:val="center"/>
              <w:rPr>
                <w:sz w:val="24"/>
                <w:szCs w:val="24"/>
                <w:lang w:val="en-GB"/>
              </w:rPr>
            </w:pPr>
            <w:r w:rsidRPr="009B509D">
              <w:rPr>
                <w:sz w:val="24"/>
                <w:szCs w:val="24"/>
                <w:lang w:val="en-GB"/>
              </w:rPr>
              <w:t>Common</w:t>
            </w:r>
          </w:p>
        </w:tc>
      </w:tr>
      <w:tr w:rsidR="0078138E" w:rsidRPr="009B509D" w14:paraId="4772C700"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1B386F5F" w14:textId="77777777" w:rsidR="0078138E" w:rsidRPr="009B509D" w:rsidRDefault="0078138E" w:rsidP="00882574">
            <w:pPr>
              <w:rPr>
                <w:sz w:val="24"/>
                <w:szCs w:val="24"/>
                <w:lang w:val="en-GB"/>
              </w:rPr>
            </w:pPr>
            <w:r w:rsidRPr="009B509D">
              <w:rPr>
                <w:sz w:val="24"/>
                <w:szCs w:val="24"/>
                <w:lang w:val="en-GB"/>
              </w:rPr>
              <w:t>Increased aspartate aminotransferase</w:t>
            </w:r>
            <w:r w:rsidRPr="009B509D">
              <w:rPr>
                <w:sz w:val="24"/>
                <w:szCs w:val="24"/>
                <w:vertAlign w:val="superscript"/>
                <w:lang w:val="en-GB"/>
              </w:rPr>
              <w:t>1</w:t>
            </w:r>
          </w:p>
        </w:tc>
        <w:tc>
          <w:tcPr>
            <w:tcW w:w="1984" w:type="dxa"/>
            <w:tcBorders>
              <w:top w:val="single" w:sz="4" w:space="0" w:color="auto"/>
              <w:left w:val="single" w:sz="4" w:space="0" w:color="auto"/>
              <w:bottom w:val="single" w:sz="4" w:space="0" w:color="auto"/>
              <w:right w:val="single" w:sz="4" w:space="0" w:color="auto"/>
            </w:tcBorders>
            <w:hideMark/>
          </w:tcPr>
          <w:p w14:paraId="5F155292" w14:textId="77777777" w:rsidR="0078138E" w:rsidRPr="009B509D" w:rsidRDefault="0078138E" w:rsidP="00762250">
            <w:pPr>
              <w:jc w:val="center"/>
              <w:rPr>
                <w:sz w:val="24"/>
                <w:szCs w:val="24"/>
                <w:lang w:val="en-GB"/>
              </w:rPr>
            </w:pPr>
            <w:r w:rsidRPr="009B509D">
              <w:rPr>
                <w:sz w:val="24"/>
                <w:szCs w:val="24"/>
                <w:lang w:val="en-GB"/>
              </w:rPr>
              <w:t>Very common</w:t>
            </w:r>
          </w:p>
        </w:tc>
        <w:tc>
          <w:tcPr>
            <w:tcW w:w="1560" w:type="dxa"/>
            <w:tcBorders>
              <w:top w:val="single" w:sz="4" w:space="0" w:color="auto"/>
              <w:left w:val="single" w:sz="4" w:space="0" w:color="auto"/>
              <w:bottom w:val="single" w:sz="4" w:space="0" w:color="auto"/>
              <w:right w:val="single" w:sz="4" w:space="0" w:color="auto"/>
            </w:tcBorders>
            <w:hideMark/>
          </w:tcPr>
          <w:p w14:paraId="500D9AAE" w14:textId="77777777" w:rsidR="0078138E" w:rsidRPr="009B509D" w:rsidRDefault="0078138E" w:rsidP="00762250">
            <w:pPr>
              <w:jc w:val="center"/>
              <w:rPr>
                <w:sz w:val="24"/>
                <w:szCs w:val="24"/>
                <w:lang w:val="en-GB"/>
              </w:rPr>
            </w:pPr>
            <w:r w:rsidRPr="009B509D">
              <w:rPr>
                <w:sz w:val="24"/>
                <w:szCs w:val="24"/>
                <w:lang w:val="en-GB"/>
              </w:rPr>
              <w:t>Very common</w:t>
            </w:r>
          </w:p>
        </w:tc>
        <w:tc>
          <w:tcPr>
            <w:tcW w:w="1559" w:type="dxa"/>
            <w:tcBorders>
              <w:top w:val="single" w:sz="4" w:space="0" w:color="auto"/>
              <w:left w:val="single" w:sz="4" w:space="0" w:color="auto"/>
              <w:bottom w:val="single" w:sz="4" w:space="0" w:color="auto"/>
              <w:right w:val="single" w:sz="4" w:space="0" w:color="auto"/>
            </w:tcBorders>
            <w:hideMark/>
          </w:tcPr>
          <w:p w14:paraId="34F3F7C7" w14:textId="77777777" w:rsidR="0078138E" w:rsidRPr="009B509D" w:rsidRDefault="0078138E" w:rsidP="00762250">
            <w:pPr>
              <w:jc w:val="center"/>
              <w:rPr>
                <w:sz w:val="24"/>
                <w:szCs w:val="24"/>
                <w:lang w:val="en-GB"/>
              </w:rPr>
            </w:pPr>
            <w:r w:rsidRPr="009B509D">
              <w:rPr>
                <w:sz w:val="24"/>
                <w:szCs w:val="24"/>
                <w:lang w:val="en-GB"/>
              </w:rPr>
              <w:t>Very common</w:t>
            </w:r>
          </w:p>
        </w:tc>
        <w:tc>
          <w:tcPr>
            <w:tcW w:w="1559" w:type="dxa"/>
            <w:tcBorders>
              <w:top w:val="single" w:sz="4" w:space="0" w:color="auto"/>
              <w:left w:val="single" w:sz="4" w:space="0" w:color="auto"/>
              <w:bottom w:val="single" w:sz="4" w:space="0" w:color="auto"/>
              <w:right w:val="single" w:sz="4" w:space="0" w:color="auto"/>
            </w:tcBorders>
            <w:hideMark/>
          </w:tcPr>
          <w:p w14:paraId="0E755CB8" w14:textId="77777777" w:rsidR="0078138E" w:rsidRPr="009B509D" w:rsidRDefault="0078138E" w:rsidP="00762250">
            <w:pPr>
              <w:jc w:val="center"/>
              <w:rPr>
                <w:sz w:val="24"/>
                <w:szCs w:val="24"/>
                <w:lang w:val="en-GB"/>
              </w:rPr>
            </w:pPr>
            <w:r w:rsidRPr="009B509D">
              <w:rPr>
                <w:sz w:val="24"/>
                <w:szCs w:val="24"/>
                <w:lang w:val="en-GB"/>
              </w:rPr>
              <w:t>Very common</w:t>
            </w:r>
          </w:p>
        </w:tc>
      </w:tr>
      <w:tr w:rsidR="0078138E" w:rsidRPr="009B509D" w14:paraId="05E23CE3"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194921C5" w14:textId="77777777" w:rsidR="0078138E" w:rsidRPr="009B509D" w:rsidRDefault="0078138E" w:rsidP="00762250">
            <w:pPr>
              <w:ind w:left="284"/>
              <w:rPr>
                <w:sz w:val="24"/>
                <w:szCs w:val="24"/>
                <w:lang w:val="en-GB"/>
              </w:rPr>
            </w:pPr>
            <w:r w:rsidRPr="009B509D">
              <w:rPr>
                <w:sz w:val="24"/>
                <w:szCs w:val="24"/>
                <w:lang w:val="en-GB"/>
              </w:rPr>
              <w:t>CTCAE grade 3</w:t>
            </w:r>
          </w:p>
        </w:tc>
        <w:tc>
          <w:tcPr>
            <w:tcW w:w="1984" w:type="dxa"/>
            <w:tcBorders>
              <w:top w:val="single" w:sz="4" w:space="0" w:color="auto"/>
              <w:left w:val="single" w:sz="4" w:space="0" w:color="auto"/>
              <w:bottom w:val="single" w:sz="4" w:space="0" w:color="auto"/>
              <w:right w:val="single" w:sz="4" w:space="0" w:color="auto"/>
            </w:tcBorders>
            <w:hideMark/>
          </w:tcPr>
          <w:p w14:paraId="25A14315" w14:textId="77777777" w:rsidR="0078138E" w:rsidRPr="009B509D" w:rsidRDefault="0078138E" w:rsidP="00762250">
            <w:pPr>
              <w:jc w:val="center"/>
              <w:rPr>
                <w:sz w:val="24"/>
                <w:szCs w:val="24"/>
                <w:lang w:val="en-GB"/>
              </w:rPr>
            </w:pPr>
            <w:r w:rsidRPr="009B509D">
              <w:rPr>
                <w:sz w:val="24"/>
                <w:szCs w:val="24"/>
                <w:lang w:val="en-GB"/>
              </w:rPr>
              <w:t>Common</w:t>
            </w:r>
          </w:p>
        </w:tc>
        <w:tc>
          <w:tcPr>
            <w:tcW w:w="1560" w:type="dxa"/>
            <w:tcBorders>
              <w:top w:val="single" w:sz="4" w:space="0" w:color="auto"/>
              <w:left w:val="single" w:sz="4" w:space="0" w:color="auto"/>
              <w:bottom w:val="single" w:sz="4" w:space="0" w:color="auto"/>
              <w:right w:val="single" w:sz="4" w:space="0" w:color="auto"/>
            </w:tcBorders>
            <w:hideMark/>
          </w:tcPr>
          <w:p w14:paraId="36973F2B" w14:textId="77777777" w:rsidR="0078138E" w:rsidRPr="009B509D" w:rsidRDefault="0078138E" w:rsidP="00762250">
            <w:pPr>
              <w:jc w:val="center"/>
              <w:rPr>
                <w:sz w:val="24"/>
                <w:szCs w:val="24"/>
                <w:lang w:val="en-GB"/>
              </w:rPr>
            </w:pPr>
            <w:r w:rsidRPr="009B509D">
              <w:rPr>
                <w:sz w:val="24"/>
                <w:szCs w:val="24"/>
                <w:lang w:val="en-GB"/>
              </w:rPr>
              <w:t>Common</w:t>
            </w:r>
          </w:p>
        </w:tc>
        <w:tc>
          <w:tcPr>
            <w:tcW w:w="1559" w:type="dxa"/>
            <w:tcBorders>
              <w:top w:val="single" w:sz="4" w:space="0" w:color="auto"/>
              <w:left w:val="single" w:sz="4" w:space="0" w:color="auto"/>
              <w:bottom w:val="single" w:sz="4" w:space="0" w:color="auto"/>
              <w:right w:val="single" w:sz="4" w:space="0" w:color="auto"/>
            </w:tcBorders>
            <w:hideMark/>
          </w:tcPr>
          <w:p w14:paraId="635F137C" w14:textId="77777777" w:rsidR="0078138E" w:rsidRPr="009B509D" w:rsidRDefault="0078138E" w:rsidP="00762250">
            <w:pPr>
              <w:jc w:val="center"/>
              <w:rPr>
                <w:sz w:val="24"/>
                <w:szCs w:val="24"/>
                <w:lang w:val="en-GB"/>
              </w:rPr>
            </w:pPr>
            <w:r w:rsidRPr="009B509D">
              <w:rPr>
                <w:sz w:val="24"/>
                <w:szCs w:val="24"/>
                <w:lang w:val="en-GB"/>
              </w:rPr>
              <w:t>Common</w:t>
            </w:r>
          </w:p>
        </w:tc>
        <w:tc>
          <w:tcPr>
            <w:tcW w:w="1559" w:type="dxa"/>
            <w:tcBorders>
              <w:top w:val="single" w:sz="4" w:space="0" w:color="auto"/>
              <w:left w:val="single" w:sz="4" w:space="0" w:color="auto"/>
              <w:bottom w:val="single" w:sz="4" w:space="0" w:color="auto"/>
              <w:right w:val="single" w:sz="4" w:space="0" w:color="auto"/>
            </w:tcBorders>
            <w:hideMark/>
          </w:tcPr>
          <w:p w14:paraId="517B6518" w14:textId="77777777" w:rsidR="0078138E" w:rsidRPr="009B509D" w:rsidRDefault="0078138E" w:rsidP="00762250">
            <w:pPr>
              <w:jc w:val="center"/>
              <w:rPr>
                <w:sz w:val="24"/>
                <w:szCs w:val="24"/>
                <w:lang w:val="en-GB"/>
              </w:rPr>
            </w:pPr>
            <w:r w:rsidRPr="009B509D">
              <w:rPr>
                <w:sz w:val="24"/>
                <w:szCs w:val="24"/>
                <w:lang w:val="en-GB"/>
              </w:rPr>
              <w:t>Very common</w:t>
            </w:r>
          </w:p>
        </w:tc>
      </w:tr>
      <w:tr w:rsidR="0078138E" w:rsidRPr="009B509D" w14:paraId="6A804549"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53468AE8" w14:textId="77777777" w:rsidR="0078138E" w:rsidRPr="009B509D" w:rsidRDefault="0078138E" w:rsidP="00762250">
            <w:pPr>
              <w:ind w:left="284"/>
              <w:rPr>
                <w:sz w:val="24"/>
                <w:szCs w:val="24"/>
                <w:lang w:val="en-GB"/>
              </w:rPr>
            </w:pPr>
            <w:r w:rsidRPr="009B509D">
              <w:rPr>
                <w:sz w:val="24"/>
                <w:szCs w:val="24"/>
                <w:lang w:val="en-GB"/>
              </w:rPr>
              <w:t>CTCAE grade 4</w:t>
            </w:r>
          </w:p>
        </w:tc>
        <w:tc>
          <w:tcPr>
            <w:tcW w:w="1984" w:type="dxa"/>
            <w:tcBorders>
              <w:top w:val="single" w:sz="4" w:space="0" w:color="auto"/>
              <w:left w:val="single" w:sz="4" w:space="0" w:color="auto"/>
              <w:bottom w:val="single" w:sz="4" w:space="0" w:color="auto"/>
              <w:right w:val="single" w:sz="4" w:space="0" w:color="auto"/>
            </w:tcBorders>
            <w:hideMark/>
          </w:tcPr>
          <w:p w14:paraId="544BDA32" w14:textId="77777777" w:rsidR="0078138E" w:rsidRPr="009B509D" w:rsidRDefault="0078138E" w:rsidP="00762250">
            <w:pPr>
              <w:jc w:val="center"/>
              <w:rPr>
                <w:sz w:val="24"/>
                <w:szCs w:val="24"/>
                <w:lang w:val="en-GB"/>
              </w:rPr>
            </w:pPr>
            <w:r w:rsidRPr="009B509D">
              <w:rPr>
                <w:sz w:val="24"/>
                <w:szCs w:val="24"/>
                <w:lang w:val="en-GB"/>
              </w:rPr>
              <w:t>N/A</w:t>
            </w:r>
            <w:r w:rsidRPr="009B509D">
              <w:rPr>
                <w:sz w:val="24"/>
                <w:szCs w:val="24"/>
                <w:vertAlign w:val="superscript"/>
                <w:lang w:val="en-GB"/>
              </w:rPr>
              <w:t>5</w:t>
            </w:r>
          </w:p>
        </w:tc>
        <w:tc>
          <w:tcPr>
            <w:tcW w:w="1560" w:type="dxa"/>
            <w:tcBorders>
              <w:top w:val="single" w:sz="4" w:space="0" w:color="auto"/>
              <w:left w:val="single" w:sz="4" w:space="0" w:color="auto"/>
              <w:bottom w:val="single" w:sz="4" w:space="0" w:color="auto"/>
              <w:right w:val="single" w:sz="4" w:space="0" w:color="auto"/>
            </w:tcBorders>
            <w:hideMark/>
          </w:tcPr>
          <w:p w14:paraId="7CFE89ED" w14:textId="77777777" w:rsidR="0078138E" w:rsidRPr="009B509D" w:rsidRDefault="0078138E" w:rsidP="00762250">
            <w:pPr>
              <w:jc w:val="center"/>
              <w:rPr>
                <w:sz w:val="24"/>
                <w:szCs w:val="24"/>
                <w:lang w:val="en-GB"/>
              </w:rPr>
            </w:pPr>
            <w:r w:rsidRPr="009B509D">
              <w:rPr>
                <w:sz w:val="24"/>
                <w:szCs w:val="24"/>
                <w:lang w:val="en-GB"/>
              </w:rPr>
              <w:t>N/A</w:t>
            </w:r>
            <w:r w:rsidRPr="009B509D">
              <w:rPr>
                <w:sz w:val="24"/>
                <w:szCs w:val="24"/>
                <w:vertAlign w:val="superscript"/>
                <w:lang w:val="en-GB"/>
              </w:rPr>
              <w:t>5</w:t>
            </w:r>
          </w:p>
        </w:tc>
        <w:tc>
          <w:tcPr>
            <w:tcW w:w="1559" w:type="dxa"/>
            <w:tcBorders>
              <w:top w:val="single" w:sz="4" w:space="0" w:color="auto"/>
              <w:left w:val="single" w:sz="4" w:space="0" w:color="auto"/>
              <w:bottom w:val="single" w:sz="4" w:space="0" w:color="auto"/>
              <w:right w:val="single" w:sz="4" w:space="0" w:color="auto"/>
            </w:tcBorders>
            <w:hideMark/>
          </w:tcPr>
          <w:p w14:paraId="4BFE3A2A" w14:textId="77777777" w:rsidR="0078138E" w:rsidRPr="009B509D" w:rsidRDefault="0078138E" w:rsidP="00762250">
            <w:pPr>
              <w:jc w:val="center"/>
              <w:rPr>
                <w:sz w:val="24"/>
                <w:szCs w:val="24"/>
                <w:lang w:val="en-GB"/>
              </w:rPr>
            </w:pPr>
            <w:r w:rsidRPr="009B509D">
              <w:rPr>
                <w:sz w:val="24"/>
                <w:szCs w:val="24"/>
                <w:lang w:val="en-GB"/>
              </w:rPr>
              <w:t>Uncommon</w:t>
            </w:r>
          </w:p>
        </w:tc>
        <w:tc>
          <w:tcPr>
            <w:tcW w:w="1559" w:type="dxa"/>
            <w:tcBorders>
              <w:top w:val="single" w:sz="4" w:space="0" w:color="auto"/>
              <w:left w:val="single" w:sz="4" w:space="0" w:color="auto"/>
              <w:bottom w:val="single" w:sz="4" w:space="0" w:color="auto"/>
              <w:right w:val="single" w:sz="4" w:space="0" w:color="auto"/>
            </w:tcBorders>
            <w:hideMark/>
          </w:tcPr>
          <w:p w14:paraId="730A3AD7" w14:textId="77777777" w:rsidR="0078138E" w:rsidRPr="009B509D" w:rsidRDefault="0078138E" w:rsidP="00762250">
            <w:pPr>
              <w:jc w:val="center"/>
              <w:rPr>
                <w:sz w:val="24"/>
                <w:szCs w:val="24"/>
                <w:lang w:val="en-GB"/>
              </w:rPr>
            </w:pPr>
            <w:r w:rsidRPr="009B509D">
              <w:rPr>
                <w:sz w:val="24"/>
                <w:szCs w:val="24"/>
                <w:lang w:val="en-GB"/>
              </w:rPr>
              <w:t>N/A</w:t>
            </w:r>
            <w:r w:rsidRPr="009B509D">
              <w:rPr>
                <w:sz w:val="24"/>
                <w:szCs w:val="24"/>
                <w:vertAlign w:val="superscript"/>
                <w:lang w:val="en-GB"/>
              </w:rPr>
              <w:t>5</w:t>
            </w:r>
          </w:p>
        </w:tc>
      </w:tr>
      <w:tr w:rsidR="0078138E" w:rsidRPr="00873345" w14:paraId="4E3E6478" w14:textId="77777777" w:rsidTr="0078138E">
        <w:tc>
          <w:tcPr>
            <w:tcW w:w="6204" w:type="dxa"/>
            <w:gridSpan w:val="3"/>
            <w:tcBorders>
              <w:top w:val="single" w:sz="4" w:space="0" w:color="auto"/>
              <w:left w:val="single" w:sz="4" w:space="0" w:color="auto"/>
              <w:bottom w:val="single" w:sz="4" w:space="0" w:color="auto"/>
              <w:right w:val="single" w:sz="4" w:space="0" w:color="auto"/>
            </w:tcBorders>
            <w:hideMark/>
          </w:tcPr>
          <w:p w14:paraId="55EEF309" w14:textId="77777777" w:rsidR="0078138E" w:rsidRPr="00762250" w:rsidRDefault="0078138E" w:rsidP="00882574">
            <w:pPr>
              <w:rPr>
                <w:b/>
                <w:sz w:val="24"/>
                <w:szCs w:val="24"/>
                <w:lang w:val="en-GB"/>
              </w:rPr>
            </w:pPr>
            <w:r w:rsidRPr="00762250">
              <w:rPr>
                <w:b/>
                <w:sz w:val="24"/>
                <w:szCs w:val="24"/>
                <w:lang w:val="en-GB"/>
              </w:rPr>
              <w:t>Musculoskeletal and connective tissue disorders</w:t>
            </w:r>
          </w:p>
        </w:tc>
        <w:tc>
          <w:tcPr>
            <w:tcW w:w="1559" w:type="dxa"/>
            <w:tcBorders>
              <w:top w:val="single" w:sz="4" w:space="0" w:color="auto"/>
              <w:left w:val="single" w:sz="4" w:space="0" w:color="auto"/>
              <w:bottom w:val="single" w:sz="4" w:space="0" w:color="auto"/>
              <w:right w:val="single" w:sz="4" w:space="0" w:color="auto"/>
            </w:tcBorders>
          </w:tcPr>
          <w:p w14:paraId="4AEE813A" w14:textId="77777777" w:rsidR="0078138E" w:rsidRPr="00762250" w:rsidRDefault="0078138E" w:rsidP="00882574">
            <w:pPr>
              <w:rPr>
                <w:b/>
                <w:sz w:val="24"/>
                <w:szCs w:val="24"/>
                <w:lang w:val="en-GB"/>
              </w:rPr>
            </w:pPr>
          </w:p>
        </w:tc>
        <w:tc>
          <w:tcPr>
            <w:tcW w:w="1559" w:type="dxa"/>
            <w:tcBorders>
              <w:top w:val="single" w:sz="4" w:space="0" w:color="auto"/>
              <w:left w:val="single" w:sz="4" w:space="0" w:color="auto"/>
              <w:bottom w:val="single" w:sz="4" w:space="0" w:color="auto"/>
              <w:right w:val="single" w:sz="4" w:space="0" w:color="auto"/>
            </w:tcBorders>
          </w:tcPr>
          <w:p w14:paraId="3AE0698F" w14:textId="77777777" w:rsidR="0078138E" w:rsidRPr="00762250" w:rsidRDefault="0078138E" w:rsidP="00882574">
            <w:pPr>
              <w:rPr>
                <w:b/>
                <w:sz w:val="24"/>
                <w:szCs w:val="24"/>
                <w:lang w:val="en-GB"/>
              </w:rPr>
            </w:pPr>
          </w:p>
        </w:tc>
      </w:tr>
      <w:tr w:rsidR="0078138E" w:rsidRPr="009B509D" w14:paraId="274276D4"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4AA14169" w14:textId="77777777" w:rsidR="0078138E" w:rsidRPr="009B509D" w:rsidRDefault="0078138E" w:rsidP="00882574">
            <w:pPr>
              <w:rPr>
                <w:sz w:val="24"/>
                <w:szCs w:val="24"/>
                <w:lang w:val="en-GB"/>
              </w:rPr>
            </w:pPr>
            <w:r w:rsidRPr="009B509D">
              <w:rPr>
                <w:sz w:val="24"/>
                <w:szCs w:val="24"/>
                <w:lang w:val="en-GB"/>
              </w:rPr>
              <w:t>Increased blood creatine phosphokinase</w:t>
            </w:r>
            <w:r w:rsidRPr="009B509D">
              <w:rPr>
                <w:sz w:val="24"/>
                <w:szCs w:val="24"/>
                <w:vertAlign w:val="superscript"/>
                <w:lang w:val="en-GB"/>
              </w:rPr>
              <w:t>1</w:t>
            </w:r>
          </w:p>
        </w:tc>
        <w:tc>
          <w:tcPr>
            <w:tcW w:w="1984" w:type="dxa"/>
            <w:tcBorders>
              <w:top w:val="single" w:sz="4" w:space="0" w:color="auto"/>
              <w:left w:val="single" w:sz="4" w:space="0" w:color="auto"/>
              <w:bottom w:val="single" w:sz="4" w:space="0" w:color="auto"/>
              <w:right w:val="single" w:sz="4" w:space="0" w:color="auto"/>
            </w:tcBorders>
            <w:hideMark/>
          </w:tcPr>
          <w:p w14:paraId="27572F9D" w14:textId="77777777" w:rsidR="0078138E" w:rsidRPr="009B509D" w:rsidRDefault="0078138E" w:rsidP="00762250">
            <w:pPr>
              <w:jc w:val="center"/>
              <w:rPr>
                <w:sz w:val="24"/>
                <w:szCs w:val="24"/>
                <w:lang w:val="en-GB"/>
              </w:rPr>
            </w:pPr>
            <w:r w:rsidRPr="009B509D">
              <w:rPr>
                <w:sz w:val="24"/>
                <w:szCs w:val="24"/>
                <w:lang w:val="en-GB"/>
              </w:rPr>
              <w:t>-</w:t>
            </w:r>
            <w:r w:rsidRPr="009B509D">
              <w:rPr>
                <w:sz w:val="24"/>
                <w:szCs w:val="24"/>
                <w:vertAlign w:val="superscript"/>
                <w:lang w:val="en-GB"/>
              </w:rPr>
              <w:t>6</w:t>
            </w:r>
          </w:p>
        </w:tc>
        <w:tc>
          <w:tcPr>
            <w:tcW w:w="1560" w:type="dxa"/>
            <w:tcBorders>
              <w:top w:val="single" w:sz="4" w:space="0" w:color="auto"/>
              <w:left w:val="single" w:sz="4" w:space="0" w:color="auto"/>
              <w:bottom w:val="single" w:sz="4" w:space="0" w:color="auto"/>
              <w:right w:val="single" w:sz="4" w:space="0" w:color="auto"/>
            </w:tcBorders>
            <w:hideMark/>
          </w:tcPr>
          <w:p w14:paraId="56CA650A" w14:textId="77777777" w:rsidR="0078138E" w:rsidRPr="009B509D" w:rsidRDefault="0078138E" w:rsidP="00762250">
            <w:pPr>
              <w:jc w:val="center"/>
              <w:rPr>
                <w:sz w:val="24"/>
                <w:szCs w:val="24"/>
                <w:lang w:val="en-GB"/>
              </w:rPr>
            </w:pPr>
            <w:r w:rsidRPr="009B509D">
              <w:rPr>
                <w:sz w:val="24"/>
                <w:szCs w:val="24"/>
                <w:lang w:val="en-GB"/>
              </w:rPr>
              <w:t>-</w:t>
            </w:r>
            <w:r w:rsidRPr="009B509D">
              <w:rPr>
                <w:sz w:val="24"/>
                <w:szCs w:val="24"/>
                <w:vertAlign w:val="superscript"/>
                <w:lang w:val="en-GB"/>
              </w:rPr>
              <w:t>6</w:t>
            </w:r>
          </w:p>
        </w:tc>
        <w:tc>
          <w:tcPr>
            <w:tcW w:w="1559" w:type="dxa"/>
            <w:tcBorders>
              <w:top w:val="single" w:sz="4" w:space="0" w:color="auto"/>
              <w:left w:val="single" w:sz="4" w:space="0" w:color="auto"/>
              <w:bottom w:val="single" w:sz="4" w:space="0" w:color="auto"/>
              <w:right w:val="single" w:sz="4" w:space="0" w:color="auto"/>
            </w:tcBorders>
            <w:hideMark/>
          </w:tcPr>
          <w:p w14:paraId="2D9303A8" w14:textId="77777777" w:rsidR="0078138E" w:rsidRPr="009B509D" w:rsidRDefault="0078138E" w:rsidP="00762250">
            <w:pPr>
              <w:jc w:val="center"/>
              <w:rPr>
                <w:sz w:val="24"/>
                <w:szCs w:val="24"/>
                <w:lang w:val="en-GB"/>
              </w:rPr>
            </w:pPr>
            <w:r w:rsidRPr="009B509D">
              <w:rPr>
                <w:sz w:val="24"/>
                <w:szCs w:val="24"/>
                <w:lang w:val="en-GB"/>
              </w:rPr>
              <w:t>Very common</w:t>
            </w:r>
          </w:p>
        </w:tc>
        <w:tc>
          <w:tcPr>
            <w:tcW w:w="1559" w:type="dxa"/>
            <w:tcBorders>
              <w:top w:val="single" w:sz="4" w:space="0" w:color="auto"/>
              <w:left w:val="single" w:sz="4" w:space="0" w:color="auto"/>
              <w:bottom w:val="single" w:sz="4" w:space="0" w:color="auto"/>
              <w:right w:val="single" w:sz="4" w:space="0" w:color="auto"/>
            </w:tcBorders>
            <w:hideMark/>
          </w:tcPr>
          <w:p w14:paraId="7C000165" w14:textId="77777777" w:rsidR="0078138E" w:rsidRPr="009B509D" w:rsidRDefault="0078138E" w:rsidP="00762250">
            <w:pPr>
              <w:jc w:val="center"/>
              <w:rPr>
                <w:sz w:val="24"/>
                <w:szCs w:val="24"/>
                <w:lang w:val="en-GB"/>
              </w:rPr>
            </w:pPr>
            <w:r w:rsidRPr="009B509D">
              <w:rPr>
                <w:sz w:val="24"/>
                <w:szCs w:val="24"/>
                <w:lang w:val="en-GB"/>
              </w:rPr>
              <w:t>Very common</w:t>
            </w:r>
          </w:p>
        </w:tc>
      </w:tr>
      <w:tr w:rsidR="0078138E" w:rsidRPr="009B509D" w14:paraId="5B325432"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3BD575AA" w14:textId="77777777" w:rsidR="0078138E" w:rsidRPr="009B509D" w:rsidRDefault="0078138E" w:rsidP="00762250">
            <w:pPr>
              <w:ind w:left="284"/>
              <w:rPr>
                <w:sz w:val="24"/>
                <w:szCs w:val="24"/>
                <w:lang w:val="en-GB"/>
              </w:rPr>
            </w:pPr>
            <w:r w:rsidRPr="009B509D">
              <w:rPr>
                <w:sz w:val="24"/>
                <w:szCs w:val="24"/>
                <w:lang w:val="en-GB"/>
              </w:rPr>
              <w:t>CTCAE grade 3</w:t>
            </w:r>
          </w:p>
        </w:tc>
        <w:tc>
          <w:tcPr>
            <w:tcW w:w="1984" w:type="dxa"/>
            <w:tcBorders>
              <w:top w:val="single" w:sz="4" w:space="0" w:color="auto"/>
              <w:left w:val="single" w:sz="4" w:space="0" w:color="auto"/>
              <w:bottom w:val="single" w:sz="4" w:space="0" w:color="auto"/>
              <w:right w:val="single" w:sz="4" w:space="0" w:color="auto"/>
            </w:tcBorders>
            <w:hideMark/>
          </w:tcPr>
          <w:p w14:paraId="070FBBA6" w14:textId="77777777" w:rsidR="0078138E" w:rsidRPr="009B509D" w:rsidRDefault="0078138E" w:rsidP="00762250">
            <w:pPr>
              <w:jc w:val="center"/>
              <w:rPr>
                <w:sz w:val="24"/>
                <w:szCs w:val="24"/>
                <w:lang w:val="en-GB"/>
              </w:rPr>
            </w:pPr>
            <w:r w:rsidRPr="009B509D">
              <w:rPr>
                <w:sz w:val="24"/>
                <w:szCs w:val="24"/>
                <w:lang w:val="en-GB"/>
              </w:rPr>
              <w:t>-</w:t>
            </w:r>
            <w:r w:rsidRPr="009B509D">
              <w:rPr>
                <w:sz w:val="24"/>
                <w:szCs w:val="24"/>
                <w:vertAlign w:val="superscript"/>
                <w:lang w:val="en-GB"/>
              </w:rPr>
              <w:t>6</w:t>
            </w:r>
          </w:p>
        </w:tc>
        <w:tc>
          <w:tcPr>
            <w:tcW w:w="1560" w:type="dxa"/>
            <w:tcBorders>
              <w:top w:val="single" w:sz="4" w:space="0" w:color="auto"/>
              <w:left w:val="single" w:sz="4" w:space="0" w:color="auto"/>
              <w:bottom w:val="single" w:sz="4" w:space="0" w:color="auto"/>
              <w:right w:val="single" w:sz="4" w:space="0" w:color="auto"/>
            </w:tcBorders>
            <w:hideMark/>
          </w:tcPr>
          <w:p w14:paraId="019E8E53" w14:textId="77777777" w:rsidR="0078138E" w:rsidRPr="009B509D" w:rsidRDefault="0078138E" w:rsidP="00762250">
            <w:pPr>
              <w:jc w:val="center"/>
              <w:rPr>
                <w:sz w:val="24"/>
                <w:szCs w:val="24"/>
                <w:lang w:val="en-GB"/>
              </w:rPr>
            </w:pPr>
            <w:r w:rsidRPr="009B509D">
              <w:rPr>
                <w:sz w:val="24"/>
                <w:szCs w:val="24"/>
                <w:lang w:val="en-GB"/>
              </w:rPr>
              <w:t>-</w:t>
            </w:r>
            <w:r w:rsidRPr="009B509D">
              <w:rPr>
                <w:sz w:val="24"/>
                <w:szCs w:val="24"/>
                <w:vertAlign w:val="superscript"/>
                <w:lang w:val="en-GB"/>
              </w:rPr>
              <w:t>6</w:t>
            </w:r>
          </w:p>
        </w:tc>
        <w:tc>
          <w:tcPr>
            <w:tcW w:w="1559" w:type="dxa"/>
            <w:tcBorders>
              <w:top w:val="single" w:sz="4" w:space="0" w:color="auto"/>
              <w:left w:val="single" w:sz="4" w:space="0" w:color="auto"/>
              <w:bottom w:val="single" w:sz="4" w:space="0" w:color="auto"/>
              <w:right w:val="single" w:sz="4" w:space="0" w:color="auto"/>
            </w:tcBorders>
            <w:hideMark/>
          </w:tcPr>
          <w:p w14:paraId="3AC6B06A" w14:textId="77777777" w:rsidR="0078138E" w:rsidRPr="009B509D" w:rsidRDefault="0078138E" w:rsidP="00762250">
            <w:pPr>
              <w:jc w:val="center"/>
              <w:rPr>
                <w:sz w:val="24"/>
                <w:szCs w:val="24"/>
                <w:lang w:val="en-GB"/>
              </w:rPr>
            </w:pPr>
            <w:r w:rsidRPr="009B509D">
              <w:rPr>
                <w:sz w:val="24"/>
                <w:szCs w:val="24"/>
                <w:lang w:val="en-GB"/>
              </w:rPr>
              <w:t>Common</w:t>
            </w:r>
          </w:p>
        </w:tc>
        <w:tc>
          <w:tcPr>
            <w:tcW w:w="1559" w:type="dxa"/>
            <w:tcBorders>
              <w:top w:val="single" w:sz="4" w:space="0" w:color="auto"/>
              <w:left w:val="single" w:sz="4" w:space="0" w:color="auto"/>
              <w:bottom w:val="single" w:sz="4" w:space="0" w:color="auto"/>
              <w:right w:val="single" w:sz="4" w:space="0" w:color="auto"/>
            </w:tcBorders>
            <w:hideMark/>
          </w:tcPr>
          <w:p w14:paraId="736A9711" w14:textId="77777777" w:rsidR="0078138E" w:rsidRPr="009B509D" w:rsidRDefault="0078138E" w:rsidP="00762250">
            <w:pPr>
              <w:jc w:val="center"/>
              <w:rPr>
                <w:sz w:val="24"/>
                <w:szCs w:val="24"/>
                <w:lang w:val="en-GB"/>
              </w:rPr>
            </w:pPr>
            <w:r w:rsidRPr="009B509D">
              <w:rPr>
                <w:sz w:val="24"/>
                <w:szCs w:val="24"/>
                <w:lang w:val="en-GB"/>
              </w:rPr>
              <w:t>N/A</w:t>
            </w:r>
            <w:r w:rsidRPr="009B509D">
              <w:rPr>
                <w:sz w:val="24"/>
                <w:szCs w:val="24"/>
                <w:vertAlign w:val="superscript"/>
                <w:lang w:val="en-GB"/>
              </w:rPr>
              <w:t>5</w:t>
            </w:r>
          </w:p>
        </w:tc>
      </w:tr>
      <w:tr w:rsidR="0078138E" w:rsidRPr="009B509D" w14:paraId="3CC90C29"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34D4E718" w14:textId="77777777" w:rsidR="0078138E" w:rsidRPr="009B509D" w:rsidRDefault="0078138E" w:rsidP="00762250">
            <w:pPr>
              <w:ind w:left="284"/>
              <w:rPr>
                <w:sz w:val="24"/>
                <w:szCs w:val="24"/>
                <w:lang w:val="en-GB"/>
              </w:rPr>
            </w:pPr>
            <w:r w:rsidRPr="009B509D">
              <w:rPr>
                <w:sz w:val="24"/>
                <w:szCs w:val="24"/>
                <w:lang w:val="en-GB"/>
              </w:rPr>
              <w:t>CTCAE grade 4</w:t>
            </w:r>
          </w:p>
        </w:tc>
        <w:tc>
          <w:tcPr>
            <w:tcW w:w="1984" w:type="dxa"/>
            <w:tcBorders>
              <w:top w:val="single" w:sz="4" w:space="0" w:color="auto"/>
              <w:left w:val="single" w:sz="4" w:space="0" w:color="auto"/>
              <w:bottom w:val="single" w:sz="4" w:space="0" w:color="auto"/>
              <w:right w:val="single" w:sz="4" w:space="0" w:color="auto"/>
            </w:tcBorders>
            <w:hideMark/>
          </w:tcPr>
          <w:p w14:paraId="66B250E5" w14:textId="77777777" w:rsidR="0078138E" w:rsidRPr="009B509D" w:rsidRDefault="0078138E" w:rsidP="00762250">
            <w:pPr>
              <w:jc w:val="center"/>
              <w:rPr>
                <w:sz w:val="24"/>
                <w:szCs w:val="24"/>
                <w:lang w:val="en-GB"/>
              </w:rPr>
            </w:pPr>
            <w:r w:rsidRPr="009B509D">
              <w:rPr>
                <w:sz w:val="24"/>
                <w:szCs w:val="24"/>
                <w:lang w:val="en-GB"/>
              </w:rPr>
              <w:t>-</w:t>
            </w:r>
            <w:r w:rsidRPr="009B509D">
              <w:rPr>
                <w:sz w:val="24"/>
                <w:szCs w:val="24"/>
                <w:vertAlign w:val="superscript"/>
                <w:lang w:val="en-GB"/>
              </w:rPr>
              <w:t>6</w:t>
            </w:r>
          </w:p>
        </w:tc>
        <w:tc>
          <w:tcPr>
            <w:tcW w:w="1560" w:type="dxa"/>
            <w:tcBorders>
              <w:top w:val="single" w:sz="4" w:space="0" w:color="auto"/>
              <w:left w:val="single" w:sz="4" w:space="0" w:color="auto"/>
              <w:bottom w:val="single" w:sz="4" w:space="0" w:color="auto"/>
              <w:right w:val="single" w:sz="4" w:space="0" w:color="auto"/>
            </w:tcBorders>
            <w:hideMark/>
          </w:tcPr>
          <w:p w14:paraId="61D63E7A" w14:textId="77777777" w:rsidR="0078138E" w:rsidRPr="009B509D" w:rsidRDefault="0078138E" w:rsidP="00762250">
            <w:pPr>
              <w:jc w:val="center"/>
              <w:rPr>
                <w:sz w:val="24"/>
                <w:szCs w:val="24"/>
                <w:lang w:val="en-GB"/>
              </w:rPr>
            </w:pPr>
            <w:r w:rsidRPr="009B509D">
              <w:rPr>
                <w:sz w:val="24"/>
                <w:szCs w:val="24"/>
                <w:lang w:val="en-GB"/>
              </w:rPr>
              <w:t>-</w:t>
            </w:r>
            <w:r w:rsidRPr="009B509D">
              <w:rPr>
                <w:sz w:val="24"/>
                <w:szCs w:val="24"/>
                <w:vertAlign w:val="superscript"/>
                <w:lang w:val="en-GB"/>
              </w:rPr>
              <w:t>6</w:t>
            </w:r>
          </w:p>
        </w:tc>
        <w:tc>
          <w:tcPr>
            <w:tcW w:w="1559" w:type="dxa"/>
            <w:tcBorders>
              <w:top w:val="single" w:sz="4" w:space="0" w:color="auto"/>
              <w:left w:val="single" w:sz="4" w:space="0" w:color="auto"/>
              <w:bottom w:val="single" w:sz="4" w:space="0" w:color="auto"/>
              <w:right w:val="single" w:sz="4" w:space="0" w:color="auto"/>
            </w:tcBorders>
            <w:hideMark/>
          </w:tcPr>
          <w:p w14:paraId="7327ADA0" w14:textId="77777777" w:rsidR="0078138E" w:rsidRPr="009B509D" w:rsidRDefault="0078138E" w:rsidP="00762250">
            <w:pPr>
              <w:jc w:val="center"/>
              <w:rPr>
                <w:sz w:val="24"/>
                <w:szCs w:val="24"/>
                <w:lang w:val="en-GB"/>
              </w:rPr>
            </w:pPr>
            <w:r w:rsidRPr="009B509D">
              <w:rPr>
                <w:sz w:val="24"/>
                <w:szCs w:val="24"/>
                <w:lang w:val="en-GB"/>
              </w:rPr>
              <w:t>Common</w:t>
            </w:r>
          </w:p>
        </w:tc>
        <w:tc>
          <w:tcPr>
            <w:tcW w:w="1559" w:type="dxa"/>
            <w:tcBorders>
              <w:top w:val="single" w:sz="4" w:space="0" w:color="auto"/>
              <w:left w:val="single" w:sz="4" w:space="0" w:color="auto"/>
              <w:bottom w:val="single" w:sz="4" w:space="0" w:color="auto"/>
              <w:right w:val="single" w:sz="4" w:space="0" w:color="auto"/>
            </w:tcBorders>
            <w:hideMark/>
          </w:tcPr>
          <w:p w14:paraId="543CD520" w14:textId="77777777" w:rsidR="0078138E" w:rsidRPr="009B509D" w:rsidRDefault="0078138E" w:rsidP="00762250">
            <w:pPr>
              <w:jc w:val="center"/>
              <w:rPr>
                <w:sz w:val="24"/>
                <w:szCs w:val="24"/>
                <w:lang w:val="en-GB"/>
              </w:rPr>
            </w:pPr>
            <w:r w:rsidRPr="009B509D">
              <w:rPr>
                <w:sz w:val="24"/>
                <w:szCs w:val="24"/>
                <w:lang w:val="en-GB"/>
              </w:rPr>
              <w:t>N/A</w:t>
            </w:r>
            <w:r w:rsidRPr="009B509D">
              <w:rPr>
                <w:sz w:val="24"/>
                <w:szCs w:val="24"/>
                <w:vertAlign w:val="superscript"/>
                <w:lang w:val="en-GB"/>
              </w:rPr>
              <w:t>5</w:t>
            </w:r>
          </w:p>
        </w:tc>
      </w:tr>
      <w:tr w:rsidR="0078138E" w:rsidRPr="00762250" w14:paraId="4C2C66E5" w14:textId="77777777" w:rsidTr="0078138E">
        <w:tc>
          <w:tcPr>
            <w:tcW w:w="6204" w:type="dxa"/>
            <w:gridSpan w:val="3"/>
            <w:tcBorders>
              <w:top w:val="single" w:sz="4" w:space="0" w:color="auto"/>
              <w:left w:val="single" w:sz="4" w:space="0" w:color="auto"/>
              <w:bottom w:val="single" w:sz="4" w:space="0" w:color="auto"/>
              <w:right w:val="single" w:sz="4" w:space="0" w:color="auto"/>
            </w:tcBorders>
            <w:hideMark/>
          </w:tcPr>
          <w:p w14:paraId="07E44B14" w14:textId="77777777" w:rsidR="0078138E" w:rsidRPr="00762250" w:rsidRDefault="0078138E" w:rsidP="00882574">
            <w:pPr>
              <w:rPr>
                <w:b/>
                <w:sz w:val="24"/>
                <w:szCs w:val="24"/>
                <w:lang w:val="en-GB"/>
              </w:rPr>
            </w:pPr>
            <w:r w:rsidRPr="00762250">
              <w:rPr>
                <w:b/>
                <w:sz w:val="24"/>
                <w:szCs w:val="24"/>
                <w:lang w:val="en-GB"/>
              </w:rPr>
              <w:t>Renal and urinary disorders</w:t>
            </w:r>
          </w:p>
        </w:tc>
        <w:tc>
          <w:tcPr>
            <w:tcW w:w="1559" w:type="dxa"/>
            <w:tcBorders>
              <w:top w:val="single" w:sz="4" w:space="0" w:color="auto"/>
              <w:left w:val="single" w:sz="4" w:space="0" w:color="auto"/>
              <w:bottom w:val="single" w:sz="4" w:space="0" w:color="auto"/>
              <w:right w:val="single" w:sz="4" w:space="0" w:color="auto"/>
            </w:tcBorders>
          </w:tcPr>
          <w:p w14:paraId="5C20EAFF" w14:textId="77777777" w:rsidR="0078138E" w:rsidRPr="00762250" w:rsidRDefault="0078138E" w:rsidP="00882574">
            <w:pPr>
              <w:rPr>
                <w:b/>
                <w:sz w:val="24"/>
                <w:szCs w:val="24"/>
                <w:lang w:val="en-GB"/>
              </w:rPr>
            </w:pPr>
          </w:p>
        </w:tc>
        <w:tc>
          <w:tcPr>
            <w:tcW w:w="1559" w:type="dxa"/>
            <w:tcBorders>
              <w:top w:val="single" w:sz="4" w:space="0" w:color="auto"/>
              <w:left w:val="single" w:sz="4" w:space="0" w:color="auto"/>
              <w:bottom w:val="single" w:sz="4" w:space="0" w:color="auto"/>
              <w:right w:val="single" w:sz="4" w:space="0" w:color="auto"/>
            </w:tcBorders>
          </w:tcPr>
          <w:p w14:paraId="75E42355" w14:textId="77777777" w:rsidR="0078138E" w:rsidRPr="00762250" w:rsidRDefault="0078138E" w:rsidP="00882574">
            <w:pPr>
              <w:rPr>
                <w:b/>
                <w:sz w:val="24"/>
                <w:szCs w:val="24"/>
                <w:lang w:val="en-GB"/>
              </w:rPr>
            </w:pPr>
          </w:p>
        </w:tc>
      </w:tr>
      <w:tr w:rsidR="0078138E" w:rsidRPr="009B509D" w14:paraId="6F869604"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5E743223" w14:textId="77777777" w:rsidR="0078138E" w:rsidRPr="009B509D" w:rsidRDefault="0078138E" w:rsidP="00882574">
            <w:pPr>
              <w:rPr>
                <w:bCs/>
                <w:sz w:val="24"/>
                <w:szCs w:val="24"/>
                <w:lang w:val="en-GB"/>
              </w:rPr>
            </w:pPr>
            <w:r w:rsidRPr="009B509D">
              <w:rPr>
                <w:sz w:val="24"/>
                <w:szCs w:val="24"/>
                <w:lang w:val="en-GB"/>
              </w:rPr>
              <w:t>Increased blood creatinine</w:t>
            </w:r>
            <w:r w:rsidRPr="009B509D">
              <w:rPr>
                <w:sz w:val="24"/>
                <w:szCs w:val="24"/>
                <w:vertAlign w:val="superscript"/>
                <w:lang w:val="en-GB"/>
              </w:rPr>
              <w:t>1</w:t>
            </w:r>
          </w:p>
        </w:tc>
        <w:tc>
          <w:tcPr>
            <w:tcW w:w="1984" w:type="dxa"/>
            <w:tcBorders>
              <w:top w:val="single" w:sz="4" w:space="0" w:color="auto"/>
              <w:left w:val="single" w:sz="4" w:space="0" w:color="auto"/>
              <w:bottom w:val="single" w:sz="4" w:space="0" w:color="auto"/>
              <w:right w:val="single" w:sz="4" w:space="0" w:color="auto"/>
            </w:tcBorders>
            <w:hideMark/>
          </w:tcPr>
          <w:p w14:paraId="2AB4457A" w14:textId="77777777" w:rsidR="0078138E" w:rsidRPr="009B509D" w:rsidRDefault="0078138E" w:rsidP="00762250">
            <w:pPr>
              <w:jc w:val="center"/>
              <w:rPr>
                <w:sz w:val="24"/>
                <w:szCs w:val="24"/>
                <w:lang w:val="en-GB"/>
              </w:rPr>
            </w:pPr>
            <w:r w:rsidRPr="009B509D">
              <w:rPr>
                <w:sz w:val="24"/>
                <w:szCs w:val="24"/>
                <w:lang w:val="en-GB"/>
              </w:rPr>
              <w:t>-</w:t>
            </w:r>
            <w:r w:rsidRPr="009B509D">
              <w:rPr>
                <w:sz w:val="24"/>
                <w:szCs w:val="24"/>
                <w:vertAlign w:val="superscript"/>
                <w:lang w:val="en-GB"/>
              </w:rPr>
              <w:t>6</w:t>
            </w:r>
          </w:p>
        </w:tc>
        <w:tc>
          <w:tcPr>
            <w:tcW w:w="1560" w:type="dxa"/>
            <w:tcBorders>
              <w:top w:val="single" w:sz="4" w:space="0" w:color="auto"/>
              <w:left w:val="single" w:sz="4" w:space="0" w:color="auto"/>
              <w:bottom w:val="single" w:sz="4" w:space="0" w:color="auto"/>
              <w:right w:val="single" w:sz="4" w:space="0" w:color="auto"/>
            </w:tcBorders>
            <w:hideMark/>
          </w:tcPr>
          <w:p w14:paraId="60DA2E36" w14:textId="77777777" w:rsidR="0078138E" w:rsidRPr="009B509D" w:rsidRDefault="0078138E" w:rsidP="00762250">
            <w:pPr>
              <w:jc w:val="center"/>
              <w:rPr>
                <w:sz w:val="24"/>
                <w:szCs w:val="24"/>
                <w:lang w:val="en-GB"/>
              </w:rPr>
            </w:pPr>
            <w:r w:rsidRPr="009B509D">
              <w:rPr>
                <w:sz w:val="24"/>
                <w:szCs w:val="24"/>
                <w:lang w:val="en-GB"/>
              </w:rPr>
              <w:t>-</w:t>
            </w:r>
            <w:r w:rsidRPr="009B509D">
              <w:rPr>
                <w:sz w:val="24"/>
                <w:szCs w:val="24"/>
                <w:vertAlign w:val="superscript"/>
                <w:lang w:val="en-GB"/>
              </w:rPr>
              <w:t>6</w:t>
            </w:r>
          </w:p>
        </w:tc>
        <w:tc>
          <w:tcPr>
            <w:tcW w:w="1559" w:type="dxa"/>
            <w:tcBorders>
              <w:top w:val="single" w:sz="4" w:space="0" w:color="auto"/>
              <w:left w:val="single" w:sz="4" w:space="0" w:color="auto"/>
              <w:bottom w:val="single" w:sz="4" w:space="0" w:color="auto"/>
              <w:right w:val="single" w:sz="4" w:space="0" w:color="auto"/>
            </w:tcBorders>
            <w:hideMark/>
          </w:tcPr>
          <w:p w14:paraId="2D2BC61A" w14:textId="77777777" w:rsidR="0078138E" w:rsidRPr="009B509D" w:rsidRDefault="0078138E" w:rsidP="00762250">
            <w:pPr>
              <w:jc w:val="center"/>
              <w:rPr>
                <w:sz w:val="24"/>
                <w:szCs w:val="24"/>
                <w:lang w:val="en-GB"/>
              </w:rPr>
            </w:pPr>
            <w:r w:rsidRPr="009B509D">
              <w:rPr>
                <w:sz w:val="24"/>
                <w:szCs w:val="24"/>
                <w:lang w:val="en-GB"/>
              </w:rPr>
              <w:t>Very common</w:t>
            </w:r>
          </w:p>
        </w:tc>
        <w:tc>
          <w:tcPr>
            <w:tcW w:w="1559" w:type="dxa"/>
            <w:tcBorders>
              <w:top w:val="single" w:sz="4" w:space="0" w:color="auto"/>
              <w:left w:val="single" w:sz="4" w:space="0" w:color="auto"/>
              <w:bottom w:val="single" w:sz="4" w:space="0" w:color="auto"/>
              <w:right w:val="single" w:sz="4" w:space="0" w:color="auto"/>
            </w:tcBorders>
            <w:hideMark/>
          </w:tcPr>
          <w:p w14:paraId="035BB049" w14:textId="77777777" w:rsidR="0078138E" w:rsidRPr="009B509D" w:rsidRDefault="0078138E" w:rsidP="00762250">
            <w:pPr>
              <w:jc w:val="center"/>
              <w:rPr>
                <w:sz w:val="24"/>
                <w:szCs w:val="24"/>
                <w:lang w:val="en-GB"/>
              </w:rPr>
            </w:pPr>
            <w:r w:rsidRPr="009B509D">
              <w:rPr>
                <w:sz w:val="24"/>
                <w:szCs w:val="24"/>
                <w:lang w:val="en-GB"/>
              </w:rPr>
              <w:t>Common</w:t>
            </w:r>
          </w:p>
        </w:tc>
      </w:tr>
      <w:tr w:rsidR="0078138E" w:rsidRPr="009B509D" w14:paraId="0185A790"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19360BD2" w14:textId="77777777" w:rsidR="0078138E" w:rsidRPr="009B509D" w:rsidRDefault="0078138E" w:rsidP="00762250">
            <w:pPr>
              <w:ind w:left="284"/>
              <w:rPr>
                <w:bCs/>
                <w:sz w:val="24"/>
                <w:szCs w:val="24"/>
                <w:lang w:val="en-GB"/>
              </w:rPr>
            </w:pPr>
            <w:r w:rsidRPr="009B509D">
              <w:rPr>
                <w:sz w:val="24"/>
                <w:szCs w:val="24"/>
                <w:lang w:val="en-GB"/>
              </w:rPr>
              <w:t>CTCAE grade 3</w:t>
            </w:r>
          </w:p>
        </w:tc>
        <w:tc>
          <w:tcPr>
            <w:tcW w:w="1984" w:type="dxa"/>
            <w:tcBorders>
              <w:top w:val="single" w:sz="4" w:space="0" w:color="auto"/>
              <w:left w:val="single" w:sz="4" w:space="0" w:color="auto"/>
              <w:bottom w:val="single" w:sz="4" w:space="0" w:color="auto"/>
              <w:right w:val="single" w:sz="4" w:space="0" w:color="auto"/>
            </w:tcBorders>
            <w:hideMark/>
          </w:tcPr>
          <w:p w14:paraId="49702E36" w14:textId="77777777" w:rsidR="0078138E" w:rsidRPr="009B509D" w:rsidRDefault="0078138E" w:rsidP="00762250">
            <w:pPr>
              <w:jc w:val="center"/>
              <w:rPr>
                <w:sz w:val="24"/>
                <w:szCs w:val="24"/>
                <w:lang w:val="en-GB"/>
              </w:rPr>
            </w:pPr>
            <w:r w:rsidRPr="009B509D">
              <w:rPr>
                <w:sz w:val="24"/>
                <w:szCs w:val="24"/>
                <w:lang w:val="en-GB"/>
              </w:rPr>
              <w:t>-</w:t>
            </w:r>
            <w:r w:rsidRPr="009B509D">
              <w:rPr>
                <w:sz w:val="24"/>
                <w:szCs w:val="24"/>
                <w:vertAlign w:val="superscript"/>
                <w:lang w:val="en-GB"/>
              </w:rPr>
              <w:t>6</w:t>
            </w:r>
          </w:p>
        </w:tc>
        <w:tc>
          <w:tcPr>
            <w:tcW w:w="1560" w:type="dxa"/>
            <w:tcBorders>
              <w:top w:val="single" w:sz="4" w:space="0" w:color="auto"/>
              <w:left w:val="single" w:sz="4" w:space="0" w:color="auto"/>
              <w:bottom w:val="single" w:sz="4" w:space="0" w:color="auto"/>
              <w:right w:val="single" w:sz="4" w:space="0" w:color="auto"/>
            </w:tcBorders>
            <w:hideMark/>
          </w:tcPr>
          <w:p w14:paraId="6FA9ACEC" w14:textId="77777777" w:rsidR="0078138E" w:rsidRPr="009B509D" w:rsidRDefault="0078138E" w:rsidP="00762250">
            <w:pPr>
              <w:jc w:val="center"/>
              <w:rPr>
                <w:sz w:val="24"/>
                <w:szCs w:val="24"/>
                <w:lang w:val="en-GB"/>
              </w:rPr>
            </w:pPr>
            <w:r w:rsidRPr="009B509D">
              <w:rPr>
                <w:sz w:val="24"/>
                <w:szCs w:val="24"/>
                <w:lang w:val="en-GB"/>
              </w:rPr>
              <w:t>-</w:t>
            </w:r>
            <w:r w:rsidRPr="009B509D">
              <w:rPr>
                <w:sz w:val="24"/>
                <w:szCs w:val="24"/>
                <w:vertAlign w:val="superscript"/>
                <w:lang w:val="en-GB"/>
              </w:rPr>
              <w:t>6</w:t>
            </w:r>
          </w:p>
        </w:tc>
        <w:tc>
          <w:tcPr>
            <w:tcW w:w="1559" w:type="dxa"/>
            <w:tcBorders>
              <w:top w:val="single" w:sz="4" w:space="0" w:color="auto"/>
              <w:left w:val="single" w:sz="4" w:space="0" w:color="auto"/>
              <w:bottom w:val="single" w:sz="4" w:space="0" w:color="auto"/>
              <w:right w:val="single" w:sz="4" w:space="0" w:color="auto"/>
            </w:tcBorders>
            <w:hideMark/>
          </w:tcPr>
          <w:p w14:paraId="5B5BDBBC" w14:textId="77777777" w:rsidR="0078138E" w:rsidRPr="009B509D" w:rsidRDefault="0078138E" w:rsidP="00762250">
            <w:pPr>
              <w:jc w:val="center"/>
              <w:rPr>
                <w:sz w:val="24"/>
                <w:szCs w:val="24"/>
                <w:lang w:val="en-GB"/>
              </w:rPr>
            </w:pPr>
            <w:r w:rsidRPr="009B509D">
              <w:rPr>
                <w:sz w:val="24"/>
                <w:szCs w:val="24"/>
                <w:lang w:val="en-GB"/>
              </w:rPr>
              <w:t>Common</w:t>
            </w:r>
          </w:p>
        </w:tc>
        <w:tc>
          <w:tcPr>
            <w:tcW w:w="1559" w:type="dxa"/>
            <w:tcBorders>
              <w:top w:val="single" w:sz="4" w:space="0" w:color="auto"/>
              <w:left w:val="single" w:sz="4" w:space="0" w:color="auto"/>
              <w:bottom w:val="single" w:sz="4" w:space="0" w:color="auto"/>
              <w:right w:val="single" w:sz="4" w:space="0" w:color="auto"/>
            </w:tcBorders>
            <w:hideMark/>
          </w:tcPr>
          <w:p w14:paraId="6E099AD4" w14:textId="77777777" w:rsidR="0078138E" w:rsidRPr="009B509D" w:rsidRDefault="0078138E" w:rsidP="00762250">
            <w:pPr>
              <w:jc w:val="center"/>
              <w:rPr>
                <w:sz w:val="24"/>
                <w:szCs w:val="24"/>
                <w:lang w:val="en-GB"/>
              </w:rPr>
            </w:pPr>
            <w:r w:rsidRPr="009B509D">
              <w:rPr>
                <w:sz w:val="24"/>
                <w:szCs w:val="24"/>
                <w:lang w:val="en-GB"/>
              </w:rPr>
              <w:t>N/A</w:t>
            </w:r>
            <w:r w:rsidRPr="009B509D">
              <w:rPr>
                <w:sz w:val="24"/>
                <w:szCs w:val="24"/>
                <w:vertAlign w:val="superscript"/>
                <w:lang w:val="en-GB"/>
              </w:rPr>
              <w:t>5</w:t>
            </w:r>
          </w:p>
        </w:tc>
      </w:tr>
      <w:tr w:rsidR="0078138E" w:rsidRPr="009B509D" w14:paraId="579B5178" w14:textId="77777777" w:rsidTr="0078138E">
        <w:tc>
          <w:tcPr>
            <w:tcW w:w="2660" w:type="dxa"/>
            <w:tcBorders>
              <w:top w:val="single" w:sz="4" w:space="0" w:color="auto"/>
              <w:left w:val="single" w:sz="4" w:space="0" w:color="auto"/>
              <w:bottom w:val="single" w:sz="4" w:space="0" w:color="auto"/>
              <w:right w:val="single" w:sz="4" w:space="0" w:color="auto"/>
            </w:tcBorders>
            <w:hideMark/>
          </w:tcPr>
          <w:p w14:paraId="7F79EC31" w14:textId="77777777" w:rsidR="0078138E" w:rsidRPr="009B509D" w:rsidRDefault="0078138E" w:rsidP="00762250">
            <w:pPr>
              <w:ind w:left="284"/>
              <w:rPr>
                <w:bCs/>
                <w:sz w:val="24"/>
                <w:szCs w:val="24"/>
                <w:lang w:val="en-GB"/>
              </w:rPr>
            </w:pPr>
            <w:r w:rsidRPr="009B509D">
              <w:rPr>
                <w:sz w:val="24"/>
                <w:szCs w:val="24"/>
                <w:lang w:val="en-GB"/>
              </w:rPr>
              <w:t>CTCAE grade 4</w:t>
            </w:r>
          </w:p>
        </w:tc>
        <w:tc>
          <w:tcPr>
            <w:tcW w:w="1984" w:type="dxa"/>
            <w:tcBorders>
              <w:top w:val="single" w:sz="4" w:space="0" w:color="auto"/>
              <w:left w:val="single" w:sz="4" w:space="0" w:color="auto"/>
              <w:bottom w:val="single" w:sz="4" w:space="0" w:color="auto"/>
              <w:right w:val="single" w:sz="4" w:space="0" w:color="auto"/>
            </w:tcBorders>
            <w:hideMark/>
          </w:tcPr>
          <w:p w14:paraId="03670C71" w14:textId="77777777" w:rsidR="0078138E" w:rsidRPr="009B509D" w:rsidRDefault="0078138E" w:rsidP="00762250">
            <w:pPr>
              <w:jc w:val="center"/>
              <w:rPr>
                <w:sz w:val="24"/>
                <w:szCs w:val="24"/>
                <w:lang w:val="en-GB"/>
              </w:rPr>
            </w:pPr>
            <w:r w:rsidRPr="009B509D">
              <w:rPr>
                <w:sz w:val="24"/>
                <w:szCs w:val="24"/>
                <w:lang w:val="en-GB"/>
              </w:rPr>
              <w:t>-</w:t>
            </w:r>
            <w:r w:rsidRPr="009B509D">
              <w:rPr>
                <w:sz w:val="24"/>
                <w:szCs w:val="24"/>
                <w:vertAlign w:val="superscript"/>
                <w:lang w:val="en-GB"/>
              </w:rPr>
              <w:t>6</w:t>
            </w:r>
          </w:p>
        </w:tc>
        <w:tc>
          <w:tcPr>
            <w:tcW w:w="1560" w:type="dxa"/>
            <w:tcBorders>
              <w:top w:val="single" w:sz="4" w:space="0" w:color="auto"/>
              <w:left w:val="single" w:sz="4" w:space="0" w:color="auto"/>
              <w:bottom w:val="single" w:sz="4" w:space="0" w:color="auto"/>
              <w:right w:val="single" w:sz="4" w:space="0" w:color="auto"/>
            </w:tcBorders>
            <w:hideMark/>
          </w:tcPr>
          <w:p w14:paraId="2354F4A3" w14:textId="77777777" w:rsidR="0078138E" w:rsidRPr="009B509D" w:rsidRDefault="0078138E" w:rsidP="00762250">
            <w:pPr>
              <w:jc w:val="center"/>
              <w:rPr>
                <w:sz w:val="24"/>
                <w:szCs w:val="24"/>
                <w:lang w:val="en-GB"/>
              </w:rPr>
            </w:pPr>
            <w:r w:rsidRPr="009B509D">
              <w:rPr>
                <w:sz w:val="24"/>
                <w:szCs w:val="24"/>
                <w:lang w:val="en-GB"/>
              </w:rPr>
              <w:t>-</w:t>
            </w:r>
            <w:r w:rsidRPr="009B509D">
              <w:rPr>
                <w:sz w:val="24"/>
                <w:szCs w:val="24"/>
                <w:vertAlign w:val="superscript"/>
                <w:lang w:val="en-GB"/>
              </w:rPr>
              <w:t>6</w:t>
            </w:r>
          </w:p>
        </w:tc>
        <w:tc>
          <w:tcPr>
            <w:tcW w:w="1559" w:type="dxa"/>
            <w:tcBorders>
              <w:top w:val="single" w:sz="4" w:space="0" w:color="auto"/>
              <w:left w:val="single" w:sz="4" w:space="0" w:color="auto"/>
              <w:bottom w:val="single" w:sz="4" w:space="0" w:color="auto"/>
              <w:right w:val="single" w:sz="4" w:space="0" w:color="auto"/>
            </w:tcBorders>
            <w:hideMark/>
          </w:tcPr>
          <w:p w14:paraId="0D39E3CA" w14:textId="77777777" w:rsidR="0078138E" w:rsidRPr="009B509D" w:rsidRDefault="0078138E" w:rsidP="00762250">
            <w:pPr>
              <w:jc w:val="center"/>
              <w:rPr>
                <w:sz w:val="24"/>
                <w:szCs w:val="24"/>
                <w:lang w:val="en-GB"/>
              </w:rPr>
            </w:pPr>
            <w:r w:rsidRPr="009B509D">
              <w:rPr>
                <w:sz w:val="24"/>
                <w:szCs w:val="24"/>
                <w:lang w:val="en-GB"/>
              </w:rPr>
              <w:t>N/A</w:t>
            </w:r>
            <w:r w:rsidRPr="009B509D">
              <w:rPr>
                <w:sz w:val="24"/>
                <w:szCs w:val="24"/>
                <w:vertAlign w:val="superscript"/>
                <w:lang w:val="en-GB"/>
              </w:rPr>
              <w:t>5</w:t>
            </w:r>
          </w:p>
        </w:tc>
        <w:tc>
          <w:tcPr>
            <w:tcW w:w="1559" w:type="dxa"/>
            <w:tcBorders>
              <w:top w:val="single" w:sz="4" w:space="0" w:color="auto"/>
              <w:left w:val="single" w:sz="4" w:space="0" w:color="auto"/>
              <w:bottom w:val="single" w:sz="4" w:space="0" w:color="auto"/>
              <w:right w:val="single" w:sz="4" w:space="0" w:color="auto"/>
            </w:tcBorders>
            <w:hideMark/>
          </w:tcPr>
          <w:p w14:paraId="00E4764E" w14:textId="77777777" w:rsidR="0078138E" w:rsidRPr="009B509D" w:rsidRDefault="0078138E" w:rsidP="00762250">
            <w:pPr>
              <w:jc w:val="center"/>
              <w:rPr>
                <w:sz w:val="24"/>
                <w:szCs w:val="24"/>
                <w:lang w:val="en-GB"/>
              </w:rPr>
            </w:pPr>
            <w:r w:rsidRPr="009B509D">
              <w:rPr>
                <w:sz w:val="24"/>
                <w:szCs w:val="24"/>
                <w:lang w:val="en-GB"/>
              </w:rPr>
              <w:t>N/A</w:t>
            </w:r>
            <w:r w:rsidRPr="009B509D">
              <w:rPr>
                <w:sz w:val="24"/>
                <w:szCs w:val="24"/>
                <w:vertAlign w:val="superscript"/>
                <w:lang w:val="en-GB"/>
              </w:rPr>
              <w:t>5</w:t>
            </w:r>
          </w:p>
        </w:tc>
      </w:tr>
      <w:tr w:rsidR="0078138E" w:rsidRPr="00873345" w14:paraId="41D314A8" w14:textId="77777777" w:rsidTr="0078138E">
        <w:tc>
          <w:tcPr>
            <w:tcW w:w="9322" w:type="dxa"/>
            <w:gridSpan w:val="5"/>
            <w:tcBorders>
              <w:top w:val="single" w:sz="4" w:space="0" w:color="auto"/>
              <w:left w:val="single" w:sz="4" w:space="0" w:color="auto"/>
              <w:bottom w:val="single" w:sz="4" w:space="0" w:color="auto"/>
              <w:right w:val="single" w:sz="4" w:space="0" w:color="auto"/>
            </w:tcBorders>
            <w:hideMark/>
          </w:tcPr>
          <w:p w14:paraId="7C915F34" w14:textId="0E47C276" w:rsidR="0078138E" w:rsidRPr="009B509D" w:rsidRDefault="0078138E" w:rsidP="00762250">
            <w:pPr>
              <w:ind w:left="284" w:hanging="284"/>
              <w:rPr>
                <w:sz w:val="24"/>
                <w:szCs w:val="24"/>
                <w:lang w:val="en-GB"/>
              </w:rPr>
            </w:pPr>
            <w:r w:rsidRPr="009B509D">
              <w:rPr>
                <w:sz w:val="24"/>
                <w:szCs w:val="24"/>
                <w:vertAlign w:val="superscript"/>
                <w:lang w:val="en-GB"/>
              </w:rPr>
              <w:t>1</w:t>
            </w:r>
            <w:r w:rsidRPr="009B509D">
              <w:rPr>
                <w:sz w:val="24"/>
                <w:szCs w:val="24"/>
                <w:lang w:val="en-GB"/>
              </w:rPr>
              <w:t xml:space="preserve"> </w:t>
            </w:r>
            <w:r w:rsidR="00762250">
              <w:rPr>
                <w:sz w:val="24"/>
                <w:szCs w:val="24"/>
                <w:lang w:val="en-GB"/>
              </w:rPr>
              <w:tab/>
            </w:r>
            <w:r w:rsidRPr="009B509D">
              <w:rPr>
                <w:sz w:val="24"/>
                <w:szCs w:val="24"/>
                <w:lang w:val="en-GB"/>
              </w:rPr>
              <w:t>Frequency is based on new or worsened laboratory abnormalities compared to baseline.</w:t>
            </w:r>
          </w:p>
          <w:p w14:paraId="6FFE47CC" w14:textId="71FBEE8C" w:rsidR="0078138E" w:rsidRPr="009B509D" w:rsidRDefault="0078138E" w:rsidP="00762250">
            <w:pPr>
              <w:ind w:left="284" w:hanging="284"/>
              <w:rPr>
                <w:sz w:val="24"/>
                <w:szCs w:val="24"/>
                <w:lang w:val="en-GB"/>
              </w:rPr>
            </w:pPr>
            <w:r w:rsidRPr="009B509D">
              <w:rPr>
                <w:sz w:val="24"/>
                <w:szCs w:val="24"/>
                <w:vertAlign w:val="superscript"/>
                <w:lang w:val="en-GB"/>
              </w:rPr>
              <w:t>2</w:t>
            </w:r>
            <w:r w:rsidRPr="009B509D">
              <w:rPr>
                <w:sz w:val="24"/>
                <w:szCs w:val="24"/>
                <w:lang w:val="en-GB"/>
              </w:rPr>
              <w:t xml:space="preserve"> </w:t>
            </w:r>
            <w:r w:rsidR="00762250">
              <w:rPr>
                <w:sz w:val="24"/>
                <w:szCs w:val="24"/>
                <w:lang w:val="en-GB"/>
              </w:rPr>
              <w:tab/>
            </w:r>
            <w:r w:rsidRPr="009B509D">
              <w:rPr>
                <w:sz w:val="24"/>
                <w:szCs w:val="24"/>
                <w:lang w:val="en-GB"/>
              </w:rPr>
              <w:t>Pancytopenia is defined as haemoglobin level &lt;100 g/l, platelet count &lt;100 x 10</w:t>
            </w:r>
            <w:r w:rsidRPr="009B509D">
              <w:rPr>
                <w:sz w:val="24"/>
                <w:szCs w:val="24"/>
                <w:vertAlign w:val="superscript"/>
                <w:lang w:val="en-GB"/>
              </w:rPr>
              <w:t>9</w:t>
            </w:r>
            <w:r w:rsidRPr="009B509D">
              <w:rPr>
                <w:sz w:val="24"/>
                <w:szCs w:val="24"/>
                <w:lang w:val="en-GB"/>
              </w:rPr>
              <w:t>/l, and neutrophil count &lt;1.5 x 10</w:t>
            </w:r>
            <w:r w:rsidRPr="009B509D">
              <w:rPr>
                <w:sz w:val="24"/>
                <w:szCs w:val="24"/>
                <w:vertAlign w:val="superscript"/>
                <w:lang w:val="en-GB"/>
              </w:rPr>
              <w:t>9</w:t>
            </w:r>
            <w:r w:rsidRPr="009B509D">
              <w:rPr>
                <w:sz w:val="24"/>
                <w:szCs w:val="24"/>
                <w:lang w:val="en-GB"/>
              </w:rPr>
              <w:t>/l (or low white blood cell count of grade 2 if neutrophil count is missing), simultaneously in the same laboratory assessment.</w:t>
            </w:r>
          </w:p>
          <w:p w14:paraId="09154B55" w14:textId="68FB6E36" w:rsidR="0078138E" w:rsidRPr="009B509D" w:rsidRDefault="0078138E" w:rsidP="00762250">
            <w:pPr>
              <w:ind w:left="284" w:hanging="284"/>
              <w:rPr>
                <w:sz w:val="24"/>
                <w:szCs w:val="24"/>
                <w:lang w:val="en-GB"/>
              </w:rPr>
            </w:pPr>
            <w:r w:rsidRPr="009B509D">
              <w:rPr>
                <w:sz w:val="24"/>
                <w:szCs w:val="24"/>
                <w:vertAlign w:val="superscript"/>
                <w:lang w:val="en-GB"/>
              </w:rPr>
              <w:t>3</w:t>
            </w:r>
            <w:r w:rsidRPr="009B509D">
              <w:rPr>
                <w:sz w:val="24"/>
                <w:szCs w:val="24"/>
                <w:lang w:val="en-GB"/>
              </w:rPr>
              <w:t xml:space="preserve"> </w:t>
            </w:r>
            <w:r w:rsidR="00762250">
              <w:rPr>
                <w:sz w:val="24"/>
                <w:szCs w:val="24"/>
                <w:lang w:val="en-GB"/>
              </w:rPr>
              <w:tab/>
            </w:r>
            <w:r w:rsidRPr="009B509D">
              <w:rPr>
                <w:sz w:val="24"/>
                <w:szCs w:val="24"/>
                <w:lang w:val="en-GB"/>
              </w:rPr>
              <w:t>CTCAE Version 4.03.</w:t>
            </w:r>
          </w:p>
          <w:p w14:paraId="10F7B6DA" w14:textId="10C0097A" w:rsidR="0078138E" w:rsidRPr="009B509D" w:rsidRDefault="0078138E" w:rsidP="00762250">
            <w:pPr>
              <w:ind w:left="284" w:hanging="284"/>
              <w:rPr>
                <w:sz w:val="24"/>
                <w:szCs w:val="24"/>
                <w:lang w:val="en-GB"/>
              </w:rPr>
            </w:pPr>
            <w:r w:rsidRPr="009B509D">
              <w:rPr>
                <w:sz w:val="24"/>
                <w:szCs w:val="24"/>
                <w:vertAlign w:val="superscript"/>
                <w:lang w:val="en-GB"/>
              </w:rPr>
              <w:t>4</w:t>
            </w:r>
            <w:r w:rsidRPr="009B509D">
              <w:rPr>
                <w:sz w:val="24"/>
                <w:szCs w:val="24"/>
                <w:lang w:val="en-GB"/>
              </w:rPr>
              <w:t xml:space="preserve"> </w:t>
            </w:r>
            <w:r w:rsidR="00762250">
              <w:rPr>
                <w:sz w:val="24"/>
                <w:szCs w:val="24"/>
                <w:lang w:val="en-GB"/>
              </w:rPr>
              <w:tab/>
            </w:r>
            <w:r w:rsidRPr="009B509D">
              <w:rPr>
                <w:sz w:val="24"/>
                <w:szCs w:val="24"/>
                <w:lang w:val="en-GB"/>
              </w:rPr>
              <w:t xml:space="preserve">Grade ≥3 sepsis includes 20 (10%) grade 5 events in REACH2. There </w:t>
            </w:r>
            <w:proofErr w:type="gramStart"/>
            <w:r w:rsidRPr="009B509D">
              <w:rPr>
                <w:sz w:val="24"/>
                <w:szCs w:val="24"/>
                <w:lang w:val="en-GB"/>
              </w:rPr>
              <w:t>were</w:t>
            </w:r>
            <w:proofErr w:type="gramEnd"/>
            <w:r w:rsidRPr="009B509D">
              <w:rPr>
                <w:sz w:val="24"/>
                <w:szCs w:val="24"/>
                <w:lang w:val="en-GB"/>
              </w:rPr>
              <w:t xml:space="preserve"> no grade 5 events in the paediatric pool.</w:t>
            </w:r>
          </w:p>
          <w:p w14:paraId="0A2E7ACD" w14:textId="32384A77" w:rsidR="0078138E" w:rsidRPr="009B509D" w:rsidRDefault="0078138E" w:rsidP="00762250">
            <w:pPr>
              <w:ind w:left="284" w:hanging="284"/>
              <w:rPr>
                <w:sz w:val="24"/>
                <w:szCs w:val="24"/>
                <w:lang w:val="en-GB"/>
              </w:rPr>
            </w:pPr>
            <w:r w:rsidRPr="009B509D">
              <w:rPr>
                <w:sz w:val="24"/>
                <w:szCs w:val="24"/>
                <w:vertAlign w:val="superscript"/>
                <w:lang w:val="en-GB"/>
              </w:rPr>
              <w:t>5</w:t>
            </w:r>
            <w:r w:rsidRPr="009B509D">
              <w:rPr>
                <w:sz w:val="24"/>
                <w:szCs w:val="24"/>
                <w:lang w:val="en-GB"/>
              </w:rPr>
              <w:t xml:space="preserve"> </w:t>
            </w:r>
            <w:r w:rsidR="00762250">
              <w:rPr>
                <w:sz w:val="24"/>
                <w:szCs w:val="24"/>
                <w:lang w:val="en-GB"/>
              </w:rPr>
              <w:tab/>
            </w:r>
            <w:r w:rsidRPr="009B509D">
              <w:rPr>
                <w:sz w:val="24"/>
                <w:szCs w:val="24"/>
                <w:lang w:val="en-GB"/>
              </w:rPr>
              <w:t>Not applicable: no cases reported</w:t>
            </w:r>
          </w:p>
          <w:p w14:paraId="3429C764" w14:textId="348D7319" w:rsidR="0078138E" w:rsidRPr="009B509D" w:rsidRDefault="0078138E" w:rsidP="00762250">
            <w:pPr>
              <w:ind w:left="284" w:hanging="284"/>
              <w:rPr>
                <w:sz w:val="24"/>
                <w:szCs w:val="24"/>
                <w:vertAlign w:val="superscript"/>
                <w:lang w:val="en-GB"/>
              </w:rPr>
            </w:pPr>
            <w:r w:rsidRPr="009B509D">
              <w:rPr>
                <w:sz w:val="24"/>
                <w:szCs w:val="24"/>
                <w:vertAlign w:val="superscript"/>
                <w:lang w:val="en-GB"/>
              </w:rPr>
              <w:t>6</w:t>
            </w:r>
            <w:r w:rsidRPr="009B509D">
              <w:rPr>
                <w:sz w:val="24"/>
                <w:szCs w:val="24"/>
                <w:lang w:val="en-GB"/>
              </w:rPr>
              <w:t xml:space="preserve"> </w:t>
            </w:r>
            <w:r w:rsidR="00762250">
              <w:rPr>
                <w:sz w:val="24"/>
                <w:szCs w:val="24"/>
                <w:lang w:val="en-GB"/>
              </w:rPr>
              <w:tab/>
            </w:r>
            <w:r w:rsidR="009B509D">
              <w:rPr>
                <w:sz w:val="24"/>
                <w:szCs w:val="24"/>
                <w:lang w:val="en-GB"/>
              </w:rPr>
              <w:t>"</w:t>
            </w:r>
            <w:r w:rsidRPr="009B509D">
              <w:rPr>
                <w:sz w:val="24"/>
                <w:szCs w:val="24"/>
                <w:lang w:val="en-GB"/>
              </w:rPr>
              <w:t>-</w:t>
            </w:r>
            <w:r w:rsidR="009B509D">
              <w:rPr>
                <w:sz w:val="24"/>
                <w:szCs w:val="24"/>
                <w:lang w:val="en-GB"/>
              </w:rPr>
              <w:t>"</w:t>
            </w:r>
            <w:r w:rsidRPr="009B509D">
              <w:rPr>
                <w:sz w:val="24"/>
                <w:szCs w:val="24"/>
                <w:lang w:val="en-GB"/>
              </w:rPr>
              <w:t>: not an identified adverse drug reaction in this indication</w:t>
            </w:r>
          </w:p>
        </w:tc>
      </w:tr>
    </w:tbl>
    <w:p w14:paraId="59CC35E4" w14:textId="77777777" w:rsidR="0078138E" w:rsidRPr="0078138E" w:rsidRDefault="0078138E" w:rsidP="0078138E">
      <w:pPr>
        <w:tabs>
          <w:tab w:val="left" w:pos="851"/>
        </w:tabs>
        <w:ind w:left="851"/>
        <w:rPr>
          <w:bCs/>
          <w:sz w:val="24"/>
          <w:szCs w:val="24"/>
          <w:lang w:val="en-GB"/>
        </w:rPr>
      </w:pPr>
    </w:p>
    <w:p w14:paraId="0A3C42E6" w14:textId="77777777" w:rsidR="0078138E" w:rsidRPr="0078138E" w:rsidRDefault="0078138E" w:rsidP="00217386">
      <w:pPr>
        <w:ind w:left="851"/>
        <w:rPr>
          <w:sz w:val="24"/>
          <w:szCs w:val="24"/>
          <w:u w:val="single"/>
          <w:lang w:val="en-GB"/>
        </w:rPr>
      </w:pPr>
      <w:r w:rsidRPr="0078138E">
        <w:rPr>
          <w:sz w:val="24"/>
          <w:szCs w:val="24"/>
          <w:u w:val="single"/>
          <w:lang w:val="en-GB"/>
        </w:rPr>
        <w:t>Description of selected adverse drug reactions</w:t>
      </w:r>
    </w:p>
    <w:p w14:paraId="44DF2794" w14:textId="77777777" w:rsidR="0078138E" w:rsidRPr="0078138E" w:rsidRDefault="0078138E" w:rsidP="00217386">
      <w:pPr>
        <w:ind w:left="851"/>
        <w:rPr>
          <w:sz w:val="24"/>
          <w:szCs w:val="24"/>
          <w:lang w:val="en-GB"/>
        </w:rPr>
      </w:pPr>
    </w:p>
    <w:p w14:paraId="3FFE312E" w14:textId="77777777" w:rsidR="0078138E" w:rsidRPr="0078138E" w:rsidRDefault="0078138E" w:rsidP="00217386">
      <w:pPr>
        <w:ind w:left="851"/>
        <w:rPr>
          <w:sz w:val="24"/>
          <w:szCs w:val="24"/>
          <w:u w:val="single"/>
          <w:lang w:val="en-GB"/>
        </w:rPr>
      </w:pPr>
      <w:r w:rsidRPr="0078138E">
        <w:rPr>
          <w:i/>
          <w:iCs/>
          <w:sz w:val="24"/>
          <w:szCs w:val="24"/>
          <w:u w:val="single"/>
          <w:lang w:val="en-GB"/>
        </w:rPr>
        <w:t>Anaemia</w:t>
      </w:r>
    </w:p>
    <w:p w14:paraId="15B19871" w14:textId="77777777" w:rsidR="0078138E" w:rsidRPr="0078138E" w:rsidRDefault="0078138E" w:rsidP="00217386">
      <w:pPr>
        <w:ind w:left="851"/>
        <w:rPr>
          <w:sz w:val="24"/>
          <w:szCs w:val="24"/>
          <w:lang w:val="en-GB"/>
        </w:rPr>
      </w:pPr>
      <w:r w:rsidRPr="0078138E">
        <w:rPr>
          <w:sz w:val="24"/>
          <w:szCs w:val="24"/>
          <w:lang w:val="en-GB"/>
        </w:rPr>
        <w:t>In phase 3 clinical studies in MF, median time to onset of first CTCAE grade 2 or higher anaemia was 1.5 months. One patient (0.3%) discontinued treatment because of anaemia.</w:t>
      </w:r>
    </w:p>
    <w:p w14:paraId="5931DBA6" w14:textId="77777777" w:rsidR="0078138E" w:rsidRPr="0078138E" w:rsidRDefault="0078138E" w:rsidP="00217386">
      <w:pPr>
        <w:ind w:left="851"/>
        <w:rPr>
          <w:sz w:val="24"/>
          <w:szCs w:val="24"/>
          <w:lang w:val="en-GB"/>
        </w:rPr>
      </w:pPr>
    </w:p>
    <w:p w14:paraId="68C45CC6" w14:textId="77777777" w:rsidR="0078138E" w:rsidRPr="0078138E" w:rsidRDefault="0078138E" w:rsidP="00217386">
      <w:pPr>
        <w:ind w:left="851"/>
        <w:rPr>
          <w:sz w:val="24"/>
          <w:szCs w:val="24"/>
          <w:lang w:val="en-GB"/>
        </w:rPr>
      </w:pPr>
      <w:r w:rsidRPr="0078138E">
        <w:rPr>
          <w:sz w:val="24"/>
          <w:szCs w:val="24"/>
          <w:lang w:val="en-GB"/>
        </w:rPr>
        <w:t xml:space="preserve">In patients receiving </w:t>
      </w:r>
      <w:proofErr w:type="spellStart"/>
      <w:r w:rsidRPr="0078138E">
        <w:rPr>
          <w:sz w:val="24"/>
          <w:szCs w:val="24"/>
          <w:lang w:val="en-GB"/>
        </w:rPr>
        <w:t>ruxolitinib</w:t>
      </w:r>
      <w:proofErr w:type="spellEnd"/>
      <w:r w:rsidRPr="0078138E">
        <w:rPr>
          <w:sz w:val="24"/>
          <w:szCs w:val="24"/>
          <w:lang w:val="en-GB"/>
        </w:rPr>
        <w:t xml:space="preserve"> mean decreases in haemoglobin reached a nadir of approximately 10 g/litre below baseline after 8 to 12 weeks of therapy and then gradually recovered to reach a new steady state that was approximately 5 g/litre below baseline. This pattern was observed in patients regardless of whether they had received transfusion during therapy.</w:t>
      </w:r>
    </w:p>
    <w:p w14:paraId="5028003B" w14:textId="77777777" w:rsidR="0078138E" w:rsidRPr="0078138E" w:rsidRDefault="0078138E" w:rsidP="00217386">
      <w:pPr>
        <w:ind w:left="851"/>
        <w:rPr>
          <w:sz w:val="24"/>
          <w:szCs w:val="24"/>
          <w:lang w:val="en-GB"/>
        </w:rPr>
      </w:pPr>
    </w:p>
    <w:p w14:paraId="299DAB48" w14:textId="77777777" w:rsidR="0078138E" w:rsidRPr="0078138E" w:rsidRDefault="0078138E" w:rsidP="00217386">
      <w:pPr>
        <w:ind w:left="851"/>
        <w:rPr>
          <w:sz w:val="24"/>
          <w:szCs w:val="24"/>
          <w:lang w:val="en-GB"/>
        </w:rPr>
      </w:pPr>
      <w:r w:rsidRPr="0078138E">
        <w:rPr>
          <w:sz w:val="24"/>
          <w:szCs w:val="24"/>
          <w:lang w:val="en-GB"/>
        </w:rPr>
        <w:t xml:space="preserve">In the randomised, placebo-controlled study COMFORT-I 60.6% of </w:t>
      </w:r>
      <w:proofErr w:type="spellStart"/>
      <w:r w:rsidRPr="0078138E">
        <w:rPr>
          <w:sz w:val="24"/>
          <w:szCs w:val="24"/>
          <w:lang w:val="en-GB"/>
        </w:rPr>
        <w:t>ruxolitinib</w:t>
      </w:r>
      <w:proofErr w:type="spellEnd"/>
      <w:r w:rsidRPr="0078138E">
        <w:rPr>
          <w:sz w:val="24"/>
          <w:szCs w:val="24"/>
          <w:lang w:val="en-GB"/>
        </w:rPr>
        <w:t xml:space="preserve"> -treated MF patients and 37.7% of placebo-treated MF patients received red blood cell transfusions during randomised treatment. In the COMFORT-II study the rate of packed red blood cell transfusions was 53.4% in the </w:t>
      </w:r>
      <w:proofErr w:type="spellStart"/>
      <w:r w:rsidRPr="0078138E">
        <w:rPr>
          <w:sz w:val="24"/>
          <w:szCs w:val="24"/>
          <w:lang w:val="en-GB"/>
        </w:rPr>
        <w:t>ruxolitinib</w:t>
      </w:r>
      <w:proofErr w:type="spellEnd"/>
      <w:r w:rsidRPr="0078138E">
        <w:rPr>
          <w:sz w:val="24"/>
          <w:szCs w:val="24"/>
          <w:lang w:val="en-GB"/>
        </w:rPr>
        <w:t xml:space="preserve"> arm and 41.1% in the best available therapy arm.</w:t>
      </w:r>
    </w:p>
    <w:p w14:paraId="20C0A673" w14:textId="77777777" w:rsidR="0078138E" w:rsidRPr="0078138E" w:rsidRDefault="0078138E" w:rsidP="00217386">
      <w:pPr>
        <w:ind w:left="851"/>
        <w:rPr>
          <w:sz w:val="24"/>
          <w:szCs w:val="24"/>
          <w:lang w:val="en-GB"/>
        </w:rPr>
      </w:pPr>
    </w:p>
    <w:p w14:paraId="19BE5396" w14:textId="77777777" w:rsidR="0078138E" w:rsidRPr="0078138E" w:rsidRDefault="0078138E" w:rsidP="00217386">
      <w:pPr>
        <w:ind w:left="851"/>
        <w:rPr>
          <w:sz w:val="24"/>
          <w:szCs w:val="24"/>
          <w:lang w:val="en-GB"/>
        </w:rPr>
      </w:pPr>
      <w:r w:rsidRPr="0078138E">
        <w:rPr>
          <w:sz w:val="24"/>
          <w:szCs w:val="24"/>
          <w:lang w:val="en-GB"/>
        </w:rPr>
        <w:t>In the randomised period of the pivotal studies, anaemia was less frequent in PV patients than in MF patients (40.8% versus 82.4%). In the PV population, the CTCAE grade 3 and 4 events were reported in 2.7%, while in the MF patients the frequency was 42.56%.</w:t>
      </w:r>
    </w:p>
    <w:p w14:paraId="359951BF" w14:textId="77777777" w:rsidR="0078138E" w:rsidRPr="0078138E" w:rsidRDefault="0078138E" w:rsidP="00217386">
      <w:pPr>
        <w:ind w:left="851"/>
        <w:rPr>
          <w:sz w:val="24"/>
          <w:szCs w:val="24"/>
          <w:lang w:val="en-GB"/>
        </w:rPr>
      </w:pPr>
    </w:p>
    <w:p w14:paraId="55E1E553" w14:textId="77777777" w:rsidR="0078138E" w:rsidRPr="0078138E" w:rsidRDefault="0078138E" w:rsidP="00217386">
      <w:pPr>
        <w:ind w:left="851"/>
        <w:rPr>
          <w:b/>
          <w:sz w:val="24"/>
          <w:szCs w:val="24"/>
          <w:lang w:val="en-GB"/>
        </w:rPr>
      </w:pPr>
      <w:r w:rsidRPr="0078138E">
        <w:rPr>
          <w:sz w:val="24"/>
          <w:szCs w:val="24"/>
          <w:lang w:val="en-GB"/>
        </w:rPr>
        <w:t>In the phase 3 acute (REACH2) and chronic (REACH3) GvHD studies, anaemia (all grades) was reported in 75.0% and 68.6% of patients, CTCAE grade 3 was reported in 47.7% and 14.8% of patients, respectively. In paediatric patients with acute and chronic GvHD, anaemia (all grades) was reported in 70.8% and 49.1% of patients, CTCAE grade 3 was reported in 45.8% and 17.0% of patients, respectively.</w:t>
      </w:r>
    </w:p>
    <w:p w14:paraId="5627924B" w14:textId="77777777" w:rsidR="0078138E" w:rsidRPr="0078138E" w:rsidRDefault="0078138E" w:rsidP="00217386">
      <w:pPr>
        <w:ind w:left="851"/>
        <w:rPr>
          <w:bCs/>
          <w:sz w:val="24"/>
          <w:szCs w:val="24"/>
          <w:lang w:val="en-GB"/>
        </w:rPr>
      </w:pPr>
    </w:p>
    <w:p w14:paraId="47242BBA" w14:textId="77777777" w:rsidR="0078138E" w:rsidRPr="0078138E" w:rsidRDefault="0078138E" w:rsidP="00217386">
      <w:pPr>
        <w:ind w:left="851"/>
        <w:rPr>
          <w:sz w:val="24"/>
          <w:szCs w:val="24"/>
          <w:u w:val="single"/>
          <w:lang w:val="en-GB"/>
        </w:rPr>
      </w:pPr>
      <w:r w:rsidRPr="0078138E">
        <w:rPr>
          <w:i/>
          <w:iCs/>
          <w:sz w:val="24"/>
          <w:szCs w:val="24"/>
          <w:u w:val="single"/>
          <w:lang w:val="en-GB"/>
        </w:rPr>
        <w:t>Thrombocytopenia</w:t>
      </w:r>
    </w:p>
    <w:p w14:paraId="51AE484D" w14:textId="77777777" w:rsidR="0078138E" w:rsidRPr="0078138E" w:rsidRDefault="0078138E" w:rsidP="00217386">
      <w:pPr>
        <w:ind w:left="851"/>
        <w:rPr>
          <w:sz w:val="24"/>
          <w:szCs w:val="24"/>
          <w:lang w:val="en-GB"/>
        </w:rPr>
      </w:pPr>
      <w:r w:rsidRPr="0078138E">
        <w:rPr>
          <w:sz w:val="24"/>
          <w:szCs w:val="24"/>
          <w:lang w:val="en-GB"/>
        </w:rPr>
        <w:t>In the phase 3 clinical studies in MF, in patients who developed grade 3 or 4 thrombocytopenia, the median time to onset was approximately 8 weeks. Thrombocytopenia was generally reversible with dose reduction or dose interruption. The median time to recovery of platelet counts above 50 000/mm</w:t>
      </w:r>
      <w:r w:rsidRPr="0078138E">
        <w:rPr>
          <w:sz w:val="24"/>
          <w:szCs w:val="24"/>
          <w:vertAlign w:val="superscript"/>
          <w:lang w:val="en-GB"/>
        </w:rPr>
        <w:t xml:space="preserve">3 </w:t>
      </w:r>
      <w:r w:rsidRPr="0078138E">
        <w:rPr>
          <w:sz w:val="24"/>
          <w:szCs w:val="24"/>
          <w:lang w:val="en-GB"/>
        </w:rPr>
        <w:t xml:space="preserve">was 14 days. During the randomised period, platelet transfusions were administered to 4.7% of patients receiving </w:t>
      </w:r>
      <w:proofErr w:type="spellStart"/>
      <w:r w:rsidRPr="0078138E">
        <w:rPr>
          <w:sz w:val="24"/>
          <w:szCs w:val="24"/>
          <w:lang w:val="en-GB"/>
        </w:rPr>
        <w:t>ruxolitinib</w:t>
      </w:r>
      <w:proofErr w:type="spellEnd"/>
      <w:r w:rsidRPr="0078138E">
        <w:rPr>
          <w:sz w:val="24"/>
          <w:szCs w:val="24"/>
          <w:lang w:val="en-GB"/>
        </w:rPr>
        <w:t xml:space="preserve"> and to 4.0% of patients receiving control regimens. Discontinuation of treatment because of thrombocytopenia occurred in 0.7% of patients receiving </w:t>
      </w:r>
      <w:proofErr w:type="spellStart"/>
      <w:r w:rsidRPr="0078138E">
        <w:rPr>
          <w:sz w:val="24"/>
          <w:szCs w:val="24"/>
          <w:lang w:val="en-GB"/>
        </w:rPr>
        <w:t>ruxolitinib</w:t>
      </w:r>
      <w:proofErr w:type="spellEnd"/>
      <w:r w:rsidRPr="0078138E">
        <w:rPr>
          <w:sz w:val="24"/>
          <w:szCs w:val="24"/>
          <w:lang w:val="en-GB"/>
        </w:rPr>
        <w:t xml:space="preserve"> and 0.9% of patients receiving control regimens. Patients with a platelet count of 100 000/mm</w:t>
      </w:r>
      <w:r w:rsidRPr="0078138E">
        <w:rPr>
          <w:sz w:val="24"/>
          <w:szCs w:val="24"/>
          <w:vertAlign w:val="superscript"/>
          <w:lang w:val="en-GB"/>
        </w:rPr>
        <w:t>3</w:t>
      </w:r>
      <w:r w:rsidRPr="0078138E">
        <w:rPr>
          <w:sz w:val="24"/>
          <w:szCs w:val="24"/>
          <w:lang w:val="en-GB"/>
        </w:rPr>
        <w:t xml:space="preserve"> to 200 000/mm</w:t>
      </w:r>
      <w:r w:rsidRPr="0078138E">
        <w:rPr>
          <w:sz w:val="24"/>
          <w:szCs w:val="24"/>
          <w:vertAlign w:val="superscript"/>
          <w:lang w:val="en-GB"/>
        </w:rPr>
        <w:t xml:space="preserve">3 </w:t>
      </w:r>
      <w:r w:rsidRPr="0078138E">
        <w:rPr>
          <w:sz w:val="24"/>
          <w:szCs w:val="24"/>
          <w:lang w:val="en-GB"/>
        </w:rPr>
        <w:t xml:space="preserve">before starting </w:t>
      </w:r>
      <w:proofErr w:type="spellStart"/>
      <w:r w:rsidRPr="0078138E">
        <w:rPr>
          <w:sz w:val="24"/>
          <w:szCs w:val="24"/>
          <w:lang w:val="en-GB"/>
        </w:rPr>
        <w:t>ruxolitinib</w:t>
      </w:r>
      <w:proofErr w:type="spellEnd"/>
      <w:r w:rsidRPr="0078138E">
        <w:rPr>
          <w:sz w:val="24"/>
          <w:szCs w:val="24"/>
          <w:lang w:val="en-GB"/>
        </w:rPr>
        <w:t xml:space="preserve"> had a higher frequency of grade 3 or 4 thrombocytopenia compared to patients with platelet count &gt;200 000/mm</w:t>
      </w:r>
      <w:r w:rsidRPr="0078138E">
        <w:rPr>
          <w:sz w:val="24"/>
          <w:szCs w:val="24"/>
          <w:vertAlign w:val="superscript"/>
          <w:lang w:val="en-GB"/>
        </w:rPr>
        <w:t>3</w:t>
      </w:r>
      <w:r w:rsidRPr="0078138E">
        <w:rPr>
          <w:sz w:val="24"/>
          <w:szCs w:val="24"/>
          <w:lang w:val="en-GB"/>
        </w:rPr>
        <w:t xml:space="preserve"> (64.2% versus 38.5%).</w:t>
      </w:r>
    </w:p>
    <w:p w14:paraId="261881A0" w14:textId="77777777" w:rsidR="0078138E" w:rsidRPr="0078138E" w:rsidRDefault="0078138E" w:rsidP="00217386">
      <w:pPr>
        <w:ind w:left="851"/>
        <w:rPr>
          <w:sz w:val="24"/>
          <w:szCs w:val="24"/>
          <w:lang w:val="en-GB"/>
        </w:rPr>
      </w:pPr>
    </w:p>
    <w:p w14:paraId="15318DD3" w14:textId="77777777" w:rsidR="0078138E" w:rsidRPr="0078138E" w:rsidRDefault="0078138E" w:rsidP="00217386">
      <w:pPr>
        <w:ind w:left="851"/>
        <w:rPr>
          <w:sz w:val="24"/>
          <w:szCs w:val="24"/>
          <w:lang w:val="en-GB"/>
        </w:rPr>
      </w:pPr>
      <w:r w:rsidRPr="0078138E">
        <w:rPr>
          <w:sz w:val="24"/>
          <w:szCs w:val="24"/>
          <w:lang w:val="en-GB"/>
        </w:rPr>
        <w:t>In the randomised period of the pivotal studies, the rate of patients experiencing thrombocytopenia was lower in PV (16.8%) patients compared to MF (69.8%) patients. The frequency of severe (i.e. CTCAE grade 3 and 4) thrombocytopenia was lower in PV (2.7%) than in MF (11.6%) patients.</w:t>
      </w:r>
    </w:p>
    <w:p w14:paraId="291AA20F" w14:textId="77777777" w:rsidR="0078138E" w:rsidRPr="0078138E" w:rsidRDefault="0078138E" w:rsidP="00217386">
      <w:pPr>
        <w:ind w:left="851"/>
        <w:rPr>
          <w:sz w:val="24"/>
          <w:szCs w:val="24"/>
          <w:lang w:val="en-GB"/>
        </w:rPr>
      </w:pPr>
    </w:p>
    <w:p w14:paraId="7DC7DB15" w14:textId="77777777" w:rsidR="0078138E" w:rsidRPr="0078138E" w:rsidRDefault="0078138E" w:rsidP="00217386">
      <w:pPr>
        <w:ind w:left="851"/>
        <w:rPr>
          <w:sz w:val="24"/>
          <w:szCs w:val="24"/>
          <w:lang w:val="en-GB"/>
        </w:rPr>
      </w:pPr>
      <w:r w:rsidRPr="0078138E">
        <w:rPr>
          <w:sz w:val="24"/>
          <w:szCs w:val="24"/>
          <w:lang w:val="en-GB"/>
        </w:rPr>
        <w:t>In the phase 3 acute GvHD study (REACH2), grade 3 and 4 thrombocytopenia was observed in 31.3% and 47.7% of patients, respectively. In the phase 3 chronic GvHD study (REACH3), grade 3 and 4 thrombocytopenia was lower (5.9% and 10.7%) than in acute GvHD. The frequency of grade 3 (14.6%) and 4 (22.4%) thrombocytopenia in paediatric patients with acute GvHD was lower than in REACH2. In paediatric patients with chronic GvHD, grade 3 and 4 thrombocytopenia was lower (7.7% and 11.1%) than in paediatric patients with acute GvHD.</w:t>
      </w:r>
    </w:p>
    <w:p w14:paraId="772CB953" w14:textId="77777777" w:rsidR="0078138E" w:rsidRPr="0078138E" w:rsidRDefault="0078138E" w:rsidP="00217386">
      <w:pPr>
        <w:ind w:left="851"/>
        <w:rPr>
          <w:sz w:val="24"/>
          <w:szCs w:val="24"/>
          <w:lang w:val="en-GB"/>
        </w:rPr>
      </w:pPr>
    </w:p>
    <w:p w14:paraId="09CE995F" w14:textId="77777777" w:rsidR="0078138E" w:rsidRPr="0078138E" w:rsidRDefault="0078138E" w:rsidP="00217386">
      <w:pPr>
        <w:ind w:left="851"/>
        <w:rPr>
          <w:sz w:val="24"/>
          <w:szCs w:val="24"/>
          <w:u w:val="single"/>
          <w:lang w:val="en-GB"/>
        </w:rPr>
      </w:pPr>
      <w:r w:rsidRPr="0078138E">
        <w:rPr>
          <w:i/>
          <w:iCs/>
          <w:sz w:val="24"/>
          <w:szCs w:val="24"/>
          <w:u w:val="single"/>
          <w:lang w:val="en-GB"/>
        </w:rPr>
        <w:t>Neutropenia</w:t>
      </w:r>
    </w:p>
    <w:p w14:paraId="55DE7A7F" w14:textId="77777777" w:rsidR="0078138E" w:rsidRPr="0078138E" w:rsidRDefault="0078138E" w:rsidP="00217386">
      <w:pPr>
        <w:ind w:left="851"/>
        <w:rPr>
          <w:sz w:val="24"/>
          <w:szCs w:val="24"/>
          <w:lang w:val="en-GB"/>
        </w:rPr>
      </w:pPr>
      <w:r w:rsidRPr="0078138E">
        <w:rPr>
          <w:sz w:val="24"/>
          <w:szCs w:val="24"/>
          <w:lang w:val="en-GB"/>
        </w:rPr>
        <w:t>In the phase 3 clinical studies in MF, in patients who developed grade 3 or 4 neutropenia, the median time to onset was 12 weeks. During the randomised period, dose holding or reductions due to neutropenia were reported in 1.0% of patients, and 0.3% of patients discontinued treatment because of neutropenia.</w:t>
      </w:r>
    </w:p>
    <w:p w14:paraId="530E41B0" w14:textId="77777777" w:rsidR="0078138E" w:rsidRPr="0078138E" w:rsidRDefault="0078138E" w:rsidP="00217386">
      <w:pPr>
        <w:ind w:left="851"/>
        <w:rPr>
          <w:sz w:val="24"/>
          <w:szCs w:val="24"/>
          <w:lang w:val="en-GB"/>
        </w:rPr>
      </w:pPr>
    </w:p>
    <w:p w14:paraId="64FAD7D3" w14:textId="77777777" w:rsidR="0078138E" w:rsidRPr="0078138E" w:rsidRDefault="0078138E" w:rsidP="00217386">
      <w:pPr>
        <w:ind w:left="851"/>
        <w:rPr>
          <w:sz w:val="24"/>
          <w:szCs w:val="24"/>
          <w:lang w:val="en-GB"/>
        </w:rPr>
      </w:pPr>
      <w:r w:rsidRPr="0078138E">
        <w:rPr>
          <w:sz w:val="24"/>
          <w:szCs w:val="24"/>
          <w:lang w:val="en-GB"/>
        </w:rPr>
        <w:t xml:space="preserve">In the randomised period of the phase 3 studies in PV patients, neutropenia was reported in 1.6% of patients exposed to </w:t>
      </w:r>
      <w:proofErr w:type="spellStart"/>
      <w:r w:rsidRPr="0078138E">
        <w:rPr>
          <w:sz w:val="24"/>
          <w:szCs w:val="24"/>
          <w:lang w:val="en-GB"/>
        </w:rPr>
        <w:t>ruxolitinib</w:t>
      </w:r>
      <w:proofErr w:type="spellEnd"/>
      <w:r w:rsidRPr="0078138E">
        <w:rPr>
          <w:sz w:val="24"/>
          <w:szCs w:val="24"/>
          <w:lang w:val="en-GB"/>
        </w:rPr>
        <w:t xml:space="preserve"> compared to 7% in reference treatments. In the </w:t>
      </w:r>
      <w:proofErr w:type="spellStart"/>
      <w:r w:rsidRPr="0078138E">
        <w:rPr>
          <w:sz w:val="24"/>
          <w:szCs w:val="24"/>
          <w:lang w:val="en-GB"/>
        </w:rPr>
        <w:t>ruxolitinib</w:t>
      </w:r>
      <w:proofErr w:type="spellEnd"/>
      <w:r w:rsidRPr="0078138E">
        <w:rPr>
          <w:sz w:val="24"/>
          <w:szCs w:val="24"/>
          <w:lang w:val="en-GB"/>
        </w:rPr>
        <w:t xml:space="preserve"> arm one patient developed CTCAE grade 4 neutropenia. An extended follow-up of patients treated with </w:t>
      </w:r>
      <w:proofErr w:type="spellStart"/>
      <w:r w:rsidRPr="0078138E">
        <w:rPr>
          <w:sz w:val="24"/>
          <w:szCs w:val="24"/>
          <w:lang w:val="en-GB"/>
        </w:rPr>
        <w:t>ruxolitinib</w:t>
      </w:r>
      <w:proofErr w:type="spellEnd"/>
      <w:r w:rsidRPr="0078138E">
        <w:rPr>
          <w:sz w:val="24"/>
          <w:szCs w:val="24"/>
          <w:lang w:val="en-GB"/>
        </w:rPr>
        <w:t xml:space="preserve"> showed 2 patients reporting CTCAE grade 4 neutropenia.</w:t>
      </w:r>
    </w:p>
    <w:p w14:paraId="0636A028" w14:textId="77777777" w:rsidR="0078138E" w:rsidRPr="0078138E" w:rsidRDefault="0078138E" w:rsidP="00217386">
      <w:pPr>
        <w:ind w:left="851"/>
        <w:rPr>
          <w:sz w:val="24"/>
          <w:szCs w:val="24"/>
          <w:lang w:val="en-GB"/>
        </w:rPr>
      </w:pPr>
    </w:p>
    <w:p w14:paraId="78AAE496" w14:textId="77777777" w:rsidR="0078138E" w:rsidRPr="0078138E" w:rsidRDefault="0078138E" w:rsidP="00217386">
      <w:pPr>
        <w:ind w:left="851"/>
        <w:rPr>
          <w:sz w:val="24"/>
          <w:szCs w:val="24"/>
          <w:lang w:val="en-GB"/>
        </w:rPr>
      </w:pPr>
      <w:r w:rsidRPr="0078138E">
        <w:rPr>
          <w:sz w:val="24"/>
          <w:szCs w:val="24"/>
          <w:lang w:val="en-GB"/>
        </w:rPr>
        <w:t>In the phase 3 acute GvHD study (REACH2), grade 3 and 4 neutropenia was observed in 17.9% and 20.6% of patients, respectively. In the phase 3 chronic GvHD study (REACH3), grade 3 and 4 neutropenia was lower (9.5% and 6.7%) than in acute GvHD. In paediatric patients, the frequency of grade 3 and 4 neutropenia was 32.0% and 22.0%, respectively, in acute GvHD and 17.3% and 11.1%, respectively, in chronic GvHD.</w:t>
      </w:r>
    </w:p>
    <w:p w14:paraId="4F104853" w14:textId="77777777" w:rsidR="0078138E" w:rsidRPr="0078138E" w:rsidRDefault="0078138E" w:rsidP="00217386">
      <w:pPr>
        <w:ind w:left="851"/>
        <w:rPr>
          <w:sz w:val="24"/>
          <w:szCs w:val="24"/>
          <w:lang w:val="en-GB"/>
        </w:rPr>
      </w:pPr>
    </w:p>
    <w:p w14:paraId="3EB37F7B" w14:textId="77777777" w:rsidR="0078138E" w:rsidRPr="0078138E" w:rsidRDefault="0078138E" w:rsidP="00217386">
      <w:pPr>
        <w:ind w:left="851"/>
        <w:rPr>
          <w:sz w:val="24"/>
          <w:szCs w:val="24"/>
          <w:u w:val="single"/>
          <w:lang w:val="en-GB"/>
        </w:rPr>
      </w:pPr>
      <w:r w:rsidRPr="0078138E">
        <w:rPr>
          <w:i/>
          <w:iCs/>
          <w:sz w:val="24"/>
          <w:szCs w:val="24"/>
          <w:u w:val="single"/>
          <w:lang w:val="en-GB"/>
        </w:rPr>
        <w:t>Bleeding</w:t>
      </w:r>
    </w:p>
    <w:p w14:paraId="072E57AC" w14:textId="77777777" w:rsidR="0078138E" w:rsidRPr="0078138E" w:rsidRDefault="0078138E" w:rsidP="00217386">
      <w:pPr>
        <w:ind w:left="851"/>
        <w:rPr>
          <w:sz w:val="24"/>
          <w:szCs w:val="24"/>
          <w:lang w:val="en-GB"/>
        </w:rPr>
      </w:pPr>
      <w:r w:rsidRPr="0078138E">
        <w:rPr>
          <w:sz w:val="24"/>
          <w:szCs w:val="24"/>
          <w:lang w:val="en-GB"/>
        </w:rPr>
        <w:t xml:space="preserve">In the phase 3 pivotal studies in MF bleeding events (including intracranial and gastrointestinal, bruising and other bleeding events) were reported in 32.6% of patients exposed to </w:t>
      </w:r>
      <w:proofErr w:type="spellStart"/>
      <w:r w:rsidRPr="0078138E">
        <w:rPr>
          <w:sz w:val="24"/>
          <w:szCs w:val="24"/>
          <w:lang w:val="en-GB"/>
        </w:rPr>
        <w:t>ruxolitinib</w:t>
      </w:r>
      <w:proofErr w:type="spellEnd"/>
      <w:r w:rsidRPr="0078138E">
        <w:rPr>
          <w:sz w:val="24"/>
          <w:szCs w:val="24"/>
          <w:lang w:val="en-GB"/>
        </w:rPr>
        <w:t xml:space="preserve"> and 23.2% of patients exposed to the reference treatments (placebo or best available therapy). The frequency of grade 3-4 events was similar for patients treated with </w:t>
      </w:r>
      <w:proofErr w:type="spellStart"/>
      <w:r w:rsidRPr="0078138E">
        <w:rPr>
          <w:sz w:val="24"/>
          <w:szCs w:val="24"/>
          <w:lang w:val="en-GB"/>
        </w:rPr>
        <w:t>ruxolitinib</w:t>
      </w:r>
      <w:proofErr w:type="spellEnd"/>
      <w:r w:rsidRPr="0078138E">
        <w:rPr>
          <w:sz w:val="24"/>
          <w:szCs w:val="24"/>
          <w:lang w:val="en-GB"/>
        </w:rPr>
        <w:t xml:space="preserve"> or reference treatments (4.7% versus 3.1%). Most of the patients with bleeding events during the treatment reported bruising (65.3%). Bruising events were more frequently reported in patients taking </w:t>
      </w:r>
      <w:proofErr w:type="spellStart"/>
      <w:r w:rsidRPr="0078138E">
        <w:rPr>
          <w:sz w:val="24"/>
          <w:szCs w:val="24"/>
          <w:lang w:val="en-GB"/>
        </w:rPr>
        <w:t>ruxolitinib</w:t>
      </w:r>
      <w:proofErr w:type="spellEnd"/>
      <w:r w:rsidRPr="0078138E">
        <w:rPr>
          <w:sz w:val="24"/>
          <w:szCs w:val="24"/>
          <w:lang w:val="en-GB"/>
        </w:rPr>
        <w:t xml:space="preserve"> compared with the reference treatments (21.3% versus 11.6%). Intracranial bleeding was reported in 1% of patients exposed to </w:t>
      </w:r>
      <w:proofErr w:type="spellStart"/>
      <w:r w:rsidRPr="0078138E">
        <w:rPr>
          <w:sz w:val="24"/>
          <w:szCs w:val="24"/>
          <w:lang w:val="en-GB"/>
        </w:rPr>
        <w:t>ruxolitinib</w:t>
      </w:r>
      <w:proofErr w:type="spellEnd"/>
      <w:r w:rsidRPr="0078138E">
        <w:rPr>
          <w:sz w:val="24"/>
          <w:szCs w:val="24"/>
          <w:lang w:val="en-GB"/>
        </w:rPr>
        <w:t xml:space="preserve"> and 0.9% exposed to reference treatments. Gastrointestinal bleeding was reported in 5.0% of patients exposed to </w:t>
      </w:r>
      <w:proofErr w:type="spellStart"/>
      <w:r w:rsidRPr="0078138E">
        <w:rPr>
          <w:sz w:val="24"/>
          <w:szCs w:val="24"/>
          <w:lang w:val="en-GB"/>
        </w:rPr>
        <w:t>ruxolitinib</w:t>
      </w:r>
      <w:proofErr w:type="spellEnd"/>
      <w:r w:rsidRPr="0078138E">
        <w:rPr>
          <w:sz w:val="24"/>
          <w:szCs w:val="24"/>
          <w:lang w:val="en-GB"/>
        </w:rPr>
        <w:t xml:space="preserve"> compared to 3.1% exposed to reference treatments. Other bleeding events (including events such as epistaxis, post-procedural haemorrhage and haematuria) were reported in 13.3% of patients treated with </w:t>
      </w:r>
      <w:proofErr w:type="spellStart"/>
      <w:r w:rsidRPr="0078138E">
        <w:rPr>
          <w:sz w:val="24"/>
          <w:szCs w:val="24"/>
          <w:lang w:val="en-GB"/>
        </w:rPr>
        <w:t>ruxolitinib</w:t>
      </w:r>
      <w:proofErr w:type="spellEnd"/>
      <w:r w:rsidRPr="0078138E">
        <w:rPr>
          <w:sz w:val="24"/>
          <w:szCs w:val="24"/>
          <w:lang w:val="en-GB"/>
        </w:rPr>
        <w:t xml:space="preserve"> and 10.3% treated with reference treatments.</w:t>
      </w:r>
    </w:p>
    <w:p w14:paraId="17E607A0" w14:textId="77777777" w:rsidR="0078138E" w:rsidRPr="0078138E" w:rsidRDefault="0078138E" w:rsidP="00217386">
      <w:pPr>
        <w:ind w:left="851"/>
        <w:rPr>
          <w:sz w:val="24"/>
          <w:szCs w:val="24"/>
          <w:lang w:val="en-GB"/>
        </w:rPr>
      </w:pPr>
    </w:p>
    <w:p w14:paraId="6EBF4A0E" w14:textId="77777777" w:rsidR="0078138E" w:rsidRPr="0078138E" w:rsidRDefault="0078138E" w:rsidP="00217386">
      <w:pPr>
        <w:ind w:left="851"/>
        <w:rPr>
          <w:b/>
          <w:sz w:val="24"/>
          <w:szCs w:val="24"/>
          <w:lang w:val="en-GB"/>
        </w:rPr>
      </w:pPr>
      <w:r w:rsidRPr="0078138E">
        <w:rPr>
          <w:sz w:val="24"/>
          <w:szCs w:val="24"/>
          <w:lang w:val="en-GB"/>
        </w:rPr>
        <w:t>During the long-term follow-up of phase 3 clinical studies in MF, the cumulative frequency of bleeding events increased proportionally to the increase in the follow-up time. Bruising events were the most frequently reported bleeding events (33.3%). Intracranial and gastrointestinal bleeding events were reported in 1.3% and 10.1% of patients respectively.</w:t>
      </w:r>
    </w:p>
    <w:p w14:paraId="3B88FF7C" w14:textId="77777777" w:rsidR="0078138E" w:rsidRPr="0078138E" w:rsidRDefault="0078138E" w:rsidP="00217386">
      <w:pPr>
        <w:ind w:left="851"/>
        <w:rPr>
          <w:bCs/>
          <w:sz w:val="24"/>
          <w:szCs w:val="24"/>
          <w:lang w:val="en-GB"/>
        </w:rPr>
      </w:pPr>
    </w:p>
    <w:p w14:paraId="11BE1064" w14:textId="77777777" w:rsidR="0078138E" w:rsidRPr="0078138E" w:rsidRDefault="0078138E" w:rsidP="00217386">
      <w:pPr>
        <w:ind w:left="851"/>
        <w:rPr>
          <w:sz w:val="24"/>
          <w:szCs w:val="24"/>
          <w:lang w:val="en-GB"/>
        </w:rPr>
      </w:pPr>
      <w:r w:rsidRPr="0078138E">
        <w:rPr>
          <w:sz w:val="24"/>
          <w:szCs w:val="24"/>
          <w:lang w:val="en-GB"/>
        </w:rPr>
        <w:t xml:space="preserve">In the comparative period of phase 3 studies in PV patients, bleeding events (including intracranial and gastrointestinal, bruising and other bleeding events) were reported in 16.8% of patients treated with </w:t>
      </w:r>
      <w:proofErr w:type="spellStart"/>
      <w:r w:rsidRPr="0078138E">
        <w:rPr>
          <w:sz w:val="24"/>
          <w:szCs w:val="24"/>
          <w:lang w:val="en-GB"/>
        </w:rPr>
        <w:t>ruxolitinib</w:t>
      </w:r>
      <w:proofErr w:type="spellEnd"/>
      <w:r w:rsidRPr="0078138E">
        <w:rPr>
          <w:sz w:val="24"/>
          <w:szCs w:val="24"/>
          <w:lang w:val="en-GB"/>
        </w:rPr>
        <w:t xml:space="preserve">, 15.3% of patients receiving best available therapy in RESPONSE study and 12.0% of patients receiving best available therapy in RESPONSE 2 study. Bruising was reported in 10.3% of patients treated with </w:t>
      </w:r>
      <w:proofErr w:type="spellStart"/>
      <w:r w:rsidRPr="0078138E">
        <w:rPr>
          <w:sz w:val="24"/>
          <w:szCs w:val="24"/>
          <w:lang w:val="en-GB"/>
        </w:rPr>
        <w:t>ruxolitinib</w:t>
      </w:r>
      <w:proofErr w:type="spellEnd"/>
      <w:r w:rsidRPr="0078138E">
        <w:rPr>
          <w:sz w:val="24"/>
          <w:szCs w:val="24"/>
          <w:lang w:val="en-GB"/>
        </w:rPr>
        <w:t xml:space="preserve">, 8.1% of patients receiving best available therapy in RESPONSE study and 2.7% of patients receiving best available therapy in RESPONSE 2 study. No intracranial bleeding or gastrointestinal haemorrhage events were reported in patients receiving </w:t>
      </w:r>
      <w:proofErr w:type="spellStart"/>
      <w:r w:rsidRPr="0078138E">
        <w:rPr>
          <w:sz w:val="24"/>
          <w:szCs w:val="24"/>
          <w:lang w:val="en-GB"/>
        </w:rPr>
        <w:t>ruxolitinib</w:t>
      </w:r>
      <w:proofErr w:type="spellEnd"/>
      <w:r w:rsidRPr="0078138E">
        <w:rPr>
          <w:sz w:val="24"/>
          <w:szCs w:val="24"/>
          <w:lang w:val="en-GB"/>
        </w:rPr>
        <w:t xml:space="preserve">. One patient treated with </w:t>
      </w:r>
      <w:proofErr w:type="spellStart"/>
      <w:r w:rsidRPr="0078138E">
        <w:rPr>
          <w:sz w:val="24"/>
          <w:szCs w:val="24"/>
          <w:lang w:val="en-GB"/>
        </w:rPr>
        <w:t>ruxolitinib</w:t>
      </w:r>
      <w:proofErr w:type="spellEnd"/>
      <w:r w:rsidRPr="0078138E">
        <w:rPr>
          <w:sz w:val="24"/>
          <w:szCs w:val="24"/>
          <w:lang w:val="en-GB"/>
        </w:rPr>
        <w:t xml:space="preserve"> experienced a grade 3 bleeding event (post-procedural bleeding); no grade 4 bleeding was reported. Other bleeding events (including events such as epistaxis, post-procedural haemorrhage, gingival bleeding) were reported in 8.7% of patients treated with </w:t>
      </w:r>
      <w:proofErr w:type="spellStart"/>
      <w:r w:rsidRPr="0078138E">
        <w:rPr>
          <w:sz w:val="24"/>
          <w:szCs w:val="24"/>
          <w:lang w:val="en-GB"/>
        </w:rPr>
        <w:t>ruxolitinib</w:t>
      </w:r>
      <w:proofErr w:type="spellEnd"/>
      <w:r w:rsidRPr="0078138E">
        <w:rPr>
          <w:sz w:val="24"/>
          <w:szCs w:val="24"/>
          <w:lang w:val="en-GB"/>
        </w:rPr>
        <w:t>, 6.3% of patients treated with best available therapy in RESPONSE study and 6.7% of patients treated with best available therapy in RESPONSE 2 study.</w:t>
      </w:r>
    </w:p>
    <w:p w14:paraId="438785B9" w14:textId="77777777" w:rsidR="0078138E" w:rsidRPr="0078138E" w:rsidRDefault="0078138E" w:rsidP="00217386">
      <w:pPr>
        <w:ind w:left="851"/>
        <w:rPr>
          <w:sz w:val="24"/>
          <w:szCs w:val="24"/>
          <w:lang w:val="en-GB"/>
        </w:rPr>
      </w:pPr>
    </w:p>
    <w:p w14:paraId="4121E94B" w14:textId="77777777" w:rsidR="0078138E" w:rsidRPr="0078138E" w:rsidRDefault="0078138E" w:rsidP="00217386">
      <w:pPr>
        <w:ind w:left="851"/>
        <w:rPr>
          <w:sz w:val="24"/>
          <w:szCs w:val="24"/>
          <w:lang w:val="en-GB"/>
        </w:rPr>
      </w:pPr>
      <w:r w:rsidRPr="0078138E">
        <w:rPr>
          <w:sz w:val="24"/>
          <w:szCs w:val="24"/>
          <w:lang w:val="en-GB"/>
        </w:rPr>
        <w:t>During the long-term follow-up of phase 3 studies in PV, the cumulative frequency of bleeding events increased proportionally to the increase in the follow-up time. Bruising events were the most frequently reported bleeding events (17.4%). Intracranial and gastrointestinal bleeding events were reported in 0.3% and 3.5% of patients respectively.</w:t>
      </w:r>
    </w:p>
    <w:p w14:paraId="4CFFA8FA" w14:textId="77777777" w:rsidR="0078138E" w:rsidRPr="0078138E" w:rsidRDefault="0078138E" w:rsidP="00217386">
      <w:pPr>
        <w:ind w:left="851"/>
        <w:rPr>
          <w:sz w:val="24"/>
          <w:szCs w:val="24"/>
          <w:lang w:val="en-GB"/>
        </w:rPr>
      </w:pPr>
    </w:p>
    <w:p w14:paraId="07026AA5" w14:textId="77777777" w:rsidR="0078138E" w:rsidRPr="0078138E" w:rsidRDefault="0078138E" w:rsidP="00217386">
      <w:pPr>
        <w:ind w:left="851"/>
        <w:rPr>
          <w:sz w:val="24"/>
          <w:szCs w:val="24"/>
          <w:lang w:val="en-GB"/>
        </w:rPr>
      </w:pPr>
      <w:r w:rsidRPr="0078138E">
        <w:rPr>
          <w:sz w:val="24"/>
          <w:szCs w:val="24"/>
          <w:lang w:val="en-GB"/>
        </w:rPr>
        <w:t xml:space="preserve">In the comparative period of the phase 3 acute GvHD study (REACH2), bleeding events were reported in 25.0% and 22.0% of patients in the </w:t>
      </w:r>
      <w:proofErr w:type="spellStart"/>
      <w:r w:rsidRPr="0078138E">
        <w:rPr>
          <w:sz w:val="24"/>
          <w:szCs w:val="24"/>
          <w:lang w:val="en-GB"/>
        </w:rPr>
        <w:t>ruxolitinib</w:t>
      </w:r>
      <w:proofErr w:type="spellEnd"/>
      <w:r w:rsidRPr="0078138E">
        <w:rPr>
          <w:sz w:val="24"/>
          <w:szCs w:val="24"/>
          <w:lang w:val="en-GB"/>
        </w:rPr>
        <w:t xml:space="preserve"> and BAT arms respectively. The sub-groups of bleeding events were generally similar between treatment arms: bruising events (5.9% in </w:t>
      </w:r>
      <w:proofErr w:type="spellStart"/>
      <w:r w:rsidRPr="0078138E">
        <w:rPr>
          <w:sz w:val="24"/>
          <w:szCs w:val="24"/>
          <w:lang w:val="en-GB"/>
        </w:rPr>
        <w:t>ruxolitinib</w:t>
      </w:r>
      <w:proofErr w:type="spellEnd"/>
      <w:r w:rsidRPr="0078138E">
        <w:rPr>
          <w:sz w:val="24"/>
          <w:szCs w:val="24"/>
          <w:lang w:val="en-GB"/>
        </w:rPr>
        <w:t xml:space="preserve"> vs. 6.7% in BAT arm), gastrointestinal events (9.2% vs. 6.7%) and other haemorrhage events (13.2% vs. 10.7%). Intracranial bleeding events were reported in 0.7% of patients in the BAT arm and in no patients in the </w:t>
      </w:r>
      <w:proofErr w:type="spellStart"/>
      <w:r w:rsidRPr="0078138E">
        <w:rPr>
          <w:sz w:val="24"/>
          <w:szCs w:val="24"/>
          <w:lang w:val="en-GB"/>
        </w:rPr>
        <w:t>ruxolitinib</w:t>
      </w:r>
      <w:proofErr w:type="spellEnd"/>
      <w:r w:rsidRPr="0078138E">
        <w:rPr>
          <w:sz w:val="24"/>
          <w:szCs w:val="24"/>
          <w:lang w:val="en-GB"/>
        </w:rPr>
        <w:t xml:space="preserve"> arm. In paediatric patients, the frequency of bleeding events was 23.5%. Events reported in ≥5% of patients were cystitis haemorrhagic and epistaxis (5.9% each). No intracranial bleeding events were reported in paediatric patients.</w:t>
      </w:r>
    </w:p>
    <w:p w14:paraId="02C1FE08" w14:textId="77777777" w:rsidR="0078138E" w:rsidRPr="0078138E" w:rsidRDefault="0078138E" w:rsidP="00217386">
      <w:pPr>
        <w:ind w:left="851"/>
        <w:rPr>
          <w:sz w:val="24"/>
          <w:szCs w:val="24"/>
          <w:lang w:val="en-GB"/>
        </w:rPr>
      </w:pPr>
    </w:p>
    <w:p w14:paraId="673B3453" w14:textId="77777777" w:rsidR="0078138E" w:rsidRPr="0078138E" w:rsidRDefault="0078138E" w:rsidP="00217386">
      <w:pPr>
        <w:ind w:left="851"/>
        <w:rPr>
          <w:sz w:val="24"/>
          <w:szCs w:val="24"/>
          <w:lang w:val="en-GB"/>
        </w:rPr>
      </w:pPr>
      <w:r w:rsidRPr="0078138E">
        <w:rPr>
          <w:sz w:val="24"/>
          <w:szCs w:val="24"/>
          <w:lang w:val="en-GB"/>
        </w:rPr>
        <w:t xml:space="preserve">In the comparative period of the phase 3 chronic GvHD study (REACH3), bleeding events were reported in 11.5% and 14.6% of patients in the </w:t>
      </w:r>
      <w:proofErr w:type="spellStart"/>
      <w:r w:rsidRPr="0078138E">
        <w:rPr>
          <w:sz w:val="24"/>
          <w:szCs w:val="24"/>
          <w:lang w:val="en-GB"/>
        </w:rPr>
        <w:t>ruxolitinib</w:t>
      </w:r>
      <w:proofErr w:type="spellEnd"/>
      <w:r w:rsidRPr="0078138E">
        <w:rPr>
          <w:sz w:val="24"/>
          <w:szCs w:val="24"/>
          <w:lang w:val="en-GB"/>
        </w:rPr>
        <w:t xml:space="preserve"> and BAT arms respectively. The sub-groups of bleeding events were generally similar between treatment arms: bruising events (4.2% in </w:t>
      </w:r>
      <w:proofErr w:type="spellStart"/>
      <w:r w:rsidRPr="0078138E">
        <w:rPr>
          <w:sz w:val="24"/>
          <w:szCs w:val="24"/>
          <w:lang w:val="en-GB"/>
        </w:rPr>
        <w:t>ruxolitinib</w:t>
      </w:r>
      <w:proofErr w:type="spellEnd"/>
      <w:r w:rsidRPr="0078138E">
        <w:rPr>
          <w:sz w:val="24"/>
          <w:szCs w:val="24"/>
          <w:lang w:val="en-GB"/>
        </w:rPr>
        <w:t xml:space="preserve"> vs. 2.5% in BAT arm), gastrointestinal events (1.2% vs. 3.2%) and other haemorrhage events (6.7% vs. 10.1%). In paediatric patients, the frequency of bleeding events was 9.1%. The reported events were epistaxis, haematochezia, haematoma, post-procedural haemorrhage, and skin haemorrhage (1.8% each). No intracranial bleeding events were reported in patients with chronic GvHD.</w:t>
      </w:r>
    </w:p>
    <w:p w14:paraId="65532F91" w14:textId="77777777" w:rsidR="0078138E" w:rsidRPr="0078138E" w:rsidRDefault="0078138E" w:rsidP="00217386">
      <w:pPr>
        <w:ind w:left="851"/>
        <w:rPr>
          <w:sz w:val="24"/>
          <w:szCs w:val="24"/>
          <w:lang w:val="en-GB"/>
        </w:rPr>
      </w:pPr>
    </w:p>
    <w:p w14:paraId="4354AF3C" w14:textId="77777777" w:rsidR="0078138E" w:rsidRPr="0078138E" w:rsidRDefault="0078138E" w:rsidP="00217386">
      <w:pPr>
        <w:ind w:left="851"/>
        <w:rPr>
          <w:sz w:val="24"/>
          <w:szCs w:val="24"/>
          <w:u w:val="single"/>
          <w:lang w:val="en-GB"/>
        </w:rPr>
      </w:pPr>
      <w:r w:rsidRPr="0078138E">
        <w:rPr>
          <w:i/>
          <w:iCs/>
          <w:sz w:val="24"/>
          <w:szCs w:val="24"/>
          <w:u w:val="single"/>
          <w:lang w:val="en-GB"/>
        </w:rPr>
        <w:t>Infections</w:t>
      </w:r>
    </w:p>
    <w:p w14:paraId="22D3574E" w14:textId="77777777" w:rsidR="0078138E" w:rsidRPr="0078138E" w:rsidRDefault="0078138E" w:rsidP="00217386">
      <w:pPr>
        <w:ind w:left="851"/>
        <w:rPr>
          <w:sz w:val="24"/>
          <w:szCs w:val="24"/>
          <w:lang w:val="en-GB"/>
        </w:rPr>
      </w:pPr>
      <w:r w:rsidRPr="0078138E">
        <w:rPr>
          <w:sz w:val="24"/>
          <w:szCs w:val="24"/>
          <w:lang w:val="en-GB"/>
        </w:rPr>
        <w:t xml:space="preserve">In the phase 3 pivotal studies in MF, grade 3 or 4 urinary tract infection was reported in 1.0% of patients, herpes zoster in 4.3% and tuberculosis in 1.0%. In phase 3 clinical studies sepsis was reported in 3.0% of patients. An extended follow-up of patients treated with </w:t>
      </w:r>
      <w:proofErr w:type="spellStart"/>
      <w:r w:rsidRPr="0078138E">
        <w:rPr>
          <w:sz w:val="24"/>
          <w:szCs w:val="24"/>
          <w:lang w:val="en-GB"/>
        </w:rPr>
        <w:t>ruxolitinib</w:t>
      </w:r>
      <w:proofErr w:type="spellEnd"/>
      <w:r w:rsidRPr="0078138E">
        <w:rPr>
          <w:sz w:val="24"/>
          <w:szCs w:val="24"/>
          <w:lang w:val="en-GB"/>
        </w:rPr>
        <w:t xml:space="preserve"> showed no trends towards an increase in the rate of sepsis over time.</w:t>
      </w:r>
    </w:p>
    <w:p w14:paraId="20C92241" w14:textId="77777777" w:rsidR="0078138E" w:rsidRPr="0078138E" w:rsidRDefault="0078138E" w:rsidP="00217386">
      <w:pPr>
        <w:ind w:left="851"/>
        <w:rPr>
          <w:sz w:val="24"/>
          <w:szCs w:val="24"/>
          <w:lang w:val="en-GB"/>
        </w:rPr>
      </w:pPr>
    </w:p>
    <w:p w14:paraId="5F33E610" w14:textId="77777777" w:rsidR="0078138E" w:rsidRPr="0078138E" w:rsidRDefault="0078138E" w:rsidP="00217386">
      <w:pPr>
        <w:ind w:left="851"/>
        <w:rPr>
          <w:sz w:val="24"/>
          <w:szCs w:val="24"/>
          <w:lang w:val="en-GB"/>
        </w:rPr>
      </w:pPr>
      <w:r w:rsidRPr="0078138E">
        <w:rPr>
          <w:sz w:val="24"/>
          <w:szCs w:val="24"/>
          <w:lang w:val="en-GB"/>
        </w:rPr>
        <w:t xml:space="preserve">In the randomised period of the phase 3 studies in PV patients, one (0.5%) CTCAE grade 3 and no grade 4 urinary tract infection was reported. The rate of herpes zoster was similar in PV (4.3%) patients and MF (4.0%) patients. There was one report of CTCAE grade 3 post-herpetic neuralgia amongst the PV patients. Pneumonia was reported in 0.5% of patients treated with </w:t>
      </w:r>
      <w:proofErr w:type="spellStart"/>
      <w:r w:rsidRPr="0078138E">
        <w:rPr>
          <w:sz w:val="24"/>
          <w:szCs w:val="24"/>
          <w:lang w:val="en-GB"/>
        </w:rPr>
        <w:t>ruxolitinib</w:t>
      </w:r>
      <w:proofErr w:type="spellEnd"/>
      <w:r w:rsidRPr="0078138E">
        <w:rPr>
          <w:sz w:val="24"/>
          <w:szCs w:val="24"/>
          <w:lang w:val="en-GB"/>
        </w:rPr>
        <w:t xml:space="preserve"> compared to 1.6% of patients in reference treatments. No patients in the </w:t>
      </w:r>
      <w:proofErr w:type="spellStart"/>
      <w:r w:rsidRPr="0078138E">
        <w:rPr>
          <w:sz w:val="24"/>
          <w:szCs w:val="24"/>
          <w:lang w:val="en-GB"/>
        </w:rPr>
        <w:t>ruxolitinib</w:t>
      </w:r>
      <w:proofErr w:type="spellEnd"/>
      <w:r w:rsidRPr="0078138E">
        <w:rPr>
          <w:sz w:val="24"/>
          <w:szCs w:val="24"/>
          <w:lang w:val="en-GB"/>
        </w:rPr>
        <w:t xml:space="preserve"> arm reported sepsis or tuberculosis.</w:t>
      </w:r>
    </w:p>
    <w:p w14:paraId="650DD478" w14:textId="77777777" w:rsidR="0078138E" w:rsidRPr="0078138E" w:rsidRDefault="0078138E" w:rsidP="00217386">
      <w:pPr>
        <w:ind w:left="851"/>
        <w:rPr>
          <w:sz w:val="24"/>
          <w:szCs w:val="24"/>
          <w:lang w:val="en-GB"/>
        </w:rPr>
      </w:pPr>
    </w:p>
    <w:p w14:paraId="5E9CE592" w14:textId="77777777" w:rsidR="0078138E" w:rsidRPr="0078138E" w:rsidRDefault="0078138E" w:rsidP="00217386">
      <w:pPr>
        <w:ind w:left="851"/>
        <w:rPr>
          <w:b/>
          <w:sz w:val="24"/>
          <w:szCs w:val="24"/>
          <w:lang w:val="en-GB"/>
        </w:rPr>
      </w:pPr>
      <w:r w:rsidRPr="0078138E">
        <w:rPr>
          <w:sz w:val="24"/>
          <w:szCs w:val="24"/>
          <w:lang w:val="en-GB"/>
        </w:rPr>
        <w:t>During long-term follow-up of phase 3 studies in PV, frequently reported infections were urinary tract infections (11.8%), herpes zoster (14.7%) and pneumonia (7.1%). Sepsis was reported in 0.6% of patients. No patients reported tuberculosis in long-term follow-up.</w:t>
      </w:r>
    </w:p>
    <w:p w14:paraId="441FF40C" w14:textId="77777777" w:rsidR="0078138E" w:rsidRPr="0078138E" w:rsidRDefault="0078138E" w:rsidP="00217386">
      <w:pPr>
        <w:ind w:left="851"/>
        <w:rPr>
          <w:bCs/>
          <w:sz w:val="24"/>
          <w:szCs w:val="24"/>
          <w:lang w:val="en-GB"/>
        </w:rPr>
      </w:pPr>
    </w:p>
    <w:p w14:paraId="18E23A51" w14:textId="77777777" w:rsidR="0078138E" w:rsidRPr="0078138E" w:rsidRDefault="0078138E" w:rsidP="00217386">
      <w:pPr>
        <w:ind w:left="851"/>
        <w:rPr>
          <w:sz w:val="24"/>
          <w:szCs w:val="24"/>
          <w:lang w:val="en-GB"/>
        </w:rPr>
      </w:pPr>
      <w:r w:rsidRPr="0078138E">
        <w:rPr>
          <w:sz w:val="24"/>
          <w:szCs w:val="24"/>
          <w:lang w:val="en-GB"/>
        </w:rPr>
        <w:t xml:space="preserve">In the phase 3 acute GvHD study (REACH2), during the </w:t>
      </w:r>
      <w:r w:rsidRPr="0078138E">
        <w:rPr>
          <w:i/>
          <w:iCs/>
          <w:sz w:val="24"/>
          <w:szCs w:val="24"/>
          <w:lang w:val="en-GB"/>
        </w:rPr>
        <w:t>comparative period</w:t>
      </w:r>
      <w:r w:rsidRPr="0078138E">
        <w:rPr>
          <w:sz w:val="24"/>
          <w:szCs w:val="24"/>
          <w:lang w:val="en-GB"/>
        </w:rPr>
        <w:t xml:space="preserve">, urinary tract infections were reported in 9.9% (grade ≥3, 3.3%) of patients in the </w:t>
      </w:r>
      <w:proofErr w:type="spellStart"/>
      <w:r w:rsidRPr="0078138E">
        <w:rPr>
          <w:sz w:val="24"/>
          <w:szCs w:val="24"/>
          <w:lang w:val="en-GB"/>
        </w:rPr>
        <w:t>ruxolitinib</w:t>
      </w:r>
      <w:proofErr w:type="spellEnd"/>
      <w:r w:rsidRPr="0078138E">
        <w:rPr>
          <w:sz w:val="24"/>
          <w:szCs w:val="24"/>
          <w:lang w:val="en-GB"/>
        </w:rPr>
        <w:t xml:space="preserve"> arm compared to 10.7% (grade ≥3, 6.0%) in the BAT arm. CMV infections were reported in 28.3% (grade ≥3, 9.3%) of patients in the </w:t>
      </w:r>
      <w:proofErr w:type="spellStart"/>
      <w:r w:rsidRPr="0078138E">
        <w:rPr>
          <w:sz w:val="24"/>
          <w:szCs w:val="24"/>
          <w:lang w:val="en-GB"/>
        </w:rPr>
        <w:t>ruxolitinib</w:t>
      </w:r>
      <w:proofErr w:type="spellEnd"/>
      <w:r w:rsidRPr="0078138E">
        <w:rPr>
          <w:sz w:val="24"/>
          <w:szCs w:val="24"/>
          <w:lang w:val="en-GB"/>
        </w:rPr>
        <w:t xml:space="preserve"> arm compared to 24.0% (grade ≥3, 10.0%) in the BAT arm. Sepsis events were reported in 12.5% (grade ≥3, 11.1%) of patients in the </w:t>
      </w:r>
      <w:proofErr w:type="spellStart"/>
      <w:r w:rsidRPr="0078138E">
        <w:rPr>
          <w:sz w:val="24"/>
          <w:szCs w:val="24"/>
          <w:lang w:val="en-GB"/>
        </w:rPr>
        <w:t>ruxolitinib</w:t>
      </w:r>
      <w:proofErr w:type="spellEnd"/>
      <w:r w:rsidRPr="0078138E">
        <w:rPr>
          <w:sz w:val="24"/>
          <w:szCs w:val="24"/>
          <w:lang w:val="en-GB"/>
        </w:rPr>
        <w:t xml:space="preserve"> arm compared to 8.7% (grade ≥3, 6.0%) in the BAT arm. BK virus infection was reported only in the </w:t>
      </w:r>
      <w:proofErr w:type="spellStart"/>
      <w:r w:rsidRPr="0078138E">
        <w:rPr>
          <w:sz w:val="24"/>
          <w:szCs w:val="24"/>
          <w:lang w:val="en-GB"/>
        </w:rPr>
        <w:t>ruxolitinib</w:t>
      </w:r>
      <w:proofErr w:type="spellEnd"/>
      <w:r w:rsidRPr="0078138E">
        <w:rPr>
          <w:sz w:val="24"/>
          <w:szCs w:val="24"/>
          <w:lang w:val="en-GB"/>
        </w:rPr>
        <w:t xml:space="preserve"> arm in 3 patients with one grade 3 event. During </w:t>
      </w:r>
      <w:r w:rsidRPr="0078138E">
        <w:rPr>
          <w:i/>
          <w:iCs/>
          <w:sz w:val="24"/>
          <w:szCs w:val="24"/>
          <w:lang w:val="en-GB"/>
        </w:rPr>
        <w:t xml:space="preserve">extended follow-up </w:t>
      </w:r>
      <w:r w:rsidRPr="0078138E">
        <w:rPr>
          <w:sz w:val="24"/>
          <w:szCs w:val="24"/>
          <w:lang w:val="en-GB"/>
        </w:rPr>
        <w:t xml:space="preserve">of patients treated with </w:t>
      </w:r>
      <w:proofErr w:type="spellStart"/>
      <w:r w:rsidRPr="0078138E">
        <w:rPr>
          <w:sz w:val="24"/>
          <w:szCs w:val="24"/>
          <w:lang w:val="en-GB"/>
        </w:rPr>
        <w:t>ruxolitinib</w:t>
      </w:r>
      <w:proofErr w:type="spellEnd"/>
      <w:r w:rsidRPr="0078138E">
        <w:rPr>
          <w:sz w:val="24"/>
          <w:szCs w:val="24"/>
          <w:lang w:val="en-GB"/>
        </w:rPr>
        <w:t>, urinary tract infections were reported in 17.9% (grade ≥3, 6.5%) of patients and CMV infections were reported in 32.3% (grade ≥3, 11.4%) of patients. CMV infection with organ involvement was seen in very few patients; CMV colitis, CMV enteritis and CMV gastrointestinal infection of any grade were reported in four, two and one patients, respectively. Sepsis events, including septic shock, of any grade were reported in 25.4% (grade ≥3, 21.9%) of patients. Urinary tract infections and sepsis events were reported with lower frequency in paediatric patients with acute GvHD (9.8% each) compared to adult and adolescent patients. CMV infections were reported in 31.4% of paediatric patients (grade 3, 5.9%).</w:t>
      </w:r>
    </w:p>
    <w:p w14:paraId="39E3F39E" w14:textId="77777777" w:rsidR="0078138E" w:rsidRPr="0078138E" w:rsidRDefault="0078138E" w:rsidP="00217386">
      <w:pPr>
        <w:ind w:left="851"/>
        <w:rPr>
          <w:sz w:val="24"/>
          <w:szCs w:val="24"/>
          <w:lang w:val="en-GB"/>
        </w:rPr>
      </w:pPr>
    </w:p>
    <w:p w14:paraId="7905C518" w14:textId="77777777" w:rsidR="0078138E" w:rsidRPr="0078138E" w:rsidRDefault="0078138E" w:rsidP="00217386">
      <w:pPr>
        <w:ind w:left="851"/>
        <w:rPr>
          <w:sz w:val="24"/>
          <w:szCs w:val="24"/>
          <w:lang w:val="en-GB"/>
        </w:rPr>
      </w:pPr>
      <w:r w:rsidRPr="0078138E">
        <w:rPr>
          <w:sz w:val="24"/>
          <w:szCs w:val="24"/>
          <w:lang w:val="en-GB"/>
        </w:rPr>
        <w:t xml:space="preserve">In the phase 3 chronic GvHD study (REACH3), during the </w:t>
      </w:r>
      <w:r w:rsidRPr="0078138E">
        <w:rPr>
          <w:i/>
          <w:iCs/>
          <w:sz w:val="24"/>
          <w:szCs w:val="24"/>
          <w:lang w:val="en-GB"/>
        </w:rPr>
        <w:t>comparative period</w:t>
      </w:r>
      <w:r w:rsidRPr="0078138E">
        <w:rPr>
          <w:sz w:val="24"/>
          <w:szCs w:val="24"/>
          <w:lang w:val="en-GB"/>
        </w:rPr>
        <w:t xml:space="preserve">, urinary tract infections were reported in 8.5% (grade ≥3, 1.2%) of patients in the </w:t>
      </w:r>
      <w:proofErr w:type="spellStart"/>
      <w:r w:rsidRPr="0078138E">
        <w:rPr>
          <w:sz w:val="24"/>
          <w:szCs w:val="24"/>
          <w:lang w:val="en-GB"/>
        </w:rPr>
        <w:t>ruxolitinib</w:t>
      </w:r>
      <w:proofErr w:type="spellEnd"/>
      <w:r w:rsidRPr="0078138E">
        <w:rPr>
          <w:sz w:val="24"/>
          <w:szCs w:val="24"/>
          <w:lang w:val="en-GB"/>
        </w:rPr>
        <w:t xml:space="preserve"> arm compared to 6.3% (grade ≥3, 1.3%) in the BAT arm. BK virus infection was reported in 5.5% (grade ≥3, 0.6%) of patients in the </w:t>
      </w:r>
      <w:proofErr w:type="spellStart"/>
      <w:r w:rsidRPr="0078138E">
        <w:rPr>
          <w:sz w:val="24"/>
          <w:szCs w:val="24"/>
          <w:lang w:val="en-GB"/>
        </w:rPr>
        <w:t>ruxolitinib</w:t>
      </w:r>
      <w:proofErr w:type="spellEnd"/>
      <w:r w:rsidRPr="0078138E">
        <w:rPr>
          <w:sz w:val="24"/>
          <w:szCs w:val="24"/>
          <w:lang w:val="en-GB"/>
        </w:rPr>
        <w:t xml:space="preserve"> arm compared to 1.3% in the BAT arm. CMV infections were reported in 9.1% (grade ≥3, 1.8%) of patients in the </w:t>
      </w:r>
      <w:proofErr w:type="spellStart"/>
      <w:r w:rsidRPr="0078138E">
        <w:rPr>
          <w:sz w:val="24"/>
          <w:szCs w:val="24"/>
          <w:lang w:val="en-GB"/>
        </w:rPr>
        <w:t>ruxolitinib</w:t>
      </w:r>
      <w:proofErr w:type="spellEnd"/>
      <w:r w:rsidRPr="0078138E">
        <w:rPr>
          <w:sz w:val="24"/>
          <w:szCs w:val="24"/>
          <w:lang w:val="en-GB"/>
        </w:rPr>
        <w:t xml:space="preserve"> arm compared to 10.8% (grade ≥3, 1.9%) in the BAT arm. Sepsis events were reported in 2.4% (grade ≥3, 2.4%) of patients in the </w:t>
      </w:r>
      <w:proofErr w:type="spellStart"/>
      <w:r w:rsidRPr="0078138E">
        <w:rPr>
          <w:sz w:val="24"/>
          <w:szCs w:val="24"/>
          <w:lang w:val="en-GB"/>
        </w:rPr>
        <w:t>ruxolitinib</w:t>
      </w:r>
      <w:proofErr w:type="spellEnd"/>
      <w:r w:rsidRPr="0078138E">
        <w:rPr>
          <w:sz w:val="24"/>
          <w:szCs w:val="24"/>
          <w:lang w:val="en-GB"/>
        </w:rPr>
        <w:t xml:space="preserve"> arm compared to 6.3% (grade ≥3, 5.7%) in the BAT arm. During </w:t>
      </w:r>
      <w:r w:rsidRPr="0078138E">
        <w:rPr>
          <w:i/>
          <w:iCs/>
          <w:sz w:val="24"/>
          <w:szCs w:val="24"/>
          <w:lang w:val="en-GB"/>
        </w:rPr>
        <w:t xml:space="preserve">extended follow-up </w:t>
      </w:r>
      <w:r w:rsidRPr="0078138E">
        <w:rPr>
          <w:sz w:val="24"/>
          <w:szCs w:val="24"/>
          <w:lang w:val="en-GB"/>
        </w:rPr>
        <w:t xml:space="preserve">of patients treated with </w:t>
      </w:r>
      <w:proofErr w:type="spellStart"/>
      <w:r w:rsidRPr="0078138E">
        <w:rPr>
          <w:sz w:val="24"/>
          <w:szCs w:val="24"/>
          <w:lang w:val="en-GB"/>
        </w:rPr>
        <w:t>ruxolitinib</w:t>
      </w:r>
      <w:proofErr w:type="spellEnd"/>
      <w:r w:rsidRPr="0078138E">
        <w:rPr>
          <w:sz w:val="24"/>
          <w:szCs w:val="24"/>
          <w:lang w:val="en-GB"/>
        </w:rPr>
        <w:t>, urinary tract infections and BK virus infections were reported in 9.3% (grade ≥3, 1.3%) and 4.9% (grade ≥3, 0.4%) of patients, respectively. CMV infections and sepsis events were reported in 8.8% (grade ≥3, 1.3%) and 3.5% (grade ≥3, 3.5%) of patients, respectively. In paediatric patients with chronic GvHD, urinary tract infections were reported in 5.5% (grade 3, 1.8%) of patients and BK virus infection was reported in 1.8% (no grade ≥3) of patients. CMV infections occurred in 7.3% (no grade ≥3) of patients.</w:t>
      </w:r>
    </w:p>
    <w:p w14:paraId="6D671B9B" w14:textId="77777777" w:rsidR="0078138E" w:rsidRPr="0078138E" w:rsidRDefault="0078138E" w:rsidP="00217386">
      <w:pPr>
        <w:ind w:left="851"/>
        <w:rPr>
          <w:sz w:val="24"/>
          <w:szCs w:val="24"/>
          <w:lang w:val="en-GB"/>
        </w:rPr>
      </w:pPr>
    </w:p>
    <w:p w14:paraId="279B0D1C" w14:textId="77777777" w:rsidR="0078138E" w:rsidRPr="0078138E" w:rsidRDefault="0078138E" w:rsidP="00217386">
      <w:pPr>
        <w:ind w:left="851"/>
        <w:rPr>
          <w:sz w:val="24"/>
          <w:szCs w:val="24"/>
          <w:u w:val="single"/>
          <w:lang w:val="en-GB"/>
        </w:rPr>
      </w:pPr>
      <w:r w:rsidRPr="0078138E">
        <w:rPr>
          <w:i/>
          <w:iCs/>
          <w:sz w:val="24"/>
          <w:szCs w:val="24"/>
          <w:u w:val="single"/>
          <w:lang w:val="en-GB"/>
        </w:rPr>
        <w:t>Elevated lipase</w:t>
      </w:r>
    </w:p>
    <w:p w14:paraId="0252B222" w14:textId="77777777" w:rsidR="0078138E" w:rsidRPr="0078138E" w:rsidRDefault="0078138E" w:rsidP="00217386">
      <w:pPr>
        <w:ind w:left="851"/>
        <w:rPr>
          <w:sz w:val="24"/>
          <w:szCs w:val="24"/>
          <w:lang w:val="en-GB"/>
        </w:rPr>
      </w:pPr>
      <w:r w:rsidRPr="0078138E">
        <w:rPr>
          <w:sz w:val="24"/>
          <w:szCs w:val="24"/>
          <w:lang w:val="en-GB"/>
        </w:rPr>
        <w:t xml:space="preserve">In the randomised period of the RESPONSE study, the worsening of lipase values was higher in the </w:t>
      </w:r>
      <w:proofErr w:type="spellStart"/>
      <w:r w:rsidRPr="0078138E">
        <w:rPr>
          <w:sz w:val="24"/>
          <w:szCs w:val="24"/>
          <w:lang w:val="en-GB"/>
        </w:rPr>
        <w:t>ruxolitinib</w:t>
      </w:r>
      <w:proofErr w:type="spellEnd"/>
      <w:r w:rsidRPr="0078138E">
        <w:rPr>
          <w:sz w:val="24"/>
          <w:szCs w:val="24"/>
          <w:lang w:val="en-GB"/>
        </w:rPr>
        <w:t xml:space="preserve"> arm compared to the control arm, mainly due to the differences among grade 1 elevations (18.2% vs 8.1%). Grade ≥2 elevations were similar between treatment arms. In RESPONSE 2, the frequencies were comparable between the </w:t>
      </w:r>
      <w:proofErr w:type="spellStart"/>
      <w:r w:rsidRPr="0078138E">
        <w:rPr>
          <w:sz w:val="24"/>
          <w:szCs w:val="24"/>
          <w:lang w:val="en-GB"/>
        </w:rPr>
        <w:t>ruxolitinib</w:t>
      </w:r>
      <w:proofErr w:type="spellEnd"/>
      <w:r w:rsidRPr="0078138E">
        <w:rPr>
          <w:sz w:val="24"/>
          <w:szCs w:val="24"/>
          <w:lang w:val="en-GB"/>
        </w:rPr>
        <w:t xml:space="preserve"> and the control arm (10.8% vs 8%). During long-term follow-up of phase 3 PV studies, 7.4% and 0.9% of patients reported grade 3 and grade 4 elevation of lipase values. No concurrent signs and symptoms of pancreatitis with elevated lipase values were reported in these patients.</w:t>
      </w:r>
    </w:p>
    <w:p w14:paraId="3988765A" w14:textId="77777777" w:rsidR="0078138E" w:rsidRPr="0078138E" w:rsidRDefault="0078138E" w:rsidP="00217386">
      <w:pPr>
        <w:ind w:left="851"/>
        <w:rPr>
          <w:sz w:val="24"/>
          <w:szCs w:val="24"/>
          <w:lang w:val="en-GB"/>
        </w:rPr>
      </w:pPr>
    </w:p>
    <w:p w14:paraId="433136C9" w14:textId="77777777" w:rsidR="0078138E" w:rsidRPr="0078138E" w:rsidRDefault="0078138E" w:rsidP="00217386">
      <w:pPr>
        <w:ind w:left="851"/>
        <w:rPr>
          <w:sz w:val="24"/>
          <w:szCs w:val="24"/>
          <w:lang w:val="en-GB"/>
        </w:rPr>
      </w:pPr>
      <w:r w:rsidRPr="0078138E">
        <w:rPr>
          <w:sz w:val="24"/>
          <w:szCs w:val="24"/>
          <w:lang w:val="en-GB"/>
        </w:rPr>
        <w:t xml:space="preserve">In phase 3 studies in MF, high lipase values were reported in 18.7% and 19.3% of patients in the </w:t>
      </w:r>
      <w:proofErr w:type="spellStart"/>
      <w:r w:rsidRPr="0078138E">
        <w:rPr>
          <w:sz w:val="24"/>
          <w:szCs w:val="24"/>
          <w:lang w:val="en-GB"/>
        </w:rPr>
        <w:t>ruxolitinib</w:t>
      </w:r>
      <w:proofErr w:type="spellEnd"/>
      <w:r w:rsidRPr="0078138E">
        <w:rPr>
          <w:sz w:val="24"/>
          <w:szCs w:val="24"/>
          <w:lang w:val="en-GB"/>
        </w:rPr>
        <w:t xml:space="preserve"> arms compared to 16.6% and 14.0% in the control arms in COMFORT-I and COMFORT-II studies, respectively. In patients with elevated lipase values, no concurrent signs and symptoms of pancreatitis were reported.</w:t>
      </w:r>
    </w:p>
    <w:p w14:paraId="520F9090" w14:textId="77777777" w:rsidR="0078138E" w:rsidRPr="0078138E" w:rsidRDefault="0078138E" w:rsidP="00217386">
      <w:pPr>
        <w:ind w:left="851"/>
        <w:rPr>
          <w:sz w:val="24"/>
          <w:szCs w:val="24"/>
          <w:lang w:val="en-GB"/>
        </w:rPr>
      </w:pPr>
    </w:p>
    <w:p w14:paraId="3A29D275" w14:textId="77777777" w:rsidR="0078138E" w:rsidRPr="0078138E" w:rsidRDefault="0078138E" w:rsidP="00217386">
      <w:pPr>
        <w:ind w:left="851"/>
        <w:rPr>
          <w:sz w:val="24"/>
          <w:szCs w:val="24"/>
          <w:lang w:val="en-GB"/>
        </w:rPr>
      </w:pPr>
      <w:r w:rsidRPr="0078138E">
        <w:rPr>
          <w:sz w:val="24"/>
          <w:szCs w:val="24"/>
          <w:lang w:val="en-GB"/>
        </w:rPr>
        <w:t xml:space="preserve">In the </w:t>
      </w:r>
      <w:r w:rsidRPr="0078138E">
        <w:rPr>
          <w:i/>
          <w:iCs/>
          <w:sz w:val="24"/>
          <w:szCs w:val="24"/>
          <w:lang w:val="en-GB"/>
        </w:rPr>
        <w:t xml:space="preserve">comparative period </w:t>
      </w:r>
      <w:r w:rsidRPr="0078138E">
        <w:rPr>
          <w:sz w:val="24"/>
          <w:szCs w:val="24"/>
          <w:lang w:val="en-GB"/>
        </w:rPr>
        <w:t xml:space="preserve">of the phase 3 acute GvHD study (REACH2), new or worsened lipase values were reported in 19.7% of patients in the </w:t>
      </w:r>
      <w:proofErr w:type="spellStart"/>
      <w:r w:rsidRPr="0078138E">
        <w:rPr>
          <w:sz w:val="24"/>
          <w:szCs w:val="24"/>
          <w:lang w:val="en-GB"/>
        </w:rPr>
        <w:t>ruxolitinib</w:t>
      </w:r>
      <w:proofErr w:type="spellEnd"/>
      <w:r w:rsidRPr="0078138E">
        <w:rPr>
          <w:sz w:val="24"/>
          <w:szCs w:val="24"/>
          <w:lang w:val="en-GB"/>
        </w:rPr>
        <w:t xml:space="preserve"> arm compared to 12.5% in the BAT arm; corresponding grade 3 (3.1% vs 5.1%) and grade 4 (0% vs 0.8%) increases were similar. During </w:t>
      </w:r>
      <w:r w:rsidRPr="0078138E">
        <w:rPr>
          <w:i/>
          <w:iCs/>
          <w:sz w:val="24"/>
          <w:szCs w:val="24"/>
          <w:lang w:val="en-GB"/>
        </w:rPr>
        <w:t xml:space="preserve">extended follow-up </w:t>
      </w:r>
      <w:r w:rsidRPr="0078138E">
        <w:rPr>
          <w:sz w:val="24"/>
          <w:szCs w:val="24"/>
          <w:lang w:val="en-GB"/>
        </w:rPr>
        <w:t xml:space="preserve">of patients treated with </w:t>
      </w:r>
      <w:proofErr w:type="spellStart"/>
      <w:r w:rsidRPr="0078138E">
        <w:rPr>
          <w:sz w:val="24"/>
          <w:szCs w:val="24"/>
          <w:lang w:val="en-GB"/>
        </w:rPr>
        <w:t>ruxolitinib</w:t>
      </w:r>
      <w:proofErr w:type="spellEnd"/>
      <w:r w:rsidRPr="0078138E">
        <w:rPr>
          <w:sz w:val="24"/>
          <w:szCs w:val="24"/>
          <w:lang w:val="en-GB"/>
        </w:rPr>
        <w:t xml:space="preserve">, increased lipase values were reported in 32.2% of patients; </w:t>
      </w:r>
      <w:proofErr w:type="gramStart"/>
      <w:r w:rsidRPr="0078138E">
        <w:rPr>
          <w:sz w:val="24"/>
          <w:szCs w:val="24"/>
          <w:lang w:val="en-GB"/>
        </w:rPr>
        <w:t>grade</w:t>
      </w:r>
      <w:proofErr w:type="gramEnd"/>
      <w:r w:rsidRPr="0078138E">
        <w:rPr>
          <w:sz w:val="24"/>
          <w:szCs w:val="24"/>
          <w:lang w:val="en-GB"/>
        </w:rPr>
        <w:t xml:space="preserve"> 3 and 4 were reported in 8.7% and 2.2% of patients respectively. Elevated lipase was reported in 20.4% of paediatric patients (grade 3 and 4: 8.5% and 4.1%, respectively).</w:t>
      </w:r>
    </w:p>
    <w:p w14:paraId="717BACCA" w14:textId="77777777" w:rsidR="0078138E" w:rsidRPr="0078138E" w:rsidRDefault="0078138E" w:rsidP="00217386">
      <w:pPr>
        <w:ind w:left="851"/>
        <w:rPr>
          <w:sz w:val="24"/>
          <w:szCs w:val="24"/>
          <w:lang w:val="en-GB"/>
        </w:rPr>
      </w:pPr>
    </w:p>
    <w:p w14:paraId="30A0BCDE" w14:textId="77777777" w:rsidR="0078138E" w:rsidRPr="0078138E" w:rsidRDefault="0078138E" w:rsidP="00217386">
      <w:pPr>
        <w:ind w:left="851"/>
        <w:rPr>
          <w:b/>
          <w:sz w:val="24"/>
          <w:szCs w:val="24"/>
          <w:lang w:val="en-GB"/>
        </w:rPr>
      </w:pPr>
      <w:r w:rsidRPr="0078138E">
        <w:rPr>
          <w:sz w:val="24"/>
          <w:szCs w:val="24"/>
          <w:lang w:val="en-GB"/>
        </w:rPr>
        <w:t xml:space="preserve">In the </w:t>
      </w:r>
      <w:r w:rsidRPr="0078138E">
        <w:rPr>
          <w:i/>
          <w:iCs/>
          <w:sz w:val="24"/>
          <w:szCs w:val="24"/>
          <w:lang w:val="en-GB"/>
        </w:rPr>
        <w:t xml:space="preserve">comparative period </w:t>
      </w:r>
      <w:r w:rsidRPr="0078138E">
        <w:rPr>
          <w:sz w:val="24"/>
          <w:szCs w:val="24"/>
          <w:lang w:val="en-GB"/>
        </w:rPr>
        <w:t xml:space="preserve">of the phase 3 chronic GvHD study (REACH3), new or worsened lipase values were reported in 32.1% of patients in the </w:t>
      </w:r>
      <w:proofErr w:type="spellStart"/>
      <w:r w:rsidRPr="0078138E">
        <w:rPr>
          <w:sz w:val="24"/>
          <w:szCs w:val="24"/>
          <w:lang w:val="en-GB"/>
        </w:rPr>
        <w:t>ruxolitinib</w:t>
      </w:r>
      <w:proofErr w:type="spellEnd"/>
      <w:r w:rsidRPr="0078138E">
        <w:rPr>
          <w:sz w:val="24"/>
          <w:szCs w:val="24"/>
          <w:lang w:val="en-GB"/>
        </w:rPr>
        <w:t xml:space="preserve"> arm compared to 23.5% in the BAT arm; corresponding grade 3 (10.6% vs 6.2%) and grade 4 (0.6% vs 0%) increases were similar. During </w:t>
      </w:r>
      <w:r w:rsidRPr="0078138E">
        <w:rPr>
          <w:i/>
          <w:iCs/>
          <w:sz w:val="24"/>
          <w:szCs w:val="24"/>
          <w:lang w:val="en-GB"/>
        </w:rPr>
        <w:t xml:space="preserve">extended follow-up </w:t>
      </w:r>
      <w:r w:rsidRPr="0078138E">
        <w:rPr>
          <w:sz w:val="24"/>
          <w:szCs w:val="24"/>
          <w:lang w:val="en-GB"/>
        </w:rPr>
        <w:t xml:space="preserve">of patients treated with </w:t>
      </w:r>
      <w:proofErr w:type="spellStart"/>
      <w:r w:rsidRPr="0078138E">
        <w:rPr>
          <w:sz w:val="24"/>
          <w:szCs w:val="24"/>
          <w:lang w:val="en-GB"/>
        </w:rPr>
        <w:t>ruxolitinib</w:t>
      </w:r>
      <w:proofErr w:type="spellEnd"/>
      <w:r w:rsidRPr="0078138E">
        <w:rPr>
          <w:sz w:val="24"/>
          <w:szCs w:val="24"/>
          <w:lang w:val="en-GB"/>
        </w:rPr>
        <w:t xml:space="preserve">, increased lipase values were reported in 35.9% of patients; </w:t>
      </w:r>
      <w:proofErr w:type="gramStart"/>
      <w:r w:rsidRPr="0078138E">
        <w:rPr>
          <w:sz w:val="24"/>
          <w:szCs w:val="24"/>
          <w:lang w:val="en-GB"/>
        </w:rPr>
        <w:t>grade</w:t>
      </w:r>
      <w:proofErr w:type="gramEnd"/>
      <w:r w:rsidRPr="0078138E">
        <w:rPr>
          <w:sz w:val="24"/>
          <w:szCs w:val="24"/>
          <w:lang w:val="en-GB"/>
        </w:rPr>
        <w:t xml:space="preserve"> 3 and 4 were observed in 9.5% and 0.4% of patients, respectively. Elevated lipase was reported with lower frequency (20.4%, grade 3 and 4: 3.8% and 1.9%, respectively) in paediatric patients.</w:t>
      </w:r>
    </w:p>
    <w:p w14:paraId="217A5150" w14:textId="77777777" w:rsidR="0078138E" w:rsidRPr="0078138E" w:rsidRDefault="0078138E" w:rsidP="00217386">
      <w:pPr>
        <w:ind w:left="851"/>
        <w:rPr>
          <w:bCs/>
          <w:sz w:val="24"/>
          <w:szCs w:val="24"/>
          <w:lang w:val="en-GB"/>
        </w:rPr>
      </w:pPr>
    </w:p>
    <w:p w14:paraId="6C8E3A88" w14:textId="77777777" w:rsidR="0078138E" w:rsidRPr="0078138E" w:rsidRDefault="0078138E" w:rsidP="00217386">
      <w:pPr>
        <w:ind w:left="851"/>
        <w:rPr>
          <w:sz w:val="24"/>
          <w:szCs w:val="24"/>
          <w:u w:val="single"/>
          <w:lang w:val="en-GB"/>
        </w:rPr>
      </w:pPr>
      <w:r w:rsidRPr="0078138E">
        <w:rPr>
          <w:i/>
          <w:iCs/>
          <w:sz w:val="24"/>
          <w:szCs w:val="24"/>
          <w:u w:val="single"/>
          <w:lang w:val="en-GB"/>
        </w:rPr>
        <w:t>Increased systolic blood pressure</w:t>
      </w:r>
    </w:p>
    <w:p w14:paraId="276876C2" w14:textId="77777777" w:rsidR="0078138E" w:rsidRPr="0078138E" w:rsidRDefault="0078138E" w:rsidP="00217386">
      <w:pPr>
        <w:ind w:left="851"/>
        <w:rPr>
          <w:sz w:val="24"/>
          <w:szCs w:val="24"/>
          <w:lang w:val="en-GB"/>
        </w:rPr>
      </w:pPr>
      <w:r w:rsidRPr="0078138E">
        <w:rPr>
          <w:sz w:val="24"/>
          <w:szCs w:val="24"/>
          <w:lang w:val="en-GB"/>
        </w:rPr>
        <w:t xml:space="preserve">In the phase 3 pivotal clinical studies in MF an increase in systolic blood pressure of 20 mmHg or more from baseline was recorded in 31.5% of patients on at least one visit compared with 19.5% of the control-treated patients. In COMFORT-I (MF patients) the mean increase from baseline in systolic BP was 0-2 mmHg on </w:t>
      </w:r>
      <w:proofErr w:type="spellStart"/>
      <w:r w:rsidRPr="0078138E">
        <w:rPr>
          <w:sz w:val="24"/>
          <w:szCs w:val="24"/>
          <w:lang w:val="en-GB"/>
        </w:rPr>
        <w:t>ruxolitinib</w:t>
      </w:r>
      <w:proofErr w:type="spellEnd"/>
      <w:r w:rsidRPr="0078138E">
        <w:rPr>
          <w:sz w:val="24"/>
          <w:szCs w:val="24"/>
          <w:lang w:val="en-GB"/>
        </w:rPr>
        <w:t xml:space="preserve"> versus a decrease of 2-5 mmHg in the placebo arm. In COMFORT-II mean values showed little difference between the </w:t>
      </w:r>
      <w:proofErr w:type="spellStart"/>
      <w:r w:rsidRPr="0078138E">
        <w:rPr>
          <w:sz w:val="24"/>
          <w:szCs w:val="24"/>
          <w:lang w:val="en-GB"/>
        </w:rPr>
        <w:t>ruxolitinib</w:t>
      </w:r>
      <w:proofErr w:type="spellEnd"/>
      <w:r w:rsidRPr="0078138E">
        <w:rPr>
          <w:sz w:val="24"/>
          <w:szCs w:val="24"/>
          <w:lang w:val="en-GB"/>
        </w:rPr>
        <w:t>-treated and the control-treated MF patients.</w:t>
      </w:r>
    </w:p>
    <w:p w14:paraId="6DA0B3FC" w14:textId="77777777" w:rsidR="0078138E" w:rsidRPr="0078138E" w:rsidRDefault="0078138E" w:rsidP="00217386">
      <w:pPr>
        <w:ind w:left="851"/>
        <w:rPr>
          <w:sz w:val="24"/>
          <w:szCs w:val="24"/>
          <w:lang w:val="en-GB"/>
        </w:rPr>
      </w:pPr>
    </w:p>
    <w:p w14:paraId="4925BDA3" w14:textId="77777777" w:rsidR="0078138E" w:rsidRPr="0078138E" w:rsidRDefault="0078138E" w:rsidP="00217386">
      <w:pPr>
        <w:ind w:left="851"/>
        <w:rPr>
          <w:sz w:val="24"/>
          <w:szCs w:val="24"/>
          <w:lang w:val="en-GB"/>
        </w:rPr>
      </w:pPr>
      <w:r w:rsidRPr="0078138E">
        <w:rPr>
          <w:sz w:val="24"/>
          <w:szCs w:val="24"/>
          <w:lang w:val="en-GB"/>
        </w:rPr>
        <w:t xml:space="preserve">In the randomised period of the pivotal study in PV patients, the mean systolic blood pressure increased by 0.65 mmHg in the </w:t>
      </w:r>
      <w:proofErr w:type="spellStart"/>
      <w:r w:rsidRPr="0078138E">
        <w:rPr>
          <w:sz w:val="24"/>
          <w:szCs w:val="24"/>
          <w:lang w:val="en-GB"/>
        </w:rPr>
        <w:t>ruxolitinib</w:t>
      </w:r>
      <w:proofErr w:type="spellEnd"/>
      <w:r w:rsidRPr="0078138E">
        <w:rPr>
          <w:sz w:val="24"/>
          <w:szCs w:val="24"/>
          <w:lang w:val="en-GB"/>
        </w:rPr>
        <w:t xml:space="preserve"> arm versus a decrease of 2 mmHg in the BAT arm.</w:t>
      </w:r>
    </w:p>
    <w:p w14:paraId="47E8F00E" w14:textId="77777777" w:rsidR="0078138E" w:rsidRPr="0078138E" w:rsidRDefault="0078138E" w:rsidP="00217386">
      <w:pPr>
        <w:ind w:left="851"/>
        <w:rPr>
          <w:sz w:val="24"/>
          <w:szCs w:val="24"/>
          <w:lang w:val="en-GB"/>
        </w:rPr>
      </w:pPr>
    </w:p>
    <w:p w14:paraId="4E4E1AC2" w14:textId="77777777" w:rsidR="0078138E" w:rsidRPr="0078138E" w:rsidRDefault="0078138E" w:rsidP="00217386">
      <w:pPr>
        <w:ind w:left="851"/>
        <w:rPr>
          <w:sz w:val="24"/>
          <w:szCs w:val="24"/>
          <w:lang w:val="en-GB"/>
        </w:rPr>
      </w:pPr>
      <w:r w:rsidRPr="0078138E">
        <w:rPr>
          <w:sz w:val="24"/>
          <w:szCs w:val="24"/>
          <w:u w:val="single"/>
          <w:lang w:val="en-GB"/>
        </w:rPr>
        <w:t>Special populations</w:t>
      </w:r>
    </w:p>
    <w:p w14:paraId="25655DDE" w14:textId="77777777" w:rsidR="0078138E" w:rsidRPr="0078138E" w:rsidRDefault="0078138E" w:rsidP="00217386">
      <w:pPr>
        <w:ind w:left="851"/>
        <w:rPr>
          <w:sz w:val="24"/>
          <w:szCs w:val="24"/>
          <w:lang w:val="en-GB"/>
        </w:rPr>
      </w:pPr>
    </w:p>
    <w:p w14:paraId="3CCEDBE0" w14:textId="77777777" w:rsidR="0078138E" w:rsidRPr="0078138E" w:rsidRDefault="0078138E" w:rsidP="00217386">
      <w:pPr>
        <w:ind w:left="851"/>
        <w:rPr>
          <w:sz w:val="24"/>
          <w:szCs w:val="24"/>
          <w:lang w:val="en-GB"/>
        </w:rPr>
      </w:pPr>
      <w:r w:rsidRPr="0078138E">
        <w:rPr>
          <w:i/>
          <w:iCs/>
          <w:sz w:val="24"/>
          <w:szCs w:val="24"/>
          <w:lang w:val="en-GB"/>
        </w:rPr>
        <w:t>Paediatric patients</w:t>
      </w:r>
    </w:p>
    <w:p w14:paraId="66D5EC20" w14:textId="77777777" w:rsidR="0078138E" w:rsidRPr="0078138E" w:rsidRDefault="0078138E" w:rsidP="00217386">
      <w:pPr>
        <w:ind w:left="851"/>
        <w:rPr>
          <w:sz w:val="24"/>
          <w:szCs w:val="24"/>
          <w:lang w:val="en-GB"/>
        </w:rPr>
      </w:pPr>
      <w:r w:rsidRPr="0078138E">
        <w:rPr>
          <w:sz w:val="24"/>
          <w:szCs w:val="24"/>
          <w:lang w:val="en-GB"/>
        </w:rPr>
        <w:t xml:space="preserve">A total of 106 patients aged 2 to &lt;18 years with GvHD were analysed for safety: 51 patients (45 patients in REACH4 and 6 patients in REACH2) in acute GvHD studies and 55 patients (45 patients in REACH5 and 10 patients in REACH3) in the chronic GvHD studies. The safety profile observed in paediatric patients who received treatment with </w:t>
      </w:r>
      <w:proofErr w:type="spellStart"/>
      <w:r w:rsidRPr="0078138E">
        <w:rPr>
          <w:sz w:val="24"/>
          <w:szCs w:val="24"/>
          <w:lang w:val="en-GB"/>
        </w:rPr>
        <w:t>ruxolitinib</w:t>
      </w:r>
      <w:proofErr w:type="spellEnd"/>
      <w:r w:rsidRPr="0078138E">
        <w:rPr>
          <w:sz w:val="24"/>
          <w:szCs w:val="24"/>
          <w:lang w:val="en-GB"/>
        </w:rPr>
        <w:t xml:space="preserve"> was </w:t>
      </w:r>
      <w:proofErr w:type="gramStart"/>
      <w:r w:rsidRPr="0078138E">
        <w:rPr>
          <w:sz w:val="24"/>
          <w:szCs w:val="24"/>
          <w:lang w:val="en-GB"/>
        </w:rPr>
        <w:t>similar to</w:t>
      </w:r>
      <w:proofErr w:type="gramEnd"/>
      <w:r w:rsidRPr="0078138E">
        <w:rPr>
          <w:sz w:val="24"/>
          <w:szCs w:val="24"/>
          <w:lang w:val="en-GB"/>
        </w:rPr>
        <w:t xml:space="preserve"> that observed in adult patients.</w:t>
      </w:r>
    </w:p>
    <w:p w14:paraId="37D079F7" w14:textId="77777777" w:rsidR="0078138E" w:rsidRPr="0078138E" w:rsidRDefault="0078138E" w:rsidP="00217386">
      <w:pPr>
        <w:ind w:left="851"/>
        <w:rPr>
          <w:sz w:val="24"/>
          <w:szCs w:val="24"/>
          <w:lang w:val="en-GB"/>
        </w:rPr>
      </w:pPr>
    </w:p>
    <w:p w14:paraId="53E3D99D" w14:textId="77777777" w:rsidR="0078138E" w:rsidRPr="0078138E" w:rsidRDefault="0078138E" w:rsidP="00217386">
      <w:pPr>
        <w:ind w:left="851"/>
        <w:rPr>
          <w:sz w:val="24"/>
          <w:szCs w:val="24"/>
          <w:lang w:val="en-GB"/>
        </w:rPr>
      </w:pPr>
      <w:r w:rsidRPr="0078138E">
        <w:rPr>
          <w:i/>
          <w:iCs/>
          <w:sz w:val="24"/>
          <w:szCs w:val="24"/>
          <w:lang w:val="en-GB"/>
        </w:rPr>
        <w:t>Elderly</w:t>
      </w:r>
    </w:p>
    <w:p w14:paraId="6720308D" w14:textId="77777777" w:rsidR="0078138E" w:rsidRPr="0078138E" w:rsidRDefault="0078138E" w:rsidP="00217386">
      <w:pPr>
        <w:ind w:left="851"/>
        <w:rPr>
          <w:sz w:val="24"/>
          <w:szCs w:val="24"/>
          <w:lang w:val="en-GB"/>
        </w:rPr>
      </w:pPr>
      <w:r w:rsidRPr="0078138E">
        <w:rPr>
          <w:sz w:val="24"/>
          <w:szCs w:val="24"/>
          <w:lang w:val="en-GB"/>
        </w:rPr>
        <w:t xml:space="preserve">A total of 29 patients in study REACH2 and 25 patients in REACH3 aged &gt;65 years and treated with </w:t>
      </w:r>
      <w:proofErr w:type="spellStart"/>
      <w:r w:rsidRPr="0078138E">
        <w:rPr>
          <w:sz w:val="24"/>
          <w:szCs w:val="24"/>
          <w:lang w:val="en-GB"/>
        </w:rPr>
        <w:t>ruxolitinib</w:t>
      </w:r>
      <w:proofErr w:type="spellEnd"/>
      <w:r w:rsidRPr="0078138E">
        <w:rPr>
          <w:sz w:val="24"/>
          <w:szCs w:val="24"/>
          <w:lang w:val="en-GB"/>
        </w:rPr>
        <w:t xml:space="preserve"> were analysed for safety. Overall, no new safety concerns were identified and the safety profile in patients &gt;65 years old is generally consistent with that of patients aged 18-65 years old.</w:t>
      </w:r>
    </w:p>
    <w:p w14:paraId="58F38D3A" w14:textId="77777777" w:rsidR="0078138E" w:rsidRPr="0078138E" w:rsidRDefault="0078138E" w:rsidP="00217386">
      <w:pPr>
        <w:ind w:left="851"/>
        <w:rPr>
          <w:sz w:val="24"/>
          <w:szCs w:val="24"/>
          <w:lang w:val="en-GB"/>
        </w:rPr>
      </w:pPr>
    </w:p>
    <w:p w14:paraId="127DDB84" w14:textId="77777777" w:rsidR="0078138E" w:rsidRPr="0078138E" w:rsidRDefault="0078138E" w:rsidP="00217386">
      <w:pPr>
        <w:ind w:left="851"/>
        <w:rPr>
          <w:sz w:val="24"/>
          <w:szCs w:val="24"/>
          <w:u w:val="single"/>
          <w:lang w:val="en-GB"/>
        </w:rPr>
      </w:pPr>
      <w:r w:rsidRPr="0078138E">
        <w:rPr>
          <w:sz w:val="24"/>
          <w:szCs w:val="24"/>
          <w:u w:val="single"/>
          <w:lang w:val="en-GB"/>
        </w:rPr>
        <w:t>Reporting of suspected adverse reactions</w:t>
      </w:r>
    </w:p>
    <w:p w14:paraId="396C4D3B" w14:textId="77777777" w:rsidR="00727BD8" w:rsidRDefault="0078138E" w:rsidP="00217386">
      <w:pPr>
        <w:ind w:left="851"/>
        <w:rPr>
          <w:sz w:val="24"/>
          <w:szCs w:val="24"/>
          <w:lang w:val="en-GB"/>
        </w:rPr>
      </w:pPr>
      <w:r w:rsidRPr="0078138E">
        <w:rPr>
          <w:sz w:val="24"/>
          <w:szCs w:val="24"/>
          <w:lang w:val="en-GB"/>
        </w:rPr>
        <w:t>Reporting suspected adverse reactions after authorisation of the medicinal product is important. It allows continued monitoring of the benefit/risk balance of the medicinal product. Healthcare professionals are asked to report any suspected adverse reactions via</w:t>
      </w:r>
      <w:r w:rsidR="00727BD8">
        <w:rPr>
          <w:sz w:val="24"/>
          <w:szCs w:val="24"/>
          <w:lang w:val="en-GB"/>
        </w:rPr>
        <w:t>:</w:t>
      </w:r>
    </w:p>
    <w:p w14:paraId="258AEED9" w14:textId="77777777" w:rsidR="00727BD8" w:rsidRDefault="00727BD8" w:rsidP="00217386">
      <w:pPr>
        <w:ind w:left="851"/>
        <w:rPr>
          <w:sz w:val="24"/>
          <w:szCs w:val="24"/>
          <w:lang w:val="en-GB"/>
        </w:rPr>
      </w:pPr>
    </w:p>
    <w:p w14:paraId="445D0BA8" w14:textId="0ADB990B" w:rsidR="0078138E" w:rsidRPr="00727BD8" w:rsidRDefault="0078138E" w:rsidP="00217386">
      <w:pPr>
        <w:ind w:left="851"/>
        <w:rPr>
          <w:iCs/>
          <w:sz w:val="24"/>
          <w:szCs w:val="24"/>
        </w:rPr>
      </w:pPr>
      <w:r w:rsidRPr="00727BD8">
        <w:rPr>
          <w:iCs/>
          <w:sz w:val="24"/>
          <w:szCs w:val="24"/>
        </w:rPr>
        <w:t>Lægemiddelstyrelsen</w:t>
      </w:r>
    </w:p>
    <w:p w14:paraId="4094FF5A" w14:textId="77777777" w:rsidR="0078138E" w:rsidRPr="00727BD8" w:rsidRDefault="0078138E" w:rsidP="00217386">
      <w:pPr>
        <w:ind w:left="851"/>
        <w:rPr>
          <w:iCs/>
          <w:sz w:val="24"/>
          <w:szCs w:val="24"/>
        </w:rPr>
      </w:pPr>
      <w:r w:rsidRPr="00727BD8">
        <w:rPr>
          <w:iCs/>
          <w:sz w:val="24"/>
          <w:szCs w:val="24"/>
        </w:rPr>
        <w:t>Axel Heides Gade 1</w:t>
      </w:r>
    </w:p>
    <w:p w14:paraId="2F14F8F0" w14:textId="77777777" w:rsidR="0078138E" w:rsidRPr="00727BD8" w:rsidRDefault="0078138E" w:rsidP="00217386">
      <w:pPr>
        <w:ind w:left="851"/>
        <w:rPr>
          <w:iCs/>
          <w:sz w:val="24"/>
          <w:szCs w:val="24"/>
        </w:rPr>
      </w:pPr>
      <w:r w:rsidRPr="00727BD8">
        <w:rPr>
          <w:iCs/>
          <w:sz w:val="24"/>
          <w:szCs w:val="24"/>
        </w:rPr>
        <w:t>DK-2300 København S</w:t>
      </w:r>
    </w:p>
    <w:p w14:paraId="529ECF7A" w14:textId="77777777" w:rsidR="0078138E" w:rsidRPr="0078138E" w:rsidRDefault="0078138E" w:rsidP="00217386">
      <w:pPr>
        <w:ind w:left="851"/>
        <w:rPr>
          <w:iCs/>
          <w:sz w:val="24"/>
          <w:szCs w:val="24"/>
          <w:lang w:val="en-GB"/>
        </w:rPr>
      </w:pPr>
      <w:r w:rsidRPr="0078138E">
        <w:rPr>
          <w:iCs/>
          <w:sz w:val="24"/>
          <w:szCs w:val="24"/>
          <w:lang w:val="en-GB"/>
        </w:rPr>
        <w:t xml:space="preserve">Website: </w:t>
      </w:r>
      <w:hyperlink r:id="rId8" w:history="1">
        <w:r w:rsidRPr="0078138E">
          <w:rPr>
            <w:rStyle w:val="Hyperlink"/>
            <w:iCs/>
            <w:sz w:val="24"/>
            <w:szCs w:val="24"/>
            <w:lang w:val="en-GB"/>
          </w:rPr>
          <w:t>www.meldenbivirkning.dk</w:t>
        </w:r>
      </w:hyperlink>
    </w:p>
    <w:p w14:paraId="20734F6D" w14:textId="77777777" w:rsidR="007C5D2A" w:rsidRPr="009B509D" w:rsidRDefault="007C5D2A" w:rsidP="007A4CC6">
      <w:pPr>
        <w:tabs>
          <w:tab w:val="left" w:pos="851"/>
        </w:tabs>
        <w:ind w:left="851"/>
        <w:rPr>
          <w:sz w:val="24"/>
          <w:szCs w:val="24"/>
          <w:lang w:val="en-GB"/>
        </w:rPr>
      </w:pPr>
    </w:p>
    <w:p w14:paraId="02BAC8D1" w14:textId="77777777" w:rsidR="007C5D2A" w:rsidRPr="009B509D" w:rsidRDefault="007C5D2A" w:rsidP="007C5D2A">
      <w:pPr>
        <w:tabs>
          <w:tab w:val="left" w:pos="851"/>
        </w:tabs>
        <w:ind w:left="851" w:hanging="851"/>
        <w:rPr>
          <w:b/>
          <w:sz w:val="24"/>
          <w:szCs w:val="24"/>
          <w:lang w:val="en-GB"/>
        </w:rPr>
      </w:pPr>
      <w:r w:rsidRPr="009B509D">
        <w:rPr>
          <w:b/>
          <w:sz w:val="24"/>
          <w:szCs w:val="24"/>
          <w:lang w:val="en-GB"/>
        </w:rPr>
        <w:t>4.9</w:t>
      </w:r>
      <w:r w:rsidRPr="009B509D">
        <w:rPr>
          <w:b/>
          <w:sz w:val="24"/>
          <w:szCs w:val="24"/>
          <w:lang w:val="en-GB"/>
        </w:rPr>
        <w:tab/>
        <w:t>Overdose</w:t>
      </w:r>
    </w:p>
    <w:p w14:paraId="665F515B" w14:textId="77777777" w:rsidR="0078138E" w:rsidRPr="0078138E" w:rsidRDefault="0078138E" w:rsidP="00217386">
      <w:pPr>
        <w:ind w:left="851"/>
        <w:rPr>
          <w:sz w:val="24"/>
          <w:szCs w:val="24"/>
          <w:lang w:val="en-GB"/>
        </w:rPr>
      </w:pPr>
      <w:r w:rsidRPr="0078138E">
        <w:rPr>
          <w:sz w:val="24"/>
          <w:szCs w:val="24"/>
          <w:lang w:val="en-GB"/>
        </w:rPr>
        <w:t xml:space="preserve">There is no known antidote for overdoses with </w:t>
      </w:r>
      <w:proofErr w:type="spellStart"/>
      <w:r w:rsidRPr="0078138E">
        <w:rPr>
          <w:sz w:val="24"/>
          <w:szCs w:val="24"/>
          <w:lang w:val="en-GB"/>
        </w:rPr>
        <w:t>ruxolitinib</w:t>
      </w:r>
      <w:proofErr w:type="spellEnd"/>
      <w:r w:rsidRPr="0078138E">
        <w:rPr>
          <w:sz w:val="24"/>
          <w:szCs w:val="24"/>
          <w:lang w:val="en-GB"/>
        </w:rPr>
        <w:t>. Single doses up to 200 mg have been given with acceptable acute tolerability. Higher than recommended repeat doses are associated with increased myelosuppression including leukopenia, anaemia and thrombocytopenia. Appropriate supportive treatment should be given.</w:t>
      </w:r>
    </w:p>
    <w:p w14:paraId="71C0FB34" w14:textId="77777777" w:rsidR="0078138E" w:rsidRPr="0078138E" w:rsidRDefault="0078138E" w:rsidP="00217386">
      <w:pPr>
        <w:ind w:left="851"/>
        <w:rPr>
          <w:sz w:val="24"/>
          <w:szCs w:val="24"/>
          <w:lang w:val="en-GB"/>
        </w:rPr>
      </w:pPr>
    </w:p>
    <w:p w14:paraId="1371F05B" w14:textId="77777777" w:rsidR="0078138E" w:rsidRPr="0078138E" w:rsidRDefault="0078138E" w:rsidP="00217386">
      <w:pPr>
        <w:ind w:left="851"/>
        <w:rPr>
          <w:i/>
          <w:sz w:val="24"/>
          <w:szCs w:val="24"/>
          <w:lang w:val="en-GB"/>
        </w:rPr>
      </w:pPr>
      <w:r w:rsidRPr="0078138E">
        <w:rPr>
          <w:sz w:val="24"/>
          <w:szCs w:val="24"/>
          <w:lang w:val="en-GB"/>
        </w:rPr>
        <w:t xml:space="preserve">Haemodialysis is not expected to enhance the elimination of </w:t>
      </w:r>
      <w:proofErr w:type="spellStart"/>
      <w:r w:rsidRPr="0078138E">
        <w:rPr>
          <w:sz w:val="24"/>
          <w:szCs w:val="24"/>
          <w:lang w:val="en-GB"/>
        </w:rPr>
        <w:t>ruxolitinib</w:t>
      </w:r>
      <w:proofErr w:type="spellEnd"/>
      <w:r w:rsidRPr="0078138E">
        <w:rPr>
          <w:sz w:val="24"/>
          <w:szCs w:val="24"/>
          <w:lang w:val="en-GB"/>
        </w:rPr>
        <w:t>.</w:t>
      </w:r>
    </w:p>
    <w:p w14:paraId="433B9035" w14:textId="77777777" w:rsidR="007C5D2A" w:rsidRPr="009B509D" w:rsidRDefault="007C5D2A" w:rsidP="00217386">
      <w:pPr>
        <w:ind w:left="851"/>
        <w:rPr>
          <w:sz w:val="24"/>
          <w:szCs w:val="24"/>
          <w:lang w:val="en-GB"/>
        </w:rPr>
      </w:pPr>
    </w:p>
    <w:p w14:paraId="5F181971" w14:textId="77777777" w:rsidR="008F2F8C" w:rsidRPr="009B509D" w:rsidRDefault="0042292D" w:rsidP="0042292D">
      <w:pPr>
        <w:tabs>
          <w:tab w:val="left" w:pos="851"/>
        </w:tabs>
        <w:rPr>
          <w:b/>
          <w:sz w:val="24"/>
          <w:szCs w:val="24"/>
          <w:lang w:val="en-GB"/>
        </w:rPr>
      </w:pPr>
      <w:r w:rsidRPr="009B509D">
        <w:rPr>
          <w:b/>
          <w:sz w:val="24"/>
          <w:szCs w:val="24"/>
          <w:lang w:val="en-GB"/>
        </w:rPr>
        <w:t>4.10</w:t>
      </w:r>
      <w:r w:rsidRPr="009B509D">
        <w:rPr>
          <w:b/>
          <w:sz w:val="24"/>
          <w:szCs w:val="24"/>
          <w:lang w:val="en-GB"/>
        </w:rPr>
        <w:tab/>
        <w:t>Legal status</w:t>
      </w:r>
    </w:p>
    <w:p w14:paraId="3A94FC3D" w14:textId="38CB4FB2" w:rsidR="00AD2E36" w:rsidRPr="009B509D" w:rsidRDefault="00217386" w:rsidP="00AD2E36">
      <w:pPr>
        <w:tabs>
          <w:tab w:val="left" w:pos="851"/>
        </w:tabs>
        <w:ind w:left="851"/>
        <w:rPr>
          <w:sz w:val="24"/>
          <w:szCs w:val="24"/>
          <w:lang w:val="en-GB"/>
        </w:rPr>
      </w:pPr>
      <w:r w:rsidRPr="009B509D">
        <w:rPr>
          <w:sz w:val="24"/>
          <w:szCs w:val="24"/>
          <w:lang w:val="en-GB"/>
        </w:rPr>
        <w:t>BEGR (only for hospitals)</w:t>
      </w:r>
    </w:p>
    <w:p w14:paraId="009D7121" w14:textId="77777777" w:rsidR="007C5D2A" w:rsidRPr="009B509D" w:rsidRDefault="007C5D2A" w:rsidP="003E0341">
      <w:pPr>
        <w:tabs>
          <w:tab w:val="left" w:pos="851"/>
        </w:tabs>
        <w:ind w:left="851"/>
        <w:rPr>
          <w:sz w:val="24"/>
          <w:szCs w:val="24"/>
          <w:lang w:val="en-GB"/>
        </w:rPr>
      </w:pPr>
    </w:p>
    <w:p w14:paraId="33099E9C" w14:textId="77777777" w:rsidR="00AD2E36" w:rsidRPr="009B509D" w:rsidRDefault="00AD2E36" w:rsidP="003E0341">
      <w:pPr>
        <w:tabs>
          <w:tab w:val="left" w:pos="851"/>
        </w:tabs>
        <w:ind w:left="851"/>
        <w:rPr>
          <w:sz w:val="24"/>
          <w:szCs w:val="24"/>
          <w:lang w:val="en-GB"/>
        </w:rPr>
      </w:pPr>
    </w:p>
    <w:p w14:paraId="1316932E" w14:textId="77777777" w:rsidR="007C5D2A" w:rsidRPr="009B509D" w:rsidRDefault="007C5D2A" w:rsidP="007C5D2A">
      <w:pPr>
        <w:tabs>
          <w:tab w:val="left" w:pos="851"/>
        </w:tabs>
        <w:rPr>
          <w:b/>
          <w:sz w:val="24"/>
          <w:szCs w:val="24"/>
          <w:lang w:val="en-GB"/>
        </w:rPr>
      </w:pPr>
      <w:r w:rsidRPr="009B509D">
        <w:rPr>
          <w:b/>
          <w:sz w:val="24"/>
          <w:szCs w:val="24"/>
          <w:lang w:val="en-GB"/>
        </w:rPr>
        <w:t>5.</w:t>
      </w:r>
      <w:r w:rsidRPr="009B509D">
        <w:rPr>
          <w:b/>
          <w:sz w:val="24"/>
          <w:szCs w:val="24"/>
          <w:lang w:val="en-GB"/>
        </w:rPr>
        <w:tab/>
        <w:t>PHARMACOLOGICAL PROPERTIES</w:t>
      </w:r>
    </w:p>
    <w:p w14:paraId="6418F5C8" w14:textId="77777777" w:rsidR="007C5D2A" w:rsidRPr="009B509D" w:rsidRDefault="007C5D2A" w:rsidP="003E0341">
      <w:pPr>
        <w:tabs>
          <w:tab w:val="left" w:pos="851"/>
        </w:tabs>
        <w:ind w:left="851"/>
        <w:rPr>
          <w:sz w:val="24"/>
          <w:szCs w:val="24"/>
          <w:lang w:val="en-GB"/>
        </w:rPr>
      </w:pPr>
    </w:p>
    <w:p w14:paraId="2C99E657" w14:textId="77777777" w:rsidR="007C5D2A" w:rsidRPr="009B509D" w:rsidRDefault="007C5D2A" w:rsidP="007C5D2A">
      <w:pPr>
        <w:tabs>
          <w:tab w:val="left" w:pos="851"/>
        </w:tabs>
        <w:ind w:left="851" w:hanging="851"/>
        <w:rPr>
          <w:b/>
          <w:sz w:val="24"/>
          <w:szCs w:val="24"/>
          <w:lang w:val="en-GB"/>
        </w:rPr>
      </w:pPr>
      <w:r w:rsidRPr="009B509D">
        <w:rPr>
          <w:b/>
          <w:sz w:val="24"/>
          <w:szCs w:val="24"/>
          <w:lang w:val="en-GB"/>
        </w:rPr>
        <w:t>5.1</w:t>
      </w:r>
      <w:r w:rsidRPr="009B509D">
        <w:rPr>
          <w:b/>
          <w:sz w:val="24"/>
          <w:szCs w:val="24"/>
          <w:lang w:val="en-GB"/>
        </w:rPr>
        <w:tab/>
        <w:t>Pharmacodynamic properties</w:t>
      </w:r>
      <w:r w:rsidRPr="009B509D">
        <w:rPr>
          <w:b/>
          <w:sz w:val="24"/>
          <w:szCs w:val="24"/>
          <w:lang w:val="en-GB"/>
        </w:rPr>
        <w:tab/>
      </w:r>
    </w:p>
    <w:p w14:paraId="7B1D7692" w14:textId="77777777" w:rsidR="0078138E" w:rsidRPr="0078138E" w:rsidRDefault="0078138E" w:rsidP="00217386">
      <w:pPr>
        <w:ind w:left="851"/>
        <w:rPr>
          <w:sz w:val="24"/>
          <w:szCs w:val="24"/>
          <w:lang w:val="en-GB"/>
        </w:rPr>
      </w:pPr>
      <w:r w:rsidRPr="0078138E">
        <w:rPr>
          <w:sz w:val="24"/>
          <w:szCs w:val="24"/>
          <w:lang w:val="en-GB"/>
        </w:rPr>
        <w:t>Pharmacotherapeutic group: Antineoplastic agents, protein kinase inhibitors, ATC code: L01EJ01</w:t>
      </w:r>
    </w:p>
    <w:p w14:paraId="345AAC10" w14:textId="77777777" w:rsidR="0078138E" w:rsidRPr="0078138E" w:rsidRDefault="0078138E" w:rsidP="00217386">
      <w:pPr>
        <w:ind w:left="851"/>
        <w:rPr>
          <w:sz w:val="24"/>
          <w:szCs w:val="24"/>
          <w:lang w:val="en-GB"/>
        </w:rPr>
      </w:pPr>
    </w:p>
    <w:p w14:paraId="1587A061" w14:textId="77777777" w:rsidR="0078138E" w:rsidRPr="0078138E" w:rsidRDefault="0078138E" w:rsidP="00217386">
      <w:pPr>
        <w:ind w:left="851"/>
        <w:rPr>
          <w:sz w:val="24"/>
          <w:szCs w:val="24"/>
          <w:u w:val="single"/>
          <w:lang w:val="en-GB"/>
        </w:rPr>
      </w:pPr>
      <w:r w:rsidRPr="0078138E">
        <w:rPr>
          <w:sz w:val="24"/>
          <w:szCs w:val="24"/>
          <w:u w:val="single"/>
          <w:lang w:val="en-GB"/>
        </w:rPr>
        <w:t xml:space="preserve">Mechanism of action </w:t>
      </w:r>
    </w:p>
    <w:p w14:paraId="0F20766B" w14:textId="77777777" w:rsidR="0078138E" w:rsidRPr="0078138E" w:rsidRDefault="0078138E" w:rsidP="00217386">
      <w:pPr>
        <w:ind w:left="851"/>
        <w:rPr>
          <w:sz w:val="24"/>
          <w:szCs w:val="24"/>
          <w:lang w:val="en-GB"/>
        </w:rPr>
      </w:pPr>
      <w:proofErr w:type="spellStart"/>
      <w:r w:rsidRPr="0078138E">
        <w:rPr>
          <w:sz w:val="24"/>
          <w:szCs w:val="24"/>
          <w:lang w:val="en-GB"/>
        </w:rPr>
        <w:t>Ruxolitinib</w:t>
      </w:r>
      <w:proofErr w:type="spellEnd"/>
      <w:r w:rsidRPr="0078138E">
        <w:rPr>
          <w:sz w:val="24"/>
          <w:szCs w:val="24"/>
          <w:lang w:val="en-GB"/>
        </w:rPr>
        <w:t xml:space="preserve"> is a selective inhibitor of the Janus Associated Kinases (JAKs) JAK1 and JAK2 (IC50 values of 3.3 </w:t>
      </w:r>
      <w:proofErr w:type="spellStart"/>
      <w:r w:rsidRPr="0078138E">
        <w:rPr>
          <w:sz w:val="24"/>
          <w:szCs w:val="24"/>
          <w:lang w:val="en-GB"/>
        </w:rPr>
        <w:t>nM</w:t>
      </w:r>
      <w:proofErr w:type="spellEnd"/>
      <w:r w:rsidRPr="0078138E">
        <w:rPr>
          <w:sz w:val="24"/>
          <w:szCs w:val="24"/>
          <w:lang w:val="en-GB"/>
        </w:rPr>
        <w:t xml:space="preserve"> and 2.8 </w:t>
      </w:r>
      <w:proofErr w:type="spellStart"/>
      <w:r w:rsidRPr="0078138E">
        <w:rPr>
          <w:sz w:val="24"/>
          <w:szCs w:val="24"/>
          <w:lang w:val="en-GB"/>
        </w:rPr>
        <w:t>nM</w:t>
      </w:r>
      <w:proofErr w:type="spellEnd"/>
      <w:r w:rsidRPr="0078138E">
        <w:rPr>
          <w:sz w:val="24"/>
          <w:szCs w:val="24"/>
          <w:lang w:val="en-GB"/>
        </w:rPr>
        <w:t xml:space="preserve"> for JAK1 and JAK2 enzymes, respectively). These mediate the signalling of </w:t>
      </w:r>
      <w:proofErr w:type="gramStart"/>
      <w:r w:rsidRPr="0078138E">
        <w:rPr>
          <w:sz w:val="24"/>
          <w:szCs w:val="24"/>
          <w:lang w:val="en-GB"/>
        </w:rPr>
        <w:t>a number of</w:t>
      </w:r>
      <w:proofErr w:type="gramEnd"/>
      <w:r w:rsidRPr="0078138E">
        <w:rPr>
          <w:sz w:val="24"/>
          <w:szCs w:val="24"/>
          <w:lang w:val="en-GB"/>
        </w:rPr>
        <w:t xml:space="preserve"> cytokines and growth factors that are important for haematopoiesis and immune function.</w:t>
      </w:r>
    </w:p>
    <w:p w14:paraId="6B6B9DCB" w14:textId="77777777" w:rsidR="0078138E" w:rsidRPr="0078138E" w:rsidRDefault="0078138E" w:rsidP="00217386">
      <w:pPr>
        <w:ind w:left="851"/>
        <w:rPr>
          <w:sz w:val="24"/>
          <w:szCs w:val="24"/>
          <w:lang w:val="en-GB"/>
        </w:rPr>
      </w:pPr>
    </w:p>
    <w:p w14:paraId="1A91540F" w14:textId="77777777" w:rsidR="0078138E" w:rsidRPr="0078138E" w:rsidRDefault="0078138E" w:rsidP="00217386">
      <w:pPr>
        <w:ind w:left="851"/>
        <w:rPr>
          <w:sz w:val="24"/>
          <w:szCs w:val="24"/>
          <w:lang w:val="en-GB"/>
        </w:rPr>
      </w:pPr>
      <w:r w:rsidRPr="0078138E">
        <w:rPr>
          <w:sz w:val="24"/>
          <w:szCs w:val="24"/>
          <w:lang w:val="en-GB"/>
        </w:rPr>
        <w:t>MF and PV are myeloproliferative neoplasms known to be associated with dysregulated JAK1 and JAK2 signalling. The basis for the dysregulation is believed to include high levels of circulating cytokines that activate the JAK-STAT pathway, gain-of-function mutations such as JAK2V617F, and silencing of negative regulatory mechanisms. MF patients exhibit dysregulated JAK signalling regardless of JAK2V617F mutation status. Activating mutations in JAK2 (V617F or exon 12) are found in &gt;95% of PV patients.</w:t>
      </w:r>
    </w:p>
    <w:p w14:paraId="545278B9" w14:textId="77777777" w:rsidR="0078138E" w:rsidRPr="0078138E" w:rsidRDefault="0078138E" w:rsidP="00217386">
      <w:pPr>
        <w:ind w:left="851"/>
        <w:rPr>
          <w:sz w:val="24"/>
          <w:szCs w:val="24"/>
          <w:lang w:val="en-GB"/>
        </w:rPr>
      </w:pPr>
    </w:p>
    <w:p w14:paraId="7AEE30AA" w14:textId="77777777" w:rsidR="0078138E" w:rsidRPr="0078138E" w:rsidRDefault="0078138E" w:rsidP="00217386">
      <w:pPr>
        <w:ind w:left="851"/>
        <w:rPr>
          <w:sz w:val="24"/>
          <w:szCs w:val="24"/>
          <w:lang w:val="en-GB"/>
        </w:rPr>
      </w:pPr>
      <w:proofErr w:type="spellStart"/>
      <w:r w:rsidRPr="0078138E">
        <w:rPr>
          <w:sz w:val="24"/>
          <w:szCs w:val="24"/>
          <w:lang w:val="en-GB"/>
        </w:rPr>
        <w:t>Ruxolitinib</w:t>
      </w:r>
      <w:proofErr w:type="spellEnd"/>
      <w:r w:rsidRPr="0078138E">
        <w:rPr>
          <w:sz w:val="24"/>
          <w:szCs w:val="24"/>
          <w:lang w:val="en-GB"/>
        </w:rPr>
        <w:t xml:space="preserve"> inhibits JAK-STAT signalling and cell proliferation of cytokine-dependent cellular models of haematological malignancies, as well as of Ba/F3 cells rendered cytokine-independent by expressing the JAK2V617F mutated protein, with IC50 ranging from 80-320 </w:t>
      </w:r>
      <w:proofErr w:type="spellStart"/>
      <w:r w:rsidRPr="0078138E">
        <w:rPr>
          <w:sz w:val="24"/>
          <w:szCs w:val="24"/>
          <w:lang w:val="en-GB"/>
        </w:rPr>
        <w:t>nM.</w:t>
      </w:r>
      <w:proofErr w:type="spellEnd"/>
    </w:p>
    <w:p w14:paraId="1ECDD356" w14:textId="77777777" w:rsidR="0078138E" w:rsidRPr="0078138E" w:rsidRDefault="0078138E" w:rsidP="00217386">
      <w:pPr>
        <w:ind w:left="851"/>
        <w:rPr>
          <w:sz w:val="24"/>
          <w:szCs w:val="24"/>
          <w:lang w:val="en-GB"/>
        </w:rPr>
      </w:pPr>
    </w:p>
    <w:p w14:paraId="59313B2B" w14:textId="77777777" w:rsidR="0078138E" w:rsidRPr="0078138E" w:rsidRDefault="0078138E" w:rsidP="00217386">
      <w:pPr>
        <w:ind w:left="851"/>
        <w:rPr>
          <w:sz w:val="24"/>
          <w:szCs w:val="24"/>
          <w:lang w:val="en-GB"/>
        </w:rPr>
      </w:pPr>
      <w:r w:rsidRPr="0078138E">
        <w:rPr>
          <w:sz w:val="24"/>
          <w:szCs w:val="24"/>
          <w:lang w:val="en-GB"/>
        </w:rPr>
        <w:t>JAK-STAT signalling pathways play a role in regulating the development, proliferation, and activation of several immune cell types important for GvHD pathogenesis.</w:t>
      </w:r>
    </w:p>
    <w:p w14:paraId="50B7D1E9" w14:textId="5DA0AE90" w:rsidR="008E5F58" w:rsidRDefault="008E5F58">
      <w:pPr>
        <w:rPr>
          <w:sz w:val="24"/>
          <w:szCs w:val="24"/>
          <w:lang w:val="en-GB"/>
        </w:rPr>
      </w:pPr>
      <w:r>
        <w:rPr>
          <w:sz w:val="24"/>
          <w:szCs w:val="24"/>
          <w:lang w:val="en-GB"/>
        </w:rPr>
        <w:br w:type="page"/>
      </w:r>
    </w:p>
    <w:p w14:paraId="7855B90E" w14:textId="77777777" w:rsidR="0078138E" w:rsidRPr="0078138E" w:rsidRDefault="0078138E" w:rsidP="00217386">
      <w:pPr>
        <w:ind w:left="851"/>
        <w:rPr>
          <w:sz w:val="24"/>
          <w:szCs w:val="24"/>
          <w:lang w:val="en-GB"/>
        </w:rPr>
      </w:pPr>
    </w:p>
    <w:p w14:paraId="36FCCA10" w14:textId="77777777" w:rsidR="0078138E" w:rsidRPr="0078138E" w:rsidRDefault="0078138E" w:rsidP="00217386">
      <w:pPr>
        <w:ind w:left="851"/>
        <w:rPr>
          <w:sz w:val="24"/>
          <w:szCs w:val="24"/>
          <w:u w:val="single"/>
          <w:lang w:val="en-GB"/>
        </w:rPr>
      </w:pPr>
      <w:r w:rsidRPr="0078138E">
        <w:rPr>
          <w:sz w:val="24"/>
          <w:szCs w:val="24"/>
          <w:u w:val="single"/>
          <w:lang w:val="en-GB"/>
        </w:rPr>
        <w:t>Pharmacodynamic effects</w:t>
      </w:r>
    </w:p>
    <w:p w14:paraId="1AE0894D" w14:textId="77777777" w:rsidR="0078138E" w:rsidRPr="0078138E" w:rsidRDefault="0078138E" w:rsidP="00217386">
      <w:pPr>
        <w:ind w:left="851"/>
        <w:rPr>
          <w:sz w:val="24"/>
          <w:szCs w:val="24"/>
          <w:u w:val="single"/>
          <w:lang w:val="en-GB"/>
        </w:rPr>
      </w:pPr>
    </w:p>
    <w:p w14:paraId="33001F5F" w14:textId="77777777" w:rsidR="0078138E" w:rsidRPr="0078138E" w:rsidRDefault="0078138E" w:rsidP="00217386">
      <w:pPr>
        <w:ind w:left="851"/>
        <w:rPr>
          <w:sz w:val="24"/>
          <w:szCs w:val="24"/>
          <w:lang w:val="en-GB"/>
        </w:rPr>
      </w:pPr>
      <w:proofErr w:type="spellStart"/>
      <w:r w:rsidRPr="0078138E">
        <w:rPr>
          <w:sz w:val="24"/>
          <w:szCs w:val="24"/>
          <w:lang w:val="en-GB"/>
        </w:rPr>
        <w:t>Ruxolitinib</w:t>
      </w:r>
      <w:proofErr w:type="spellEnd"/>
      <w:r w:rsidRPr="0078138E">
        <w:rPr>
          <w:sz w:val="24"/>
          <w:szCs w:val="24"/>
          <w:lang w:val="en-GB"/>
        </w:rPr>
        <w:t xml:space="preserve"> inhibits cytokine-induced STAT3 phosphorylation in whole blood from healthy subjects, MF patients and PV patients. </w:t>
      </w:r>
      <w:proofErr w:type="spellStart"/>
      <w:r w:rsidRPr="0078138E">
        <w:rPr>
          <w:sz w:val="24"/>
          <w:szCs w:val="24"/>
          <w:lang w:val="en-GB"/>
        </w:rPr>
        <w:t>Ruxolitinib</w:t>
      </w:r>
      <w:proofErr w:type="spellEnd"/>
      <w:r w:rsidRPr="0078138E">
        <w:rPr>
          <w:sz w:val="24"/>
          <w:szCs w:val="24"/>
          <w:lang w:val="en-GB"/>
        </w:rPr>
        <w:t xml:space="preserve"> resulted in maximal inhibition of STAT3 phosphorylation 2 hours after dosing which returned to near baseline by 8 hours in both healthy subjects and MF patients, indicating no accumulation of either parent or active metabolites.</w:t>
      </w:r>
    </w:p>
    <w:p w14:paraId="26C05588" w14:textId="77777777" w:rsidR="0078138E" w:rsidRPr="0078138E" w:rsidRDefault="0078138E" w:rsidP="00217386">
      <w:pPr>
        <w:ind w:left="851"/>
        <w:rPr>
          <w:sz w:val="24"/>
          <w:szCs w:val="24"/>
          <w:lang w:val="en-GB"/>
        </w:rPr>
      </w:pPr>
    </w:p>
    <w:p w14:paraId="3B9E09F7" w14:textId="77777777" w:rsidR="0078138E" w:rsidRPr="0078138E" w:rsidRDefault="0078138E" w:rsidP="00217386">
      <w:pPr>
        <w:ind w:left="851"/>
        <w:rPr>
          <w:sz w:val="24"/>
          <w:szCs w:val="24"/>
          <w:lang w:val="en-GB"/>
        </w:rPr>
      </w:pPr>
      <w:r w:rsidRPr="0078138E">
        <w:rPr>
          <w:sz w:val="24"/>
          <w:szCs w:val="24"/>
          <w:lang w:val="en-GB"/>
        </w:rPr>
        <w:t xml:space="preserve">Baseline elevations in inflammatory markers associated with constitutional symptoms such as TNFα, IL-6 and CRP in subjects with MF were decreased following treatment with </w:t>
      </w:r>
      <w:proofErr w:type="spellStart"/>
      <w:r w:rsidRPr="0078138E">
        <w:rPr>
          <w:sz w:val="24"/>
          <w:szCs w:val="24"/>
          <w:lang w:val="en-GB"/>
        </w:rPr>
        <w:t>ruxolitinib</w:t>
      </w:r>
      <w:proofErr w:type="spellEnd"/>
      <w:r w:rsidRPr="0078138E">
        <w:rPr>
          <w:sz w:val="24"/>
          <w:szCs w:val="24"/>
          <w:lang w:val="en-GB"/>
        </w:rPr>
        <w:t xml:space="preserve">. MF patients did not become refractory to the pharmacodynamic effects of </w:t>
      </w:r>
      <w:proofErr w:type="spellStart"/>
      <w:r w:rsidRPr="0078138E">
        <w:rPr>
          <w:sz w:val="24"/>
          <w:szCs w:val="24"/>
          <w:lang w:val="en-GB"/>
        </w:rPr>
        <w:t>ruxolitinib</w:t>
      </w:r>
      <w:proofErr w:type="spellEnd"/>
      <w:r w:rsidRPr="0078138E">
        <w:rPr>
          <w:sz w:val="24"/>
          <w:szCs w:val="24"/>
          <w:lang w:val="en-GB"/>
        </w:rPr>
        <w:t xml:space="preserve"> treatment over time. Similarly, patients with PV also presented with baseline elevations in inflammatory markers and these markers were decreased following treatment with </w:t>
      </w:r>
      <w:proofErr w:type="spellStart"/>
      <w:r w:rsidRPr="0078138E">
        <w:rPr>
          <w:sz w:val="24"/>
          <w:szCs w:val="24"/>
          <w:lang w:val="en-GB"/>
        </w:rPr>
        <w:t>ruxolitinib</w:t>
      </w:r>
      <w:proofErr w:type="spellEnd"/>
      <w:r w:rsidRPr="0078138E">
        <w:rPr>
          <w:sz w:val="24"/>
          <w:szCs w:val="24"/>
          <w:lang w:val="en-GB"/>
        </w:rPr>
        <w:t>.</w:t>
      </w:r>
    </w:p>
    <w:p w14:paraId="38F10E1D" w14:textId="77777777" w:rsidR="0078138E" w:rsidRPr="0078138E" w:rsidRDefault="0078138E" w:rsidP="00217386">
      <w:pPr>
        <w:ind w:left="851"/>
        <w:rPr>
          <w:sz w:val="24"/>
          <w:szCs w:val="24"/>
          <w:lang w:val="en-GB"/>
        </w:rPr>
      </w:pPr>
    </w:p>
    <w:p w14:paraId="12B75005" w14:textId="77777777" w:rsidR="0078138E" w:rsidRPr="0078138E" w:rsidRDefault="0078138E" w:rsidP="00217386">
      <w:pPr>
        <w:ind w:left="851"/>
        <w:rPr>
          <w:sz w:val="24"/>
          <w:szCs w:val="24"/>
          <w:lang w:val="en-GB"/>
        </w:rPr>
      </w:pPr>
      <w:r w:rsidRPr="0078138E">
        <w:rPr>
          <w:sz w:val="24"/>
          <w:szCs w:val="24"/>
          <w:lang w:val="en-GB"/>
        </w:rPr>
        <w:t xml:space="preserve">In a thorough QT study in healthy subjects, there was no indication of a QT/QTc prolonging effect of </w:t>
      </w:r>
      <w:proofErr w:type="spellStart"/>
      <w:r w:rsidRPr="0078138E">
        <w:rPr>
          <w:sz w:val="24"/>
          <w:szCs w:val="24"/>
          <w:lang w:val="en-GB"/>
        </w:rPr>
        <w:t>ruxolitinib</w:t>
      </w:r>
      <w:proofErr w:type="spellEnd"/>
      <w:r w:rsidRPr="0078138E">
        <w:rPr>
          <w:sz w:val="24"/>
          <w:szCs w:val="24"/>
          <w:lang w:val="en-GB"/>
        </w:rPr>
        <w:t xml:space="preserve"> in single doses up to a supratherapeutic dose of 200 mg, indicating that </w:t>
      </w:r>
      <w:proofErr w:type="spellStart"/>
      <w:r w:rsidRPr="0078138E">
        <w:rPr>
          <w:sz w:val="24"/>
          <w:szCs w:val="24"/>
          <w:lang w:val="en-GB"/>
        </w:rPr>
        <w:t>ruxolitinib</w:t>
      </w:r>
      <w:proofErr w:type="spellEnd"/>
      <w:r w:rsidRPr="0078138E">
        <w:rPr>
          <w:sz w:val="24"/>
          <w:szCs w:val="24"/>
          <w:lang w:val="en-GB"/>
        </w:rPr>
        <w:t xml:space="preserve"> has no effect on cardiac repolarisation.</w:t>
      </w:r>
    </w:p>
    <w:p w14:paraId="1D858F5C" w14:textId="77777777" w:rsidR="0078138E" w:rsidRPr="0078138E" w:rsidRDefault="0078138E" w:rsidP="00217386">
      <w:pPr>
        <w:ind w:left="851"/>
        <w:rPr>
          <w:sz w:val="24"/>
          <w:szCs w:val="24"/>
          <w:lang w:val="en-GB"/>
        </w:rPr>
      </w:pPr>
    </w:p>
    <w:p w14:paraId="27D97119" w14:textId="77777777" w:rsidR="0078138E" w:rsidRPr="0078138E" w:rsidRDefault="0078138E" w:rsidP="00217386">
      <w:pPr>
        <w:ind w:left="851"/>
        <w:rPr>
          <w:sz w:val="24"/>
          <w:szCs w:val="24"/>
          <w:u w:val="single"/>
          <w:lang w:val="en-GB"/>
        </w:rPr>
      </w:pPr>
      <w:r w:rsidRPr="0078138E">
        <w:rPr>
          <w:sz w:val="24"/>
          <w:szCs w:val="24"/>
          <w:u w:val="single"/>
          <w:lang w:val="en-GB"/>
        </w:rPr>
        <w:t>Clinical efficacy and safety</w:t>
      </w:r>
    </w:p>
    <w:p w14:paraId="5BD49A28" w14:textId="77777777" w:rsidR="0078138E" w:rsidRPr="0078138E" w:rsidRDefault="0078138E" w:rsidP="00217386">
      <w:pPr>
        <w:ind w:left="851"/>
        <w:rPr>
          <w:sz w:val="24"/>
          <w:szCs w:val="24"/>
          <w:u w:val="single"/>
          <w:lang w:val="en-GB"/>
        </w:rPr>
      </w:pPr>
    </w:p>
    <w:p w14:paraId="062AD4B7" w14:textId="77777777" w:rsidR="0078138E" w:rsidRPr="0078138E" w:rsidRDefault="0078138E" w:rsidP="00217386">
      <w:pPr>
        <w:ind w:left="851"/>
        <w:rPr>
          <w:sz w:val="24"/>
          <w:szCs w:val="24"/>
          <w:u w:val="single"/>
          <w:lang w:val="en-GB"/>
        </w:rPr>
      </w:pPr>
      <w:r w:rsidRPr="0078138E">
        <w:rPr>
          <w:i/>
          <w:iCs/>
          <w:sz w:val="24"/>
          <w:szCs w:val="24"/>
          <w:u w:val="single"/>
          <w:lang w:val="en-GB"/>
        </w:rPr>
        <w:t>Myelofibrosis</w:t>
      </w:r>
    </w:p>
    <w:p w14:paraId="342F1E56" w14:textId="77777777" w:rsidR="0078138E" w:rsidRPr="0078138E" w:rsidRDefault="0078138E" w:rsidP="00217386">
      <w:pPr>
        <w:ind w:left="851"/>
        <w:rPr>
          <w:sz w:val="24"/>
          <w:szCs w:val="24"/>
          <w:lang w:val="en-GB"/>
        </w:rPr>
      </w:pPr>
    </w:p>
    <w:p w14:paraId="0EABA961" w14:textId="77777777" w:rsidR="0078138E" w:rsidRPr="0078138E" w:rsidRDefault="0078138E" w:rsidP="00217386">
      <w:pPr>
        <w:ind w:left="851"/>
        <w:rPr>
          <w:sz w:val="24"/>
          <w:szCs w:val="24"/>
          <w:lang w:val="en-GB"/>
        </w:rPr>
      </w:pPr>
      <w:r w:rsidRPr="0078138E">
        <w:rPr>
          <w:sz w:val="24"/>
          <w:szCs w:val="24"/>
          <w:lang w:val="en-GB"/>
        </w:rPr>
        <w:t xml:space="preserve">Two randomised phase 3 studies (COMFORT-I and COMFORT-II) were conducted in patients with MF (primary MF, post-polycythaemia vera MF or post-essential </w:t>
      </w:r>
      <w:proofErr w:type="spellStart"/>
      <w:r w:rsidRPr="0078138E">
        <w:rPr>
          <w:sz w:val="24"/>
          <w:szCs w:val="24"/>
          <w:lang w:val="en-GB"/>
        </w:rPr>
        <w:t>thrombocythaemia</w:t>
      </w:r>
      <w:proofErr w:type="spellEnd"/>
      <w:r w:rsidRPr="0078138E">
        <w:rPr>
          <w:sz w:val="24"/>
          <w:szCs w:val="24"/>
          <w:lang w:val="en-GB"/>
        </w:rPr>
        <w:t xml:space="preserve"> MF). In both studies, patients had palpable splenomegaly at least 5 cm below the costal margin and risk category of intermediate-2 or high risk based on the International Working Group (IWG) Consensus Criteria. The starting dose of </w:t>
      </w:r>
      <w:proofErr w:type="spellStart"/>
      <w:r w:rsidRPr="0078138E">
        <w:rPr>
          <w:sz w:val="24"/>
          <w:szCs w:val="24"/>
          <w:lang w:val="en-GB"/>
        </w:rPr>
        <w:t>ruxolitinib</w:t>
      </w:r>
      <w:proofErr w:type="spellEnd"/>
      <w:r w:rsidRPr="0078138E">
        <w:rPr>
          <w:sz w:val="24"/>
          <w:szCs w:val="24"/>
          <w:lang w:val="en-GB"/>
        </w:rPr>
        <w:t xml:space="preserve"> was based on platelet count. Patients with platelet counts ≤100 000/mm</w:t>
      </w:r>
      <w:r w:rsidRPr="0078138E">
        <w:rPr>
          <w:sz w:val="24"/>
          <w:szCs w:val="24"/>
          <w:vertAlign w:val="superscript"/>
          <w:lang w:val="en-GB"/>
        </w:rPr>
        <w:t>3</w:t>
      </w:r>
      <w:r w:rsidRPr="0078138E">
        <w:rPr>
          <w:sz w:val="24"/>
          <w:szCs w:val="24"/>
          <w:lang w:val="en-GB"/>
        </w:rPr>
        <w:t xml:space="preserve"> were not eligible for enrolment in COMFORT studies but 69 patients were enrolled in the EXPAND study, a Phase </w:t>
      </w:r>
      <w:proofErr w:type="spellStart"/>
      <w:r w:rsidRPr="0078138E">
        <w:rPr>
          <w:sz w:val="24"/>
          <w:szCs w:val="24"/>
          <w:lang w:val="en-GB"/>
        </w:rPr>
        <w:t>Ib</w:t>
      </w:r>
      <w:proofErr w:type="spellEnd"/>
      <w:r w:rsidRPr="0078138E">
        <w:rPr>
          <w:sz w:val="24"/>
          <w:szCs w:val="24"/>
          <w:lang w:val="en-GB"/>
        </w:rPr>
        <w:t xml:space="preserve">, open label, dose-finding study in patients with MF (primary MF, post-polycythaemia vera MF or post-essential </w:t>
      </w:r>
      <w:proofErr w:type="spellStart"/>
      <w:r w:rsidRPr="0078138E">
        <w:rPr>
          <w:sz w:val="24"/>
          <w:szCs w:val="24"/>
          <w:lang w:val="en-GB"/>
        </w:rPr>
        <w:t>thrombocythaemia</w:t>
      </w:r>
      <w:proofErr w:type="spellEnd"/>
      <w:r w:rsidRPr="0078138E">
        <w:rPr>
          <w:sz w:val="24"/>
          <w:szCs w:val="24"/>
          <w:lang w:val="en-GB"/>
        </w:rPr>
        <w:t xml:space="preserve"> MF) and baseline platelet counts ≥50 000 and &lt;100 000/mm</w:t>
      </w:r>
      <w:r w:rsidRPr="0078138E">
        <w:rPr>
          <w:sz w:val="24"/>
          <w:szCs w:val="24"/>
          <w:vertAlign w:val="superscript"/>
          <w:lang w:val="en-GB"/>
        </w:rPr>
        <w:t>3</w:t>
      </w:r>
      <w:r w:rsidRPr="0078138E">
        <w:rPr>
          <w:sz w:val="24"/>
          <w:szCs w:val="24"/>
          <w:lang w:val="en-GB"/>
        </w:rPr>
        <w:t>.</w:t>
      </w:r>
    </w:p>
    <w:p w14:paraId="6A8DA36F" w14:textId="77777777" w:rsidR="0078138E" w:rsidRPr="0078138E" w:rsidRDefault="0078138E" w:rsidP="00217386">
      <w:pPr>
        <w:ind w:left="851"/>
        <w:rPr>
          <w:sz w:val="24"/>
          <w:szCs w:val="24"/>
          <w:lang w:val="en-GB"/>
        </w:rPr>
      </w:pPr>
    </w:p>
    <w:p w14:paraId="56C3D82D" w14:textId="77777777" w:rsidR="0078138E" w:rsidRPr="0078138E" w:rsidRDefault="0078138E" w:rsidP="00217386">
      <w:pPr>
        <w:ind w:left="851"/>
        <w:rPr>
          <w:sz w:val="24"/>
          <w:szCs w:val="24"/>
          <w:lang w:val="en-GB"/>
        </w:rPr>
      </w:pPr>
      <w:r w:rsidRPr="0078138E">
        <w:rPr>
          <w:sz w:val="24"/>
          <w:szCs w:val="24"/>
          <w:lang w:val="en-GB"/>
        </w:rPr>
        <w:t>COMFORT-I was a double-blind, randomised, placebo-controlled study in 309 patients who were refractory to or were not candidates for available therapy. The primary efficacy endpoint was proportion of subjects achieving ≥35% reduction from baseline in spleen volume at week 24 as measured by Magnetic Resonance Imaging (MRI) or Computed Tomography (CT).</w:t>
      </w:r>
    </w:p>
    <w:p w14:paraId="3249240B" w14:textId="77777777" w:rsidR="0078138E" w:rsidRPr="0078138E" w:rsidRDefault="0078138E" w:rsidP="00217386">
      <w:pPr>
        <w:ind w:left="851"/>
        <w:rPr>
          <w:sz w:val="24"/>
          <w:szCs w:val="24"/>
          <w:lang w:val="en-GB"/>
        </w:rPr>
      </w:pPr>
    </w:p>
    <w:p w14:paraId="3AF890D7" w14:textId="77777777" w:rsidR="0078138E" w:rsidRPr="0078138E" w:rsidRDefault="0078138E" w:rsidP="00217386">
      <w:pPr>
        <w:ind w:left="851"/>
        <w:rPr>
          <w:sz w:val="24"/>
          <w:szCs w:val="24"/>
          <w:lang w:val="en-GB"/>
        </w:rPr>
      </w:pPr>
      <w:r w:rsidRPr="0078138E">
        <w:rPr>
          <w:sz w:val="24"/>
          <w:szCs w:val="24"/>
          <w:lang w:val="en-GB"/>
        </w:rPr>
        <w:t>Secondary endpoints included duration of maintenance of a ≥35% reduction from baseline in spleen volume, proportion of patients who had ≥50% reduction in total symptom score, changes in total symptom scores from baseline to week 24, as measured by the modified MF Symptom Assessment Form (MFSAF) v2.0 diary, and overall survival.</w:t>
      </w:r>
    </w:p>
    <w:p w14:paraId="6CD94F96" w14:textId="77777777" w:rsidR="0078138E" w:rsidRPr="0078138E" w:rsidRDefault="0078138E" w:rsidP="00217386">
      <w:pPr>
        <w:ind w:left="851"/>
        <w:rPr>
          <w:sz w:val="24"/>
          <w:szCs w:val="24"/>
          <w:lang w:val="en-GB"/>
        </w:rPr>
      </w:pPr>
    </w:p>
    <w:p w14:paraId="67CF1245" w14:textId="77777777" w:rsidR="0078138E" w:rsidRPr="0078138E" w:rsidRDefault="0078138E" w:rsidP="00217386">
      <w:pPr>
        <w:ind w:left="851"/>
        <w:rPr>
          <w:sz w:val="24"/>
          <w:szCs w:val="24"/>
          <w:lang w:val="en-GB"/>
        </w:rPr>
      </w:pPr>
      <w:r w:rsidRPr="0078138E">
        <w:rPr>
          <w:sz w:val="24"/>
          <w:szCs w:val="24"/>
          <w:lang w:val="en-GB"/>
        </w:rPr>
        <w:t xml:space="preserve">COMFORT-II was an open-label, randomised study in 219 patients. Patients were randomised 2:1 to </w:t>
      </w:r>
      <w:proofErr w:type="spellStart"/>
      <w:r w:rsidRPr="0078138E">
        <w:rPr>
          <w:sz w:val="24"/>
          <w:szCs w:val="24"/>
          <w:lang w:val="en-GB"/>
        </w:rPr>
        <w:t>ruxolitinib</w:t>
      </w:r>
      <w:proofErr w:type="spellEnd"/>
      <w:r w:rsidRPr="0078138E">
        <w:rPr>
          <w:sz w:val="24"/>
          <w:szCs w:val="24"/>
          <w:lang w:val="en-GB"/>
        </w:rPr>
        <w:t xml:space="preserve"> versus best available therapy. In the best available therapy arm, 47% of patients received hydroxyurea and 16% of patients received glucocorticoids. The primary efficacy endpoint was proportion of patients achieving ≥35% reduction from baseline in spleen volume at week 48 as measured by MRI or CT.</w:t>
      </w:r>
    </w:p>
    <w:p w14:paraId="0DFCC6BF" w14:textId="77777777" w:rsidR="0078138E" w:rsidRPr="0078138E" w:rsidRDefault="0078138E" w:rsidP="00217386">
      <w:pPr>
        <w:ind w:left="851"/>
        <w:rPr>
          <w:sz w:val="24"/>
          <w:szCs w:val="24"/>
          <w:lang w:val="en-GB"/>
        </w:rPr>
      </w:pPr>
    </w:p>
    <w:p w14:paraId="35615385" w14:textId="77777777" w:rsidR="0078138E" w:rsidRPr="0078138E" w:rsidRDefault="0078138E" w:rsidP="00217386">
      <w:pPr>
        <w:ind w:left="851"/>
        <w:rPr>
          <w:sz w:val="24"/>
          <w:szCs w:val="24"/>
          <w:lang w:val="en-GB"/>
        </w:rPr>
      </w:pPr>
      <w:r w:rsidRPr="0078138E">
        <w:rPr>
          <w:sz w:val="24"/>
          <w:szCs w:val="24"/>
          <w:lang w:val="en-GB"/>
        </w:rPr>
        <w:t>Secondary endpoints included proportion of patients achieving a ≥35% reduction of spleen volume from baseline at week 24 and duration of maintenance of a ≥35% reduction from baseline spleen volume.</w:t>
      </w:r>
    </w:p>
    <w:p w14:paraId="71CDEFC1" w14:textId="77777777" w:rsidR="0078138E" w:rsidRPr="0078138E" w:rsidRDefault="0078138E" w:rsidP="00217386">
      <w:pPr>
        <w:ind w:left="851"/>
        <w:rPr>
          <w:sz w:val="24"/>
          <w:szCs w:val="24"/>
          <w:lang w:val="en-GB"/>
        </w:rPr>
      </w:pPr>
    </w:p>
    <w:p w14:paraId="0473A22C" w14:textId="77777777" w:rsidR="0078138E" w:rsidRPr="0078138E" w:rsidRDefault="0078138E" w:rsidP="00217386">
      <w:pPr>
        <w:ind w:left="851"/>
        <w:rPr>
          <w:sz w:val="24"/>
          <w:szCs w:val="24"/>
          <w:lang w:val="en-GB"/>
        </w:rPr>
      </w:pPr>
      <w:r w:rsidRPr="0078138E">
        <w:rPr>
          <w:sz w:val="24"/>
          <w:szCs w:val="24"/>
          <w:lang w:val="en-GB"/>
        </w:rPr>
        <w:t>In COMFORT-I and COMFORT-II, patient baseline demographics and disease characteristics were comparable between the treatment arms.</w:t>
      </w:r>
    </w:p>
    <w:p w14:paraId="63212A8E" w14:textId="77777777" w:rsidR="0078138E" w:rsidRPr="0078138E" w:rsidRDefault="0078138E" w:rsidP="00217386">
      <w:pPr>
        <w:ind w:left="851"/>
        <w:rPr>
          <w:sz w:val="24"/>
          <w:szCs w:val="24"/>
          <w:lang w:val="en-GB"/>
        </w:rPr>
      </w:pPr>
    </w:p>
    <w:p w14:paraId="0A6A68C0" w14:textId="64F2A6F3" w:rsidR="0078138E" w:rsidRPr="0078138E" w:rsidRDefault="0078138E" w:rsidP="0078138E">
      <w:pPr>
        <w:tabs>
          <w:tab w:val="left" w:pos="851"/>
        </w:tabs>
        <w:ind w:left="851"/>
        <w:rPr>
          <w:sz w:val="24"/>
          <w:szCs w:val="24"/>
          <w:lang w:val="en-GB"/>
        </w:rPr>
      </w:pPr>
      <w:r w:rsidRPr="0078138E">
        <w:rPr>
          <w:b/>
          <w:bCs/>
          <w:sz w:val="24"/>
          <w:szCs w:val="24"/>
          <w:lang w:val="en-GB"/>
        </w:rPr>
        <w:t>Table 8</w:t>
      </w:r>
      <w:r w:rsidR="00727BD8">
        <w:rPr>
          <w:b/>
          <w:bCs/>
          <w:sz w:val="24"/>
          <w:szCs w:val="24"/>
          <w:lang w:val="en-GB"/>
        </w:rPr>
        <w:t xml:space="preserve">. </w:t>
      </w:r>
      <w:r w:rsidRPr="0078138E">
        <w:rPr>
          <w:b/>
          <w:bCs/>
          <w:sz w:val="24"/>
          <w:szCs w:val="24"/>
          <w:lang w:val="en-GB"/>
        </w:rPr>
        <w:t>Percentage of patients with ≥35% reduction from baseline in spleen volume at week 24 in COMFORT-I and at week 48 in COMFORT-II (ITT)</w:t>
      </w:r>
    </w:p>
    <w:tbl>
      <w:tblPr>
        <w:tblStyle w:val="Tabel-Gitter"/>
        <w:tblW w:w="5000" w:type="pct"/>
        <w:tblLook w:val="04A0" w:firstRow="1" w:lastRow="0" w:firstColumn="1" w:lastColumn="0" w:noHBand="0" w:noVBand="1"/>
      </w:tblPr>
      <w:tblGrid>
        <w:gridCol w:w="3210"/>
        <w:gridCol w:w="1602"/>
        <w:gridCol w:w="1604"/>
        <w:gridCol w:w="1606"/>
        <w:gridCol w:w="1606"/>
      </w:tblGrid>
      <w:tr w:rsidR="0078138E" w:rsidRPr="009B509D" w14:paraId="21EC10F6" w14:textId="77777777" w:rsidTr="00217386">
        <w:tc>
          <w:tcPr>
            <w:tcW w:w="1667" w:type="pct"/>
            <w:vMerge w:val="restart"/>
            <w:tcBorders>
              <w:top w:val="single" w:sz="4" w:space="0" w:color="auto"/>
              <w:left w:val="single" w:sz="4" w:space="0" w:color="auto"/>
              <w:bottom w:val="single" w:sz="4" w:space="0" w:color="auto"/>
              <w:right w:val="single" w:sz="4" w:space="0" w:color="auto"/>
            </w:tcBorders>
          </w:tcPr>
          <w:p w14:paraId="2F413517" w14:textId="77777777" w:rsidR="0078138E" w:rsidRPr="009B509D" w:rsidRDefault="0078138E" w:rsidP="00217386">
            <w:pPr>
              <w:rPr>
                <w:sz w:val="24"/>
                <w:szCs w:val="24"/>
                <w:lang w:val="en-GB"/>
              </w:rPr>
            </w:pPr>
          </w:p>
        </w:tc>
        <w:tc>
          <w:tcPr>
            <w:tcW w:w="1665" w:type="pct"/>
            <w:gridSpan w:val="2"/>
            <w:tcBorders>
              <w:top w:val="single" w:sz="4" w:space="0" w:color="auto"/>
              <w:left w:val="single" w:sz="4" w:space="0" w:color="auto"/>
              <w:bottom w:val="single" w:sz="4" w:space="0" w:color="auto"/>
              <w:right w:val="single" w:sz="4" w:space="0" w:color="auto"/>
            </w:tcBorders>
            <w:hideMark/>
          </w:tcPr>
          <w:p w14:paraId="739E74B1" w14:textId="77777777" w:rsidR="0078138E" w:rsidRPr="009B509D" w:rsidRDefault="0078138E" w:rsidP="00727BD8">
            <w:pPr>
              <w:jc w:val="center"/>
              <w:rPr>
                <w:sz w:val="24"/>
                <w:szCs w:val="24"/>
                <w:lang w:val="en-GB"/>
              </w:rPr>
            </w:pPr>
            <w:r w:rsidRPr="009B509D">
              <w:rPr>
                <w:sz w:val="24"/>
                <w:szCs w:val="24"/>
                <w:lang w:val="en-GB"/>
              </w:rPr>
              <w:t>COMFORT-I</w:t>
            </w:r>
          </w:p>
        </w:tc>
        <w:tc>
          <w:tcPr>
            <w:tcW w:w="1668" w:type="pct"/>
            <w:gridSpan w:val="2"/>
            <w:tcBorders>
              <w:top w:val="single" w:sz="4" w:space="0" w:color="auto"/>
              <w:left w:val="single" w:sz="4" w:space="0" w:color="auto"/>
              <w:bottom w:val="single" w:sz="4" w:space="0" w:color="auto"/>
              <w:right w:val="single" w:sz="4" w:space="0" w:color="auto"/>
            </w:tcBorders>
            <w:hideMark/>
          </w:tcPr>
          <w:p w14:paraId="20EF9321" w14:textId="77777777" w:rsidR="0078138E" w:rsidRPr="009B509D" w:rsidRDefault="0078138E" w:rsidP="00727BD8">
            <w:pPr>
              <w:jc w:val="center"/>
              <w:rPr>
                <w:sz w:val="24"/>
                <w:szCs w:val="24"/>
                <w:lang w:val="en-GB"/>
              </w:rPr>
            </w:pPr>
            <w:r w:rsidRPr="009B509D">
              <w:rPr>
                <w:sz w:val="24"/>
                <w:szCs w:val="24"/>
                <w:lang w:val="en-GB"/>
              </w:rPr>
              <w:t>COMFORT-II</w:t>
            </w:r>
          </w:p>
        </w:tc>
      </w:tr>
      <w:tr w:rsidR="0078138E" w:rsidRPr="009B509D" w14:paraId="6FFD4956" w14:textId="77777777" w:rsidTr="00217386">
        <w:tc>
          <w:tcPr>
            <w:tcW w:w="1667" w:type="pct"/>
            <w:vMerge/>
            <w:tcBorders>
              <w:top w:val="single" w:sz="4" w:space="0" w:color="auto"/>
              <w:left w:val="single" w:sz="4" w:space="0" w:color="auto"/>
              <w:bottom w:val="single" w:sz="4" w:space="0" w:color="auto"/>
              <w:right w:val="single" w:sz="4" w:space="0" w:color="auto"/>
            </w:tcBorders>
            <w:vAlign w:val="center"/>
            <w:hideMark/>
          </w:tcPr>
          <w:p w14:paraId="78537B24" w14:textId="77777777" w:rsidR="0078138E" w:rsidRPr="009B509D" w:rsidRDefault="0078138E" w:rsidP="00217386">
            <w:pPr>
              <w:rPr>
                <w:sz w:val="24"/>
                <w:szCs w:val="24"/>
                <w:lang w:val="en-GB"/>
              </w:rPr>
            </w:pPr>
          </w:p>
        </w:tc>
        <w:tc>
          <w:tcPr>
            <w:tcW w:w="832" w:type="pct"/>
            <w:tcBorders>
              <w:top w:val="single" w:sz="4" w:space="0" w:color="auto"/>
              <w:left w:val="single" w:sz="4" w:space="0" w:color="auto"/>
              <w:bottom w:val="single" w:sz="4" w:space="0" w:color="auto"/>
              <w:right w:val="single" w:sz="4" w:space="0" w:color="auto"/>
            </w:tcBorders>
            <w:hideMark/>
          </w:tcPr>
          <w:p w14:paraId="35A802C0" w14:textId="77777777" w:rsidR="0078138E" w:rsidRPr="009B509D" w:rsidRDefault="0078138E" w:rsidP="00727BD8">
            <w:pPr>
              <w:jc w:val="center"/>
              <w:rPr>
                <w:sz w:val="24"/>
                <w:szCs w:val="24"/>
                <w:lang w:val="en-GB"/>
              </w:rPr>
            </w:pPr>
            <w:proofErr w:type="spellStart"/>
            <w:r w:rsidRPr="009B509D">
              <w:rPr>
                <w:sz w:val="24"/>
                <w:szCs w:val="24"/>
                <w:lang w:val="en-GB"/>
              </w:rPr>
              <w:t>ruxolitinib</w:t>
            </w:r>
            <w:proofErr w:type="spellEnd"/>
            <w:r w:rsidRPr="009B509D">
              <w:rPr>
                <w:sz w:val="24"/>
                <w:szCs w:val="24"/>
                <w:lang w:val="en-GB"/>
              </w:rPr>
              <w:t xml:space="preserve"> (N=155)</w:t>
            </w:r>
          </w:p>
        </w:tc>
        <w:tc>
          <w:tcPr>
            <w:tcW w:w="833" w:type="pct"/>
            <w:tcBorders>
              <w:top w:val="single" w:sz="4" w:space="0" w:color="auto"/>
              <w:left w:val="single" w:sz="4" w:space="0" w:color="auto"/>
              <w:bottom w:val="single" w:sz="4" w:space="0" w:color="auto"/>
              <w:right w:val="single" w:sz="4" w:space="0" w:color="auto"/>
            </w:tcBorders>
            <w:hideMark/>
          </w:tcPr>
          <w:p w14:paraId="097E3E2B" w14:textId="77777777" w:rsidR="0078138E" w:rsidRPr="009B509D" w:rsidRDefault="0078138E" w:rsidP="00727BD8">
            <w:pPr>
              <w:jc w:val="center"/>
              <w:rPr>
                <w:sz w:val="24"/>
                <w:szCs w:val="24"/>
                <w:lang w:val="en-GB"/>
              </w:rPr>
            </w:pPr>
            <w:r w:rsidRPr="009B509D">
              <w:rPr>
                <w:sz w:val="24"/>
                <w:szCs w:val="24"/>
                <w:lang w:val="en-GB"/>
              </w:rPr>
              <w:t>Placebo (N=153)</w:t>
            </w:r>
          </w:p>
        </w:tc>
        <w:tc>
          <w:tcPr>
            <w:tcW w:w="834" w:type="pct"/>
            <w:tcBorders>
              <w:top w:val="single" w:sz="4" w:space="0" w:color="auto"/>
              <w:left w:val="single" w:sz="4" w:space="0" w:color="auto"/>
              <w:bottom w:val="single" w:sz="4" w:space="0" w:color="auto"/>
              <w:right w:val="single" w:sz="4" w:space="0" w:color="auto"/>
            </w:tcBorders>
            <w:hideMark/>
          </w:tcPr>
          <w:p w14:paraId="4B23B6DC" w14:textId="77777777" w:rsidR="0078138E" w:rsidRPr="009B509D" w:rsidRDefault="0078138E" w:rsidP="00727BD8">
            <w:pPr>
              <w:jc w:val="center"/>
              <w:rPr>
                <w:sz w:val="24"/>
                <w:szCs w:val="24"/>
                <w:lang w:val="en-GB"/>
              </w:rPr>
            </w:pPr>
            <w:proofErr w:type="spellStart"/>
            <w:r w:rsidRPr="009B509D">
              <w:rPr>
                <w:sz w:val="24"/>
                <w:szCs w:val="24"/>
                <w:lang w:val="en-GB"/>
              </w:rPr>
              <w:t>ruxolitinib</w:t>
            </w:r>
            <w:proofErr w:type="spellEnd"/>
            <w:r w:rsidRPr="009B509D">
              <w:rPr>
                <w:sz w:val="24"/>
                <w:szCs w:val="24"/>
                <w:lang w:val="en-GB"/>
              </w:rPr>
              <w:t xml:space="preserve"> (N=144)</w:t>
            </w:r>
          </w:p>
        </w:tc>
        <w:tc>
          <w:tcPr>
            <w:tcW w:w="834" w:type="pct"/>
            <w:tcBorders>
              <w:top w:val="single" w:sz="4" w:space="0" w:color="auto"/>
              <w:left w:val="single" w:sz="4" w:space="0" w:color="auto"/>
              <w:bottom w:val="single" w:sz="4" w:space="0" w:color="auto"/>
              <w:right w:val="single" w:sz="4" w:space="0" w:color="auto"/>
            </w:tcBorders>
            <w:hideMark/>
          </w:tcPr>
          <w:p w14:paraId="342AFB73" w14:textId="77777777" w:rsidR="0078138E" w:rsidRPr="009B509D" w:rsidRDefault="0078138E" w:rsidP="00727BD8">
            <w:pPr>
              <w:jc w:val="center"/>
              <w:rPr>
                <w:sz w:val="24"/>
                <w:szCs w:val="24"/>
                <w:lang w:val="en-GB"/>
              </w:rPr>
            </w:pPr>
            <w:r w:rsidRPr="009B509D">
              <w:rPr>
                <w:sz w:val="24"/>
                <w:szCs w:val="24"/>
                <w:lang w:val="en-GB"/>
              </w:rPr>
              <w:t>Best available therapy (N=72)</w:t>
            </w:r>
          </w:p>
        </w:tc>
      </w:tr>
      <w:tr w:rsidR="0078138E" w:rsidRPr="009B509D" w14:paraId="37504FD4" w14:textId="77777777" w:rsidTr="00217386">
        <w:tc>
          <w:tcPr>
            <w:tcW w:w="1667" w:type="pct"/>
            <w:tcBorders>
              <w:top w:val="single" w:sz="4" w:space="0" w:color="auto"/>
              <w:left w:val="single" w:sz="4" w:space="0" w:color="auto"/>
              <w:bottom w:val="single" w:sz="4" w:space="0" w:color="auto"/>
              <w:right w:val="single" w:sz="4" w:space="0" w:color="auto"/>
            </w:tcBorders>
            <w:hideMark/>
          </w:tcPr>
          <w:p w14:paraId="62F34AEC" w14:textId="77777777" w:rsidR="0078138E" w:rsidRPr="009B509D" w:rsidRDefault="0078138E" w:rsidP="00217386">
            <w:pPr>
              <w:rPr>
                <w:sz w:val="24"/>
                <w:szCs w:val="24"/>
                <w:lang w:val="en-GB"/>
              </w:rPr>
            </w:pPr>
            <w:r w:rsidRPr="009B509D">
              <w:rPr>
                <w:sz w:val="24"/>
                <w:szCs w:val="24"/>
                <w:lang w:val="en-GB"/>
              </w:rPr>
              <w:t>Time points</w:t>
            </w:r>
          </w:p>
        </w:tc>
        <w:tc>
          <w:tcPr>
            <w:tcW w:w="1665" w:type="pct"/>
            <w:gridSpan w:val="2"/>
            <w:tcBorders>
              <w:top w:val="single" w:sz="4" w:space="0" w:color="auto"/>
              <w:left w:val="single" w:sz="4" w:space="0" w:color="auto"/>
              <w:bottom w:val="single" w:sz="4" w:space="0" w:color="auto"/>
              <w:right w:val="single" w:sz="4" w:space="0" w:color="auto"/>
            </w:tcBorders>
            <w:hideMark/>
          </w:tcPr>
          <w:p w14:paraId="2A8E221E" w14:textId="77777777" w:rsidR="0078138E" w:rsidRPr="009B509D" w:rsidRDefault="0078138E" w:rsidP="00727BD8">
            <w:pPr>
              <w:jc w:val="center"/>
              <w:rPr>
                <w:sz w:val="24"/>
                <w:szCs w:val="24"/>
                <w:lang w:val="en-GB"/>
              </w:rPr>
            </w:pPr>
            <w:r w:rsidRPr="009B509D">
              <w:rPr>
                <w:sz w:val="24"/>
                <w:szCs w:val="24"/>
                <w:lang w:val="en-GB"/>
              </w:rPr>
              <w:t>Week 24</w:t>
            </w:r>
          </w:p>
        </w:tc>
        <w:tc>
          <w:tcPr>
            <w:tcW w:w="1668" w:type="pct"/>
            <w:gridSpan w:val="2"/>
            <w:tcBorders>
              <w:top w:val="single" w:sz="4" w:space="0" w:color="auto"/>
              <w:left w:val="single" w:sz="4" w:space="0" w:color="auto"/>
              <w:bottom w:val="single" w:sz="4" w:space="0" w:color="auto"/>
              <w:right w:val="single" w:sz="4" w:space="0" w:color="auto"/>
            </w:tcBorders>
            <w:hideMark/>
          </w:tcPr>
          <w:p w14:paraId="29BF9F55" w14:textId="77777777" w:rsidR="0078138E" w:rsidRPr="009B509D" w:rsidRDefault="0078138E" w:rsidP="00727BD8">
            <w:pPr>
              <w:jc w:val="center"/>
              <w:rPr>
                <w:sz w:val="24"/>
                <w:szCs w:val="24"/>
                <w:lang w:val="en-GB"/>
              </w:rPr>
            </w:pPr>
            <w:r w:rsidRPr="009B509D">
              <w:rPr>
                <w:sz w:val="24"/>
                <w:szCs w:val="24"/>
                <w:lang w:val="en-GB"/>
              </w:rPr>
              <w:t>Week 48</w:t>
            </w:r>
          </w:p>
        </w:tc>
      </w:tr>
      <w:tr w:rsidR="0078138E" w:rsidRPr="009B509D" w14:paraId="217636D4" w14:textId="77777777" w:rsidTr="00217386">
        <w:tc>
          <w:tcPr>
            <w:tcW w:w="1667" w:type="pct"/>
            <w:tcBorders>
              <w:top w:val="single" w:sz="4" w:space="0" w:color="auto"/>
              <w:left w:val="single" w:sz="4" w:space="0" w:color="auto"/>
              <w:bottom w:val="single" w:sz="4" w:space="0" w:color="auto"/>
              <w:right w:val="single" w:sz="4" w:space="0" w:color="auto"/>
            </w:tcBorders>
            <w:hideMark/>
          </w:tcPr>
          <w:p w14:paraId="1F134A97" w14:textId="77777777" w:rsidR="0078138E" w:rsidRPr="009B509D" w:rsidRDefault="0078138E" w:rsidP="00217386">
            <w:pPr>
              <w:rPr>
                <w:sz w:val="24"/>
                <w:szCs w:val="24"/>
                <w:lang w:val="en-GB"/>
              </w:rPr>
            </w:pPr>
            <w:r w:rsidRPr="009B509D">
              <w:rPr>
                <w:sz w:val="24"/>
                <w:szCs w:val="24"/>
                <w:lang w:val="en-GB"/>
              </w:rPr>
              <w:t>Number (%) of subjects with spleen volume reduced by ≥35%</w:t>
            </w:r>
          </w:p>
        </w:tc>
        <w:tc>
          <w:tcPr>
            <w:tcW w:w="832" w:type="pct"/>
            <w:tcBorders>
              <w:top w:val="single" w:sz="4" w:space="0" w:color="auto"/>
              <w:left w:val="single" w:sz="4" w:space="0" w:color="auto"/>
              <w:bottom w:val="single" w:sz="4" w:space="0" w:color="auto"/>
              <w:right w:val="single" w:sz="4" w:space="0" w:color="auto"/>
            </w:tcBorders>
            <w:hideMark/>
          </w:tcPr>
          <w:p w14:paraId="42213CC6" w14:textId="77777777" w:rsidR="0078138E" w:rsidRPr="009B509D" w:rsidRDefault="0078138E" w:rsidP="00727BD8">
            <w:pPr>
              <w:jc w:val="center"/>
              <w:rPr>
                <w:sz w:val="24"/>
                <w:szCs w:val="24"/>
                <w:lang w:val="en-GB"/>
              </w:rPr>
            </w:pPr>
            <w:r w:rsidRPr="009B509D">
              <w:rPr>
                <w:sz w:val="24"/>
                <w:szCs w:val="24"/>
                <w:lang w:val="en-GB"/>
              </w:rPr>
              <w:t>65 (41.9)</w:t>
            </w:r>
          </w:p>
        </w:tc>
        <w:tc>
          <w:tcPr>
            <w:tcW w:w="833" w:type="pct"/>
            <w:tcBorders>
              <w:top w:val="single" w:sz="4" w:space="0" w:color="auto"/>
              <w:left w:val="single" w:sz="4" w:space="0" w:color="auto"/>
              <w:bottom w:val="single" w:sz="4" w:space="0" w:color="auto"/>
              <w:right w:val="single" w:sz="4" w:space="0" w:color="auto"/>
            </w:tcBorders>
            <w:hideMark/>
          </w:tcPr>
          <w:p w14:paraId="1025616F" w14:textId="77777777" w:rsidR="0078138E" w:rsidRPr="009B509D" w:rsidRDefault="0078138E" w:rsidP="00727BD8">
            <w:pPr>
              <w:jc w:val="center"/>
              <w:rPr>
                <w:sz w:val="24"/>
                <w:szCs w:val="24"/>
                <w:lang w:val="en-GB"/>
              </w:rPr>
            </w:pPr>
            <w:r w:rsidRPr="009B509D">
              <w:rPr>
                <w:sz w:val="24"/>
                <w:szCs w:val="24"/>
                <w:lang w:val="en-GB"/>
              </w:rPr>
              <w:t>1 (0.7)</w:t>
            </w:r>
          </w:p>
        </w:tc>
        <w:tc>
          <w:tcPr>
            <w:tcW w:w="834" w:type="pct"/>
            <w:tcBorders>
              <w:top w:val="single" w:sz="4" w:space="0" w:color="auto"/>
              <w:left w:val="single" w:sz="4" w:space="0" w:color="auto"/>
              <w:bottom w:val="single" w:sz="4" w:space="0" w:color="auto"/>
              <w:right w:val="single" w:sz="4" w:space="0" w:color="auto"/>
            </w:tcBorders>
            <w:hideMark/>
          </w:tcPr>
          <w:p w14:paraId="05178937" w14:textId="77777777" w:rsidR="0078138E" w:rsidRPr="009B509D" w:rsidRDefault="0078138E" w:rsidP="00727BD8">
            <w:pPr>
              <w:jc w:val="center"/>
              <w:rPr>
                <w:sz w:val="24"/>
                <w:szCs w:val="24"/>
                <w:lang w:val="en-GB"/>
              </w:rPr>
            </w:pPr>
            <w:r w:rsidRPr="009B509D">
              <w:rPr>
                <w:sz w:val="24"/>
                <w:szCs w:val="24"/>
                <w:lang w:val="en-GB"/>
              </w:rPr>
              <w:t>41(28.5)</w:t>
            </w:r>
          </w:p>
        </w:tc>
        <w:tc>
          <w:tcPr>
            <w:tcW w:w="834" w:type="pct"/>
            <w:tcBorders>
              <w:top w:val="single" w:sz="4" w:space="0" w:color="auto"/>
              <w:left w:val="single" w:sz="4" w:space="0" w:color="auto"/>
              <w:bottom w:val="single" w:sz="4" w:space="0" w:color="auto"/>
              <w:right w:val="single" w:sz="4" w:space="0" w:color="auto"/>
            </w:tcBorders>
            <w:hideMark/>
          </w:tcPr>
          <w:p w14:paraId="72F7A4B2" w14:textId="77777777" w:rsidR="0078138E" w:rsidRPr="009B509D" w:rsidRDefault="0078138E" w:rsidP="00727BD8">
            <w:pPr>
              <w:jc w:val="center"/>
              <w:rPr>
                <w:sz w:val="24"/>
                <w:szCs w:val="24"/>
                <w:lang w:val="en-GB"/>
              </w:rPr>
            </w:pPr>
            <w:r w:rsidRPr="009B509D">
              <w:rPr>
                <w:sz w:val="24"/>
                <w:szCs w:val="24"/>
                <w:lang w:val="en-GB"/>
              </w:rPr>
              <w:t>0</w:t>
            </w:r>
          </w:p>
        </w:tc>
      </w:tr>
      <w:tr w:rsidR="0078138E" w:rsidRPr="009B509D" w14:paraId="6A3CB5F8" w14:textId="77777777" w:rsidTr="00217386">
        <w:tc>
          <w:tcPr>
            <w:tcW w:w="1667" w:type="pct"/>
            <w:tcBorders>
              <w:top w:val="single" w:sz="4" w:space="0" w:color="auto"/>
              <w:left w:val="single" w:sz="4" w:space="0" w:color="auto"/>
              <w:bottom w:val="single" w:sz="4" w:space="0" w:color="auto"/>
              <w:right w:val="single" w:sz="4" w:space="0" w:color="auto"/>
            </w:tcBorders>
            <w:hideMark/>
          </w:tcPr>
          <w:p w14:paraId="4F2227B9" w14:textId="77777777" w:rsidR="0078138E" w:rsidRPr="009B509D" w:rsidRDefault="0078138E" w:rsidP="00217386">
            <w:pPr>
              <w:rPr>
                <w:sz w:val="24"/>
                <w:szCs w:val="24"/>
                <w:lang w:val="en-GB"/>
              </w:rPr>
            </w:pPr>
            <w:r w:rsidRPr="009B509D">
              <w:rPr>
                <w:sz w:val="24"/>
                <w:szCs w:val="24"/>
                <w:lang w:val="en-GB"/>
              </w:rPr>
              <w:t>95% confidence intervals</w:t>
            </w:r>
          </w:p>
        </w:tc>
        <w:tc>
          <w:tcPr>
            <w:tcW w:w="832" w:type="pct"/>
            <w:tcBorders>
              <w:top w:val="single" w:sz="4" w:space="0" w:color="auto"/>
              <w:left w:val="single" w:sz="4" w:space="0" w:color="auto"/>
              <w:bottom w:val="single" w:sz="4" w:space="0" w:color="auto"/>
              <w:right w:val="single" w:sz="4" w:space="0" w:color="auto"/>
            </w:tcBorders>
            <w:hideMark/>
          </w:tcPr>
          <w:p w14:paraId="6C5AD3B3" w14:textId="77777777" w:rsidR="0078138E" w:rsidRPr="009B509D" w:rsidRDefault="0078138E" w:rsidP="00727BD8">
            <w:pPr>
              <w:jc w:val="center"/>
              <w:rPr>
                <w:sz w:val="24"/>
                <w:szCs w:val="24"/>
                <w:lang w:val="en-GB"/>
              </w:rPr>
            </w:pPr>
            <w:r w:rsidRPr="009B509D">
              <w:rPr>
                <w:sz w:val="24"/>
                <w:szCs w:val="24"/>
                <w:lang w:val="en-GB"/>
              </w:rPr>
              <w:t>34.1, 50.1</w:t>
            </w:r>
          </w:p>
        </w:tc>
        <w:tc>
          <w:tcPr>
            <w:tcW w:w="833" w:type="pct"/>
            <w:tcBorders>
              <w:top w:val="single" w:sz="4" w:space="0" w:color="auto"/>
              <w:left w:val="single" w:sz="4" w:space="0" w:color="auto"/>
              <w:bottom w:val="single" w:sz="4" w:space="0" w:color="auto"/>
              <w:right w:val="single" w:sz="4" w:space="0" w:color="auto"/>
            </w:tcBorders>
            <w:hideMark/>
          </w:tcPr>
          <w:p w14:paraId="73785EA7" w14:textId="77777777" w:rsidR="0078138E" w:rsidRPr="009B509D" w:rsidRDefault="0078138E" w:rsidP="00727BD8">
            <w:pPr>
              <w:jc w:val="center"/>
              <w:rPr>
                <w:sz w:val="24"/>
                <w:szCs w:val="24"/>
                <w:lang w:val="en-GB"/>
              </w:rPr>
            </w:pPr>
            <w:r w:rsidRPr="009B509D">
              <w:rPr>
                <w:sz w:val="24"/>
                <w:szCs w:val="24"/>
                <w:lang w:val="en-GB"/>
              </w:rPr>
              <w:t>0, 3.6</w:t>
            </w:r>
          </w:p>
        </w:tc>
        <w:tc>
          <w:tcPr>
            <w:tcW w:w="834" w:type="pct"/>
            <w:tcBorders>
              <w:top w:val="single" w:sz="4" w:space="0" w:color="auto"/>
              <w:left w:val="single" w:sz="4" w:space="0" w:color="auto"/>
              <w:bottom w:val="single" w:sz="4" w:space="0" w:color="auto"/>
              <w:right w:val="single" w:sz="4" w:space="0" w:color="auto"/>
            </w:tcBorders>
            <w:hideMark/>
          </w:tcPr>
          <w:p w14:paraId="6BD42AC5" w14:textId="77777777" w:rsidR="0078138E" w:rsidRPr="009B509D" w:rsidRDefault="0078138E" w:rsidP="00727BD8">
            <w:pPr>
              <w:jc w:val="center"/>
              <w:rPr>
                <w:sz w:val="24"/>
                <w:szCs w:val="24"/>
                <w:lang w:val="en-GB"/>
              </w:rPr>
            </w:pPr>
            <w:r w:rsidRPr="009B509D">
              <w:rPr>
                <w:sz w:val="24"/>
                <w:szCs w:val="24"/>
                <w:lang w:val="en-GB"/>
              </w:rPr>
              <w:t>21.3, 36.6</w:t>
            </w:r>
          </w:p>
        </w:tc>
        <w:tc>
          <w:tcPr>
            <w:tcW w:w="834" w:type="pct"/>
            <w:tcBorders>
              <w:top w:val="single" w:sz="4" w:space="0" w:color="auto"/>
              <w:left w:val="single" w:sz="4" w:space="0" w:color="auto"/>
              <w:bottom w:val="single" w:sz="4" w:space="0" w:color="auto"/>
              <w:right w:val="single" w:sz="4" w:space="0" w:color="auto"/>
            </w:tcBorders>
            <w:hideMark/>
          </w:tcPr>
          <w:p w14:paraId="4579BC61" w14:textId="77777777" w:rsidR="0078138E" w:rsidRPr="009B509D" w:rsidRDefault="0078138E" w:rsidP="00727BD8">
            <w:pPr>
              <w:jc w:val="center"/>
              <w:rPr>
                <w:sz w:val="24"/>
                <w:szCs w:val="24"/>
                <w:lang w:val="en-GB"/>
              </w:rPr>
            </w:pPr>
            <w:r w:rsidRPr="009B509D">
              <w:rPr>
                <w:sz w:val="24"/>
                <w:szCs w:val="24"/>
                <w:lang w:val="en-GB"/>
              </w:rPr>
              <w:t>0.0, 5.0</w:t>
            </w:r>
          </w:p>
        </w:tc>
      </w:tr>
      <w:tr w:rsidR="0078138E" w:rsidRPr="009B509D" w14:paraId="749DAFF8" w14:textId="77777777" w:rsidTr="00217386">
        <w:tc>
          <w:tcPr>
            <w:tcW w:w="1667" w:type="pct"/>
            <w:tcBorders>
              <w:top w:val="single" w:sz="4" w:space="0" w:color="auto"/>
              <w:left w:val="single" w:sz="4" w:space="0" w:color="auto"/>
              <w:bottom w:val="single" w:sz="4" w:space="0" w:color="auto"/>
              <w:right w:val="single" w:sz="4" w:space="0" w:color="auto"/>
            </w:tcBorders>
            <w:hideMark/>
          </w:tcPr>
          <w:p w14:paraId="361DD80A" w14:textId="77777777" w:rsidR="0078138E" w:rsidRPr="009B509D" w:rsidRDefault="0078138E" w:rsidP="00217386">
            <w:pPr>
              <w:rPr>
                <w:sz w:val="24"/>
                <w:szCs w:val="24"/>
                <w:lang w:val="en-GB"/>
              </w:rPr>
            </w:pPr>
            <w:r w:rsidRPr="009B509D">
              <w:rPr>
                <w:sz w:val="24"/>
                <w:szCs w:val="24"/>
                <w:lang w:val="en-GB"/>
              </w:rPr>
              <w:t>p-value</w:t>
            </w:r>
          </w:p>
        </w:tc>
        <w:tc>
          <w:tcPr>
            <w:tcW w:w="1665" w:type="pct"/>
            <w:gridSpan w:val="2"/>
            <w:tcBorders>
              <w:top w:val="single" w:sz="4" w:space="0" w:color="auto"/>
              <w:left w:val="single" w:sz="4" w:space="0" w:color="auto"/>
              <w:bottom w:val="single" w:sz="4" w:space="0" w:color="auto"/>
              <w:right w:val="single" w:sz="4" w:space="0" w:color="auto"/>
            </w:tcBorders>
            <w:hideMark/>
          </w:tcPr>
          <w:p w14:paraId="31F5D585" w14:textId="77777777" w:rsidR="0078138E" w:rsidRPr="009B509D" w:rsidRDefault="0078138E" w:rsidP="00727BD8">
            <w:pPr>
              <w:jc w:val="center"/>
              <w:rPr>
                <w:sz w:val="24"/>
                <w:szCs w:val="24"/>
                <w:lang w:val="en-GB"/>
              </w:rPr>
            </w:pPr>
            <w:r w:rsidRPr="009B509D">
              <w:rPr>
                <w:sz w:val="24"/>
                <w:szCs w:val="24"/>
                <w:lang w:val="en-GB"/>
              </w:rPr>
              <w:t>&lt;0.0001</w:t>
            </w:r>
          </w:p>
        </w:tc>
        <w:tc>
          <w:tcPr>
            <w:tcW w:w="1668" w:type="pct"/>
            <w:gridSpan w:val="2"/>
            <w:tcBorders>
              <w:top w:val="single" w:sz="4" w:space="0" w:color="auto"/>
              <w:left w:val="single" w:sz="4" w:space="0" w:color="auto"/>
              <w:bottom w:val="single" w:sz="4" w:space="0" w:color="auto"/>
              <w:right w:val="single" w:sz="4" w:space="0" w:color="auto"/>
            </w:tcBorders>
            <w:hideMark/>
          </w:tcPr>
          <w:p w14:paraId="3F0D19A5" w14:textId="77777777" w:rsidR="0078138E" w:rsidRPr="009B509D" w:rsidRDefault="0078138E" w:rsidP="00727BD8">
            <w:pPr>
              <w:jc w:val="center"/>
              <w:rPr>
                <w:sz w:val="24"/>
                <w:szCs w:val="24"/>
                <w:lang w:val="en-GB"/>
              </w:rPr>
            </w:pPr>
            <w:r w:rsidRPr="009B509D">
              <w:rPr>
                <w:sz w:val="24"/>
                <w:szCs w:val="24"/>
                <w:lang w:val="en-GB"/>
              </w:rPr>
              <w:t>&lt;0.0001</w:t>
            </w:r>
          </w:p>
        </w:tc>
      </w:tr>
    </w:tbl>
    <w:p w14:paraId="6074C5E9" w14:textId="77777777" w:rsidR="0078138E" w:rsidRPr="0078138E" w:rsidRDefault="0078138E" w:rsidP="0078138E">
      <w:pPr>
        <w:tabs>
          <w:tab w:val="left" w:pos="851"/>
        </w:tabs>
        <w:ind w:left="851"/>
        <w:rPr>
          <w:sz w:val="24"/>
          <w:szCs w:val="24"/>
          <w:lang w:val="en-GB"/>
        </w:rPr>
      </w:pPr>
    </w:p>
    <w:p w14:paraId="7AD96F8E" w14:textId="77777777" w:rsidR="0078138E" w:rsidRPr="0078138E" w:rsidRDefault="0078138E" w:rsidP="00217386">
      <w:pPr>
        <w:ind w:left="851"/>
        <w:rPr>
          <w:sz w:val="24"/>
          <w:szCs w:val="24"/>
          <w:lang w:val="en-GB"/>
        </w:rPr>
      </w:pPr>
      <w:r w:rsidRPr="0078138E">
        <w:rPr>
          <w:sz w:val="24"/>
          <w:szCs w:val="24"/>
          <w:lang w:val="en-GB"/>
        </w:rPr>
        <w:t xml:space="preserve">A significantly higher proportion of patients in the </w:t>
      </w:r>
      <w:proofErr w:type="spellStart"/>
      <w:r w:rsidRPr="0078138E">
        <w:rPr>
          <w:sz w:val="24"/>
          <w:szCs w:val="24"/>
          <w:lang w:val="en-GB"/>
        </w:rPr>
        <w:t>ruxolitinib</w:t>
      </w:r>
      <w:proofErr w:type="spellEnd"/>
      <w:r w:rsidRPr="0078138E">
        <w:rPr>
          <w:sz w:val="24"/>
          <w:szCs w:val="24"/>
          <w:lang w:val="en-GB"/>
        </w:rPr>
        <w:t xml:space="preserve"> group achieved ≥35% reduction from baseline in spleen volume (Table 8) regardless of the presence or absence of the JAK2V617F mutation (Table 9) or the disease subtype (primary MF, post-polycythaemia vera MF, post-essential </w:t>
      </w:r>
      <w:proofErr w:type="spellStart"/>
      <w:r w:rsidRPr="0078138E">
        <w:rPr>
          <w:sz w:val="24"/>
          <w:szCs w:val="24"/>
          <w:lang w:val="en-GB"/>
        </w:rPr>
        <w:t>thrombocythaemia</w:t>
      </w:r>
      <w:proofErr w:type="spellEnd"/>
      <w:r w:rsidRPr="0078138E">
        <w:rPr>
          <w:sz w:val="24"/>
          <w:szCs w:val="24"/>
          <w:lang w:val="en-GB"/>
        </w:rPr>
        <w:t xml:space="preserve"> MF).</w:t>
      </w:r>
    </w:p>
    <w:p w14:paraId="02999AB8" w14:textId="77777777" w:rsidR="0078138E" w:rsidRPr="0078138E" w:rsidRDefault="0078138E" w:rsidP="00217386">
      <w:pPr>
        <w:ind w:left="851"/>
        <w:rPr>
          <w:sz w:val="24"/>
          <w:szCs w:val="24"/>
          <w:lang w:val="en-GB"/>
        </w:rPr>
      </w:pPr>
    </w:p>
    <w:p w14:paraId="59D12955" w14:textId="1289DD4B" w:rsidR="0078138E" w:rsidRPr="0078138E" w:rsidRDefault="0078138E" w:rsidP="0078138E">
      <w:pPr>
        <w:tabs>
          <w:tab w:val="left" w:pos="851"/>
        </w:tabs>
        <w:ind w:left="851"/>
        <w:rPr>
          <w:b/>
          <w:bCs/>
          <w:sz w:val="24"/>
          <w:szCs w:val="24"/>
          <w:lang w:val="en-GB"/>
        </w:rPr>
      </w:pPr>
      <w:r w:rsidRPr="0078138E">
        <w:rPr>
          <w:b/>
          <w:bCs/>
          <w:sz w:val="24"/>
          <w:szCs w:val="24"/>
          <w:lang w:val="en-GB"/>
        </w:rPr>
        <w:t>Table 9</w:t>
      </w:r>
      <w:r w:rsidR="00727BD8">
        <w:rPr>
          <w:b/>
          <w:bCs/>
          <w:sz w:val="24"/>
          <w:szCs w:val="24"/>
          <w:lang w:val="en-GB"/>
        </w:rPr>
        <w:t xml:space="preserve">. </w:t>
      </w:r>
      <w:r w:rsidRPr="0078138E">
        <w:rPr>
          <w:b/>
          <w:bCs/>
          <w:sz w:val="24"/>
          <w:szCs w:val="24"/>
          <w:lang w:val="en-GB"/>
        </w:rPr>
        <w:t>Percentage of patients with ≥35% reduction from baseline in spleen volume by JAK mutation status (safety set)</w:t>
      </w:r>
    </w:p>
    <w:tbl>
      <w:tblPr>
        <w:tblStyle w:val="Tabel-Gitter"/>
        <w:tblW w:w="5000" w:type="pct"/>
        <w:tblLook w:val="04A0" w:firstRow="1" w:lastRow="0" w:firstColumn="1" w:lastColumn="0" w:noHBand="0" w:noVBand="1"/>
      </w:tblPr>
      <w:tblGrid>
        <w:gridCol w:w="1187"/>
        <w:gridCol w:w="1041"/>
        <w:gridCol w:w="17"/>
        <w:gridCol w:w="1057"/>
        <w:gridCol w:w="1036"/>
        <w:gridCol w:w="17"/>
        <w:gridCol w:w="1057"/>
        <w:gridCol w:w="1036"/>
        <w:gridCol w:w="19"/>
        <w:gridCol w:w="1053"/>
        <w:gridCol w:w="1040"/>
        <w:gridCol w:w="17"/>
        <w:gridCol w:w="1051"/>
      </w:tblGrid>
      <w:tr w:rsidR="0078138E" w:rsidRPr="00727BD8" w14:paraId="15D50248" w14:textId="77777777" w:rsidTr="00727BD8">
        <w:tc>
          <w:tcPr>
            <w:tcW w:w="616" w:type="pct"/>
            <w:tcBorders>
              <w:top w:val="single" w:sz="4" w:space="0" w:color="auto"/>
              <w:left w:val="single" w:sz="4" w:space="0" w:color="auto"/>
              <w:bottom w:val="single" w:sz="4" w:space="0" w:color="auto"/>
              <w:right w:val="single" w:sz="4" w:space="0" w:color="auto"/>
            </w:tcBorders>
          </w:tcPr>
          <w:p w14:paraId="482B8D54" w14:textId="77777777" w:rsidR="0078138E" w:rsidRPr="00727BD8" w:rsidRDefault="0078138E" w:rsidP="00217386">
            <w:pPr>
              <w:rPr>
                <w:sz w:val="20"/>
                <w:lang w:val="en-GB"/>
              </w:rPr>
            </w:pPr>
          </w:p>
        </w:tc>
        <w:tc>
          <w:tcPr>
            <w:tcW w:w="2194" w:type="pct"/>
            <w:gridSpan w:val="6"/>
            <w:tcBorders>
              <w:top w:val="single" w:sz="4" w:space="0" w:color="auto"/>
              <w:left w:val="single" w:sz="4" w:space="0" w:color="auto"/>
              <w:bottom w:val="single" w:sz="4" w:space="0" w:color="auto"/>
              <w:right w:val="single" w:sz="4" w:space="0" w:color="auto"/>
            </w:tcBorders>
            <w:hideMark/>
          </w:tcPr>
          <w:p w14:paraId="49D9AC20" w14:textId="77777777" w:rsidR="0078138E" w:rsidRPr="00727BD8" w:rsidRDefault="0078138E" w:rsidP="00727BD8">
            <w:pPr>
              <w:jc w:val="center"/>
              <w:rPr>
                <w:sz w:val="20"/>
                <w:lang w:val="en-GB"/>
              </w:rPr>
            </w:pPr>
            <w:r w:rsidRPr="00727BD8">
              <w:rPr>
                <w:sz w:val="20"/>
                <w:lang w:val="en-GB"/>
              </w:rPr>
              <w:t>COMFORT-I</w:t>
            </w:r>
          </w:p>
        </w:tc>
        <w:tc>
          <w:tcPr>
            <w:tcW w:w="2190" w:type="pct"/>
            <w:gridSpan w:val="6"/>
            <w:tcBorders>
              <w:top w:val="single" w:sz="4" w:space="0" w:color="auto"/>
              <w:left w:val="single" w:sz="4" w:space="0" w:color="auto"/>
              <w:bottom w:val="single" w:sz="4" w:space="0" w:color="auto"/>
              <w:right w:val="single" w:sz="4" w:space="0" w:color="auto"/>
            </w:tcBorders>
            <w:hideMark/>
          </w:tcPr>
          <w:p w14:paraId="3EAD34F2" w14:textId="77777777" w:rsidR="0078138E" w:rsidRPr="00727BD8" w:rsidRDefault="0078138E" w:rsidP="00727BD8">
            <w:pPr>
              <w:jc w:val="center"/>
              <w:rPr>
                <w:sz w:val="20"/>
                <w:lang w:val="en-GB"/>
              </w:rPr>
            </w:pPr>
            <w:r w:rsidRPr="00727BD8">
              <w:rPr>
                <w:sz w:val="20"/>
                <w:lang w:val="en-GB"/>
              </w:rPr>
              <w:t>COMFORT-II</w:t>
            </w:r>
          </w:p>
        </w:tc>
      </w:tr>
      <w:tr w:rsidR="0078138E" w:rsidRPr="00727BD8" w14:paraId="71E3452C" w14:textId="77777777" w:rsidTr="00727BD8">
        <w:tc>
          <w:tcPr>
            <w:tcW w:w="616" w:type="pct"/>
            <w:tcBorders>
              <w:top w:val="single" w:sz="4" w:space="0" w:color="auto"/>
              <w:left w:val="single" w:sz="4" w:space="0" w:color="auto"/>
              <w:bottom w:val="single" w:sz="4" w:space="0" w:color="auto"/>
              <w:right w:val="single" w:sz="4" w:space="0" w:color="auto"/>
            </w:tcBorders>
          </w:tcPr>
          <w:p w14:paraId="27C539E2" w14:textId="77777777" w:rsidR="0078138E" w:rsidRPr="00727BD8" w:rsidRDefault="0078138E" w:rsidP="00217386">
            <w:pPr>
              <w:rPr>
                <w:sz w:val="20"/>
                <w:lang w:val="en-GB"/>
              </w:rPr>
            </w:pPr>
          </w:p>
        </w:tc>
        <w:tc>
          <w:tcPr>
            <w:tcW w:w="1098" w:type="pct"/>
            <w:gridSpan w:val="3"/>
            <w:tcBorders>
              <w:top w:val="single" w:sz="4" w:space="0" w:color="auto"/>
              <w:left w:val="single" w:sz="4" w:space="0" w:color="auto"/>
              <w:bottom w:val="single" w:sz="4" w:space="0" w:color="auto"/>
              <w:right w:val="single" w:sz="4" w:space="0" w:color="auto"/>
            </w:tcBorders>
            <w:hideMark/>
          </w:tcPr>
          <w:p w14:paraId="544A4FA5" w14:textId="77777777" w:rsidR="0078138E" w:rsidRPr="00727BD8" w:rsidRDefault="0078138E" w:rsidP="00217386">
            <w:pPr>
              <w:rPr>
                <w:sz w:val="20"/>
                <w:lang w:val="en-GB"/>
              </w:rPr>
            </w:pPr>
            <w:proofErr w:type="spellStart"/>
            <w:r w:rsidRPr="00727BD8">
              <w:rPr>
                <w:sz w:val="20"/>
                <w:lang w:val="en-GB"/>
              </w:rPr>
              <w:t>ruxolitinib</w:t>
            </w:r>
            <w:proofErr w:type="spellEnd"/>
          </w:p>
        </w:tc>
        <w:tc>
          <w:tcPr>
            <w:tcW w:w="1095" w:type="pct"/>
            <w:gridSpan w:val="3"/>
            <w:tcBorders>
              <w:top w:val="single" w:sz="4" w:space="0" w:color="auto"/>
              <w:left w:val="single" w:sz="4" w:space="0" w:color="auto"/>
              <w:bottom w:val="single" w:sz="4" w:space="0" w:color="auto"/>
              <w:right w:val="single" w:sz="4" w:space="0" w:color="auto"/>
            </w:tcBorders>
            <w:hideMark/>
          </w:tcPr>
          <w:p w14:paraId="41DE3DCA" w14:textId="77777777" w:rsidR="0078138E" w:rsidRPr="00727BD8" w:rsidRDefault="0078138E" w:rsidP="00727BD8">
            <w:pPr>
              <w:jc w:val="center"/>
              <w:rPr>
                <w:sz w:val="20"/>
                <w:lang w:val="en-GB"/>
              </w:rPr>
            </w:pPr>
            <w:r w:rsidRPr="00727BD8">
              <w:rPr>
                <w:sz w:val="20"/>
                <w:lang w:val="en-GB"/>
              </w:rPr>
              <w:t>Placebo</w:t>
            </w:r>
          </w:p>
        </w:tc>
        <w:tc>
          <w:tcPr>
            <w:tcW w:w="1095" w:type="pct"/>
            <w:gridSpan w:val="3"/>
            <w:tcBorders>
              <w:top w:val="single" w:sz="4" w:space="0" w:color="auto"/>
              <w:left w:val="single" w:sz="4" w:space="0" w:color="auto"/>
              <w:bottom w:val="single" w:sz="4" w:space="0" w:color="auto"/>
              <w:right w:val="single" w:sz="4" w:space="0" w:color="auto"/>
            </w:tcBorders>
            <w:hideMark/>
          </w:tcPr>
          <w:p w14:paraId="05F547DA" w14:textId="77777777" w:rsidR="0078138E" w:rsidRPr="00727BD8" w:rsidRDefault="0078138E" w:rsidP="00727BD8">
            <w:pPr>
              <w:jc w:val="center"/>
              <w:rPr>
                <w:sz w:val="20"/>
                <w:lang w:val="en-GB"/>
              </w:rPr>
            </w:pPr>
            <w:proofErr w:type="spellStart"/>
            <w:r w:rsidRPr="00727BD8">
              <w:rPr>
                <w:sz w:val="20"/>
                <w:lang w:val="en-GB"/>
              </w:rPr>
              <w:t>ruxolitinib</w:t>
            </w:r>
            <w:proofErr w:type="spellEnd"/>
          </w:p>
        </w:tc>
        <w:tc>
          <w:tcPr>
            <w:tcW w:w="1095" w:type="pct"/>
            <w:gridSpan w:val="3"/>
            <w:tcBorders>
              <w:top w:val="single" w:sz="4" w:space="0" w:color="auto"/>
              <w:left w:val="single" w:sz="4" w:space="0" w:color="auto"/>
              <w:bottom w:val="single" w:sz="4" w:space="0" w:color="auto"/>
              <w:right w:val="single" w:sz="4" w:space="0" w:color="auto"/>
            </w:tcBorders>
            <w:hideMark/>
          </w:tcPr>
          <w:p w14:paraId="2DD22507" w14:textId="77777777" w:rsidR="0078138E" w:rsidRPr="00727BD8" w:rsidRDefault="0078138E" w:rsidP="00727BD8">
            <w:pPr>
              <w:jc w:val="center"/>
              <w:rPr>
                <w:sz w:val="20"/>
                <w:lang w:val="en-GB"/>
              </w:rPr>
            </w:pPr>
            <w:r w:rsidRPr="00727BD8">
              <w:rPr>
                <w:sz w:val="20"/>
                <w:lang w:val="en-GB"/>
              </w:rPr>
              <w:t>Best available therapy</w:t>
            </w:r>
          </w:p>
        </w:tc>
      </w:tr>
      <w:tr w:rsidR="0078138E" w:rsidRPr="00727BD8" w14:paraId="31A39157" w14:textId="77777777" w:rsidTr="00727BD8">
        <w:tc>
          <w:tcPr>
            <w:tcW w:w="616" w:type="pct"/>
            <w:tcBorders>
              <w:top w:val="single" w:sz="4" w:space="0" w:color="auto"/>
              <w:left w:val="single" w:sz="4" w:space="0" w:color="auto"/>
              <w:bottom w:val="single" w:sz="4" w:space="0" w:color="auto"/>
              <w:right w:val="single" w:sz="4" w:space="0" w:color="auto"/>
            </w:tcBorders>
            <w:hideMark/>
          </w:tcPr>
          <w:p w14:paraId="36E19BB3" w14:textId="77777777" w:rsidR="0078138E" w:rsidRPr="00727BD8" w:rsidRDefault="0078138E" w:rsidP="00217386">
            <w:pPr>
              <w:rPr>
                <w:sz w:val="20"/>
                <w:lang w:val="en-GB"/>
              </w:rPr>
            </w:pPr>
            <w:r w:rsidRPr="00727BD8">
              <w:rPr>
                <w:sz w:val="20"/>
                <w:lang w:val="en-GB"/>
              </w:rPr>
              <w:t>JAK mutation status</w:t>
            </w:r>
          </w:p>
        </w:tc>
        <w:tc>
          <w:tcPr>
            <w:tcW w:w="540" w:type="pct"/>
            <w:tcBorders>
              <w:top w:val="single" w:sz="4" w:space="0" w:color="auto"/>
              <w:left w:val="single" w:sz="4" w:space="0" w:color="auto"/>
              <w:bottom w:val="single" w:sz="4" w:space="0" w:color="auto"/>
              <w:right w:val="single" w:sz="4" w:space="0" w:color="auto"/>
            </w:tcBorders>
            <w:hideMark/>
          </w:tcPr>
          <w:p w14:paraId="081EFF77" w14:textId="77777777" w:rsidR="0078138E" w:rsidRPr="00727BD8" w:rsidRDefault="0078138E" w:rsidP="00727BD8">
            <w:pPr>
              <w:jc w:val="center"/>
              <w:rPr>
                <w:sz w:val="20"/>
                <w:lang w:val="en-GB"/>
              </w:rPr>
            </w:pPr>
            <w:r w:rsidRPr="00727BD8">
              <w:rPr>
                <w:sz w:val="20"/>
                <w:lang w:val="en-GB"/>
              </w:rPr>
              <w:t>Positive (N=113) n (%)</w:t>
            </w:r>
          </w:p>
        </w:tc>
        <w:tc>
          <w:tcPr>
            <w:tcW w:w="558" w:type="pct"/>
            <w:gridSpan w:val="2"/>
            <w:tcBorders>
              <w:top w:val="single" w:sz="4" w:space="0" w:color="auto"/>
              <w:left w:val="single" w:sz="4" w:space="0" w:color="auto"/>
              <w:bottom w:val="single" w:sz="4" w:space="0" w:color="auto"/>
              <w:right w:val="single" w:sz="4" w:space="0" w:color="auto"/>
            </w:tcBorders>
            <w:hideMark/>
          </w:tcPr>
          <w:p w14:paraId="283B3F1D" w14:textId="77777777" w:rsidR="0078138E" w:rsidRPr="00727BD8" w:rsidRDefault="0078138E" w:rsidP="00727BD8">
            <w:pPr>
              <w:jc w:val="center"/>
              <w:rPr>
                <w:sz w:val="20"/>
                <w:lang w:val="en-GB"/>
              </w:rPr>
            </w:pPr>
            <w:r w:rsidRPr="00727BD8">
              <w:rPr>
                <w:sz w:val="20"/>
                <w:lang w:val="en-GB"/>
              </w:rPr>
              <w:t>Negative (N=40) n (%)</w:t>
            </w:r>
          </w:p>
        </w:tc>
        <w:tc>
          <w:tcPr>
            <w:tcW w:w="538" w:type="pct"/>
            <w:tcBorders>
              <w:top w:val="single" w:sz="4" w:space="0" w:color="auto"/>
              <w:left w:val="single" w:sz="4" w:space="0" w:color="auto"/>
              <w:bottom w:val="single" w:sz="4" w:space="0" w:color="auto"/>
              <w:right w:val="single" w:sz="4" w:space="0" w:color="auto"/>
            </w:tcBorders>
            <w:hideMark/>
          </w:tcPr>
          <w:p w14:paraId="03F10EEF" w14:textId="77777777" w:rsidR="0078138E" w:rsidRPr="00727BD8" w:rsidRDefault="0078138E" w:rsidP="00727BD8">
            <w:pPr>
              <w:jc w:val="center"/>
              <w:rPr>
                <w:sz w:val="20"/>
                <w:lang w:val="en-GB"/>
              </w:rPr>
            </w:pPr>
            <w:r w:rsidRPr="00727BD8">
              <w:rPr>
                <w:sz w:val="20"/>
                <w:lang w:val="en-GB"/>
              </w:rPr>
              <w:t>Positive (N=121) n (%)</w:t>
            </w:r>
          </w:p>
        </w:tc>
        <w:tc>
          <w:tcPr>
            <w:tcW w:w="558" w:type="pct"/>
            <w:gridSpan w:val="2"/>
            <w:tcBorders>
              <w:top w:val="single" w:sz="4" w:space="0" w:color="auto"/>
              <w:left w:val="single" w:sz="4" w:space="0" w:color="auto"/>
              <w:bottom w:val="single" w:sz="4" w:space="0" w:color="auto"/>
              <w:right w:val="single" w:sz="4" w:space="0" w:color="auto"/>
            </w:tcBorders>
            <w:hideMark/>
          </w:tcPr>
          <w:p w14:paraId="51D6A0AB" w14:textId="77777777" w:rsidR="0078138E" w:rsidRPr="00727BD8" w:rsidRDefault="0078138E" w:rsidP="00727BD8">
            <w:pPr>
              <w:jc w:val="center"/>
              <w:rPr>
                <w:sz w:val="20"/>
                <w:lang w:val="en-GB"/>
              </w:rPr>
            </w:pPr>
            <w:r w:rsidRPr="00727BD8">
              <w:rPr>
                <w:sz w:val="20"/>
                <w:lang w:val="en-GB"/>
              </w:rPr>
              <w:t>Negative (N=27) n (%)</w:t>
            </w:r>
          </w:p>
        </w:tc>
        <w:tc>
          <w:tcPr>
            <w:tcW w:w="538" w:type="pct"/>
            <w:tcBorders>
              <w:top w:val="single" w:sz="4" w:space="0" w:color="auto"/>
              <w:left w:val="single" w:sz="4" w:space="0" w:color="auto"/>
              <w:bottom w:val="single" w:sz="4" w:space="0" w:color="auto"/>
              <w:right w:val="single" w:sz="4" w:space="0" w:color="auto"/>
            </w:tcBorders>
            <w:hideMark/>
          </w:tcPr>
          <w:p w14:paraId="31DEA2A7" w14:textId="77777777" w:rsidR="0078138E" w:rsidRPr="00727BD8" w:rsidRDefault="0078138E" w:rsidP="00727BD8">
            <w:pPr>
              <w:jc w:val="center"/>
              <w:rPr>
                <w:sz w:val="20"/>
                <w:lang w:val="en-GB"/>
              </w:rPr>
            </w:pPr>
            <w:r w:rsidRPr="00727BD8">
              <w:rPr>
                <w:sz w:val="20"/>
                <w:lang w:val="en-GB"/>
              </w:rPr>
              <w:t>Positive (N=110) n (%)</w:t>
            </w:r>
          </w:p>
        </w:tc>
        <w:tc>
          <w:tcPr>
            <w:tcW w:w="557" w:type="pct"/>
            <w:gridSpan w:val="2"/>
            <w:tcBorders>
              <w:top w:val="single" w:sz="4" w:space="0" w:color="auto"/>
              <w:left w:val="single" w:sz="4" w:space="0" w:color="auto"/>
              <w:bottom w:val="single" w:sz="4" w:space="0" w:color="auto"/>
              <w:right w:val="single" w:sz="4" w:space="0" w:color="auto"/>
            </w:tcBorders>
            <w:hideMark/>
          </w:tcPr>
          <w:p w14:paraId="4512B50A" w14:textId="77777777" w:rsidR="0078138E" w:rsidRPr="00727BD8" w:rsidRDefault="0078138E" w:rsidP="00727BD8">
            <w:pPr>
              <w:jc w:val="center"/>
              <w:rPr>
                <w:sz w:val="20"/>
                <w:lang w:val="en-GB"/>
              </w:rPr>
            </w:pPr>
            <w:r w:rsidRPr="00727BD8">
              <w:rPr>
                <w:sz w:val="20"/>
                <w:lang w:val="en-GB"/>
              </w:rPr>
              <w:t>Negative (N=35) n (%)</w:t>
            </w:r>
          </w:p>
        </w:tc>
        <w:tc>
          <w:tcPr>
            <w:tcW w:w="540" w:type="pct"/>
            <w:tcBorders>
              <w:top w:val="single" w:sz="4" w:space="0" w:color="auto"/>
              <w:left w:val="single" w:sz="4" w:space="0" w:color="auto"/>
              <w:bottom w:val="single" w:sz="4" w:space="0" w:color="auto"/>
              <w:right w:val="single" w:sz="4" w:space="0" w:color="auto"/>
            </w:tcBorders>
            <w:hideMark/>
          </w:tcPr>
          <w:p w14:paraId="79B80856" w14:textId="77777777" w:rsidR="0078138E" w:rsidRPr="00727BD8" w:rsidRDefault="0078138E" w:rsidP="00727BD8">
            <w:pPr>
              <w:jc w:val="center"/>
              <w:rPr>
                <w:sz w:val="20"/>
                <w:lang w:val="en-GB"/>
              </w:rPr>
            </w:pPr>
            <w:r w:rsidRPr="00727BD8">
              <w:rPr>
                <w:sz w:val="20"/>
                <w:lang w:val="en-GB"/>
              </w:rPr>
              <w:t>Positive (N=49) n (%)</w:t>
            </w:r>
          </w:p>
        </w:tc>
        <w:tc>
          <w:tcPr>
            <w:tcW w:w="556" w:type="pct"/>
            <w:gridSpan w:val="2"/>
            <w:tcBorders>
              <w:top w:val="single" w:sz="4" w:space="0" w:color="auto"/>
              <w:left w:val="single" w:sz="4" w:space="0" w:color="auto"/>
              <w:bottom w:val="single" w:sz="4" w:space="0" w:color="auto"/>
              <w:right w:val="single" w:sz="4" w:space="0" w:color="auto"/>
            </w:tcBorders>
            <w:hideMark/>
          </w:tcPr>
          <w:p w14:paraId="2424C4EE" w14:textId="77777777" w:rsidR="0078138E" w:rsidRPr="00727BD8" w:rsidRDefault="0078138E" w:rsidP="00727BD8">
            <w:pPr>
              <w:jc w:val="center"/>
              <w:rPr>
                <w:sz w:val="20"/>
                <w:lang w:val="en-GB"/>
              </w:rPr>
            </w:pPr>
            <w:r w:rsidRPr="00727BD8">
              <w:rPr>
                <w:sz w:val="20"/>
                <w:lang w:val="en-GB"/>
              </w:rPr>
              <w:t>Negative (N=20) n (%)</w:t>
            </w:r>
          </w:p>
        </w:tc>
      </w:tr>
      <w:tr w:rsidR="0078138E" w:rsidRPr="00727BD8" w14:paraId="4AD99263" w14:textId="77777777" w:rsidTr="00727BD8">
        <w:tc>
          <w:tcPr>
            <w:tcW w:w="616" w:type="pct"/>
            <w:tcBorders>
              <w:top w:val="single" w:sz="4" w:space="0" w:color="auto"/>
              <w:left w:val="single" w:sz="4" w:space="0" w:color="auto"/>
              <w:bottom w:val="single" w:sz="4" w:space="0" w:color="auto"/>
              <w:right w:val="single" w:sz="4" w:space="0" w:color="auto"/>
            </w:tcBorders>
            <w:hideMark/>
          </w:tcPr>
          <w:p w14:paraId="6B0B76E4" w14:textId="77777777" w:rsidR="0078138E" w:rsidRPr="00727BD8" w:rsidRDefault="0078138E" w:rsidP="00217386">
            <w:pPr>
              <w:rPr>
                <w:sz w:val="20"/>
                <w:lang w:val="en-GB"/>
              </w:rPr>
            </w:pPr>
            <w:r w:rsidRPr="00727BD8">
              <w:rPr>
                <w:sz w:val="20"/>
                <w:lang w:val="en-GB"/>
              </w:rPr>
              <w:t>Number (%) of subjects with spleen volume reduced by ≥35%</w:t>
            </w:r>
          </w:p>
        </w:tc>
        <w:tc>
          <w:tcPr>
            <w:tcW w:w="549" w:type="pct"/>
            <w:gridSpan w:val="2"/>
            <w:tcBorders>
              <w:top w:val="single" w:sz="4" w:space="0" w:color="auto"/>
              <w:left w:val="single" w:sz="4" w:space="0" w:color="auto"/>
              <w:bottom w:val="single" w:sz="4" w:space="0" w:color="auto"/>
              <w:right w:val="single" w:sz="4" w:space="0" w:color="auto"/>
            </w:tcBorders>
            <w:hideMark/>
          </w:tcPr>
          <w:p w14:paraId="31DD0330" w14:textId="77777777" w:rsidR="0078138E" w:rsidRPr="00727BD8" w:rsidRDefault="0078138E" w:rsidP="00727BD8">
            <w:pPr>
              <w:jc w:val="center"/>
              <w:rPr>
                <w:sz w:val="20"/>
                <w:lang w:val="en-GB"/>
              </w:rPr>
            </w:pPr>
            <w:r w:rsidRPr="00727BD8">
              <w:rPr>
                <w:sz w:val="20"/>
                <w:lang w:val="en-GB"/>
              </w:rPr>
              <w:t>54 (47.8)</w:t>
            </w:r>
          </w:p>
        </w:tc>
        <w:tc>
          <w:tcPr>
            <w:tcW w:w="549" w:type="pct"/>
            <w:tcBorders>
              <w:top w:val="single" w:sz="4" w:space="0" w:color="auto"/>
              <w:left w:val="single" w:sz="4" w:space="0" w:color="auto"/>
              <w:bottom w:val="single" w:sz="4" w:space="0" w:color="auto"/>
              <w:right w:val="single" w:sz="4" w:space="0" w:color="auto"/>
            </w:tcBorders>
            <w:hideMark/>
          </w:tcPr>
          <w:p w14:paraId="06D013BF" w14:textId="77777777" w:rsidR="0078138E" w:rsidRPr="00727BD8" w:rsidRDefault="0078138E" w:rsidP="00727BD8">
            <w:pPr>
              <w:jc w:val="center"/>
              <w:rPr>
                <w:sz w:val="20"/>
                <w:lang w:val="en-GB"/>
              </w:rPr>
            </w:pPr>
            <w:r w:rsidRPr="00727BD8">
              <w:rPr>
                <w:sz w:val="20"/>
                <w:lang w:val="en-GB"/>
              </w:rPr>
              <w:t>11 (27.5)</w:t>
            </w:r>
          </w:p>
        </w:tc>
        <w:tc>
          <w:tcPr>
            <w:tcW w:w="547" w:type="pct"/>
            <w:gridSpan w:val="2"/>
            <w:tcBorders>
              <w:top w:val="single" w:sz="4" w:space="0" w:color="auto"/>
              <w:left w:val="single" w:sz="4" w:space="0" w:color="auto"/>
              <w:bottom w:val="single" w:sz="4" w:space="0" w:color="auto"/>
              <w:right w:val="single" w:sz="4" w:space="0" w:color="auto"/>
            </w:tcBorders>
            <w:hideMark/>
          </w:tcPr>
          <w:p w14:paraId="7792288D" w14:textId="77777777" w:rsidR="0078138E" w:rsidRPr="00727BD8" w:rsidRDefault="0078138E" w:rsidP="00727BD8">
            <w:pPr>
              <w:jc w:val="center"/>
              <w:rPr>
                <w:sz w:val="20"/>
                <w:lang w:val="en-GB"/>
              </w:rPr>
            </w:pPr>
            <w:r w:rsidRPr="00727BD8">
              <w:rPr>
                <w:sz w:val="20"/>
                <w:lang w:val="en-GB"/>
              </w:rPr>
              <w:t>1 (0.8)</w:t>
            </w:r>
          </w:p>
        </w:tc>
        <w:tc>
          <w:tcPr>
            <w:tcW w:w="549" w:type="pct"/>
            <w:tcBorders>
              <w:top w:val="single" w:sz="4" w:space="0" w:color="auto"/>
              <w:left w:val="single" w:sz="4" w:space="0" w:color="auto"/>
              <w:bottom w:val="single" w:sz="4" w:space="0" w:color="auto"/>
              <w:right w:val="single" w:sz="4" w:space="0" w:color="auto"/>
            </w:tcBorders>
            <w:hideMark/>
          </w:tcPr>
          <w:p w14:paraId="3D2AA2D5" w14:textId="77777777" w:rsidR="0078138E" w:rsidRPr="00727BD8" w:rsidRDefault="0078138E" w:rsidP="00727BD8">
            <w:pPr>
              <w:jc w:val="center"/>
              <w:rPr>
                <w:sz w:val="20"/>
                <w:lang w:val="en-GB"/>
              </w:rPr>
            </w:pPr>
            <w:r w:rsidRPr="00727BD8">
              <w:rPr>
                <w:sz w:val="20"/>
                <w:lang w:val="en-GB"/>
              </w:rPr>
              <w:t>0</w:t>
            </w:r>
          </w:p>
        </w:tc>
        <w:tc>
          <w:tcPr>
            <w:tcW w:w="548" w:type="pct"/>
            <w:gridSpan w:val="2"/>
            <w:tcBorders>
              <w:top w:val="single" w:sz="4" w:space="0" w:color="auto"/>
              <w:left w:val="single" w:sz="4" w:space="0" w:color="auto"/>
              <w:bottom w:val="single" w:sz="4" w:space="0" w:color="auto"/>
              <w:right w:val="single" w:sz="4" w:space="0" w:color="auto"/>
            </w:tcBorders>
            <w:hideMark/>
          </w:tcPr>
          <w:p w14:paraId="27B597BA" w14:textId="77777777" w:rsidR="0078138E" w:rsidRPr="00727BD8" w:rsidRDefault="0078138E" w:rsidP="00727BD8">
            <w:pPr>
              <w:jc w:val="center"/>
              <w:rPr>
                <w:sz w:val="20"/>
                <w:lang w:val="en-GB"/>
              </w:rPr>
            </w:pPr>
            <w:r w:rsidRPr="00727BD8">
              <w:rPr>
                <w:sz w:val="20"/>
                <w:lang w:val="en-GB"/>
              </w:rPr>
              <w:t>36 (32.7)</w:t>
            </w:r>
          </w:p>
        </w:tc>
        <w:tc>
          <w:tcPr>
            <w:tcW w:w="547" w:type="pct"/>
            <w:tcBorders>
              <w:top w:val="single" w:sz="4" w:space="0" w:color="auto"/>
              <w:left w:val="single" w:sz="4" w:space="0" w:color="auto"/>
              <w:bottom w:val="single" w:sz="4" w:space="0" w:color="auto"/>
              <w:right w:val="single" w:sz="4" w:space="0" w:color="auto"/>
            </w:tcBorders>
            <w:hideMark/>
          </w:tcPr>
          <w:p w14:paraId="7C8A85F2" w14:textId="77777777" w:rsidR="0078138E" w:rsidRPr="00727BD8" w:rsidRDefault="0078138E" w:rsidP="00727BD8">
            <w:pPr>
              <w:jc w:val="center"/>
              <w:rPr>
                <w:sz w:val="20"/>
                <w:lang w:val="en-GB"/>
              </w:rPr>
            </w:pPr>
            <w:r w:rsidRPr="00727BD8">
              <w:rPr>
                <w:sz w:val="20"/>
                <w:lang w:val="en-GB"/>
              </w:rPr>
              <w:t>5 (14.3)</w:t>
            </w:r>
          </w:p>
        </w:tc>
        <w:tc>
          <w:tcPr>
            <w:tcW w:w="549" w:type="pct"/>
            <w:gridSpan w:val="2"/>
            <w:tcBorders>
              <w:top w:val="single" w:sz="4" w:space="0" w:color="auto"/>
              <w:left w:val="single" w:sz="4" w:space="0" w:color="auto"/>
              <w:bottom w:val="single" w:sz="4" w:space="0" w:color="auto"/>
              <w:right w:val="single" w:sz="4" w:space="0" w:color="auto"/>
            </w:tcBorders>
            <w:hideMark/>
          </w:tcPr>
          <w:p w14:paraId="69418AC6" w14:textId="77777777" w:rsidR="0078138E" w:rsidRPr="00727BD8" w:rsidRDefault="0078138E" w:rsidP="00727BD8">
            <w:pPr>
              <w:jc w:val="center"/>
              <w:rPr>
                <w:sz w:val="20"/>
                <w:lang w:val="en-GB"/>
              </w:rPr>
            </w:pPr>
            <w:r w:rsidRPr="00727BD8">
              <w:rPr>
                <w:sz w:val="20"/>
                <w:lang w:val="en-GB"/>
              </w:rPr>
              <w:t>0</w:t>
            </w:r>
          </w:p>
        </w:tc>
        <w:tc>
          <w:tcPr>
            <w:tcW w:w="547" w:type="pct"/>
            <w:tcBorders>
              <w:top w:val="single" w:sz="4" w:space="0" w:color="auto"/>
              <w:left w:val="single" w:sz="4" w:space="0" w:color="auto"/>
              <w:bottom w:val="single" w:sz="4" w:space="0" w:color="auto"/>
              <w:right w:val="single" w:sz="4" w:space="0" w:color="auto"/>
            </w:tcBorders>
            <w:hideMark/>
          </w:tcPr>
          <w:p w14:paraId="1275C37F" w14:textId="77777777" w:rsidR="0078138E" w:rsidRPr="00727BD8" w:rsidRDefault="0078138E" w:rsidP="00727BD8">
            <w:pPr>
              <w:jc w:val="center"/>
              <w:rPr>
                <w:sz w:val="20"/>
                <w:lang w:val="en-GB"/>
              </w:rPr>
            </w:pPr>
            <w:r w:rsidRPr="00727BD8">
              <w:rPr>
                <w:sz w:val="20"/>
                <w:lang w:val="en-GB"/>
              </w:rPr>
              <w:t>0</w:t>
            </w:r>
          </w:p>
        </w:tc>
      </w:tr>
      <w:tr w:rsidR="0078138E" w:rsidRPr="00727BD8" w14:paraId="0C2FA5C5" w14:textId="77777777" w:rsidTr="00727BD8">
        <w:tc>
          <w:tcPr>
            <w:tcW w:w="616" w:type="pct"/>
            <w:tcBorders>
              <w:top w:val="single" w:sz="4" w:space="0" w:color="auto"/>
              <w:left w:val="single" w:sz="4" w:space="0" w:color="auto"/>
              <w:bottom w:val="single" w:sz="4" w:space="0" w:color="auto"/>
              <w:right w:val="single" w:sz="4" w:space="0" w:color="auto"/>
            </w:tcBorders>
            <w:hideMark/>
          </w:tcPr>
          <w:p w14:paraId="17D1C319" w14:textId="77777777" w:rsidR="0078138E" w:rsidRPr="00727BD8" w:rsidRDefault="0078138E" w:rsidP="00217386">
            <w:pPr>
              <w:rPr>
                <w:sz w:val="20"/>
                <w:lang w:val="en-GB"/>
              </w:rPr>
            </w:pPr>
            <w:r w:rsidRPr="00727BD8">
              <w:rPr>
                <w:sz w:val="20"/>
                <w:lang w:val="en-GB"/>
              </w:rPr>
              <w:t>Time point</w:t>
            </w:r>
          </w:p>
        </w:tc>
        <w:tc>
          <w:tcPr>
            <w:tcW w:w="2194" w:type="pct"/>
            <w:gridSpan w:val="6"/>
            <w:tcBorders>
              <w:top w:val="single" w:sz="4" w:space="0" w:color="auto"/>
              <w:left w:val="single" w:sz="4" w:space="0" w:color="auto"/>
              <w:bottom w:val="single" w:sz="4" w:space="0" w:color="auto"/>
              <w:right w:val="single" w:sz="4" w:space="0" w:color="auto"/>
            </w:tcBorders>
            <w:hideMark/>
          </w:tcPr>
          <w:p w14:paraId="65365578" w14:textId="77777777" w:rsidR="0078138E" w:rsidRPr="00727BD8" w:rsidRDefault="0078138E" w:rsidP="00727BD8">
            <w:pPr>
              <w:jc w:val="center"/>
              <w:rPr>
                <w:sz w:val="20"/>
                <w:lang w:val="en-GB"/>
              </w:rPr>
            </w:pPr>
            <w:r w:rsidRPr="00727BD8">
              <w:rPr>
                <w:sz w:val="20"/>
                <w:lang w:val="en-GB"/>
              </w:rPr>
              <w:t>After 24 weeks</w:t>
            </w:r>
          </w:p>
        </w:tc>
        <w:tc>
          <w:tcPr>
            <w:tcW w:w="2190" w:type="pct"/>
            <w:gridSpan w:val="6"/>
            <w:tcBorders>
              <w:top w:val="single" w:sz="4" w:space="0" w:color="auto"/>
              <w:left w:val="single" w:sz="4" w:space="0" w:color="auto"/>
              <w:bottom w:val="single" w:sz="4" w:space="0" w:color="auto"/>
              <w:right w:val="single" w:sz="4" w:space="0" w:color="auto"/>
            </w:tcBorders>
            <w:hideMark/>
          </w:tcPr>
          <w:p w14:paraId="7079D00E" w14:textId="77777777" w:rsidR="0078138E" w:rsidRPr="00727BD8" w:rsidRDefault="0078138E" w:rsidP="00727BD8">
            <w:pPr>
              <w:jc w:val="center"/>
              <w:rPr>
                <w:sz w:val="20"/>
                <w:lang w:val="en-GB"/>
              </w:rPr>
            </w:pPr>
            <w:r w:rsidRPr="00727BD8">
              <w:rPr>
                <w:sz w:val="20"/>
                <w:lang w:val="en-GB"/>
              </w:rPr>
              <w:t>After 48 weeks</w:t>
            </w:r>
          </w:p>
        </w:tc>
      </w:tr>
    </w:tbl>
    <w:p w14:paraId="1AF733A3" w14:textId="77777777" w:rsidR="0078138E" w:rsidRPr="0078138E" w:rsidRDefault="0078138E" w:rsidP="0078138E">
      <w:pPr>
        <w:tabs>
          <w:tab w:val="left" w:pos="851"/>
        </w:tabs>
        <w:ind w:left="851"/>
        <w:rPr>
          <w:sz w:val="24"/>
          <w:szCs w:val="24"/>
          <w:lang w:val="en-GB"/>
        </w:rPr>
      </w:pPr>
    </w:p>
    <w:p w14:paraId="1884A91E" w14:textId="77777777" w:rsidR="0078138E" w:rsidRPr="0078138E" w:rsidRDefault="0078138E" w:rsidP="00701C32">
      <w:pPr>
        <w:ind w:left="851"/>
        <w:rPr>
          <w:sz w:val="24"/>
          <w:szCs w:val="24"/>
          <w:lang w:val="en-GB"/>
        </w:rPr>
      </w:pPr>
      <w:r w:rsidRPr="0078138E">
        <w:rPr>
          <w:sz w:val="24"/>
          <w:szCs w:val="24"/>
          <w:lang w:val="en-GB"/>
        </w:rPr>
        <w:t xml:space="preserve">The probability of maintaining spleen response (≥35% reduction) to </w:t>
      </w:r>
      <w:proofErr w:type="spellStart"/>
      <w:r w:rsidRPr="0078138E">
        <w:rPr>
          <w:sz w:val="24"/>
          <w:szCs w:val="24"/>
          <w:lang w:val="en-GB"/>
        </w:rPr>
        <w:t>ruxolitinib</w:t>
      </w:r>
      <w:proofErr w:type="spellEnd"/>
      <w:r w:rsidRPr="0078138E">
        <w:rPr>
          <w:sz w:val="24"/>
          <w:szCs w:val="24"/>
          <w:lang w:val="en-GB"/>
        </w:rPr>
        <w:t xml:space="preserve"> for at least 24 weeks was 89% in COMFORT-I and 87% in COMFORT-II; 52% maintained spleen responses for at least 48 weeks in COMFORT-II.</w:t>
      </w:r>
    </w:p>
    <w:p w14:paraId="3458A084" w14:textId="77777777" w:rsidR="0078138E" w:rsidRPr="0078138E" w:rsidRDefault="0078138E" w:rsidP="00701C32">
      <w:pPr>
        <w:ind w:left="851"/>
        <w:rPr>
          <w:sz w:val="24"/>
          <w:szCs w:val="24"/>
          <w:lang w:val="en-GB"/>
        </w:rPr>
      </w:pPr>
    </w:p>
    <w:p w14:paraId="4712BFC5" w14:textId="77777777" w:rsidR="0078138E" w:rsidRPr="0078138E" w:rsidRDefault="0078138E" w:rsidP="00701C32">
      <w:pPr>
        <w:ind w:left="851"/>
        <w:rPr>
          <w:sz w:val="24"/>
          <w:szCs w:val="24"/>
          <w:lang w:val="en-GB"/>
        </w:rPr>
      </w:pPr>
      <w:r w:rsidRPr="0078138E">
        <w:rPr>
          <w:sz w:val="24"/>
          <w:szCs w:val="24"/>
          <w:lang w:val="en-GB"/>
        </w:rPr>
        <w:t xml:space="preserve">In COMFORT-I, 45.9% subjects in the </w:t>
      </w:r>
      <w:proofErr w:type="spellStart"/>
      <w:r w:rsidRPr="0078138E">
        <w:rPr>
          <w:sz w:val="24"/>
          <w:szCs w:val="24"/>
          <w:lang w:val="en-GB"/>
        </w:rPr>
        <w:t>ruxolitinib</w:t>
      </w:r>
      <w:proofErr w:type="spellEnd"/>
      <w:r w:rsidRPr="0078138E">
        <w:rPr>
          <w:sz w:val="24"/>
          <w:szCs w:val="24"/>
          <w:lang w:val="en-GB"/>
        </w:rPr>
        <w:t xml:space="preserve"> group achieved a ≥50% improvement from baseline in the week 24 total symptom score (measured using MFSAF diary v2.0), as compared to 5.3% in the placebo group (p&lt;0.0001 using chi-square test). The mean change in the global health status at week 24, as measured by EORTC QLQ C30 was +12.3 for </w:t>
      </w:r>
      <w:proofErr w:type="spellStart"/>
      <w:r w:rsidRPr="0078138E">
        <w:rPr>
          <w:sz w:val="24"/>
          <w:szCs w:val="24"/>
          <w:lang w:val="en-GB"/>
        </w:rPr>
        <w:t>ruxolitinib</w:t>
      </w:r>
      <w:proofErr w:type="spellEnd"/>
      <w:r w:rsidRPr="0078138E">
        <w:rPr>
          <w:sz w:val="24"/>
          <w:szCs w:val="24"/>
          <w:lang w:val="en-GB"/>
        </w:rPr>
        <w:t xml:space="preserve"> and -3.4 for placebo (p&lt;0.0001).</w:t>
      </w:r>
    </w:p>
    <w:p w14:paraId="3553BDE9" w14:textId="77777777" w:rsidR="0078138E" w:rsidRPr="0078138E" w:rsidRDefault="0078138E" w:rsidP="00701C32">
      <w:pPr>
        <w:ind w:left="851"/>
        <w:rPr>
          <w:sz w:val="24"/>
          <w:szCs w:val="24"/>
          <w:lang w:val="en-GB"/>
        </w:rPr>
      </w:pPr>
    </w:p>
    <w:p w14:paraId="68A96936" w14:textId="77777777" w:rsidR="0078138E" w:rsidRPr="0078138E" w:rsidRDefault="0078138E" w:rsidP="00701C32">
      <w:pPr>
        <w:ind w:left="851"/>
        <w:rPr>
          <w:sz w:val="24"/>
          <w:szCs w:val="24"/>
          <w:lang w:val="en-GB"/>
        </w:rPr>
      </w:pPr>
      <w:r w:rsidRPr="0078138E">
        <w:rPr>
          <w:sz w:val="24"/>
          <w:szCs w:val="24"/>
          <w:lang w:val="en-GB"/>
        </w:rPr>
        <w:t xml:space="preserve">In COMFORT-I, after a median follow-up of 34.3 months, the death rate in patients randomised to the </w:t>
      </w:r>
      <w:proofErr w:type="spellStart"/>
      <w:r w:rsidRPr="0078138E">
        <w:rPr>
          <w:sz w:val="24"/>
          <w:szCs w:val="24"/>
          <w:lang w:val="en-GB"/>
        </w:rPr>
        <w:t>ruxolitinib</w:t>
      </w:r>
      <w:proofErr w:type="spellEnd"/>
      <w:r w:rsidRPr="0078138E">
        <w:rPr>
          <w:sz w:val="24"/>
          <w:szCs w:val="24"/>
          <w:lang w:val="en-GB"/>
        </w:rPr>
        <w:t xml:space="preserve"> arm was 27.1% versus 35.1% in patients randomised to placebo; HR 0.687; 95% CI 0.459-1.029; p=0.0668.</w:t>
      </w:r>
    </w:p>
    <w:p w14:paraId="46362717" w14:textId="77777777" w:rsidR="0078138E" w:rsidRPr="0078138E" w:rsidRDefault="0078138E" w:rsidP="00701C32">
      <w:pPr>
        <w:ind w:left="851"/>
        <w:rPr>
          <w:sz w:val="24"/>
          <w:szCs w:val="24"/>
          <w:lang w:val="en-GB"/>
        </w:rPr>
      </w:pPr>
    </w:p>
    <w:p w14:paraId="26867B78" w14:textId="77777777" w:rsidR="0078138E" w:rsidRPr="0078138E" w:rsidRDefault="0078138E" w:rsidP="00701C32">
      <w:pPr>
        <w:ind w:left="851"/>
        <w:rPr>
          <w:sz w:val="24"/>
          <w:szCs w:val="24"/>
          <w:lang w:val="en-GB"/>
        </w:rPr>
      </w:pPr>
      <w:r w:rsidRPr="0078138E">
        <w:rPr>
          <w:sz w:val="24"/>
          <w:szCs w:val="24"/>
          <w:lang w:val="en-GB"/>
        </w:rPr>
        <w:t xml:space="preserve">In COMFORT-I, after a median follow–up of 61.7 months, the death rate in patients randomised to the </w:t>
      </w:r>
      <w:proofErr w:type="spellStart"/>
      <w:r w:rsidRPr="0078138E">
        <w:rPr>
          <w:sz w:val="24"/>
          <w:szCs w:val="24"/>
          <w:lang w:val="en-GB"/>
        </w:rPr>
        <w:t>ruxolitinib</w:t>
      </w:r>
      <w:proofErr w:type="spellEnd"/>
      <w:r w:rsidRPr="0078138E">
        <w:rPr>
          <w:sz w:val="24"/>
          <w:szCs w:val="24"/>
          <w:lang w:val="en-GB"/>
        </w:rPr>
        <w:t xml:space="preserve"> arm was 44.5% (69 of 155 patients) versus 53.2% (82 of 154) in patients randomised to placebo. There was a 31% reduction in the risk of death in the </w:t>
      </w:r>
      <w:proofErr w:type="spellStart"/>
      <w:r w:rsidRPr="0078138E">
        <w:rPr>
          <w:sz w:val="24"/>
          <w:szCs w:val="24"/>
          <w:lang w:val="en-GB"/>
        </w:rPr>
        <w:t>ruxolitinib</w:t>
      </w:r>
      <w:proofErr w:type="spellEnd"/>
      <w:r w:rsidRPr="0078138E">
        <w:rPr>
          <w:sz w:val="24"/>
          <w:szCs w:val="24"/>
          <w:lang w:val="en-GB"/>
        </w:rPr>
        <w:t xml:space="preserve"> arm as compared to placebo (HR 0.69; 95% CI 0.50-0.96; p=0.025).</w:t>
      </w:r>
    </w:p>
    <w:p w14:paraId="103B6378" w14:textId="77777777" w:rsidR="0078138E" w:rsidRPr="0078138E" w:rsidRDefault="0078138E" w:rsidP="00701C32">
      <w:pPr>
        <w:ind w:left="851"/>
        <w:rPr>
          <w:sz w:val="24"/>
          <w:szCs w:val="24"/>
          <w:lang w:val="en-GB"/>
        </w:rPr>
      </w:pPr>
    </w:p>
    <w:p w14:paraId="5163A0E6" w14:textId="77777777" w:rsidR="0078138E" w:rsidRPr="0078138E" w:rsidRDefault="0078138E" w:rsidP="00701C32">
      <w:pPr>
        <w:ind w:left="851"/>
        <w:rPr>
          <w:sz w:val="24"/>
          <w:szCs w:val="24"/>
          <w:lang w:val="en-GB"/>
        </w:rPr>
      </w:pPr>
      <w:r w:rsidRPr="0078138E">
        <w:rPr>
          <w:sz w:val="24"/>
          <w:szCs w:val="24"/>
          <w:lang w:val="en-GB"/>
        </w:rPr>
        <w:t xml:space="preserve">In COMFORT-II, after a median follow-up of 34.7 months, the death rate in patients randomised to </w:t>
      </w:r>
      <w:proofErr w:type="spellStart"/>
      <w:r w:rsidRPr="0078138E">
        <w:rPr>
          <w:sz w:val="24"/>
          <w:szCs w:val="24"/>
          <w:lang w:val="en-GB"/>
        </w:rPr>
        <w:t>ruxolitinib</w:t>
      </w:r>
      <w:proofErr w:type="spellEnd"/>
      <w:r w:rsidRPr="0078138E">
        <w:rPr>
          <w:sz w:val="24"/>
          <w:szCs w:val="24"/>
          <w:lang w:val="en-GB"/>
        </w:rPr>
        <w:t xml:space="preserve"> was 19.9% versus 30.1% in patients randomised to best available treatment (BAT); HR 0.48; 95% CI 0.28-0.85; p=0.009. In both studies, the lower death rates noted in the </w:t>
      </w:r>
      <w:proofErr w:type="spellStart"/>
      <w:r w:rsidRPr="0078138E">
        <w:rPr>
          <w:sz w:val="24"/>
          <w:szCs w:val="24"/>
          <w:lang w:val="en-GB"/>
        </w:rPr>
        <w:t>ruxolitinib</w:t>
      </w:r>
      <w:proofErr w:type="spellEnd"/>
      <w:r w:rsidRPr="0078138E">
        <w:rPr>
          <w:sz w:val="24"/>
          <w:szCs w:val="24"/>
          <w:lang w:val="en-GB"/>
        </w:rPr>
        <w:t xml:space="preserve"> arm were predominantly driven by the results obtained in the post polycythaemia vera and post essential </w:t>
      </w:r>
      <w:proofErr w:type="spellStart"/>
      <w:r w:rsidRPr="0078138E">
        <w:rPr>
          <w:sz w:val="24"/>
          <w:szCs w:val="24"/>
          <w:lang w:val="en-GB"/>
        </w:rPr>
        <w:t>thrombocythaemia</w:t>
      </w:r>
      <w:proofErr w:type="spellEnd"/>
      <w:r w:rsidRPr="0078138E">
        <w:rPr>
          <w:sz w:val="24"/>
          <w:szCs w:val="24"/>
          <w:lang w:val="en-GB"/>
        </w:rPr>
        <w:t xml:space="preserve"> subgroups.</w:t>
      </w:r>
    </w:p>
    <w:p w14:paraId="76207B22" w14:textId="77777777" w:rsidR="0078138E" w:rsidRPr="0078138E" w:rsidRDefault="0078138E" w:rsidP="00701C32">
      <w:pPr>
        <w:ind w:left="851"/>
        <w:rPr>
          <w:sz w:val="24"/>
          <w:szCs w:val="24"/>
          <w:lang w:val="en-GB"/>
        </w:rPr>
      </w:pPr>
    </w:p>
    <w:p w14:paraId="5720B08D" w14:textId="77777777" w:rsidR="0078138E" w:rsidRPr="0078138E" w:rsidRDefault="0078138E" w:rsidP="00701C32">
      <w:pPr>
        <w:ind w:left="851"/>
        <w:rPr>
          <w:b/>
          <w:bCs/>
          <w:sz w:val="24"/>
          <w:szCs w:val="24"/>
          <w:lang w:val="en-GB"/>
        </w:rPr>
      </w:pPr>
      <w:r w:rsidRPr="0078138E">
        <w:rPr>
          <w:sz w:val="24"/>
          <w:szCs w:val="24"/>
          <w:lang w:val="en-GB"/>
        </w:rPr>
        <w:t xml:space="preserve">In COMFORT-II, after a median follow-up of 55.9 months, the death rate in patients randomised to the </w:t>
      </w:r>
      <w:proofErr w:type="spellStart"/>
      <w:r w:rsidRPr="0078138E">
        <w:rPr>
          <w:sz w:val="24"/>
          <w:szCs w:val="24"/>
          <w:lang w:val="en-GB"/>
        </w:rPr>
        <w:t>ruxolitinib</w:t>
      </w:r>
      <w:proofErr w:type="spellEnd"/>
      <w:r w:rsidRPr="0078138E">
        <w:rPr>
          <w:sz w:val="24"/>
          <w:szCs w:val="24"/>
          <w:lang w:val="en-GB"/>
        </w:rPr>
        <w:t xml:space="preserve"> arm was 40.4% (59 of 146 patients) versus 47.9% (35 of 73 patients) in patients randomized to best available therapy (BAT). There was a 33% reduction in risk of death in the </w:t>
      </w:r>
      <w:proofErr w:type="spellStart"/>
      <w:r w:rsidRPr="0078138E">
        <w:rPr>
          <w:sz w:val="24"/>
          <w:szCs w:val="24"/>
          <w:lang w:val="en-GB"/>
        </w:rPr>
        <w:t>ruxolitinib</w:t>
      </w:r>
      <w:proofErr w:type="spellEnd"/>
      <w:r w:rsidRPr="0078138E">
        <w:rPr>
          <w:sz w:val="24"/>
          <w:szCs w:val="24"/>
          <w:lang w:val="en-GB"/>
        </w:rPr>
        <w:t xml:space="preserve"> arm compared to the BAT arm (HR 0.67; 95% CI 0.44-1.02; p=0.062).</w:t>
      </w:r>
    </w:p>
    <w:p w14:paraId="1C21EBF7" w14:textId="77777777" w:rsidR="0078138E" w:rsidRPr="0078138E" w:rsidRDefault="0078138E" w:rsidP="00701C32">
      <w:pPr>
        <w:ind w:left="851"/>
        <w:rPr>
          <w:sz w:val="24"/>
          <w:szCs w:val="24"/>
          <w:lang w:val="en-GB"/>
        </w:rPr>
      </w:pPr>
    </w:p>
    <w:p w14:paraId="5C6614EE" w14:textId="77777777" w:rsidR="0078138E" w:rsidRPr="0078138E" w:rsidRDefault="0078138E" w:rsidP="00701C32">
      <w:pPr>
        <w:ind w:left="851"/>
        <w:rPr>
          <w:sz w:val="24"/>
          <w:szCs w:val="24"/>
          <w:u w:val="single"/>
          <w:lang w:val="en-GB"/>
        </w:rPr>
      </w:pPr>
      <w:r w:rsidRPr="0078138E">
        <w:rPr>
          <w:i/>
          <w:iCs/>
          <w:sz w:val="24"/>
          <w:szCs w:val="24"/>
          <w:u w:val="single"/>
          <w:lang w:val="en-GB"/>
        </w:rPr>
        <w:t>Polycythaemia vera</w:t>
      </w:r>
    </w:p>
    <w:p w14:paraId="533DE320" w14:textId="77777777" w:rsidR="0078138E" w:rsidRPr="0078138E" w:rsidRDefault="0078138E" w:rsidP="00701C32">
      <w:pPr>
        <w:ind w:left="851"/>
        <w:rPr>
          <w:sz w:val="24"/>
          <w:szCs w:val="24"/>
          <w:lang w:val="en-GB"/>
        </w:rPr>
      </w:pPr>
      <w:r w:rsidRPr="0078138E">
        <w:rPr>
          <w:sz w:val="24"/>
          <w:szCs w:val="24"/>
          <w:lang w:val="en-GB"/>
        </w:rPr>
        <w:t xml:space="preserve">A randomised, open-label, active-controlled phase 3 study (RESPONSE) was conducted in 222 patients with PV who were resistant </w:t>
      </w:r>
      <w:proofErr w:type="gramStart"/>
      <w:r w:rsidRPr="0078138E">
        <w:rPr>
          <w:sz w:val="24"/>
          <w:szCs w:val="24"/>
          <w:lang w:val="en-GB"/>
        </w:rPr>
        <w:t>to</w:t>
      </w:r>
      <w:proofErr w:type="gramEnd"/>
      <w:r w:rsidRPr="0078138E">
        <w:rPr>
          <w:sz w:val="24"/>
          <w:szCs w:val="24"/>
          <w:lang w:val="en-GB"/>
        </w:rPr>
        <w:t xml:space="preserve"> or intolerant of hydroxyurea defined based on the European </w:t>
      </w:r>
      <w:proofErr w:type="spellStart"/>
      <w:r w:rsidRPr="0078138E">
        <w:rPr>
          <w:sz w:val="24"/>
          <w:szCs w:val="24"/>
          <w:lang w:val="en-GB"/>
        </w:rPr>
        <w:t>LeukemiaNet</w:t>
      </w:r>
      <w:proofErr w:type="spellEnd"/>
      <w:r w:rsidRPr="0078138E">
        <w:rPr>
          <w:sz w:val="24"/>
          <w:szCs w:val="24"/>
          <w:lang w:val="en-GB"/>
        </w:rPr>
        <w:t xml:space="preserve"> (ELN) international working group published criteria. 110 patients were randomised to the </w:t>
      </w:r>
      <w:proofErr w:type="spellStart"/>
      <w:r w:rsidRPr="0078138E">
        <w:rPr>
          <w:sz w:val="24"/>
          <w:szCs w:val="24"/>
          <w:lang w:val="en-GB"/>
        </w:rPr>
        <w:t>ruxolitinib</w:t>
      </w:r>
      <w:proofErr w:type="spellEnd"/>
      <w:r w:rsidRPr="0078138E">
        <w:rPr>
          <w:sz w:val="24"/>
          <w:szCs w:val="24"/>
          <w:lang w:val="en-GB"/>
        </w:rPr>
        <w:t xml:space="preserve"> arm and 112 patients to the BAT arm. The starting dose of </w:t>
      </w:r>
      <w:proofErr w:type="spellStart"/>
      <w:r w:rsidRPr="0078138E">
        <w:rPr>
          <w:sz w:val="24"/>
          <w:szCs w:val="24"/>
          <w:lang w:val="en-GB"/>
        </w:rPr>
        <w:t>ruxolitinib</w:t>
      </w:r>
      <w:proofErr w:type="spellEnd"/>
      <w:r w:rsidRPr="0078138E">
        <w:rPr>
          <w:sz w:val="24"/>
          <w:szCs w:val="24"/>
          <w:lang w:val="en-GB"/>
        </w:rPr>
        <w:t xml:space="preserve"> was 10 mg twice daily. Doses were then adjusted in individual patients based on tolerability and efficacy with a maximum dose of 25 mg twice daily. BAT was selected by the investigator on a patient-by-patient basis and included hydroxyurea (59.5%), interferon/pegylated interferon (11.7%), anagrelide (7.2%), </w:t>
      </w:r>
      <w:proofErr w:type="spellStart"/>
      <w:r w:rsidRPr="0078138E">
        <w:rPr>
          <w:sz w:val="24"/>
          <w:szCs w:val="24"/>
          <w:lang w:val="en-GB"/>
        </w:rPr>
        <w:t>pipobroman</w:t>
      </w:r>
      <w:proofErr w:type="spellEnd"/>
      <w:r w:rsidRPr="0078138E">
        <w:rPr>
          <w:sz w:val="24"/>
          <w:szCs w:val="24"/>
          <w:lang w:val="en-GB"/>
        </w:rPr>
        <w:t xml:space="preserve"> (1.8%) and observation (15.3%).</w:t>
      </w:r>
    </w:p>
    <w:p w14:paraId="083F1559" w14:textId="77777777" w:rsidR="0078138E" w:rsidRPr="0078138E" w:rsidRDefault="0078138E" w:rsidP="00701C32">
      <w:pPr>
        <w:ind w:left="851"/>
        <w:rPr>
          <w:sz w:val="24"/>
          <w:szCs w:val="24"/>
          <w:lang w:val="en-GB"/>
        </w:rPr>
      </w:pPr>
    </w:p>
    <w:p w14:paraId="7722BF2F" w14:textId="77777777" w:rsidR="0078138E" w:rsidRPr="0078138E" w:rsidRDefault="0078138E" w:rsidP="00701C32">
      <w:pPr>
        <w:ind w:left="851"/>
        <w:rPr>
          <w:sz w:val="24"/>
          <w:szCs w:val="24"/>
          <w:lang w:val="en-GB"/>
        </w:rPr>
      </w:pPr>
      <w:r w:rsidRPr="0078138E">
        <w:rPr>
          <w:sz w:val="24"/>
          <w:szCs w:val="24"/>
          <w:lang w:val="en-GB"/>
        </w:rPr>
        <w:t xml:space="preserve">Baseline demographics and disease characteristics were comparable between the two treatments arms. The median age was 60 years (range 33 to 90 years). Patients in the </w:t>
      </w:r>
      <w:proofErr w:type="spellStart"/>
      <w:r w:rsidRPr="0078138E">
        <w:rPr>
          <w:sz w:val="24"/>
          <w:szCs w:val="24"/>
          <w:lang w:val="en-GB"/>
        </w:rPr>
        <w:t>ruxolitinib</w:t>
      </w:r>
      <w:proofErr w:type="spellEnd"/>
      <w:r w:rsidRPr="0078138E">
        <w:rPr>
          <w:sz w:val="24"/>
          <w:szCs w:val="24"/>
          <w:lang w:val="en-GB"/>
        </w:rPr>
        <w:t xml:space="preserve"> arm had PV diagnosis for a median of 8.2 years and had previously received hydroxyurea for a median of approximately 3 years. Most patients (&gt;80%) had received at least two phlebotomies in the last 24 weeks prior to screening. Comparative data regarding long-term survival and incidence of disease complications is missing.</w:t>
      </w:r>
    </w:p>
    <w:p w14:paraId="0B0D75B3" w14:textId="77777777" w:rsidR="0078138E" w:rsidRPr="0078138E" w:rsidRDefault="0078138E" w:rsidP="00701C32">
      <w:pPr>
        <w:ind w:left="851"/>
        <w:rPr>
          <w:sz w:val="24"/>
          <w:szCs w:val="24"/>
          <w:lang w:val="en-GB"/>
        </w:rPr>
      </w:pPr>
    </w:p>
    <w:p w14:paraId="1E68FED0" w14:textId="77777777" w:rsidR="0078138E" w:rsidRPr="0078138E" w:rsidRDefault="0078138E" w:rsidP="00701C32">
      <w:pPr>
        <w:ind w:left="851"/>
        <w:rPr>
          <w:sz w:val="24"/>
          <w:szCs w:val="24"/>
          <w:lang w:val="en-GB"/>
        </w:rPr>
      </w:pPr>
      <w:r w:rsidRPr="0078138E">
        <w:rPr>
          <w:sz w:val="24"/>
          <w:szCs w:val="24"/>
          <w:lang w:val="en-GB"/>
        </w:rPr>
        <w:t>The primary composite endpoint was the proportion of patients achieving both an absence of phlebotomy eligibility (HCT control) and a ≥35% reduction in spleen volume from baseline at week 32. Phlebotomy eligibility was defined as a confirmed HCT of &gt;45%, i.e. at least 3 percentage points higher than the HCT obtained at baseline or a confirmed HCT of &gt;48%, depending on which was lower. Key secondary endpoints included the proportion of patients who achieved the primary endpoint and remained free from progression at week 48, as well as the proportion of patients achieving complete haematological remission at week 32.</w:t>
      </w:r>
    </w:p>
    <w:p w14:paraId="3D04408A" w14:textId="77777777" w:rsidR="0078138E" w:rsidRPr="0078138E" w:rsidRDefault="0078138E" w:rsidP="00701C32">
      <w:pPr>
        <w:ind w:left="851"/>
        <w:rPr>
          <w:sz w:val="24"/>
          <w:szCs w:val="24"/>
          <w:lang w:val="en-GB"/>
        </w:rPr>
      </w:pPr>
    </w:p>
    <w:p w14:paraId="672CB2D7" w14:textId="77777777" w:rsidR="0078138E" w:rsidRPr="0078138E" w:rsidRDefault="0078138E" w:rsidP="00701C32">
      <w:pPr>
        <w:ind w:left="851"/>
        <w:rPr>
          <w:sz w:val="24"/>
          <w:szCs w:val="24"/>
          <w:lang w:val="en-GB"/>
        </w:rPr>
      </w:pPr>
      <w:r w:rsidRPr="0078138E">
        <w:rPr>
          <w:sz w:val="24"/>
          <w:szCs w:val="24"/>
          <w:lang w:val="en-GB"/>
        </w:rPr>
        <w:t xml:space="preserve">The study met its primary objective and a higher proportion of patients in the </w:t>
      </w:r>
      <w:proofErr w:type="spellStart"/>
      <w:r w:rsidRPr="0078138E">
        <w:rPr>
          <w:sz w:val="24"/>
          <w:szCs w:val="24"/>
          <w:lang w:val="en-GB"/>
        </w:rPr>
        <w:t>ruxolitinib</w:t>
      </w:r>
      <w:proofErr w:type="spellEnd"/>
      <w:r w:rsidRPr="0078138E">
        <w:rPr>
          <w:sz w:val="24"/>
          <w:szCs w:val="24"/>
          <w:lang w:val="en-GB"/>
        </w:rPr>
        <w:t xml:space="preserve"> group achieved the primary composite endpoint and each of its individual components. Significantly more patients treated with </w:t>
      </w:r>
      <w:proofErr w:type="spellStart"/>
      <w:r w:rsidRPr="0078138E">
        <w:rPr>
          <w:sz w:val="24"/>
          <w:szCs w:val="24"/>
          <w:lang w:val="en-GB"/>
        </w:rPr>
        <w:t>ruxolitinib</w:t>
      </w:r>
      <w:proofErr w:type="spellEnd"/>
      <w:r w:rsidRPr="0078138E">
        <w:rPr>
          <w:sz w:val="24"/>
          <w:szCs w:val="24"/>
          <w:lang w:val="en-GB"/>
        </w:rPr>
        <w:t xml:space="preserve"> (23%) achieved a primary response (p&lt;0.0001) compared to BAT (0.9%). Haematocrit control was achieved in 60% of patients in the </w:t>
      </w:r>
      <w:proofErr w:type="spellStart"/>
      <w:r w:rsidRPr="0078138E">
        <w:rPr>
          <w:sz w:val="24"/>
          <w:szCs w:val="24"/>
          <w:lang w:val="en-GB"/>
        </w:rPr>
        <w:t>ruxolitinib</w:t>
      </w:r>
      <w:proofErr w:type="spellEnd"/>
      <w:r w:rsidRPr="0078138E">
        <w:rPr>
          <w:sz w:val="24"/>
          <w:szCs w:val="24"/>
          <w:lang w:val="en-GB"/>
        </w:rPr>
        <w:t xml:space="preserve"> arm compared to 18.8% in the BAT arm and a ≥35% reduction in spleen volume was achieved in 40% of patients in the </w:t>
      </w:r>
      <w:proofErr w:type="spellStart"/>
      <w:r w:rsidRPr="0078138E">
        <w:rPr>
          <w:sz w:val="24"/>
          <w:szCs w:val="24"/>
          <w:lang w:val="en-GB"/>
        </w:rPr>
        <w:t>ruxolitinib</w:t>
      </w:r>
      <w:proofErr w:type="spellEnd"/>
      <w:r w:rsidRPr="0078138E">
        <w:rPr>
          <w:sz w:val="24"/>
          <w:szCs w:val="24"/>
          <w:lang w:val="en-GB"/>
        </w:rPr>
        <w:t xml:space="preserve"> arm compared to 0.9% in the BAT arm (Figure 1).</w:t>
      </w:r>
    </w:p>
    <w:p w14:paraId="38D5D199" w14:textId="77777777" w:rsidR="0078138E" w:rsidRPr="0078138E" w:rsidRDefault="0078138E" w:rsidP="00701C32">
      <w:pPr>
        <w:ind w:left="851"/>
        <w:rPr>
          <w:sz w:val="24"/>
          <w:szCs w:val="24"/>
          <w:lang w:val="en-GB"/>
        </w:rPr>
      </w:pPr>
    </w:p>
    <w:p w14:paraId="7DD6BF35" w14:textId="77777777" w:rsidR="0078138E" w:rsidRPr="0078138E" w:rsidRDefault="0078138E" w:rsidP="00701C32">
      <w:pPr>
        <w:ind w:left="851"/>
        <w:rPr>
          <w:sz w:val="24"/>
          <w:szCs w:val="24"/>
          <w:lang w:val="en-GB"/>
        </w:rPr>
      </w:pPr>
      <w:r w:rsidRPr="0078138E">
        <w:rPr>
          <w:sz w:val="24"/>
          <w:szCs w:val="24"/>
          <w:lang w:val="en-GB"/>
        </w:rPr>
        <w:t xml:space="preserve">Both key secondary endpoints were also met. The proportion of patients achieving a complete haematological remission was 23.6% on </w:t>
      </w:r>
      <w:proofErr w:type="spellStart"/>
      <w:r w:rsidRPr="0078138E">
        <w:rPr>
          <w:sz w:val="24"/>
          <w:szCs w:val="24"/>
          <w:lang w:val="en-GB"/>
        </w:rPr>
        <w:t>ruxolitinib</w:t>
      </w:r>
      <w:proofErr w:type="spellEnd"/>
      <w:r w:rsidRPr="0078138E">
        <w:rPr>
          <w:sz w:val="24"/>
          <w:szCs w:val="24"/>
          <w:lang w:val="en-GB"/>
        </w:rPr>
        <w:t xml:space="preserve"> compared to 8.0% on BAT (p=0.0013) and the proportion of patients achieving a durable primary response at week 48 was 20% on </w:t>
      </w:r>
      <w:proofErr w:type="spellStart"/>
      <w:r w:rsidRPr="0078138E">
        <w:rPr>
          <w:sz w:val="24"/>
          <w:szCs w:val="24"/>
          <w:lang w:val="en-GB"/>
        </w:rPr>
        <w:t>ruxolitinib</w:t>
      </w:r>
      <w:proofErr w:type="spellEnd"/>
      <w:r w:rsidRPr="0078138E">
        <w:rPr>
          <w:sz w:val="24"/>
          <w:szCs w:val="24"/>
          <w:lang w:val="en-GB"/>
        </w:rPr>
        <w:t xml:space="preserve"> and 0.9% on BAT (p&lt;0.0001).</w:t>
      </w:r>
    </w:p>
    <w:p w14:paraId="32725249" w14:textId="77777777" w:rsidR="0078138E" w:rsidRPr="0078138E" w:rsidRDefault="0078138E" w:rsidP="00701C32">
      <w:pPr>
        <w:ind w:left="851"/>
        <w:rPr>
          <w:sz w:val="24"/>
          <w:szCs w:val="24"/>
          <w:lang w:val="en-GB"/>
        </w:rPr>
      </w:pPr>
    </w:p>
    <w:p w14:paraId="66CB8213" w14:textId="42053A52" w:rsidR="0078138E" w:rsidRPr="0078138E" w:rsidRDefault="0078138E" w:rsidP="0078138E">
      <w:pPr>
        <w:tabs>
          <w:tab w:val="left" w:pos="851"/>
        </w:tabs>
        <w:ind w:left="851"/>
        <w:rPr>
          <w:sz w:val="24"/>
          <w:szCs w:val="24"/>
          <w:lang w:val="en-GB"/>
        </w:rPr>
      </w:pPr>
      <w:r w:rsidRPr="0078138E">
        <w:rPr>
          <w:b/>
          <w:bCs/>
          <w:sz w:val="24"/>
          <w:szCs w:val="24"/>
          <w:lang w:val="en-GB"/>
        </w:rPr>
        <w:t>Figure 1</w:t>
      </w:r>
      <w:r w:rsidR="00727BD8">
        <w:rPr>
          <w:b/>
          <w:bCs/>
          <w:sz w:val="24"/>
          <w:szCs w:val="24"/>
          <w:lang w:val="en-GB"/>
        </w:rPr>
        <w:t>.</w:t>
      </w:r>
      <w:r w:rsidRPr="0078138E">
        <w:rPr>
          <w:b/>
          <w:bCs/>
          <w:sz w:val="24"/>
          <w:szCs w:val="24"/>
          <w:lang w:val="en-GB"/>
        </w:rPr>
        <w:t xml:space="preserve"> Patients achieving the primary endpoint and components of the primary endpoint at week 32</w:t>
      </w:r>
    </w:p>
    <w:p w14:paraId="2849FEA7" w14:textId="69D3A11C" w:rsidR="0078138E" w:rsidRPr="0078138E" w:rsidRDefault="0078138E" w:rsidP="0078138E">
      <w:pPr>
        <w:tabs>
          <w:tab w:val="left" w:pos="851"/>
        </w:tabs>
        <w:ind w:left="851"/>
        <w:rPr>
          <w:sz w:val="24"/>
          <w:szCs w:val="24"/>
          <w:lang w:val="en-GB"/>
        </w:rPr>
      </w:pPr>
      <w:r w:rsidRPr="009B509D">
        <w:rPr>
          <w:noProof/>
          <w:sz w:val="24"/>
          <w:szCs w:val="24"/>
          <w:lang w:val="en-GB"/>
        </w:rPr>
        <w:drawing>
          <wp:inline distT="0" distB="0" distL="0" distR="0" wp14:anchorId="4B5AF2B2" wp14:editId="2329DD88">
            <wp:extent cx="5760720" cy="3649980"/>
            <wp:effectExtent l="0" t="0" r="0" b="7620"/>
            <wp:docPr id="1092215141" name="Billede 2" descr="Et billede, der indeholder tekst, skærmbillede, diagram, nummer/ta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215141" name="Billede 2" descr="Et billede, der indeholder tekst, skærmbillede, diagram, nummer/tal&#10;&#10;AI-genereret indhold kan være ukorrek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649980"/>
                    </a:xfrm>
                    <a:prstGeom prst="rect">
                      <a:avLst/>
                    </a:prstGeom>
                    <a:noFill/>
                    <a:ln>
                      <a:noFill/>
                    </a:ln>
                  </pic:spPr>
                </pic:pic>
              </a:graphicData>
            </a:graphic>
          </wp:inline>
        </w:drawing>
      </w:r>
    </w:p>
    <w:p w14:paraId="39BB07C9" w14:textId="77777777" w:rsidR="0078138E" w:rsidRPr="0078138E" w:rsidRDefault="0078138E" w:rsidP="0078138E">
      <w:pPr>
        <w:tabs>
          <w:tab w:val="left" w:pos="851"/>
        </w:tabs>
        <w:ind w:left="851"/>
        <w:rPr>
          <w:sz w:val="24"/>
          <w:szCs w:val="24"/>
          <w:lang w:val="en-GB"/>
        </w:rPr>
      </w:pPr>
    </w:p>
    <w:p w14:paraId="57268FEC" w14:textId="77777777" w:rsidR="0078138E" w:rsidRPr="0078138E" w:rsidRDefault="0078138E" w:rsidP="00701C32">
      <w:pPr>
        <w:ind w:left="851"/>
        <w:rPr>
          <w:sz w:val="24"/>
          <w:szCs w:val="24"/>
          <w:lang w:val="en-GB"/>
        </w:rPr>
      </w:pPr>
      <w:r w:rsidRPr="0078138E">
        <w:rPr>
          <w:sz w:val="24"/>
          <w:szCs w:val="24"/>
          <w:lang w:val="en-GB"/>
        </w:rPr>
        <w:t xml:space="preserve">Symptom burden was assessed using the MPN-SAF total symptom score (TSS) electronic patient diary, which consisted of 14 questions. At week 32, 49% and 64% of patients treated with </w:t>
      </w:r>
      <w:proofErr w:type="spellStart"/>
      <w:r w:rsidRPr="0078138E">
        <w:rPr>
          <w:sz w:val="24"/>
          <w:szCs w:val="24"/>
          <w:lang w:val="en-GB"/>
        </w:rPr>
        <w:t>ruxolitinib</w:t>
      </w:r>
      <w:proofErr w:type="spellEnd"/>
      <w:r w:rsidRPr="0078138E">
        <w:rPr>
          <w:sz w:val="24"/>
          <w:szCs w:val="24"/>
          <w:lang w:val="en-GB"/>
        </w:rPr>
        <w:t xml:space="preserve"> achieved a ≥50% reduction in TSS-14 and TSS-5, respectively, compared to only 5% and 11% of patients on BAT.</w:t>
      </w:r>
    </w:p>
    <w:p w14:paraId="7D6C2BC5" w14:textId="77777777" w:rsidR="0078138E" w:rsidRPr="0078138E" w:rsidRDefault="0078138E" w:rsidP="00701C32">
      <w:pPr>
        <w:ind w:left="851"/>
        <w:rPr>
          <w:sz w:val="24"/>
          <w:szCs w:val="24"/>
          <w:lang w:val="en-GB"/>
        </w:rPr>
      </w:pPr>
    </w:p>
    <w:p w14:paraId="39D81901" w14:textId="77777777" w:rsidR="0078138E" w:rsidRPr="0078138E" w:rsidRDefault="0078138E" w:rsidP="00701C32">
      <w:pPr>
        <w:ind w:left="851"/>
        <w:rPr>
          <w:sz w:val="24"/>
          <w:szCs w:val="24"/>
          <w:lang w:val="en-GB"/>
        </w:rPr>
      </w:pPr>
      <w:r w:rsidRPr="0078138E">
        <w:rPr>
          <w:sz w:val="24"/>
          <w:szCs w:val="24"/>
          <w:lang w:val="en-GB"/>
        </w:rPr>
        <w:t xml:space="preserve">Treatment benefit perception was measured by the Patient Global Impression of Change (PGIC) questionnaire. 66% of patients treated with </w:t>
      </w:r>
      <w:proofErr w:type="spellStart"/>
      <w:r w:rsidRPr="0078138E">
        <w:rPr>
          <w:sz w:val="24"/>
          <w:szCs w:val="24"/>
          <w:lang w:val="en-GB"/>
        </w:rPr>
        <w:t>ruxolitinib</w:t>
      </w:r>
      <w:proofErr w:type="spellEnd"/>
      <w:r w:rsidRPr="0078138E">
        <w:rPr>
          <w:sz w:val="24"/>
          <w:szCs w:val="24"/>
          <w:lang w:val="en-GB"/>
        </w:rPr>
        <w:t xml:space="preserve"> compared to 19% treated with BAT reported an improvement as early as four weeks after beginning treatment. Improvement in perception of treatment benefit was also higher in patients treated with </w:t>
      </w:r>
      <w:proofErr w:type="spellStart"/>
      <w:r w:rsidRPr="0078138E">
        <w:rPr>
          <w:sz w:val="24"/>
          <w:szCs w:val="24"/>
          <w:lang w:val="en-GB"/>
        </w:rPr>
        <w:t>ruxolitinib</w:t>
      </w:r>
      <w:proofErr w:type="spellEnd"/>
      <w:r w:rsidRPr="0078138E">
        <w:rPr>
          <w:sz w:val="24"/>
          <w:szCs w:val="24"/>
          <w:lang w:val="en-GB"/>
        </w:rPr>
        <w:t xml:space="preserve"> at week 32 (78% versus 33%).</w:t>
      </w:r>
    </w:p>
    <w:p w14:paraId="32441FB2" w14:textId="77777777" w:rsidR="0078138E" w:rsidRPr="0078138E" w:rsidRDefault="0078138E" w:rsidP="00701C32">
      <w:pPr>
        <w:ind w:left="851"/>
        <w:rPr>
          <w:sz w:val="24"/>
          <w:szCs w:val="24"/>
          <w:lang w:val="en-GB"/>
        </w:rPr>
      </w:pPr>
    </w:p>
    <w:p w14:paraId="7A80AB74" w14:textId="77777777" w:rsidR="0078138E" w:rsidRPr="0078138E" w:rsidRDefault="0078138E" w:rsidP="00701C32">
      <w:pPr>
        <w:ind w:left="851"/>
        <w:rPr>
          <w:sz w:val="24"/>
          <w:szCs w:val="24"/>
          <w:lang w:val="en-GB"/>
        </w:rPr>
      </w:pPr>
      <w:r w:rsidRPr="0078138E">
        <w:rPr>
          <w:sz w:val="24"/>
          <w:szCs w:val="24"/>
          <w:lang w:val="en-GB"/>
        </w:rPr>
        <w:t>Additional analyses from the RESPONSE study to assess durability of response were conducted at week 80 and week 256 following randomisation. Out of 25 patients who had achieved primary response at week 32, 3 patients had progressed by week 80 and 6 patients by week 256. The probability to have maintained a response from week 32 up to week 80 and week 256 was 92% and 74%, respectively (see Table 10).</w:t>
      </w:r>
    </w:p>
    <w:p w14:paraId="353E7F65" w14:textId="77777777" w:rsidR="0078138E" w:rsidRPr="0078138E" w:rsidRDefault="0078138E" w:rsidP="00701C32">
      <w:pPr>
        <w:ind w:left="851"/>
        <w:rPr>
          <w:sz w:val="24"/>
          <w:szCs w:val="24"/>
          <w:lang w:val="en-GB"/>
        </w:rPr>
      </w:pPr>
    </w:p>
    <w:p w14:paraId="39AA2214" w14:textId="77777777" w:rsidR="0078138E" w:rsidRPr="0078138E" w:rsidRDefault="0078138E" w:rsidP="0078138E">
      <w:pPr>
        <w:tabs>
          <w:tab w:val="left" w:pos="851"/>
        </w:tabs>
        <w:ind w:left="851"/>
        <w:rPr>
          <w:b/>
          <w:bCs/>
          <w:sz w:val="24"/>
          <w:szCs w:val="24"/>
          <w:lang w:val="en-GB"/>
        </w:rPr>
      </w:pPr>
      <w:r w:rsidRPr="0078138E">
        <w:rPr>
          <w:b/>
          <w:bCs/>
          <w:sz w:val="24"/>
          <w:szCs w:val="24"/>
          <w:lang w:val="en-GB"/>
        </w:rPr>
        <w:t>Table 10 Durability of primary response in the RESPONSE study</w:t>
      </w:r>
    </w:p>
    <w:tbl>
      <w:tblPr>
        <w:tblStyle w:val="Tabel-Gitter"/>
        <w:tblW w:w="5000" w:type="pct"/>
        <w:tblLook w:val="04A0" w:firstRow="1" w:lastRow="0" w:firstColumn="1" w:lastColumn="0" w:noHBand="0" w:noVBand="1"/>
      </w:tblPr>
      <w:tblGrid>
        <w:gridCol w:w="2407"/>
        <w:gridCol w:w="2407"/>
        <w:gridCol w:w="2407"/>
        <w:gridCol w:w="2407"/>
      </w:tblGrid>
      <w:tr w:rsidR="0078138E" w:rsidRPr="009B509D" w14:paraId="4307E8BB" w14:textId="77777777" w:rsidTr="00701C32">
        <w:tc>
          <w:tcPr>
            <w:tcW w:w="1250" w:type="pct"/>
            <w:tcBorders>
              <w:top w:val="single" w:sz="4" w:space="0" w:color="auto"/>
              <w:left w:val="single" w:sz="4" w:space="0" w:color="auto"/>
              <w:bottom w:val="single" w:sz="4" w:space="0" w:color="auto"/>
              <w:right w:val="single" w:sz="4" w:space="0" w:color="auto"/>
            </w:tcBorders>
          </w:tcPr>
          <w:p w14:paraId="4EEA31AE" w14:textId="77777777" w:rsidR="0078138E" w:rsidRPr="009B509D" w:rsidRDefault="0078138E" w:rsidP="00701C32">
            <w:pPr>
              <w:rPr>
                <w:sz w:val="24"/>
                <w:szCs w:val="24"/>
                <w:lang w:val="en-GB"/>
              </w:rPr>
            </w:pPr>
          </w:p>
        </w:tc>
        <w:tc>
          <w:tcPr>
            <w:tcW w:w="1250" w:type="pct"/>
            <w:tcBorders>
              <w:top w:val="single" w:sz="4" w:space="0" w:color="auto"/>
              <w:left w:val="single" w:sz="4" w:space="0" w:color="auto"/>
              <w:bottom w:val="single" w:sz="4" w:space="0" w:color="auto"/>
              <w:right w:val="single" w:sz="4" w:space="0" w:color="auto"/>
            </w:tcBorders>
            <w:hideMark/>
          </w:tcPr>
          <w:p w14:paraId="0980C6F1" w14:textId="77777777" w:rsidR="0078138E" w:rsidRPr="009B509D" w:rsidRDefault="0078138E" w:rsidP="00727BD8">
            <w:pPr>
              <w:jc w:val="center"/>
              <w:rPr>
                <w:sz w:val="24"/>
                <w:szCs w:val="24"/>
                <w:lang w:val="en-GB"/>
              </w:rPr>
            </w:pPr>
            <w:r w:rsidRPr="009B509D">
              <w:rPr>
                <w:sz w:val="24"/>
                <w:szCs w:val="24"/>
                <w:lang w:val="en-GB"/>
              </w:rPr>
              <w:t>Week 32</w:t>
            </w:r>
          </w:p>
        </w:tc>
        <w:tc>
          <w:tcPr>
            <w:tcW w:w="1250" w:type="pct"/>
            <w:tcBorders>
              <w:top w:val="single" w:sz="4" w:space="0" w:color="auto"/>
              <w:left w:val="single" w:sz="4" w:space="0" w:color="auto"/>
              <w:bottom w:val="single" w:sz="4" w:space="0" w:color="auto"/>
              <w:right w:val="single" w:sz="4" w:space="0" w:color="auto"/>
            </w:tcBorders>
            <w:hideMark/>
          </w:tcPr>
          <w:p w14:paraId="2C5CC027" w14:textId="77777777" w:rsidR="0078138E" w:rsidRPr="009B509D" w:rsidRDefault="0078138E" w:rsidP="00727BD8">
            <w:pPr>
              <w:jc w:val="center"/>
              <w:rPr>
                <w:sz w:val="24"/>
                <w:szCs w:val="24"/>
                <w:lang w:val="en-GB"/>
              </w:rPr>
            </w:pPr>
            <w:r w:rsidRPr="009B509D">
              <w:rPr>
                <w:sz w:val="24"/>
                <w:szCs w:val="24"/>
                <w:lang w:val="en-GB"/>
              </w:rPr>
              <w:t>Week 80</w:t>
            </w:r>
          </w:p>
        </w:tc>
        <w:tc>
          <w:tcPr>
            <w:tcW w:w="1250" w:type="pct"/>
            <w:tcBorders>
              <w:top w:val="single" w:sz="4" w:space="0" w:color="auto"/>
              <w:left w:val="single" w:sz="4" w:space="0" w:color="auto"/>
              <w:bottom w:val="single" w:sz="4" w:space="0" w:color="auto"/>
              <w:right w:val="single" w:sz="4" w:space="0" w:color="auto"/>
            </w:tcBorders>
            <w:hideMark/>
          </w:tcPr>
          <w:p w14:paraId="7D445F46" w14:textId="77777777" w:rsidR="0078138E" w:rsidRPr="009B509D" w:rsidRDefault="0078138E" w:rsidP="00727BD8">
            <w:pPr>
              <w:jc w:val="center"/>
              <w:rPr>
                <w:sz w:val="24"/>
                <w:szCs w:val="24"/>
                <w:lang w:val="en-GB"/>
              </w:rPr>
            </w:pPr>
            <w:r w:rsidRPr="009B509D">
              <w:rPr>
                <w:sz w:val="24"/>
                <w:szCs w:val="24"/>
                <w:lang w:val="en-GB"/>
              </w:rPr>
              <w:t>Week 256</w:t>
            </w:r>
          </w:p>
        </w:tc>
      </w:tr>
      <w:tr w:rsidR="0078138E" w:rsidRPr="009B509D" w14:paraId="24EA23D4" w14:textId="77777777" w:rsidTr="00701C32">
        <w:tc>
          <w:tcPr>
            <w:tcW w:w="1250" w:type="pct"/>
            <w:tcBorders>
              <w:top w:val="single" w:sz="4" w:space="0" w:color="auto"/>
              <w:left w:val="single" w:sz="4" w:space="0" w:color="auto"/>
              <w:bottom w:val="single" w:sz="4" w:space="0" w:color="auto"/>
              <w:right w:val="single" w:sz="4" w:space="0" w:color="auto"/>
            </w:tcBorders>
            <w:hideMark/>
          </w:tcPr>
          <w:p w14:paraId="217821C8" w14:textId="77777777" w:rsidR="0078138E" w:rsidRPr="009B509D" w:rsidRDefault="0078138E" w:rsidP="00701C32">
            <w:pPr>
              <w:rPr>
                <w:sz w:val="24"/>
                <w:szCs w:val="24"/>
                <w:lang w:val="en-GB"/>
              </w:rPr>
            </w:pPr>
            <w:r w:rsidRPr="009B509D">
              <w:rPr>
                <w:sz w:val="24"/>
                <w:szCs w:val="24"/>
                <w:lang w:val="en-GB"/>
              </w:rPr>
              <w:t>Primary response achieved at week 32* n/N (%)</w:t>
            </w:r>
          </w:p>
        </w:tc>
        <w:tc>
          <w:tcPr>
            <w:tcW w:w="1250" w:type="pct"/>
            <w:tcBorders>
              <w:top w:val="single" w:sz="4" w:space="0" w:color="auto"/>
              <w:left w:val="single" w:sz="4" w:space="0" w:color="auto"/>
              <w:bottom w:val="single" w:sz="4" w:space="0" w:color="auto"/>
              <w:right w:val="single" w:sz="4" w:space="0" w:color="auto"/>
            </w:tcBorders>
            <w:hideMark/>
          </w:tcPr>
          <w:p w14:paraId="18B4B2F3" w14:textId="77777777" w:rsidR="0078138E" w:rsidRPr="009B509D" w:rsidRDefault="0078138E" w:rsidP="00727BD8">
            <w:pPr>
              <w:jc w:val="center"/>
              <w:rPr>
                <w:sz w:val="24"/>
                <w:szCs w:val="24"/>
                <w:lang w:val="en-GB"/>
              </w:rPr>
            </w:pPr>
            <w:r w:rsidRPr="009B509D">
              <w:rPr>
                <w:sz w:val="24"/>
                <w:szCs w:val="24"/>
                <w:lang w:val="en-GB"/>
              </w:rPr>
              <w:t>25/110 (23%)</w:t>
            </w:r>
          </w:p>
        </w:tc>
        <w:tc>
          <w:tcPr>
            <w:tcW w:w="1250" w:type="pct"/>
            <w:tcBorders>
              <w:top w:val="single" w:sz="4" w:space="0" w:color="auto"/>
              <w:left w:val="single" w:sz="4" w:space="0" w:color="auto"/>
              <w:bottom w:val="single" w:sz="4" w:space="0" w:color="auto"/>
              <w:right w:val="single" w:sz="4" w:space="0" w:color="auto"/>
            </w:tcBorders>
            <w:hideMark/>
          </w:tcPr>
          <w:p w14:paraId="6741DE14" w14:textId="77777777" w:rsidR="0078138E" w:rsidRPr="009B509D" w:rsidRDefault="0078138E" w:rsidP="00727BD8">
            <w:pPr>
              <w:jc w:val="center"/>
              <w:rPr>
                <w:sz w:val="24"/>
                <w:szCs w:val="24"/>
                <w:lang w:val="en-GB"/>
              </w:rPr>
            </w:pPr>
            <w:r w:rsidRPr="009B509D">
              <w:rPr>
                <w:sz w:val="24"/>
                <w:szCs w:val="24"/>
                <w:lang w:val="en-GB"/>
              </w:rPr>
              <w:t>n/a</w:t>
            </w:r>
          </w:p>
        </w:tc>
        <w:tc>
          <w:tcPr>
            <w:tcW w:w="1250" w:type="pct"/>
            <w:tcBorders>
              <w:top w:val="single" w:sz="4" w:space="0" w:color="auto"/>
              <w:left w:val="single" w:sz="4" w:space="0" w:color="auto"/>
              <w:bottom w:val="single" w:sz="4" w:space="0" w:color="auto"/>
              <w:right w:val="single" w:sz="4" w:space="0" w:color="auto"/>
            </w:tcBorders>
            <w:hideMark/>
          </w:tcPr>
          <w:p w14:paraId="64F1A23E" w14:textId="77777777" w:rsidR="0078138E" w:rsidRPr="009B509D" w:rsidRDefault="0078138E" w:rsidP="00727BD8">
            <w:pPr>
              <w:jc w:val="center"/>
              <w:rPr>
                <w:sz w:val="24"/>
                <w:szCs w:val="24"/>
                <w:lang w:val="en-GB"/>
              </w:rPr>
            </w:pPr>
            <w:r w:rsidRPr="009B509D">
              <w:rPr>
                <w:sz w:val="24"/>
                <w:szCs w:val="24"/>
                <w:lang w:val="en-GB"/>
              </w:rPr>
              <w:t>n/a</w:t>
            </w:r>
          </w:p>
        </w:tc>
      </w:tr>
      <w:tr w:rsidR="0078138E" w:rsidRPr="009B509D" w14:paraId="48B96A53" w14:textId="77777777" w:rsidTr="00701C32">
        <w:tc>
          <w:tcPr>
            <w:tcW w:w="1250" w:type="pct"/>
            <w:tcBorders>
              <w:top w:val="single" w:sz="4" w:space="0" w:color="auto"/>
              <w:left w:val="single" w:sz="4" w:space="0" w:color="auto"/>
              <w:bottom w:val="single" w:sz="4" w:space="0" w:color="auto"/>
              <w:right w:val="single" w:sz="4" w:space="0" w:color="auto"/>
            </w:tcBorders>
            <w:hideMark/>
          </w:tcPr>
          <w:p w14:paraId="456D46CB" w14:textId="77777777" w:rsidR="0078138E" w:rsidRPr="009B509D" w:rsidRDefault="0078138E" w:rsidP="00701C32">
            <w:pPr>
              <w:rPr>
                <w:sz w:val="24"/>
                <w:szCs w:val="24"/>
                <w:lang w:val="en-GB"/>
              </w:rPr>
            </w:pPr>
            <w:r w:rsidRPr="009B509D">
              <w:rPr>
                <w:sz w:val="24"/>
                <w:szCs w:val="24"/>
                <w:lang w:val="en-GB"/>
              </w:rPr>
              <w:t>Patients maintaining primary response</w:t>
            </w:r>
          </w:p>
        </w:tc>
        <w:tc>
          <w:tcPr>
            <w:tcW w:w="1250" w:type="pct"/>
            <w:tcBorders>
              <w:top w:val="single" w:sz="4" w:space="0" w:color="auto"/>
              <w:left w:val="single" w:sz="4" w:space="0" w:color="auto"/>
              <w:bottom w:val="single" w:sz="4" w:space="0" w:color="auto"/>
              <w:right w:val="single" w:sz="4" w:space="0" w:color="auto"/>
            </w:tcBorders>
            <w:hideMark/>
          </w:tcPr>
          <w:p w14:paraId="0C41BE3A" w14:textId="77777777" w:rsidR="0078138E" w:rsidRPr="009B509D" w:rsidRDefault="0078138E" w:rsidP="00727BD8">
            <w:pPr>
              <w:jc w:val="center"/>
              <w:rPr>
                <w:sz w:val="24"/>
                <w:szCs w:val="24"/>
                <w:lang w:val="en-GB"/>
              </w:rPr>
            </w:pPr>
            <w:r w:rsidRPr="009B509D">
              <w:rPr>
                <w:sz w:val="24"/>
                <w:szCs w:val="24"/>
                <w:lang w:val="en-GB"/>
              </w:rPr>
              <w:t>n/a</w:t>
            </w:r>
          </w:p>
        </w:tc>
        <w:tc>
          <w:tcPr>
            <w:tcW w:w="1250" w:type="pct"/>
            <w:tcBorders>
              <w:top w:val="single" w:sz="4" w:space="0" w:color="auto"/>
              <w:left w:val="single" w:sz="4" w:space="0" w:color="auto"/>
              <w:bottom w:val="single" w:sz="4" w:space="0" w:color="auto"/>
              <w:right w:val="single" w:sz="4" w:space="0" w:color="auto"/>
            </w:tcBorders>
            <w:hideMark/>
          </w:tcPr>
          <w:p w14:paraId="512B80CD" w14:textId="77777777" w:rsidR="0078138E" w:rsidRPr="009B509D" w:rsidRDefault="0078138E" w:rsidP="00727BD8">
            <w:pPr>
              <w:jc w:val="center"/>
              <w:rPr>
                <w:sz w:val="24"/>
                <w:szCs w:val="24"/>
                <w:lang w:val="en-GB"/>
              </w:rPr>
            </w:pPr>
            <w:r w:rsidRPr="009B509D">
              <w:rPr>
                <w:sz w:val="24"/>
                <w:szCs w:val="24"/>
                <w:lang w:val="en-GB"/>
              </w:rPr>
              <w:t>22/25</w:t>
            </w:r>
          </w:p>
        </w:tc>
        <w:tc>
          <w:tcPr>
            <w:tcW w:w="1250" w:type="pct"/>
            <w:tcBorders>
              <w:top w:val="single" w:sz="4" w:space="0" w:color="auto"/>
              <w:left w:val="single" w:sz="4" w:space="0" w:color="auto"/>
              <w:bottom w:val="single" w:sz="4" w:space="0" w:color="auto"/>
              <w:right w:val="single" w:sz="4" w:space="0" w:color="auto"/>
            </w:tcBorders>
            <w:hideMark/>
          </w:tcPr>
          <w:p w14:paraId="0CF90820" w14:textId="77777777" w:rsidR="0078138E" w:rsidRPr="009B509D" w:rsidRDefault="0078138E" w:rsidP="00727BD8">
            <w:pPr>
              <w:jc w:val="center"/>
              <w:rPr>
                <w:sz w:val="24"/>
                <w:szCs w:val="24"/>
                <w:lang w:val="en-GB"/>
              </w:rPr>
            </w:pPr>
            <w:r w:rsidRPr="009B509D">
              <w:rPr>
                <w:sz w:val="24"/>
                <w:szCs w:val="24"/>
                <w:lang w:val="en-GB"/>
              </w:rPr>
              <w:t>19/25</w:t>
            </w:r>
          </w:p>
        </w:tc>
      </w:tr>
      <w:tr w:rsidR="0078138E" w:rsidRPr="009B509D" w14:paraId="2F90BD0E" w14:textId="77777777" w:rsidTr="00701C32">
        <w:tc>
          <w:tcPr>
            <w:tcW w:w="1250" w:type="pct"/>
            <w:tcBorders>
              <w:top w:val="single" w:sz="4" w:space="0" w:color="auto"/>
              <w:left w:val="single" w:sz="4" w:space="0" w:color="auto"/>
              <w:bottom w:val="single" w:sz="4" w:space="0" w:color="auto"/>
              <w:right w:val="single" w:sz="4" w:space="0" w:color="auto"/>
            </w:tcBorders>
            <w:hideMark/>
          </w:tcPr>
          <w:p w14:paraId="0C30BC8F" w14:textId="77777777" w:rsidR="0078138E" w:rsidRPr="009B509D" w:rsidRDefault="0078138E" w:rsidP="00701C32">
            <w:pPr>
              <w:rPr>
                <w:sz w:val="24"/>
                <w:szCs w:val="24"/>
                <w:lang w:val="en-GB"/>
              </w:rPr>
            </w:pPr>
            <w:r w:rsidRPr="009B509D">
              <w:rPr>
                <w:sz w:val="24"/>
                <w:szCs w:val="24"/>
                <w:lang w:val="en-GB"/>
              </w:rPr>
              <w:t>Probability of maintaining primary response</w:t>
            </w:r>
          </w:p>
        </w:tc>
        <w:tc>
          <w:tcPr>
            <w:tcW w:w="1250" w:type="pct"/>
            <w:tcBorders>
              <w:top w:val="single" w:sz="4" w:space="0" w:color="auto"/>
              <w:left w:val="single" w:sz="4" w:space="0" w:color="auto"/>
              <w:bottom w:val="single" w:sz="4" w:space="0" w:color="auto"/>
              <w:right w:val="single" w:sz="4" w:space="0" w:color="auto"/>
            </w:tcBorders>
            <w:hideMark/>
          </w:tcPr>
          <w:p w14:paraId="44BE7B96" w14:textId="77777777" w:rsidR="0078138E" w:rsidRPr="009B509D" w:rsidRDefault="0078138E" w:rsidP="00727BD8">
            <w:pPr>
              <w:jc w:val="center"/>
              <w:rPr>
                <w:sz w:val="24"/>
                <w:szCs w:val="24"/>
                <w:lang w:val="en-GB"/>
              </w:rPr>
            </w:pPr>
            <w:r w:rsidRPr="009B509D">
              <w:rPr>
                <w:sz w:val="24"/>
                <w:szCs w:val="24"/>
                <w:lang w:val="en-GB"/>
              </w:rPr>
              <w:t>n/a</w:t>
            </w:r>
          </w:p>
        </w:tc>
        <w:tc>
          <w:tcPr>
            <w:tcW w:w="1250" w:type="pct"/>
            <w:tcBorders>
              <w:top w:val="single" w:sz="4" w:space="0" w:color="auto"/>
              <w:left w:val="single" w:sz="4" w:space="0" w:color="auto"/>
              <w:bottom w:val="single" w:sz="4" w:space="0" w:color="auto"/>
              <w:right w:val="single" w:sz="4" w:space="0" w:color="auto"/>
            </w:tcBorders>
            <w:hideMark/>
          </w:tcPr>
          <w:p w14:paraId="5A9807D3" w14:textId="77777777" w:rsidR="0078138E" w:rsidRPr="009B509D" w:rsidRDefault="0078138E" w:rsidP="00727BD8">
            <w:pPr>
              <w:jc w:val="center"/>
              <w:rPr>
                <w:sz w:val="24"/>
                <w:szCs w:val="24"/>
                <w:lang w:val="en-GB"/>
              </w:rPr>
            </w:pPr>
            <w:r w:rsidRPr="009B509D">
              <w:rPr>
                <w:sz w:val="24"/>
                <w:szCs w:val="24"/>
                <w:lang w:val="en-GB"/>
              </w:rPr>
              <w:t>92%</w:t>
            </w:r>
          </w:p>
        </w:tc>
        <w:tc>
          <w:tcPr>
            <w:tcW w:w="1250" w:type="pct"/>
            <w:tcBorders>
              <w:top w:val="single" w:sz="4" w:space="0" w:color="auto"/>
              <w:left w:val="single" w:sz="4" w:space="0" w:color="auto"/>
              <w:bottom w:val="single" w:sz="4" w:space="0" w:color="auto"/>
              <w:right w:val="single" w:sz="4" w:space="0" w:color="auto"/>
            </w:tcBorders>
            <w:hideMark/>
          </w:tcPr>
          <w:p w14:paraId="15711DCB" w14:textId="77777777" w:rsidR="0078138E" w:rsidRPr="009B509D" w:rsidRDefault="0078138E" w:rsidP="00727BD8">
            <w:pPr>
              <w:jc w:val="center"/>
              <w:rPr>
                <w:sz w:val="24"/>
                <w:szCs w:val="24"/>
                <w:lang w:val="en-GB"/>
              </w:rPr>
            </w:pPr>
            <w:r w:rsidRPr="009B509D">
              <w:rPr>
                <w:sz w:val="24"/>
                <w:szCs w:val="24"/>
                <w:lang w:val="en-GB"/>
              </w:rPr>
              <w:t>74%</w:t>
            </w:r>
          </w:p>
        </w:tc>
      </w:tr>
      <w:tr w:rsidR="0078138E" w:rsidRPr="009B509D" w14:paraId="2F472515" w14:textId="77777777" w:rsidTr="00701C32">
        <w:tc>
          <w:tcPr>
            <w:tcW w:w="5000" w:type="pct"/>
            <w:gridSpan w:val="4"/>
            <w:tcBorders>
              <w:top w:val="single" w:sz="4" w:space="0" w:color="auto"/>
              <w:left w:val="single" w:sz="4" w:space="0" w:color="auto"/>
              <w:bottom w:val="single" w:sz="4" w:space="0" w:color="auto"/>
              <w:right w:val="single" w:sz="4" w:space="0" w:color="auto"/>
            </w:tcBorders>
            <w:hideMark/>
          </w:tcPr>
          <w:p w14:paraId="5EB1806D" w14:textId="77777777" w:rsidR="0078138E" w:rsidRPr="009B509D" w:rsidRDefault="0078138E" w:rsidP="00701C32">
            <w:pPr>
              <w:rPr>
                <w:sz w:val="24"/>
                <w:szCs w:val="24"/>
                <w:lang w:val="en-GB"/>
              </w:rPr>
            </w:pPr>
            <w:r w:rsidRPr="009B509D">
              <w:rPr>
                <w:sz w:val="24"/>
                <w:szCs w:val="24"/>
                <w:lang w:val="en-GB"/>
              </w:rPr>
              <w:t>* According to the primary response composite endpoint criteria: absence of phlebotomy eligibility (HCT control) and a ≥35% reduction in spleen volume from baseline.</w:t>
            </w:r>
          </w:p>
          <w:p w14:paraId="5A98B43B" w14:textId="77777777" w:rsidR="0078138E" w:rsidRPr="009B509D" w:rsidRDefault="0078138E" w:rsidP="00701C32">
            <w:pPr>
              <w:rPr>
                <w:sz w:val="24"/>
                <w:szCs w:val="24"/>
                <w:lang w:val="en-GB"/>
              </w:rPr>
            </w:pPr>
            <w:r w:rsidRPr="009B509D">
              <w:rPr>
                <w:sz w:val="24"/>
                <w:szCs w:val="24"/>
                <w:lang w:val="en-GB"/>
              </w:rPr>
              <w:t>n/a: not applicable</w:t>
            </w:r>
          </w:p>
        </w:tc>
      </w:tr>
    </w:tbl>
    <w:p w14:paraId="576674D0" w14:textId="77777777" w:rsidR="0078138E" w:rsidRPr="0078138E" w:rsidRDefault="0078138E" w:rsidP="0078138E">
      <w:pPr>
        <w:tabs>
          <w:tab w:val="left" w:pos="851"/>
        </w:tabs>
        <w:ind w:left="851"/>
        <w:rPr>
          <w:sz w:val="24"/>
          <w:szCs w:val="24"/>
          <w:lang w:val="en-GB"/>
        </w:rPr>
      </w:pPr>
    </w:p>
    <w:p w14:paraId="109C35C5" w14:textId="77777777" w:rsidR="0078138E" w:rsidRPr="0078138E" w:rsidRDefault="0078138E" w:rsidP="00701C32">
      <w:pPr>
        <w:ind w:left="851"/>
        <w:rPr>
          <w:sz w:val="24"/>
          <w:szCs w:val="24"/>
          <w:lang w:val="en-GB"/>
        </w:rPr>
      </w:pPr>
      <w:r w:rsidRPr="0078138E">
        <w:rPr>
          <w:sz w:val="24"/>
          <w:szCs w:val="24"/>
          <w:lang w:val="en-GB"/>
        </w:rPr>
        <w:t xml:space="preserve">A second randomised, open label, active-controlled phase 3b study (RESPONSE 2) was conducted in 149 PV patients who were resistant to, or intolerant of, hydroxyurea but without palpable splenomegaly. The primary endpoint defined as the proportion of patients achieving HCT control (absence of phlebotomy eligibility) at week 28 was met (62.2% in the </w:t>
      </w:r>
      <w:proofErr w:type="spellStart"/>
      <w:r w:rsidRPr="0078138E">
        <w:rPr>
          <w:sz w:val="24"/>
          <w:szCs w:val="24"/>
          <w:lang w:val="en-GB"/>
        </w:rPr>
        <w:t>ruxolitinib</w:t>
      </w:r>
      <w:proofErr w:type="spellEnd"/>
      <w:r w:rsidRPr="0078138E">
        <w:rPr>
          <w:sz w:val="24"/>
          <w:szCs w:val="24"/>
          <w:lang w:val="en-GB"/>
        </w:rPr>
        <w:t xml:space="preserve"> arm versus 18.7% in the BAT arm). The key secondary endpoint defined as the proportion of patients achieving complete haematological remission at week 28 was also met (23.0% in the </w:t>
      </w:r>
      <w:proofErr w:type="spellStart"/>
      <w:r w:rsidRPr="0078138E">
        <w:rPr>
          <w:sz w:val="24"/>
          <w:szCs w:val="24"/>
          <w:lang w:val="en-GB"/>
        </w:rPr>
        <w:t>ruxolitinib</w:t>
      </w:r>
      <w:proofErr w:type="spellEnd"/>
      <w:r w:rsidRPr="0078138E">
        <w:rPr>
          <w:sz w:val="24"/>
          <w:szCs w:val="24"/>
          <w:lang w:val="en-GB"/>
        </w:rPr>
        <w:t xml:space="preserve"> arm versus 5.3% in the BAT arm).</w:t>
      </w:r>
    </w:p>
    <w:p w14:paraId="53C770C0" w14:textId="77777777" w:rsidR="0078138E" w:rsidRPr="0078138E" w:rsidRDefault="0078138E" w:rsidP="00701C32">
      <w:pPr>
        <w:ind w:left="851"/>
        <w:rPr>
          <w:sz w:val="24"/>
          <w:szCs w:val="24"/>
          <w:lang w:val="en-GB"/>
        </w:rPr>
      </w:pPr>
    </w:p>
    <w:p w14:paraId="253D59B5" w14:textId="77777777" w:rsidR="0078138E" w:rsidRPr="0078138E" w:rsidRDefault="0078138E" w:rsidP="00701C32">
      <w:pPr>
        <w:ind w:left="851"/>
        <w:rPr>
          <w:sz w:val="24"/>
          <w:szCs w:val="24"/>
          <w:lang w:val="en-GB"/>
        </w:rPr>
      </w:pPr>
      <w:r w:rsidRPr="0078138E">
        <w:rPr>
          <w:i/>
          <w:iCs/>
          <w:sz w:val="24"/>
          <w:szCs w:val="24"/>
          <w:u w:val="single"/>
          <w:lang w:val="en-GB"/>
        </w:rPr>
        <w:t>Graft-versus-host disease</w:t>
      </w:r>
    </w:p>
    <w:p w14:paraId="3DA73412" w14:textId="77777777" w:rsidR="0078138E" w:rsidRPr="0078138E" w:rsidRDefault="0078138E" w:rsidP="00701C32">
      <w:pPr>
        <w:ind w:left="851"/>
        <w:rPr>
          <w:sz w:val="24"/>
          <w:szCs w:val="24"/>
          <w:lang w:val="en-GB"/>
        </w:rPr>
      </w:pPr>
      <w:r w:rsidRPr="0078138E">
        <w:rPr>
          <w:sz w:val="24"/>
          <w:szCs w:val="24"/>
          <w:lang w:val="en-GB"/>
        </w:rPr>
        <w:t xml:space="preserve">Two randomised phase 3, open-label, multi-centre studies investigated </w:t>
      </w:r>
      <w:proofErr w:type="spellStart"/>
      <w:r w:rsidRPr="0078138E">
        <w:rPr>
          <w:sz w:val="24"/>
          <w:szCs w:val="24"/>
          <w:lang w:val="en-GB"/>
        </w:rPr>
        <w:t>ruxolitinib</w:t>
      </w:r>
      <w:proofErr w:type="spellEnd"/>
      <w:r w:rsidRPr="0078138E">
        <w:rPr>
          <w:sz w:val="24"/>
          <w:szCs w:val="24"/>
          <w:lang w:val="en-GB"/>
        </w:rPr>
        <w:t xml:space="preserve"> in patients 12 years of age and older with acute GvHD (REACH2) and chronic GvHD (REACH3) after allogeneic haematopoietic stem cell transplantation (</w:t>
      </w:r>
      <w:proofErr w:type="spellStart"/>
      <w:r w:rsidRPr="0078138E">
        <w:rPr>
          <w:sz w:val="24"/>
          <w:szCs w:val="24"/>
          <w:lang w:val="en-GB"/>
        </w:rPr>
        <w:t>alloSCT</w:t>
      </w:r>
      <w:proofErr w:type="spellEnd"/>
      <w:r w:rsidRPr="0078138E">
        <w:rPr>
          <w:sz w:val="24"/>
          <w:szCs w:val="24"/>
          <w:lang w:val="en-GB"/>
        </w:rPr>
        <w:t xml:space="preserve">) and insufficient response to corticosteroids and/or other systemic therapies. The starting dose of </w:t>
      </w:r>
      <w:proofErr w:type="spellStart"/>
      <w:r w:rsidRPr="0078138E">
        <w:rPr>
          <w:sz w:val="24"/>
          <w:szCs w:val="24"/>
          <w:lang w:val="en-GB"/>
        </w:rPr>
        <w:t>ruxolitinib</w:t>
      </w:r>
      <w:proofErr w:type="spellEnd"/>
      <w:r w:rsidRPr="0078138E">
        <w:rPr>
          <w:sz w:val="24"/>
          <w:szCs w:val="24"/>
          <w:lang w:val="en-GB"/>
        </w:rPr>
        <w:t xml:space="preserve"> was 10 mg twice daily.</w:t>
      </w:r>
    </w:p>
    <w:p w14:paraId="52855CAC" w14:textId="77777777" w:rsidR="0078138E" w:rsidRPr="0078138E" w:rsidRDefault="0078138E" w:rsidP="00701C32">
      <w:pPr>
        <w:ind w:left="851"/>
        <w:rPr>
          <w:sz w:val="24"/>
          <w:szCs w:val="24"/>
          <w:lang w:val="en-GB"/>
        </w:rPr>
      </w:pPr>
    </w:p>
    <w:p w14:paraId="61410CEC" w14:textId="77777777" w:rsidR="0078138E" w:rsidRPr="0078138E" w:rsidRDefault="0078138E" w:rsidP="00701C32">
      <w:pPr>
        <w:ind w:left="851"/>
        <w:rPr>
          <w:sz w:val="24"/>
          <w:szCs w:val="24"/>
          <w:lang w:val="en-GB"/>
        </w:rPr>
      </w:pPr>
      <w:r w:rsidRPr="0078138E">
        <w:rPr>
          <w:i/>
          <w:iCs/>
          <w:sz w:val="24"/>
          <w:szCs w:val="24"/>
          <w:lang w:val="en-GB"/>
        </w:rPr>
        <w:t>Acute graft-versus-host disease</w:t>
      </w:r>
    </w:p>
    <w:p w14:paraId="17999CCB" w14:textId="77777777" w:rsidR="0078138E" w:rsidRPr="0078138E" w:rsidRDefault="0078138E" w:rsidP="00701C32">
      <w:pPr>
        <w:ind w:left="851"/>
        <w:rPr>
          <w:sz w:val="24"/>
          <w:szCs w:val="24"/>
          <w:lang w:val="en-GB"/>
        </w:rPr>
      </w:pPr>
      <w:r w:rsidRPr="0078138E">
        <w:rPr>
          <w:sz w:val="24"/>
          <w:szCs w:val="24"/>
          <w:lang w:val="en-GB"/>
        </w:rPr>
        <w:t xml:space="preserve">In REACH2, 309 patients with grade II to IV corticosteroid-refractory, acute GvHD were randomised 1:1 to </w:t>
      </w:r>
      <w:proofErr w:type="spellStart"/>
      <w:r w:rsidRPr="0078138E">
        <w:rPr>
          <w:sz w:val="24"/>
          <w:szCs w:val="24"/>
          <w:lang w:val="en-GB"/>
        </w:rPr>
        <w:t>ruxolitinib</w:t>
      </w:r>
      <w:proofErr w:type="spellEnd"/>
      <w:r w:rsidRPr="0078138E">
        <w:rPr>
          <w:sz w:val="24"/>
          <w:szCs w:val="24"/>
          <w:lang w:val="en-GB"/>
        </w:rPr>
        <w:t xml:space="preserve"> or BAT. Patients were stratified by severity of acute GvHD at the time of randomisation. Corticosteroid refractoriness was determined when patients had progression after at least 3 days, failed to achieve a response after 7 days or failed corticosteroid taper.</w:t>
      </w:r>
    </w:p>
    <w:p w14:paraId="7B20D02A" w14:textId="77777777" w:rsidR="0078138E" w:rsidRPr="0078138E" w:rsidRDefault="0078138E" w:rsidP="00701C32">
      <w:pPr>
        <w:ind w:left="851"/>
        <w:rPr>
          <w:sz w:val="24"/>
          <w:szCs w:val="24"/>
          <w:lang w:val="en-GB"/>
        </w:rPr>
      </w:pPr>
    </w:p>
    <w:p w14:paraId="34DED2D8" w14:textId="77777777" w:rsidR="0078138E" w:rsidRPr="0078138E" w:rsidRDefault="0078138E" w:rsidP="00701C32">
      <w:pPr>
        <w:ind w:left="851"/>
        <w:rPr>
          <w:sz w:val="24"/>
          <w:szCs w:val="24"/>
          <w:lang w:val="en-GB"/>
        </w:rPr>
      </w:pPr>
      <w:r w:rsidRPr="0078138E">
        <w:rPr>
          <w:sz w:val="24"/>
          <w:szCs w:val="24"/>
          <w:lang w:val="en-GB"/>
        </w:rPr>
        <w:t>BAT was selected by the investigator on a patient-by-patient basis and included anti-thymocyte globulin (ATG), extracorporeal photopheresis (ECP), mesenchymal stromal cells (MSC), low dose methotrexate (MTX), mycophenolate mofetil (MMF), mTOR inhibitors (</w:t>
      </w:r>
      <w:proofErr w:type="spellStart"/>
      <w:r w:rsidRPr="0078138E">
        <w:rPr>
          <w:sz w:val="24"/>
          <w:szCs w:val="24"/>
          <w:lang w:val="en-GB"/>
        </w:rPr>
        <w:t>everolimus</w:t>
      </w:r>
      <w:proofErr w:type="spellEnd"/>
      <w:r w:rsidRPr="0078138E">
        <w:rPr>
          <w:sz w:val="24"/>
          <w:szCs w:val="24"/>
          <w:lang w:val="en-GB"/>
        </w:rPr>
        <w:t xml:space="preserve"> or sirolimus), etanercept, or infliximab.</w:t>
      </w:r>
    </w:p>
    <w:p w14:paraId="634B7E69" w14:textId="77777777" w:rsidR="0078138E" w:rsidRPr="0078138E" w:rsidRDefault="0078138E" w:rsidP="00701C32">
      <w:pPr>
        <w:ind w:left="851"/>
        <w:rPr>
          <w:sz w:val="24"/>
          <w:szCs w:val="24"/>
          <w:lang w:val="en-GB"/>
        </w:rPr>
      </w:pPr>
    </w:p>
    <w:p w14:paraId="623D6918" w14:textId="77777777" w:rsidR="0078138E" w:rsidRPr="0078138E" w:rsidRDefault="0078138E" w:rsidP="00701C32">
      <w:pPr>
        <w:ind w:left="851"/>
        <w:rPr>
          <w:sz w:val="24"/>
          <w:szCs w:val="24"/>
          <w:lang w:val="en-GB"/>
        </w:rPr>
      </w:pPr>
      <w:r w:rsidRPr="0078138E">
        <w:rPr>
          <w:sz w:val="24"/>
          <w:szCs w:val="24"/>
          <w:lang w:val="en-GB"/>
        </w:rPr>
        <w:t xml:space="preserve">In addition to </w:t>
      </w:r>
      <w:proofErr w:type="spellStart"/>
      <w:r w:rsidRPr="0078138E">
        <w:rPr>
          <w:sz w:val="24"/>
          <w:szCs w:val="24"/>
          <w:lang w:val="en-GB"/>
        </w:rPr>
        <w:t>ruxolitinib</w:t>
      </w:r>
      <w:proofErr w:type="spellEnd"/>
      <w:r w:rsidRPr="0078138E">
        <w:rPr>
          <w:sz w:val="24"/>
          <w:szCs w:val="24"/>
          <w:lang w:val="en-GB"/>
        </w:rPr>
        <w:t xml:space="preserve"> or BAT, patients could have received standard allogeneic stem cell transplantation supportive care including anti-infective medicinal products and transfusion support. </w:t>
      </w:r>
      <w:proofErr w:type="spellStart"/>
      <w:r w:rsidRPr="0078138E">
        <w:rPr>
          <w:sz w:val="24"/>
          <w:szCs w:val="24"/>
          <w:lang w:val="en-GB"/>
        </w:rPr>
        <w:t>Ruxolitinib</w:t>
      </w:r>
      <w:proofErr w:type="spellEnd"/>
      <w:r w:rsidRPr="0078138E">
        <w:rPr>
          <w:sz w:val="24"/>
          <w:szCs w:val="24"/>
          <w:lang w:val="en-GB"/>
        </w:rPr>
        <w:t xml:space="preserve"> was added to continued use of corticosteroids and/or calcineurin inhibitors (CNIs) such as cyclosporine or tacrolimus and/or topical or inhaled corticosteroid therapies per institutional guidelines.</w:t>
      </w:r>
    </w:p>
    <w:p w14:paraId="68F5AD96" w14:textId="77777777" w:rsidR="0078138E" w:rsidRPr="0078138E" w:rsidRDefault="0078138E" w:rsidP="00701C32">
      <w:pPr>
        <w:ind w:left="851"/>
        <w:rPr>
          <w:sz w:val="24"/>
          <w:szCs w:val="24"/>
          <w:lang w:val="en-GB"/>
        </w:rPr>
      </w:pPr>
      <w:r w:rsidRPr="0078138E">
        <w:rPr>
          <w:sz w:val="24"/>
          <w:szCs w:val="24"/>
          <w:lang w:val="en-GB"/>
        </w:rPr>
        <w:t>Patients who received one prior systemic treatment other than corticosteroids and CNI for acute GvHD were eligible for inclusion in the study. In addition to corticosteroids and CNI, prior systemic medicinal product for acute GvHD was allowed to continue only if used for acute GvHD prophylaxis (i.e. started before the acute GvHD diagnosis) as per common medical practice.</w:t>
      </w:r>
    </w:p>
    <w:p w14:paraId="3411349A" w14:textId="77777777" w:rsidR="0078138E" w:rsidRPr="0078138E" w:rsidRDefault="0078138E" w:rsidP="00701C32">
      <w:pPr>
        <w:ind w:left="851"/>
        <w:rPr>
          <w:sz w:val="24"/>
          <w:szCs w:val="24"/>
          <w:lang w:val="en-GB"/>
        </w:rPr>
      </w:pPr>
    </w:p>
    <w:p w14:paraId="131BBB02" w14:textId="77777777" w:rsidR="0078138E" w:rsidRPr="0078138E" w:rsidRDefault="0078138E" w:rsidP="00701C32">
      <w:pPr>
        <w:ind w:left="851"/>
        <w:rPr>
          <w:sz w:val="24"/>
          <w:szCs w:val="24"/>
          <w:lang w:val="en-GB"/>
        </w:rPr>
      </w:pPr>
      <w:r w:rsidRPr="0078138E">
        <w:rPr>
          <w:sz w:val="24"/>
          <w:szCs w:val="24"/>
          <w:lang w:val="en-GB"/>
        </w:rPr>
        <w:t xml:space="preserve">Patients on BAT could cross over to </w:t>
      </w:r>
      <w:proofErr w:type="spellStart"/>
      <w:r w:rsidRPr="0078138E">
        <w:rPr>
          <w:sz w:val="24"/>
          <w:szCs w:val="24"/>
          <w:lang w:val="en-GB"/>
        </w:rPr>
        <w:t>ruxolitinib</w:t>
      </w:r>
      <w:proofErr w:type="spellEnd"/>
      <w:r w:rsidRPr="0078138E">
        <w:rPr>
          <w:sz w:val="24"/>
          <w:szCs w:val="24"/>
          <w:lang w:val="en-GB"/>
        </w:rPr>
        <w:t xml:space="preserve"> after day 28 if they met the following criteria:</w:t>
      </w:r>
    </w:p>
    <w:p w14:paraId="29E20502" w14:textId="66AD0CAC" w:rsidR="0078138E" w:rsidRPr="00FF685B" w:rsidRDefault="0078138E" w:rsidP="00FF685B">
      <w:pPr>
        <w:pStyle w:val="Listeafsnit"/>
        <w:numPr>
          <w:ilvl w:val="0"/>
          <w:numId w:val="5"/>
        </w:numPr>
        <w:ind w:left="1276" w:hanging="425"/>
        <w:rPr>
          <w:sz w:val="24"/>
          <w:szCs w:val="24"/>
          <w:lang w:val="en-GB"/>
        </w:rPr>
      </w:pPr>
      <w:r w:rsidRPr="00FF685B">
        <w:rPr>
          <w:sz w:val="24"/>
          <w:szCs w:val="24"/>
          <w:lang w:val="en-GB"/>
        </w:rPr>
        <w:t xml:space="preserve">Failed to meet the primary endpoint response definition (complete response [CR] or partial response [PR]) at day </w:t>
      </w:r>
      <w:proofErr w:type="gramStart"/>
      <w:r w:rsidRPr="00FF685B">
        <w:rPr>
          <w:sz w:val="24"/>
          <w:szCs w:val="24"/>
          <w:lang w:val="en-GB"/>
        </w:rPr>
        <w:t>28;</w:t>
      </w:r>
      <w:proofErr w:type="gramEnd"/>
      <w:r w:rsidRPr="00FF685B">
        <w:rPr>
          <w:sz w:val="24"/>
          <w:szCs w:val="24"/>
          <w:lang w:val="en-GB"/>
        </w:rPr>
        <w:t xml:space="preserve"> OR</w:t>
      </w:r>
    </w:p>
    <w:p w14:paraId="5EE6E9ED" w14:textId="7DBAF704" w:rsidR="0078138E" w:rsidRPr="00FF685B" w:rsidRDefault="0078138E" w:rsidP="00FF685B">
      <w:pPr>
        <w:pStyle w:val="Listeafsnit"/>
        <w:numPr>
          <w:ilvl w:val="0"/>
          <w:numId w:val="5"/>
        </w:numPr>
        <w:ind w:left="1276" w:hanging="425"/>
        <w:rPr>
          <w:sz w:val="24"/>
          <w:szCs w:val="24"/>
          <w:lang w:val="en-GB"/>
        </w:rPr>
      </w:pPr>
      <w:r w:rsidRPr="00FF685B">
        <w:rPr>
          <w:sz w:val="24"/>
          <w:szCs w:val="24"/>
          <w:lang w:val="en-GB"/>
        </w:rPr>
        <w:t>Lost the response thereafter and met criteria for progression, mixed response, or no response, necessitating new additional systemic immunosuppressive treatment for acute GvHD, AND</w:t>
      </w:r>
    </w:p>
    <w:p w14:paraId="5BA91EE2" w14:textId="502F08C6" w:rsidR="0078138E" w:rsidRPr="00FF685B" w:rsidRDefault="0078138E" w:rsidP="00FF685B">
      <w:pPr>
        <w:pStyle w:val="Listeafsnit"/>
        <w:numPr>
          <w:ilvl w:val="0"/>
          <w:numId w:val="5"/>
        </w:numPr>
        <w:ind w:left="1276" w:hanging="425"/>
        <w:rPr>
          <w:sz w:val="24"/>
          <w:szCs w:val="24"/>
          <w:lang w:val="en-GB"/>
        </w:rPr>
      </w:pPr>
      <w:r w:rsidRPr="00FF685B">
        <w:rPr>
          <w:sz w:val="24"/>
          <w:szCs w:val="24"/>
          <w:lang w:val="en-GB"/>
        </w:rPr>
        <w:t>Did not have signs/symptoms of chronic GvHD.</w:t>
      </w:r>
    </w:p>
    <w:p w14:paraId="0212B2A0" w14:textId="77777777" w:rsidR="0078138E" w:rsidRPr="0078138E" w:rsidRDefault="0078138E" w:rsidP="00701C32">
      <w:pPr>
        <w:ind w:left="851"/>
        <w:rPr>
          <w:sz w:val="24"/>
          <w:szCs w:val="24"/>
          <w:lang w:val="en-GB"/>
        </w:rPr>
      </w:pPr>
    </w:p>
    <w:p w14:paraId="225B5488" w14:textId="77777777" w:rsidR="0078138E" w:rsidRPr="0078138E" w:rsidRDefault="0078138E" w:rsidP="00701C32">
      <w:pPr>
        <w:ind w:left="851"/>
        <w:rPr>
          <w:sz w:val="24"/>
          <w:szCs w:val="24"/>
          <w:lang w:val="en-GB"/>
        </w:rPr>
      </w:pPr>
      <w:r w:rsidRPr="0078138E">
        <w:rPr>
          <w:sz w:val="24"/>
          <w:szCs w:val="24"/>
          <w:lang w:val="en-GB"/>
        </w:rPr>
        <w:t xml:space="preserve">Tapering of </w:t>
      </w:r>
      <w:proofErr w:type="spellStart"/>
      <w:r w:rsidRPr="0078138E">
        <w:rPr>
          <w:sz w:val="24"/>
          <w:szCs w:val="24"/>
          <w:lang w:val="en-GB"/>
        </w:rPr>
        <w:t>ruxolitinib</w:t>
      </w:r>
      <w:proofErr w:type="spellEnd"/>
      <w:r w:rsidRPr="0078138E">
        <w:rPr>
          <w:sz w:val="24"/>
          <w:szCs w:val="24"/>
          <w:lang w:val="en-GB"/>
        </w:rPr>
        <w:t xml:space="preserve"> was allowed after the day 56 visit for patients with treatment response.</w:t>
      </w:r>
    </w:p>
    <w:p w14:paraId="24C6A5ED" w14:textId="77777777" w:rsidR="0078138E" w:rsidRPr="0078138E" w:rsidRDefault="0078138E" w:rsidP="00701C32">
      <w:pPr>
        <w:ind w:left="851"/>
        <w:rPr>
          <w:sz w:val="24"/>
          <w:szCs w:val="24"/>
          <w:lang w:val="en-GB"/>
        </w:rPr>
      </w:pPr>
    </w:p>
    <w:p w14:paraId="73D82845" w14:textId="77777777" w:rsidR="0078138E" w:rsidRPr="0078138E" w:rsidRDefault="0078138E" w:rsidP="00701C32">
      <w:pPr>
        <w:ind w:left="851"/>
        <w:rPr>
          <w:sz w:val="24"/>
          <w:szCs w:val="24"/>
          <w:lang w:val="en-GB"/>
        </w:rPr>
      </w:pPr>
      <w:r w:rsidRPr="0078138E">
        <w:rPr>
          <w:sz w:val="24"/>
          <w:szCs w:val="24"/>
          <w:lang w:val="en-GB"/>
        </w:rPr>
        <w:t xml:space="preserve">Baseline demographics and disease characteristics were balanced between the two treatment arms. The median age was 54 years (range 12 to 73 years). The study included 2.9% adolescent, 59.2% male and 68.9% white patients. </w:t>
      </w:r>
      <w:proofErr w:type="gramStart"/>
      <w:r w:rsidRPr="0078138E">
        <w:rPr>
          <w:sz w:val="24"/>
          <w:szCs w:val="24"/>
          <w:lang w:val="en-GB"/>
        </w:rPr>
        <w:t>The majority of</w:t>
      </w:r>
      <w:proofErr w:type="gramEnd"/>
      <w:r w:rsidRPr="0078138E">
        <w:rPr>
          <w:sz w:val="24"/>
          <w:szCs w:val="24"/>
          <w:lang w:val="en-GB"/>
        </w:rPr>
        <w:t xml:space="preserve"> enrolled patients had malignant underlying disease.</w:t>
      </w:r>
    </w:p>
    <w:p w14:paraId="468DE197" w14:textId="77777777" w:rsidR="0078138E" w:rsidRPr="0078138E" w:rsidRDefault="0078138E" w:rsidP="00701C32">
      <w:pPr>
        <w:ind w:left="851"/>
        <w:rPr>
          <w:sz w:val="24"/>
          <w:szCs w:val="24"/>
          <w:lang w:val="en-GB"/>
        </w:rPr>
      </w:pPr>
    </w:p>
    <w:p w14:paraId="4C1447E1" w14:textId="77777777" w:rsidR="0078138E" w:rsidRPr="0078138E" w:rsidRDefault="0078138E" w:rsidP="00701C32">
      <w:pPr>
        <w:ind w:left="851"/>
        <w:rPr>
          <w:sz w:val="24"/>
          <w:szCs w:val="24"/>
          <w:lang w:val="en-GB"/>
        </w:rPr>
      </w:pPr>
      <w:r w:rsidRPr="0078138E">
        <w:rPr>
          <w:sz w:val="24"/>
          <w:szCs w:val="24"/>
          <w:lang w:val="en-GB"/>
        </w:rPr>
        <w:t xml:space="preserve">The severity of acute GvHD was grade II in 34% and 34%, grade III in 46% and 47%, and grade IV in 20% and 19% of the </w:t>
      </w:r>
      <w:proofErr w:type="spellStart"/>
      <w:r w:rsidRPr="0078138E">
        <w:rPr>
          <w:sz w:val="24"/>
          <w:szCs w:val="24"/>
          <w:lang w:val="en-GB"/>
        </w:rPr>
        <w:t>ruxolitinib</w:t>
      </w:r>
      <w:proofErr w:type="spellEnd"/>
      <w:r w:rsidRPr="0078138E">
        <w:rPr>
          <w:sz w:val="24"/>
          <w:szCs w:val="24"/>
          <w:lang w:val="en-GB"/>
        </w:rPr>
        <w:t xml:space="preserve"> and BAT arms, respectively.</w:t>
      </w:r>
    </w:p>
    <w:p w14:paraId="41165D67" w14:textId="77777777" w:rsidR="0078138E" w:rsidRPr="0078138E" w:rsidRDefault="0078138E" w:rsidP="00701C32">
      <w:pPr>
        <w:ind w:left="851"/>
        <w:rPr>
          <w:sz w:val="24"/>
          <w:szCs w:val="24"/>
          <w:lang w:val="en-GB"/>
        </w:rPr>
      </w:pPr>
    </w:p>
    <w:p w14:paraId="120A0A05" w14:textId="77777777" w:rsidR="0078138E" w:rsidRPr="0078138E" w:rsidRDefault="0078138E" w:rsidP="00701C32">
      <w:pPr>
        <w:ind w:left="851"/>
        <w:rPr>
          <w:sz w:val="24"/>
          <w:szCs w:val="24"/>
          <w:lang w:val="en-GB"/>
        </w:rPr>
      </w:pPr>
      <w:r w:rsidRPr="0078138E">
        <w:rPr>
          <w:sz w:val="24"/>
          <w:szCs w:val="24"/>
          <w:lang w:val="en-GB"/>
        </w:rPr>
        <w:t xml:space="preserve">The reasons for patients’ insufficient response to corticosteroids in the </w:t>
      </w:r>
      <w:proofErr w:type="spellStart"/>
      <w:r w:rsidRPr="0078138E">
        <w:rPr>
          <w:sz w:val="24"/>
          <w:szCs w:val="24"/>
          <w:lang w:val="en-GB"/>
        </w:rPr>
        <w:t>ruxolitinib</w:t>
      </w:r>
      <w:proofErr w:type="spellEnd"/>
      <w:r w:rsidRPr="0078138E">
        <w:rPr>
          <w:sz w:val="24"/>
          <w:szCs w:val="24"/>
          <w:lang w:val="en-GB"/>
        </w:rPr>
        <w:t xml:space="preserve"> and BAT arms were i) failure in achieving a response after 7 days of corticosteroid treatment (46.8% and 40.6%, respectively), ii) failure of corticosteroid taper (30.5% and 31.6%, respectively) or iii) disease progression after 3 days of treatment (22.7% and 27.7%, respectively).</w:t>
      </w:r>
    </w:p>
    <w:p w14:paraId="262F0DE0" w14:textId="77777777" w:rsidR="0078138E" w:rsidRPr="0078138E" w:rsidRDefault="0078138E" w:rsidP="00701C32">
      <w:pPr>
        <w:ind w:left="851"/>
        <w:rPr>
          <w:sz w:val="24"/>
          <w:szCs w:val="24"/>
          <w:lang w:val="en-GB"/>
        </w:rPr>
      </w:pPr>
    </w:p>
    <w:p w14:paraId="76341CB8" w14:textId="77777777" w:rsidR="0078138E" w:rsidRPr="0078138E" w:rsidRDefault="0078138E" w:rsidP="00701C32">
      <w:pPr>
        <w:ind w:left="851"/>
        <w:rPr>
          <w:sz w:val="24"/>
          <w:szCs w:val="24"/>
          <w:lang w:val="en-GB"/>
        </w:rPr>
      </w:pPr>
      <w:r w:rsidRPr="0078138E">
        <w:rPr>
          <w:sz w:val="24"/>
          <w:szCs w:val="24"/>
          <w:lang w:val="en-GB"/>
        </w:rPr>
        <w:t xml:space="preserve">Among all patients, the most common organs involved in acute GvHD were skin (54.0%) and lower gastrointestinal tract (68.3%). More patients in the </w:t>
      </w:r>
      <w:proofErr w:type="spellStart"/>
      <w:r w:rsidRPr="0078138E">
        <w:rPr>
          <w:sz w:val="24"/>
          <w:szCs w:val="24"/>
          <w:lang w:val="en-GB"/>
        </w:rPr>
        <w:t>ruxolitinib</w:t>
      </w:r>
      <w:proofErr w:type="spellEnd"/>
      <w:r w:rsidRPr="0078138E">
        <w:rPr>
          <w:sz w:val="24"/>
          <w:szCs w:val="24"/>
          <w:lang w:val="en-GB"/>
        </w:rPr>
        <w:t xml:space="preserve"> arm had acute GvHD involving skin (60.4%) and liver (23.4%), compared to the BAT arm (skin: 47.7% and liver: 16.1%).</w:t>
      </w:r>
    </w:p>
    <w:p w14:paraId="483EB096" w14:textId="77777777" w:rsidR="0078138E" w:rsidRPr="0078138E" w:rsidRDefault="0078138E" w:rsidP="00701C32">
      <w:pPr>
        <w:ind w:left="851"/>
        <w:rPr>
          <w:sz w:val="24"/>
          <w:szCs w:val="24"/>
          <w:lang w:val="en-GB"/>
        </w:rPr>
      </w:pPr>
    </w:p>
    <w:p w14:paraId="28093A25" w14:textId="77777777" w:rsidR="0078138E" w:rsidRPr="0078138E" w:rsidRDefault="0078138E" w:rsidP="00701C32">
      <w:pPr>
        <w:ind w:left="851"/>
        <w:rPr>
          <w:sz w:val="24"/>
          <w:szCs w:val="24"/>
          <w:lang w:val="en-GB"/>
        </w:rPr>
      </w:pPr>
      <w:r w:rsidRPr="0078138E">
        <w:rPr>
          <w:sz w:val="24"/>
          <w:szCs w:val="24"/>
          <w:lang w:val="en-GB"/>
        </w:rPr>
        <w:t xml:space="preserve">The most frequently used prior systemic acute GvHD therapies were </w:t>
      </w:r>
      <w:proofErr w:type="spellStart"/>
      <w:r w:rsidRPr="0078138E">
        <w:rPr>
          <w:sz w:val="24"/>
          <w:szCs w:val="24"/>
          <w:lang w:val="en-GB"/>
        </w:rPr>
        <w:t>corticosteroids+CNIs</w:t>
      </w:r>
      <w:proofErr w:type="spellEnd"/>
      <w:r w:rsidRPr="0078138E">
        <w:rPr>
          <w:sz w:val="24"/>
          <w:szCs w:val="24"/>
          <w:lang w:val="en-GB"/>
        </w:rPr>
        <w:t xml:space="preserve"> (49.4% in the </w:t>
      </w:r>
      <w:proofErr w:type="spellStart"/>
      <w:r w:rsidRPr="0078138E">
        <w:rPr>
          <w:sz w:val="24"/>
          <w:szCs w:val="24"/>
          <w:lang w:val="en-GB"/>
        </w:rPr>
        <w:t>ruxolitinib</w:t>
      </w:r>
      <w:proofErr w:type="spellEnd"/>
      <w:r w:rsidRPr="0078138E">
        <w:rPr>
          <w:sz w:val="24"/>
          <w:szCs w:val="24"/>
          <w:lang w:val="en-GB"/>
        </w:rPr>
        <w:t xml:space="preserve"> arm and 49.0% in the BAT arm).</w:t>
      </w:r>
    </w:p>
    <w:p w14:paraId="05085425" w14:textId="77777777" w:rsidR="0078138E" w:rsidRPr="0078138E" w:rsidRDefault="0078138E" w:rsidP="00701C32">
      <w:pPr>
        <w:ind w:left="851"/>
        <w:rPr>
          <w:sz w:val="24"/>
          <w:szCs w:val="24"/>
          <w:lang w:val="en-GB"/>
        </w:rPr>
      </w:pPr>
    </w:p>
    <w:p w14:paraId="2B90B37C" w14:textId="77777777" w:rsidR="0078138E" w:rsidRPr="0078138E" w:rsidRDefault="0078138E" w:rsidP="00701C32">
      <w:pPr>
        <w:ind w:left="851"/>
        <w:rPr>
          <w:sz w:val="24"/>
          <w:szCs w:val="24"/>
          <w:lang w:val="en-GB"/>
        </w:rPr>
      </w:pPr>
      <w:r w:rsidRPr="0078138E">
        <w:rPr>
          <w:sz w:val="24"/>
          <w:szCs w:val="24"/>
          <w:lang w:val="en-GB"/>
        </w:rPr>
        <w:t>The primary endpoint was the overall response rate (ORR) on day 28, defined as the proportion of patients in each arm with a complete response (CR) or a partial response (PR) without the requirement of additional systemic therapies for an earlier progression, mixed response or non-response based on investigator assessment following the criteria by Harris et al. (2016).</w:t>
      </w:r>
    </w:p>
    <w:p w14:paraId="69425DAF" w14:textId="77777777" w:rsidR="0078138E" w:rsidRPr="0078138E" w:rsidRDefault="0078138E" w:rsidP="00701C32">
      <w:pPr>
        <w:ind w:left="851"/>
        <w:rPr>
          <w:sz w:val="24"/>
          <w:szCs w:val="24"/>
          <w:lang w:val="en-GB"/>
        </w:rPr>
      </w:pPr>
    </w:p>
    <w:p w14:paraId="3210E0E9" w14:textId="77777777" w:rsidR="0078138E" w:rsidRPr="0078138E" w:rsidRDefault="0078138E" w:rsidP="00701C32">
      <w:pPr>
        <w:ind w:left="851"/>
        <w:rPr>
          <w:sz w:val="24"/>
          <w:szCs w:val="24"/>
          <w:lang w:val="en-GB"/>
        </w:rPr>
      </w:pPr>
      <w:r w:rsidRPr="0078138E">
        <w:rPr>
          <w:sz w:val="24"/>
          <w:szCs w:val="24"/>
          <w:lang w:val="en-GB"/>
        </w:rPr>
        <w:t>The key secondary endpoint was the proportion of patients who achieved a CR or PR at day 28 and maintained a CR or PR at day 56.</w:t>
      </w:r>
    </w:p>
    <w:p w14:paraId="4C91186B" w14:textId="77777777" w:rsidR="0078138E" w:rsidRPr="0078138E" w:rsidRDefault="0078138E" w:rsidP="00701C32">
      <w:pPr>
        <w:ind w:left="851"/>
        <w:rPr>
          <w:sz w:val="24"/>
          <w:szCs w:val="24"/>
          <w:lang w:val="en-GB"/>
        </w:rPr>
      </w:pPr>
    </w:p>
    <w:p w14:paraId="7562AF8A" w14:textId="77777777" w:rsidR="0078138E" w:rsidRPr="0078138E" w:rsidRDefault="0078138E" w:rsidP="00701C32">
      <w:pPr>
        <w:ind w:left="851"/>
        <w:rPr>
          <w:sz w:val="24"/>
          <w:szCs w:val="24"/>
          <w:lang w:val="en-GB"/>
        </w:rPr>
      </w:pPr>
      <w:r w:rsidRPr="0078138E">
        <w:rPr>
          <w:sz w:val="24"/>
          <w:szCs w:val="24"/>
          <w:lang w:val="en-GB"/>
        </w:rPr>
        <w:t xml:space="preserve">REACH2 met its primary objective. ORR at day 28 of treatment was higher in the </w:t>
      </w:r>
      <w:proofErr w:type="spellStart"/>
      <w:r w:rsidRPr="0078138E">
        <w:rPr>
          <w:sz w:val="24"/>
          <w:szCs w:val="24"/>
          <w:lang w:val="en-GB"/>
        </w:rPr>
        <w:t>ruxolitinib</w:t>
      </w:r>
      <w:proofErr w:type="spellEnd"/>
      <w:r w:rsidRPr="0078138E">
        <w:rPr>
          <w:sz w:val="24"/>
          <w:szCs w:val="24"/>
          <w:lang w:val="en-GB"/>
        </w:rPr>
        <w:t xml:space="preserve"> arm (62.3%) compared to the BAT arm (39.4%). There was a statistically significant difference between the treatment arms (stratified Cochrane-Mantel-Haenszel test p&lt;0.0001, two-sided, OR: 2.64; 95% CI: 1.65, 4.22).</w:t>
      </w:r>
    </w:p>
    <w:p w14:paraId="65F525D6" w14:textId="77777777" w:rsidR="0078138E" w:rsidRPr="0078138E" w:rsidRDefault="0078138E" w:rsidP="00701C32">
      <w:pPr>
        <w:ind w:left="851"/>
        <w:rPr>
          <w:sz w:val="24"/>
          <w:szCs w:val="24"/>
          <w:lang w:val="en-GB"/>
        </w:rPr>
      </w:pPr>
    </w:p>
    <w:p w14:paraId="08B96161" w14:textId="77777777" w:rsidR="0078138E" w:rsidRPr="0078138E" w:rsidRDefault="0078138E" w:rsidP="00701C32">
      <w:pPr>
        <w:ind w:left="851"/>
        <w:rPr>
          <w:sz w:val="24"/>
          <w:szCs w:val="24"/>
          <w:lang w:val="en-GB"/>
        </w:rPr>
      </w:pPr>
      <w:r w:rsidRPr="0078138E">
        <w:rPr>
          <w:sz w:val="24"/>
          <w:szCs w:val="24"/>
          <w:lang w:val="en-GB"/>
        </w:rPr>
        <w:t xml:space="preserve">There was also a higher proportion of complete responders in the </w:t>
      </w:r>
      <w:proofErr w:type="spellStart"/>
      <w:r w:rsidRPr="0078138E">
        <w:rPr>
          <w:sz w:val="24"/>
          <w:szCs w:val="24"/>
          <w:lang w:val="en-GB"/>
        </w:rPr>
        <w:t>ruxolitinib</w:t>
      </w:r>
      <w:proofErr w:type="spellEnd"/>
      <w:r w:rsidRPr="0078138E">
        <w:rPr>
          <w:sz w:val="24"/>
          <w:szCs w:val="24"/>
          <w:lang w:val="en-GB"/>
        </w:rPr>
        <w:t xml:space="preserve"> arm (34.4%) compared to BAT arm (19.4%).</w:t>
      </w:r>
    </w:p>
    <w:p w14:paraId="4AD98986" w14:textId="77777777" w:rsidR="0078138E" w:rsidRPr="0078138E" w:rsidRDefault="0078138E" w:rsidP="00701C32">
      <w:pPr>
        <w:ind w:left="851"/>
        <w:rPr>
          <w:sz w:val="24"/>
          <w:szCs w:val="24"/>
          <w:lang w:val="en-GB"/>
        </w:rPr>
      </w:pPr>
    </w:p>
    <w:p w14:paraId="167DB7DE" w14:textId="77777777" w:rsidR="0078138E" w:rsidRPr="0078138E" w:rsidRDefault="0078138E" w:rsidP="00701C32">
      <w:pPr>
        <w:ind w:left="851"/>
        <w:rPr>
          <w:sz w:val="24"/>
          <w:szCs w:val="24"/>
          <w:lang w:val="en-GB"/>
        </w:rPr>
      </w:pPr>
      <w:r w:rsidRPr="0078138E">
        <w:rPr>
          <w:sz w:val="24"/>
          <w:szCs w:val="24"/>
          <w:lang w:val="en-GB"/>
        </w:rPr>
        <w:t xml:space="preserve">Day-28 ORR was 76% for grade II GvHD, 56% for grade III GvHD, and 53% for grade IV GvHD in the </w:t>
      </w:r>
      <w:proofErr w:type="spellStart"/>
      <w:r w:rsidRPr="0078138E">
        <w:rPr>
          <w:sz w:val="24"/>
          <w:szCs w:val="24"/>
          <w:lang w:val="en-GB"/>
        </w:rPr>
        <w:t>ruxolitinib</w:t>
      </w:r>
      <w:proofErr w:type="spellEnd"/>
      <w:r w:rsidRPr="0078138E">
        <w:rPr>
          <w:sz w:val="24"/>
          <w:szCs w:val="24"/>
          <w:lang w:val="en-GB"/>
        </w:rPr>
        <w:t xml:space="preserve"> arm, and 51% for grade II GvHD, 38% for grade III GvHD, and 23% for grade IV GvHD in the BAT arm.</w:t>
      </w:r>
    </w:p>
    <w:p w14:paraId="70037F7C" w14:textId="77777777" w:rsidR="0078138E" w:rsidRPr="0078138E" w:rsidRDefault="0078138E" w:rsidP="00701C32">
      <w:pPr>
        <w:ind w:left="851"/>
        <w:rPr>
          <w:sz w:val="24"/>
          <w:szCs w:val="24"/>
          <w:lang w:val="en-GB"/>
        </w:rPr>
      </w:pPr>
    </w:p>
    <w:p w14:paraId="513EAEF5" w14:textId="77777777" w:rsidR="0078138E" w:rsidRPr="0078138E" w:rsidRDefault="0078138E" w:rsidP="00701C32">
      <w:pPr>
        <w:ind w:left="851"/>
        <w:rPr>
          <w:sz w:val="24"/>
          <w:szCs w:val="24"/>
          <w:lang w:val="en-GB"/>
        </w:rPr>
      </w:pPr>
      <w:r w:rsidRPr="0078138E">
        <w:rPr>
          <w:sz w:val="24"/>
          <w:szCs w:val="24"/>
          <w:lang w:val="en-GB"/>
        </w:rPr>
        <w:t xml:space="preserve">Among the non-responders at day 28 in the </w:t>
      </w:r>
      <w:proofErr w:type="spellStart"/>
      <w:r w:rsidRPr="0078138E">
        <w:rPr>
          <w:sz w:val="24"/>
          <w:szCs w:val="24"/>
          <w:lang w:val="en-GB"/>
        </w:rPr>
        <w:t>ruxolitinib</w:t>
      </w:r>
      <w:proofErr w:type="spellEnd"/>
      <w:r w:rsidRPr="0078138E">
        <w:rPr>
          <w:sz w:val="24"/>
          <w:szCs w:val="24"/>
          <w:lang w:val="en-GB"/>
        </w:rPr>
        <w:t xml:space="preserve"> and BAT arms, 2.6% and 8.4% had disease progression, respectively.</w:t>
      </w:r>
    </w:p>
    <w:p w14:paraId="6CCAD108" w14:textId="77777777" w:rsidR="0078138E" w:rsidRPr="0078138E" w:rsidRDefault="0078138E" w:rsidP="00701C32">
      <w:pPr>
        <w:ind w:left="851"/>
        <w:rPr>
          <w:sz w:val="24"/>
          <w:szCs w:val="24"/>
          <w:lang w:val="en-GB"/>
        </w:rPr>
      </w:pPr>
    </w:p>
    <w:p w14:paraId="3BC20C8E" w14:textId="77777777" w:rsidR="0078138E" w:rsidRPr="0078138E" w:rsidRDefault="0078138E" w:rsidP="00701C32">
      <w:pPr>
        <w:ind w:left="851"/>
        <w:rPr>
          <w:sz w:val="24"/>
          <w:szCs w:val="24"/>
          <w:lang w:val="en-GB"/>
        </w:rPr>
      </w:pPr>
      <w:r w:rsidRPr="0078138E">
        <w:rPr>
          <w:sz w:val="24"/>
          <w:szCs w:val="24"/>
          <w:lang w:val="en-GB"/>
        </w:rPr>
        <w:t>Overall results are presented in Table 11.</w:t>
      </w:r>
    </w:p>
    <w:p w14:paraId="1E6865C0" w14:textId="77777777" w:rsidR="0078138E" w:rsidRPr="0078138E" w:rsidRDefault="0078138E" w:rsidP="00701C32">
      <w:pPr>
        <w:ind w:left="851"/>
        <w:rPr>
          <w:sz w:val="24"/>
          <w:szCs w:val="24"/>
          <w:lang w:val="en-GB"/>
        </w:rPr>
      </w:pPr>
    </w:p>
    <w:p w14:paraId="26143923" w14:textId="79C8EC92" w:rsidR="0078138E" w:rsidRPr="0078138E" w:rsidRDefault="0078138E" w:rsidP="0078138E">
      <w:pPr>
        <w:tabs>
          <w:tab w:val="left" w:pos="851"/>
        </w:tabs>
        <w:ind w:left="851"/>
        <w:rPr>
          <w:b/>
          <w:bCs/>
          <w:sz w:val="24"/>
          <w:szCs w:val="24"/>
          <w:lang w:val="en-GB"/>
        </w:rPr>
      </w:pPr>
      <w:r w:rsidRPr="0078138E">
        <w:rPr>
          <w:b/>
          <w:bCs/>
          <w:sz w:val="24"/>
          <w:szCs w:val="24"/>
          <w:lang w:val="en-GB"/>
        </w:rPr>
        <w:t>Table 11</w:t>
      </w:r>
      <w:r w:rsidR="00FF685B">
        <w:rPr>
          <w:b/>
          <w:bCs/>
          <w:sz w:val="24"/>
          <w:szCs w:val="24"/>
          <w:lang w:val="en-GB"/>
        </w:rPr>
        <w:t xml:space="preserve">. </w:t>
      </w:r>
      <w:r w:rsidRPr="0078138E">
        <w:rPr>
          <w:b/>
          <w:bCs/>
          <w:sz w:val="24"/>
          <w:szCs w:val="24"/>
          <w:lang w:val="en-GB"/>
        </w:rPr>
        <w:t>Overall response rate at day 28 in REACH2</w:t>
      </w:r>
    </w:p>
    <w:p w14:paraId="70E0CB01" w14:textId="77777777" w:rsidR="0078138E" w:rsidRPr="0078138E" w:rsidRDefault="0078138E" w:rsidP="0078138E">
      <w:pPr>
        <w:tabs>
          <w:tab w:val="left" w:pos="851"/>
        </w:tabs>
        <w:ind w:left="851"/>
        <w:rPr>
          <w:sz w:val="24"/>
          <w:szCs w:val="24"/>
          <w:lang w:val="en-GB"/>
        </w:rPr>
      </w:pPr>
    </w:p>
    <w:tbl>
      <w:tblPr>
        <w:tblStyle w:val="Tabel-Gitter"/>
        <w:tblW w:w="5000" w:type="pct"/>
        <w:tblLook w:val="04A0" w:firstRow="1" w:lastRow="0" w:firstColumn="1" w:lastColumn="0" w:noHBand="0" w:noVBand="1"/>
      </w:tblPr>
      <w:tblGrid>
        <w:gridCol w:w="3210"/>
        <w:gridCol w:w="1604"/>
        <w:gridCol w:w="1604"/>
        <w:gridCol w:w="1604"/>
        <w:gridCol w:w="1606"/>
      </w:tblGrid>
      <w:tr w:rsidR="0078138E" w:rsidRPr="009B509D" w14:paraId="09A6F069" w14:textId="77777777" w:rsidTr="00701C32">
        <w:tc>
          <w:tcPr>
            <w:tcW w:w="1667" w:type="pct"/>
            <w:tcBorders>
              <w:top w:val="single" w:sz="4" w:space="0" w:color="auto"/>
              <w:left w:val="single" w:sz="4" w:space="0" w:color="auto"/>
              <w:bottom w:val="single" w:sz="4" w:space="0" w:color="auto"/>
              <w:right w:val="single" w:sz="4" w:space="0" w:color="auto"/>
            </w:tcBorders>
          </w:tcPr>
          <w:p w14:paraId="7AD8D6A7" w14:textId="77777777" w:rsidR="0078138E" w:rsidRPr="009B509D" w:rsidRDefault="0078138E" w:rsidP="00701C32">
            <w:pPr>
              <w:rPr>
                <w:sz w:val="24"/>
                <w:szCs w:val="24"/>
                <w:lang w:val="en-GB"/>
              </w:rPr>
            </w:pPr>
          </w:p>
        </w:tc>
        <w:tc>
          <w:tcPr>
            <w:tcW w:w="1666" w:type="pct"/>
            <w:gridSpan w:val="2"/>
            <w:tcBorders>
              <w:top w:val="single" w:sz="4" w:space="0" w:color="auto"/>
              <w:left w:val="single" w:sz="4" w:space="0" w:color="auto"/>
              <w:bottom w:val="single" w:sz="4" w:space="0" w:color="auto"/>
              <w:right w:val="single" w:sz="4" w:space="0" w:color="auto"/>
            </w:tcBorders>
            <w:hideMark/>
          </w:tcPr>
          <w:p w14:paraId="6BAFB715" w14:textId="77777777" w:rsidR="0078138E" w:rsidRPr="00FF685B" w:rsidRDefault="0078138E" w:rsidP="00FF685B">
            <w:pPr>
              <w:jc w:val="center"/>
              <w:rPr>
                <w:b/>
                <w:bCs/>
                <w:sz w:val="24"/>
                <w:szCs w:val="24"/>
                <w:lang w:val="en-GB"/>
              </w:rPr>
            </w:pPr>
            <w:proofErr w:type="spellStart"/>
            <w:r w:rsidRPr="00FF685B">
              <w:rPr>
                <w:b/>
                <w:bCs/>
                <w:sz w:val="24"/>
                <w:szCs w:val="24"/>
                <w:lang w:val="en-GB"/>
              </w:rPr>
              <w:t>Ruxolitinib</w:t>
            </w:r>
            <w:proofErr w:type="spellEnd"/>
            <w:r w:rsidRPr="00FF685B">
              <w:rPr>
                <w:b/>
                <w:bCs/>
                <w:sz w:val="24"/>
                <w:szCs w:val="24"/>
                <w:lang w:val="en-GB"/>
              </w:rPr>
              <w:t xml:space="preserve"> N=154</w:t>
            </w:r>
          </w:p>
        </w:tc>
        <w:tc>
          <w:tcPr>
            <w:tcW w:w="1667" w:type="pct"/>
            <w:gridSpan w:val="2"/>
            <w:tcBorders>
              <w:top w:val="single" w:sz="4" w:space="0" w:color="auto"/>
              <w:left w:val="single" w:sz="4" w:space="0" w:color="auto"/>
              <w:bottom w:val="single" w:sz="4" w:space="0" w:color="auto"/>
              <w:right w:val="single" w:sz="4" w:space="0" w:color="auto"/>
            </w:tcBorders>
            <w:hideMark/>
          </w:tcPr>
          <w:p w14:paraId="4F0F888E" w14:textId="77777777" w:rsidR="0078138E" w:rsidRPr="00FF685B" w:rsidRDefault="0078138E" w:rsidP="00FF685B">
            <w:pPr>
              <w:jc w:val="center"/>
              <w:rPr>
                <w:b/>
                <w:bCs/>
                <w:sz w:val="24"/>
                <w:szCs w:val="24"/>
                <w:lang w:val="en-GB"/>
              </w:rPr>
            </w:pPr>
            <w:r w:rsidRPr="00FF685B">
              <w:rPr>
                <w:b/>
                <w:bCs/>
                <w:sz w:val="24"/>
                <w:szCs w:val="24"/>
                <w:lang w:val="en-GB"/>
              </w:rPr>
              <w:t>BAT</w:t>
            </w:r>
          </w:p>
          <w:p w14:paraId="21F68708" w14:textId="77777777" w:rsidR="0078138E" w:rsidRPr="00FF685B" w:rsidRDefault="0078138E" w:rsidP="00FF685B">
            <w:pPr>
              <w:jc w:val="center"/>
              <w:rPr>
                <w:b/>
                <w:bCs/>
                <w:sz w:val="24"/>
                <w:szCs w:val="24"/>
                <w:lang w:val="en-GB"/>
              </w:rPr>
            </w:pPr>
            <w:r w:rsidRPr="00FF685B">
              <w:rPr>
                <w:b/>
                <w:bCs/>
                <w:sz w:val="24"/>
                <w:szCs w:val="24"/>
                <w:lang w:val="en-GB"/>
              </w:rPr>
              <w:t>N=155</w:t>
            </w:r>
          </w:p>
        </w:tc>
      </w:tr>
      <w:tr w:rsidR="0078138E" w:rsidRPr="009B509D" w14:paraId="011C78D0" w14:textId="77777777" w:rsidTr="00701C32">
        <w:tc>
          <w:tcPr>
            <w:tcW w:w="1667" w:type="pct"/>
            <w:tcBorders>
              <w:top w:val="single" w:sz="4" w:space="0" w:color="auto"/>
              <w:left w:val="single" w:sz="4" w:space="0" w:color="auto"/>
              <w:bottom w:val="single" w:sz="4" w:space="0" w:color="auto"/>
              <w:right w:val="single" w:sz="4" w:space="0" w:color="auto"/>
            </w:tcBorders>
          </w:tcPr>
          <w:p w14:paraId="6461AFF4" w14:textId="77777777" w:rsidR="0078138E" w:rsidRPr="009B509D" w:rsidRDefault="0078138E" w:rsidP="00701C32">
            <w:pPr>
              <w:rPr>
                <w:sz w:val="24"/>
                <w:szCs w:val="24"/>
                <w:lang w:val="en-GB"/>
              </w:rPr>
            </w:pPr>
          </w:p>
        </w:tc>
        <w:tc>
          <w:tcPr>
            <w:tcW w:w="833" w:type="pct"/>
            <w:tcBorders>
              <w:top w:val="single" w:sz="4" w:space="0" w:color="auto"/>
              <w:left w:val="single" w:sz="4" w:space="0" w:color="auto"/>
              <w:bottom w:val="single" w:sz="4" w:space="0" w:color="auto"/>
              <w:right w:val="single" w:sz="4" w:space="0" w:color="auto"/>
            </w:tcBorders>
            <w:hideMark/>
          </w:tcPr>
          <w:p w14:paraId="12A80C3E" w14:textId="77777777" w:rsidR="0078138E" w:rsidRPr="00FF685B" w:rsidRDefault="0078138E" w:rsidP="00FF685B">
            <w:pPr>
              <w:jc w:val="center"/>
              <w:rPr>
                <w:b/>
                <w:bCs/>
                <w:sz w:val="24"/>
                <w:szCs w:val="24"/>
                <w:lang w:val="en-GB"/>
              </w:rPr>
            </w:pPr>
            <w:r w:rsidRPr="00FF685B">
              <w:rPr>
                <w:b/>
                <w:bCs/>
                <w:sz w:val="24"/>
                <w:szCs w:val="24"/>
                <w:lang w:val="en-GB"/>
              </w:rPr>
              <w:t>n (%)</w:t>
            </w:r>
          </w:p>
        </w:tc>
        <w:tc>
          <w:tcPr>
            <w:tcW w:w="833" w:type="pct"/>
            <w:tcBorders>
              <w:top w:val="single" w:sz="4" w:space="0" w:color="auto"/>
              <w:left w:val="single" w:sz="4" w:space="0" w:color="auto"/>
              <w:bottom w:val="single" w:sz="4" w:space="0" w:color="auto"/>
              <w:right w:val="single" w:sz="4" w:space="0" w:color="auto"/>
            </w:tcBorders>
            <w:hideMark/>
          </w:tcPr>
          <w:p w14:paraId="53EA6FE1" w14:textId="77777777" w:rsidR="0078138E" w:rsidRPr="00FF685B" w:rsidRDefault="0078138E" w:rsidP="00FF685B">
            <w:pPr>
              <w:jc w:val="center"/>
              <w:rPr>
                <w:b/>
                <w:bCs/>
                <w:sz w:val="24"/>
                <w:szCs w:val="24"/>
                <w:lang w:val="en-GB"/>
              </w:rPr>
            </w:pPr>
            <w:r w:rsidRPr="00FF685B">
              <w:rPr>
                <w:b/>
                <w:bCs/>
                <w:sz w:val="24"/>
                <w:szCs w:val="24"/>
                <w:lang w:val="en-GB"/>
              </w:rPr>
              <w:t>95% CI</w:t>
            </w:r>
          </w:p>
        </w:tc>
        <w:tc>
          <w:tcPr>
            <w:tcW w:w="833" w:type="pct"/>
            <w:tcBorders>
              <w:top w:val="single" w:sz="4" w:space="0" w:color="auto"/>
              <w:left w:val="single" w:sz="4" w:space="0" w:color="auto"/>
              <w:bottom w:val="single" w:sz="4" w:space="0" w:color="auto"/>
              <w:right w:val="single" w:sz="4" w:space="0" w:color="auto"/>
            </w:tcBorders>
            <w:hideMark/>
          </w:tcPr>
          <w:p w14:paraId="63D2DDE8" w14:textId="77777777" w:rsidR="0078138E" w:rsidRPr="00FF685B" w:rsidRDefault="0078138E" w:rsidP="00FF685B">
            <w:pPr>
              <w:jc w:val="center"/>
              <w:rPr>
                <w:b/>
                <w:bCs/>
                <w:sz w:val="24"/>
                <w:szCs w:val="24"/>
                <w:lang w:val="en-GB"/>
              </w:rPr>
            </w:pPr>
            <w:r w:rsidRPr="00FF685B">
              <w:rPr>
                <w:b/>
                <w:bCs/>
                <w:sz w:val="24"/>
                <w:szCs w:val="24"/>
                <w:lang w:val="en-GB"/>
              </w:rPr>
              <w:t>n (%)</w:t>
            </w:r>
          </w:p>
        </w:tc>
        <w:tc>
          <w:tcPr>
            <w:tcW w:w="833" w:type="pct"/>
            <w:tcBorders>
              <w:top w:val="single" w:sz="4" w:space="0" w:color="auto"/>
              <w:left w:val="single" w:sz="4" w:space="0" w:color="auto"/>
              <w:bottom w:val="single" w:sz="4" w:space="0" w:color="auto"/>
              <w:right w:val="single" w:sz="4" w:space="0" w:color="auto"/>
            </w:tcBorders>
            <w:hideMark/>
          </w:tcPr>
          <w:p w14:paraId="2B97FEF3" w14:textId="77777777" w:rsidR="0078138E" w:rsidRPr="00FF685B" w:rsidRDefault="0078138E" w:rsidP="00FF685B">
            <w:pPr>
              <w:jc w:val="center"/>
              <w:rPr>
                <w:b/>
                <w:bCs/>
                <w:sz w:val="24"/>
                <w:szCs w:val="24"/>
                <w:lang w:val="en-GB"/>
              </w:rPr>
            </w:pPr>
            <w:r w:rsidRPr="00FF685B">
              <w:rPr>
                <w:b/>
                <w:bCs/>
                <w:sz w:val="24"/>
                <w:szCs w:val="24"/>
                <w:lang w:val="en-GB"/>
              </w:rPr>
              <w:t>95% CI</w:t>
            </w:r>
          </w:p>
        </w:tc>
      </w:tr>
      <w:tr w:rsidR="0078138E" w:rsidRPr="009B509D" w14:paraId="0A505065" w14:textId="77777777" w:rsidTr="00701C32">
        <w:tc>
          <w:tcPr>
            <w:tcW w:w="1667" w:type="pct"/>
            <w:tcBorders>
              <w:top w:val="single" w:sz="4" w:space="0" w:color="auto"/>
              <w:left w:val="single" w:sz="4" w:space="0" w:color="auto"/>
              <w:bottom w:val="single" w:sz="4" w:space="0" w:color="auto"/>
              <w:right w:val="single" w:sz="4" w:space="0" w:color="auto"/>
            </w:tcBorders>
            <w:hideMark/>
          </w:tcPr>
          <w:p w14:paraId="3C537072" w14:textId="77777777" w:rsidR="0078138E" w:rsidRPr="009B509D" w:rsidRDefault="0078138E" w:rsidP="00701C32">
            <w:pPr>
              <w:rPr>
                <w:sz w:val="24"/>
                <w:szCs w:val="24"/>
                <w:lang w:val="en-GB"/>
              </w:rPr>
            </w:pPr>
            <w:r w:rsidRPr="009B509D">
              <w:rPr>
                <w:sz w:val="24"/>
                <w:szCs w:val="24"/>
                <w:lang w:val="en-GB"/>
              </w:rPr>
              <w:t>Overall response</w:t>
            </w:r>
          </w:p>
        </w:tc>
        <w:tc>
          <w:tcPr>
            <w:tcW w:w="833" w:type="pct"/>
            <w:tcBorders>
              <w:top w:val="single" w:sz="4" w:space="0" w:color="auto"/>
              <w:left w:val="single" w:sz="4" w:space="0" w:color="auto"/>
              <w:bottom w:val="single" w:sz="4" w:space="0" w:color="auto"/>
              <w:right w:val="single" w:sz="4" w:space="0" w:color="auto"/>
            </w:tcBorders>
            <w:hideMark/>
          </w:tcPr>
          <w:p w14:paraId="680D97AF" w14:textId="77777777" w:rsidR="0078138E" w:rsidRPr="009B509D" w:rsidRDefault="0078138E" w:rsidP="00FF685B">
            <w:pPr>
              <w:jc w:val="center"/>
              <w:rPr>
                <w:sz w:val="24"/>
                <w:szCs w:val="24"/>
                <w:lang w:val="en-GB"/>
              </w:rPr>
            </w:pPr>
            <w:r w:rsidRPr="009B509D">
              <w:rPr>
                <w:sz w:val="24"/>
                <w:szCs w:val="24"/>
                <w:lang w:val="en-GB"/>
              </w:rPr>
              <w:t>96 (62.3)</w:t>
            </w:r>
          </w:p>
        </w:tc>
        <w:tc>
          <w:tcPr>
            <w:tcW w:w="833" w:type="pct"/>
            <w:tcBorders>
              <w:top w:val="single" w:sz="4" w:space="0" w:color="auto"/>
              <w:left w:val="single" w:sz="4" w:space="0" w:color="auto"/>
              <w:bottom w:val="single" w:sz="4" w:space="0" w:color="auto"/>
              <w:right w:val="single" w:sz="4" w:space="0" w:color="auto"/>
            </w:tcBorders>
            <w:hideMark/>
          </w:tcPr>
          <w:p w14:paraId="6C810ACF" w14:textId="77777777" w:rsidR="0078138E" w:rsidRPr="009B509D" w:rsidRDefault="0078138E" w:rsidP="00FF685B">
            <w:pPr>
              <w:jc w:val="center"/>
              <w:rPr>
                <w:sz w:val="24"/>
                <w:szCs w:val="24"/>
                <w:lang w:val="en-GB"/>
              </w:rPr>
            </w:pPr>
            <w:r w:rsidRPr="009B509D">
              <w:rPr>
                <w:sz w:val="24"/>
                <w:szCs w:val="24"/>
                <w:lang w:val="en-GB"/>
              </w:rPr>
              <w:t>54.2, 70.0</w:t>
            </w:r>
          </w:p>
        </w:tc>
        <w:tc>
          <w:tcPr>
            <w:tcW w:w="833" w:type="pct"/>
            <w:tcBorders>
              <w:top w:val="single" w:sz="4" w:space="0" w:color="auto"/>
              <w:left w:val="single" w:sz="4" w:space="0" w:color="auto"/>
              <w:bottom w:val="single" w:sz="4" w:space="0" w:color="auto"/>
              <w:right w:val="single" w:sz="4" w:space="0" w:color="auto"/>
            </w:tcBorders>
            <w:hideMark/>
          </w:tcPr>
          <w:p w14:paraId="2D88992B" w14:textId="77777777" w:rsidR="0078138E" w:rsidRPr="009B509D" w:rsidRDefault="0078138E" w:rsidP="00FF685B">
            <w:pPr>
              <w:jc w:val="center"/>
              <w:rPr>
                <w:sz w:val="24"/>
                <w:szCs w:val="24"/>
                <w:lang w:val="en-GB"/>
              </w:rPr>
            </w:pPr>
            <w:r w:rsidRPr="009B509D">
              <w:rPr>
                <w:sz w:val="24"/>
                <w:szCs w:val="24"/>
                <w:lang w:val="en-GB"/>
              </w:rPr>
              <w:t>61 (39.4)</w:t>
            </w:r>
          </w:p>
        </w:tc>
        <w:tc>
          <w:tcPr>
            <w:tcW w:w="833" w:type="pct"/>
            <w:tcBorders>
              <w:top w:val="single" w:sz="4" w:space="0" w:color="auto"/>
              <w:left w:val="single" w:sz="4" w:space="0" w:color="auto"/>
              <w:bottom w:val="single" w:sz="4" w:space="0" w:color="auto"/>
              <w:right w:val="single" w:sz="4" w:space="0" w:color="auto"/>
            </w:tcBorders>
            <w:hideMark/>
          </w:tcPr>
          <w:p w14:paraId="6C68C4BC" w14:textId="77777777" w:rsidR="0078138E" w:rsidRPr="009B509D" w:rsidRDefault="0078138E" w:rsidP="00FF685B">
            <w:pPr>
              <w:jc w:val="center"/>
              <w:rPr>
                <w:sz w:val="24"/>
                <w:szCs w:val="24"/>
                <w:lang w:val="en-GB"/>
              </w:rPr>
            </w:pPr>
            <w:r w:rsidRPr="009B509D">
              <w:rPr>
                <w:sz w:val="24"/>
                <w:szCs w:val="24"/>
                <w:lang w:val="en-GB"/>
              </w:rPr>
              <w:t>31.6, 47.5</w:t>
            </w:r>
          </w:p>
        </w:tc>
      </w:tr>
      <w:tr w:rsidR="0078138E" w:rsidRPr="009B509D" w14:paraId="198BC282" w14:textId="77777777" w:rsidTr="00701C32">
        <w:tc>
          <w:tcPr>
            <w:tcW w:w="1667" w:type="pct"/>
            <w:tcBorders>
              <w:top w:val="single" w:sz="4" w:space="0" w:color="auto"/>
              <w:left w:val="single" w:sz="4" w:space="0" w:color="auto"/>
              <w:bottom w:val="single" w:sz="4" w:space="0" w:color="auto"/>
              <w:right w:val="single" w:sz="4" w:space="0" w:color="auto"/>
            </w:tcBorders>
            <w:hideMark/>
          </w:tcPr>
          <w:p w14:paraId="4628DBFA" w14:textId="77777777" w:rsidR="0078138E" w:rsidRPr="009B509D" w:rsidRDefault="0078138E" w:rsidP="00701C32">
            <w:pPr>
              <w:rPr>
                <w:sz w:val="24"/>
                <w:szCs w:val="24"/>
                <w:lang w:val="en-GB"/>
              </w:rPr>
            </w:pPr>
            <w:r w:rsidRPr="009B509D">
              <w:rPr>
                <w:sz w:val="24"/>
                <w:szCs w:val="24"/>
                <w:lang w:val="en-GB"/>
              </w:rPr>
              <w:t>OR (95% CI)</w:t>
            </w:r>
          </w:p>
        </w:tc>
        <w:tc>
          <w:tcPr>
            <w:tcW w:w="3333" w:type="pct"/>
            <w:gridSpan w:val="4"/>
            <w:tcBorders>
              <w:top w:val="single" w:sz="4" w:space="0" w:color="auto"/>
              <w:left w:val="single" w:sz="4" w:space="0" w:color="auto"/>
              <w:bottom w:val="single" w:sz="4" w:space="0" w:color="auto"/>
              <w:right w:val="single" w:sz="4" w:space="0" w:color="auto"/>
            </w:tcBorders>
            <w:hideMark/>
          </w:tcPr>
          <w:p w14:paraId="288BE2E2" w14:textId="77777777" w:rsidR="0078138E" w:rsidRPr="009B509D" w:rsidRDefault="0078138E" w:rsidP="00FF685B">
            <w:pPr>
              <w:jc w:val="center"/>
              <w:rPr>
                <w:sz w:val="24"/>
                <w:szCs w:val="24"/>
                <w:lang w:val="en-GB"/>
              </w:rPr>
            </w:pPr>
            <w:r w:rsidRPr="009B509D">
              <w:rPr>
                <w:sz w:val="24"/>
                <w:szCs w:val="24"/>
                <w:lang w:val="en-GB"/>
              </w:rPr>
              <w:t>2.64 (1.65, 4.22)</w:t>
            </w:r>
          </w:p>
        </w:tc>
      </w:tr>
      <w:tr w:rsidR="0078138E" w:rsidRPr="009B509D" w14:paraId="4027138A" w14:textId="77777777" w:rsidTr="00701C32">
        <w:tc>
          <w:tcPr>
            <w:tcW w:w="1667" w:type="pct"/>
            <w:tcBorders>
              <w:top w:val="single" w:sz="4" w:space="0" w:color="auto"/>
              <w:left w:val="single" w:sz="4" w:space="0" w:color="auto"/>
              <w:bottom w:val="single" w:sz="4" w:space="0" w:color="auto"/>
              <w:right w:val="single" w:sz="4" w:space="0" w:color="auto"/>
            </w:tcBorders>
            <w:hideMark/>
          </w:tcPr>
          <w:p w14:paraId="21B1B6DE" w14:textId="77777777" w:rsidR="0078138E" w:rsidRPr="009B509D" w:rsidRDefault="0078138E" w:rsidP="00701C32">
            <w:pPr>
              <w:rPr>
                <w:sz w:val="24"/>
                <w:szCs w:val="24"/>
                <w:lang w:val="en-GB"/>
              </w:rPr>
            </w:pPr>
            <w:r w:rsidRPr="009B509D">
              <w:rPr>
                <w:sz w:val="24"/>
                <w:szCs w:val="24"/>
                <w:lang w:val="en-GB"/>
              </w:rPr>
              <w:t>p-value (2-sided)</w:t>
            </w:r>
          </w:p>
        </w:tc>
        <w:tc>
          <w:tcPr>
            <w:tcW w:w="3333" w:type="pct"/>
            <w:gridSpan w:val="4"/>
            <w:tcBorders>
              <w:top w:val="single" w:sz="4" w:space="0" w:color="auto"/>
              <w:left w:val="single" w:sz="4" w:space="0" w:color="auto"/>
              <w:bottom w:val="single" w:sz="4" w:space="0" w:color="auto"/>
              <w:right w:val="single" w:sz="4" w:space="0" w:color="auto"/>
            </w:tcBorders>
            <w:hideMark/>
          </w:tcPr>
          <w:p w14:paraId="39C11A9F" w14:textId="77777777" w:rsidR="0078138E" w:rsidRPr="009B509D" w:rsidRDefault="0078138E" w:rsidP="00FF685B">
            <w:pPr>
              <w:jc w:val="center"/>
              <w:rPr>
                <w:sz w:val="24"/>
                <w:szCs w:val="24"/>
                <w:lang w:val="en-GB"/>
              </w:rPr>
            </w:pPr>
            <w:r w:rsidRPr="009B509D">
              <w:rPr>
                <w:sz w:val="24"/>
                <w:szCs w:val="24"/>
                <w:lang w:val="en-GB"/>
              </w:rPr>
              <w:t>p&lt;0.0001</w:t>
            </w:r>
          </w:p>
        </w:tc>
      </w:tr>
      <w:tr w:rsidR="0078138E" w:rsidRPr="009B509D" w14:paraId="43149F04" w14:textId="77777777" w:rsidTr="00701C32">
        <w:tc>
          <w:tcPr>
            <w:tcW w:w="1667" w:type="pct"/>
            <w:tcBorders>
              <w:top w:val="single" w:sz="4" w:space="0" w:color="auto"/>
              <w:left w:val="single" w:sz="4" w:space="0" w:color="auto"/>
              <w:bottom w:val="single" w:sz="4" w:space="0" w:color="auto"/>
              <w:right w:val="single" w:sz="4" w:space="0" w:color="auto"/>
            </w:tcBorders>
            <w:hideMark/>
          </w:tcPr>
          <w:p w14:paraId="36255D71" w14:textId="77777777" w:rsidR="0078138E" w:rsidRPr="009B509D" w:rsidRDefault="0078138E" w:rsidP="00701C32">
            <w:pPr>
              <w:rPr>
                <w:sz w:val="24"/>
                <w:szCs w:val="24"/>
                <w:lang w:val="en-GB"/>
              </w:rPr>
            </w:pPr>
            <w:r w:rsidRPr="009B509D">
              <w:rPr>
                <w:sz w:val="24"/>
                <w:szCs w:val="24"/>
                <w:lang w:val="en-GB"/>
              </w:rPr>
              <w:t>Complete response</w:t>
            </w:r>
          </w:p>
        </w:tc>
        <w:tc>
          <w:tcPr>
            <w:tcW w:w="1666" w:type="pct"/>
            <w:gridSpan w:val="2"/>
            <w:tcBorders>
              <w:top w:val="single" w:sz="4" w:space="0" w:color="auto"/>
              <w:left w:val="single" w:sz="4" w:space="0" w:color="auto"/>
              <w:bottom w:val="single" w:sz="4" w:space="0" w:color="auto"/>
              <w:right w:val="single" w:sz="4" w:space="0" w:color="auto"/>
            </w:tcBorders>
            <w:hideMark/>
          </w:tcPr>
          <w:p w14:paraId="527E7664" w14:textId="77777777" w:rsidR="0078138E" w:rsidRPr="009B509D" w:rsidRDefault="0078138E" w:rsidP="00FF685B">
            <w:pPr>
              <w:jc w:val="center"/>
              <w:rPr>
                <w:sz w:val="24"/>
                <w:szCs w:val="24"/>
                <w:lang w:val="en-GB"/>
              </w:rPr>
            </w:pPr>
            <w:r w:rsidRPr="009B509D">
              <w:rPr>
                <w:sz w:val="24"/>
                <w:szCs w:val="24"/>
                <w:lang w:val="en-GB"/>
              </w:rPr>
              <w:t>53 (34.4)</w:t>
            </w:r>
          </w:p>
        </w:tc>
        <w:tc>
          <w:tcPr>
            <w:tcW w:w="1667" w:type="pct"/>
            <w:gridSpan w:val="2"/>
            <w:tcBorders>
              <w:top w:val="single" w:sz="4" w:space="0" w:color="auto"/>
              <w:left w:val="single" w:sz="4" w:space="0" w:color="auto"/>
              <w:bottom w:val="single" w:sz="4" w:space="0" w:color="auto"/>
              <w:right w:val="single" w:sz="4" w:space="0" w:color="auto"/>
            </w:tcBorders>
            <w:hideMark/>
          </w:tcPr>
          <w:p w14:paraId="5890B8F6" w14:textId="77777777" w:rsidR="0078138E" w:rsidRPr="009B509D" w:rsidRDefault="0078138E" w:rsidP="00FF685B">
            <w:pPr>
              <w:jc w:val="center"/>
              <w:rPr>
                <w:sz w:val="24"/>
                <w:szCs w:val="24"/>
                <w:lang w:val="en-GB"/>
              </w:rPr>
            </w:pPr>
            <w:r w:rsidRPr="009B509D">
              <w:rPr>
                <w:sz w:val="24"/>
                <w:szCs w:val="24"/>
                <w:lang w:val="en-GB"/>
              </w:rPr>
              <w:t>30 (19.4)</w:t>
            </w:r>
          </w:p>
        </w:tc>
      </w:tr>
      <w:tr w:rsidR="0078138E" w:rsidRPr="009B509D" w14:paraId="196D0EE7" w14:textId="77777777" w:rsidTr="00701C32">
        <w:tc>
          <w:tcPr>
            <w:tcW w:w="1667" w:type="pct"/>
            <w:tcBorders>
              <w:top w:val="single" w:sz="4" w:space="0" w:color="auto"/>
              <w:left w:val="single" w:sz="4" w:space="0" w:color="auto"/>
              <w:bottom w:val="single" w:sz="4" w:space="0" w:color="auto"/>
              <w:right w:val="single" w:sz="4" w:space="0" w:color="auto"/>
            </w:tcBorders>
            <w:hideMark/>
          </w:tcPr>
          <w:p w14:paraId="09253AA4" w14:textId="77777777" w:rsidR="0078138E" w:rsidRPr="009B509D" w:rsidRDefault="0078138E" w:rsidP="00701C32">
            <w:pPr>
              <w:rPr>
                <w:sz w:val="24"/>
                <w:szCs w:val="24"/>
                <w:lang w:val="en-GB"/>
              </w:rPr>
            </w:pPr>
            <w:r w:rsidRPr="009B509D">
              <w:rPr>
                <w:sz w:val="24"/>
                <w:szCs w:val="24"/>
                <w:lang w:val="en-GB"/>
              </w:rPr>
              <w:t>Partial response</w:t>
            </w:r>
          </w:p>
        </w:tc>
        <w:tc>
          <w:tcPr>
            <w:tcW w:w="1666" w:type="pct"/>
            <w:gridSpan w:val="2"/>
            <w:tcBorders>
              <w:top w:val="single" w:sz="4" w:space="0" w:color="auto"/>
              <w:left w:val="single" w:sz="4" w:space="0" w:color="auto"/>
              <w:bottom w:val="single" w:sz="4" w:space="0" w:color="auto"/>
              <w:right w:val="single" w:sz="4" w:space="0" w:color="auto"/>
            </w:tcBorders>
            <w:hideMark/>
          </w:tcPr>
          <w:p w14:paraId="7447656A" w14:textId="77777777" w:rsidR="0078138E" w:rsidRPr="009B509D" w:rsidRDefault="0078138E" w:rsidP="00FF685B">
            <w:pPr>
              <w:jc w:val="center"/>
              <w:rPr>
                <w:sz w:val="24"/>
                <w:szCs w:val="24"/>
                <w:lang w:val="en-GB"/>
              </w:rPr>
            </w:pPr>
            <w:r w:rsidRPr="009B509D">
              <w:rPr>
                <w:sz w:val="24"/>
                <w:szCs w:val="24"/>
                <w:lang w:val="en-GB"/>
              </w:rPr>
              <w:t>43 (27.9)</w:t>
            </w:r>
          </w:p>
        </w:tc>
        <w:tc>
          <w:tcPr>
            <w:tcW w:w="1667" w:type="pct"/>
            <w:gridSpan w:val="2"/>
            <w:tcBorders>
              <w:top w:val="single" w:sz="4" w:space="0" w:color="auto"/>
              <w:left w:val="single" w:sz="4" w:space="0" w:color="auto"/>
              <w:bottom w:val="single" w:sz="4" w:space="0" w:color="auto"/>
              <w:right w:val="single" w:sz="4" w:space="0" w:color="auto"/>
            </w:tcBorders>
            <w:hideMark/>
          </w:tcPr>
          <w:p w14:paraId="720A8A6B" w14:textId="77777777" w:rsidR="0078138E" w:rsidRPr="009B509D" w:rsidRDefault="0078138E" w:rsidP="00FF685B">
            <w:pPr>
              <w:jc w:val="center"/>
              <w:rPr>
                <w:sz w:val="24"/>
                <w:szCs w:val="24"/>
                <w:lang w:val="en-GB"/>
              </w:rPr>
            </w:pPr>
            <w:r w:rsidRPr="009B509D">
              <w:rPr>
                <w:sz w:val="24"/>
                <w:szCs w:val="24"/>
                <w:lang w:val="en-GB"/>
              </w:rPr>
              <w:t>31 (20.0)</w:t>
            </w:r>
          </w:p>
        </w:tc>
      </w:tr>
    </w:tbl>
    <w:p w14:paraId="07E17A48" w14:textId="77777777" w:rsidR="0078138E" w:rsidRPr="0078138E" w:rsidRDefault="0078138E" w:rsidP="0078138E">
      <w:pPr>
        <w:tabs>
          <w:tab w:val="left" w:pos="851"/>
        </w:tabs>
        <w:ind w:left="851"/>
        <w:rPr>
          <w:sz w:val="24"/>
          <w:szCs w:val="24"/>
          <w:lang w:val="en-GB"/>
        </w:rPr>
      </w:pPr>
    </w:p>
    <w:p w14:paraId="701CBEC5" w14:textId="77777777" w:rsidR="0078138E" w:rsidRPr="0078138E" w:rsidRDefault="0078138E" w:rsidP="00701C32">
      <w:pPr>
        <w:ind w:left="851"/>
        <w:rPr>
          <w:sz w:val="24"/>
          <w:szCs w:val="24"/>
          <w:lang w:val="en-GB"/>
        </w:rPr>
      </w:pPr>
      <w:r w:rsidRPr="0078138E">
        <w:rPr>
          <w:sz w:val="24"/>
          <w:szCs w:val="24"/>
          <w:lang w:val="en-GB"/>
        </w:rPr>
        <w:t xml:space="preserve">The study met its key secondary endpoint based on the primary data analysis. Durable ORR at day 56 was 39.6% (95% CI: 31.8, 47.8) in the </w:t>
      </w:r>
      <w:proofErr w:type="spellStart"/>
      <w:r w:rsidRPr="0078138E">
        <w:rPr>
          <w:sz w:val="24"/>
          <w:szCs w:val="24"/>
          <w:lang w:val="en-GB"/>
        </w:rPr>
        <w:t>ruxolitinib</w:t>
      </w:r>
      <w:proofErr w:type="spellEnd"/>
      <w:r w:rsidRPr="0078138E">
        <w:rPr>
          <w:sz w:val="24"/>
          <w:szCs w:val="24"/>
          <w:lang w:val="en-GB"/>
        </w:rPr>
        <w:t xml:space="preserve"> arm and 21.9% (95% CI: 15.7, 29.3) in the BAT arm. There was a statistically significant difference between the two treatment arms (OR: 2.38; 95% CI: 1.43, 3.94; p=0.0007). The proportion of patients with a CR was 26.6% in the </w:t>
      </w:r>
      <w:proofErr w:type="spellStart"/>
      <w:r w:rsidRPr="0078138E">
        <w:rPr>
          <w:sz w:val="24"/>
          <w:szCs w:val="24"/>
          <w:lang w:val="en-GB"/>
        </w:rPr>
        <w:t>ruxolitinib</w:t>
      </w:r>
      <w:proofErr w:type="spellEnd"/>
      <w:r w:rsidRPr="0078138E">
        <w:rPr>
          <w:sz w:val="24"/>
          <w:szCs w:val="24"/>
          <w:lang w:val="en-GB"/>
        </w:rPr>
        <w:t xml:space="preserve"> arm versus 16.1% in the BAT arm. Overall, 49 patients (31.6%) originally randomised to the BAT arm crossed over to the </w:t>
      </w:r>
      <w:proofErr w:type="spellStart"/>
      <w:r w:rsidRPr="0078138E">
        <w:rPr>
          <w:sz w:val="24"/>
          <w:szCs w:val="24"/>
          <w:lang w:val="en-GB"/>
        </w:rPr>
        <w:t>ruxolitinib</w:t>
      </w:r>
      <w:proofErr w:type="spellEnd"/>
      <w:r w:rsidRPr="0078138E">
        <w:rPr>
          <w:sz w:val="24"/>
          <w:szCs w:val="24"/>
          <w:lang w:val="en-GB"/>
        </w:rPr>
        <w:t xml:space="preserve"> arm.</w:t>
      </w:r>
    </w:p>
    <w:p w14:paraId="19CF88A0" w14:textId="77777777" w:rsidR="0078138E" w:rsidRPr="0078138E" w:rsidRDefault="0078138E" w:rsidP="00701C32">
      <w:pPr>
        <w:ind w:left="851"/>
        <w:rPr>
          <w:sz w:val="24"/>
          <w:szCs w:val="24"/>
          <w:lang w:val="en-GB"/>
        </w:rPr>
      </w:pPr>
    </w:p>
    <w:p w14:paraId="49B91BBF" w14:textId="77777777" w:rsidR="0078138E" w:rsidRPr="0078138E" w:rsidRDefault="0078138E" w:rsidP="00701C32">
      <w:pPr>
        <w:ind w:left="851"/>
        <w:rPr>
          <w:sz w:val="24"/>
          <w:szCs w:val="24"/>
          <w:lang w:val="en-GB"/>
        </w:rPr>
      </w:pPr>
      <w:r w:rsidRPr="0078138E">
        <w:rPr>
          <w:i/>
          <w:iCs/>
          <w:sz w:val="24"/>
          <w:szCs w:val="24"/>
          <w:lang w:val="en-GB"/>
        </w:rPr>
        <w:t>Chronic graft-versus-host disease</w:t>
      </w:r>
    </w:p>
    <w:p w14:paraId="5D6A3C03" w14:textId="77777777" w:rsidR="0078138E" w:rsidRPr="0078138E" w:rsidRDefault="0078138E" w:rsidP="00701C32">
      <w:pPr>
        <w:ind w:left="851"/>
        <w:rPr>
          <w:sz w:val="24"/>
          <w:szCs w:val="24"/>
          <w:lang w:val="en-GB"/>
        </w:rPr>
      </w:pPr>
      <w:r w:rsidRPr="0078138E">
        <w:rPr>
          <w:sz w:val="24"/>
          <w:szCs w:val="24"/>
          <w:lang w:val="en-GB"/>
        </w:rPr>
        <w:t xml:space="preserve">In REACH3, 329 patients with moderate or severe corticosteroid-refractory, chronic GvHD were randomised 1:1 to </w:t>
      </w:r>
      <w:proofErr w:type="spellStart"/>
      <w:r w:rsidRPr="0078138E">
        <w:rPr>
          <w:sz w:val="24"/>
          <w:szCs w:val="24"/>
          <w:lang w:val="en-GB"/>
        </w:rPr>
        <w:t>ruxolitinib</w:t>
      </w:r>
      <w:proofErr w:type="spellEnd"/>
      <w:r w:rsidRPr="0078138E">
        <w:rPr>
          <w:sz w:val="24"/>
          <w:szCs w:val="24"/>
          <w:lang w:val="en-GB"/>
        </w:rPr>
        <w:t xml:space="preserve"> or BAT. Patients were stratified by severity of chronic GvHD at the time of randomisation. Corticosteroid refractoriness was determined when patients had lack of response or disease progression after 7 days, or had disease persistence for 4 weeks or failed corticosteroid taper twice.</w:t>
      </w:r>
    </w:p>
    <w:p w14:paraId="4F8D1FD2" w14:textId="77777777" w:rsidR="0078138E" w:rsidRPr="0078138E" w:rsidRDefault="0078138E" w:rsidP="00701C32">
      <w:pPr>
        <w:ind w:left="851"/>
        <w:rPr>
          <w:sz w:val="24"/>
          <w:szCs w:val="24"/>
          <w:lang w:val="en-GB"/>
        </w:rPr>
      </w:pPr>
    </w:p>
    <w:p w14:paraId="740AA83B" w14:textId="77777777" w:rsidR="0078138E" w:rsidRPr="0078138E" w:rsidRDefault="0078138E" w:rsidP="00701C32">
      <w:pPr>
        <w:ind w:left="851"/>
        <w:rPr>
          <w:sz w:val="24"/>
          <w:szCs w:val="24"/>
          <w:lang w:val="en-GB"/>
        </w:rPr>
      </w:pPr>
      <w:r w:rsidRPr="0078138E">
        <w:rPr>
          <w:sz w:val="24"/>
          <w:szCs w:val="24"/>
          <w:lang w:val="en-GB"/>
        </w:rPr>
        <w:t>BAT was selected by the investigator on a patient-by-patient basis and included extracorporeal photopheresis (ECP), low dose methotrexate (MTX), mycophenolate mofetil (MMF), mTOR inhibitors (</w:t>
      </w:r>
      <w:proofErr w:type="spellStart"/>
      <w:r w:rsidRPr="0078138E">
        <w:rPr>
          <w:sz w:val="24"/>
          <w:szCs w:val="24"/>
          <w:lang w:val="en-GB"/>
        </w:rPr>
        <w:t>everolimus</w:t>
      </w:r>
      <w:proofErr w:type="spellEnd"/>
      <w:r w:rsidRPr="0078138E">
        <w:rPr>
          <w:sz w:val="24"/>
          <w:szCs w:val="24"/>
          <w:lang w:val="en-GB"/>
        </w:rPr>
        <w:t xml:space="preserve"> or sirolimus), infliximab, rituximab, </w:t>
      </w:r>
      <w:proofErr w:type="spellStart"/>
      <w:r w:rsidRPr="0078138E">
        <w:rPr>
          <w:sz w:val="24"/>
          <w:szCs w:val="24"/>
          <w:lang w:val="en-GB"/>
        </w:rPr>
        <w:t>pentostatin</w:t>
      </w:r>
      <w:proofErr w:type="spellEnd"/>
      <w:r w:rsidRPr="0078138E">
        <w:rPr>
          <w:sz w:val="24"/>
          <w:szCs w:val="24"/>
          <w:lang w:val="en-GB"/>
        </w:rPr>
        <w:t>, imatinib, or ibrutinib.</w:t>
      </w:r>
    </w:p>
    <w:p w14:paraId="57E4E3AE" w14:textId="77777777" w:rsidR="0078138E" w:rsidRPr="0078138E" w:rsidRDefault="0078138E" w:rsidP="00701C32">
      <w:pPr>
        <w:ind w:left="851"/>
        <w:rPr>
          <w:sz w:val="24"/>
          <w:szCs w:val="24"/>
          <w:lang w:val="en-GB"/>
        </w:rPr>
      </w:pPr>
    </w:p>
    <w:p w14:paraId="02FF7AFB" w14:textId="77777777" w:rsidR="0078138E" w:rsidRPr="0078138E" w:rsidRDefault="0078138E" w:rsidP="00701C32">
      <w:pPr>
        <w:ind w:left="851"/>
        <w:rPr>
          <w:sz w:val="24"/>
          <w:szCs w:val="24"/>
          <w:lang w:val="en-GB"/>
        </w:rPr>
      </w:pPr>
      <w:r w:rsidRPr="0078138E">
        <w:rPr>
          <w:sz w:val="24"/>
          <w:szCs w:val="24"/>
          <w:lang w:val="en-GB"/>
        </w:rPr>
        <w:t xml:space="preserve">In addition to </w:t>
      </w:r>
      <w:proofErr w:type="spellStart"/>
      <w:r w:rsidRPr="0078138E">
        <w:rPr>
          <w:sz w:val="24"/>
          <w:szCs w:val="24"/>
          <w:lang w:val="en-GB"/>
        </w:rPr>
        <w:t>ruxolitinib</w:t>
      </w:r>
      <w:proofErr w:type="spellEnd"/>
      <w:r w:rsidRPr="0078138E">
        <w:rPr>
          <w:sz w:val="24"/>
          <w:szCs w:val="24"/>
          <w:lang w:val="en-GB"/>
        </w:rPr>
        <w:t xml:space="preserve"> or BAT, patients could have received standard allogeneic stem cell transplantation supportive care including anti-infective medicinal products and transfusion support. Continued use of corticosteroids and CNIs such as cyclosporine or tacrolimus and topical or inhaled corticosteroid therapies were allowed per institutional guidelines.</w:t>
      </w:r>
    </w:p>
    <w:p w14:paraId="1E1DB0D3" w14:textId="77777777" w:rsidR="0078138E" w:rsidRPr="0078138E" w:rsidRDefault="0078138E" w:rsidP="00701C32">
      <w:pPr>
        <w:ind w:left="851"/>
        <w:rPr>
          <w:sz w:val="24"/>
          <w:szCs w:val="24"/>
          <w:lang w:val="en-GB"/>
        </w:rPr>
      </w:pPr>
    </w:p>
    <w:p w14:paraId="741546A0" w14:textId="77777777" w:rsidR="0078138E" w:rsidRPr="0078138E" w:rsidRDefault="0078138E" w:rsidP="00701C32">
      <w:pPr>
        <w:ind w:left="851"/>
        <w:rPr>
          <w:sz w:val="24"/>
          <w:szCs w:val="24"/>
          <w:lang w:val="en-GB"/>
        </w:rPr>
      </w:pPr>
      <w:r w:rsidRPr="0078138E">
        <w:rPr>
          <w:sz w:val="24"/>
          <w:szCs w:val="24"/>
          <w:lang w:val="en-GB"/>
        </w:rPr>
        <w:t>Patients who received one prior systemic treatment other than corticosteroids and/or CNI for chronic GvHD were eligible for inclusion in the study. In addition to corticosteroids and CNI, prior systemic medicinal product for chronic GvHD was allowed to continue only if used for chronic GvHD prophylaxis (i.e. started before the chronic GvHD diagnosis) as per common medical practice.</w:t>
      </w:r>
    </w:p>
    <w:p w14:paraId="6F434CE7" w14:textId="77777777" w:rsidR="0078138E" w:rsidRPr="0078138E" w:rsidRDefault="0078138E" w:rsidP="00701C32">
      <w:pPr>
        <w:ind w:left="851"/>
        <w:rPr>
          <w:sz w:val="24"/>
          <w:szCs w:val="24"/>
          <w:lang w:val="en-GB"/>
        </w:rPr>
      </w:pPr>
    </w:p>
    <w:p w14:paraId="03EA1F9A" w14:textId="77777777" w:rsidR="0078138E" w:rsidRPr="0078138E" w:rsidRDefault="0078138E" w:rsidP="00701C32">
      <w:pPr>
        <w:ind w:left="851"/>
        <w:rPr>
          <w:sz w:val="24"/>
          <w:szCs w:val="24"/>
          <w:lang w:val="en-GB"/>
        </w:rPr>
      </w:pPr>
      <w:r w:rsidRPr="0078138E">
        <w:rPr>
          <w:sz w:val="24"/>
          <w:szCs w:val="24"/>
          <w:lang w:val="en-GB"/>
        </w:rPr>
        <w:t xml:space="preserve">Patients on BAT could cross over to </w:t>
      </w:r>
      <w:proofErr w:type="spellStart"/>
      <w:r w:rsidRPr="0078138E">
        <w:rPr>
          <w:sz w:val="24"/>
          <w:szCs w:val="24"/>
          <w:lang w:val="en-GB"/>
        </w:rPr>
        <w:t>ruxolitinib</w:t>
      </w:r>
      <w:proofErr w:type="spellEnd"/>
      <w:r w:rsidRPr="0078138E">
        <w:rPr>
          <w:sz w:val="24"/>
          <w:szCs w:val="24"/>
          <w:lang w:val="en-GB"/>
        </w:rPr>
        <w:t xml:space="preserve"> on day 169 and thereafter due to disease progression, mixed response, or unchanged response, due to toxicity to BAT, or due to chronic GvHD flare.</w:t>
      </w:r>
    </w:p>
    <w:p w14:paraId="47CAF6CA" w14:textId="77777777" w:rsidR="0078138E" w:rsidRPr="0078138E" w:rsidRDefault="0078138E" w:rsidP="00701C32">
      <w:pPr>
        <w:ind w:left="851"/>
        <w:rPr>
          <w:sz w:val="24"/>
          <w:szCs w:val="24"/>
          <w:lang w:val="en-GB"/>
        </w:rPr>
      </w:pPr>
    </w:p>
    <w:p w14:paraId="506A84CA" w14:textId="77777777" w:rsidR="0078138E" w:rsidRPr="0078138E" w:rsidRDefault="0078138E" w:rsidP="00701C32">
      <w:pPr>
        <w:ind w:left="851"/>
        <w:rPr>
          <w:sz w:val="24"/>
          <w:szCs w:val="24"/>
          <w:lang w:val="en-GB"/>
        </w:rPr>
      </w:pPr>
      <w:r w:rsidRPr="0078138E">
        <w:rPr>
          <w:sz w:val="24"/>
          <w:szCs w:val="24"/>
          <w:lang w:val="en-GB"/>
        </w:rPr>
        <w:t>Efficacy in patients that transition from active acute GvHD to chronic GvHD without tapering off corticosteroids and any systemic treatment is unknown. Efficacy in acute or chronic GvHD after donor lymphocyte infusion (DLI) and in patients who did not tolerate steroid treatment is unknown.</w:t>
      </w:r>
    </w:p>
    <w:p w14:paraId="21751852" w14:textId="77777777" w:rsidR="0078138E" w:rsidRPr="0078138E" w:rsidRDefault="0078138E" w:rsidP="00701C32">
      <w:pPr>
        <w:ind w:left="851"/>
        <w:rPr>
          <w:sz w:val="24"/>
          <w:szCs w:val="24"/>
          <w:lang w:val="en-GB"/>
        </w:rPr>
      </w:pPr>
    </w:p>
    <w:p w14:paraId="2432BA96" w14:textId="77777777" w:rsidR="0078138E" w:rsidRPr="0078138E" w:rsidRDefault="0078138E" w:rsidP="00701C32">
      <w:pPr>
        <w:ind w:left="851"/>
        <w:rPr>
          <w:sz w:val="24"/>
          <w:szCs w:val="24"/>
          <w:lang w:val="en-GB"/>
        </w:rPr>
      </w:pPr>
      <w:r w:rsidRPr="0078138E">
        <w:rPr>
          <w:sz w:val="24"/>
          <w:szCs w:val="24"/>
          <w:lang w:val="en-GB"/>
        </w:rPr>
        <w:t xml:space="preserve">Tapering of </w:t>
      </w:r>
      <w:proofErr w:type="spellStart"/>
      <w:r w:rsidRPr="0078138E">
        <w:rPr>
          <w:sz w:val="24"/>
          <w:szCs w:val="24"/>
          <w:lang w:val="en-GB"/>
        </w:rPr>
        <w:t>ruxolitinib</w:t>
      </w:r>
      <w:proofErr w:type="spellEnd"/>
      <w:r w:rsidRPr="0078138E">
        <w:rPr>
          <w:sz w:val="24"/>
          <w:szCs w:val="24"/>
          <w:lang w:val="en-GB"/>
        </w:rPr>
        <w:t xml:space="preserve"> was allowed after the day 169 visit.</w:t>
      </w:r>
    </w:p>
    <w:p w14:paraId="492CDA31" w14:textId="77777777" w:rsidR="0078138E" w:rsidRPr="0078138E" w:rsidRDefault="0078138E" w:rsidP="00701C32">
      <w:pPr>
        <w:ind w:left="851"/>
        <w:rPr>
          <w:sz w:val="24"/>
          <w:szCs w:val="24"/>
          <w:lang w:val="en-GB"/>
        </w:rPr>
      </w:pPr>
    </w:p>
    <w:p w14:paraId="58BB7180" w14:textId="77777777" w:rsidR="0078138E" w:rsidRPr="0078138E" w:rsidRDefault="0078138E" w:rsidP="00701C32">
      <w:pPr>
        <w:ind w:left="851"/>
        <w:rPr>
          <w:sz w:val="24"/>
          <w:szCs w:val="24"/>
          <w:lang w:val="en-GB"/>
        </w:rPr>
      </w:pPr>
      <w:r w:rsidRPr="0078138E">
        <w:rPr>
          <w:sz w:val="24"/>
          <w:szCs w:val="24"/>
          <w:lang w:val="en-GB"/>
        </w:rPr>
        <w:t xml:space="preserve">Baseline demographics and disease characteristics were balanced between the two treatment arms. The median age was 49 years (range 12 to 76 years). The study included 3.6% adolescent, 61.1% male and 75.4% white patients. </w:t>
      </w:r>
      <w:proofErr w:type="gramStart"/>
      <w:r w:rsidRPr="0078138E">
        <w:rPr>
          <w:sz w:val="24"/>
          <w:szCs w:val="24"/>
          <w:lang w:val="en-GB"/>
        </w:rPr>
        <w:t>The majority of</w:t>
      </w:r>
      <w:proofErr w:type="gramEnd"/>
      <w:r w:rsidRPr="0078138E">
        <w:rPr>
          <w:sz w:val="24"/>
          <w:szCs w:val="24"/>
          <w:lang w:val="en-GB"/>
        </w:rPr>
        <w:t xml:space="preserve"> enrolled patients had malignant underlying disease.</w:t>
      </w:r>
    </w:p>
    <w:p w14:paraId="29FE2454" w14:textId="77777777" w:rsidR="0078138E" w:rsidRPr="0078138E" w:rsidRDefault="0078138E" w:rsidP="00701C32">
      <w:pPr>
        <w:ind w:left="851"/>
        <w:rPr>
          <w:sz w:val="24"/>
          <w:szCs w:val="24"/>
          <w:lang w:val="en-GB"/>
        </w:rPr>
      </w:pPr>
    </w:p>
    <w:p w14:paraId="15C4626A" w14:textId="77777777" w:rsidR="0078138E" w:rsidRPr="0078138E" w:rsidRDefault="0078138E" w:rsidP="00701C32">
      <w:pPr>
        <w:ind w:left="851"/>
        <w:rPr>
          <w:sz w:val="24"/>
          <w:szCs w:val="24"/>
          <w:lang w:val="en-GB"/>
        </w:rPr>
      </w:pPr>
      <w:r w:rsidRPr="0078138E">
        <w:rPr>
          <w:sz w:val="24"/>
          <w:szCs w:val="24"/>
          <w:lang w:val="en-GB"/>
        </w:rPr>
        <w:t xml:space="preserve">The severity at diagnosis of corticosteroid-refractory chronic GvHD was balanced between the two treatment arms, with 41% and 45% moderate, and 59% and 55% severe, in the </w:t>
      </w:r>
      <w:proofErr w:type="spellStart"/>
      <w:r w:rsidRPr="0078138E">
        <w:rPr>
          <w:sz w:val="24"/>
          <w:szCs w:val="24"/>
          <w:lang w:val="en-GB"/>
        </w:rPr>
        <w:t>ruxolitinib</w:t>
      </w:r>
      <w:proofErr w:type="spellEnd"/>
      <w:r w:rsidRPr="0078138E">
        <w:rPr>
          <w:sz w:val="24"/>
          <w:szCs w:val="24"/>
          <w:lang w:val="en-GB"/>
        </w:rPr>
        <w:t xml:space="preserve"> and the BAT arms, respectively.</w:t>
      </w:r>
    </w:p>
    <w:p w14:paraId="2A004351" w14:textId="77777777" w:rsidR="0078138E" w:rsidRPr="0078138E" w:rsidRDefault="0078138E" w:rsidP="00701C32">
      <w:pPr>
        <w:ind w:left="851"/>
        <w:rPr>
          <w:sz w:val="24"/>
          <w:szCs w:val="24"/>
          <w:lang w:val="en-GB"/>
        </w:rPr>
      </w:pPr>
    </w:p>
    <w:p w14:paraId="672346DA" w14:textId="77777777" w:rsidR="0078138E" w:rsidRPr="0078138E" w:rsidRDefault="0078138E" w:rsidP="00701C32">
      <w:pPr>
        <w:ind w:left="851"/>
        <w:rPr>
          <w:sz w:val="24"/>
          <w:szCs w:val="24"/>
          <w:lang w:val="en-GB"/>
        </w:rPr>
      </w:pPr>
      <w:r w:rsidRPr="0078138E">
        <w:rPr>
          <w:sz w:val="24"/>
          <w:szCs w:val="24"/>
          <w:lang w:val="en-GB"/>
        </w:rPr>
        <w:t xml:space="preserve">Patients’ insufficient response to corticosteroids in the </w:t>
      </w:r>
      <w:proofErr w:type="spellStart"/>
      <w:r w:rsidRPr="0078138E">
        <w:rPr>
          <w:sz w:val="24"/>
          <w:szCs w:val="24"/>
          <w:lang w:val="en-GB"/>
        </w:rPr>
        <w:t>ruxolitinib</w:t>
      </w:r>
      <w:proofErr w:type="spellEnd"/>
      <w:r w:rsidRPr="0078138E">
        <w:rPr>
          <w:sz w:val="24"/>
          <w:szCs w:val="24"/>
          <w:lang w:val="en-GB"/>
        </w:rPr>
        <w:t xml:space="preserve"> and BAT arm were characterised by i) a lack of response or disease progression after corticosteroid treatment for at least 7 days at 1 mg/kg/day of prednisone equivalents (37.6% and 44.5%, respectively), ii) disease persistence after 4 weeks at 0.5 mg/kg/day (35.2% and 25.6%), or iii) corticosteroid dependency (27.3% and 29.9%, respectively). </w:t>
      </w:r>
    </w:p>
    <w:p w14:paraId="4F61FD86" w14:textId="77777777" w:rsidR="0078138E" w:rsidRPr="0078138E" w:rsidRDefault="0078138E" w:rsidP="00701C32">
      <w:pPr>
        <w:ind w:left="851"/>
        <w:rPr>
          <w:sz w:val="24"/>
          <w:szCs w:val="24"/>
          <w:lang w:val="en-GB"/>
        </w:rPr>
      </w:pPr>
      <w:r w:rsidRPr="0078138E">
        <w:rPr>
          <w:sz w:val="24"/>
          <w:szCs w:val="24"/>
          <w:lang w:val="en-GB"/>
        </w:rPr>
        <w:t xml:space="preserve">Among all patients, 73% and 45% had skin and lung involvement in the </w:t>
      </w:r>
      <w:proofErr w:type="spellStart"/>
      <w:r w:rsidRPr="0078138E">
        <w:rPr>
          <w:sz w:val="24"/>
          <w:szCs w:val="24"/>
          <w:lang w:val="en-GB"/>
        </w:rPr>
        <w:t>ruxolitinib</w:t>
      </w:r>
      <w:proofErr w:type="spellEnd"/>
      <w:r w:rsidRPr="0078138E">
        <w:rPr>
          <w:sz w:val="24"/>
          <w:szCs w:val="24"/>
          <w:lang w:val="en-GB"/>
        </w:rPr>
        <w:t xml:space="preserve"> arm, compared to 69% and 41% in the BAT arm.</w:t>
      </w:r>
    </w:p>
    <w:p w14:paraId="7D47DFD5" w14:textId="77777777" w:rsidR="0078138E" w:rsidRPr="0078138E" w:rsidRDefault="0078138E" w:rsidP="00701C32">
      <w:pPr>
        <w:ind w:left="851"/>
        <w:rPr>
          <w:sz w:val="24"/>
          <w:szCs w:val="24"/>
          <w:lang w:val="en-GB"/>
        </w:rPr>
      </w:pPr>
    </w:p>
    <w:p w14:paraId="4962ECA2" w14:textId="77777777" w:rsidR="0078138E" w:rsidRPr="0078138E" w:rsidRDefault="0078138E" w:rsidP="00701C32">
      <w:pPr>
        <w:ind w:left="851"/>
        <w:rPr>
          <w:sz w:val="24"/>
          <w:szCs w:val="24"/>
          <w:lang w:val="en-GB"/>
        </w:rPr>
      </w:pPr>
      <w:r w:rsidRPr="0078138E">
        <w:rPr>
          <w:sz w:val="24"/>
          <w:szCs w:val="24"/>
          <w:lang w:val="en-GB"/>
        </w:rPr>
        <w:t xml:space="preserve">The most frequently used prior systemic chronic GvHD therapies were corticosteroids only (43% in the </w:t>
      </w:r>
      <w:proofErr w:type="spellStart"/>
      <w:r w:rsidRPr="0078138E">
        <w:rPr>
          <w:sz w:val="24"/>
          <w:szCs w:val="24"/>
          <w:lang w:val="en-GB"/>
        </w:rPr>
        <w:t>ruxolitinib</w:t>
      </w:r>
      <w:proofErr w:type="spellEnd"/>
      <w:r w:rsidRPr="0078138E">
        <w:rPr>
          <w:sz w:val="24"/>
          <w:szCs w:val="24"/>
          <w:lang w:val="en-GB"/>
        </w:rPr>
        <w:t xml:space="preserve"> arm and 49% in the BAT arm) and </w:t>
      </w:r>
      <w:proofErr w:type="spellStart"/>
      <w:r w:rsidRPr="0078138E">
        <w:rPr>
          <w:sz w:val="24"/>
          <w:szCs w:val="24"/>
          <w:lang w:val="en-GB"/>
        </w:rPr>
        <w:t>corticosteroids+CNIs</w:t>
      </w:r>
      <w:proofErr w:type="spellEnd"/>
      <w:r w:rsidRPr="0078138E">
        <w:rPr>
          <w:sz w:val="24"/>
          <w:szCs w:val="24"/>
          <w:lang w:val="en-GB"/>
        </w:rPr>
        <w:t xml:space="preserve"> (41% patients in the </w:t>
      </w:r>
      <w:proofErr w:type="spellStart"/>
      <w:r w:rsidRPr="0078138E">
        <w:rPr>
          <w:sz w:val="24"/>
          <w:szCs w:val="24"/>
          <w:lang w:val="en-GB"/>
        </w:rPr>
        <w:t>ruxolitinib</w:t>
      </w:r>
      <w:proofErr w:type="spellEnd"/>
      <w:r w:rsidRPr="0078138E">
        <w:rPr>
          <w:sz w:val="24"/>
          <w:szCs w:val="24"/>
          <w:lang w:val="en-GB"/>
        </w:rPr>
        <w:t xml:space="preserve"> arm and 42% in the BAT arm).</w:t>
      </w:r>
    </w:p>
    <w:p w14:paraId="731CDF3C" w14:textId="77777777" w:rsidR="0078138E" w:rsidRPr="0078138E" w:rsidRDefault="0078138E" w:rsidP="00701C32">
      <w:pPr>
        <w:ind w:left="851"/>
        <w:rPr>
          <w:sz w:val="24"/>
          <w:szCs w:val="24"/>
          <w:lang w:val="en-GB"/>
        </w:rPr>
      </w:pPr>
    </w:p>
    <w:p w14:paraId="35ACFF94" w14:textId="77777777" w:rsidR="0078138E" w:rsidRPr="0078138E" w:rsidRDefault="0078138E" w:rsidP="00701C32">
      <w:pPr>
        <w:ind w:left="851"/>
        <w:rPr>
          <w:sz w:val="24"/>
          <w:szCs w:val="24"/>
          <w:lang w:val="en-GB"/>
        </w:rPr>
      </w:pPr>
      <w:r w:rsidRPr="0078138E">
        <w:rPr>
          <w:sz w:val="24"/>
          <w:szCs w:val="24"/>
          <w:lang w:val="en-GB"/>
        </w:rPr>
        <w:t>The primary endpoint was the ORR on day 169, defined as the proportion of patients in each arm with a CR or a PR without the requirement of additional systemic therapies for an earlier progression, mixed response or non-response based on investigator assessment per National Institutes of Health (NIH) criteria.</w:t>
      </w:r>
    </w:p>
    <w:p w14:paraId="48D59121" w14:textId="77777777" w:rsidR="0078138E" w:rsidRPr="0078138E" w:rsidRDefault="0078138E" w:rsidP="00701C32">
      <w:pPr>
        <w:ind w:left="851"/>
        <w:rPr>
          <w:sz w:val="24"/>
          <w:szCs w:val="24"/>
          <w:lang w:val="en-GB"/>
        </w:rPr>
      </w:pPr>
    </w:p>
    <w:p w14:paraId="442D79F4" w14:textId="77777777" w:rsidR="0078138E" w:rsidRPr="0078138E" w:rsidRDefault="0078138E" w:rsidP="00701C32">
      <w:pPr>
        <w:ind w:left="851"/>
        <w:rPr>
          <w:sz w:val="24"/>
          <w:szCs w:val="24"/>
          <w:lang w:val="en-GB"/>
        </w:rPr>
      </w:pPr>
      <w:r w:rsidRPr="0078138E">
        <w:rPr>
          <w:sz w:val="24"/>
          <w:szCs w:val="24"/>
          <w:lang w:val="en-GB"/>
        </w:rPr>
        <w:t>A key secondary endpoint was failure free survival (FFS), a composite time to event endpoint, incorporating the earliest of the following events: i) relapse or recurrence of underlying disease or death due to underlying disease, ii) non-relapse mortality, or iii) addition or initiation of another systemic therapy for chronic GvHD.</w:t>
      </w:r>
    </w:p>
    <w:p w14:paraId="1FAC4CC0" w14:textId="77777777" w:rsidR="0078138E" w:rsidRPr="0078138E" w:rsidRDefault="0078138E" w:rsidP="00701C32">
      <w:pPr>
        <w:ind w:left="851"/>
        <w:rPr>
          <w:sz w:val="24"/>
          <w:szCs w:val="24"/>
          <w:lang w:val="en-GB"/>
        </w:rPr>
      </w:pPr>
    </w:p>
    <w:p w14:paraId="300923B0" w14:textId="77777777" w:rsidR="0078138E" w:rsidRPr="0078138E" w:rsidRDefault="0078138E" w:rsidP="00701C32">
      <w:pPr>
        <w:ind w:left="851"/>
        <w:rPr>
          <w:sz w:val="24"/>
          <w:szCs w:val="24"/>
          <w:lang w:val="en-GB"/>
        </w:rPr>
      </w:pPr>
      <w:r w:rsidRPr="0078138E">
        <w:rPr>
          <w:sz w:val="24"/>
          <w:szCs w:val="24"/>
          <w:lang w:val="en-GB"/>
        </w:rPr>
        <w:t xml:space="preserve">REACH3 met its primary objective. At the time of primary analysis (data cut-off date: 08-May-2020), the ORR at week 24 was higher in the </w:t>
      </w:r>
      <w:proofErr w:type="spellStart"/>
      <w:r w:rsidRPr="0078138E">
        <w:rPr>
          <w:sz w:val="24"/>
          <w:szCs w:val="24"/>
          <w:lang w:val="en-GB"/>
        </w:rPr>
        <w:t>ruxolitinib</w:t>
      </w:r>
      <w:proofErr w:type="spellEnd"/>
      <w:r w:rsidRPr="0078138E">
        <w:rPr>
          <w:sz w:val="24"/>
          <w:szCs w:val="24"/>
          <w:lang w:val="en-GB"/>
        </w:rPr>
        <w:t xml:space="preserve"> arm (49.7%) compared to the BAT arm (25.6%). There was a statistically significant difference between the treatment arms (stratified Cochrane-Mantel-Haenszel test p&lt;0.0001, two-sided, OR: 2.99; 95% CI: 1.86, 4.80). Results are presented in Table 12.</w:t>
      </w:r>
    </w:p>
    <w:p w14:paraId="69AAEAC8" w14:textId="77777777" w:rsidR="0078138E" w:rsidRPr="0078138E" w:rsidRDefault="0078138E" w:rsidP="00701C32">
      <w:pPr>
        <w:ind w:left="851"/>
        <w:rPr>
          <w:sz w:val="24"/>
          <w:szCs w:val="24"/>
          <w:lang w:val="en-GB"/>
        </w:rPr>
      </w:pPr>
    </w:p>
    <w:p w14:paraId="5CFDDE4F" w14:textId="77777777" w:rsidR="0078138E" w:rsidRPr="0078138E" w:rsidRDefault="0078138E" w:rsidP="00701C32">
      <w:pPr>
        <w:ind w:left="851"/>
        <w:rPr>
          <w:sz w:val="24"/>
          <w:szCs w:val="24"/>
          <w:lang w:val="en-GB"/>
        </w:rPr>
      </w:pPr>
      <w:r w:rsidRPr="0078138E">
        <w:rPr>
          <w:sz w:val="24"/>
          <w:szCs w:val="24"/>
          <w:lang w:val="en-GB"/>
        </w:rPr>
        <w:t xml:space="preserve">Among the non-responders at day 169 in the </w:t>
      </w:r>
      <w:proofErr w:type="spellStart"/>
      <w:r w:rsidRPr="0078138E">
        <w:rPr>
          <w:sz w:val="24"/>
          <w:szCs w:val="24"/>
          <w:lang w:val="en-GB"/>
        </w:rPr>
        <w:t>ruxolitinib</w:t>
      </w:r>
      <w:proofErr w:type="spellEnd"/>
      <w:r w:rsidRPr="0078138E">
        <w:rPr>
          <w:sz w:val="24"/>
          <w:szCs w:val="24"/>
          <w:lang w:val="en-GB"/>
        </w:rPr>
        <w:t xml:space="preserve"> and BAT arms, 2.4% and 12.8% had disease progression, respectively.</w:t>
      </w:r>
    </w:p>
    <w:p w14:paraId="12466CDF" w14:textId="77777777" w:rsidR="0078138E" w:rsidRPr="0078138E" w:rsidRDefault="0078138E" w:rsidP="00701C32">
      <w:pPr>
        <w:ind w:left="851"/>
        <w:rPr>
          <w:sz w:val="24"/>
          <w:szCs w:val="24"/>
          <w:lang w:val="en-GB"/>
        </w:rPr>
      </w:pPr>
    </w:p>
    <w:p w14:paraId="32CB5744" w14:textId="02A7FEED" w:rsidR="0078138E" w:rsidRPr="0078138E" w:rsidRDefault="0078138E" w:rsidP="0078138E">
      <w:pPr>
        <w:tabs>
          <w:tab w:val="left" w:pos="851"/>
        </w:tabs>
        <w:ind w:left="851"/>
        <w:rPr>
          <w:sz w:val="24"/>
          <w:szCs w:val="24"/>
          <w:lang w:val="en-GB"/>
        </w:rPr>
      </w:pPr>
      <w:r w:rsidRPr="0078138E">
        <w:rPr>
          <w:b/>
          <w:bCs/>
          <w:sz w:val="24"/>
          <w:szCs w:val="24"/>
          <w:lang w:val="en-GB"/>
        </w:rPr>
        <w:t>Table 12</w:t>
      </w:r>
      <w:r w:rsidR="00FF685B">
        <w:rPr>
          <w:b/>
          <w:bCs/>
          <w:sz w:val="24"/>
          <w:szCs w:val="24"/>
          <w:lang w:val="en-GB"/>
        </w:rPr>
        <w:t>.</w:t>
      </w:r>
      <w:r w:rsidRPr="0078138E">
        <w:rPr>
          <w:b/>
          <w:bCs/>
          <w:sz w:val="24"/>
          <w:szCs w:val="24"/>
          <w:lang w:val="en-GB"/>
        </w:rPr>
        <w:t xml:space="preserve"> Overall response rate at day 169 in REACH3</w:t>
      </w:r>
    </w:p>
    <w:tbl>
      <w:tblPr>
        <w:tblStyle w:val="Tabel-Gitter"/>
        <w:tblW w:w="5000" w:type="pct"/>
        <w:tblLook w:val="04A0" w:firstRow="1" w:lastRow="0" w:firstColumn="1" w:lastColumn="0" w:noHBand="0" w:noVBand="1"/>
      </w:tblPr>
      <w:tblGrid>
        <w:gridCol w:w="3210"/>
        <w:gridCol w:w="1604"/>
        <w:gridCol w:w="1604"/>
        <w:gridCol w:w="1604"/>
        <w:gridCol w:w="1606"/>
      </w:tblGrid>
      <w:tr w:rsidR="0078138E" w:rsidRPr="009B509D" w14:paraId="4EDB49C0" w14:textId="77777777" w:rsidTr="00701C32">
        <w:tc>
          <w:tcPr>
            <w:tcW w:w="1667" w:type="pct"/>
            <w:tcBorders>
              <w:top w:val="single" w:sz="4" w:space="0" w:color="auto"/>
              <w:left w:val="single" w:sz="4" w:space="0" w:color="auto"/>
              <w:bottom w:val="single" w:sz="4" w:space="0" w:color="auto"/>
              <w:right w:val="single" w:sz="4" w:space="0" w:color="auto"/>
            </w:tcBorders>
          </w:tcPr>
          <w:p w14:paraId="3DDFA4A5" w14:textId="77777777" w:rsidR="0078138E" w:rsidRPr="009B509D" w:rsidRDefault="0078138E" w:rsidP="00701C32">
            <w:pPr>
              <w:rPr>
                <w:sz w:val="24"/>
                <w:szCs w:val="24"/>
                <w:lang w:val="en-GB"/>
              </w:rPr>
            </w:pPr>
          </w:p>
        </w:tc>
        <w:tc>
          <w:tcPr>
            <w:tcW w:w="1666" w:type="pct"/>
            <w:gridSpan w:val="2"/>
            <w:tcBorders>
              <w:top w:val="single" w:sz="4" w:space="0" w:color="auto"/>
              <w:left w:val="single" w:sz="4" w:space="0" w:color="auto"/>
              <w:bottom w:val="single" w:sz="4" w:space="0" w:color="auto"/>
              <w:right w:val="single" w:sz="4" w:space="0" w:color="auto"/>
            </w:tcBorders>
            <w:hideMark/>
          </w:tcPr>
          <w:p w14:paraId="47BC18B8" w14:textId="77777777" w:rsidR="0078138E" w:rsidRPr="00FF685B" w:rsidRDefault="0078138E" w:rsidP="00FF685B">
            <w:pPr>
              <w:jc w:val="center"/>
              <w:rPr>
                <w:b/>
                <w:bCs/>
                <w:sz w:val="24"/>
                <w:szCs w:val="24"/>
                <w:lang w:val="en-GB"/>
              </w:rPr>
            </w:pPr>
            <w:proofErr w:type="spellStart"/>
            <w:r w:rsidRPr="00FF685B">
              <w:rPr>
                <w:b/>
                <w:bCs/>
                <w:sz w:val="24"/>
                <w:szCs w:val="24"/>
                <w:lang w:val="en-GB"/>
              </w:rPr>
              <w:t>Ruxolitinib</w:t>
            </w:r>
            <w:proofErr w:type="spellEnd"/>
            <w:r w:rsidRPr="00FF685B">
              <w:rPr>
                <w:b/>
                <w:bCs/>
                <w:sz w:val="24"/>
                <w:szCs w:val="24"/>
                <w:lang w:val="en-GB"/>
              </w:rPr>
              <w:t xml:space="preserve"> N=165</w:t>
            </w:r>
          </w:p>
        </w:tc>
        <w:tc>
          <w:tcPr>
            <w:tcW w:w="1667" w:type="pct"/>
            <w:gridSpan w:val="2"/>
            <w:tcBorders>
              <w:top w:val="single" w:sz="4" w:space="0" w:color="auto"/>
              <w:left w:val="single" w:sz="4" w:space="0" w:color="auto"/>
              <w:bottom w:val="single" w:sz="4" w:space="0" w:color="auto"/>
              <w:right w:val="single" w:sz="4" w:space="0" w:color="auto"/>
            </w:tcBorders>
            <w:hideMark/>
          </w:tcPr>
          <w:p w14:paraId="160D2F53" w14:textId="77777777" w:rsidR="0078138E" w:rsidRPr="00FF685B" w:rsidRDefault="0078138E" w:rsidP="00FF685B">
            <w:pPr>
              <w:jc w:val="center"/>
              <w:rPr>
                <w:b/>
                <w:bCs/>
                <w:sz w:val="24"/>
                <w:szCs w:val="24"/>
                <w:lang w:val="en-GB"/>
              </w:rPr>
            </w:pPr>
            <w:r w:rsidRPr="00FF685B">
              <w:rPr>
                <w:b/>
                <w:bCs/>
                <w:sz w:val="24"/>
                <w:szCs w:val="24"/>
                <w:lang w:val="en-GB"/>
              </w:rPr>
              <w:t>BAT</w:t>
            </w:r>
          </w:p>
          <w:p w14:paraId="12DD4CE3" w14:textId="77777777" w:rsidR="0078138E" w:rsidRPr="00FF685B" w:rsidRDefault="0078138E" w:rsidP="00FF685B">
            <w:pPr>
              <w:jc w:val="center"/>
              <w:rPr>
                <w:b/>
                <w:bCs/>
                <w:sz w:val="24"/>
                <w:szCs w:val="24"/>
                <w:lang w:val="en-GB"/>
              </w:rPr>
            </w:pPr>
            <w:r w:rsidRPr="00FF685B">
              <w:rPr>
                <w:b/>
                <w:bCs/>
                <w:sz w:val="24"/>
                <w:szCs w:val="24"/>
                <w:lang w:val="en-GB"/>
              </w:rPr>
              <w:t>N=164</w:t>
            </w:r>
          </w:p>
        </w:tc>
      </w:tr>
      <w:tr w:rsidR="0078138E" w:rsidRPr="009B509D" w14:paraId="58A3D5A5" w14:textId="77777777" w:rsidTr="00701C32">
        <w:tc>
          <w:tcPr>
            <w:tcW w:w="1667" w:type="pct"/>
            <w:tcBorders>
              <w:top w:val="single" w:sz="4" w:space="0" w:color="auto"/>
              <w:left w:val="single" w:sz="4" w:space="0" w:color="auto"/>
              <w:bottom w:val="single" w:sz="4" w:space="0" w:color="auto"/>
              <w:right w:val="single" w:sz="4" w:space="0" w:color="auto"/>
            </w:tcBorders>
          </w:tcPr>
          <w:p w14:paraId="4DA927CF" w14:textId="77777777" w:rsidR="0078138E" w:rsidRPr="009B509D" w:rsidRDefault="0078138E" w:rsidP="00701C32">
            <w:pPr>
              <w:rPr>
                <w:sz w:val="24"/>
                <w:szCs w:val="24"/>
                <w:lang w:val="en-GB"/>
              </w:rPr>
            </w:pPr>
          </w:p>
        </w:tc>
        <w:tc>
          <w:tcPr>
            <w:tcW w:w="833" w:type="pct"/>
            <w:tcBorders>
              <w:top w:val="single" w:sz="4" w:space="0" w:color="auto"/>
              <w:left w:val="single" w:sz="4" w:space="0" w:color="auto"/>
              <w:bottom w:val="single" w:sz="4" w:space="0" w:color="auto"/>
              <w:right w:val="single" w:sz="4" w:space="0" w:color="auto"/>
            </w:tcBorders>
            <w:hideMark/>
          </w:tcPr>
          <w:p w14:paraId="6D6920F7" w14:textId="77777777" w:rsidR="0078138E" w:rsidRPr="00FF685B" w:rsidRDefault="0078138E" w:rsidP="00FF685B">
            <w:pPr>
              <w:jc w:val="center"/>
              <w:rPr>
                <w:b/>
                <w:bCs/>
                <w:sz w:val="24"/>
                <w:szCs w:val="24"/>
                <w:lang w:val="en-GB"/>
              </w:rPr>
            </w:pPr>
            <w:r w:rsidRPr="00FF685B">
              <w:rPr>
                <w:b/>
                <w:bCs/>
                <w:sz w:val="24"/>
                <w:szCs w:val="24"/>
                <w:lang w:val="en-GB"/>
              </w:rPr>
              <w:t>n (%)</w:t>
            </w:r>
          </w:p>
        </w:tc>
        <w:tc>
          <w:tcPr>
            <w:tcW w:w="833" w:type="pct"/>
            <w:tcBorders>
              <w:top w:val="single" w:sz="4" w:space="0" w:color="auto"/>
              <w:left w:val="single" w:sz="4" w:space="0" w:color="auto"/>
              <w:bottom w:val="single" w:sz="4" w:space="0" w:color="auto"/>
              <w:right w:val="single" w:sz="4" w:space="0" w:color="auto"/>
            </w:tcBorders>
            <w:hideMark/>
          </w:tcPr>
          <w:p w14:paraId="75228BBA" w14:textId="77777777" w:rsidR="0078138E" w:rsidRPr="00FF685B" w:rsidRDefault="0078138E" w:rsidP="00FF685B">
            <w:pPr>
              <w:jc w:val="center"/>
              <w:rPr>
                <w:b/>
                <w:bCs/>
                <w:sz w:val="24"/>
                <w:szCs w:val="24"/>
                <w:lang w:val="en-GB"/>
              </w:rPr>
            </w:pPr>
            <w:r w:rsidRPr="00FF685B">
              <w:rPr>
                <w:b/>
                <w:bCs/>
                <w:sz w:val="24"/>
                <w:szCs w:val="24"/>
                <w:lang w:val="en-GB"/>
              </w:rPr>
              <w:t>95% CI</w:t>
            </w:r>
          </w:p>
        </w:tc>
        <w:tc>
          <w:tcPr>
            <w:tcW w:w="833" w:type="pct"/>
            <w:tcBorders>
              <w:top w:val="single" w:sz="4" w:space="0" w:color="auto"/>
              <w:left w:val="single" w:sz="4" w:space="0" w:color="auto"/>
              <w:bottom w:val="single" w:sz="4" w:space="0" w:color="auto"/>
              <w:right w:val="single" w:sz="4" w:space="0" w:color="auto"/>
            </w:tcBorders>
            <w:hideMark/>
          </w:tcPr>
          <w:p w14:paraId="49576345" w14:textId="77777777" w:rsidR="0078138E" w:rsidRPr="00FF685B" w:rsidRDefault="0078138E" w:rsidP="00FF685B">
            <w:pPr>
              <w:jc w:val="center"/>
              <w:rPr>
                <w:b/>
                <w:bCs/>
                <w:sz w:val="24"/>
                <w:szCs w:val="24"/>
                <w:lang w:val="en-GB"/>
              </w:rPr>
            </w:pPr>
            <w:r w:rsidRPr="00FF685B">
              <w:rPr>
                <w:b/>
                <w:bCs/>
                <w:sz w:val="24"/>
                <w:szCs w:val="24"/>
                <w:lang w:val="en-GB"/>
              </w:rPr>
              <w:t>n (%)</w:t>
            </w:r>
          </w:p>
        </w:tc>
        <w:tc>
          <w:tcPr>
            <w:tcW w:w="833" w:type="pct"/>
            <w:tcBorders>
              <w:top w:val="single" w:sz="4" w:space="0" w:color="auto"/>
              <w:left w:val="single" w:sz="4" w:space="0" w:color="auto"/>
              <w:bottom w:val="single" w:sz="4" w:space="0" w:color="auto"/>
              <w:right w:val="single" w:sz="4" w:space="0" w:color="auto"/>
            </w:tcBorders>
            <w:hideMark/>
          </w:tcPr>
          <w:p w14:paraId="38881BEB" w14:textId="77777777" w:rsidR="0078138E" w:rsidRPr="00FF685B" w:rsidRDefault="0078138E" w:rsidP="00FF685B">
            <w:pPr>
              <w:jc w:val="center"/>
              <w:rPr>
                <w:b/>
                <w:bCs/>
                <w:sz w:val="24"/>
                <w:szCs w:val="24"/>
                <w:lang w:val="en-GB"/>
              </w:rPr>
            </w:pPr>
            <w:r w:rsidRPr="00FF685B">
              <w:rPr>
                <w:b/>
                <w:bCs/>
                <w:sz w:val="24"/>
                <w:szCs w:val="24"/>
                <w:lang w:val="en-GB"/>
              </w:rPr>
              <w:t>95% CI</w:t>
            </w:r>
          </w:p>
        </w:tc>
      </w:tr>
      <w:tr w:rsidR="0078138E" w:rsidRPr="009B509D" w14:paraId="339FF7D1" w14:textId="77777777" w:rsidTr="00701C32">
        <w:tc>
          <w:tcPr>
            <w:tcW w:w="1667" w:type="pct"/>
            <w:tcBorders>
              <w:top w:val="single" w:sz="4" w:space="0" w:color="auto"/>
              <w:left w:val="single" w:sz="4" w:space="0" w:color="auto"/>
              <w:bottom w:val="single" w:sz="4" w:space="0" w:color="auto"/>
              <w:right w:val="single" w:sz="4" w:space="0" w:color="auto"/>
            </w:tcBorders>
            <w:hideMark/>
          </w:tcPr>
          <w:p w14:paraId="2047FB87" w14:textId="77777777" w:rsidR="0078138E" w:rsidRPr="009B509D" w:rsidRDefault="0078138E" w:rsidP="00701C32">
            <w:pPr>
              <w:rPr>
                <w:sz w:val="24"/>
                <w:szCs w:val="24"/>
                <w:lang w:val="en-GB"/>
              </w:rPr>
            </w:pPr>
            <w:r w:rsidRPr="009B509D">
              <w:rPr>
                <w:sz w:val="24"/>
                <w:szCs w:val="24"/>
                <w:lang w:val="en-GB"/>
              </w:rPr>
              <w:t>Overall response</w:t>
            </w:r>
          </w:p>
        </w:tc>
        <w:tc>
          <w:tcPr>
            <w:tcW w:w="833" w:type="pct"/>
            <w:tcBorders>
              <w:top w:val="single" w:sz="4" w:space="0" w:color="auto"/>
              <w:left w:val="single" w:sz="4" w:space="0" w:color="auto"/>
              <w:bottom w:val="single" w:sz="4" w:space="0" w:color="auto"/>
              <w:right w:val="single" w:sz="4" w:space="0" w:color="auto"/>
            </w:tcBorders>
            <w:hideMark/>
          </w:tcPr>
          <w:p w14:paraId="048922B1" w14:textId="77777777" w:rsidR="0078138E" w:rsidRPr="009B509D" w:rsidRDefault="0078138E" w:rsidP="00FF685B">
            <w:pPr>
              <w:jc w:val="center"/>
              <w:rPr>
                <w:sz w:val="24"/>
                <w:szCs w:val="24"/>
                <w:lang w:val="en-GB"/>
              </w:rPr>
            </w:pPr>
            <w:r w:rsidRPr="009B509D">
              <w:rPr>
                <w:sz w:val="24"/>
                <w:szCs w:val="24"/>
                <w:lang w:val="en-GB"/>
              </w:rPr>
              <w:t>82 (49.7)</w:t>
            </w:r>
          </w:p>
        </w:tc>
        <w:tc>
          <w:tcPr>
            <w:tcW w:w="833" w:type="pct"/>
            <w:tcBorders>
              <w:top w:val="single" w:sz="4" w:space="0" w:color="auto"/>
              <w:left w:val="single" w:sz="4" w:space="0" w:color="auto"/>
              <w:bottom w:val="single" w:sz="4" w:space="0" w:color="auto"/>
              <w:right w:val="single" w:sz="4" w:space="0" w:color="auto"/>
            </w:tcBorders>
            <w:hideMark/>
          </w:tcPr>
          <w:p w14:paraId="1C04A011" w14:textId="77777777" w:rsidR="0078138E" w:rsidRPr="009B509D" w:rsidRDefault="0078138E" w:rsidP="00FF685B">
            <w:pPr>
              <w:jc w:val="center"/>
              <w:rPr>
                <w:sz w:val="24"/>
                <w:szCs w:val="24"/>
                <w:lang w:val="en-GB"/>
              </w:rPr>
            </w:pPr>
            <w:r w:rsidRPr="009B509D">
              <w:rPr>
                <w:sz w:val="24"/>
                <w:szCs w:val="24"/>
                <w:lang w:val="en-GB"/>
              </w:rPr>
              <w:t>41.8, 57.6</w:t>
            </w:r>
          </w:p>
        </w:tc>
        <w:tc>
          <w:tcPr>
            <w:tcW w:w="833" w:type="pct"/>
            <w:tcBorders>
              <w:top w:val="single" w:sz="4" w:space="0" w:color="auto"/>
              <w:left w:val="single" w:sz="4" w:space="0" w:color="auto"/>
              <w:bottom w:val="single" w:sz="4" w:space="0" w:color="auto"/>
              <w:right w:val="single" w:sz="4" w:space="0" w:color="auto"/>
            </w:tcBorders>
            <w:hideMark/>
          </w:tcPr>
          <w:p w14:paraId="787D75C1" w14:textId="77777777" w:rsidR="0078138E" w:rsidRPr="009B509D" w:rsidRDefault="0078138E" w:rsidP="00FF685B">
            <w:pPr>
              <w:jc w:val="center"/>
              <w:rPr>
                <w:sz w:val="24"/>
                <w:szCs w:val="24"/>
                <w:lang w:val="en-GB"/>
              </w:rPr>
            </w:pPr>
            <w:r w:rsidRPr="009B509D">
              <w:rPr>
                <w:sz w:val="24"/>
                <w:szCs w:val="24"/>
                <w:lang w:val="en-GB"/>
              </w:rPr>
              <w:t>42 (25.6)</w:t>
            </w:r>
          </w:p>
        </w:tc>
        <w:tc>
          <w:tcPr>
            <w:tcW w:w="833" w:type="pct"/>
            <w:tcBorders>
              <w:top w:val="single" w:sz="4" w:space="0" w:color="auto"/>
              <w:left w:val="single" w:sz="4" w:space="0" w:color="auto"/>
              <w:bottom w:val="single" w:sz="4" w:space="0" w:color="auto"/>
              <w:right w:val="single" w:sz="4" w:space="0" w:color="auto"/>
            </w:tcBorders>
            <w:hideMark/>
          </w:tcPr>
          <w:p w14:paraId="001B5531" w14:textId="77777777" w:rsidR="0078138E" w:rsidRPr="009B509D" w:rsidRDefault="0078138E" w:rsidP="00FF685B">
            <w:pPr>
              <w:jc w:val="center"/>
              <w:rPr>
                <w:sz w:val="24"/>
                <w:szCs w:val="24"/>
                <w:lang w:val="en-GB"/>
              </w:rPr>
            </w:pPr>
            <w:r w:rsidRPr="009B509D">
              <w:rPr>
                <w:sz w:val="24"/>
                <w:szCs w:val="24"/>
                <w:lang w:val="en-GB"/>
              </w:rPr>
              <w:t>19.1, 33.0</w:t>
            </w:r>
          </w:p>
        </w:tc>
      </w:tr>
      <w:tr w:rsidR="0078138E" w:rsidRPr="009B509D" w14:paraId="59797762" w14:textId="77777777" w:rsidTr="00701C32">
        <w:tc>
          <w:tcPr>
            <w:tcW w:w="1667" w:type="pct"/>
            <w:tcBorders>
              <w:top w:val="single" w:sz="4" w:space="0" w:color="auto"/>
              <w:left w:val="single" w:sz="4" w:space="0" w:color="auto"/>
              <w:bottom w:val="single" w:sz="4" w:space="0" w:color="auto"/>
              <w:right w:val="single" w:sz="4" w:space="0" w:color="auto"/>
            </w:tcBorders>
            <w:hideMark/>
          </w:tcPr>
          <w:p w14:paraId="1AF2DD8D" w14:textId="77777777" w:rsidR="0078138E" w:rsidRPr="009B509D" w:rsidRDefault="0078138E" w:rsidP="00701C32">
            <w:pPr>
              <w:rPr>
                <w:sz w:val="24"/>
                <w:szCs w:val="24"/>
                <w:lang w:val="en-GB"/>
              </w:rPr>
            </w:pPr>
            <w:r w:rsidRPr="009B509D">
              <w:rPr>
                <w:sz w:val="24"/>
                <w:szCs w:val="24"/>
                <w:lang w:val="en-GB"/>
              </w:rPr>
              <w:t>OR (95% CI)</w:t>
            </w:r>
          </w:p>
        </w:tc>
        <w:tc>
          <w:tcPr>
            <w:tcW w:w="3333" w:type="pct"/>
            <w:gridSpan w:val="4"/>
            <w:tcBorders>
              <w:top w:val="single" w:sz="4" w:space="0" w:color="auto"/>
              <w:left w:val="single" w:sz="4" w:space="0" w:color="auto"/>
              <w:bottom w:val="single" w:sz="4" w:space="0" w:color="auto"/>
              <w:right w:val="single" w:sz="4" w:space="0" w:color="auto"/>
            </w:tcBorders>
            <w:hideMark/>
          </w:tcPr>
          <w:p w14:paraId="722A3D2A" w14:textId="77777777" w:rsidR="0078138E" w:rsidRPr="009B509D" w:rsidRDefault="0078138E" w:rsidP="00FF685B">
            <w:pPr>
              <w:jc w:val="center"/>
              <w:rPr>
                <w:sz w:val="24"/>
                <w:szCs w:val="24"/>
                <w:lang w:val="en-GB"/>
              </w:rPr>
            </w:pPr>
            <w:r w:rsidRPr="009B509D">
              <w:rPr>
                <w:sz w:val="24"/>
                <w:szCs w:val="24"/>
                <w:lang w:val="en-GB"/>
              </w:rPr>
              <w:t>2.99 (1.86, 4.80)</w:t>
            </w:r>
          </w:p>
        </w:tc>
      </w:tr>
      <w:tr w:rsidR="0078138E" w:rsidRPr="009B509D" w14:paraId="5AF7BD98" w14:textId="77777777" w:rsidTr="00701C32">
        <w:tc>
          <w:tcPr>
            <w:tcW w:w="1667" w:type="pct"/>
            <w:tcBorders>
              <w:top w:val="single" w:sz="4" w:space="0" w:color="auto"/>
              <w:left w:val="single" w:sz="4" w:space="0" w:color="auto"/>
              <w:bottom w:val="single" w:sz="4" w:space="0" w:color="auto"/>
              <w:right w:val="single" w:sz="4" w:space="0" w:color="auto"/>
            </w:tcBorders>
            <w:hideMark/>
          </w:tcPr>
          <w:p w14:paraId="23E5BFA6" w14:textId="77777777" w:rsidR="0078138E" w:rsidRPr="009B509D" w:rsidRDefault="0078138E" w:rsidP="00701C32">
            <w:pPr>
              <w:rPr>
                <w:sz w:val="24"/>
                <w:szCs w:val="24"/>
                <w:lang w:val="en-GB"/>
              </w:rPr>
            </w:pPr>
            <w:r w:rsidRPr="009B509D">
              <w:rPr>
                <w:sz w:val="24"/>
                <w:szCs w:val="24"/>
                <w:lang w:val="en-GB"/>
              </w:rPr>
              <w:t>p-value (2-sided)</w:t>
            </w:r>
          </w:p>
        </w:tc>
        <w:tc>
          <w:tcPr>
            <w:tcW w:w="3333" w:type="pct"/>
            <w:gridSpan w:val="4"/>
            <w:tcBorders>
              <w:top w:val="single" w:sz="4" w:space="0" w:color="auto"/>
              <w:left w:val="single" w:sz="4" w:space="0" w:color="auto"/>
              <w:bottom w:val="single" w:sz="4" w:space="0" w:color="auto"/>
              <w:right w:val="single" w:sz="4" w:space="0" w:color="auto"/>
            </w:tcBorders>
            <w:hideMark/>
          </w:tcPr>
          <w:p w14:paraId="3FF5FD00" w14:textId="77777777" w:rsidR="0078138E" w:rsidRPr="009B509D" w:rsidRDefault="0078138E" w:rsidP="00FF685B">
            <w:pPr>
              <w:jc w:val="center"/>
              <w:rPr>
                <w:sz w:val="24"/>
                <w:szCs w:val="24"/>
                <w:lang w:val="en-GB"/>
              </w:rPr>
            </w:pPr>
            <w:r w:rsidRPr="009B509D">
              <w:rPr>
                <w:sz w:val="24"/>
                <w:szCs w:val="24"/>
                <w:lang w:val="en-GB"/>
              </w:rPr>
              <w:t>p&lt;0.0001</w:t>
            </w:r>
          </w:p>
        </w:tc>
      </w:tr>
      <w:tr w:rsidR="0078138E" w:rsidRPr="009B509D" w14:paraId="3266DD44" w14:textId="77777777" w:rsidTr="00701C32">
        <w:tc>
          <w:tcPr>
            <w:tcW w:w="1667" w:type="pct"/>
            <w:tcBorders>
              <w:top w:val="single" w:sz="4" w:space="0" w:color="auto"/>
              <w:left w:val="single" w:sz="4" w:space="0" w:color="auto"/>
              <w:bottom w:val="single" w:sz="4" w:space="0" w:color="auto"/>
              <w:right w:val="single" w:sz="4" w:space="0" w:color="auto"/>
            </w:tcBorders>
            <w:hideMark/>
          </w:tcPr>
          <w:p w14:paraId="6D314CD4" w14:textId="77777777" w:rsidR="0078138E" w:rsidRPr="009B509D" w:rsidRDefault="0078138E" w:rsidP="00701C32">
            <w:pPr>
              <w:rPr>
                <w:sz w:val="24"/>
                <w:szCs w:val="24"/>
                <w:lang w:val="en-GB"/>
              </w:rPr>
            </w:pPr>
            <w:r w:rsidRPr="009B509D">
              <w:rPr>
                <w:sz w:val="24"/>
                <w:szCs w:val="24"/>
                <w:lang w:val="en-GB"/>
              </w:rPr>
              <w:t>Complete response</w:t>
            </w:r>
          </w:p>
        </w:tc>
        <w:tc>
          <w:tcPr>
            <w:tcW w:w="1666" w:type="pct"/>
            <w:gridSpan w:val="2"/>
            <w:tcBorders>
              <w:top w:val="single" w:sz="4" w:space="0" w:color="auto"/>
              <w:left w:val="single" w:sz="4" w:space="0" w:color="auto"/>
              <w:bottom w:val="single" w:sz="4" w:space="0" w:color="auto"/>
              <w:right w:val="single" w:sz="4" w:space="0" w:color="auto"/>
            </w:tcBorders>
            <w:hideMark/>
          </w:tcPr>
          <w:p w14:paraId="175D4E57" w14:textId="77777777" w:rsidR="0078138E" w:rsidRPr="009B509D" w:rsidRDefault="0078138E" w:rsidP="00FF685B">
            <w:pPr>
              <w:jc w:val="center"/>
              <w:rPr>
                <w:sz w:val="24"/>
                <w:szCs w:val="24"/>
                <w:lang w:val="en-GB"/>
              </w:rPr>
            </w:pPr>
            <w:r w:rsidRPr="009B509D">
              <w:rPr>
                <w:sz w:val="24"/>
                <w:szCs w:val="24"/>
                <w:lang w:val="en-GB"/>
              </w:rPr>
              <w:t>11 (6.7)</w:t>
            </w:r>
          </w:p>
        </w:tc>
        <w:tc>
          <w:tcPr>
            <w:tcW w:w="1667" w:type="pct"/>
            <w:gridSpan w:val="2"/>
            <w:tcBorders>
              <w:top w:val="single" w:sz="4" w:space="0" w:color="auto"/>
              <w:left w:val="single" w:sz="4" w:space="0" w:color="auto"/>
              <w:bottom w:val="single" w:sz="4" w:space="0" w:color="auto"/>
              <w:right w:val="single" w:sz="4" w:space="0" w:color="auto"/>
            </w:tcBorders>
            <w:hideMark/>
          </w:tcPr>
          <w:p w14:paraId="719313AE" w14:textId="77777777" w:rsidR="0078138E" w:rsidRPr="009B509D" w:rsidRDefault="0078138E" w:rsidP="00FF685B">
            <w:pPr>
              <w:jc w:val="center"/>
              <w:rPr>
                <w:sz w:val="24"/>
                <w:szCs w:val="24"/>
                <w:lang w:val="en-GB"/>
              </w:rPr>
            </w:pPr>
            <w:r w:rsidRPr="009B509D">
              <w:rPr>
                <w:sz w:val="24"/>
                <w:szCs w:val="24"/>
                <w:lang w:val="en-GB"/>
              </w:rPr>
              <w:t>5 (3.0)</w:t>
            </w:r>
          </w:p>
        </w:tc>
      </w:tr>
      <w:tr w:rsidR="0078138E" w:rsidRPr="009B509D" w14:paraId="1B98C31B" w14:textId="77777777" w:rsidTr="00701C32">
        <w:tc>
          <w:tcPr>
            <w:tcW w:w="1667" w:type="pct"/>
            <w:tcBorders>
              <w:top w:val="single" w:sz="4" w:space="0" w:color="auto"/>
              <w:left w:val="single" w:sz="4" w:space="0" w:color="auto"/>
              <w:bottom w:val="single" w:sz="4" w:space="0" w:color="auto"/>
              <w:right w:val="single" w:sz="4" w:space="0" w:color="auto"/>
            </w:tcBorders>
            <w:hideMark/>
          </w:tcPr>
          <w:p w14:paraId="2F4358A3" w14:textId="77777777" w:rsidR="0078138E" w:rsidRPr="009B509D" w:rsidRDefault="0078138E" w:rsidP="00701C32">
            <w:pPr>
              <w:rPr>
                <w:sz w:val="24"/>
                <w:szCs w:val="24"/>
                <w:lang w:val="en-GB"/>
              </w:rPr>
            </w:pPr>
            <w:r w:rsidRPr="009B509D">
              <w:rPr>
                <w:sz w:val="24"/>
                <w:szCs w:val="24"/>
                <w:lang w:val="en-GB"/>
              </w:rPr>
              <w:t>Partial response</w:t>
            </w:r>
          </w:p>
        </w:tc>
        <w:tc>
          <w:tcPr>
            <w:tcW w:w="1666" w:type="pct"/>
            <w:gridSpan w:val="2"/>
            <w:tcBorders>
              <w:top w:val="single" w:sz="4" w:space="0" w:color="auto"/>
              <w:left w:val="single" w:sz="4" w:space="0" w:color="auto"/>
              <w:bottom w:val="single" w:sz="4" w:space="0" w:color="auto"/>
              <w:right w:val="single" w:sz="4" w:space="0" w:color="auto"/>
            </w:tcBorders>
            <w:hideMark/>
          </w:tcPr>
          <w:p w14:paraId="45AC4460" w14:textId="77777777" w:rsidR="0078138E" w:rsidRPr="009B509D" w:rsidRDefault="0078138E" w:rsidP="00FF685B">
            <w:pPr>
              <w:jc w:val="center"/>
              <w:rPr>
                <w:sz w:val="24"/>
                <w:szCs w:val="24"/>
                <w:lang w:val="en-GB"/>
              </w:rPr>
            </w:pPr>
            <w:r w:rsidRPr="009B509D">
              <w:rPr>
                <w:sz w:val="24"/>
                <w:szCs w:val="24"/>
                <w:lang w:val="en-GB"/>
              </w:rPr>
              <w:t>71 (43.0)</w:t>
            </w:r>
          </w:p>
        </w:tc>
        <w:tc>
          <w:tcPr>
            <w:tcW w:w="1667" w:type="pct"/>
            <w:gridSpan w:val="2"/>
            <w:tcBorders>
              <w:top w:val="single" w:sz="4" w:space="0" w:color="auto"/>
              <w:left w:val="single" w:sz="4" w:space="0" w:color="auto"/>
              <w:bottom w:val="single" w:sz="4" w:space="0" w:color="auto"/>
              <w:right w:val="single" w:sz="4" w:space="0" w:color="auto"/>
            </w:tcBorders>
            <w:hideMark/>
          </w:tcPr>
          <w:p w14:paraId="7CC7E492" w14:textId="77777777" w:rsidR="0078138E" w:rsidRPr="009B509D" w:rsidRDefault="0078138E" w:rsidP="00FF685B">
            <w:pPr>
              <w:jc w:val="center"/>
              <w:rPr>
                <w:sz w:val="24"/>
                <w:szCs w:val="24"/>
                <w:lang w:val="en-GB"/>
              </w:rPr>
            </w:pPr>
            <w:r w:rsidRPr="009B509D">
              <w:rPr>
                <w:sz w:val="24"/>
                <w:szCs w:val="24"/>
                <w:lang w:val="en-GB"/>
              </w:rPr>
              <w:t>37 (22.6)</w:t>
            </w:r>
          </w:p>
        </w:tc>
      </w:tr>
    </w:tbl>
    <w:p w14:paraId="4E81A545" w14:textId="77777777" w:rsidR="0078138E" w:rsidRPr="0078138E" w:rsidRDefault="0078138E" w:rsidP="0078138E">
      <w:pPr>
        <w:tabs>
          <w:tab w:val="left" w:pos="851"/>
        </w:tabs>
        <w:ind w:left="851"/>
        <w:rPr>
          <w:sz w:val="24"/>
          <w:szCs w:val="24"/>
          <w:lang w:val="en-GB"/>
        </w:rPr>
      </w:pPr>
    </w:p>
    <w:p w14:paraId="5EAE2653" w14:textId="05C26E2F" w:rsidR="0078138E" w:rsidRPr="0078138E" w:rsidRDefault="0078138E" w:rsidP="00701C32">
      <w:pPr>
        <w:ind w:left="851"/>
        <w:rPr>
          <w:sz w:val="24"/>
          <w:szCs w:val="24"/>
          <w:lang w:val="en-GB"/>
        </w:rPr>
      </w:pPr>
      <w:r w:rsidRPr="0078138E">
        <w:rPr>
          <w:sz w:val="24"/>
          <w:szCs w:val="24"/>
          <w:lang w:val="en-GB"/>
        </w:rPr>
        <w:t xml:space="preserve">The key secondary endpoint, FFS, demonstrated a statistically significant 63% risk reduction of </w:t>
      </w:r>
      <w:proofErr w:type="spellStart"/>
      <w:r w:rsidRPr="0078138E">
        <w:rPr>
          <w:sz w:val="24"/>
          <w:szCs w:val="24"/>
          <w:lang w:val="en-GB"/>
        </w:rPr>
        <w:t>ruxolitinib</w:t>
      </w:r>
      <w:proofErr w:type="spellEnd"/>
      <w:r w:rsidRPr="0078138E">
        <w:rPr>
          <w:sz w:val="24"/>
          <w:szCs w:val="24"/>
          <w:lang w:val="en-GB"/>
        </w:rPr>
        <w:t xml:space="preserve"> versus BAT (HR: 0.370; 95% CI: 0.268, 0.510</w:t>
      </w:r>
      <w:r w:rsidRPr="0078138E">
        <w:rPr>
          <w:i/>
          <w:iCs/>
          <w:sz w:val="24"/>
          <w:szCs w:val="24"/>
          <w:lang w:val="en-GB"/>
        </w:rPr>
        <w:t xml:space="preserve">, </w:t>
      </w:r>
      <w:r w:rsidRPr="0078138E">
        <w:rPr>
          <w:sz w:val="24"/>
          <w:szCs w:val="24"/>
          <w:lang w:val="en-GB"/>
        </w:rPr>
        <w:t xml:space="preserve">p&lt;0.0001). At 6-months, the majority of FFS events were </w:t>
      </w:r>
      <w:r w:rsidR="009B509D">
        <w:rPr>
          <w:sz w:val="24"/>
          <w:szCs w:val="24"/>
          <w:lang w:val="en-GB"/>
        </w:rPr>
        <w:t>"</w:t>
      </w:r>
      <w:r w:rsidRPr="0078138E">
        <w:rPr>
          <w:sz w:val="24"/>
          <w:szCs w:val="24"/>
          <w:lang w:val="en-GB"/>
        </w:rPr>
        <w:t xml:space="preserve">addition or initiation of another systemic therapy for </w:t>
      </w:r>
      <w:proofErr w:type="spellStart"/>
      <w:r w:rsidRPr="0078138E">
        <w:rPr>
          <w:sz w:val="24"/>
          <w:szCs w:val="24"/>
          <w:lang w:val="en-GB"/>
        </w:rPr>
        <w:t>cGvHD</w:t>
      </w:r>
      <w:proofErr w:type="spellEnd"/>
      <w:r w:rsidR="009B509D">
        <w:rPr>
          <w:sz w:val="24"/>
          <w:szCs w:val="24"/>
          <w:lang w:val="en-GB"/>
        </w:rPr>
        <w:t>"</w:t>
      </w:r>
      <w:r w:rsidRPr="0078138E">
        <w:rPr>
          <w:sz w:val="24"/>
          <w:szCs w:val="24"/>
          <w:lang w:val="en-GB"/>
        </w:rPr>
        <w:t xml:space="preserve"> (probability of that event was 13.4% vs 48.5% for the </w:t>
      </w:r>
      <w:proofErr w:type="spellStart"/>
      <w:r w:rsidRPr="0078138E">
        <w:rPr>
          <w:sz w:val="24"/>
          <w:szCs w:val="24"/>
          <w:lang w:val="en-GB"/>
        </w:rPr>
        <w:t>ruxolitinib</w:t>
      </w:r>
      <w:proofErr w:type="spellEnd"/>
      <w:r w:rsidRPr="0078138E">
        <w:rPr>
          <w:sz w:val="24"/>
          <w:szCs w:val="24"/>
          <w:lang w:val="en-GB"/>
        </w:rPr>
        <w:t xml:space="preserve"> and the BAT arms, respectively). Results for </w:t>
      </w:r>
      <w:r w:rsidR="009B509D">
        <w:rPr>
          <w:sz w:val="24"/>
          <w:szCs w:val="24"/>
          <w:lang w:val="en-GB"/>
        </w:rPr>
        <w:t>"</w:t>
      </w:r>
      <w:r w:rsidRPr="0078138E">
        <w:rPr>
          <w:sz w:val="24"/>
          <w:szCs w:val="24"/>
          <w:lang w:val="en-GB"/>
        </w:rPr>
        <w:t>relapse of underlying disease</w:t>
      </w:r>
      <w:r w:rsidR="009B509D">
        <w:rPr>
          <w:sz w:val="24"/>
          <w:szCs w:val="24"/>
          <w:lang w:val="en-GB"/>
        </w:rPr>
        <w:t>"</w:t>
      </w:r>
      <w:r w:rsidRPr="0078138E">
        <w:rPr>
          <w:sz w:val="24"/>
          <w:szCs w:val="24"/>
          <w:lang w:val="en-GB"/>
        </w:rPr>
        <w:t xml:space="preserve"> and non-relapse mortality (NRM) were 2.46% vs 2.57% and 9.19% vs 4.46%, in the </w:t>
      </w:r>
      <w:proofErr w:type="spellStart"/>
      <w:r w:rsidRPr="0078138E">
        <w:rPr>
          <w:sz w:val="24"/>
          <w:szCs w:val="24"/>
          <w:lang w:val="en-GB"/>
        </w:rPr>
        <w:t>ruxolitinib</w:t>
      </w:r>
      <w:proofErr w:type="spellEnd"/>
      <w:r w:rsidRPr="0078138E">
        <w:rPr>
          <w:sz w:val="24"/>
          <w:szCs w:val="24"/>
          <w:lang w:val="en-GB"/>
        </w:rPr>
        <w:t xml:space="preserve"> and the BAT arms, respectively. No difference of cumulative incidences between treatment arms was observed when focusing on NRM only.</w:t>
      </w:r>
    </w:p>
    <w:p w14:paraId="5A012B52" w14:textId="77777777" w:rsidR="0078138E" w:rsidRPr="0078138E" w:rsidRDefault="0078138E" w:rsidP="00701C32">
      <w:pPr>
        <w:ind w:left="851"/>
        <w:rPr>
          <w:sz w:val="24"/>
          <w:szCs w:val="24"/>
          <w:lang w:val="en-GB"/>
        </w:rPr>
      </w:pPr>
    </w:p>
    <w:p w14:paraId="79E7DB93" w14:textId="77777777" w:rsidR="0078138E" w:rsidRPr="0078138E" w:rsidRDefault="0078138E" w:rsidP="00701C32">
      <w:pPr>
        <w:ind w:left="851"/>
        <w:rPr>
          <w:sz w:val="24"/>
          <w:szCs w:val="24"/>
          <w:u w:val="single"/>
          <w:lang w:val="en-GB"/>
        </w:rPr>
      </w:pPr>
      <w:r w:rsidRPr="0078138E">
        <w:rPr>
          <w:sz w:val="24"/>
          <w:szCs w:val="24"/>
          <w:u w:val="single"/>
          <w:lang w:val="en-GB"/>
        </w:rPr>
        <w:t>Paediatric population</w:t>
      </w:r>
    </w:p>
    <w:p w14:paraId="4EDFA118" w14:textId="77777777" w:rsidR="0078138E" w:rsidRPr="0078138E" w:rsidRDefault="0078138E" w:rsidP="00701C32">
      <w:pPr>
        <w:ind w:left="851"/>
        <w:rPr>
          <w:sz w:val="24"/>
          <w:szCs w:val="24"/>
          <w:lang w:val="en-GB"/>
        </w:rPr>
      </w:pPr>
    </w:p>
    <w:p w14:paraId="7433F7F2" w14:textId="77777777" w:rsidR="0078138E" w:rsidRPr="0078138E" w:rsidRDefault="0078138E" w:rsidP="00701C32">
      <w:pPr>
        <w:ind w:left="851"/>
        <w:rPr>
          <w:sz w:val="24"/>
          <w:szCs w:val="24"/>
          <w:lang w:val="en-GB"/>
        </w:rPr>
      </w:pPr>
      <w:r w:rsidRPr="0078138E">
        <w:rPr>
          <w:sz w:val="24"/>
          <w:szCs w:val="24"/>
          <w:lang w:val="en-GB"/>
        </w:rPr>
        <w:t xml:space="preserve">The European Medicines Agency has waived the obligation to submit the results of studies with the reference medicinal product containing </w:t>
      </w:r>
      <w:proofErr w:type="spellStart"/>
      <w:r w:rsidRPr="0078138E">
        <w:rPr>
          <w:sz w:val="24"/>
          <w:szCs w:val="24"/>
          <w:lang w:val="en-GB"/>
        </w:rPr>
        <w:t>ruxolitinib</w:t>
      </w:r>
      <w:proofErr w:type="spellEnd"/>
      <w:r w:rsidRPr="0078138E">
        <w:rPr>
          <w:sz w:val="24"/>
          <w:szCs w:val="24"/>
          <w:lang w:val="en-GB"/>
        </w:rPr>
        <w:t xml:space="preserve"> in all subsets of the paediatric population for the treatment of MF and PV. In GvHD paediatric patients above 2 years of age, the safety and efficacy of </w:t>
      </w:r>
      <w:proofErr w:type="spellStart"/>
      <w:r w:rsidRPr="0078138E">
        <w:rPr>
          <w:sz w:val="24"/>
          <w:szCs w:val="24"/>
          <w:lang w:val="en-GB"/>
        </w:rPr>
        <w:t>ruxolitinib</w:t>
      </w:r>
      <w:proofErr w:type="spellEnd"/>
      <w:r w:rsidRPr="0078138E">
        <w:rPr>
          <w:sz w:val="24"/>
          <w:szCs w:val="24"/>
          <w:lang w:val="en-GB"/>
        </w:rPr>
        <w:t xml:space="preserve"> are supported by evidence from the randomised phase 3 studies REACH2 and REACH3 and from the open-label, single-arm phase 2 studies REACH4 and REACH5 (see section 4.2 for information on paediatric use). The single-arm design does not isolate the contribution of </w:t>
      </w:r>
      <w:proofErr w:type="spellStart"/>
      <w:r w:rsidRPr="0078138E">
        <w:rPr>
          <w:sz w:val="24"/>
          <w:szCs w:val="24"/>
          <w:lang w:val="en-GB"/>
        </w:rPr>
        <w:t>ruxolitinib</w:t>
      </w:r>
      <w:proofErr w:type="spellEnd"/>
      <w:r w:rsidRPr="0078138E">
        <w:rPr>
          <w:sz w:val="24"/>
          <w:szCs w:val="24"/>
          <w:lang w:val="en-GB"/>
        </w:rPr>
        <w:t xml:space="preserve"> to overall efficacy.</w:t>
      </w:r>
    </w:p>
    <w:p w14:paraId="08BC0424" w14:textId="77777777" w:rsidR="0078138E" w:rsidRPr="0078138E" w:rsidRDefault="0078138E" w:rsidP="00701C32">
      <w:pPr>
        <w:ind w:left="851"/>
        <w:rPr>
          <w:sz w:val="24"/>
          <w:szCs w:val="24"/>
          <w:lang w:val="en-GB"/>
        </w:rPr>
      </w:pPr>
    </w:p>
    <w:p w14:paraId="2FF78B0E" w14:textId="77777777" w:rsidR="0078138E" w:rsidRPr="0078138E" w:rsidRDefault="0078138E" w:rsidP="00701C32">
      <w:pPr>
        <w:ind w:left="851"/>
        <w:rPr>
          <w:i/>
          <w:iCs/>
          <w:sz w:val="24"/>
          <w:szCs w:val="24"/>
          <w:u w:val="single"/>
          <w:lang w:val="en-GB"/>
        </w:rPr>
      </w:pPr>
      <w:r w:rsidRPr="0078138E">
        <w:rPr>
          <w:i/>
          <w:iCs/>
          <w:sz w:val="24"/>
          <w:szCs w:val="24"/>
          <w:u w:val="single"/>
          <w:lang w:val="en-GB"/>
        </w:rPr>
        <w:t>Acute graft versus host disease</w:t>
      </w:r>
    </w:p>
    <w:p w14:paraId="469E77D8" w14:textId="77777777" w:rsidR="0078138E" w:rsidRPr="0078138E" w:rsidRDefault="0078138E" w:rsidP="00701C32">
      <w:pPr>
        <w:ind w:left="851"/>
        <w:rPr>
          <w:sz w:val="24"/>
          <w:szCs w:val="24"/>
          <w:lang w:val="en-GB"/>
        </w:rPr>
      </w:pPr>
      <w:r w:rsidRPr="0078138E">
        <w:rPr>
          <w:sz w:val="24"/>
          <w:szCs w:val="24"/>
          <w:lang w:val="en-GB"/>
        </w:rPr>
        <w:t xml:space="preserve">In REACH4, 45 paediatric patients with grade II to IV acute GvHD were treated with </w:t>
      </w:r>
      <w:proofErr w:type="spellStart"/>
      <w:r w:rsidRPr="0078138E">
        <w:rPr>
          <w:sz w:val="24"/>
          <w:szCs w:val="24"/>
          <w:lang w:val="en-GB"/>
        </w:rPr>
        <w:t>ruxolitinib</w:t>
      </w:r>
      <w:proofErr w:type="spellEnd"/>
      <w:r w:rsidRPr="0078138E">
        <w:rPr>
          <w:sz w:val="24"/>
          <w:szCs w:val="24"/>
          <w:lang w:val="en-GB"/>
        </w:rPr>
        <w:t xml:space="preserve"> and corticosteroids +/- CNIs to assess the safety, efficacy and pharmacokinetics of </w:t>
      </w:r>
      <w:proofErr w:type="spellStart"/>
      <w:r w:rsidRPr="0078138E">
        <w:rPr>
          <w:sz w:val="24"/>
          <w:szCs w:val="24"/>
          <w:lang w:val="en-GB"/>
        </w:rPr>
        <w:t>ruxolitinib</w:t>
      </w:r>
      <w:proofErr w:type="spellEnd"/>
      <w:r w:rsidRPr="0078138E">
        <w:rPr>
          <w:sz w:val="24"/>
          <w:szCs w:val="24"/>
          <w:lang w:val="en-GB"/>
        </w:rPr>
        <w:t>. Patients were enrolled into 4 groups based on age (Group 1 [≥12 years to &lt; 18 years, N=18], Group 2 [≥6 years to &lt; 12 years, N=12], Group 3 [≥2 years to &lt;6 years, N=15] and Group 4 [≥28 days to &lt;2 years, N=0]).</w:t>
      </w:r>
    </w:p>
    <w:p w14:paraId="4868788D" w14:textId="77777777" w:rsidR="0078138E" w:rsidRPr="0078138E" w:rsidRDefault="0078138E" w:rsidP="00701C32">
      <w:pPr>
        <w:ind w:left="851"/>
        <w:rPr>
          <w:sz w:val="24"/>
          <w:szCs w:val="24"/>
          <w:lang w:val="en-GB"/>
        </w:rPr>
      </w:pPr>
      <w:r w:rsidRPr="0078138E">
        <w:rPr>
          <w:sz w:val="24"/>
          <w:szCs w:val="24"/>
          <w:lang w:val="en-GB"/>
        </w:rPr>
        <w:t>The doses tested were 10 mg twice daily for Group 1, 5 mg twice daily for Group 2 and 4 mg/m</w:t>
      </w:r>
      <w:r w:rsidRPr="0078138E">
        <w:rPr>
          <w:sz w:val="24"/>
          <w:szCs w:val="24"/>
          <w:vertAlign w:val="superscript"/>
          <w:lang w:val="en-GB"/>
        </w:rPr>
        <w:t>2</w:t>
      </w:r>
      <w:r w:rsidRPr="0078138E">
        <w:rPr>
          <w:sz w:val="24"/>
          <w:szCs w:val="24"/>
          <w:lang w:val="en-GB"/>
        </w:rPr>
        <w:t xml:space="preserve"> twice daily for Group 3 and patients were treated for 24 weeks or until discontinuation. </w:t>
      </w:r>
      <w:proofErr w:type="spellStart"/>
      <w:r w:rsidRPr="0078138E">
        <w:rPr>
          <w:sz w:val="24"/>
          <w:szCs w:val="24"/>
          <w:lang w:val="en-GB"/>
        </w:rPr>
        <w:t>Ruxolitinib</w:t>
      </w:r>
      <w:proofErr w:type="spellEnd"/>
      <w:r w:rsidRPr="0078138E">
        <w:rPr>
          <w:sz w:val="24"/>
          <w:szCs w:val="24"/>
          <w:lang w:val="en-GB"/>
        </w:rPr>
        <w:t xml:space="preserve"> was administered as either a 5 mg tablet or a capsule/oral solution for paediatric patients &lt;12 years.</w:t>
      </w:r>
    </w:p>
    <w:p w14:paraId="6AE5A651" w14:textId="77777777" w:rsidR="0078138E" w:rsidRPr="0078138E" w:rsidRDefault="0078138E" w:rsidP="00701C32">
      <w:pPr>
        <w:ind w:left="851"/>
        <w:rPr>
          <w:sz w:val="24"/>
          <w:szCs w:val="24"/>
          <w:lang w:val="en-GB"/>
        </w:rPr>
      </w:pPr>
    </w:p>
    <w:p w14:paraId="072A5D40" w14:textId="77777777" w:rsidR="0078138E" w:rsidRPr="0078138E" w:rsidRDefault="0078138E" w:rsidP="00701C32">
      <w:pPr>
        <w:ind w:left="851"/>
        <w:rPr>
          <w:sz w:val="24"/>
          <w:szCs w:val="24"/>
          <w:lang w:val="en-GB"/>
        </w:rPr>
      </w:pPr>
      <w:r w:rsidRPr="0078138E">
        <w:rPr>
          <w:sz w:val="24"/>
          <w:szCs w:val="24"/>
          <w:lang w:val="en-GB"/>
        </w:rPr>
        <w:t>Patients were enrolled with either steroid-refractory or treatment-naïve disease status. Patients were considered steroid refractory as per institutional criteria or per physician decision in case institutional criteria were not available and were permitted to have received no more than one additional prior systemic treatment for acute GvHD in addition to corticosteroids. Patients were considered treatment naïve if they had not received any prior systemic treatment for acute GvHD (except for a maximum 72 </w:t>
      </w:r>
      <w:proofErr w:type="gramStart"/>
      <w:r w:rsidRPr="0078138E">
        <w:rPr>
          <w:sz w:val="24"/>
          <w:szCs w:val="24"/>
          <w:lang w:val="en-GB"/>
        </w:rPr>
        <w:t>hours</w:t>
      </w:r>
      <w:proofErr w:type="gramEnd"/>
      <w:r w:rsidRPr="0078138E">
        <w:rPr>
          <w:sz w:val="24"/>
          <w:szCs w:val="24"/>
          <w:lang w:val="en-GB"/>
        </w:rPr>
        <w:t xml:space="preserve"> prior systemic corticosteroid therapy of methylprednisolone or equivalent after the onset of acute GvHD). In addition to </w:t>
      </w:r>
      <w:proofErr w:type="spellStart"/>
      <w:r w:rsidRPr="0078138E">
        <w:rPr>
          <w:sz w:val="24"/>
          <w:szCs w:val="24"/>
          <w:lang w:val="en-GB"/>
        </w:rPr>
        <w:t>ruxolitinib</w:t>
      </w:r>
      <w:proofErr w:type="spellEnd"/>
      <w:r w:rsidRPr="0078138E">
        <w:rPr>
          <w:sz w:val="24"/>
          <w:szCs w:val="24"/>
          <w:lang w:val="en-GB"/>
        </w:rPr>
        <w:t xml:space="preserve">, patients were treated with systemic corticosteroids and/or CNI (cyclosporine or tacrolimus) and topical corticosteroid therapies were also allowed per institutional guidelines. In REACH4, 40 patients (88.9%) received concomitant CNIs. Patients could also have received standard allogeneic stem cell transplantation supportive care including anti-infective medicinal products and transfusion support. </w:t>
      </w:r>
      <w:proofErr w:type="spellStart"/>
      <w:r w:rsidRPr="0078138E">
        <w:rPr>
          <w:sz w:val="24"/>
          <w:szCs w:val="24"/>
          <w:lang w:val="en-GB"/>
        </w:rPr>
        <w:t>Ruxolitinib</w:t>
      </w:r>
      <w:proofErr w:type="spellEnd"/>
      <w:r w:rsidRPr="0078138E">
        <w:rPr>
          <w:sz w:val="24"/>
          <w:szCs w:val="24"/>
          <w:lang w:val="en-GB"/>
        </w:rPr>
        <w:t xml:space="preserve"> was to be discontinued in case of lack of response to acute GvHD treatment at day 28</w:t>
      </w:r>
    </w:p>
    <w:p w14:paraId="7F482268" w14:textId="77777777" w:rsidR="0078138E" w:rsidRPr="0078138E" w:rsidRDefault="0078138E" w:rsidP="00701C32">
      <w:pPr>
        <w:ind w:left="851"/>
        <w:rPr>
          <w:sz w:val="24"/>
          <w:szCs w:val="24"/>
          <w:lang w:val="en-GB"/>
        </w:rPr>
      </w:pPr>
    </w:p>
    <w:p w14:paraId="0D5CFEE6" w14:textId="77777777" w:rsidR="0078138E" w:rsidRPr="0078138E" w:rsidRDefault="0078138E" w:rsidP="00701C32">
      <w:pPr>
        <w:ind w:left="851"/>
        <w:rPr>
          <w:sz w:val="24"/>
          <w:szCs w:val="24"/>
          <w:lang w:val="en-GB"/>
        </w:rPr>
      </w:pPr>
      <w:r w:rsidRPr="0078138E">
        <w:rPr>
          <w:sz w:val="24"/>
          <w:szCs w:val="24"/>
          <w:lang w:val="en-GB"/>
        </w:rPr>
        <w:t xml:space="preserve">Tapering of </w:t>
      </w:r>
      <w:proofErr w:type="spellStart"/>
      <w:r w:rsidRPr="0078138E">
        <w:rPr>
          <w:sz w:val="24"/>
          <w:szCs w:val="24"/>
          <w:lang w:val="en-GB"/>
        </w:rPr>
        <w:t>ruxolitinib</w:t>
      </w:r>
      <w:proofErr w:type="spellEnd"/>
      <w:r w:rsidRPr="0078138E">
        <w:rPr>
          <w:sz w:val="24"/>
          <w:szCs w:val="24"/>
          <w:lang w:val="en-GB"/>
        </w:rPr>
        <w:t xml:space="preserve"> was allowed after the day 56 visit.</w:t>
      </w:r>
    </w:p>
    <w:p w14:paraId="43AB6EA2" w14:textId="77777777" w:rsidR="0078138E" w:rsidRPr="0078138E" w:rsidRDefault="0078138E" w:rsidP="00701C32">
      <w:pPr>
        <w:ind w:left="851"/>
        <w:rPr>
          <w:sz w:val="24"/>
          <w:szCs w:val="24"/>
          <w:lang w:val="en-GB"/>
        </w:rPr>
      </w:pPr>
    </w:p>
    <w:p w14:paraId="22C015B8" w14:textId="77777777" w:rsidR="0078138E" w:rsidRPr="0078138E" w:rsidRDefault="0078138E" w:rsidP="00701C32">
      <w:pPr>
        <w:ind w:left="851"/>
        <w:rPr>
          <w:sz w:val="24"/>
          <w:szCs w:val="24"/>
          <w:lang w:val="en-GB"/>
        </w:rPr>
      </w:pPr>
      <w:r w:rsidRPr="0078138E">
        <w:rPr>
          <w:sz w:val="24"/>
          <w:szCs w:val="24"/>
          <w:lang w:val="en-GB"/>
        </w:rPr>
        <w:t xml:space="preserve">Male and female patients accounted for 62.2% (n=28) and for 37.8% (n=17) of patients, respectively. Overall, 27 patients (60.0%) had underlying malignancy, most frequently leukaemia (26 patients, 57.8%). Among the 45 paediatric patients enrolled in REACH4, 13 (28.9%) had treatment-naïve acute GvHD and 32 (71.1%) had steroid-refractory acute GvHD. At baseline 64.4% of patients had grade II, 26.7% had </w:t>
      </w:r>
      <w:proofErr w:type="gramStart"/>
      <w:r w:rsidRPr="0078138E">
        <w:rPr>
          <w:sz w:val="24"/>
          <w:szCs w:val="24"/>
          <w:lang w:val="en-GB"/>
        </w:rPr>
        <w:t>grade</w:t>
      </w:r>
      <w:proofErr w:type="gramEnd"/>
      <w:r w:rsidRPr="0078138E">
        <w:rPr>
          <w:sz w:val="24"/>
          <w:szCs w:val="24"/>
          <w:lang w:val="en-GB"/>
        </w:rPr>
        <w:t xml:space="preserve"> III and 8.9% had grade IV acute GvHD.</w:t>
      </w:r>
    </w:p>
    <w:p w14:paraId="3E0DF7A8" w14:textId="77777777" w:rsidR="0078138E" w:rsidRPr="0078138E" w:rsidRDefault="0078138E" w:rsidP="00701C32">
      <w:pPr>
        <w:ind w:left="851"/>
        <w:rPr>
          <w:sz w:val="24"/>
          <w:szCs w:val="24"/>
          <w:lang w:val="en-GB"/>
        </w:rPr>
      </w:pPr>
    </w:p>
    <w:p w14:paraId="38E2AA45" w14:textId="77777777" w:rsidR="0078138E" w:rsidRPr="0078138E" w:rsidRDefault="0078138E" w:rsidP="00701C32">
      <w:pPr>
        <w:ind w:left="851"/>
        <w:rPr>
          <w:sz w:val="24"/>
          <w:szCs w:val="24"/>
          <w:lang w:val="en-GB"/>
        </w:rPr>
      </w:pPr>
      <w:r w:rsidRPr="0078138E">
        <w:rPr>
          <w:sz w:val="24"/>
          <w:szCs w:val="24"/>
          <w:lang w:val="en-GB"/>
        </w:rPr>
        <w:t>The overall response rate (ORR) at day 28 (primary efficacy endpoint) in REACH4 was 84.4% (90% CI: 72.8, 92.5) in all patients, with CR in 48.9% of patients and PR in 35.6% of patients. In terms of pre-treatment status, the ORR at day 28 was 90.6% in steroid refractory (SR) patients.</w:t>
      </w:r>
    </w:p>
    <w:p w14:paraId="6AAAE26B" w14:textId="77777777" w:rsidR="0078138E" w:rsidRPr="0078138E" w:rsidRDefault="0078138E" w:rsidP="00701C32">
      <w:pPr>
        <w:ind w:left="851"/>
        <w:rPr>
          <w:sz w:val="24"/>
          <w:szCs w:val="24"/>
          <w:lang w:val="en-GB"/>
        </w:rPr>
      </w:pPr>
    </w:p>
    <w:p w14:paraId="38BD1C68" w14:textId="77777777" w:rsidR="0078138E" w:rsidRPr="0078138E" w:rsidRDefault="0078138E" w:rsidP="00701C32">
      <w:pPr>
        <w:ind w:left="851"/>
        <w:rPr>
          <w:sz w:val="24"/>
          <w:szCs w:val="24"/>
          <w:lang w:val="en-GB"/>
        </w:rPr>
      </w:pPr>
      <w:r w:rsidRPr="0078138E">
        <w:rPr>
          <w:sz w:val="24"/>
          <w:szCs w:val="24"/>
          <w:lang w:val="en-GB"/>
        </w:rPr>
        <w:t>Rate of durable ORR at day 56 (key secondary endpoint) measured by the proportion of patients who achieved a CR or PR at day 28 and maintained a CR or PR at day 56 was 66.7% in all REACH4 patients, and 68.8% in SR patients.</w:t>
      </w:r>
    </w:p>
    <w:p w14:paraId="49F78D15" w14:textId="77777777" w:rsidR="0078138E" w:rsidRPr="0078138E" w:rsidRDefault="0078138E" w:rsidP="00701C32">
      <w:pPr>
        <w:ind w:left="851"/>
        <w:rPr>
          <w:sz w:val="24"/>
          <w:szCs w:val="24"/>
          <w:lang w:val="en-GB"/>
        </w:rPr>
      </w:pPr>
    </w:p>
    <w:p w14:paraId="38EC4D86" w14:textId="77777777" w:rsidR="0078138E" w:rsidRPr="0078138E" w:rsidRDefault="0078138E" w:rsidP="00701C32">
      <w:pPr>
        <w:ind w:left="851"/>
        <w:rPr>
          <w:i/>
          <w:iCs/>
          <w:sz w:val="24"/>
          <w:szCs w:val="24"/>
          <w:u w:val="single"/>
          <w:lang w:val="en-GB"/>
        </w:rPr>
      </w:pPr>
      <w:r w:rsidRPr="0078138E">
        <w:rPr>
          <w:i/>
          <w:iCs/>
          <w:sz w:val="24"/>
          <w:szCs w:val="24"/>
          <w:u w:val="single"/>
          <w:lang w:val="en-GB"/>
        </w:rPr>
        <w:t>Chronic graft versus host disease</w:t>
      </w:r>
    </w:p>
    <w:p w14:paraId="5C66E0EC" w14:textId="77777777" w:rsidR="0078138E" w:rsidRPr="0078138E" w:rsidRDefault="0078138E" w:rsidP="00701C32">
      <w:pPr>
        <w:ind w:left="851"/>
        <w:rPr>
          <w:sz w:val="24"/>
          <w:szCs w:val="24"/>
          <w:lang w:val="en-GB"/>
        </w:rPr>
      </w:pPr>
      <w:r w:rsidRPr="0078138E">
        <w:rPr>
          <w:sz w:val="24"/>
          <w:szCs w:val="24"/>
          <w:lang w:val="en-GB"/>
        </w:rPr>
        <w:t xml:space="preserve">In REACH5, 45 paediatric patients with moderate or severe chronic GvHD were treated with </w:t>
      </w:r>
      <w:proofErr w:type="spellStart"/>
      <w:r w:rsidRPr="0078138E">
        <w:rPr>
          <w:sz w:val="24"/>
          <w:szCs w:val="24"/>
          <w:lang w:val="en-GB"/>
        </w:rPr>
        <w:t>ruxolitinib</w:t>
      </w:r>
      <w:proofErr w:type="spellEnd"/>
      <w:r w:rsidRPr="0078138E">
        <w:rPr>
          <w:sz w:val="24"/>
          <w:szCs w:val="24"/>
          <w:lang w:val="en-GB"/>
        </w:rPr>
        <w:t xml:space="preserve"> and corticosteroids +/- CNIs to assess safety, efficacy and pharmacokinetics of </w:t>
      </w:r>
      <w:proofErr w:type="spellStart"/>
      <w:r w:rsidRPr="0078138E">
        <w:rPr>
          <w:sz w:val="24"/>
          <w:szCs w:val="24"/>
          <w:lang w:val="en-GB"/>
        </w:rPr>
        <w:t>ruxolitinib</w:t>
      </w:r>
      <w:proofErr w:type="spellEnd"/>
      <w:r w:rsidRPr="0078138E">
        <w:rPr>
          <w:sz w:val="24"/>
          <w:szCs w:val="24"/>
          <w:lang w:val="en-GB"/>
        </w:rPr>
        <w:t xml:space="preserve"> treatment. Patients were enrolled into 4 groups based on age (Group 1 [≥12 years to &lt; 18 years, N=22], Group 2 [≥6 years to &lt; 12 years, N=16], Group 3 [≥2 years to &lt; 6 years, N=7] and Group 4 [≥28 days to &lt; 2 years, N=0]). The doses tested were 10 mg twice daily for Group 1, 5 mg twice daily for Group 2 and 4 mg/m</w:t>
      </w:r>
      <w:r w:rsidRPr="0078138E">
        <w:rPr>
          <w:sz w:val="24"/>
          <w:szCs w:val="24"/>
          <w:vertAlign w:val="superscript"/>
          <w:lang w:val="en-GB"/>
        </w:rPr>
        <w:t>2</w:t>
      </w:r>
      <w:r w:rsidRPr="0078138E">
        <w:rPr>
          <w:sz w:val="24"/>
          <w:szCs w:val="24"/>
          <w:lang w:val="en-GB"/>
        </w:rPr>
        <w:t xml:space="preserve"> twice daily for Group 3 and patients were treated for 39 cycles/156 weeks or until discontinuation. </w:t>
      </w:r>
      <w:proofErr w:type="spellStart"/>
      <w:r w:rsidRPr="0078138E">
        <w:rPr>
          <w:sz w:val="24"/>
          <w:szCs w:val="24"/>
          <w:lang w:val="en-GB"/>
        </w:rPr>
        <w:t>Ruxolitinib</w:t>
      </w:r>
      <w:proofErr w:type="spellEnd"/>
      <w:r w:rsidRPr="0078138E">
        <w:rPr>
          <w:sz w:val="24"/>
          <w:szCs w:val="24"/>
          <w:lang w:val="en-GB"/>
        </w:rPr>
        <w:t xml:space="preserve"> was administered as either a 5 mg tablet or an oral solution for paediatric patients &lt;12 years.</w:t>
      </w:r>
    </w:p>
    <w:p w14:paraId="71CFB65E" w14:textId="77777777" w:rsidR="0078138E" w:rsidRPr="0078138E" w:rsidRDefault="0078138E" w:rsidP="00701C32">
      <w:pPr>
        <w:ind w:left="851"/>
        <w:rPr>
          <w:sz w:val="24"/>
          <w:szCs w:val="24"/>
          <w:lang w:val="en-GB"/>
        </w:rPr>
      </w:pPr>
    </w:p>
    <w:p w14:paraId="48941EEC" w14:textId="77777777" w:rsidR="0078138E" w:rsidRPr="0078138E" w:rsidRDefault="0078138E" w:rsidP="00701C32">
      <w:pPr>
        <w:ind w:left="851"/>
        <w:rPr>
          <w:sz w:val="24"/>
          <w:szCs w:val="24"/>
          <w:lang w:val="en-GB"/>
        </w:rPr>
      </w:pPr>
      <w:r w:rsidRPr="0078138E">
        <w:rPr>
          <w:sz w:val="24"/>
          <w:szCs w:val="24"/>
          <w:lang w:val="en-GB"/>
        </w:rPr>
        <w:t>Patients were enrolled with either steroid-refractory or treatment-naïve disease status. Patients were considered steroid refractory as per institutional criteria or per physician decision in case institutional criteria were not available and were permitted to have received additional prior systemic treatment for chronic GvHD in addition to corticosteroids. Patients were considered treatment naïve if they had not received any prior systemic treatment for chronic GvHD (except for a maximum 72 </w:t>
      </w:r>
      <w:proofErr w:type="gramStart"/>
      <w:r w:rsidRPr="0078138E">
        <w:rPr>
          <w:sz w:val="24"/>
          <w:szCs w:val="24"/>
          <w:lang w:val="en-GB"/>
        </w:rPr>
        <w:t>hours</w:t>
      </w:r>
      <w:proofErr w:type="gramEnd"/>
      <w:r w:rsidRPr="0078138E">
        <w:rPr>
          <w:sz w:val="24"/>
          <w:szCs w:val="24"/>
          <w:lang w:val="en-GB"/>
        </w:rPr>
        <w:t xml:space="preserve"> prior systemic corticosteroid therapy of methylprednisolone or equivalent after the onset of chronic GvHD). In addition to </w:t>
      </w:r>
      <w:proofErr w:type="spellStart"/>
      <w:r w:rsidRPr="0078138E">
        <w:rPr>
          <w:sz w:val="24"/>
          <w:szCs w:val="24"/>
          <w:lang w:val="en-GB"/>
        </w:rPr>
        <w:t>ruxolitinib</w:t>
      </w:r>
      <w:proofErr w:type="spellEnd"/>
      <w:r w:rsidRPr="0078138E">
        <w:rPr>
          <w:sz w:val="24"/>
          <w:szCs w:val="24"/>
          <w:lang w:val="en-GB"/>
        </w:rPr>
        <w:t xml:space="preserve">, patients continued use of systemic corticosteroids and/or CNI (cyclosporine or tacrolimus) and topical corticosteroid therapies were also allowed per institutional guidelines. In REACH5, 23 patients (51.1%) received concomitant CNIs. Patients could also have received standard allogeneic stem cell transplantation supportive care including anti-infective medicinal products and transfusion support. </w:t>
      </w:r>
      <w:proofErr w:type="spellStart"/>
      <w:r w:rsidRPr="0078138E">
        <w:rPr>
          <w:sz w:val="24"/>
          <w:szCs w:val="24"/>
          <w:lang w:val="en-GB"/>
        </w:rPr>
        <w:t>Ruxolitinib</w:t>
      </w:r>
      <w:proofErr w:type="spellEnd"/>
      <w:r w:rsidRPr="0078138E">
        <w:rPr>
          <w:sz w:val="24"/>
          <w:szCs w:val="24"/>
          <w:lang w:val="en-GB"/>
        </w:rPr>
        <w:t xml:space="preserve"> was to be discontinued in case of lack of response to chronic GvHD treatment day 169.</w:t>
      </w:r>
    </w:p>
    <w:p w14:paraId="7573176D" w14:textId="77777777" w:rsidR="0078138E" w:rsidRPr="0078138E" w:rsidRDefault="0078138E" w:rsidP="00701C32">
      <w:pPr>
        <w:ind w:left="851"/>
        <w:rPr>
          <w:sz w:val="24"/>
          <w:szCs w:val="24"/>
          <w:lang w:val="en-GB"/>
        </w:rPr>
      </w:pPr>
    </w:p>
    <w:p w14:paraId="5B56ACAD" w14:textId="77777777" w:rsidR="0078138E" w:rsidRPr="0078138E" w:rsidRDefault="0078138E" w:rsidP="00701C32">
      <w:pPr>
        <w:ind w:left="851"/>
        <w:rPr>
          <w:sz w:val="24"/>
          <w:szCs w:val="24"/>
          <w:lang w:val="en-GB"/>
        </w:rPr>
      </w:pPr>
      <w:r w:rsidRPr="0078138E">
        <w:rPr>
          <w:sz w:val="24"/>
          <w:szCs w:val="24"/>
          <w:lang w:val="en-GB"/>
        </w:rPr>
        <w:t xml:space="preserve">Tapering of </w:t>
      </w:r>
      <w:proofErr w:type="spellStart"/>
      <w:r w:rsidRPr="0078138E">
        <w:rPr>
          <w:sz w:val="24"/>
          <w:szCs w:val="24"/>
          <w:lang w:val="en-GB"/>
        </w:rPr>
        <w:t>ruxolitinib</w:t>
      </w:r>
      <w:proofErr w:type="spellEnd"/>
      <w:r w:rsidRPr="0078138E">
        <w:rPr>
          <w:sz w:val="24"/>
          <w:szCs w:val="24"/>
          <w:lang w:val="en-GB"/>
        </w:rPr>
        <w:t xml:space="preserve"> was allowed after the day 169 visit.</w:t>
      </w:r>
    </w:p>
    <w:p w14:paraId="272B6142" w14:textId="77777777" w:rsidR="0078138E" w:rsidRPr="0078138E" w:rsidRDefault="0078138E" w:rsidP="00701C32">
      <w:pPr>
        <w:ind w:left="851"/>
        <w:rPr>
          <w:sz w:val="24"/>
          <w:szCs w:val="24"/>
          <w:lang w:val="en-GB"/>
        </w:rPr>
      </w:pPr>
    </w:p>
    <w:p w14:paraId="463EF6D8" w14:textId="77777777" w:rsidR="0078138E" w:rsidRPr="0078138E" w:rsidRDefault="0078138E" w:rsidP="00701C32">
      <w:pPr>
        <w:ind w:left="851"/>
        <w:rPr>
          <w:sz w:val="24"/>
          <w:szCs w:val="24"/>
          <w:lang w:val="en-GB"/>
        </w:rPr>
      </w:pPr>
      <w:r w:rsidRPr="0078138E">
        <w:rPr>
          <w:sz w:val="24"/>
          <w:szCs w:val="24"/>
          <w:lang w:val="en-GB"/>
        </w:rPr>
        <w:t>Male and female patients accounted for 64.4% (n=29) and for 35.6% (n=16) of patients, respectively, with 30 patients (66.7%) with pre-transplant disease history of underlying malignancy, most frequently leukaemia (27 patients, 60%).</w:t>
      </w:r>
    </w:p>
    <w:p w14:paraId="78909C73" w14:textId="77777777" w:rsidR="0078138E" w:rsidRPr="0078138E" w:rsidRDefault="0078138E" w:rsidP="00701C32">
      <w:pPr>
        <w:ind w:left="851"/>
        <w:rPr>
          <w:sz w:val="24"/>
          <w:szCs w:val="24"/>
          <w:lang w:val="en-GB"/>
        </w:rPr>
      </w:pPr>
    </w:p>
    <w:p w14:paraId="5ECEDBC4" w14:textId="77777777" w:rsidR="0078138E" w:rsidRPr="0078138E" w:rsidRDefault="0078138E" w:rsidP="00701C32">
      <w:pPr>
        <w:ind w:left="851"/>
        <w:rPr>
          <w:sz w:val="24"/>
          <w:szCs w:val="24"/>
          <w:lang w:val="en-GB"/>
        </w:rPr>
      </w:pPr>
      <w:r w:rsidRPr="0078138E">
        <w:rPr>
          <w:sz w:val="24"/>
          <w:szCs w:val="24"/>
          <w:lang w:val="en-GB"/>
        </w:rPr>
        <w:t>Among the 45 paediatric patients enrolled in REACH5, 17 (37.8%) were treatment-naïve chronic GvHD patients and 28 (62.2%) were SR chronic GvHD patients. The disease was severe in 62.2% of patients and moderate in 37.8% of patients. Thirty-one (68.9%) patients had skin involvement, eighteen (40%) had mouth involvement, and fourteen (31.1%) had lung involvement.</w:t>
      </w:r>
    </w:p>
    <w:p w14:paraId="40D1CEF0" w14:textId="77777777" w:rsidR="0078138E" w:rsidRPr="0078138E" w:rsidRDefault="0078138E" w:rsidP="00701C32">
      <w:pPr>
        <w:ind w:left="851"/>
        <w:rPr>
          <w:sz w:val="24"/>
          <w:szCs w:val="24"/>
          <w:lang w:val="en-GB"/>
        </w:rPr>
      </w:pPr>
    </w:p>
    <w:p w14:paraId="4BFC93C5" w14:textId="77777777" w:rsidR="0078138E" w:rsidRPr="0078138E" w:rsidRDefault="0078138E" w:rsidP="00701C32">
      <w:pPr>
        <w:ind w:left="851"/>
        <w:rPr>
          <w:sz w:val="24"/>
          <w:szCs w:val="24"/>
          <w:lang w:val="en-GB"/>
        </w:rPr>
      </w:pPr>
      <w:r w:rsidRPr="0078138E">
        <w:rPr>
          <w:sz w:val="24"/>
          <w:szCs w:val="24"/>
          <w:lang w:val="en-GB"/>
        </w:rPr>
        <w:t>The ORR at day 169 (primary efficacy endpoint) was 40% (90% CI: 27.7, 53.3) in all REACH5 paediatric patients, and 39.3% in SR patients.</w:t>
      </w:r>
    </w:p>
    <w:p w14:paraId="08AFD608" w14:textId="77777777" w:rsidR="007C5D2A" w:rsidRPr="009B509D" w:rsidRDefault="007C5D2A" w:rsidP="003E0341">
      <w:pPr>
        <w:tabs>
          <w:tab w:val="left" w:pos="851"/>
        </w:tabs>
        <w:ind w:left="851"/>
        <w:rPr>
          <w:sz w:val="24"/>
          <w:szCs w:val="24"/>
          <w:lang w:val="en-GB"/>
        </w:rPr>
      </w:pPr>
    </w:p>
    <w:p w14:paraId="5CB29505" w14:textId="4F771727" w:rsidR="007C5D2A" w:rsidRPr="009B509D" w:rsidRDefault="007C5D2A" w:rsidP="007C5D2A">
      <w:pPr>
        <w:tabs>
          <w:tab w:val="left" w:pos="851"/>
        </w:tabs>
        <w:ind w:left="851" w:hanging="851"/>
        <w:rPr>
          <w:b/>
          <w:sz w:val="24"/>
          <w:szCs w:val="24"/>
          <w:lang w:val="en-GB"/>
        </w:rPr>
      </w:pPr>
      <w:r w:rsidRPr="009B509D">
        <w:rPr>
          <w:b/>
          <w:sz w:val="24"/>
          <w:szCs w:val="24"/>
          <w:lang w:val="en-GB"/>
        </w:rPr>
        <w:t>5.2</w:t>
      </w:r>
      <w:r w:rsidRPr="009B509D">
        <w:rPr>
          <w:b/>
          <w:sz w:val="24"/>
          <w:szCs w:val="24"/>
          <w:lang w:val="en-GB"/>
        </w:rPr>
        <w:tab/>
        <w:t>Pharmacokinetic properties</w:t>
      </w:r>
    </w:p>
    <w:p w14:paraId="2DA35D3D" w14:textId="77777777" w:rsidR="0078138E" w:rsidRPr="0078138E" w:rsidRDefault="0078138E" w:rsidP="0078138E">
      <w:pPr>
        <w:tabs>
          <w:tab w:val="left" w:pos="851"/>
        </w:tabs>
        <w:ind w:left="851"/>
        <w:rPr>
          <w:sz w:val="24"/>
          <w:szCs w:val="24"/>
          <w:lang w:val="en-GB"/>
        </w:rPr>
      </w:pPr>
    </w:p>
    <w:p w14:paraId="6F3CCA71" w14:textId="77777777" w:rsidR="0078138E" w:rsidRPr="0078138E" w:rsidRDefault="0078138E" w:rsidP="00701C32">
      <w:pPr>
        <w:ind w:left="851"/>
        <w:rPr>
          <w:sz w:val="24"/>
          <w:szCs w:val="24"/>
          <w:u w:val="single"/>
          <w:lang w:val="en-GB"/>
        </w:rPr>
      </w:pPr>
      <w:r w:rsidRPr="0078138E">
        <w:rPr>
          <w:sz w:val="24"/>
          <w:szCs w:val="24"/>
          <w:u w:val="single"/>
          <w:lang w:val="en-GB"/>
        </w:rPr>
        <w:t>Absorption</w:t>
      </w:r>
    </w:p>
    <w:p w14:paraId="0A2F56BA" w14:textId="77777777" w:rsidR="0078138E" w:rsidRPr="0078138E" w:rsidRDefault="0078138E" w:rsidP="00701C32">
      <w:pPr>
        <w:ind w:left="851"/>
        <w:rPr>
          <w:sz w:val="24"/>
          <w:szCs w:val="24"/>
          <w:lang w:val="en-GB"/>
        </w:rPr>
      </w:pPr>
    </w:p>
    <w:p w14:paraId="551ED2D8" w14:textId="77777777" w:rsidR="0078138E" w:rsidRPr="0078138E" w:rsidRDefault="0078138E" w:rsidP="00701C32">
      <w:pPr>
        <w:ind w:left="851"/>
        <w:rPr>
          <w:sz w:val="24"/>
          <w:szCs w:val="24"/>
          <w:lang w:val="en-GB"/>
        </w:rPr>
      </w:pPr>
      <w:proofErr w:type="spellStart"/>
      <w:r w:rsidRPr="0078138E">
        <w:rPr>
          <w:sz w:val="24"/>
          <w:szCs w:val="24"/>
          <w:lang w:val="en-GB"/>
        </w:rPr>
        <w:t>Ruxolitinib</w:t>
      </w:r>
      <w:proofErr w:type="spellEnd"/>
      <w:r w:rsidRPr="0078138E">
        <w:rPr>
          <w:sz w:val="24"/>
          <w:szCs w:val="24"/>
          <w:lang w:val="en-GB"/>
        </w:rPr>
        <w:t xml:space="preserve"> is a Biopharmaceutical Classification System (BCS) class 1 compound, with high permeability, high solubility and rapid dissolution characteristics. In clinical studies, </w:t>
      </w:r>
      <w:proofErr w:type="spellStart"/>
      <w:r w:rsidRPr="0078138E">
        <w:rPr>
          <w:sz w:val="24"/>
          <w:szCs w:val="24"/>
          <w:lang w:val="en-GB"/>
        </w:rPr>
        <w:t>ruxolitinib</w:t>
      </w:r>
      <w:proofErr w:type="spellEnd"/>
      <w:r w:rsidRPr="0078138E">
        <w:rPr>
          <w:sz w:val="24"/>
          <w:szCs w:val="24"/>
          <w:lang w:val="en-GB"/>
        </w:rPr>
        <w:t xml:space="preserve"> is rapidly absorbed after oral administration with maximal plasma concentration (Cmax) achieved approximately </w:t>
      </w:r>
      <w:proofErr w:type="gramStart"/>
      <w:r w:rsidRPr="0078138E">
        <w:rPr>
          <w:sz w:val="24"/>
          <w:szCs w:val="24"/>
          <w:lang w:val="en-GB"/>
        </w:rPr>
        <w:t>1 hour</w:t>
      </w:r>
      <w:proofErr w:type="gramEnd"/>
      <w:r w:rsidRPr="0078138E">
        <w:rPr>
          <w:sz w:val="24"/>
          <w:szCs w:val="24"/>
          <w:lang w:val="en-GB"/>
        </w:rPr>
        <w:t xml:space="preserve"> post-dose. Based on a human mass balance study, oral absorption of </w:t>
      </w:r>
      <w:proofErr w:type="spellStart"/>
      <w:r w:rsidRPr="0078138E">
        <w:rPr>
          <w:sz w:val="24"/>
          <w:szCs w:val="24"/>
          <w:lang w:val="en-GB"/>
        </w:rPr>
        <w:t>ruxolitinib</w:t>
      </w:r>
      <w:proofErr w:type="spellEnd"/>
      <w:r w:rsidRPr="0078138E">
        <w:rPr>
          <w:sz w:val="24"/>
          <w:szCs w:val="24"/>
          <w:lang w:val="en-GB"/>
        </w:rPr>
        <w:t xml:space="preserve">, as </w:t>
      </w:r>
      <w:proofErr w:type="spellStart"/>
      <w:r w:rsidRPr="0078138E">
        <w:rPr>
          <w:sz w:val="24"/>
          <w:szCs w:val="24"/>
          <w:lang w:val="en-GB"/>
        </w:rPr>
        <w:t>ruxolitinib</w:t>
      </w:r>
      <w:proofErr w:type="spellEnd"/>
      <w:r w:rsidRPr="0078138E">
        <w:rPr>
          <w:sz w:val="24"/>
          <w:szCs w:val="24"/>
          <w:lang w:val="en-GB"/>
        </w:rPr>
        <w:t xml:space="preserve"> or metabolites formed under first-pass, is 95% or greater. Mean </w:t>
      </w:r>
      <w:proofErr w:type="spellStart"/>
      <w:r w:rsidRPr="0078138E">
        <w:rPr>
          <w:sz w:val="24"/>
          <w:szCs w:val="24"/>
          <w:lang w:val="en-GB"/>
        </w:rPr>
        <w:t>ruxolitinib</w:t>
      </w:r>
      <w:proofErr w:type="spellEnd"/>
      <w:r w:rsidRPr="0078138E">
        <w:rPr>
          <w:sz w:val="24"/>
          <w:szCs w:val="24"/>
          <w:lang w:val="en-GB"/>
        </w:rPr>
        <w:t xml:space="preserve"> Cmax and total exposure (AUC) increased proportionally over a single dose range of 5</w:t>
      </w:r>
      <w:r w:rsidRPr="0078138E">
        <w:rPr>
          <w:sz w:val="24"/>
          <w:szCs w:val="24"/>
          <w:lang w:val="en-GB"/>
        </w:rPr>
        <w:noBreakHyphen/>
        <w:t xml:space="preserve">200 mg. There was no clinically relevant change in the pharmacokinetics of </w:t>
      </w:r>
      <w:proofErr w:type="spellStart"/>
      <w:r w:rsidRPr="0078138E">
        <w:rPr>
          <w:sz w:val="24"/>
          <w:szCs w:val="24"/>
          <w:lang w:val="en-GB"/>
        </w:rPr>
        <w:t>ruxolitinib</w:t>
      </w:r>
      <w:proofErr w:type="spellEnd"/>
      <w:r w:rsidRPr="0078138E">
        <w:rPr>
          <w:sz w:val="24"/>
          <w:szCs w:val="24"/>
          <w:lang w:val="en-GB"/>
        </w:rPr>
        <w:t xml:space="preserve"> upon administration with a high-fat meal. The mean Cmax was moderately decreased (24%) while the mean AUC was nearly unchanged (4% increase) on dosing with a high-fat meal.</w:t>
      </w:r>
    </w:p>
    <w:p w14:paraId="1A8B87EE" w14:textId="77777777" w:rsidR="0078138E" w:rsidRPr="0078138E" w:rsidRDefault="0078138E" w:rsidP="00701C32">
      <w:pPr>
        <w:ind w:left="851"/>
        <w:rPr>
          <w:sz w:val="24"/>
          <w:szCs w:val="24"/>
          <w:lang w:val="en-GB"/>
        </w:rPr>
      </w:pPr>
    </w:p>
    <w:p w14:paraId="75EA78AB" w14:textId="77777777" w:rsidR="0078138E" w:rsidRPr="0078138E" w:rsidRDefault="0078138E" w:rsidP="00701C32">
      <w:pPr>
        <w:ind w:left="851"/>
        <w:rPr>
          <w:sz w:val="24"/>
          <w:szCs w:val="24"/>
          <w:u w:val="single"/>
          <w:lang w:val="en-GB"/>
        </w:rPr>
      </w:pPr>
      <w:r w:rsidRPr="0078138E">
        <w:rPr>
          <w:sz w:val="24"/>
          <w:szCs w:val="24"/>
          <w:u w:val="single"/>
          <w:lang w:val="en-GB"/>
        </w:rPr>
        <w:t>Distribution</w:t>
      </w:r>
    </w:p>
    <w:p w14:paraId="3F2435B4" w14:textId="77777777" w:rsidR="0078138E" w:rsidRPr="0078138E" w:rsidRDefault="0078138E" w:rsidP="00701C32">
      <w:pPr>
        <w:ind w:left="851"/>
        <w:rPr>
          <w:sz w:val="24"/>
          <w:szCs w:val="24"/>
          <w:lang w:val="en-GB"/>
        </w:rPr>
      </w:pPr>
    </w:p>
    <w:p w14:paraId="6B2CFE59" w14:textId="0BA939C3" w:rsidR="0078138E" w:rsidRPr="0078138E" w:rsidRDefault="0078138E" w:rsidP="00701C32">
      <w:pPr>
        <w:ind w:left="851"/>
        <w:rPr>
          <w:sz w:val="24"/>
          <w:szCs w:val="24"/>
          <w:lang w:val="en-GB"/>
        </w:rPr>
      </w:pPr>
      <w:r w:rsidRPr="0078138E">
        <w:rPr>
          <w:sz w:val="24"/>
          <w:szCs w:val="24"/>
          <w:lang w:val="en-GB"/>
        </w:rPr>
        <w:t>The mean volume of distribution at steady state is approximately 75 litres in MF and PV patients, 67.5 litres in adolescent and adult acute GvHD patients and 60.9 litres in adolescent and adult chronic GvHD patients. The mean volume of distribution at steady state is approximately 30 litres in paediatric patients with acute or chronic GvHD and with a body surface area (BSA) below 1 m</w:t>
      </w:r>
      <w:r w:rsidRPr="0078138E">
        <w:rPr>
          <w:sz w:val="24"/>
          <w:szCs w:val="24"/>
          <w:vertAlign w:val="superscript"/>
          <w:lang w:val="en-GB"/>
        </w:rPr>
        <w:t>2</w:t>
      </w:r>
      <w:r w:rsidR="008E5F58" w:rsidRPr="008E5F58">
        <w:rPr>
          <w:sz w:val="24"/>
          <w:szCs w:val="24"/>
          <w:lang w:val="en-GB"/>
        </w:rPr>
        <w:t>.</w:t>
      </w:r>
      <w:r w:rsidRPr="0078138E">
        <w:rPr>
          <w:sz w:val="24"/>
          <w:szCs w:val="24"/>
          <w:lang w:val="en-GB"/>
        </w:rPr>
        <w:t xml:space="preserve"> At clinically relevant concentrations of </w:t>
      </w:r>
      <w:proofErr w:type="spellStart"/>
      <w:r w:rsidRPr="0078138E">
        <w:rPr>
          <w:sz w:val="24"/>
          <w:szCs w:val="24"/>
          <w:lang w:val="en-GB"/>
        </w:rPr>
        <w:t>ruxolitinib</w:t>
      </w:r>
      <w:proofErr w:type="spellEnd"/>
      <w:r w:rsidRPr="0078138E">
        <w:rPr>
          <w:sz w:val="24"/>
          <w:szCs w:val="24"/>
          <w:lang w:val="en-GB"/>
        </w:rPr>
        <w:t xml:space="preserve">, binding to plasma proteins </w:t>
      </w:r>
      <w:r w:rsidRPr="0078138E">
        <w:rPr>
          <w:i/>
          <w:iCs/>
          <w:sz w:val="24"/>
          <w:szCs w:val="24"/>
          <w:lang w:val="en-GB"/>
        </w:rPr>
        <w:t xml:space="preserve">in vitro </w:t>
      </w:r>
      <w:r w:rsidRPr="0078138E">
        <w:rPr>
          <w:sz w:val="24"/>
          <w:szCs w:val="24"/>
          <w:lang w:val="en-GB"/>
        </w:rPr>
        <w:t xml:space="preserve">is approximately 97%, mostly to albumin. A whole-body autoradiography study in rats has shown that </w:t>
      </w:r>
      <w:proofErr w:type="spellStart"/>
      <w:r w:rsidRPr="0078138E">
        <w:rPr>
          <w:sz w:val="24"/>
          <w:szCs w:val="24"/>
          <w:lang w:val="en-GB"/>
        </w:rPr>
        <w:t>ruxolitinib</w:t>
      </w:r>
      <w:proofErr w:type="spellEnd"/>
      <w:r w:rsidRPr="0078138E">
        <w:rPr>
          <w:sz w:val="24"/>
          <w:szCs w:val="24"/>
          <w:lang w:val="en-GB"/>
        </w:rPr>
        <w:t xml:space="preserve"> does not penetrate the blood-brain barrier.</w:t>
      </w:r>
    </w:p>
    <w:p w14:paraId="382692DF" w14:textId="77777777" w:rsidR="0078138E" w:rsidRPr="0078138E" w:rsidRDefault="0078138E" w:rsidP="00701C32">
      <w:pPr>
        <w:ind w:left="851"/>
        <w:rPr>
          <w:sz w:val="24"/>
          <w:szCs w:val="24"/>
          <w:lang w:val="en-GB"/>
        </w:rPr>
      </w:pPr>
    </w:p>
    <w:p w14:paraId="3ADD3646" w14:textId="77777777" w:rsidR="0078138E" w:rsidRPr="0078138E" w:rsidRDefault="0078138E" w:rsidP="00701C32">
      <w:pPr>
        <w:ind w:left="851"/>
        <w:rPr>
          <w:sz w:val="24"/>
          <w:szCs w:val="24"/>
          <w:u w:val="single"/>
          <w:lang w:val="en-GB"/>
        </w:rPr>
      </w:pPr>
      <w:r w:rsidRPr="0078138E">
        <w:rPr>
          <w:sz w:val="24"/>
          <w:szCs w:val="24"/>
          <w:u w:val="single"/>
          <w:lang w:val="en-GB"/>
        </w:rPr>
        <w:t>Biotransformation</w:t>
      </w:r>
    </w:p>
    <w:p w14:paraId="5377FD49" w14:textId="77777777" w:rsidR="0078138E" w:rsidRPr="0078138E" w:rsidRDefault="0078138E" w:rsidP="00701C32">
      <w:pPr>
        <w:ind w:left="851"/>
        <w:rPr>
          <w:sz w:val="24"/>
          <w:szCs w:val="24"/>
          <w:lang w:val="en-GB"/>
        </w:rPr>
      </w:pPr>
    </w:p>
    <w:p w14:paraId="3D3CBBE7" w14:textId="77777777" w:rsidR="0078138E" w:rsidRPr="0078138E" w:rsidRDefault="0078138E" w:rsidP="00701C32">
      <w:pPr>
        <w:ind w:left="851"/>
        <w:rPr>
          <w:sz w:val="24"/>
          <w:szCs w:val="24"/>
          <w:lang w:val="en-GB"/>
        </w:rPr>
      </w:pPr>
      <w:proofErr w:type="spellStart"/>
      <w:r w:rsidRPr="0078138E">
        <w:rPr>
          <w:sz w:val="24"/>
          <w:szCs w:val="24"/>
          <w:lang w:val="en-GB"/>
        </w:rPr>
        <w:t>Ruxolitinib</w:t>
      </w:r>
      <w:proofErr w:type="spellEnd"/>
      <w:r w:rsidRPr="0078138E">
        <w:rPr>
          <w:sz w:val="24"/>
          <w:szCs w:val="24"/>
          <w:lang w:val="en-GB"/>
        </w:rPr>
        <w:t xml:space="preserve"> is mainly metabolised by CYP3A4 (&gt;50%), with additional contribution from CYP2C9. Parent compound is the predominant entity in human plasma, representing approximately 60% of the drug-related material in circulation. Two major and active metabolites are present in plasma representing 25% and 11% of parent AUC. These metabolites have one half to one fifth of the parent JAK-related pharmacological activity. The </w:t>
      </w:r>
      <w:proofErr w:type="gramStart"/>
      <w:r w:rsidRPr="0078138E">
        <w:rPr>
          <w:sz w:val="24"/>
          <w:szCs w:val="24"/>
          <w:lang w:val="en-GB"/>
        </w:rPr>
        <w:t>sum total</w:t>
      </w:r>
      <w:proofErr w:type="gramEnd"/>
      <w:r w:rsidRPr="0078138E">
        <w:rPr>
          <w:sz w:val="24"/>
          <w:szCs w:val="24"/>
          <w:lang w:val="en-GB"/>
        </w:rPr>
        <w:t xml:space="preserve"> of all active metabolites contributes to 18% of the overall pharmacodynamics of </w:t>
      </w:r>
      <w:proofErr w:type="spellStart"/>
      <w:r w:rsidRPr="0078138E">
        <w:rPr>
          <w:sz w:val="24"/>
          <w:szCs w:val="24"/>
          <w:lang w:val="en-GB"/>
        </w:rPr>
        <w:t>ruxolitinib</w:t>
      </w:r>
      <w:proofErr w:type="spellEnd"/>
      <w:r w:rsidRPr="0078138E">
        <w:rPr>
          <w:sz w:val="24"/>
          <w:szCs w:val="24"/>
          <w:lang w:val="en-GB"/>
        </w:rPr>
        <w:t xml:space="preserve">. At clinically relevant concentrations, </w:t>
      </w:r>
      <w:proofErr w:type="spellStart"/>
      <w:r w:rsidRPr="0078138E">
        <w:rPr>
          <w:sz w:val="24"/>
          <w:szCs w:val="24"/>
          <w:lang w:val="en-GB"/>
        </w:rPr>
        <w:t>ruxolitinib</w:t>
      </w:r>
      <w:proofErr w:type="spellEnd"/>
      <w:r w:rsidRPr="0078138E">
        <w:rPr>
          <w:sz w:val="24"/>
          <w:szCs w:val="24"/>
          <w:lang w:val="en-GB"/>
        </w:rPr>
        <w:t xml:space="preserve"> does not inhibit CYP1A2, CYP2B6, CYP2C8, CYP2C9, CYP2C19, CYP2D6 or CYP3A4 and is not a potent inducer of CYP1A2, CYP2B6 or CYP3A4 based on </w:t>
      </w:r>
      <w:r w:rsidRPr="0078138E">
        <w:rPr>
          <w:i/>
          <w:iCs/>
          <w:sz w:val="24"/>
          <w:szCs w:val="24"/>
          <w:lang w:val="en-GB"/>
        </w:rPr>
        <w:t xml:space="preserve">in vitro </w:t>
      </w:r>
      <w:r w:rsidRPr="0078138E">
        <w:rPr>
          <w:sz w:val="24"/>
          <w:szCs w:val="24"/>
          <w:lang w:val="en-GB"/>
        </w:rPr>
        <w:t xml:space="preserve">studies. </w:t>
      </w:r>
      <w:r w:rsidRPr="0078138E">
        <w:rPr>
          <w:i/>
          <w:iCs/>
          <w:sz w:val="24"/>
          <w:szCs w:val="24"/>
          <w:lang w:val="en-GB"/>
        </w:rPr>
        <w:t xml:space="preserve">In vitro </w:t>
      </w:r>
      <w:r w:rsidRPr="0078138E">
        <w:rPr>
          <w:sz w:val="24"/>
          <w:szCs w:val="24"/>
          <w:lang w:val="en-GB"/>
        </w:rPr>
        <w:t xml:space="preserve">data indicate that </w:t>
      </w:r>
      <w:proofErr w:type="spellStart"/>
      <w:r w:rsidRPr="0078138E">
        <w:rPr>
          <w:sz w:val="24"/>
          <w:szCs w:val="24"/>
          <w:lang w:val="en-GB"/>
        </w:rPr>
        <w:t>ruxolitinib</w:t>
      </w:r>
      <w:proofErr w:type="spellEnd"/>
      <w:r w:rsidRPr="0078138E">
        <w:rPr>
          <w:sz w:val="24"/>
          <w:szCs w:val="24"/>
          <w:lang w:val="en-GB"/>
        </w:rPr>
        <w:t xml:space="preserve"> may inhibit P-</w:t>
      </w:r>
      <w:proofErr w:type="spellStart"/>
      <w:r w:rsidRPr="0078138E">
        <w:rPr>
          <w:sz w:val="24"/>
          <w:szCs w:val="24"/>
          <w:lang w:val="en-GB"/>
        </w:rPr>
        <w:t>gp</w:t>
      </w:r>
      <w:proofErr w:type="spellEnd"/>
      <w:r w:rsidRPr="0078138E">
        <w:rPr>
          <w:sz w:val="24"/>
          <w:szCs w:val="24"/>
          <w:lang w:val="en-GB"/>
        </w:rPr>
        <w:t xml:space="preserve"> and BCRP.</w:t>
      </w:r>
    </w:p>
    <w:p w14:paraId="5E015359" w14:textId="77777777" w:rsidR="0078138E" w:rsidRPr="0078138E" w:rsidRDefault="0078138E" w:rsidP="00701C32">
      <w:pPr>
        <w:ind w:left="851"/>
        <w:rPr>
          <w:sz w:val="24"/>
          <w:szCs w:val="24"/>
          <w:lang w:val="en-GB"/>
        </w:rPr>
      </w:pPr>
    </w:p>
    <w:p w14:paraId="73E773A4" w14:textId="77777777" w:rsidR="0078138E" w:rsidRPr="0078138E" w:rsidRDefault="0078138E" w:rsidP="00701C32">
      <w:pPr>
        <w:ind w:left="851"/>
        <w:rPr>
          <w:sz w:val="24"/>
          <w:szCs w:val="24"/>
          <w:u w:val="single"/>
          <w:lang w:val="en-GB"/>
        </w:rPr>
      </w:pPr>
      <w:r w:rsidRPr="0078138E">
        <w:rPr>
          <w:sz w:val="24"/>
          <w:szCs w:val="24"/>
          <w:u w:val="single"/>
          <w:lang w:val="en-GB"/>
        </w:rPr>
        <w:t>Elimination</w:t>
      </w:r>
    </w:p>
    <w:p w14:paraId="114C5384" w14:textId="77777777" w:rsidR="0078138E" w:rsidRPr="0078138E" w:rsidRDefault="0078138E" w:rsidP="00701C32">
      <w:pPr>
        <w:ind w:left="851"/>
        <w:rPr>
          <w:sz w:val="24"/>
          <w:szCs w:val="24"/>
          <w:lang w:val="en-GB"/>
        </w:rPr>
      </w:pPr>
    </w:p>
    <w:p w14:paraId="382CA906" w14:textId="77777777" w:rsidR="0078138E" w:rsidRPr="0078138E" w:rsidRDefault="0078138E" w:rsidP="00701C32">
      <w:pPr>
        <w:ind w:left="851"/>
        <w:rPr>
          <w:sz w:val="24"/>
          <w:szCs w:val="24"/>
          <w:lang w:val="en-GB"/>
        </w:rPr>
      </w:pPr>
      <w:proofErr w:type="spellStart"/>
      <w:r w:rsidRPr="0078138E">
        <w:rPr>
          <w:sz w:val="24"/>
          <w:szCs w:val="24"/>
          <w:lang w:val="en-GB"/>
        </w:rPr>
        <w:t>Ruxolitinib</w:t>
      </w:r>
      <w:proofErr w:type="spellEnd"/>
      <w:r w:rsidRPr="0078138E">
        <w:rPr>
          <w:sz w:val="24"/>
          <w:szCs w:val="24"/>
          <w:lang w:val="en-GB"/>
        </w:rPr>
        <w:t xml:space="preserve"> is mainly eliminated through metabolism. The mean elimination half-life of </w:t>
      </w:r>
      <w:proofErr w:type="spellStart"/>
      <w:r w:rsidRPr="0078138E">
        <w:rPr>
          <w:sz w:val="24"/>
          <w:szCs w:val="24"/>
          <w:lang w:val="en-GB"/>
        </w:rPr>
        <w:t>ruxolitinib</w:t>
      </w:r>
      <w:proofErr w:type="spellEnd"/>
      <w:r w:rsidRPr="0078138E">
        <w:rPr>
          <w:sz w:val="24"/>
          <w:szCs w:val="24"/>
          <w:lang w:val="en-GB"/>
        </w:rPr>
        <w:t xml:space="preserve"> is approximately 3 hours. Following a single oral dose of [14C]-labelled </w:t>
      </w:r>
      <w:proofErr w:type="spellStart"/>
      <w:r w:rsidRPr="0078138E">
        <w:rPr>
          <w:sz w:val="24"/>
          <w:szCs w:val="24"/>
          <w:lang w:val="en-GB"/>
        </w:rPr>
        <w:t>ruxolitinib</w:t>
      </w:r>
      <w:proofErr w:type="spellEnd"/>
      <w:r w:rsidRPr="0078138E">
        <w:rPr>
          <w:sz w:val="24"/>
          <w:szCs w:val="24"/>
          <w:lang w:val="en-GB"/>
        </w:rPr>
        <w:t xml:space="preserve"> in healthy adult subjects, elimination was predominately through metabolism, with 74% of radioactivity excreted in urine and 22% via faeces. Unchanged parent substance accounted for less than 1% of the excreted total radioactivity.</w:t>
      </w:r>
    </w:p>
    <w:p w14:paraId="245D1C41" w14:textId="77777777" w:rsidR="0078138E" w:rsidRPr="0078138E" w:rsidRDefault="0078138E" w:rsidP="00701C32">
      <w:pPr>
        <w:ind w:left="851"/>
        <w:rPr>
          <w:sz w:val="24"/>
          <w:szCs w:val="24"/>
          <w:lang w:val="en-GB"/>
        </w:rPr>
      </w:pPr>
    </w:p>
    <w:p w14:paraId="2311B19F" w14:textId="77777777" w:rsidR="0078138E" w:rsidRPr="0078138E" w:rsidRDefault="0078138E" w:rsidP="00701C32">
      <w:pPr>
        <w:ind w:left="851"/>
        <w:rPr>
          <w:sz w:val="24"/>
          <w:szCs w:val="24"/>
          <w:u w:val="single"/>
          <w:lang w:val="en-GB"/>
        </w:rPr>
      </w:pPr>
      <w:r w:rsidRPr="0078138E">
        <w:rPr>
          <w:sz w:val="24"/>
          <w:szCs w:val="24"/>
          <w:u w:val="single"/>
          <w:lang w:val="en-GB"/>
        </w:rPr>
        <w:t>Linearity/non-linearity</w:t>
      </w:r>
    </w:p>
    <w:p w14:paraId="78D7E997" w14:textId="77777777" w:rsidR="0078138E" w:rsidRPr="0078138E" w:rsidRDefault="0078138E" w:rsidP="00701C32">
      <w:pPr>
        <w:ind w:left="851"/>
        <w:rPr>
          <w:sz w:val="24"/>
          <w:szCs w:val="24"/>
          <w:lang w:val="en-GB"/>
        </w:rPr>
      </w:pPr>
    </w:p>
    <w:p w14:paraId="0E2934FA" w14:textId="77777777" w:rsidR="0078138E" w:rsidRPr="0078138E" w:rsidRDefault="0078138E" w:rsidP="00701C32">
      <w:pPr>
        <w:ind w:left="851"/>
        <w:rPr>
          <w:b/>
          <w:sz w:val="24"/>
          <w:szCs w:val="24"/>
          <w:lang w:val="en-GB"/>
        </w:rPr>
      </w:pPr>
      <w:r w:rsidRPr="0078138E">
        <w:rPr>
          <w:sz w:val="24"/>
          <w:szCs w:val="24"/>
          <w:lang w:val="en-GB"/>
        </w:rPr>
        <w:t>Dose proportionality was demonstrated in the single and multiple dose studies.</w:t>
      </w:r>
    </w:p>
    <w:p w14:paraId="5DE21CAE" w14:textId="77777777" w:rsidR="0078138E" w:rsidRPr="0078138E" w:rsidRDefault="0078138E" w:rsidP="00701C32">
      <w:pPr>
        <w:ind w:left="851"/>
        <w:rPr>
          <w:bCs/>
          <w:sz w:val="24"/>
          <w:szCs w:val="24"/>
          <w:lang w:val="en-GB"/>
        </w:rPr>
      </w:pPr>
    </w:p>
    <w:p w14:paraId="46733273" w14:textId="77777777" w:rsidR="0078138E" w:rsidRPr="0078138E" w:rsidRDefault="0078138E" w:rsidP="00701C32">
      <w:pPr>
        <w:ind w:left="851"/>
        <w:rPr>
          <w:sz w:val="24"/>
          <w:szCs w:val="24"/>
          <w:u w:val="single"/>
          <w:lang w:val="en-GB"/>
        </w:rPr>
      </w:pPr>
      <w:r w:rsidRPr="0078138E">
        <w:rPr>
          <w:sz w:val="24"/>
          <w:szCs w:val="24"/>
          <w:u w:val="single"/>
          <w:lang w:val="en-GB"/>
        </w:rPr>
        <w:t>Special populations</w:t>
      </w:r>
    </w:p>
    <w:p w14:paraId="4C634D8D" w14:textId="77777777" w:rsidR="0078138E" w:rsidRPr="0078138E" w:rsidRDefault="0078138E" w:rsidP="00701C32">
      <w:pPr>
        <w:ind w:left="851"/>
        <w:rPr>
          <w:i/>
          <w:iCs/>
          <w:sz w:val="24"/>
          <w:szCs w:val="24"/>
          <w:lang w:val="en-GB"/>
        </w:rPr>
      </w:pPr>
    </w:p>
    <w:p w14:paraId="18A30A05" w14:textId="77777777" w:rsidR="0078138E" w:rsidRPr="0078138E" w:rsidRDefault="0078138E" w:rsidP="00701C32">
      <w:pPr>
        <w:ind w:left="851"/>
        <w:rPr>
          <w:sz w:val="24"/>
          <w:szCs w:val="24"/>
          <w:u w:val="single"/>
          <w:lang w:val="en-GB"/>
        </w:rPr>
      </w:pPr>
      <w:r w:rsidRPr="0078138E">
        <w:rPr>
          <w:i/>
          <w:iCs/>
          <w:sz w:val="24"/>
          <w:szCs w:val="24"/>
          <w:u w:val="single"/>
          <w:lang w:val="en-GB"/>
        </w:rPr>
        <w:t>Effects of age, gender or race</w:t>
      </w:r>
    </w:p>
    <w:p w14:paraId="41C41598" w14:textId="77777777" w:rsidR="0078138E" w:rsidRPr="0078138E" w:rsidRDefault="0078138E" w:rsidP="00701C32">
      <w:pPr>
        <w:ind w:left="851"/>
        <w:rPr>
          <w:sz w:val="24"/>
          <w:szCs w:val="24"/>
          <w:lang w:val="en-GB"/>
        </w:rPr>
      </w:pPr>
      <w:r w:rsidRPr="0078138E">
        <w:rPr>
          <w:sz w:val="24"/>
          <w:szCs w:val="24"/>
          <w:lang w:val="en-GB"/>
        </w:rPr>
        <w:t xml:space="preserve">Based on studies in healthy subjects, no relevant differences in </w:t>
      </w:r>
      <w:proofErr w:type="spellStart"/>
      <w:r w:rsidRPr="0078138E">
        <w:rPr>
          <w:sz w:val="24"/>
          <w:szCs w:val="24"/>
          <w:lang w:val="en-GB"/>
        </w:rPr>
        <w:t>ruxolitinib</w:t>
      </w:r>
      <w:proofErr w:type="spellEnd"/>
      <w:r w:rsidRPr="0078138E">
        <w:rPr>
          <w:sz w:val="24"/>
          <w:szCs w:val="24"/>
          <w:lang w:val="en-GB"/>
        </w:rPr>
        <w:t xml:space="preserve"> pharmacokinetics were observed </w:t>
      </w:r>
      <w:proofErr w:type="gramStart"/>
      <w:r w:rsidRPr="0078138E">
        <w:rPr>
          <w:sz w:val="24"/>
          <w:szCs w:val="24"/>
          <w:lang w:val="en-GB"/>
        </w:rPr>
        <w:t>with regard to</w:t>
      </w:r>
      <w:proofErr w:type="gramEnd"/>
      <w:r w:rsidRPr="0078138E">
        <w:rPr>
          <w:sz w:val="24"/>
          <w:szCs w:val="24"/>
          <w:lang w:val="en-GB"/>
        </w:rPr>
        <w:t xml:space="preserve"> gender and race.</w:t>
      </w:r>
    </w:p>
    <w:p w14:paraId="1A7D2F67" w14:textId="77777777" w:rsidR="0078138E" w:rsidRPr="0078138E" w:rsidRDefault="0078138E" w:rsidP="00701C32">
      <w:pPr>
        <w:ind w:left="851"/>
        <w:rPr>
          <w:sz w:val="24"/>
          <w:szCs w:val="24"/>
          <w:lang w:val="en-GB"/>
        </w:rPr>
      </w:pPr>
    </w:p>
    <w:p w14:paraId="4F904B53" w14:textId="77777777" w:rsidR="0078138E" w:rsidRPr="0078138E" w:rsidRDefault="0078138E" w:rsidP="00701C32">
      <w:pPr>
        <w:ind w:left="851"/>
        <w:rPr>
          <w:i/>
          <w:iCs/>
          <w:sz w:val="24"/>
          <w:szCs w:val="24"/>
          <w:u w:val="single"/>
          <w:lang w:val="en-GB"/>
        </w:rPr>
      </w:pPr>
      <w:r w:rsidRPr="0078138E">
        <w:rPr>
          <w:i/>
          <w:iCs/>
          <w:sz w:val="24"/>
          <w:szCs w:val="24"/>
          <w:u w:val="single"/>
          <w:lang w:val="en-GB"/>
        </w:rPr>
        <w:t>Population pharmacokinetics</w:t>
      </w:r>
    </w:p>
    <w:p w14:paraId="6DA67EE0" w14:textId="6A2C2D1E" w:rsidR="0078138E" w:rsidRPr="0078138E" w:rsidRDefault="0078138E" w:rsidP="00701C32">
      <w:pPr>
        <w:ind w:left="851"/>
        <w:rPr>
          <w:sz w:val="24"/>
          <w:szCs w:val="24"/>
          <w:lang w:val="en-GB"/>
        </w:rPr>
      </w:pPr>
      <w:r w:rsidRPr="0078138E">
        <w:rPr>
          <w:sz w:val="24"/>
          <w:szCs w:val="24"/>
          <w:lang w:val="en-GB"/>
        </w:rPr>
        <w:t>In a population pharmacokinetic evaluation in MF patients, no relationship was apparent between oral clearance and patient age or race. The predicted oral clearance was 17.7 l/h in women and 22.1 l/h in men, with 39% inter-subject variability in MF patients. Clearance was 12.7 l/h in PV patients, with a 42% inter-subject variability and no relationship was apparent between oral clearance and gender, patient age or race, based on a population pharmacokinetic evaluation in PV patients. Clearance was 10.4 l/h in adolescent and adult patients with acute GvHD and 7.8 l/h in adolescent and adult patients with chronic GvHD, with a 49% inter-subject variability. In paediatric patients with acute or chronic GvHD and with a BSA below 1 m</w:t>
      </w:r>
      <w:r w:rsidRPr="0078138E">
        <w:rPr>
          <w:sz w:val="24"/>
          <w:szCs w:val="24"/>
          <w:vertAlign w:val="superscript"/>
          <w:lang w:val="en-GB"/>
        </w:rPr>
        <w:t>2</w:t>
      </w:r>
      <w:r w:rsidRPr="0078138E">
        <w:rPr>
          <w:sz w:val="24"/>
          <w:szCs w:val="24"/>
          <w:lang w:val="en-GB"/>
        </w:rPr>
        <w:t>, clearance was between 6.5 and 7 l/h. No relationship was apparent between oral clearance and gender, patient age or race, based on a population pharmacokinetic evaluation in GvHD patients. At a dose of 10 mg twice daily, exposure was increased in GvHD patients with a low BSA. In subjects with a BSA of 1 m</w:t>
      </w:r>
      <w:r w:rsidRPr="0078138E">
        <w:rPr>
          <w:sz w:val="24"/>
          <w:szCs w:val="24"/>
          <w:vertAlign w:val="superscript"/>
          <w:lang w:val="en-GB"/>
        </w:rPr>
        <w:t>2</w:t>
      </w:r>
      <w:r w:rsidRPr="0078138E">
        <w:rPr>
          <w:sz w:val="24"/>
          <w:szCs w:val="24"/>
          <w:lang w:val="en-GB"/>
        </w:rPr>
        <w:t>, 1.25 m</w:t>
      </w:r>
      <w:r w:rsidRPr="0078138E">
        <w:rPr>
          <w:sz w:val="24"/>
          <w:szCs w:val="24"/>
          <w:vertAlign w:val="superscript"/>
          <w:lang w:val="en-GB"/>
        </w:rPr>
        <w:t>2</w:t>
      </w:r>
      <w:r w:rsidRPr="0078138E">
        <w:rPr>
          <w:sz w:val="24"/>
          <w:szCs w:val="24"/>
          <w:lang w:val="en-GB"/>
        </w:rPr>
        <w:t xml:space="preserve"> and 1.5 m</w:t>
      </w:r>
      <w:r w:rsidRPr="0078138E">
        <w:rPr>
          <w:sz w:val="24"/>
          <w:szCs w:val="24"/>
          <w:vertAlign w:val="superscript"/>
          <w:lang w:val="en-GB"/>
        </w:rPr>
        <w:t>2</w:t>
      </w:r>
      <w:r w:rsidRPr="0078138E">
        <w:rPr>
          <w:sz w:val="24"/>
          <w:szCs w:val="24"/>
          <w:lang w:val="en-GB"/>
        </w:rPr>
        <w:t>, the predicted mean exposure (AUC) was respectively 31%, 22% and 12% higher than the typical adult (1.79 m</w:t>
      </w:r>
      <w:r w:rsidRPr="0078138E">
        <w:rPr>
          <w:sz w:val="24"/>
          <w:szCs w:val="24"/>
          <w:vertAlign w:val="superscript"/>
          <w:lang w:val="en-GB"/>
        </w:rPr>
        <w:t>2</w:t>
      </w:r>
      <w:r w:rsidRPr="0078138E">
        <w:rPr>
          <w:sz w:val="24"/>
          <w:szCs w:val="24"/>
          <w:lang w:val="en-GB"/>
        </w:rPr>
        <w:t>).</w:t>
      </w:r>
    </w:p>
    <w:p w14:paraId="275E3B68" w14:textId="77777777" w:rsidR="0078138E" w:rsidRPr="0078138E" w:rsidRDefault="0078138E" w:rsidP="00701C32">
      <w:pPr>
        <w:ind w:left="851"/>
        <w:rPr>
          <w:sz w:val="24"/>
          <w:szCs w:val="24"/>
          <w:lang w:val="en-GB"/>
        </w:rPr>
      </w:pPr>
    </w:p>
    <w:p w14:paraId="6519CB23" w14:textId="77777777" w:rsidR="0078138E" w:rsidRPr="0078138E" w:rsidRDefault="0078138E" w:rsidP="00701C32">
      <w:pPr>
        <w:ind w:left="851"/>
        <w:rPr>
          <w:sz w:val="24"/>
          <w:szCs w:val="24"/>
          <w:u w:val="single"/>
          <w:lang w:val="en-GB"/>
        </w:rPr>
      </w:pPr>
      <w:r w:rsidRPr="0078138E">
        <w:rPr>
          <w:i/>
          <w:iCs/>
          <w:sz w:val="24"/>
          <w:szCs w:val="24"/>
          <w:u w:val="single"/>
          <w:lang w:val="en-GB"/>
        </w:rPr>
        <w:t>Paediatric population</w:t>
      </w:r>
    </w:p>
    <w:p w14:paraId="2992ED0F" w14:textId="77777777" w:rsidR="0078138E" w:rsidRPr="0078138E" w:rsidRDefault="0078138E" w:rsidP="00701C32">
      <w:pPr>
        <w:ind w:left="851"/>
        <w:rPr>
          <w:sz w:val="24"/>
          <w:szCs w:val="24"/>
          <w:lang w:val="en-GB"/>
        </w:rPr>
      </w:pPr>
      <w:r w:rsidRPr="0078138E">
        <w:rPr>
          <w:sz w:val="24"/>
          <w:szCs w:val="24"/>
          <w:lang w:val="en-GB"/>
        </w:rPr>
        <w:t xml:space="preserve">The pharmacokinetics of </w:t>
      </w:r>
      <w:proofErr w:type="spellStart"/>
      <w:r w:rsidRPr="0078138E">
        <w:rPr>
          <w:sz w:val="24"/>
          <w:szCs w:val="24"/>
          <w:lang w:val="en-GB"/>
        </w:rPr>
        <w:t>ruxolitinib</w:t>
      </w:r>
      <w:proofErr w:type="spellEnd"/>
      <w:r w:rsidRPr="0078138E">
        <w:rPr>
          <w:sz w:val="24"/>
          <w:szCs w:val="24"/>
          <w:lang w:val="en-GB"/>
        </w:rPr>
        <w:t xml:space="preserve"> in paediatric patients &lt;18 years old with MF and PV have not been established.</w:t>
      </w:r>
    </w:p>
    <w:p w14:paraId="049D2F25" w14:textId="77777777" w:rsidR="0078138E" w:rsidRPr="0078138E" w:rsidRDefault="0078138E" w:rsidP="00701C32">
      <w:pPr>
        <w:ind w:left="851"/>
        <w:rPr>
          <w:sz w:val="24"/>
          <w:szCs w:val="24"/>
          <w:lang w:val="en-GB"/>
        </w:rPr>
      </w:pPr>
    </w:p>
    <w:p w14:paraId="1D2657FD" w14:textId="77777777" w:rsidR="0078138E" w:rsidRPr="0078138E" w:rsidRDefault="0078138E" w:rsidP="00701C32">
      <w:pPr>
        <w:ind w:left="851"/>
        <w:rPr>
          <w:sz w:val="24"/>
          <w:szCs w:val="24"/>
          <w:lang w:val="en-GB"/>
        </w:rPr>
      </w:pPr>
      <w:r w:rsidRPr="0078138E">
        <w:rPr>
          <w:sz w:val="24"/>
          <w:szCs w:val="24"/>
          <w:lang w:val="en-GB"/>
        </w:rPr>
        <w:t xml:space="preserve">As in adult patients with GvHD, </w:t>
      </w:r>
      <w:proofErr w:type="spellStart"/>
      <w:r w:rsidRPr="0078138E">
        <w:rPr>
          <w:sz w:val="24"/>
          <w:szCs w:val="24"/>
          <w:lang w:val="en-GB"/>
        </w:rPr>
        <w:t>ruxolitinib</w:t>
      </w:r>
      <w:proofErr w:type="spellEnd"/>
      <w:r w:rsidRPr="0078138E">
        <w:rPr>
          <w:sz w:val="24"/>
          <w:szCs w:val="24"/>
          <w:lang w:val="en-GB"/>
        </w:rPr>
        <w:t xml:space="preserve"> was rapidly absorbed after oral administration in paediatric patients with GvHD. Dosing in children between 6 and 11 years old at 5 mg twice daily achieved comparable exposure to a dose of 10 mg twice daily in adolescents and adults with acute and chronic GvHD, confirming the exposure matching approach implemented as part of the extrapolation assumption. In children between 2 and 5 years old with acute and chronic GvHD, the exposure matching approach suggested a dose of 8 mg/m</w:t>
      </w:r>
      <w:r w:rsidRPr="0078138E">
        <w:rPr>
          <w:sz w:val="24"/>
          <w:szCs w:val="24"/>
          <w:vertAlign w:val="superscript"/>
          <w:lang w:val="en-GB"/>
        </w:rPr>
        <w:t>2</w:t>
      </w:r>
      <w:r w:rsidRPr="0078138E">
        <w:rPr>
          <w:sz w:val="24"/>
          <w:szCs w:val="24"/>
          <w:lang w:val="en-GB"/>
        </w:rPr>
        <w:t xml:space="preserve"> twice daily</w:t>
      </w:r>
    </w:p>
    <w:p w14:paraId="630A4B91" w14:textId="77777777" w:rsidR="0078138E" w:rsidRPr="0078138E" w:rsidRDefault="0078138E" w:rsidP="00701C32">
      <w:pPr>
        <w:ind w:left="851"/>
        <w:rPr>
          <w:sz w:val="24"/>
          <w:szCs w:val="24"/>
          <w:lang w:val="en-GB"/>
        </w:rPr>
      </w:pPr>
    </w:p>
    <w:p w14:paraId="1D01DE88" w14:textId="77777777" w:rsidR="0078138E" w:rsidRPr="0078138E" w:rsidRDefault="0078138E" w:rsidP="00701C32">
      <w:pPr>
        <w:ind w:left="851"/>
        <w:rPr>
          <w:sz w:val="24"/>
          <w:szCs w:val="24"/>
          <w:lang w:val="en-GB"/>
        </w:rPr>
      </w:pPr>
      <w:proofErr w:type="spellStart"/>
      <w:r w:rsidRPr="0078138E">
        <w:rPr>
          <w:sz w:val="24"/>
          <w:szCs w:val="24"/>
          <w:lang w:val="en-GB"/>
        </w:rPr>
        <w:t>Ruxolitinib</w:t>
      </w:r>
      <w:proofErr w:type="spellEnd"/>
      <w:r w:rsidRPr="0078138E">
        <w:rPr>
          <w:sz w:val="24"/>
          <w:szCs w:val="24"/>
          <w:lang w:val="en-GB"/>
        </w:rPr>
        <w:t xml:space="preserve"> has not been evaluated in paediatric patients with acute or chronic GvHD below the age of 2 years, therefore modelling which accounts for age-related aspects in younger patients has been used to predict the exposure in these patients, based on the data from adult patients.</w:t>
      </w:r>
    </w:p>
    <w:p w14:paraId="6BC2CD9D" w14:textId="77777777" w:rsidR="0078138E" w:rsidRPr="0078138E" w:rsidRDefault="0078138E" w:rsidP="00701C32">
      <w:pPr>
        <w:ind w:left="851"/>
        <w:rPr>
          <w:sz w:val="24"/>
          <w:szCs w:val="24"/>
          <w:lang w:val="en-GB"/>
        </w:rPr>
      </w:pPr>
    </w:p>
    <w:p w14:paraId="2B56E172" w14:textId="77777777" w:rsidR="0078138E" w:rsidRPr="0078138E" w:rsidRDefault="0078138E" w:rsidP="00701C32">
      <w:pPr>
        <w:ind w:left="851"/>
        <w:rPr>
          <w:sz w:val="24"/>
          <w:szCs w:val="24"/>
          <w:lang w:val="en-GB"/>
        </w:rPr>
      </w:pPr>
      <w:r w:rsidRPr="0078138E">
        <w:rPr>
          <w:sz w:val="24"/>
          <w:szCs w:val="24"/>
          <w:lang w:val="en-GB"/>
        </w:rPr>
        <w:t xml:space="preserve">Based on a pooled population pharmacokinetic analysis in paediatric patients with acute or chronic GvHD, clearance of </w:t>
      </w:r>
      <w:proofErr w:type="spellStart"/>
      <w:r w:rsidRPr="0078138E">
        <w:rPr>
          <w:sz w:val="24"/>
          <w:szCs w:val="24"/>
          <w:lang w:val="en-GB"/>
        </w:rPr>
        <w:t>ruxolitinib</w:t>
      </w:r>
      <w:proofErr w:type="spellEnd"/>
      <w:r w:rsidRPr="0078138E">
        <w:rPr>
          <w:sz w:val="24"/>
          <w:szCs w:val="24"/>
          <w:lang w:val="en-GB"/>
        </w:rPr>
        <w:t xml:space="preserve"> decreased with decreasing BSA. After correcting for the BSA effect, other demographic factors such as age, body weight and body mass index did not have clinically significant effects on the exposure of </w:t>
      </w:r>
      <w:proofErr w:type="spellStart"/>
      <w:r w:rsidRPr="0078138E">
        <w:rPr>
          <w:sz w:val="24"/>
          <w:szCs w:val="24"/>
          <w:lang w:val="en-GB"/>
        </w:rPr>
        <w:t>ruxolitinib</w:t>
      </w:r>
      <w:proofErr w:type="spellEnd"/>
      <w:r w:rsidRPr="0078138E">
        <w:rPr>
          <w:sz w:val="24"/>
          <w:szCs w:val="24"/>
          <w:lang w:val="en-GB"/>
        </w:rPr>
        <w:t>.</w:t>
      </w:r>
    </w:p>
    <w:p w14:paraId="3F138AFC" w14:textId="77777777" w:rsidR="0078138E" w:rsidRPr="0078138E" w:rsidRDefault="0078138E" w:rsidP="00701C32">
      <w:pPr>
        <w:ind w:left="851"/>
        <w:rPr>
          <w:sz w:val="24"/>
          <w:szCs w:val="24"/>
          <w:lang w:val="en-GB"/>
        </w:rPr>
      </w:pPr>
    </w:p>
    <w:p w14:paraId="6BC7C4B4" w14:textId="77777777" w:rsidR="0078138E" w:rsidRPr="0078138E" w:rsidRDefault="0078138E" w:rsidP="00701C32">
      <w:pPr>
        <w:ind w:left="851"/>
        <w:rPr>
          <w:sz w:val="24"/>
          <w:szCs w:val="24"/>
          <w:u w:val="single"/>
          <w:lang w:val="en-GB"/>
        </w:rPr>
      </w:pPr>
      <w:r w:rsidRPr="0078138E">
        <w:rPr>
          <w:i/>
          <w:iCs/>
          <w:sz w:val="24"/>
          <w:szCs w:val="24"/>
          <w:u w:val="single"/>
          <w:lang w:val="en-GB"/>
        </w:rPr>
        <w:t>Renal impairment</w:t>
      </w:r>
    </w:p>
    <w:p w14:paraId="69D22174" w14:textId="77777777" w:rsidR="0078138E" w:rsidRPr="0078138E" w:rsidRDefault="0078138E" w:rsidP="00701C32">
      <w:pPr>
        <w:ind w:left="851"/>
        <w:rPr>
          <w:sz w:val="24"/>
          <w:szCs w:val="24"/>
          <w:lang w:val="en-GB"/>
        </w:rPr>
      </w:pPr>
      <w:r w:rsidRPr="0078138E">
        <w:rPr>
          <w:sz w:val="24"/>
          <w:szCs w:val="24"/>
          <w:lang w:val="en-GB"/>
        </w:rPr>
        <w:t xml:space="preserve">Renal function was determined using both Modification of Diet in Renal Disease (MDRD) and urinary creatinine. Following a single </w:t>
      </w:r>
      <w:proofErr w:type="spellStart"/>
      <w:r w:rsidRPr="0078138E">
        <w:rPr>
          <w:sz w:val="24"/>
          <w:szCs w:val="24"/>
          <w:lang w:val="en-GB"/>
        </w:rPr>
        <w:t>ruxolitinib</w:t>
      </w:r>
      <w:proofErr w:type="spellEnd"/>
      <w:r w:rsidRPr="0078138E">
        <w:rPr>
          <w:sz w:val="24"/>
          <w:szCs w:val="24"/>
          <w:lang w:val="en-GB"/>
        </w:rPr>
        <w:t xml:space="preserve"> dose of 25 mg, the exposure of </w:t>
      </w:r>
      <w:proofErr w:type="spellStart"/>
      <w:r w:rsidRPr="0078138E">
        <w:rPr>
          <w:sz w:val="24"/>
          <w:szCs w:val="24"/>
          <w:lang w:val="en-GB"/>
        </w:rPr>
        <w:t>ruxolitinib</w:t>
      </w:r>
      <w:proofErr w:type="spellEnd"/>
      <w:r w:rsidRPr="0078138E">
        <w:rPr>
          <w:sz w:val="24"/>
          <w:szCs w:val="24"/>
          <w:lang w:val="en-GB"/>
        </w:rPr>
        <w:t xml:space="preserve"> was similar in subjects with various degrees of renal impairment and in those with normal renal function. However, plasma AUC values of </w:t>
      </w:r>
      <w:proofErr w:type="spellStart"/>
      <w:r w:rsidRPr="0078138E">
        <w:rPr>
          <w:sz w:val="24"/>
          <w:szCs w:val="24"/>
          <w:lang w:val="en-GB"/>
        </w:rPr>
        <w:t>ruxolitinib</w:t>
      </w:r>
      <w:proofErr w:type="spellEnd"/>
      <w:r w:rsidRPr="0078138E">
        <w:rPr>
          <w:sz w:val="24"/>
          <w:szCs w:val="24"/>
          <w:lang w:val="en-GB"/>
        </w:rPr>
        <w:t xml:space="preserve"> metabolites tended to increase with increasing severity of renal </w:t>
      </w:r>
      <w:proofErr w:type="gramStart"/>
      <w:r w:rsidRPr="0078138E">
        <w:rPr>
          <w:sz w:val="24"/>
          <w:szCs w:val="24"/>
          <w:lang w:val="en-GB"/>
        </w:rPr>
        <w:t>impairment, and</w:t>
      </w:r>
      <w:proofErr w:type="gramEnd"/>
      <w:r w:rsidRPr="0078138E">
        <w:rPr>
          <w:sz w:val="24"/>
          <w:szCs w:val="24"/>
          <w:lang w:val="en-GB"/>
        </w:rPr>
        <w:t xml:space="preserve"> were most markedly increased in the subjects with severe renal impairment. It is unknown whether the increased metabolite exposure is of safety concern. A dose modification is recommended in patients with severe renal impairment and end-stage renal disease (see section 4.2). Dosing only on dialysis days reduces the metabolite exposure, but also the pharmacodynamic effect, especially on the days between dialysis.</w:t>
      </w:r>
    </w:p>
    <w:p w14:paraId="3D5A46EB" w14:textId="77777777" w:rsidR="0078138E" w:rsidRPr="0078138E" w:rsidRDefault="0078138E" w:rsidP="00701C32">
      <w:pPr>
        <w:ind w:left="851"/>
        <w:rPr>
          <w:sz w:val="24"/>
          <w:szCs w:val="24"/>
          <w:lang w:val="en-GB"/>
        </w:rPr>
      </w:pPr>
    </w:p>
    <w:p w14:paraId="4B5F6ECD" w14:textId="77777777" w:rsidR="0078138E" w:rsidRPr="0078138E" w:rsidRDefault="0078138E" w:rsidP="00701C32">
      <w:pPr>
        <w:ind w:left="851"/>
        <w:rPr>
          <w:sz w:val="24"/>
          <w:szCs w:val="24"/>
          <w:u w:val="single"/>
          <w:lang w:val="en-GB"/>
        </w:rPr>
      </w:pPr>
      <w:r w:rsidRPr="0078138E">
        <w:rPr>
          <w:i/>
          <w:iCs/>
          <w:sz w:val="24"/>
          <w:szCs w:val="24"/>
          <w:u w:val="single"/>
          <w:lang w:val="en-GB"/>
        </w:rPr>
        <w:t>Hepatic impairment</w:t>
      </w:r>
    </w:p>
    <w:p w14:paraId="272A889D" w14:textId="77777777" w:rsidR="0078138E" w:rsidRPr="0078138E" w:rsidRDefault="0078138E" w:rsidP="00701C32">
      <w:pPr>
        <w:ind w:left="851"/>
        <w:rPr>
          <w:sz w:val="24"/>
          <w:szCs w:val="24"/>
          <w:lang w:val="en-GB"/>
        </w:rPr>
      </w:pPr>
      <w:r w:rsidRPr="0078138E">
        <w:rPr>
          <w:sz w:val="24"/>
          <w:szCs w:val="24"/>
          <w:lang w:val="en-GB"/>
        </w:rPr>
        <w:t xml:space="preserve">Following a single </w:t>
      </w:r>
      <w:proofErr w:type="spellStart"/>
      <w:r w:rsidRPr="0078138E">
        <w:rPr>
          <w:sz w:val="24"/>
          <w:szCs w:val="24"/>
          <w:lang w:val="en-GB"/>
        </w:rPr>
        <w:t>ruxolitinib</w:t>
      </w:r>
      <w:proofErr w:type="spellEnd"/>
      <w:r w:rsidRPr="0078138E">
        <w:rPr>
          <w:sz w:val="24"/>
          <w:szCs w:val="24"/>
          <w:lang w:val="en-GB"/>
        </w:rPr>
        <w:t xml:space="preserve"> dose of 25 mg in patients with varying degrees of hepatic impairment, the mean AUC for </w:t>
      </w:r>
      <w:proofErr w:type="spellStart"/>
      <w:r w:rsidRPr="0078138E">
        <w:rPr>
          <w:sz w:val="24"/>
          <w:szCs w:val="24"/>
          <w:lang w:val="en-GB"/>
        </w:rPr>
        <w:t>ruxolitinib</w:t>
      </w:r>
      <w:proofErr w:type="spellEnd"/>
      <w:r w:rsidRPr="0078138E">
        <w:rPr>
          <w:sz w:val="24"/>
          <w:szCs w:val="24"/>
          <w:lang w:val="en-GB"/>
        </w:rPr>
        <w:t xml:space="preserve"> was increased in patients with mild, moderate and severe hepatic impairment by 87%, 28% and 65%, respectively, compared to patients with normal hepatic function. There was no clear relationship between AUC and the degree of hepatic impairment based on Child-Pugh scores. The terminal elimination half-life was prolonged in patients with hepatic impairment compared to healthy controls (4.1-5.0 hours versus 2.8 hours). A dose reduction of approximately 50% is recommended for MF and PV patients with hepatic impairment (see section 4.2).</w:t>
      </w:r>
    </w:p>
    <w:p w14:paraId="25C7B638" w14:textId="77777777" w:rsidR="0078138E" w:rsidRPr="0078138E" w:rsidRDefault="0078138E" w:rsidP="00701C32">
      <w:pPr>
        <w:ind w:left="851"/>
        <w:rPr>
          <w:sz w:val="24"/>
          <w:szCs w:val="24"/>
          <w:lang w:val="en-GB"/>
        </w:rPr>
      </w:pPr>
    </w:p>
    <w:p w14:paraId="79A64B3F" w14:textId="77777777" w:rsidR="0078138E" w:rsidRPr="0078138E" w:rsidRDefault="0078138E" w:rsidP="00701C32">
      <w:pPr>
        <w:ind w:left="851"/>
        <w:rPr>
          <w:bCs/>
          <w:sz w:val="24"/>
          <w:szCs w:val="24"/>
          <w:lang w:val="en-GB"/>
        </w:rPr>
      </w:pPr>
      <w:r w:rsidRPr="0078138E">
        <w:rPr>
          <w:sz w:val="24"/>
          <w:szCs w:val="24"/>
          <w:lang w:val="en-GB"/>
        </w:rPr>
        <w:t xml:space="preserve">In GvHD patients with hepatic impairment not related to GvHD, the starting dose of </w:t>
      </w:r>
      <w:proofErr w:type="spellStart"/>
      <w:r w:rsidRPr="0078138E">
        <w:rPr>
          <w:sz w:val="24"/>
          <w:szCs w:val="24"/>
          <w:lang w:val="en-GB"/>
        </w:rPr>
        <w:t>ruxolitinib</w:t>
      </w:r>
      <w:proofErr w:type="spellEnd"/>
      <w:r w:rsidRPr="0078138E">
        <w:rPr>
          <w:sz w:val="24"/>
          <w:szCs w:val="24"/>
          <w:lang w:val="en-GB"/>
        </w:rPr>
        <w:t xml:space="preserve"> should be reduced by 50%.</w:t>
      </w:r>
    </w:p>
    <w:p w14:paraId="422F2C3C" w14:textId="77777777" w:rsidR="007C5D2A" w:rsidRPr="009B509D" w:rsidRDefault="007C5D2A" w:rsidP="003E0341">
      <w:pPr>
        <w:tabs>
          <w:tab w:val="left" w:pos="851"/>
        </w:tabs>
        <w:ind w:left="851"/>
        <w:rPr>
          <w:sz w:val="24"/>
          <w:szCs w:val="24"/>
          <w:lang w:val="en-GB"/>
        </w:rPr>
      </w:pPr>
    </w:p>
    <w:p w14:paraId="26C0C7F3" w14:textId="77777777" w:rsidR="007C5D2A" w:rsidRPr="009B509D" w:rsidRDefault="00180A12" w:rsidP="007C5D2A">
      <w:pPr>
        <w:tabs>
          <w:tab w:val="left" w:pos="851"/>
        </w:tabs>
        <w:ind w:left="851" w:hanging="851"/>
        <w:rPr>
          <w:b/>
          <w:sz w:val="24"/>
          <w:szCs w:val="24"/>
          <w:lang w:val="en-GB"/>
        </w:rPr>
      </w:pPr>
      <w:r w:rsidRPr="009B509D">
        <w:rPr>
          <w:b/>
          <w:sz w:val="24"/>
          <w:szCs w:val="24"/>
          <w:lang w:val="en-GB"/>
        </w:rPr>
        <w:t>5.3</w:t>
      </w:r>
      <w:r w:rsidRPr="009B509D">
        <w:rPr>
          <w:b/>
          <w:sz w:val="24"/>
          <w:szCs w:val="24"/>
          <w:lang w:val="en-GB"/>
        </w:rPr>
        <w:tab/>
        <w:t>Preclinical safety data</w:t>
      </w:r>
    </w:p>
    <w:p w14:paraId="68C052A3" w14:textId="77777777" w:rsidR="0078138E" w:rsidRPr="0078138E" w:rsidRDefault="0078138E" w:rsidP="00701C32">
      <w:pPr>
        <w:ind w:left="851"/>
        <w:rPr>
          <w:sz w:val="24"/>
          <w:szCs w:val="24"/>
          <w:lang w:val="en-GB"/>
        </w:rPr>
      </w:pPr>
      <w:proofErr w:type="spellStart"/>
      <w:r w:rsidRPr="0078138E">
        <w:rPr>
          <w:sz w:val="24"/>
          <w:szCs w:val="24"/>
          <w:lang w:val="en-GB"/>
        </w:rPr>
        <w:t>Ruxolitinib</w:t>
      </w:r>
      <w:proofErr w:type="spellEnd"/>
      <w:r w:rsidRPr="0078138E">
        <w:rPr>
          <w:sz w:val="24"/>
          <w:szCs w:val="24"/>
          <w:lang w:val="en-GB"/>
        </w:rPr>
        <w:t xml:space="preserve"> has been evaluated in safety pharmacology, repeated dose toxicity, genotoxicity and reproductive toxicity studies and in a carcinogenicity study. Target organs associated with the pharmacological action of </w:t>
      </w:r>
      <w:proofErr w:type="spellStart"/>
      <w:r w:rsidRPr="0078138E">
        <w:rPr>
          <w:sz w:val="24"/>
          <w:szCs w:val="24"/>
          <w:lang w:val="en-GB"/>
        </w:rPr>
        <w:t>ruxolitinib</w:t>
      </w:r>
      <w:proofErr w:type="spellEnd"/>
      <w:r w:rsidRPr="0078138E">
        <w:rPr>
          <w:sz w:val="24"/>
          <w:szCs w:val="24"/>
          <w:lang w:val="en-GB"/>
        </w:rPr>
        <w:t xml:space="preserve"> in repeated dose studies include bone marrow, peripheral blood and lymphoid tissues. Infections generally associated with immunosuppression were noted in dogs. Adverse decreases in blood pressure along with increases in heart rate were noted in a dog telemetry study, and an adverse decrease in minute volume was noted in a respiratory study in rats. The margins (based on unbound Cmax) at the non-adverse level in the dog and rat studies were 15.7-fold and 10.4-fold greater, respectively, than the maximum human recommended dose of 25 mg twice daily. No effects were noted in an evaluation of the neuropharmacological effects of </w:t>
      </w:r>
      <w:proofErr w:type="spellStart"/>
      <w:r w:rsidRPr="0078138E">
        <w:rPr>
          <w:sz w:val="24"/>
          <w:szCs w:val="24"/>
          <w:lang w:val="en-GB"/>
        </w:rPr>
        <w:t>ruxolitinib</w:t>
      </w:r>
      <w:proofErr w:type="spellEnd"/>
      <w:r w:rsidRPr="0078138E">
        <w:rPr>
          <w:sz w:val="24"/>
          <w:szCs w:val="24"/>
          <w:lang w:val="en-GB"/>
        </w:rPr>
        <w:t>.</w:t>
      </w:r>
    </w:p>
    <w:p w14:paraId="352F25E3" w14:textId="77777777" w:rsidR="0078138E" w:rsidRPr="0078138E" w:rsidRDefault="0078138E" w:rsidP="00701C32">
      <w:pPr>
        <w:ind w:left="851"/>
        <w:rPr>
          <w:sz w:val="24"/>
          <w:szCs w:val="24"/>
          <w:lang w:val="en-GB"/>
        </w:rPr>
      </w:pPr>
    </w:p>
    <w:p w14:paraId="6CCD33CE" w14:textId="77777777" w:rsidR="0078138E" w:rsidRPr="0078138E" w:rsidRDefault="0078138E" w:rsidP="00701C32">
      <w:pPr>
        <w:ind w:left="851"/>
        <w:rPr>
          <w:sz w:val="24"/>
          <w:szCs w:val="24"/>
          <w:lang w:val="en-GB"/>
        </w:rPr>
      </w:pPr>
      <w:r w:rsidRPr="0078138E">
        <w:rPr>
          <w:sz w:val="24"/>
          <w:szCs w:val="24"/>
          <w:lang w:val="en-GB"/>
        </w:rPr>
        <w:t xml:space="preserve">In juvenile rat studies, administration of </w:t>
      </w:r>
      <w:proofErr w:type="spellStart"/>
      <w:r w:rsidRPr="0078138E">
        <w:rPr>
          <w:sz w:val="24"/>
          <w:szCs w:val="24"/>
          <w:lang w:val="en-GB"/>
        </w:rPr>
        <w:t>ruxolitinib</w:t>
      </w:r>
      <w:proofErr w:type="spellEnd"/>
      <w:r w:rsidRPr="0078138E">
        <w:rPr>
          <w:sz w:val="24"/>
          <w:szCs w:val="24"/>
          <w:lang w:val="en-GB"/>
        </w:rPr>
        <w:t xml:space="preserve"> resulted in effects on growth and bone measures. Reduced bone growth was observed at doses ≥5 mg/kg/day when treatment started on postnatal day 7 (comparable to human newborn) and at ≥15 mg/kg/day when treatment started on postnatal days 14 or 21 (comparable to human infant, 1–3 years). Fractures and early termination of rats were observed at doses ≥30 mg/kg/day when treatment was started on postnatal day 7. Based on unbound AUC, the exposure at the NOAEL (no observed adverse effect level) in juvenile rats treated as early as postnatal day 7 was 0.3-fold that of adult patients at 25 mg twice daily, while reduced bone growth and fractures occurred at exposures that were 1.5- and 13-fold that of adult patients at 25 mg twice daily, respectively. The effects were generally more severe when administration was initiated earlier in the postnatal period. Other than bone development, the effects of </w:t>
      </w:r>
      <w:proofErr w:type="spellStart"/>
      <w:r w:rsidRPr="0078138E">
        <w:rPr>
          <w:sz w:val="24"/>
          <w:szCs w:val="24"/>
          <w:lang w:val="en-GB"/>
        </w:rPr>
        <w:t>ruxolitinib</w:t>
      </w:r>
      <w:proofErr w:type="spellEnd"/>
      <w:r w:rsidRPr="0078138E">
        <w:rPr>
          <w:sz w:val="24"/>
          <w:szCs w:val="24"/>
          <w:lang w:val="en-GB"/>
        </w:rPr>
        <w:t xml:space="preserve"> in juvenile rats were </w:t>
      </w:r>
      <w:proofErr w:type="gramStart"/>
      <w:r w:rsidRPr="0078138E">
        <w:rPr>
          <w:sz w:val="24"/>
          <w:szCs w:val="24"/>
          <w:lang w:val="en-GB"/>
        </w:rPr>
        <w:t>similar to</w:t>
      </w:r>
      <w:proofErr w:type="gramEnd"/>
      <w:r w:rsidRPr="0078138E">
        <w:rPr>
          <w:sz w:val="24"/>
          <w:szCs w:val="24"/>
          <w:lang w:val="en-GB"/>
        </w:rPr>
        <w:t xml:space="preserve"> those in adult rats. Juvenile rats are more sensitive than adult rats to </w:t>
      </w:r>
      <w:proofErr w:type="spellStart"/>
      <w:r w:rsidRPr="0078138E">
        <w:rPr>
          <w:sz w:val="24"/>
          <w:szCs w:val="24"/>
          <w:lang w:val="en-GB"/>
        </w:rPr>
        <w:t>ruxolitinib</w:t>
      </w:r>
      <w:proofErr w:type="spellEnd"/>
      <w:r w:rsidRPr="0078138E">
        <w:rPr>
          <w:sz w:val="24"/>
          <w:szCs w:val="24"/>
          <w:lang w:val="en-GB"/>
        </w:rPr>
        <w:t xml:space="preserve"> toxicity.</w:t>
      </w:r>
    </w:p>
    <w:p w14:paraId="17494479" w14:textId="77777777" w:rsidR="0078138E" w:rsidRPr="0078138E" w:rsidRDefault="0078138E" w:rsidP="00701C32">
      <w:pPr>
        <w:ind w:left="851"/>
        <w:rPr>
          <w:sz w:val="24"/>
          <w:szCs w:val="24"/>
          <w:lang w:val="en-GB"/>
        </w:rPr>
      </w:pPr>
    </w:p>
    <w:p w14:paraId="5D4C18FF" w14:textId="30BCF787" w:rsidR="0078138E" w:rsidRPr="0078138E" w:rsidRDefault="0078138E" w:rsidP="00701C32">
      <w:pPr>
        <w:ind w:left="851"/>
        <w:rPr>
          <w:bCs/>
          <w:sz w:val="24"/>
          <w:szCs w:val="24"/>
          <w:lang w:val="en-GB"/>
        </w:rPr>
      </w:pPr>
      <w:proofErr w:type="spellStart"/>
      <w:r w:rsidRPr="0078138E">
        <w:rPr>
          <w:sz w:val="24"/>
          <w:szCs w:val="24"/>
          <w:lang w:val="en-GB"/>
        </w:rPr>
        <w:t>Ruxolitinib</w:t>
      </w:r>
      <w:proofErr w:type="spellEnd"/>
      <w:r w:rsidRPr="0078138E">
        <w:rPr>
          <w:sz w:val="24"/>
          <w:szCs w:val="24"/>
          <w:lang w:val="en-GB"/>
        </w:rPr>
        <w:t xml:space="preserve"> decreased foetal weight and increased post-implantation loss in animal studies. There was no evidence of a teratogenic effect in rats and rabbits. However, the exposure margins compared to the highest clinical dose were low and the results are therefore of limited relevance for humans. No effects were noted on fertility. In a pre- and post-natal development study, a slightly prolonged gestation period, reduced number of implantation sites, and reduced number of pups delivered were observed. In the pups, decreased mean initial body weights and short period of decreased mean body weight gain were observed. In lactating rats, </w:t>
      </w:r>
      <w:proofErr w:type="spellStart"/>
      <w:r w:rsidRPr="0078138E">
        <w:rPr>
          <w:sz w:val="24"/>
          <w:szCs w:val="24"/>
          <w:lang w:val="en-GB"/>
        </w:rPr>
        <w:t>ruxolitinib</w:t>
      </w:r>
      <w:proofErr w:type="spellEnd"/>
      <w:r w:rsidRPr="0078138E">
        <w:rPr>
          <w:sz w:val="24"/>
          <w:szCs w:val="24"/>
          <w:lang w:val="en-GB"/>
        </w:rPr>
        <w:t xml:space="preserve"> and/or its metabolites were excreted into the milk with a concentration that was 13-fold higher than the maternal plasma concentration. </w:t>
      </w:r>
      <w:proofErr w:type="spellStart"/>
      <w:r w:rsidRPr="0078138E">
        <w:rPr>
          <w:sz w:val="24"/>
          <w:szCs w:val="24"/>
          <w:lang w:val="en-GB"/>
        </w:rPr>
        <w:t>Ruxolitinib</w:t>
      </w:r>
      <w:proofErr w:type="spellEnd"/>
      <w:r w:rsidRPr="0078138E">
        <w:rPr>
          <w:sz w:val="24"/>
          <w:szCs w:val="24"/>
          <w:lang w:val="en-GB"/>
        </w:rPr>
        <w:t xml:space="preserve"> was not mutagenic or clastogenic. </w:t>
      </w:r>
      <w:proofErr w:type="spellStart"/>
      <w:r w:rsidRPr="0078138E">
        <w:rPr>
          <w:sz w:val="24"/>
          <w:szCs w:val="24"/>
          <w:lang w:val="en-GB"/>
        </w:rPr>
        <w:t>Ruxolitinib</w:t>
      </w:r>
      <w:proofErr w:type="spellEnd"/>
      <w:r w:rsidRPr="0078138E">
        <w:rPr>
          <w:sz w:val="24"/>
          <w:szCs w:val="24"/>
          <w:lang w:val="en-GB"/>
        </w:rPr>
        <w:t xml:space="preserve"> was not carcinogenic in the </w:t>
      </w:r>
      <w:proofErr w:type="gramStart"/>
      <w:r w:rsidRPr="0078138E">
        <w:rPr>
          <w:sz w:val="24"/>
          <w:szCs w:val="24"/>
          <w:lang w:val="en-GB"/>
        </w:rPr>
        <w:t>Tg.rasH</w:t>
      </w:r>
      <w:proofErr w:type="gramEnd"/>
      <w:r w:rsidRPr="0078138E">
        <w:rPr>
          <w:sz w:val="24"/>
          <w:szCs w:val="24"/>
          <w:lang w:val="en-GB"/>
        </w:rPr>
        <w:t>2 transgenic mouse model.</w:t>
      </w:r>
    </w:p>
    <w:p w14:paraId="022E87EA" w14:textId="77777777" w:rsidR="007C5D2A" w:rsidRPr="009B509D" w:rsidRDefault="007C5D2A" w:rsidP="003E0341">
      <w:pPr>
        <w:tabs>
          <w:tab w:val="left" w:pos="851"/>
        </w:tabs>
        <w:ind w:left="851"/>
        <w:rPr>
          <w:sz w:val="24"/>
          <w:szCs w:val="24"/>
          <w:lang w:val="en-GB"/>
        </w:rPr>
      </w:pPr>
    </w:p>
    <w:p w14:paraId="4E20D627" w14:textId="77777777" w:rsidR="007C5D2A" w:rsidRPr="009B509D" w:rsidRDefault="007C5D2A" w:rsidP="003E0341">
      <w:pPr>
        <w:tabs>
          <w:tab w:val="left" w:pos="851"/>
        </w:tabs>
        <w:ind w:left="851"/>
        <w:rPr>
          <w:sz w:val="24"/>
          <w:szCs w:val="24"/>
          <w:lang w:val="en-GB"/>
        </w:rPr>
      </w:pPr>
    </w:p>
    <w:p w14:paraId="5CC46E36" w14:textId="77777777" w:rsidR="007C5D2A" w:rsidRPr="009B509D" w:rsidRDefault="009925C9" w:rsidP="007C5D2A">
      <w:pPr>
        <w:ind w:left="851" w:hanging="851"/>
        <w:rPr>
          <w:b/>
          <w:sz w:val="24"/>
          <w:szCs w:val="24"/>
          <w:lang w:val="en-GB"/>
        </w:rPr>
      </w:pPr>
      <w:r w:rsidRPr="009B509D">
        <w:rPr>
          <w:b/>
          <w:sz w:val="24"/>
          <w:szCs w:val="24"/>
          <w:lang w:val="en-GB"/>
        </w:rPr>
        <w:t>6.</w:t>
      </w:r>
      <w:r w:rsidR="007C5D2A" w:rsidRPr="009B509D">
        <w:rPr>
          <w:b/>
          <w:sz w:val="24"/>
          <w:szCs w:val="24"/>
          <w:lang w:val="en-GB"/>
        </w:rPr>
        <w:tab/>
        <w:t>PHARMACEUTICAL PARTICULARS</w:t>
      </w:r>
    </w:p>
    <w:p w14:paraId="76C4E881" w14:textId="77777777" w:rsidR="007C5D2A" w:rsidRPr="009B509D" w:rsidRDefault="007C5D2A" w:rsidP="003E0341">
      <w:pPr>
        <w:tabs>
          <w:tab w:val="left" w:pos="851"/>
        </w:tabs>
        <w:ind w:left="851"/>
        <w:rPr>
          <w:sz w:val="24"/>
          <w:szCs w:val="24"/>
          <w:lang w:val="en-GB"/>
        </w:rPr>
      </w:pPr>
    </w:p>
    <w:p w14:paraId="7B18835D" w14:textId="77777777" w:rsidR="007C5D2A" w:rsidRPr="009B509D" w:rsidRDefault="007C5D2A" w:rsidP="007C5D2A">
      <w:pPr>
        <w:ind w:left="851" w:hanging="851"/>
        <w:rPr>
          <w:b/>
          <w:sz w:val="24"/>
          <w:szCs w:val="24"/>
          <w:lang w:val="en-GB"/>
        </w:rPr>
      </w:pPr>
      <w:r w:rsidRPr="009B509D">
        <w:rPr>
          <w:b/>
          <w:sz w:val="24"/>
          <w:szCs w:val="24"/>
          <w:lang w:val="en-GB"/>
        </w:rPr>
        <w:t>6.1</w:t>
      </w:r>
      <w:r w:rsidRPr="009B509D">
        <w:rPr>
          <w:b/>
          <w:sz w:val="24"/>
          <w:szCs w:val="24"/>
          <w:lang w:val="en-GB"/>
        </w:rPr>
        <w:tab/>
        <w:t>List of excipients</w:t>
      </w:r>
    </w:p>
    <w:p w14:paraId="7930D1F0" w14:textId="77777777" w:rsidR="0078138E" w:rsidRPr="0078138E" w:rsidRDefault="0078138E" w:rsidP="00701C32">
      <w:pPr>
        <w:ind w:left="851"/>
        <w:rPr>
          <w:sz w:val="24"/>
          <w:szCs w:val="24"/>
          <w:lang w:val="en-GB"/>
        </w:rPr>
      </w:pPr>
      <w:r w:rsidRPr="0078138E">
        <w:rPr>
          <w:sz w:val="24"/>
          <w:szCs w:val="24"/>
          <w:lang w:val="en-GB"/>
        </w:rPr>
        <w:t>Lactose monohydrate</w:t>
      </w:r>
    </w:p>
    <w:p w14:paraId="60F2CA03" w14:textId="77777777" w:rsidR="0078138E" w:rsidRPr="0078138E" w:rsidRDefault="0078138E" w:rsidP="00701C32">
      <w:pPr>
        <w:ind w:left="851"/>
        <w:rPr>
          <w:sz w:val="24"/>
          <w:szCs w:val="24"/>
          <w:lang w:val="en-GB"/>
        </w:rPr>
      </w:pPr>
      <w:r w:rsidRPr="0078138E">
        <w:rPr>
          <w:sz w:val="24"/>
          <w:szCs w:val="24"/>
          <w:lang w:val="en-GB"/>
        </w:rPr>
        <w:t>Cellulose, microcrystalline (PH 101) (E 460)</w:t>
      </w:r>
    </w:p>
    <w:p w14:paraId="5D3CCF99" w14:textId="77777777" w:rsidR="0078138E" w:rsidRPr="0078138E" w:rsidRDefault="0078138E" w:rsidP="00701C32">
      <w:pPr>
        <w:ind w:left="851"/>
        <w:rPr>
          <w:sz w:val="24"/>
          <w:szCs w:val="24"/>
          <w:lang w:val="en-GB"/>
        </w:rPr>
      </w:pPr>
      <w:r w:rsidRPr="0078138E">
        <w:rPr>
          <w:sz w:val="24"/>
          <w:szCs w:val="24"/>
          <w:lang w:val="en-GB"/>
        </w:rPr>
        <w:t>Povidone (K29/32)</w:t>
      </w:r>
    </w:p>
    <w:p w14:paraId="00F4F9C0" w14:textId="77777777" w:rsidR="0078138E" w:rsidRPr="0078138E" w:rsidRDefault="0078138E" w:rsidP="00701C32">
      <w:pPr>
        <w:ind w:left="851"/>
        <w:rPr>
          <w:sz w:val="24"/>
          <w:szCs w:val="24"/>
          <w:lang w:val="en-GB"/>
        </w:rPr>
      </w:pPr>
      <w:r w:rsidRPr="0078138E">
        <w:rPr>
          <w:sz w:val="24"/>
          <w:szCs w:val="24"/>
          <w:lang w:val="en-GB"/>
        </w:rPr>
        <w:t>Hydroxypropyl cellulose (E 463)</w:t>
      </w:r>
    </w:p>
    <w:p w14:paraId="511DF412" w14:textId="77777777" w:rsidR="0078138E" w:rsidRPr="0078138E" w:rsidRDefault="0078138E" w:rsidP="00701C32">
      <w:pPr>
        <w:ind w:left="851"/>
        <w:rPr>
          <w:sz w:val="24"/>
          <w:szCs w:val="24"/>
          <w:lang w:val="en-GB"/>
        </w:rPr>
      </w:pPr>
      <w:r w:rsidRPr="0078138E">
        <w:rPr>
          <w:sz w:val="24"/>
          <w:szCs w:val="24"/>
          <w:lang w:val="en-GB"/>
        </w:rPr>
        <w:t>Sodium starch glycolate (type A)</w:t>
      </w:r>
    </w:p>
    <w:p w14:paraId="05292EA9" w14:textId="77777777" w:rsidR="0078138E" w:rsidRPr="0078138E" w:rsidRDefault="0078138E" w:rsidP="00701C32">
      <w:pPr>
        <w:ind w:left="851"/>
        <w:rPr>
          <w:sz w:val="24"/>
          <w:szCs w:val="24"/>
          <w:lang w:val="en-GB"/>
        </w:rPr>
      </w:pPr>
      <w:r w:rsidRPr="0078138E">
        <w:rPr>
          <w:sz w:val="24"/>
          <w:szCs w:val="24"/>
          <w:lang w:val="en-GB"/>
        </w:rPr>
        <w:t>Cellulose, microcrystalline (PH 102) (E 460)</w:t>
      </w:r>
    </w:p>
    <w:p w14:paraId="17EFB95A" w14:textId="77777777" w:rsidR="0078138E" w:rsidRPr="0078138E" w:rsidRDefault="0078138E" w:rsidP="00701C32">
      <w:pPr>
        <w:ind w:left="851"/>
        <w:rPr>
          <w:sz w:val="24"/>
          <w:szCs w:val="24"/>
          <w:lang w:val="en-GB"/>
        </w:rPr>
      </w:pPr>
      <w:r w:rsidRPr="0078138E">
        <w:rPr>
          <w:sz w:val="24"/>
          <w:szCs w:val="24"/>
          <w:lang w:val="en-GB"/>
        </w:rPr>
        <w:t>Silica, colloidal anhydrous</w:t>
      </w:r>
    </w:p>
    <w:p w14:paraId="62A66EC3" w14:textId="77777777" w:rsidR="0078138E" w:rsidRPr="0078138E" w:rsidRDefault="0078138E" w:rsidP="00701C32">
      <w:pPr>
        <w:ind w:left="851"/>
        <w:rPr>
          <w:sz w:val="24"/>
          <w:szCs w:val="24"/>
          <w:lang w:val="en-GB"/>
        </w:rPr>
      </w:pPr>
      <w:r w:rsidRPr="0078138E">
        <w:rPr>
          <w:sz w:val="24"/>
          <w:szCs w:val="24"/>
          <w:lang w:val="en-GB"/>
        </w:rPr>
        <w:t>Magnesium stearate</w:t>
      </w:r>
    </w:p>
    <w:p w14:paraId="6C748BCC" w14:textId="77777777" w:rsidR="007C5D2A" w:rsidRPr="009B509D" w:rsidRDefault="007C5D2A" w:rsidP="003D727E">
      <w:pPr>
        <w:tabs>
          <w:tab w:val="left" w:pos="851"/>
        </w:tabs>
        <w:ind w:left="851"/>
        <w:rPr>
          <w:sz w:val="24"/>
          <w:szCs w:val="24"/>
          <w:lang w:val="en-GB"/>
        </w:rPr>
      </w:pPr>
    </w:p>
    <w:p w14:paraId="4E23FF54" w14:textId="77777777" w:rsidR="007C5D2A" w:rsidRPr="009B509D" w:rsidRDefault="007C5D2A" w:rsidP="007C5D2A">
      <w:pPr>
        <w:ind w:left="851" w:hanging="851"/>
        <w:rPr>
          <w:b/>
          <w:sz w:val="24"/>
          <w:szCs w:val="24"/>
          <w:lang w:val="en-GB"/>
        </w:rPr>
      </w:pPr>
      <w:r w:rsidRPr="009B509D">
        <w:rPr>
          <w:b/>
          <w:sz w:val="24"/>
          <w:szCs w:val="24"/>
          <w:lang w:val="en-GB"/>
        </w:rPr>
        <w:t>6.2</w:t>
      </w:r>
      <w:r w:rsidRPr="009B509D">
        <w:rPr>
          <w:b/>
          <w:sz w:val="24"/>
          <w:szCs w:val="24"/>
          <w:lang w:val="en-GB"/>
        </w:rPr>
        <w:tab/>
        <w:t>Incompatibilities</w:t>
      </w:r>
    </w:p>
    <w:p w14:paraId="28322D3F" w14:textId="77777777" w:rsidR="0078138E" w:rsidRPr="0078138E" w:rsidRDefault="0078138E" w:rsidP="00701C32">
      <w:pPr>
        <w:ind w:left="851"/>
        <w:rPr>
          <w:sz w:val="24"/>
          <w:szCs w:val="24"/>
          <w:lang w:val="en-GB"/>
        </w:rPr>
      </w:pPr>
      <w:r w:rsidRPr="0078138E">
        <w:rPr>
          <w:sz w:val="24"/>
          <w:szCs w:val="24"/>
          <w:lang w:val="en-GB"/>
        </w:rPr>
        <w:t>Not applicable.</w:t>
      </w:r>
    </w:p>
    <w:p w14:paraId="699DCECC" w14:textId="77777777" w:rsidR="007C5D2A" w:rsidRPr="009B509D" w:rsidRDefault="007C5D2A" w:rsidP="003E0341">
      <w:pPr>
        <w:tabs>
          <w:tab w:val="left" w:pos="851"/>
        </w:tabs>
        <w:ind w:left="851"/>
        <w:rPr>
          <w:sz w:val="24"/>
          <w:szCs w:val="24"/>
          <w:lang w:val="en-GB"/>
        </w:rPr>
      </w:pPr>
    </w:p>
    <w:p w14:paraId="66134B63" w14:textId="77777777" w:rsidR="007C5D2A" w:rsidRPr="009B509D" w:rsidRDefault="007C5D2A" w:rsidP="007C5D2A">
      <w:pPr>
        <w:ind w:left="851" w:hanging="851"/>
        <w:rPr>
          <w:b/>
          <w:sz w:val="24"/>
          <w:szCs w:val="24"/>
          <w:lang w:val="en-GB"/>
        </w:rPr>
      </w:pPr>
      <w:r w:rsidRPr="009B509D">
        <w:rPr>
          <w:b/>
          <w:sz w:val="24"/>
          <w:szCs w:val="24"/>
          <w:lang w:val="en-GB"/>
        </w:rPr>
        <w:t>6.3</w:t>
      </w:r>
      <w:r w:rsidRPr="009B509D">
        <w:rPr>
          <w:b/>
          <w:sz w:val="24"/>
          <w:szCs w:val="24"/>
          <w:lang w:val="en-GB"/>
        </w:rPr>
        <w:tab/>
        <w:t>Shelf</w:t>
      </w:r>
      <w:r w:rsidR="00B45DC5" w:rsidRPr="009B509D">
        <w:rPr>
          <w:b/>
          <w:sz w:val="24"/>
          <w:szCs w:val="24"/>
          <w:lang w:val="en-GB"/>
        </w:rPr>
        <w:t xml:space="preserve"> </w:t>
      </w:r>
      <w:r w:rsidRPr="009B509D">
        <w:rPr>
          <w:b/>
          <w:sz w:val="24"/>
          <w:szCs w:val="24"/>
          <w:lang w:val="en-GB"/>
        </w:rPr>
        <w:t>life</w:t>
      </w:r>
    </w:p>
    <w:p w14:paraId="1698CC7E" w14:textId="77777777" w:rsidR="0078138E" w:rsidRPr="0078138E" w:rsidRDefault="0078138E" w:rsidP="00701C32">
      <w:pPr>
        <w:ind w:left="851"/>
        <w:rPr>
          <w:i/>
          <w:iCs/>
          <w:sz w:val="24"/>
          <w:szCs w:val="24"/>
          <w:lang w:val="en-GB"/>
        </w:rPr>
      </w:pPr>
      <w:r w:rsidRPr="0078138E">
        <w:rPr>
          <w:sz w:val="24"/>
          <w:szCs w:val="24"/>
          <w:lang w:val="en-GB"/>
        </w:rPr>
        <w:t>2 years</w:t>
      </w:r>
    </w:p>
    <w:p w14:paraId="6C98D9E3" w14:textId="77777777" w:rsidR="007C5D2A" w:rsidRPr="009B509D" w:rsidRDefault="007C5D2A" w:rsidP="003E0341">
      <w:pPr>
        <w:tabs>
          <w:tab w:val="left" w:pos="851"/>
        </w:tabs>
        <w:ind w:left="851"/>
        <w:rPr>
          <w:sz w:val="24"/>
          <w:szCs w:val="24"/>
          <w:lang w:val="en-GB"/>
        </w:rPr>
      </w:pPr>
    </w:p>
    <w:p w14:paraId="3EEBD6E5" w14:textId="77777777" w:rsidR="007C5D2A" w:rsidRPr="009B509D" w:rsidRDefault="007C5D2A" w:rsidP="007C5D2A">
      <w:pPr>
        <w:ind w:left="851" w:hanging="851"/>
        <w:rPr>
          <w:b/>
          <w:sz w:val="24"/>
          <w:szCs w:val="24"/>
          <w:lang w:val="en-GB"/>
        </w:rPr>
      </w:pPr>
      <w:r w:rsidRPr="009B509D">
        <w:rPr>
          <w:b/>
          <w:sz w:val="24"/>
          <w:szCs w:val="24"/>
          <w:lang w:val="en-GB"/>
        </w:rPr>
        <w:t>6.4</w:t>
      </w:r>
      <w:r w:rsidRPr="009B509D">
        <w:rPr>
          <w:b/>
          <w:sz w:val="24"/>
          <w:szCs w:val="24"/>
          <w:lang w:val="en-GB"/>
        </w:rPr>
        <w:tab/>
        <w:t>Special precautions for storage</w:t>
      </w:r>
    </w:p>
    <w:p w14:paraId="05BFD672" w14:textId="77777777" w:rsidR="0078138E" w:rsidRPr="0078138E" w:rsidRDefault="0078138E" w:rsidP="00701C32">
      <w:pPr>
        <w:ind w:left="851"/>
        <w:rPr>
          <w:i/>
          <w:iCs/>
          <w:sz w:val="24"/>
          <w:szCs w:val="24"/>
          <w:lang w:val="en-GB"/>
        </w:rPr>
      </w:pPr>
      <w:r w:rsidRPr="0078138E">
        <w:rPr>
          <w:sz w:val="24"/>
          <w:szCs w:val="24"/>
          <w:lang w:val="en-GB"/>
        </w:rPr>
        <w:t>This medicinal product does not require any special storage conditions</w:t>
      </w:r>
    </w:p>
    <w:p w14:paraId="2A2324ED" w14:textId="77777777" w:rsidR="007C5D2A" w:rsidRPr="009B509D" w:rsidRDefault="007C5D2A" w:rsidP="003E0341">
      <w:pPr>
        <w:tabs>
          <w:tab w:val="left" w:pos="851"/>
        </w:tabs>
        <w:ind w:left="851"/>
        <w:rPr>
          <w:sz w:val="24"/>
          <w:szCs w:val="24"/>
          <w:lang w:val="en-GB"/>
        </w:rPr>
      </w:pPr>
    </w:p>
    <w:p w14:paraId="214C505F" w14:textId="77777777" w:rsidR="007C5D2A" w:rsidRPr="009B509D" w:rsidRDefault="007C5D2A" w:rsidP="007C5D2A">
      <w:pPr>
        <w:ind w:left="851" w:hanging="851"/>
        <w:rPr>
          <w:b/>
          <w:sz w:val="24"/>
          <w:szCs w:val="24"/>
          <w:lang w:val="en-GB"/>
        </w:rPr>
      </w:pPr>
      <w:r w:rsidRPr="009B509D">
        <w:rPr>
          <w:b/>
          <w:sz w:val="24"/>
          <w:szCs w:val="24"/>
          <w:lang w:val="en-GB"/>
        </w:rPr>
        <w:t>6.5</w:t>
      </w:r>
      <w:r w:rsidRPr="009B509D">
        <w:rPr>
          <w:b/>
          <w:sz w:val="24"/>
          <w:szCs w:val="24"/>
          <w:lang w:val="en-GB"/>
        </w:rPr>
        <w:tab/>
        <w:t>Nature and contents of container</w:t>
      </w:r>
    </w:p>
    <w:p w14:paraId="4C405E2D" w14:textId="07EDC100" w:rsidR="0078138E" w:rsidRPr="0078138E" w:rsidRDefault="0078138E" w:rsidP="00701C32">
      <w:pPr>
        <w:ind w:left="851"/>
        <w:rPr>
          <w:sz w:val="24"/>
          <w:szCs w:val="24"/>
          <w:lang w:val="en-GB"/>
        </w:rPr>
      </w:pPr>
      <w:r w:rsidRPr="0078138E">
        <w:rPr>
          <w:sz w:val="24"/>
          <w:szCs w:val="24"/>
          <w:lang w:val="en-GB"/>
        </w:rPr>
        <w:t xml:space="preserve">Alu/PVC/PE/PVDC blisters containing 14, 28, 56, 60, 140 or 168 tablets or Alu/PVC/PE/PVDC perforated unit dose blisters containing 14 </w:t>
      </w:r>
      <w:r w:rsidR="00D11B9F">
        <w:rPr>
          <w:sz w:val="24"/>
          <w:szCs w:val="24"/>
          <w:lang w:val="en-GB"/>
        </w:rPr>
        <w:t>×</w:t>
      </w:r>
      <w:r w:rsidRPr="0078138E">
        <w:rPr>
          <w:sz w:val="24"/>
          <w:szCs w:val="24"/>
          <w:lang w:val="en-GB"/>
        </w:rPr>
        <w:t xml:space="preserve"> 1, 28 </w:t>
      </w:r>
      <w:r w:rsidR="00D11B9F" w:rsidRPr="00D11B9F">
        <w:rPr>
          <w:sz w:val="24"/>
          <w:szCs w:val="24"/>
          <w:lang w:val="en-GB"/>
        </w:rPr>
        <w:t>×</w:t>
      </w:r>
      <w:r w:rsidRPr="0078138E">
        <w:rPr>
          <w:sz w:val="24"/>
          <w:szCs w:val="24"/>
          <w:lang w:val="en-GB"/>
        </w:rPr>
        <w:t xml:space="preserve"> 1, 56 </w:t>
      </w:r>
      <w:r w:rsidR="00D11B9F" w:rsidRPr="00D11B9F">
        <w:rPr>
          <w:sz w:val="24"/>
          <w:szCs w:val="24"/>
          <w:lang w:val="en-GB"/>
        </w:rPr>
        <w:t>×</w:t>
      </w:r>
      <w:r w:rsidRPr="0078138E">
        <w:rPr>
          <w:sz w:val="24"/>
          <w:szCs w:val="24"/>
          <w:lang w:val="en-GB"/>
        </w:rPr>
        <w:t xml:space="preserve"> 1, 60 </w:t>
      </w:r>
      <w:r w:rsidR="00D11B9F" w:rsidRPr="00D11B9F">
        <w:rPr>
          <w:sz w:val="24"/>
          <w:szCs w:val="24"/>
          <w:lang w:val="en-GB"/>
        </w:rPr>
        <w:t>×</w:t>
      </w:r>
      <w:r w:rsidRPr="0078138E">
        <w:rPr>
          <w:sz w:val="24"/>
          <w:szCs w:val="24"/>
          <w:lang w:val="en-GB"/>
        </w:rPr>
        <w:t xml:space="preserve"> 1, 140 </w:t>
      </w:r>
      <w:r w:rsidR="00D11B9F" w:rsidRPr="00D11B9F">
        <w:rPr>
          <w:sz w:val="24"/>
          <w:szCs w:val="24"/>
          <w:lang w:val="en-GB"/>
        </w:rPr>
        <w:t>×</w:t>
      </w:r>
      <w:r w:rsidRPr="0078138E">
        <w:rPr>
          <w:sz w:val="24"/>
          <w:szCs w:val="24"/>
          <w:lang w:val="en-GB"/>
        </w:rPr>
        <w:t xml:space="preserve"> 1 or 168 </w:t>
      </w:r>
      <w:r w:rsidR="00D11B9F" w:rsidRPr="00D11B9F">
        <w:rPr>
          <w:sz w:val="24"/>
          <w:szCs w:val="24"/>
          <w:lang w:val="en-GB"/>
        </w:rPr>
        <w:t>×</w:t>
      </w:r>
      <w:r w:rsidRPr="0078138E">
        <w:rPr>
          <w:sz w:val="24"/>
          <w:szCs w:val="24"/>
          <w:lang w:val="en-GB"/>
        </w:rPr>
        <w:t xml:space="preserve"> 1 tablets, or</w:t>
      </w:r>
    </w:p>
    <w:p w14:paraId="5C69C7ED" w14:textId="77777777" w:rsidR="0078138E" w:rsidRPr="0078138E" w:rsidRDefault="0078138E" w:rsidP="00701C32">
      <w:pPr>
        <w:ind w:left="851"/>
        <w:rPr>
          <w:sz w:val="24"/>
          <w:szCs w:val="24"/>
          <w:lang w:val="en-GB"/>
        </w:rPr>
      </w:pPr>
    </w:p>
    <w:p w14:paraId="6127B84C" w14:textId="5E731A63" w:rsidR="0078138E" w:rsidRPr="0078138E" w:rsidRDefault="0078138E" w:rsidP="00701C32">
      <w:pPr>
        <w:ind w:left="851"/>
        <w:rPr>
          <w:sz w:val="24"/>
          <w:szCs w:val="24"/>
          <w:lang w:val="en-GB"/>
        </w:rPr>
      </w:pPr>
      <w:r w:rsidRPr="0078138E">
        <w:rPr>
          <w:sz w:val="24"/>
          <w:szCs w:val="24"/>
          <w:lang w:val="en-GB"/>
        </w:rPr>
        <w:t xml:space="preserve">Alu/PVC/PE/PVDC calendar blisters containing 14, 28, 56, 60, 140, or 168 tablets or Alu/PVC/PE/PVDC calendar perforated unit dose blisters containing 14 </w:t>
      </w:r>
      <w:r w:rsidR="00D11B9F" w:rsidRPr="00D11B9F">
        <w:rPr>
          <w:sz w:val="24"/>
          <w:szCs w:val="24"/>
          <w:lang w:val="en-GB"/>
        </w:rPr>
        <w:t>×</w:t>
      </w:r>
      <w:r w:rsidRPr="0078138E">
        <w:rPr>
          <w:sz w:val="24"/>
          <w:szCs w:val="24"/>
          <w:lang w:val="en-GB"/>
        </w:rPr>
        <w:t xml:space="preserve"> 1, 28 </w:t>
      </w:r>
      <w:r w:rsidR="00D11B9F" w:rsidRPr="00D11B9F">
        <w:rPr>
          <w:sz w:val="24"/>
          <w:szCs w:val="24"/>
          <w:lang w:val="en-GB"/>
        </w:rPr>
        <w:t>×</w:t>
      </w:r>
      <w:r w:rsidRPr="0078138E">
        <w:rPr>
          <w:sz w:val="24"/>
          <w:szCs w:val="24"/>
          <w:lang w:val="en-GB"/>
        </w:rPr>
        <w:t xml:space="preserve"> 1, 56 </w:t>
      </w:r>
      <w:r w:rsidR="00D11B9F" w:rsidRPr="00D11B9F">
        <w:rPr>
          <w:sz w:val="24"/>
          <w:szCs w:val="24"/>
          <w:lang w:val="en-GB"/>
        </w:rPr>
        <w:t>×</w:t>
      </w:r>
      <w:r w:rsidRPr="0078138E">
        <w:rPr>
          <w:sz w:val="24"/>
          <w:szCs w:val="24"/>
          <w:lang w:val="en-GB"/>
        </w:rPr>
        <w:t xml:space="preserve"> 1, 60 </w:t>
      </w:r>
      <w:r w:rsidR="00D11B9F" w:rsidRPr="00D11B9F">
        <w:rPr>
          <w:sz w:val="24"/>
          <w:szCs w:val="24"/>
          <w:lang w:val="en-GB"/>
        </w:rPr>
        <w:t>×</w:t>
      </w:r>
      <w:r w:rsidRPr="0078138E">
        <w:rPr>
          <w:sz w:val="24"/>
          <w:szCs w:val="24"/>
          <w:lang w:val="en-GB"/>
        </w:rPr>
        <w:t xml:space="preserve"> 1, 140 </w:t>
      </w:r>
      <w:r w:rsidR="00D11B9F" w:rsidRPr="00D11B9F">
        <w:rPr>
          <w:sz w:val="24"/>
          <w:szCs w:val="24"/>
          <w:lang w:val="en-GB"/>
        </w:rPr>
        <w:t>×</w:t>
      </w:r>
      <w:r w:rsidRPr="0078138E">
        <w:rPr>
          <w:sz w:val="24"/>
          <w:szCs w:val="24"/>
          <w:lang w:val="en-GB"/>
        </w:rPr>
        <w:t xml:space="preserve"> 1 or 168 </w:t>
      </w:r>
      <w:r w:rsidR="00D11B9F" w:rsidRPr="00D11B9F">
        <w:rPr>
          <w:sz w:val="24"/>
          <w:szCs w:val="24"/>
          <w:lang w:val="en-GB"/>
        </w:rPr>
        <w:t>×</w:t>
      </w:r>
      <w:r w:rsidRPr="0078138E">
        <w:rPr>
          <w:sz w:val="24"/>
          <w:szCs w:val="24"/>
          <w:lang w:val="en-GB"/>
        </w:rPr>
        <w:t xml:space="preserve"> 1 tablets.</w:t>
      </w:r>
    </w:p>
    <w:p w14:paraId="4BD61659" w14:textId="77777777" w:rsidR="0078138E" w:rsidRPr="0078138E" w:rsidRDefault="0078138E" w:rsidP="00701C32">
      <w:pPr>
        <w:ind w:left="851"/>
        <w:rPr>
          <w:sz w:val="24"/>
          <w:szCs w:val="24"/>
          <w:lang w:val="en-GB"/>
        </w:rPr>
      </w:pPr>
    </w:p>
    <w:p w14:paraId="6F242CE5" w14:textId="77777777" w:rsidR="0078138E" w:rsidRPr="0078138E" w:rsidRDefault="0078138E" w:rsidP="00701C32">
      <w:pPr>
        <w:ind w:left="851"/>
        <w:rPr>
          <w:sz w:val="24"/>
          <w:szCs w:val="24"/>
          <w:lang w:val="en-GB"/>
        </w:rPr>
      </w:pPr>
      <w:r w:rsidRPr="0078138E">
        <w:rPr>
          <w:sz w:val="24"/>
          <w:szCs w:val="24"/>
          <w:lang w:val="en-GB"/>
        </w:rPr>
        <w:t>Not all pack sizes may be marketed.</w:t>
      </w:r>
    </w:p>
    <w:p w14:paraId="21CEE34C" w14:textId="77777777" w:rsidR="007C5D2A" w:rsidRPr="009B509D" w:rsidRDefault="007C5D2A" w:rsidP="003E0341">
      <w:pPr>
        <w:tabs>
          <w:tab w:val="left" w:pos="851"/>
        </w:tabs>
        <w:ind w:left="851"/>
        <w:rPr>
          <w:sz w:val="24"/>
          <w:szCs w:val="24"/>
          <w:lang w:val="en-GB"/>
        </w:rPr>
      </w:pPr>
    </w:p>
    <w:p w14:paraId="18F29A73" w14:textId="77777777" w:rsidR="007C5D2A" w:rsidRPr="009B509D" w:rsidRDefault="007C5D2A" w:rsidP="007C5D2A">
      <w:pPr>
        <w:ind w:left="851" w:hanging="851"/>
        <w:rPr>
          <w:b/>
          <w:sz w:val="24"/>
          <w:szCs w:val="24"/>
          <w:lang w:val="en-GB"/>
        </w:rPr>
      </w:pPr>
      <w:r w:rsidRPr="009B509D">
        <w:rPr>
          <w:b/>
          <w:sz w:val="24"/>
          <w:szCs w:val="24"/>
          <w:lang w:val="en-GB"/>
        </w:rPr>
        <w:t>6.6</w:t>
      </w:r>
      <w:r w:rsidRPr="009B509D">
        <w:rPr>
          <w:b/>
          <w:sz w:val="24"/>
          <w:szCs w:val="24"/>
          <w:lang w:val="en-GB"/>
        </w:rPr>
        <w:tab/>
        <w:t>Special precautions for disposal and other handling</w:t>
      </w:r>
    </w:p>
    <w:p w14:paraId="4C73BDE8" w14:textId="77777777" w:rsidR="0078138E" w:rsidRPr="0078138E" w:rsidRDefault="0078138E" w:rsidP="00701C32">
      <w:pPr>
        <w:ind w:left="851"/>
        <w:rPr>
          <w:sz w:val="24"/>
          <w:szCs w:val="24"/>
          <w:lang w:val="en-GB"/>
        </w:rPr>
      </w:pPr>
      <w:r w:rsidRPr="0078138E">
        <w:rPr>
          <w:sz w:val="24"/>
          <w:szCs w:val="24"/>
          <w:lang w:val="en-GB"/>
        </w:rPr>
        <w:t>Any unused medicinal product or waste material should be disposed of in accordance with local requirements.</w:t>
      </w:r>
    </w:p>
    <w:p w14:paraId="02F89A1C" w14:textId="77777777" w:rsidR="007C5D2A" w:rsidRPr="009B509D" w:rsidRDefault="007C5D2A" w:rsidP="00AB4376">
      <w:pPr>
        <w:tabs>
          <w:tab w:val="left" w:pos="851"/>
        </w:tabs>
        <w:ind w:left="851"/>
        <w:rPr>
          <w:sz w:val="24"/>
          <w:szCs w:val="24"/>
          <w:lang w:val="en-GB"/>
        </w:rPr>
      </w:pPr>
    </w:p>
    <w:p w14:paraId="163CE37D" w14:textId="77777777" w:rsidR="007C5D2A" w:rsidRPr="009B509D" w:rsidRDefault="007C5D2A" w:rsidP="007C5D2A">
      <w:pPr>
        <w:tabs>
          <w:tab w:val="left" w:pos="851"/>
        </w:tabs>
        <w:ind w:left="851" w:hanging="851"/>
        <w:jc w:val="both"/>
        <w:rPr>
          <w:b/>
          <w:sz w:val="24"/>
          <w:szCs w:val="24"/>
          <w:lang w:val="en-GB"/>
        </w:rPr>
      </w:pPr>
      <w:r w:rsidRPr="009B509D">
        <w:rPr>
          <w:b/>
          <w:sz w:val="24"/>
          <w:szCs w:val="24"/>
          <w:lang w:val="en-GB"/>
        </w:rPr>
        <w:t>7.</w:t>
      </w:r>
      <w:r w:rsidRPr="009B509D">
        <w:rPr>
          <w:b/>
          <w:sz w:val="24"/>
          <w:szCs w:val="24"/>
          <w:lang w:val="en-GB"/>
        </w:rPr>
        <w:tab/>
        <w:t>MARKETING AUTHORISATION HOLDER</w:t>
      </w:r>
    </w:p>
    <w:p w14:paraId="708F147A" w14:textId="77777777" w:rsidR="0078138E" w:rsidRPr="0078138E" w:rsidRDefault="0078138E" w:rsidP="00701C32">
      <w:pPr>
        <w:ind w:left="851"/>
        <w:jc w:val="both"/>
        <w:rPr>
          <w:sz w:val="24"/>
          <w:szCs w:val="24"/>
          <w:lang w:val="en-GB"/>
        </w:rPr>
      </w:pPr>
      <w:r w:rsidRPr="0078138E">
        <w:rPr>
          <w:sz w:val="24"/>
          <w:szCs w:val="24"/>
          <w:lang w:val="en-GB"/>
        </w:rPr>
        <w:t>Sandoz A/S</w:t>
      </w:r>
    </w:p>
    <w:p w14:paraId="3C118E8C" w14:textId="77777777" w:rsidR="0078138E" w:rsidRPr="0078138E" w:rsidRDefault="0078138E" w:rsidP="00701C32">
      <w:pPr>
        <w:ind w:left="851"/>
        <w:jc w:val="both"/>
        <w:rPr>
          <w:sz w:val="24"/>
          <w:szCs w:val="24"/>
          <w:lang w:val="en-GB"/>
        </w:rPr>
      </w:pPr>
      <w:r w:rsidRPr="0078138E">
        <w:rPr>
          <w:sz w:val="24"/>
          <w:szCs w:val="24"/>
          <w:lang w:val="en-GB"/>
        </w:rPr>
        <w:t xml:space="preserve">Edvard </w:t>
      </w:r>
      <w:proofErr w:type="spellStart"/>
      <w:r w:rsidRPr="0078138E">
        <w:rPr>
          <w:sz w:val="24"/>
          <w:szCs w:val="24"/>
          <w:lang w:val="en-GB"/>
        </w:rPr>
        <w:t>Thomsens</w:t>
      </w:r>
      <w:proofErr w:type="spellEnd"/>
      <w:r w:rsidRPr="0078138E">
        <w:rPr>
          <w:sz w:val="24"/>
          <w:szCs w:val="24"/>
          <w:lang w:val="en-GB"/>
        </w:rPr>
        <w:t xml:space="preserve"> Vej 14</w:t>
      </w:r>
    </w:p>
    <w:p w14:paraId="08965F03" w14:textId="77777777" w:rsidR="0078138E" w:rsidRPr="0078138E" w:rsidRDefault="0078138E" w:rsidP="00701C32">
      <w:pPr>
        <w:ind w:left="851"/>
        <w:jc w:val="both"/>
        <w:rPr>
          <w:sz w:val="24"/>
          <w:szCs w:val="24"/>
          <w:lang w:val="en-GB"/>
        </w:rPr>
      </w:pPr>
      <w:r w:rsidRPr="0078138E">
        <w:rPr>
          <w:sz w:val="24"/>
          <w:szCs w:val="24"/>
          <w:lang w:val="en-GB"/>
        </w:rPr>
        <w:t>2300 København S</w:t>
      </w:r>
    </w:p>
    <w:p w14:paraId="7E82FB26" w14:textId="77777777" w:rsidR="008A24F6" w:rsidRPr="009B509D" w:rsidRDefault="008A24F6" w:rsidP="003E0341">
      <w:pPr>
        <w:tabs>
          <w:tab w:val="left" w:pos="851"/>
        </w:tabs>
        <w:ind w:left="851"/>
        <w:jc w:val="both"/>
        <w:rPr>
          <w:sz w:val="24"/>
          <w:szCs w:val="24"/>
          <w:lang w:val="en-GB"/>
        </w:rPr>
      </w:pPr>
    </w:p>
    <w:p w14:paraId="01E9D639" w14:textId="77777777" w:rsidR="007C5D2A" w:rsidRPr="009B509D" w:rsidRDefault="007C5D2A" w:rsidP="007C5D2A">
      <w:pPr>
        <w:ind w:left="851" w:hanging="851"/>
        <w:jc w:val="both"/>
        <w:rPr>
          <w:b/>
          <w:sz w:val="24"/>
          <w:szCs w:val="24"/>
          <w:lang w:val="en-GB"/>
        </w:rPr>
      </w:pPr>
      <w:r w:rsidRPr="009B509D">
        <w:rPr>
          <w:b/>
          <w:sz w:val="24"/>
          <w:szCs w:val="24"/>
          <w:lang w:val="en-GB"/>
        </w:rPr>
        <w:t>8.</w:t>
      </w:r>
      <w:r w:rsidRPr="009B509D">
        <w:rPr>
          <w:b/>
          <w:sz w:val="24"/>
          <w:szCs w:val="24"/>
          <w:lang w:val="en-GB"/>
        </w:rPr>
        <w:tab/>
        <w:t>MARKETING AUTHORISATION NUMBER(S)</w:t>
      </w:r>
    </w:p>
    <w:p w14:paraId="44987311" w14:textId="295F7D99" w:rsidR="0078138E" w:rsidRPr="0078138E" w:rsidRDefault="0078138E" w:rsidP="00D11B9F">
      <w:pPr>
        <w:tabs>
          <w:tab w:val="left" w:pos="851"/>
          <w:tab w:val="left" w:pos="1843"/>
        </w:tabs>
        <w:ind w:left="851"/>
        <w:jc w:val="both"/>
        <w:rPr>
          <w:sz w:val="24"/>
          <w:szCs w:val="24"/>
          <w:lang w:val="en-US"/>
        </w:rPr>
      </w:pPr>
      <w:r w:rsidRPr="0078138E">
        <w:rPr>
          <w:sz w:val="24"/>
          <w:szCs w:val="24"/>
          <w:lang w:val="en-US"/>
        </w:rPr>
        <w:t>5 mg</w:t>
      </w:r>
      <w:proofErr w:type="gramStart"/>
      <w:r w:rsidR="003109BA" w:rsidRPr="009B509D">
        <w:rPr>
          <w:sz w:val="24"/>
          <w:szCs w:val="24"/>
          <w:lang w:val="en-US"/>
        </w:rPr>
        <w:t xml:space="preserve">: </w:t>
      </w:r>
      <w:r w:rsidR="00D11B9F">
        <w:rPr>
          <w:sz w:val="24"/>
          <w:szCs w:val="24"/>
          <w:lang w:val="en-US"/>
        </w:rPr>
        <w:tab/>
      </w:r>
      <w:r w:rsidR="003109BA" w:rsidRPr="009B509D">
        <w:rPr>
          <w:sz w:val="24"/>
          <w:szCs w:val="24"/>
          <w:lang w:val="en-US"/>
        </w:rPr>
        <w:t>73298</w:t>
      </w:r>
      <w:proofErr w:type="gramEnd"/>
    </w:p>
    <w:p w14:paraId="27831B7C" w14:textId="4F6212AD" w:rsidR="0078138E" w:rsidRPr="0078138E" w:rsidRDefault="0078138E" w:rsidP="00D11B9F">
      <w:pPr>
        <w:tabs>
          <w:tab w:val="left" w:pos="851"/>
          <w:tab w:val="left" w:pos="1843"/>
        </w:tabs>
        <w:ind w:left="851"/>
        <w:jc w:val="both"/>
        <w:rPr>
          <w:sz w:val="24"/>
          <w:szCs w:val="24"/>
          <w:lang w:val="en-US"/>
        </w:rPr>
      </w:pPr>
      <w:r w:rsidRPr="0078138E">
        <w:rPr>
          <w:sz w:val="24"/>
          <w:szCs w:val="24"/>
          <w:lang w:val="en-US"/>
        </w:rPr>
        <w:t>10 mg</w:t>
      </w:r>
      <w:proofErr w:type="gramStart"/>
      <w:r w:rsidR="003109BA" w:rsidRPr="009B509D">
        <w:rPr>
          <w:sz w:val="24"/>
          <w:szCs w:val="24"/>
          <w:lang w:val="en-US"/>
        </w:rPr>
        <w:t xml:space="preserve">: </w:t>
      </w:r>
      <w:r w:rsidR="00D11B9F">
        <w:rPr>
          <w:sz w:val="24"/>
          <w:szCs w:val="24"/>
          <w:lang w:val="en-US"/>
        </w:rPr>
        <w:tab/>
      </w:r>
      <w:r w:rsidR="003109BA" w:rsidRPr="009B509D">
        <w:rPr>
          <w:sz w:val="24"/>
          <w:szCs w:val="24"/>
          <w:lang w:val="en-US"/>
        </w:rPr>
        <w:t>73299</w:t>
      </w:r>
      <w:proofErr w:type="gramEnd"/>
    </w:p>
    <w:p w14:paraId="6BC22263" w14:textId="00734441" w:rsidR="0078138E" w:rsidRPr="0078138E" w:rsidRDefault="0078138E" w:rsidP="00D11B9F">
      <w:pPr>
        <w:tabs>
          <w:tab w:val="left" w:pos="851"/>
          <w:tab w:val="left" w:pos="1843"/>
        </w:tabs>
        <w:ind w:left="851"/>
        <w:jc w:val="both"/>
        <w:rPr>
          <w:sz w:val="24"/>
          <w:szCs w:val="24"/>
          <w:lang w:val="en-US"/>
        </w:rPr>
      </w:pPr>
      <w:r w:rsidRPr="0078138E">
        <w:rPr>
          <w:sz w:val="24"/>
          <w:szCs w:val="24"/>
          <w:lang w:val="en-US"/>
        </w:rPr>
        <w:t>15 mg</w:t>
      </w:r>
      <w:proofErr w:type="gramStart"/>
      <w:r w:rsidR="003109BA" w:rsidRPr="009B509D">
        <w:rPr>
          <w:sz w:val="24"/>
          <w:szCs w:val="24"/>
          <w:lang w:val="en-US"/>
        </w:rPr>
        <w:t xml:space="preserve">: </w:t>
      </w:r>
      <w:r w:rsidR="00D11B9F">
        <w:rPr>
          <w:sz w:val="24"/>
          <w:szCs w:val="24"/>
          <w:lang w:val="en-US"/>
        </w:rPr>
        <w:tab/>
      </w:r>
      <w:r w:rsidR="003109BA" w:rsidRPr="009B509D">
        <w:rPr>
          <w:sz w:val="24"/>
          <w:szCs w:val="24"/>
          <w:lang w:val="en-US"/>
        </w:rPr>
        <w:t>73</w:t>
      </w:r>
      <w:r w:rsidR="00E435E5" w:rsidRPr="009B509D">
        <w:rPr>
          <w:sz w:val="24"/>
          <w:szCs w:val="24"/>
          <w:lang w:val="en-US"/>
        </w:rPr>
        <w:t>300</w:t>
      </w:r>
      <w:proofErr w:type="gramEnd"/>
    </w:p>
    <w:p w14:paraId="11AE0E9A" w14:textId="610E1713" w:rsidR="0078138E" w:rsidRPr="0078138E" w:rsidRDefault="0078138E" w:rsidP="00D11B9F">
      <w:pPr>
        <w:tabs>
          <w:tab w:val="left" w:pos="851"/>
          <w:tab w:val="left" w:pos="1843"/>
        </w:tabs>
        <w:ind w:left="851"/>
        <w:jc w:val="both"/>
        <w:rPr>
          <w:sz w:val="24"/>
          <w:szCs w:val="24"/>
          <w:lang w:val="en-US"/>
        </w:rPr>
      </w:pPr>
      <w:r w:rsidRPr="0078138E">
        <w:rPr>
          <w:sz w:val="24"/>
          <w:szCs w:val="24"/>
          <w:lang w:val="en-US"/>
        </w:rPr>
        <w:t>20 mg</w:t>
      </w:r>
      <w:proofErr w:type="gramStart"/>
      <w:r w:rsidR="003109BA" w:rsidRPr="009B509D">
        <w:rPr>
          <w:sz w:val="24"/>
          <w:szCs w:val="24"/>
          <w:lang w:val="en-US"/>
        </w:rPr>
        <w:t xml:space="preserve">: </w:t>
      </w:r>
      <w:r w:rsidR="00D11B9F">
        <w:rPr>
          <w:sz w:val="24"/>
          <w:szCs w:val="24"/>
          <w:lang w:val="en-US"/>
        </w:rPr>
        <w:tab/>
      </w:r>
      <w:r w:rsidR="003109BA" w:rsidRPr="009B509D">
        <w:rPr>
          <w:sz w:val="24"/>
          <w:szCs w:val="24"/>
          <w:lang w:val="en-US"/>
        </w:rPr>
        <w:t>73</w:t>
      </w:r>
      <w:r w:rsidR="00E435E5" w:rsidRPr="009B509D">
        <w:rPr>
          <w:sz w:val="24"/>
          <w:szCs w:val="24"/>
          <w:lang w:val="en-US"/>
        </w:rPr>
        <w:t>301</w:t>
      </w:r>
      <w:proofErr w:type="gramEnd"/>
    </w:p>
    <w:p w14:paraId="647A010F" w14:textId="77777777" w:rsidR="007C5D2A" w:rsidRPr="009B509D" w:rsidRDefault="007C5D2A" w:rsidP="00180A12">
      <w:pPr>
        <w:tabs>
          <w:tab w:val="left" w:pos="851"/>
        </w:tabs>
        <w:ind w:left="851"/>
        <w:jc w:val="both"/>
        <w:rPr>
          <w:sz w:val="24"/>
          <w:szCs w:val="24"/>
          <w:lang w:val="en-GB"/>
        </w:rPr>
      </w:pPr>
    </w:p>
    <w:p w14:paraId="37879455" w14:textId="77777777" w:rsidR="007C5D2A" w:rsidRPr="009B509D" w:rsidRDefault="007C5D2A" w:rsidP="007C5D2A">
      <w:pPr>
        <w:tabs>
          <w:tab w:val="left" w:pos="851"/>
        </w:tabs>
        <w:jc w:val="both"/>
        <w:rPr>
          <w:sz w:val="24"/>
          <w:szCs w:val="24"/>
          <w:lang w:val="en-GB"/>
        </w:rPr>
      </w:pPr>
      <w:r w:rsidRPr="009B509D">
        <w:rPr>
          <w:b/>
          <w:sz w:val="24"/>
          <w:szCs w:val="24"/>
          <w:lang w:val="en-GB"/>
        </w:rPr>
        <w:t>9.</w:t>
      </w:r>
      <w:r w:rsidRPr="009B509D">
        <w:rPr>
          <w:b/>
          <w:sz w:val="24"/>
          <w:szCs w:val="24"/>
          <w:lang w:val="en-GB"/>
        </w:rPr>
        <w:tab/>
        <w:t>DATE OF FIRST AUTHORISATION</w:t>
      </w:r>
    </w:p>
    <w:p w14:paraId="675244B0" w14:textId="125BEF24" w:rsidR="007C5D2A" w:rsidRPr="009B509D" w:rsidRDefault="00873345" w:rsidP="00A85D26">
      <w:pPr>
        <w:ind w:left="851"/>
        <w:jc w:val="both"/>
        <w:rPr>
          <w:sz w:val="24"/>
          <w:szCs w:val="24"/>
          <w:lang w:val="en-GB"/>
        </w:rPr>
      </w:pPr>
      <w:r>
        <w:rPr>
          <w:sz w:val="24"/>
          <w:szCs w:val="24"/>
          <w:lang w:val="en-GB"/>
        </w:rPr>
        <w:t>21 May 2026</w:t>
      </w:r>
    </w:p>
    <w:p w14:paraId="5A21FC89" w14:textId="77777777" w:rsidR="007C5D2A" w:rsidRPr="009B509D" w:rsidRDefault="007C5D2A" w:rsidP="003E0341">
      <w:pPr>
        <w:tabs>
          <w:tab w:val="left" w:pos="851"/>
        </w:tabs>
        <w:ind w:left="851"/>
        <w:jc w:val="both"/>
        <w:rPr>
          <w:sz w:val="24"/>
          <w:szCs w:val="24"/>
          <w:lang w:val="en-GB"/>
        </w:rPr>
      </w:pPr>
    </w:p>
    <w:p w14:paraId="64E2037C" w14:textId="77777777" w:rsidR="007C5D2A" w:rsidRPr="009B509D" w:rsidRDefault="007C5D2A" w:rsidP="007C5D2A">
      <w:pPr>
        <w:tabs>
          <w:tab w:val="left" w:pos="851"/>
        </w:tabs>
        <w:jc w:val="both"/>
        <w:rPr>
          <w:sz w:val="24"/>
          <w:szCs w:val="24"/>
          <w:lang w:val="en-GB"/>
        </w:rPr>
      </w:pPr>
      <w:r w:rsidRPr="009B509D">
        <w:rPr>
          <w:b/>
          <w:sz w:val="24"/>
          <w:szCs w:val="24"/>
          <w:lang w:val="en-GB"/>
        </w:rPr>
        <w:t>10.</w:t>
      </w:r>
      <w:r w:rsidRPr="009B509D">
        <w:rPr>
          <w:b/>
          <w:sz w:val="24"/>
          <w:szCs w:val="24"/>
          <w:lang w:val="en-GB"/>
        </w:rPr>
        <w:tab/>
        <w:t>DATE OF REVISION OF THE TEXT</w:t>
      </w:r>
    </w:p>
    <w:p w14:paraId="4DACA594" w14:textId="554ECD28" w:rsidR="007C5D2A" w:rsidRPr="009B509D" w:rsidRDefault="0078138E" w:rsidP="003E0341">
      <w:pPr>
        <w:tabs>
          <w:tab w:val="left" w:pos="851"/>
        </w:tabs>
        <w:ind w:left="851"/>
        <w:jc w:val="both"/>
        <w:rPr>
          <w:sz w:val="24"/>
          <w:szCs w:val="24"/>
          <w:lang w:val="en-GB"/>
        </w:rPr>
      </w:pPr>
      <w:r w:rsidRPr="009B509D">
        <w:rPr>
          <w:sz w:val="24"/>
          <w:szCs w:val="24"/>
          <w:lang w:val="en-GB"/>
        </w:rPr>
        <w:t>-</w:t>
      </w:r>
    </w:p>
    <w:sectPr w:rsidR="007C5D2A" w:rsidRPr="009B509D" w:rsidSect="004A3BF4">
      <w:headerReference w:type="even" r:id="rId10"/>
      <w:headerReference w:type="default" r:id="rId11"/>
      <w:footerReference w:type="even" r:id="rId12"/>
      <w:footerReference w:type="default" r:id="rId13"/>
      <w:headerReference w:type="first" r:id="rId14"/>
      <w:footerReference w:type="first" r:id="rId15"/>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12124" w14:textId="77777777" w:rsidR="00D23088" w:rsidRDefault="00D23088">
      <w:r>
        <w:separator/>
      </w:r>
    </w:p>
  </w:endnote>
  <w:endnote w:type="continuationSeparator" w:id="0">
    <w:p w14:paraId="75536EBB" w14:textId="77777777" w:rsidR="00D23088" w:rsidRDefault="00D23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9C55" w14:textId="77777777" w:rsidR="00AC033C" w:rsidRDefault="00AC033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BAA6" w14:textId="77777777" w:rsidR="00864538" w:rsidRDefault="00864538">
    <w:pPr>
      <w:pStyle w:val="Sidefod"/>
      <w:pBdr>
        <w:bottom w:val="single" w:sz="6" w:space="1" w:color="auto"/>
      </w:pBdr>
    </w:pPr>
  </w:p>
  <w:p w14:paraId="2D677030" w14:textId="77777777" w:rsidR="00864538" w:rsidRDefault="00864538">
    <w:pPr>
      <w:pStyle w:val="Sidefod"/>
      <w:tabs>
        <w:tab w:val="clear" w:pos="4819"/>
        <w:tab w:val="left" w:pos="8647"/>
      </w:tabs>
      <w:rPr>
        <w:i/>
        <w:snapToGrid w:val="0"/>
        <w:sz w:val="18"/>
      </w:rPr>
    </w:pPr>
  </w:p>
  <w:p w14:paraId="74479AE8" w14:textId="5612F527" w:rsidR="00864538" w:rsidRDefault="00E36A80" w:rsidP="00AC033C">
    <w:pPr>
      <w:pStyle w:val="Sidefod"/>
      <w:tabs>
        <w:tab w:val="clear" w:pos="4819"/>
        <w:tab w:val="left" w:pos="8364"/>
      </w:tabs>
      <w:rPr>
        <w:i/>
        <w:sz w:val="18"/>
      </w:rPr>
    </w:pPr>
    <w:r>
      <w:rPr>
        <w:i/>
        <w:snapToGrid w:val="0"/>
        <w:sz w:val="18"/>
      </w:rPr>
      <w:fldChar w:fldCharType="begin"/>
    </w:r>
    <w:r w:rsidR="00864538">
      <w:rPr>
        <w:i/>
        <w:snapToGrid w:val="0"/>
        <w:sz w:val="18"/>
      </w:rPr>
      <w:instrText xml:space="preserve"> FILENAME </w:instrText>
    </w:r>
    <w:r>
      <w:rPr>
        <w:i/>
        <w:snapToGrid w:val="0"/>
        <w:sz w:val="18"/>
      </w:rPr>
      <w:fldChar w:fldCharType="separate"/>
    </w:r>
    <w:r w:rsidR="00767DC7">
      <w:rPr>
        <w:i/>
        <w:noProof/>
        <w:snapToGrid w:val="0"/>
        <w:sz w:val="18"/>
      </w:rPr>
      <w:t>Ruxolitinib Sandoz, tabletter 5 mg, 10 mg, 15 mg og 20 mg.docx</w:t>
    </w:r>
    <w:r>
      <w:rPr>
        <w:i/>
        <w:snapToGrid w:val="0"/>
        <w:sz w:val="18"/>
      </w:rPr>
      <w:fldChar w:fldCharType="end"/>
    </w:r>
    <w:r w:rsidR="00864538">
      <w:rPr>
        <w:i/>
        <w:snapToGrid w:val="0"/>
        <w:sz w:val="18"/>
      </w:rPr>
      <w:tab/>
      <w:t xml:space="preserve">Page </w:t>
    </w:r>
    <w:r>
      <w:rPr>
        <w:i/>
        <w:snapToGrid w:val="0"/>
        <w:sz w:val="18"/>
      </w:rPr>
      <w:fldChar w:fldCharType="begin"/>
    </w:r>
    <w:r w:rsidR="00864538">
      <w:rPr>
        <w:i/>
        <w:snapToGrid w:val="0"/>
        <w:sz w:val="18"/>
      </w:rPr>
      <w:instrText xml:space="preserve"> PAGE </w:instrText>
    </w:r>
    <w:r>
      <w:rPr>
        <w:i/>
        <w:snapToGrid w:val="0"/>
        <w:sz w:val="18"/>
      </w:rPr>
      <w:fldChar w:fldCharType="separate"/>
    </w:r>
    <w:r w:rsidR="00AC033C">
      <w:rPr>
        <w:i/>
        <w:noProof/>
        <w:snapToGrid w:val="0"/>
        <w:sz w:val="18"/>
      </w:rPr>
      <w:t>1</w:t>
    </w:r>
    <w:r>
      <w:rPr>
        <w:i/>
        <w:snapToGrid w:val="0"/>
        <w:sz w:val="18"/>
      </w:rPr>
      <w:fldChar w:fldCharType="end"/>
    </w:r>
    <w:r w:rsidR="00864538">
      <w:rPr>
        <w:i/>
        <w:snapToGrid w:val="0"/>
        <w:sz w:val="18"/>
      </w:rPr>
      <w:t xml:space="preserve"> of </w:t>
    </w:r>
    <w:r>
      <w:rPr>
        <w:i/>
        <w:snapToGrid w:val="0"/>
        <w:sz w:val="18"/>
      </w:rPr>
      <w:fldChar w:fldCharType="begin"/>
    </w:r>
    <w:r w:rsidR="00864538">
      <w:rPr>
        <w:i/>
        <w:snapToGrid w:val="0"/>
        <w:sz w:val="18"/>
      </w:rPr>
      <w:instrText xml:space="preserve"> NUMPAGES </w:instrText>
    </w:r>
    <w:r>
      <w:rPr>
        <w:i/>
        <w:snapToGrid w:val="0"/>
        <w:sz w:val="18"/>
      </w:rPr>
      <w:fldChar w:fldCharType="separate"/>
    </w:r>
    <w:r w:rsidR="00AC033C">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208E8" w14:textId="77777777" w:rsidR="00864538" w:rsidRDefault="00864538">
    <w:pPr>
      <w:pStyle w:val="Sidefod"/>
      <w:pBdr>
        <w:bottom w:val="single" w:sz="6" w:space="1" w:color="auto"/>
      </w:pBdr>
      <w:tabs>
        <w:tab w:val="clear" w:pos="4819"/>
        <w:tab w:val="left" w:pos="8789"/>
      </w:tabs>
      <w:rPr>
        <w:i/>
        <w:snapToGrid w:val="0"/>
        <w:sz w:val="18"/>
      </w:rPr>
    </w:pPr>
  </w:p>
  <w:p w14:paraId="4ADC9C73" w14:textId="77777777" w:rsidR="00864538" w:rsidRDefault="00864538">
    <w:pPr>
      <w:pStyle w:val="Sidefod"/>
      <w:tabs>
        <w:tab w:val="clear" w:pos="4819"/>
        <w:tab w:val="left" w:pos="8789"/>
      </w:tabs>
      <w:rPr>
        <w:i/>
        <w:snapToGrid w:val="0"/>
        <w:sz w:val="18"/>
      </w:rPr>
    </w:pPr>
  </w:p>
  <w:p w14:paraId="0C6ABE66" w14:textId="179C732B" w:rsidR="00864538" w:rsidRDefault="00E36A80">
    <w:pPr>
      <w:pStyle w:val="Sidefod"/>
      <w:tabs>
        <w:tab w:val="clear" w:pos="4819"/>
        <w:tab w:val="left" w:pos="8647"/>
      </w:tabs>
      <w:rPr>
        <w:i/>
        <w:sz w:val="18"/>
      </w:rPr>
    </w:pPr>
    <w:r>
      <w:rPr>
        <w:i/>
        <w:snapToGrid w:val="0"/>
        <w:sz w:val="18"/>
      </w:rPr>
      <w:fldChar w:fldCharType="begin"/>
    </w:r>
    <w:r w:rsidR="00864538">
      <w:rPr>
        <w:i/>
        <w:snapToGrid w:val="0"/>
        <w:sz w:val="18"/>
      </w:rPr>
      <w:instrText xml:space="preserve"> FILENAME </w:instrText>
    </w:r>
    <w:r>
      <w:rPr>
        <w:i/>
        <w:snapToGrid w:val="0"/>
        <w:sz w:val="18"/>
      </w:rPr>
      <w:fldChar w:fldCharType="separate"/>
    </w:r>
    <w:r w:rsidR="00767DC7">
      <w:rPr>
        <w:i/>
        <w:noProof/>
        <w:snapToGrid w:val="0"/>
        <w:sz w:val="18"/>
      </w:rPr>
      <w:t>Ruxolitinib Sandoz, tabletter 5 mg, 10 mg, 15 mg og 20 mg.docx</w:t>
    </w:r>
    <w:r>
      <w:rPr>
        <w:i/>
        <w:snapToGrid w:val="0"/>
        <w:sz w:val="18"/>
      </w:rPr>
      <w:fldChar w:fldCharType="end"/>
    </w:r>
    <w:r w:rsidR="00864538">
      <w:rPr>
        <w:i/>
        <w:snapToGrid w:val="0"/>
        <w:sz w:val="18"/>
      </w:rPr>
      <w:tab/>
      <w:t xml:space="preserve">Page </w:t>
    </w:r>
    <w:r>
      <w:rPr>
        <w:i/>
        <w:snapToGrid w:val="0"/>
        <w:sz w:val="18"/>
      </w:rPr>
      <w:fldChar w:fldCharType="begin"/>
    </w:r>
    <w:r w:rsidR="00864538">
      <w:rPr>
        <w:i/>
        <w:snapToGrid w:val="0"/>
        <w:sz w:val="18"/>
      </w:rPr>
      <w:instrText xml:space="preserve"> PAGE </w:instrText>
    </w:r>
    <w:r>
      <w:rPr>
        <w:i/>
        <w:snapToGrid w:val="0"/>
        <w:sz w:val="18"/>
      </w:rPr>
      <w:fldChar w:fldCharType="separate"/>
    </w:r>
    <w:r w:rsidR="00D97B77">
      <w:rPr>
        <w:i/>
        <w:noProof/>
        <w:snapToGrid w:val="0"/>
        <w:sz w:val="18"/>
      </w:rPr>
      <w:t>1</w:t>
    </w:r>
    <w:r>
      <w:rPr>
        <w:i/>
        <w:snapToGrid w:val="0"/>
        <w:sz w:val="18"/>
      </w:rPr>
      <w:fldChar w:fldCharType="end"/>
    </w:r>
    <w:r w:rsidR="00864538">
      <w:rPr>
        <w:i/>
        <w:snapToGrid w:val="0"/>
        <w:sz w:val="18"/>
      </w:rPr>
      <w:t xml:space="preserve"> of </w:t>
    </w:r>
    <w:r>
      <w:rPr>
        <w:i/>
        <w:snapToGrid w:val="0"/>
        <w:sz w:val="18"/>
      </w:rPr>
      <w:fldChar w:fldCharType="begin"/>
    </w:r>
    <w:r w:rsidR="00864538">
      <w:rPr>
        <w:i/>
        <w:snapToGrid w:val="0"/>
        <w:sz w:val="18"/>
      </w:rPr>
      <w:instrText xml:space="preserve"> NUMPAGES </w:instrText>
    </w:r>
    <w:r>
      <w:rPr>
        <w:i/>
        <w:snapToGrid w:val="0"/>
        <w:sz w:val="18"/>
      </w:rPr>
      <w:fldChar w:fldCharType="separate"/>
    </w:r>
    <w:r w:rsidR="00E1290F">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D34AB" w14:textId="77777777" w:rsidR="00D23088" w:rsidRDefault="00D23088">
      <w:r>
        <w:separator/>
      </w:r>
    </w:p>
  </w:footnote>
  <w:footnote w:type="continuationSeparator" w:id="0">
    <w:p w14:paraId="051CBF8B" w14:textId="77777777" w:rsidR="00D23088" w:rsidRDefault="00D23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4D9B" w14:textId="77777777" w:rsidR="00AC033C" w:rsidRDefault="00AC033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CDD20" w14:textId="77777777" w:rsidR="00864538" w:rsidRDefault="000D3C9D">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05201" w14:textId="77777777" w:rsidR="00AC033C" w:rsidRDefault="00AC033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9EA58CA"/>
    <w:multiLevelType w:val="hybridMultilevel"/>
    <w:tmpl w:val="9432DE02"/>
    <w:lvl w:ilvl="0" w:tplc="C76AD388">
      <w:numFmt w:val="bullet"/>
      <w:lvlText w:val="•"/>
      <w:lvlJc w:val="left"/>
      <w:pPr>
        <w:ind w:left="1307" w:hanging="456"/>
      </w:pPr>
      <w:rPr>
        <w:rFonts w:ascii="Times New Roman" w:eastAsia="Times New Roman" w:hAnsi="Times New Roman" w:cs="Times New Roman"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4" w15:restartNumberingAfterBreak="0">
    <w:nsid w:val="59CE0AE9"/>
    <w:multiLevelType w:val="hybridMultilevel"/>
    <w:tmpl w:val="8146F7D4"/>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5"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num w:numId="1" w16cid:durableId="258832452">
    <w:abstractNumId w:val="2"/>
  </w:num>
  <w:num w:numId="2" w16cid:durableId="1057515747">
    <w:abstractNumId w:val="0"/>
  </w:num>
  <w:num w:numId="3" w16cid:durableId="1561986793">
    <w:abstractNumId w:val="5"/>
  </w:num>
  <w:num w:numId="4" w16cid:durableId="1544633097">
    <w:abstractNumId w:val="1"/>
  </w:num>
  <w:num w:numId="5" w16cid:durableId="575556805">
    <w:abstractNumId w:val="4"/>
  </w:num>
  <w:num w:numId="6" w16cid:durableId="1459057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088"/>
    <w:rsid w:val="00056601"/>
    <w:rsid w:val="000C3846"/>
    <w:rsid w:val="000C6218"/>
    <w:rsid w:val="000D3C9D"/>
    <w:rsid w:val="000F0D47"/>
    <w:rsid w:val="001242DE"/>
    <w:rsid w:val="00180A12"/>
    <w:rsid w:val="00214331"/>
    <w:rsid w:val="00214CF4"/>
    <w:rsid w:val="00217386"/>
    <w:rsid w:val="00281F03"/>
    <w:rsid w:val="0029458A"/>
    <w:rsid w:val="002A0A70"/>
    <w:rsid w:val="002A1587"/>
    <w:rsid w:val="002B27C5"/>
    <w:rsid w:val="002F16C1"/>
    <w:rsid w:val="002F6D9C"/>
    <w:rsid w:val="00303008"/>
    <w:rsid w:val="003109BA"/>
    <w:rsid w:val="00373B55"/>
    <w:rsid w:val="003D727E"/>
    <w:rsid w:val="003E0341"/>
    <w:rsid w:val="003E3402"/>
    <w:rsid w:val="003F4736"/>
    <w:rsid w:val="00401B49"/>
    <w:rsid w:val="0042292D"/>
    <w:rsid w:val="00437D5B"/>
    <w:rsid w:val="00440254"/>
    <w:rsid w:val="004860D3"/>
    <w:rsid w:val="004A3BF4"/>
    <w:rsid w:val="004A5DB3"/>
    <w:rsid w:val="005152D9"/>
    <w:rsid w:val="00533AD4"/>
    <w:rsid w:val="00534849"/>
    <w:rsid w:val="0053732B"/>
    <w:rsid w:val="00560102"/>
    <w:rsid w:val="00562EA1"/>
    <w:rsid w:val="005A498B"/>
    <w:rsid w:val="005D32B8"/>
    <w:rsid w:val="00617BB8"/>
    <w:rsid w:val="006207FF"/>
    <w:rsid w:val="00680052"/>
    <w:rsid w:val="00683267"/>
    <w:rsid w:val="006844E9"/>
    <w:rsid w:val="006B3847"/>
    <w:rsid w:val="00701C32"/>
    <w:rsid w:val="00727BD8"/>
    <w:rsid w:val="0075453D"/>
    <w:rsid w:val="00762250"/>
    <w:rsid w:val="00767DC7"/>
    <w:rsid w:val="0078138E"/>
    <w:rsid w:val="007A4CC6"/>
    <w:rsid w:val="007C3623"/>
    <w:rsid w:val="007C5D2A"/>
    <w:rsid w:val="007F1E00"/>
    <w:rsid w:val="00827444"/>
    <w:rsid w:val="008400E3"/>
    <w:rsid w:val="00864538"/>
    <w:rsid w:val="00873345"/>
    <w:rsid w:val="00873B4F"/>
    <w:rsid w:val="00882574"/>
    <w:rsid w:val="008A24F6"/>
    <w:rsid w:val="008E51AE"/>
    <w:rsid w:val="008E5F58"/>
    <w:rsid w:val="008F2F8C"/>
    <w:rsid w:val="009925C9"/>
    <w:rsid w:val="009A3149"/>
    <w:rsid w:val="009B509D"/>
    <w:rsid w:val="00A11649"/>
    <w:rsid w:val="00A179D0"/>
    <w:rsid w:val="00A358A3"/>
    <w:rsid w:val="00A37495"/>
    <w:rsid w:val="00A46747"/>
    <w:rsid w:val="00A80446"/>
    <w:rsid w:val="00A85D26"/>
    <w:rsid w:val="00A9153A"/>
    <w:rsid w:val="00AB4376"/>
    <w:rsid w:val="00AC033C"/>
    <w:rsid w:val="00AD2E36"/>
    <w:rsid w:val="00B45DC5"/>
    <w:rsid w:val="00BD3490"/>
    <w:rsid w:val="00C26226"/>
    <w:rsid w:val="00C3571D"/>
    <w:rsid w:val="00C54F0B"/>
    <w:rsid w:val="00C82621"/>
    <w:rsid w:val="00CB1423"/>
    <w:rsid w:val="00D02508"/>
    <w:rsid w:val="00D11B9F"/>
    <w:rsid w:val="00D23088"/>
    <w:rsid w:val="00D778CC"/>
    <w:rsid w:val="00D82FE9"/>
    <w:rsid w:val="00D97B77"/>
    <w:rsid w:val="00DB6A85"/>
    <w:rsid w:val="00E06B32"/>
    <w:rsid w:val="00E1290F"/>
    <w:rsid w:val="00E318A0"/>
    <w:rsid w:val="00E36A80"/>
    <w:rsid w:val="00E435E5"/>
    <w:rsid w:val="00EB21D7"/>
    <w:rsid w:val="00EE3EB7"/>
    <w:rsid w:val="00EF2C0F"/>
    <w:rsid w:val="00F57E16"/>
    <w:rsid w:val="00F60336"/>
    <w:rsid w:val="00F876E9"/>
    <w:rsid w:val="00FD652E"/>
    <w:rsid w:val="00FF685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485A3"/>
  <w15:chartTrackingRefBased/>
  <w15:docId w15:val="{2950492D-6A10-4752-A463-1181479CC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B55"/>
    <w:rPr>
      <w:sz w:val="23"/>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rsid w:val="00373B55"/>
    <w:pPr>
      <w:tabs>
        <w:tab w:val="center" w:pos="4819"/>
        <w:tab w:val="right" w:pos="9638"/>
      </w:tabs>
    </w:pPr>
    <w:rPr>
      <w:sz w:val="24"/>
    </w:rPr>
  </w:style>
  <w:style w:type="paragraph" w:styleId="Sidefod">
    <w:name w:val="footer"/>
    <w:basedOn w:val="Normal"/>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semiHidden/>
    <w:rsid w:val="00873B4F"/>
  </w:style>
  <w:style w:type="character" w:customStyle="1" w:styleId="KommentaremneTegn">
    <w:name w:val="Kommentaremne Tegn"/>
    <w:basedOn w:val="KommentartekstTegn"/>
    <w:link w:val="Kommentaremne"/>
    <w:uiPriority w:val="99"/>
    <w:semiHidden/>
    <w:rsid w:val="00873B4F"/>
    <w:rPr>
      <w:b/>
      <w:bCs/>
    </w:rPr>
  </w:style>
  <w:style w:type="table" w:styleId="Tabel-Gitter">
    <w:name w:val="Table Grid"/>
    <w:basedOn w:val="Tabel-Normal"/>
    <w:uiPriority w:val="59"/>
    <w:rsid w:val="00781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78138E"/>
    <w:rPr>
      <w:color w:val="0563C1" w:themeColor="hyperlink"/>
      <w:u w:val="single"/>
    </w:rPr>
  </w:style>
  <w:style w:type="character" w:styleId="Ulstomtale">
    <w:name w:val="Unresolved Mention"/>
    <w:basedOn w:val="Standardskrifttypeiafsnit"/>
    <w:uiPriority w:val="99"/>
    <w:semiHidden/>
    <w:unhideWhenUsed/>
    <w:rsid w:val="0078138E"/>
    <w:rPr>
      <w:color w:val="605E5C"/>
      <w:shd w:val="clear" w:color="auto" w:fill="E1DFDD"/>
    </w:rPr>
  </w:style>
  <w:style w:type="paragraph" w:styleId="Listeafsnit">
    <w:name w:val="List Paragraph"/>
    <w:basedOn w:val="Normal"/>
    <w:uiPriority w:val="34"/>
    <w:qFormat/>
    <w:rsid w:val="00FF68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4110">
      <w:bodyDiv w:val="1"/>
      <w:marLeft w:val="0"/>
      <w:marRight w:val="0"/>
      <w:marTop w:val="0"/>
      <w:marBottom w:val="0"/>
      <w:divBdr>
        <w:top w:val="none" w:sz="0" w:space="0" w:color="auto"/>
        <w:left w:val="none" w:sz="0" w:space="0" w:color="auto"/>
        <w:bottom w:val="none" w:sz="0" w:space="0" w:color="auto"/>
        <w:right w:val="none" w:sz="0" w:space="0" w:color="auto"/>
      </w:divBdr>
    </w:div>
    <w:div w:id="38363979">
      <w:bodyDiv w:val="1"/>
      <w:marLeft w:val="0"/>
      <w:marRight w:val="0"/>
      <w:marTop w:val="0"/>
      <w:marBottom w:val="0"/>
      <w:divBdr>
        <w:top w:val="none" w:sz="0" w:space="0" w:color="auto"/>
        <w:left w:val="none" w:sz="0" w:space="0" w:color="auto"/>
        <w:bottom w:val="none" w:sz="0" w:space="0" w:color="auto"/>
        <w:right w:val="none" w:sz="0" w:space="0" w:color="auto"/>
      </w:divBdr>
    </w:div>
    <w:div w:id="43067530">
      <w:bodyDiv w:val="1"/>
      <w:marLeft w:val="0"/>
      <w:marRight w:val="0"/>
      <w:marTop w:val="0"/>
      <w:marBottom w:val="0"/>
      <w:divBdr>
        <w:top w:val="none" w:sz="0" w:space="0" w:color="auto"/>
        <w:left w:val="none" w:sz="0" w:space="0" w:color="auto"/>
        <w:bottom w:val="none" w:sz="0" w:space="0" w:color="auto"/>
        <w:right w:val="none" w:sz="0" w:space="0" w:color="auto"/>
      </w:divBdr>
    </w:div>
    <w:div w:id="161893438">
      <w:bodyDiv w:val="1"/>
      <w:marLeft w:val="0"/>
      <w:marRight w:val="0"/>
      <w:marTop w:val="0"/>
      <w:marBottom w:val="0"/>
      <w:divBdr>
        <w:top w:val="none" w:sz="0" w:space="0" w:color="auto"/>
        <w:left w:val="none" w:sz="0" w:space="0" w:color="auto"/>
        <w:bottom w:val="none" w:sz="0" w:space="0" w:color="auto"/>
        <w:right w:val="none" w:sz="0" w:space="0" w:color="auto"/>
      </w:divBdr>
    </w:div>
    <w:div w:id="182942676">
      <w:bodyDiv w:val="1"/>
      <w:marLeft w:val="0"/>
      <w:marRight w:val="0"/>
      <w:marTop w:val="0"/>
      <w:marBottom w:val="0"/>
      <w:divBdr>
        <w:top w:val="none" w:sz="0" w:space="0" w:color="auto"/>
        <w:left w:val="none" w:sz="0" w:space="0" w:color="auto"/>
        <w:bottom w:val="none" w:sz="0" w:space="0" w:color="auto"/>
        <w:right w:val="none" w:sz="0" w:space="0" w:color="auto"/>
      </w:divBdr>
    </w:div>
    <w:div w:id="262686777">
      <w:bodyDiv w:val="1"/>
      <w:marLeft w:val="0"/>
      <w:marRight w:val="0"/>
      <w:marTop w:val="0"/>
      <w:marBottom w:val="0"/>
      <w:divBdr>
        <w:top w:val="none" w:sz="0" w:space="0" w:color="auto"/>
        <w:left w:val="none" w:sz="0" w:space="0" w:color="auto"/>
        <w:bottom w:val="none" w:sz="0" w:space="0" w:color="auto"/>
        <w:right w:val="none" w:sz="0" w:space="0" w:color="auto"/>
      </w:divBdr>
    </w:div>
    <w:div w:id="264962174">
      <w:bodyDiv w:val="1"/>
      <w:marLeft w:val="0"/>
      <w:marRight w:val="0"/>
      <w:marTop w:val="0"/>
      <w:marBottom w:val="0"/>
      <w:divBdr>
        <w:top w:val="none" w:sz="0" w:space="0" w:color="auto"/>
        <w:left w:val="none" w:sz="0" w:space="0" w:color="auto"/>
        <w:bottom w:val="none" w:sz="0" w:space="0" w:color="auto"/>
        <w:right w:val="none" w:sz="0" w:space="0" w:color="auto"/>
      </w:divBdr>
    </w:div>
    <w:div w:id="281503639">
      <w:bodyDiv w:val="1"/>
      <w:marLeft w:val="0"/>
      <w:marRight w:val="0"/>
      <w:marTop w:val="0"/>
      <w:marBottom w:val="0"/>
      <w:divBdr>
        <w:top w:val="none" w:sz="0" w:space="0" w:color="auto"/>
        <w:left w:val="none" w:sz="0" w:space="0" w:color="auto"/>
        <w:bottom w:val="none" w:sz="0" w:space="0" w:color="auto"/>
        <w:right w:val="none" w:sz="0" w:space="0" w:color="auto"/>
      </w:divBdr>
    </w:div>
    <w:div w:id="284310687">
      <w:bodyDiv w:val="1"/>
      <w:marLeft w:val="0"/>
      <w:marRight w:val="0"/>
      <w:marTop w:val="0"/>
      <w:marBottom w:val="0"/>
      <w:divBdr>
        <w:top w:val="none" w:sz="0" w:space="0" w:color="auto"/>
        <w:left w:val="none" w:sz="0" w:space="0" w:color="auto"/>
        <w:bottom w:val="none" w:sz="0" w:space="0" w:color="auto"/>
        <w:right w:val="none" w:sz="0" w:space="0" w:color="auto"/>
      </w:divBdr>
    </w:div>
    <w:div w:id="301347959">
      <w:bodyDiv w:val="1"/>
      <w:marLeft w:val="0"/>
      <w:marRight w:val="0"/>
      <w:marTop w:val="0"/>
      <w:marBottom w:val="0"/>
      <w:divBdr>
        <w:top w:val="none" w:sz="0" w:space="0" w:color="auto"/>
        <w:left w:val="none" w:sz="0" w:space="0" w:color="auto"/>
        <w:bottom w:val="none" w:sz="0" w:space="0" w:color="auto"/>
        <w:right w:val="none" w:sz="0" w:space="0" w:color="auto"/>
      </w:divBdr>
    </w:div>
    <w:div w:id="308368705">
      <w:bodyDiv w:val="1"/>
      <w:marLeft w:val="0"/>
      <w:marRight w:val="0"/>
      <w:marTop w:val="0"/>
      <w:marBottom w:val="0"/>
      <w:divBdr>
        <w:top w:val="none" w:sz="0" w:space="0" w:color="auto"/>
        <w:left w:val="none" w:sz="0" w:space="0" w:color="auto"/>
        <w:bottom w:val="none" w:sz="0" w:space="0" w:color="auto"/>
        <w:right w:val="none" w:sz="0" w:space="0" w:color="auto"/>
      </w:divBdr>
    </w:div>
    <w:div w:id="381514391">
      <w:bodyDiv w:val="1"/>
      <w:marLeft w:val="0"/>
      <w:marRight w:val="0"/>
      <w:marTop w:val="0"/>
      <w:marBottom w:val="0"/>
      <w:divBdr>
        <w:top w:val="none" w:sz="0" w:space="0" w:color="auto"/>
        <w:left w:val="none" w:sz="0" w:space="0" w:color="auto"/>
        <w:bottom w:val="none" w:sz="0" w:space="0" w:color="auto"/>
        <w:right w:val="none" w:sz="0" w:space="0" w:color="auto"/>
      </w:divBdr>
    </w:div>
    <w:div w:id="397290650">
      <w:bodyDiv w:val="1"/>
      <w:marLeft w:val="0"/>
      <w:marRight w:val="0"/>
      <w:marTop w:val="0"/>
      <w:marBottom w:val="0"/>
      <w:divBdr>
        <w:top w:val="none" w:sz="0" w:space="0" w:color="auto"/>
        <w:left w:val="none" w:sz="0" w:space="0" w:color="auto"/>
        <w:bottom w:val="none" w:sz="0" w:space="0" w:color="auto"/>
        <w:right w:val="none" w:sz="0" w:space="0" w:color="auto"/>
      </w:divBdr>
    </w:div>
    <w:div w:id="445928056">
      <w:bodyDiv w:val="1"/>
      <w:marLeft w:val="0"/>
      <w:marRight w:val="0"/>
      <w:marTop w:val="0"/>
      <w:marBottom w:val="0"/>
      <w:divBdr>
        <w:top w:val="none" w:sz="0" w:space="0" w:color="auto"/>
        <w:left w:val="none" w:sz="0" w:space="0" w:color="auto"/>
        <w:bottom w:val="none" w:sz="0" w:space="0" w:color="auto"/>
        <w:right w:val="none" w:sz="0" w:space="0" w:color="auto"/>
      </w:divBdr>
    </w:div>
    <w:div w:id="471364022">
      <w:bodyDiv w:val="1"/>
      <w:marLeft w:val="0"/>
      <w:marRight w:val="0"/>
      <w:marTop w:val="0"/>
      <w:marBottom w:val="0"/>
      <w:divBdr>
        <w:top w:val="none" w:sz="0" w:space="0" w:color="auto"/>
        <w:left w:val="none" w:sz="0" w:space="0" w:color="auto"/>
        <w:bottom w:val="none" w:sz="0" w:space="0" w:color="auto"/>
        <w:right w:val="none" w:sz="0" w:space="0" w:color="auto"/>
      </w:divBdr>
    </w:div>
    <w:div w:id="475875229">
      <w:bodyDiv w:val="1"/>
      <w:marLeft w:val="0"/>
      <w:marRight w:val="0"/>
      <w:marTop w:val="0"/>
      <w:marBottom w:val="0"/>
      <w:divBdr>
        <w:top w:val="none" w:sz="0" w:space="0" w:color="auto"/>
        <w:left w:val="none" w:sz="0" w:space="0" w:color="auto"/>
        <w:bottom w:val="none" w:sz="0" w:space="0" w:color="auto"/>
        <w:right w:val="none" w:sz="0" w:space="0" w:color="auto"/>
      </w:divBdr>
    </w:div>
    <w:div w:id="492381584">
      <w:bodyDiv w:val="1"/>
      <w:marLeft w:val="0"/>
      <w:marRight w:val="0"/>
      <w:marTop w:val="0"/>
      <w:marBottom w:val="0"/>
      <w:divBdr>
        <w:top w:val="none" w:sz="0" w:space="0" w:color="auto"/>
        <w:left w:val="none" w:sz="0" w:space="0" w:color="auto"/>
        <w:bottom w:val="none" w:sz="0" w:space="0" w:color="auto"/>
        <w:right w:val="none" w:sz="0" w:space="0" w:color="auto"/>
      </w:divBdr>
    </w:div>
    <w:div w:id="602341997">
      <w:bodyDiv w:val="1"/>
      <w:marLeft w:val="0"/>
      <w:marRight w:val="0"/>
      <w:marTop w:val="0"/>
      <w:marBottom w:val="0"/>
      <w:divBdr>
        <w:top w:val="none" w:sz="0" w:space="0" w:color="auto"/>
        <w:left w:val="none" w:sz="0" w:space="0" w:color="auto"/>
        <w:bottom w:val="none" w:sz="0" w:space="0" w:color="auto"/>
        <w:right w:val="none" w:sz="0" w:space="0" w:color="auto"/>
      </w:divBdr>
    </w:div>
    <w:div w:id="609554280">
      <w:bodyDiv w:val="1"/>
      <w:marLeft w:val="0"/>
      <w:marRight w:val="0"/>
      <w:marTop w:val="0"/>
      <w:marBottom w:val="0"/>
      <w:divBdr>
        <w:top w:val="none" w:sz="0" w:space="0" w:color="auto"/>
        <w:left w:val="none" w:sz="0" w:space="0" w:color="auto"/>
        <w:bottom w:val="none" w:sz="0" w:space="0" w:color="auto"/>
        <w:right w:val="none" w:sz="0" w:space="0" w:color="auto"/>
      </w:divBdr>
    </w:div>
    <w:div w:id="609972687">
      <w:bodyDiv w:val="1"/>
      <w:marLeft w:val="0"/>
      <w:marRight w:val="0"/>
      <w:marTop w:val="0"/>
      <w:marBottom w:val="0"/>
      <w:divBdr>
        <w:top w:val="none" w:sz="0" w:space="0" w:color="auto"/>
        <w:left w:val="none" w:sz="0" w:space="0" w:color="auto"/>
        <w:bottom w:val="none" w:sz="0" w:space="0" w:color="auto"/>
        <w:right w:val="none" w:sz="0" w:space="0" w:color="auto"/>
      </w:divBdr>
    </w:div>
    <w:div w:id="738556236">
      <w:bodyDiv w:val="1"/>
      <w:marLeft w:val="0"/>
      <w:marRight w:val="0"/>
      <w:marTop w:val="0"/>
      <w:marBottom w:val="0"/>
      <w:divBdr>
        <w:top w:val="none" w:sz="0" w:space="0" w:color="auto"/>
        <w:left w:val="none" w:sz="0" w:space="0" w:color="auto"/>
        <w:bottom w:val="none" w:sz="0" w:space="0" w:color="auto"/>
        <w:right w:val="none" w:sz="0" w:space="0" w:color="auto"/>
      </w:divBdr>
    </w:div>
    <w:div w:id="756748638">
      <w:bodyDiv w:val="1"/>
      <w:marLeft w:val="0"/>
      <w:marRight w:val="0"/>
      <w:marTop w:val="0"/>
      <w:marBottom w:val="0"/>
      <w:divBdr>
        <w:top w:val="none" w:sz="0" w:space="0" w:color="auto"/>
        <w:left w:val="none" w:sz="0" w:space="0" w:color="auto"/>
        <w:bottom w:val="none" w:sz="0" w:space="0" w:color="auto"/>
        <w:right w:val="none" w:sz="0" w:space="0" w:color="auto"/>
      </w:divBdr>
    </w:div>
    <w:div w:id="854423854">
      <w:bodyDiv w:val="1"/>
      <w:marLeft w:val="0"/>
      <w:marRight w:val="0"/>
      <w:marTop w:val="0"/>
      <w:marBottom w:val="0"/>
      <w:divBdr>
        <w:top w:val="none" w:sz="0" w:space="0" w:color="auto"/>
        <w:left w:val="none" w:sz="0" w:space="0" w:color="auto"/>
        <w:bottom w:val="none" w:sz="0" w:space="0" w:color="auto"/>
        <w:right w:val="none" w:sz="0" w:space="0" w:color="auto"/>
      </w:divBdr>
    </w:div>
    <w:div w:id="863439829">
      <w:bodyDiv w:val="1"/>
      <w:marLeft w:val="0"/>
      <w:marRight w:val="0"/>
      <w:marTop w:val="0"/>
      <w:marBottom w:val="0"/>
      <w:divBdr>
        <w:top w:val="none" w:sz="0" w:space="0" w:color="auto"/>
        <w:left w:val="none" w:sz="0" w:space="0" w:color="auto"/>
        <w:bottom w:val="none" w:sz="0" w:space="0" w:color="auto"/>
        <w:right w:val="none" w:sz="0" w:space="0" w:color="auto"/>
      </w:divBdr>
    </w:div>
    <w:div w:id="1002587258">
      <w:bodyDiv w:val="1"/>
      <w:marLeft w:val="0"/>
      <w:marRight w:val="0"/>
      <w:marTop w:val="0"/>
      <w:marBottom w:val="0"/>
      <w:divBdr>
        <w:top w:val="none" w:sz="0" w:space="0" w:color="auto"/>
        <w:left w:val="none" w:sz="0" w:space="0" w:color="auto"/>
        <w:bottom w:val="none" w:sz="0" w:space="0" w:color="auto"/>
        <w:right w:val="none" w:sz="0" w:space="0" w:color="auto"/>
      </w:divBdr>
    </w:div>
    <w:div w:id="1026250905">
      <w:bodyDiv w:val="1"/>
      <w:marLeft w:val="0"/>
      <w:marRight w:val="0"/>
      <w:marTop w:val="0"/>
      <w:marBottom w:val="0"/>
      <w:divBdr>
        <w:top w:val="none" w:sz="0" w:space="0" w:color="auto"/>
        <w:left w:val="none" w:sz="0" w:space="0" w:color="auto"/>
        <w:bottom w:val="none" w:sz="0" w:space="0" w:color="auto"/>
        <w:right w:val="none" w:sz="0" w:space="0" w:color="auto"/>
      </w:divBdr>
    </w:div>
    <w:div w:id="1061057496">
      <w:bodyDiv w:val="1"/>
      <w:marLeft w:val="0"/>
      <w:marRight w:val="0"/>
      <w:marTop w:val="0"/>
      <w:marBottom w:val="0"/>
      <w:divBdr>
        <w:top w:val="none" w:sz="0" w:space="0" w:color="auto"/>
        <w:left w:val="none" w:sz="0" w:space="0" w:color="auto"/>
        <w:bottom w:val="none" w:sz="0" w:space="0" w:color="auto"/>
        <w:right w:val="none" w:sz="0" w:space="0" w:color="auto"/>
      </w:divBdr>
    </w:div>
    <w:div w:id="1088697159">
      <w:bodyDiv w:val="1"/>
      <w:marLeft w:val="0"/>
      <w:marRight w:val="0"/>
      <w:marTop w:val="0"/>
      <w:marBottom w:val="0"/>
      <w:divBdr>
        <w:top w:val="none" w:sz="0" w:space="0" w:color="auto"/>
        <w:left w:val="none" w:sz="0" w:space="0" w:color="auto"/>
        <w:bottom w:val="none" w:sz="0" w:space="0" w:color="auto"/>
        <w:right w:val="none" w:sz="0" w:space="0" w:color="auto"/>
      </w:divBdr>
    </w:div>
    <w:div w:id="1165246116">
      <w:bodyDiv w:val="1"/>
      <w:marLeft w:val="0"/>
      <w:marRight w:val="0"/>
      <w:marTop w:val="0"/>
      <w:marBottom w:val="0"/>
      <w:divBdr>
        <w:top w:val="none" w:sz="0" w:space="0" w:color="auto"/>
        <w:left w:val="none" w:sz="0" w:space="0" w:color="auto"/>
        <w:bottom w:val="none" w:sz="0" w:space="0" w:color="auto"/>
        <w:right w:val="none" w:sz="0" w:space="0" w:color="auto"/>
      </w:divBdr>
    </w:div>
    <w:div w:id="1254821475">
      <w:bodyDiv w:val="1"/>
      <w:marLeft w:val="0"/>
      <w:marRight w:val="0"/>
      <w:marTop w:val="0"/>
      <w:marBottom w:val="0"/>
      <w:divBdr>
        <w:top w:val="none" w:sz="0" w:space="0" w:color="auto"/>
        <w:left w:val="none" w:sz="0" w:space="0" w:color="auto"/>
        <w:bottom w:val="none" w:sz="0" w:space="0" w:color="auto"/>
        <w:right w:val="none" w:sz="0" w:space="0" w:color="auto"/>
      </w:divBdr>
    </w:div>
    <w:div w:id="1270969938">
      <w:bodyDiv w:val="1"/>
      <w:marLeft w:val="0"/>
      <w:marRight w:val="0"/>
      <w:marTop w:val="0"/>
      <w:marBottom w:val="0"/>
      <w:divBdr>
        <w:top w:val="none" w:sz="0" w:space="0" w:color="auto"/>
        <w:left w:val="none" w:sz="0" w:space="0" w:color="auto"/>
        <w:bottom w:val="none" w:sz="0" w:space="0" w:color="auto"/>
        <w:right w:val="none" w:sz="0" w:space="0" w:color="auto"/>
      </w:divBdr>
    </w:div>
    <w:div w:id="1435202882">
      <w:bodyDiv w:val="1"/>
      <w:marLeft w:val="0"/>
      <w:marRight w:val="0"/>
      <w:marTop w:val="0"/>
      <w:marBottom w:val="0"/>
      <w:divBdr>
        <w:top w:val="none" w:sz="0" w:space="0" w:color="auto"/>
        <w:left w:val="none" w:sz="0" w:space="0" w:color="auto"/>
        <w:bottom w:val="none" w:sz="0" w:space="0" w:color="auto"/>
        <w:right w:val="none" w:sz="0" w:space="0" w:color="auto"/>
      </w:divBdr>
    </w:div>
    <w:div w:id="1485001592">
      <w:bodyDiv w:val="1"/>
      <w:marLeft w:val="0"/>
      <w:marRight w:val="0"/>
      <w:marTop w:val="0"/>
      <w:marBottom w:val="0"/>
      <w:divBdr>
        <w:top w:val="none" w:sz="0" w:space="0" w:color="auto"/>
        <w:left w:val="none" w:sz="0" w:space="0" w:color="auto"/>
        <w:bottom w:val="none" w:sz="0" w:space="0" w:color="auto"/>
        <w:right w:val="none" w:sz="0" w:space="0" w:color="auto"/>
      </w:divBdr>
    </w:div>
    <w:div w:id="1645963182">
      <w:bodyDiv w:val="1"/>
      <w:marLeft w:val="0"/>
      <w:marRight w:val="0"/>
      <w:marTop w:val="0"/>
      <w:marBottom w:val="0"/>
      <w:divBdr>
        <w:top w:val="none" w:sz="0" w:space="0" w:color="auto"/>
        <w:left w:val="none" w:sz="0" w:space="0" w:color="auto"/>
        <w:bottom w:val="none" w:sz="0" w:space="0" w:color="auto"/>
        <w:right w:val="none" w:sz="0" w:space="0" w:color="auto"/>
      </w:divBdr>
    </w:div>
    <w:div w:id="1660619198">
      <w:bodyDiv w:val="1"/>
      <w:marLeft w:val="0"/>
      <w:marRight w:val="0"/>
      <w:marTop w:val="0"/>
      <w:marBottom w:val="0"/>
      <w:divBdr>
        <w:top w:val="none" w:sz="0" w:space="0" w:color="auto"/>
        <w:left w:val="none" w:sz="0" w:space="0" w:color="auto"/>
        <w:bottom w:val="none" w:sz="0" w:space="0" w:color="auto"/>
        <w:right w:val="none" w:sz="0" w:space="0" w:color="auto"/>
      </w:divBdr>
    </w:div>
    <w:div w:id="1672759246">
      <w:bodyDiv w:val="1"/>
      <w:marLeft w:val="0"/>
      <w:marRight w:val="0"/>
      <w:marTop w:val="0"/>
      <w:marBottom w:val="0"/>
      <w:divBdr>
        <w:top w:val="none" w:sz="0" w:space="0" w:color="auto"/>
        <w:left w:val="none" w:sz="0" w:space="0" w:color="auto"/>
        <w:bottom w:val="none" w:sz="0" w:space="0" w:color="auto"/>
        <w:right w:val="none" w:sz="0" w:space="0" w:color="auto"/>
      </w:divBdr>
    </w:div>
    <w:div w:id="1713338263">
      <w:bodyDiv w:val="1"/>
      <w:marLeft w:val="0"/>
      <w:marRight w:val="0"/>
      <w:marTop w:val="0"/>
      <w:marBottom w:val="0"/>
      <w:divBdr>
        <w:top w:val="none" w:sz="0" w:space="0" w:color="auto"/>
        <w:left w:val="none" w:sz="0" w:space="0" w:color="auto"/>
        <w:bottom w:val="none" w:sz="0" w:space="0" w:color="auto"/>
        <w:right w:val="none" w:sz="0" w:space="0" w:color="auto"/>
      </w:divBdr>
    </w:div>
    <w:div w:id="1774275700">
      <w:bodyDiv w:val="1"/>
      <w:marLeft w:val="0"/>
      <w:marRight w:val="0"/>
      <w:marTop w:val="0"/>
      <w:marBottom w:val="0"/>
      <w:divBdr>
        <w:top w:val="none" w:sz="0" w:space="0" w:color="auto"/>
        <w:left w:val="none" w:sz="0" w:space="0" w:color="auto"/>
        <w:bottom w:val="none" w:sz="0" w:space="0" w:color="auto"/>
        <w:right w:val="none" w:sz="0" w:space="0" w:color="auto"/>
      </w:divBdr>
    </w:div>
    <w:div w:id="1795445691">
      <w:bodyDiv w:val="1"/>
      <w:marLeft w:val="0"/>
      <w:marRight w:val="0"/>
      <w:marTop w:val="0"/>
      <w:marBottom w:val="0"/>
      <w:divBdr>
        <w:top w:val="none" w:sz="0" w:space="0" w:color="auto"/>
        <w:left w:val="none" w:sz="0" w:space="0" w:color="auto"/>
        <w:bottom w:val="none" w:sz="0" w:space="0" w:color="auto"/>
        <w:right w:val="none" w:sz="0" w:space="0" w:color="auto"/>
      </w:divBdr>
    </w:div>
    <w:div w:id="1815174638">
      <w:bodyDiv w:val="1"/>
      <w:marLeft w:val="0"/>
      <w:marRight w:val="0"/>
      <w:marTop w:val="0"/>
      <w:marBottom w:val="0"/>
      <w:divBdr>
        <w:top w:val="none" w:sz="0" w:space="0" w:color="auto"/>
        <w:left w:val="none" w:sz="0" w:space="0" w:color="auto"/>
        <w:bottom w:val="none" w:sz="0" w:space="0" w:color="auto"/>
        <w:right w:val="none" w:sz="0" w:space="0" w:color="auto"/>
      </w:divBdr>
    </w:div>
    <w:div w:id="1865634965">
      <w:bodyDiv w:val="1"/>
      <w:marLeft w:val="0"/>
      <w:marRight w:val="0"/>
      <w:marTop w:val="0"/>
      <w:marBottom w:val="0"/>
      <w:divBdr>
        <w:top w:val="none" w:sz="0" w:space="0" w:color="auto"/>
        <w:left w:val="none" w:sz="0" w:space="0" w:color="auto"/>
        <w:bottom w:val="none" w:sz="0" w:space="0" w:color="auto"/>
        <w:right w:val="none" w:sz="0" w:space="0" w:color="auto"/>
      </w:divBdr>
    </w:div>
    <w:div w:id="2027057815">
      <w:bodyDiv w:val="1"/>
      <w:marLeft w:val="0"/>
      <w:marRight w:val="0"/>
      <w:marTop w:val="0"/>
      <w:marBottom w:val="0"/>
      <w:divBdr>
        <w:top w:val="none" w:sz="0" w:space="0" w:color="auto"/>
        <w:left w:val="none" w:sz="0" w:space="0" w:color="auto"/>
        <w:bottom w:val="none" w:sz="0" w:space="0" w:color="auto"/>
        <w:right w:val="none" w:sz="0" w:space="0" w:color="auto"/>
      </w:divBdr>
    </w:div>
    <w:div w:id="2095011261">
      <w:bodyDiv w:val="1"/>
      <w:marLeft w:val="0"/>
      <w:marRight w:val="0"/>
      <w:marTop w:val="0"/>
      <w:marBottom w:val="0"/>
      <w:divBdr>
        <w:top w:val="none" w:sz="0" w:space="0" w:color="auto"/>
        <w:left w:val="none" w:sz="0" w:space="0" w:color="auto"/>
        <w:bottom w:val="none" w:sz="0" w:space="0" w:color="auto"/>
        <w:right w:val="none" w:sz="0" w:space="0" w:color="auto"/>
      </w:divBdr>
    </w:div>
    <w:div w:id="212030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006-01-SKB SPC Hum skabelon - engelsk.dotx</Template>
  <TotalTime>79</TotalTime>
  <Pages>40</Pages>
  <Words>15785</Words>
  <Characters>89139</Characters>
  <Application>Microsoft Office Word</Application>
  <DocSecurity>0</DocSecurity>
  <Lines>742</Lines>
  <Paragraphs>209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2025020261, MT</dc:description>
  <cp:lastModifiedBy>Gitte Jørgensen</cp:lastModifiedBy>
  <cp:revision>20</cp:revision>
  <cp:lastPrinted>2006-02-24T09:31:00Z</cp:lastPrinted>
  <dcterms:created xsi:type="dcterms:W3CDTF">2026-05-21T06:49:00Z</dcterms:created>
  <dcterms:modified xsi:type="dcterms:W3CDTF">2026-05-21T11:15:00Z</dcterms:modified>
</cp:coreProperties>
</file>