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9459C" w14:textId="77777777" w:rsidR="009260DE" w:rsidRPr="00C46812" w:rsidRDefault="0021526C" w:rsidP="009260DE">
      <w:pPr>
        <w:rPr>
          <w:sz w:val="24"/>
          <w:szCs w:val="24"/>
        </w:rPr>
      </w:pPr>
      <w:bookmarkStart w:id="0" w:name="_GoBack"/>
      <w:bookmarkEnd w:id="0"/>
      <w:r w:rsidRPr="00C46812">
        <w:rPr>
          <w:noProof/>
          <w:sz w:val="24"/>
          <w:szCs w:val="24"/>
          <w:lang w:eastAsia="da-DK"/>
        </w:rPr>
        <w:drawing>
          <wp:anchor distT="0" distB="0" distL="114300" distR="114300" simplePos="0" relativeHeight="251658240" behindDoc="0" locked="0" layoutInCell="1" allowOverlap="1" wp14:anchorId="25B2FB95" wp14:editId="5E6A5AC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C46812">
        <w:rPr>
          <w:sz w:val="24"/>
          <w:szCs w:val="24"/>
        </w:rPr>
        <w:br w:type="textWrapping" w:clear="all"/>
      </w:r>
    </w:p>
    <w:p w14:paraId="6B8C4160" w14:textId="60D9BFCE" w:rsidR="009260DE" w:rsidRPr="00C46812" w:rsidRDefault="009260DE" w:rsidP="009260DE">
      <w:pPr>
        <w:pStyle w:val="Titel"/>
        <w:tabs>
          <w:tab w:val="right" w:pos="9356"/>
        </w:tabs>
        <w:jc w:val="left"/>
        <w:rPr>
          <w:b w:val="0"/>
          <w:szCs w:val="24"/>
          <w:lang w:eastAsia="en-US"/>
        </w:rPr>
      </w:pPr>
      <w:r w:rsidRPr="00C46812">
        <w:rPr>
          <w:b w:val="0"/>
          <w:szCs w:val="24"/>
          <w:lang w:eastAsia="en-US"/>
        </w:rPr>
        <w:tab/>
      </w:r>
      <w:r w:rsidR="00FD37A0">
        <w:rPr>
          <w:szCs w:val="24"/>
        </w:rPr>
        <w:t>11. juni 2024</w:t>
      </w:r>
    </w:p>
    <w:p w14:paraId="7EB4E865" w14:textId="77777777" w:rsidR="009260DE" w:rsidRPr="00C46812" w:rsidRDefault="009260DE" w:rsidP="009260DE">
      <w:pPr>
        <w:pStyle w:val="Titel"/>
        <w:tabs>
          <w:tab w:val="left" w:pos="8222"/>
        </w:tabs>
        <w:jc w:val="left"/>
        <w:rPr>
          <w:b w:val="0"/>
          <w:szCs w:val="24"/>
        </w:rPr>
      </w:pPr>
    </w:p>
    <w:p w14:paraId="7D4479E0" w14:textId="77777777" w:rsidR="009260DE" w:rsidRPr="00C46812" w:rsidRDefault="009260DE" w:rsidP="009260DE">
      <w:pPr>
        <w:pStyle w:val="Titel"/>
        <w:jc w:val="left"/>
        <w:rPr>
          <w:b w:val="0"/>
          <w:szCs w:val="24"/>
        </w:rPr>
      </w:pPr>
    </w:p>
    <w:p w14:paraId="47048B13" w14:textId="77777777" w:rsidR="009260DE" w:rsidRPr="00C46812" w:rsidRDefault="009260DE" w:rsidP="009260DE">
      <w:pPr>
        <w:pStyle w:val="Titel"/>
        <w:jc w:val="left"/>
        <w:rPr>
          <w:b w:val="0"/>
          <w:szCs w:val="24"/>
        </w:rPr>
      </w:pPr>
    </w:p>
    <w:p w14:paraId="145825C1" w14:textId="77777777" w:rsidR="009260DE" w:rsidRPr="00C46812" w:rsidRDefault="009260DE" w:rsidP="009260DE">
      <w:pPr>
        <w:jc w:val="center"/>
        <w:rPr>
          <w:b/>
          <w:sz w:val="24"/>
          <w:szCs w:val="24"/>
        </w:rPr>
      </w:pPr>
      <w:r w:rsidRPr="00C46812">
        <w:rPr>
          <w:b/>
          <w:sz w:val="24"/>
          <w:szCs w:val="24"/>
        </w:rPr>
        <w:t>PRODUKTRESUMÉ</w:t>
      </w:r>
    </w:p>
    <w:p w14:paraId="14AD2C64" w14:textId="77777777" w:rsidR="009260DE" w:rsidRPr="00C46812" w:rsidRDefault="009260DE" w:rsidP="009260DE">
      <w:pPr>
        <w:jc w:val="center"/>
        <w:rPr>
          <w:b/>
          <w:sz w:val="24"/>
          <w:szCs w:val="24"/>
        </w:rPr>
      </w:pPr>
    </w:p>
    <w:p w14:paraId="528CB28C" w14:textId="77777777" w:rsidR="009260DE" w:rsidRPr="00C46812" w:rsidRDefault="009260DE" w:rsidP="009260DE">
      <w:pPr>
        <w:jc w:val="center"/>
        <w:rPr>
          <w:b/>
          <w:sz w:val="24"/>
          <w:szCs w:val="24"/>
        </w:rPr>
      </w:pPr>
      <w:r w:rsidRPr="00C46812">
        <w:rPr>
          <w:b/>
          <w:sz w:val="24"/>
          <w:szCs w:val="24"/>
        </w:rPr>
        <w:t>for</w:t>
      </w:r>
    </w:p>
    <w:p w14:paraId="7AAA83DD" w14:textId="77777777" w:rsidR="000B058C" w:rsidRPr="00C46812" w:rsidRDefault="000B058C" w:rsidP="009260DE">
      <w:pPr>
        <w:jc w:val="center"/>
        <w:rPr>
          <w:b/>
          <w:sz w:val="24"/>
          <w:szCs w:val="24"/>
        </w:rPr>
      </w:pPr>
    </w:p>
    <w:p w14:paraId="7A91C1C6" w14:textId="30FBDDAF" w:rsidR="009260DE" w:rsidRPr="00C46812" w:rsidRDefault="000D293A" w:rsidP="009260DE">
      <w:pPr>
        <w:jc w:val="center"/>
        <w:rPr>
          <w:b/>
          <w:sz w:val="24"/>
          <w:szCs w:val="24"/>
        </w:rPr>
      </w:pPr>
      <w:proofErr w:type="spellStart"/>
      <w:r w:rsidRPr="00C46812">
        <w:rPr>
          <w:b/>
          <w:sz w:val="24"/>
          <w:szCs w:val="24"/>
        </w:rPr>
        <w:t>Sacrovic</w:t>
      </w:r>
      <w:proofErr w:type="spellEnd"/>
      <w:r w:rsidRPr="00C46812">
        <w:rPr>
          <w:b/>
          <w:sz w:val="24"/>
          <w:szCs w:val="24"/>
        </w:rPr>
        <w:t>, pulver til oral opløsning</w:t>
      </w:r>
    </w:p>
    <w:p w14:paraId="44C3B8F3" w14:textId="77777777" w:rsidR="009260DE" w:rsidRPr="00C46812" w:rsidRDefault="009260DE" w:rsidP="009260DE">
      <w:pPr>
        <w:jc w:val="both"/>
        <w:rPr>
          <w:sz w:val="24"/>
          <w:szCs w:val="24"/>
        </w:rPr>
      </w:pPr>
    </w:p>
    <w:p w14:paraId="239B0B09" w14:textId="77777777" w:rsidR="009260DE" w:rsidRPr="00C46812" w:rsidRDefault="009260DE" w:rsidP="009260DE">
      <w:pPr>
        <w:jc w:val="both"/>
        <w:rPr>
          <w:sz w:val="24"/>
          <w:szCs w:val="24"/>
        </w:rPr>
      </w:pPr>
    </w:p>
    <w:p w14:paraId="0E031A0F" w14:textId="77777777" w:rsidR="009260DE" w:rsidRPr="00C46812" w:rsidRDefault="009260DE" w:rsidP="009260DE">
      <w:pPr>
        <w:tabs>
          <w:tab w:val="left" w:pos="851"/>
        </w:tabs>
        <w:ind w:left="851" w:hanging="851"/>
        <w:rPr>
          <w:b/>
          <w:sz w:val="24"/>
          <w:szCs w:val="24"/>
        </w:rPr>
      </w:pPr>
      <w:r w:rsidRPr="00C46812">
        <w:rPr>
          <w:b/>
          <w:sz w:val="24"/>
          <w:szCs w:val="24"/>
        </w:rPr>
        <w:t>0.</w:t>
      </w:r>
      <w:r w:rsidRPr="00C46812">
        <w:rPr>
          <w:b/>
          <w:sz w:val="24"/>
          <w:szCs w:val="24"/>
        </w:rPr>
        <w:tab/>
        <w:t>D.SP.NR.</w:t>
      </w:r>
    </w:p>
    <w:p w14:paraId="280B775C" w14:textId="52EDD8DF" w:rsidR="009260DE" w:rsidRPr="00C46812" w:rsidRDefault="000D293A" w:rsidP="009260DE">
      <w:pPr>
        <w:tabs>
          <w:tab w:val="left" w:pos="851"/>
        </w:tabs>
        <w:ind w:left="851"/>
        <w:rPr>
          <w:sz w:val="24"/>
          <w:szCs w:val="24"/>
        </w:rPr>
      </w:pPr>
      <w:r w:rsidRPr="00C46812">
        <w:rPr>
          <w:sz w:val="24"/>
          <w:szCs w:val="24"/>
        </w:rPr>
        <w:t>33539</w:t>
      </w:r>
    </w:p>
    <w:p w14:paraId="5AEEC9F4" w14:textId="77777777" w:rsidR="009260DE" w:rsidRPr="00C46812" w:rsidRDefault="009260DE" w:rsidP="009260DE">
      <w:pPr>
        <w:tabs>
          <w:tab w:val="left" w:pos="851"/>
        </w:tabs>
        <w:ind w:left="851"/>
        <w:rPr>
          <w:sz w:val="24"/>
          <w:szCs w:val="24"/>
        </w:rPr>
      </w:pPr>
    </w:p>
    <w:p w14:paraId="15C68510" w14:textId="77777777" w:rsidR="009260DE" w:rsidRPr="00C46812" w:rsidRDefault="009260DE" w:rsidP="009260DE">
      <w:pPr>
        <w:tabs>
          <w:tab w:val="left" w:pos="851"/>
        </w:tabs>
        <w:ind w:left="851" w:hanging="851"/>
        <w:rPr>
          <w:b/>
          <w:sz w:val="24"/>
          <w:szCs w:val="24"/>
        </w:rPr>
      </w:pPr>
      <w:r w:rsidRPr="00C46812">
        <w:rPr>
          <w:b/>
          <w:sz w:val="24"/>
          <w:szCs w:val="24"/>
        </w:rPr>
        <w:t>1.</w:t>
      </w:r>
      <w:r w:rsidRPr="00C46812">
        <w:rPr>
          <w:b/>
          <w:sz w:val="24"/>
          <w:szCs w:val="24"/>
        </w:rPr>
        <w:tab/>
        <w:t>LÆGEMIDLETS NAVN</w:t>
      </w:r>
    </w:p>
    <w:p w14:paraId="7BEB6E1B" w14:textId="6E276B0D" w:rsidR="009260DE" w:rsidRPr="00C46812" w:rsidRDefault="000D293A" w:rsidP="009260DE">
      <w:pPr>
        <w:tabs>
          <w:tab w:val="left" w:pos="851"/>
        </w:tabs>
        <w:ind w:left="851"/>
        <w:rPr>
          <w:sz w:val="24"/>
          <w:szCs w:val="24"/>
        </w:rPr>
      </w:pPr>
      <w:proofErr w:type="spellStart"/>
      <w:r w:rsidRPr="00C46812">
        <w:rPr>
          <w:sz w:val="24"/>
          <w:szCs w:val="24"/>
        </w:rPr>
        <w:t>Sacrovic</w:t>
      </w:r>
      <w:proofErr w:type="spellEnd"/>
    </w:p>
    <w:p w14:paraId="11EC03F6" w14:textId="77777777" w:rsidR="009260DE" w:rsidRPr="00C46812" w:rsidRDefault="009260DE" w:rsidP="009260DE">
      <w:pPr>
        <w:tabs>
          <w:tab w:val="left" w:pos="851"/>
        </w:tabs>
        <w:ind w:left="851"/>
        <w:rPr>
          <w:sz w:val="24"/>
          <w:szCs w:val="24"/>
        </w:rPr>
      </w:pPr>
    </w:p>
    <w:p w14:paraId="2660BB7A" w14:textId="77777777" w:rsidR="009260DE" w:rsidRPr="00C46812" w:rsidRDefault="009260DE" w:rsidP="009260DE">
      <w:pPr>
        <w:tabs>
          <w:tab w:val="left" w:pos="851"/>
        </w:tabs>
        <w:ind w:left="851" w:hanging="851"/>
        <w:rPr>
          <w:b/>
          <w:sz w:val="24"/>
          <w:szCs w:val="24"/>
        </w:rPr>
      </w:pPr>
      <w:r w:rsidRPr="00C46812">
        <w:rPr>
          <w:b/>
          <w:sz w:val="24"/>
          <w:szCs w:val="24"/>
        </w:rPr>
        <w:t>2.</w:t>
      </w:r>
      <w:r w:rsidRPr="00C46812">
        <w:rPr>
          <w:b/>
          <w:sz w:val="24"/>
          <w:szCs w:val="24"/>
        </w:rPr>
        <w:tab/>
        <w:t>KVALITATIV OG KVANTITATIV SAMMENSÆTNING</w:t>
      </w:r>
    </w:p>
    <w:p w14:paraId="2855DD7E" w14:textId="77777777" w:rsidR="00B5263A" w:rsidRPr="00C46812" w:rsidRDefault="00B5263A" w:rsidP="0083539E">
      <w:pPr>
        <w:ind w:left="851"/>
        <w:rPr>
          <w:sz w:val="24"/>
          <w:szCs w:val="24"/>
        </w:rPr>
      </w:pPr>
      <w:r w:rsidRPr="00C46812">
        <w:rPr>
          <w:sz w:val="24"/>
          <w:szCs w:val="24"/>
        </w:rPr>
        <w:t xml:space="preserve">Hvert brev indeholder følgende aktive stoffer: </w:t>
      </w:r>
    </w:p>
    <w:p w14:paraId="011EE380" w14:textId="6AB2CD8E" w:rsidR="00B5263A" w:rsidRPr="008319D0" w:rsidRDefault="00B5263A" w:rsidP="0083539E">
      <w:pPr>
        <w:ind w:left="851"/>
        <w:rPr>
          <w:sz w:val="24"/>
          <w:szCs w:val="24"/>
          <w:lang w:val="en-US"/>
        </w:rPr>
      </w:pPr>
      <w:r w:rsidRPr="008319D0">
        <w:rPr>
          <w:sz w:val="24"/>
          <w:szCs w:val="24"/>
          <w:lang w:val="en-US"/>
        </w:rPr>
        <w:t>Macrogol 3350</w:t>
      </w:r>
      <w:r w:rsidRPr="008319D0">
        <w:rPr>
          <w:sz w:val="24"/>
          <w:szCs w:val="24"/>
          <w:lang w:val="en-US"/>
        </w:rPr>
        <w:tab/>
      </w:r>
      <w:r w:rsidRPr="008319D0">
        <w:rPr>
          <w:sz w:val="24"/>
          <w:szCs w:val="24"/>
          <w:lang w:val="en-US"/>
        </w:rPr>
        <w:tab/>
        <w:t>13,125 g</w:t>
      </w:r>
    </w:p>
    <w:p w14:paraId="190A45DF" w14:textId="6884C0F0" w:rsidR="00B5263A" w:rsidRPr="008319D0" w:rsidRDefault="00B5263A" w:rsidP="0083539E">
      <w:pPr>
        <w:ind w:left="851"/>
        <w:rPr>
          <w:sz w:val="24"/>
          <w:szCs w:val="24"/>
          <w:lang w:val="en-US"/>
        </w:rPr>
      </w:pPr>
      <w:r w:rsidRPr="008319D0">
        <w:rPr>
          <w:sz w:val="24"/>
          <w:szCs w:val="24"/>
          <w:lang w:val="en-US"/>
        </w:rPr>
        <w:t>Natriumchlorid</w:t>
      </w:r>
      <w:r w:rsidRPr="008319D0">
        <w:rPr>
          <w:sz w:val="24"/>
          <w:szCs w:val="24"/>
          <w:lang w:val="en-US"/>
        </w:rPr>
        <w:tab/>
      </w:r>
      <w:r w:rsidRPr="008319D0">
        <w:rPr>
          <w:sz w:val="24"/>
          <w:szCs w:val="24"/>
          <w:lang w:val="en-US"/>
        </w:rPr>
        <w:tab/>
        <w:t>350,7 mg</w:t>
      </w:r>
    </w:p>
    <w:p w14:paraId="3A274179" w14:textId="77777777" w:rsidR="00B5263A" w:rsidRPr="008319D0" w:rsidRDefault="00B5263A" w:rsidP="0083539E">
      <w:pPr>
        <w:ind w:left="851"/>
        <w:rPr>
          <w:sz w:val="24"/>
          <w:szCs w:val="24"/>
          <w:lang w:val="en-US"/>
        </w:rPr>
      </w:pPr>
      <w:r w:rsidRPr="008319D0">
        <w:rPr>
          <w:sz w:val="24"/>
          <w:szCs w:val="24"/>
          <w:lang w:val="en-US"/>
        </w:rPr>
        <w:t>Natriumhydrogencarbonat</w:t>
      </w:r>
      <w:r w:rsidRPr="008319D0">
        <w:rPr>
          <w:sz w:val="24"/>
          <w:szCs w:val="24"/>
          <w:lang w:val="en-US"/>
        </w:rPr>
        <w:tab/>
        <w:t>178,5 mg</w:t>
      </w:r>
    </w:p>
    <w:p w14:paraId="0F078C8C" w14:textId="47EA96CC" w:rsidR="00B5263A" w:rsidRPr="00C46812" w:rsidRDefault="00B5263A" w:rsidP="0083539E">
      <w:pPr>
        <w:ind w:left="851"/>
        <w:rPr>
          <w:sz w:val="24"/>
          <w:szCs w:val="24"/>
        </w:rPr>
      </w:pPr>
      <w:proofErr w:type="spellStart"/>
      <w:r w:rsidRPr="00C46812">
        <w:rPr>
          <w:sz w:val="24"/>
          <w:szCs w:val="24"/>
        </w:rPr>
        <w:t>Kaliumchlorid</w:t>
      </w:r>
      <w:proofErr w:type="spellEnd"/>
      <w:r w:rsidRPr="00C46812">
        <w:rPr>
          <w:sz w:val="24"/>
          <w:szCs w:val="24"/>
        </w:rPr>
        <w:tab/>
      </w:r>
      <w:r w:rsidRPr="00C46812">
        <w:rPr>
          <w:sz w:val="24"/>
          <w:szCs w:val="24"/>
        </w:rPr>
        <w:tab/>
        <w:t>46,6 mg</w:t>
      </w:r>
    </w:p>
    <w:p w14:paraId="2FA7A0E4" w14:textId="77777777" w:rsidR="00B5263A" w:rsidRPr="00C46812" w:rsidRDefault="00B5263A" w:rsidP="0083539E">
      <w:pPr>
        <w:ind w:left="851"/>
        <w:rPr>
          <w:sz w:val="24"/>
          <w:szCs w:val="24"/>
        </w:rPr>
      </w:pPr>
    </w:p>
    <w:p w14:paraId="4CD40FFD" w14:textId="77777777" w:rsidR="00B5263A" w:rsidRPr="00C46812" w:rsidRDefault="00B5263A" w:rsidP="0083539E">
      <w:pPr>
        <w:ind w:left="851"/>
        <w:rPr>
          <w:sz w:val="24"/>
          <w:szCs w:val="24"/>
        </w:rPr>
      </w:pPr>
      <w:r w:rsidRPr="00C46812">
        <w:rPr>
          <w:sz w:val="24"/>
          <w:szCs w:val="24"/>
        </w:rPr>
        <w:t xml:space="preserve">Indholdet af </w:t>
      </w:r>
      <w:proofErr w:type="spellStart"/>
      <w:r w:rsidRPr="00C46812">
        <w:rPr>
          <w:sz w:val="24"/>
          <w:szCs w:val="24"/>
        </w:rPr>
        <w:t>elektrolytioner</w:t>
      </w:r>
      <w:proofErr w:type="spellEnd"/>
      <w:r w:rsidRPr="00C46812">
        <w:rPr>
          <w:sz w:val="24"/>
          <w:szCs w:val="24"/>
        </w:rPr>
        <w:t xml:space="preserve"> pr. brev som 125 ml-opløsning er følgende: </w:t>
      </w:r>
    </w:p>
    <w:p w14:paraId="7E76297C" w14:textId="0DA7E143" w:rsidR="00B5263A" w:rsidRPr="008319D0" w:rsidRDefault="00B5263A" w:rsidP="0083539E">
      <w:pPr>
        <w:ind w:left="851"/>
        <w:rPr>
          <w:sz w:val="24"/>
          <w:szCs w:val="24"/>
          <w:lang w:val="en-US"/>
        </w:rPr>
      </w:pPr>
      <w:r w:rsidRPr="008319D0">
        <w:rPr>
          <w:sz w:val="24"/>
          <w:szCs w:val="24"/>
          <w:lang w:val="en-US"/>
        </w:rPr>
        <w:t>Natrium</w:t>
      </w:r>
      <w:r w:rsidRPr="008319D0">
        <w:rPr>
          <w:sz w:val="24"/>
          <w:szCs w:val="24"/>
          <w:lang w:val="en-US"/>
        </w:rPr>
        <w:tab/>
      </w:r>
      <w:r w:rsidRPr="008319D0">
        <w:rPr>
          <w:sz w:val="24"/>
          <w:szCs w:val="24"/>
          <w:lang w:val="en-US"/>
        </w:rPr>
        <w:tab/>
        <w:t>65 mmol/l</w:t>
      </w:r>
    </w:p>
    <w:p w14:paraId="16226C51" w14:textId="59C8A859" w:rsidR="00B5263A" w:rsidRPr="008319D0" w:rsidRDefault="00B5263A" w:rsidP="0083539E">
      <w:pPr>
        <w:ind w:left="851"/>
        <w:rPr>
          <w:sz w:val="24"/>
          <w:szCs w:val="24"/>
          <w:lang w:val="en-US"/>
        </w:rPr>
      </w:pPr>
      <w:r w:rsidRPr="008319D0">
        <w:rPr>
          <w:sz w:val="24"/>
          <w:szCs w:val="24"/>
          <w:lang w:val="en-US"/>
        </w:rPr>
        <w:t>Chlorid</w:t>
      </w:r>
      <w:r w:rsidRPr="008319D0">
        <w:rPr>
          <w:sz w:val="24"/>
          <w:szCs w:val="24"/>
          <w:lang w:val="en-US"/>
        </w:rPr>
        <w:tab/>
      </w:r>
      <w:r w:rsidRPr="008319D0">
        <w:rPr>
          <w:sz w:val="24"/>
          <w:szCs w:val="24"/>
          <w:lang w:val="en-US"/>
        </w:rPr>
        <w:tab/>
        <w:t>53 mmol/l</w:t>
      </w:r>
    </w:p>
    <w:p w14:paraId="41A2130D" w14:textId="0228D236" w:rsidR="00B5263A" w:rsidRPr="00C46812" w:rsidRDefault="00B5263A" w:rsidP="0083539E">
      <w:pPr>
        <w:ind w:left="851"/>
        <w:rPr>
          <w:sz w:val="24"/>
          <w:szCs w:val="24"/>
        </w:rPr>
      </w:pPr>
      <w:proofErr w:type="spellStart"/>
      <w:r w:rsidRPr="00C46812">
        <w:rPr>
          <w:sz w:val="24"/>
          <w:szCs w:val="24"/>
        </w:rPr>
        <w:t>Hydrogencarbonat</w:t>
      </w:r>
      <w:proofErr w:type="spellEnd"/>
      <w:r w:rsidRPr="00C46812">
        <w:rPr>
          <w:sz w:val="24"/>
          <w:szCs w:val="24"/>
        </w:rPr>
        <w:tab/>
        <w:t>17 mmol/l</w:t>
      </w:r>
    </w:p>
    <w:p w14:paraId="01C1B956" w14:textId="548C5C27" w:rsidR="00B5263A" w:rsidRPr="00C46812" w:rsidRDefault="00B5263A" w:rsidP="0083539E">
      <w:pPr>
        <w:ind w:left="851"/>
        <w:rPr>
          <w:sz w:val="24"/>
          <w:szCs w:val="24"/>
        </w:rPr>
      </w:pPr>
      <w:r w:rsidRPr="00C46812">
        <w:rPr>
          <w:sz w:val="24"/>
          <w:szCs w:val="24"/>
        </w:rPr>
        <w:t>Kalium</w:t>
      </w:r>
      <w:r w:rsidRPr="00C46812">
        <w:rPr>
          <w:sz w:val="24"/>
          <w:szCs w:val="24"/>
        </w:rPr>
        <w:tab/>
      </w:r>
      <w:r w:rsidRPr="00C46812">
        <w:rPr>
          <w:sz w:val="24"/>
          <w:szCs w:val="24"/>
        </w:rPr>
        <w:tab/>
        <w:t>5,4 mmol/l</w:t>
      </w:r>
    </w:p>
    <w:p w14:paraId="7FEFC306" w14:textId="77777777" w:rsidR="00B5263A" w:rsidRPr="00C46812" w:rsidRDefault="00B5263A" w:rsidP="0083539E">
      <w:pPr>
        <w:ind w:left="851"/>
        <w:rPr>
          <w:sz w:val="24"/>
          <w:szCs w:val="24"/>
        </w:rPr>
      </w:pPr>
    </w:p>
    <w:p w14:paraId="2C19B285" w14:textId="77777777" w:rsidR="00B5263A" w:rsidRPr="00C46812" w:rsidRDefault="00B5263A" w:rsidP="0083539E">
      <w:pPr>
        <w:ind w:left="851"/>
        <w:rPr>
          <w:sz w:val="24"/>
          <w:szCs w:val="24"/>
        </w:rPr>
      </w:pPr>
      <w:r w:rsidRPr="00C46812">
        <w:rPr>
          <w:sz w:val="24"/>
          <w:szCs w:val="24"/>
          <w:u w:val="single"/>
        </w:rPr>
        <w:t>Hjælpestoffer med kendt effekt</w:t>
      </w:r>
    </w:p>
    <w:p w14:paraId="70E2741A" w14:textId="77777777" w:rsidR="00B5263A" w:rsidRPr="00C46812" w:rsidRDefault="00B5263A" w:rsidP="0083539E">
      <w:pPr>
        <w:ind w:left="851"/>
        <w:rPr>
          <w:sz w:val="24"/>
          <w:szCs w:val="24"/>
        </w:rPr>
      </w:pPr>
      <w:r w:rsidRPr="00C46812">
        <w:rPr>
          <w:sz w:val="24"/>
          <w:szCs w:val="24"/>
        </w:rPr>
        <w:t>Alle hjælpestoffer er anført under pkt. 6.1.</w:t>
      </w:r>
    </w:p>
    <w:p w14:paraId="21DB2CD3" w14:textId="77777777" w:rsidR="009260DE" w:rsidRPr="00C46812" w:rsidRDefault="009260DE" w:rsidP="009260DE">
      <w:pPr>
        <w:tabs>
          <w:tab w:val="left" w:pos="851"/>
        </w:tabs>
        <w:ind w:left="851"/>
        <w:rPr>
          <w:sz w:val="24"/>
          <w:szCs w:val="24"/>
        </w:rPr>
      </w:pPr>
    </w:p>
    <w:p w14:paraId="705357F1" w14:textId="77777777" w:rsidR="009260DE" w:rsidRPr="00C46812" w:rsidRDefault="009260DE" w:rsidP="009260DE">
      <w:pPr>
        <w:tabs>
          <w:tab w:val="left" w:pos="851"/>
        </w:tabs>
        <w:ind w:left="851" w:hanging="851"/>
        <w:rPr>
          <w:b/>
          <w:sz w:val="24"/>
          <w:szCs w:val="24"/>
        </w:rPr>
      </w:pPr>
      <w:r w:rsidRPr="00C46812">
        <w:rPr>
          <w:b/>
          <w:sz w:val="24"/>
          <w:szCs w:val="24"/>
        </w:rPr>
        <w:t>3.</w:t>
      </w:r>
      <w:r w:rsidRPr="00C46812">
        <w:rPr>
          <w:b/>
          <w:sz w:val="24"/>
          <w:szCs w:val="24"/>
        </w:rPr>
        <w:tab/>
        <w:t>LÆGEMIDDELFORM</w:t>
      </w:r>
    </w:p>
    <w:p w14:paraId="58EF5ACB" w14:textId="77777777" w:rsidR="00B5263A" w:rsidRPr="00C46812" w:rsidRDefault="00B5263A" w:rsidP="0083539E">
      <w:pPr>
        <w:suppressAutoHyphens/>
        <w:ind w:left="851"/>
        <w:outlineLvl w:val="0"/>
        <w:rPr>
          <w:spacing w:val="-3"/>
          <w:sz w:val="24"/>
          <w:szCs w:val="24"/>
        </w:rPr>
      </w:pPr>
      <w:r w:rsidRPr="00C46812">
        <w:rPr>
          <w:spacing w:val="-3"/>
          <w:sz w:val="24"/>
          <w:szCs w:val="24"/>
        </w:rPr>
        <w:t>Pulver til oral opløsning</w:t>
      </w:r>
    </w:p>
    <w:p w14:paraId="717B0FB6" w14:textId="77777777" w:rsidR="00B5263A" w:rsidRPr="00C46812" w:rsidRDefault="00B5263A" w:rsidP="0083539E">
      <w:pPr>
        <w:tabs>
          <w:tab w:val="left" w:pos="-720"/>
        </w:tabs>
        <w:suppressAutoHyphens/>
        <w:ind w:left="851"/>
        <w:rPr>
          <w:sz w:val="24"/>
          <w:szCs w:val="24"/>
        </w:rPr>
      </w:pPr>
      <w:r w:rsidRPr="00C46812">
        <w:rPr>
          <w:sz w:val="24"/>
          <w:szCs w:val="24"/>
        </w:rPr>
        <w:t xml:space="preserve">Hvidt krystallinsk pulver i enkeltdosisbreve </w:t>
      </w:r>
    </w:p>
    <w:p w14:paraId="65927189" w14:textId="77777777" w:rsidR="009260DE" w:rsidRPr="00C46812" w:rsidRDefault="009260DE" w:rsidP="009260DE">
      <w:pPr>
        <w:tabs>
          <w:tab w:val="left" w:pos="851"/>
        </w:tabs>
        <w:ind w:left="851"/>
        <w:rPr>
          <w:sz w:val="24"/>
          <w:szCs w:val="24"/>
        </w:rPr>
      </w:pPr>
    </w:p>
    <w:p w14:paraId="3E1A74AE" w14:textId="77777777" w:rsidR="009260DE" w:rsidRPr="00C46812" w:rsidRDefault="009260DE" w:rsidP="009260DE">
      <w:pPr>
        <w:tabs>
          <w:tab w:val="left" w:pos="851"/>
        </w:tabs>
        <w:ind w:left="851"/>
        <w:rPr>
          <w:sz w:val="24"/>
          <w:szCs w:val="24"/>
        </w:rPr>
      </w:pPr>
    </w:p>
    <w:p w14:paraId="17FAFDDF" w14:textId="77777777" w:rsidR="009260DE" w:rsidRPr="00C46812" w:rsidRDefault="009260DE" w:rsidP="009260DE">
      <w:pPr>
        <w:tabs>
          <w:tab w:val="left" w:pos="851"/>
        </w:tabs>
        <w:ind w:left="851" w:hanging="851"/>
        <w:rPr>
          <w:b/>
          <w:sz w:val="24"/>
          <w:szCs w:val="24"/>
        </w:rPr>
      </w:pPr>
      <w:r w:rsidRPr="00C46812">
        <w:rPr>
          <w:b/>
          <w:sz w:val="24"/>
          <w:szCs w:val="24"/>
        </w:rPr>
        <w:t>4.</w:t>
      </w:r>
      <w:r w:rsidRPr="00C46812">
        <w:rPr>
          <w:b/>
          <w:sz w:val="24"/>
          <w:szCs w:val="24"/>
        </w:rPr>
        <w:tab/>
        <w:t>KLINISKE OPLYSNINGER</w:t>
      </w:r>
    </w:p>
    <w:p w14:paraId="12EA1281" w14:textId="77777777" w:rsidR="009260DE" w:rsidRPr="00C46812" w:rsidRDefault="009260DE" w:rsidP="009260DE">
      <w:pPr>
        <w:tabs>
          <w:tab w:val="left" w:pos="851"/>
        </w:tabs>
        <w:ind w:left="851"/>
        <w:rPr>
          <w:b/>
          <w:sz w:val="24"/>
          <w:szCs w:val="24"/>
        </w:rPr>
      </w:pPr>
    </w:p>
    <w:p w14:paraId="38D4A512" w14:textId="77777777" w:rsidR="009260DE" w:rsidRPr="00C46812" w:rsidRDefault="009260DE" w:rsidP="009260DE">
      <w:pPr>
        <w:tabs>
          <w:tab w:val="left" w:pos="851"/>
        </w:tabs>
        <w:ind w:left="851" w:hanging="851"/>
        <w:rPr>
          <w:b/>
          <w:sz w:val="24"/>
          <w:szCs w:val="24"/>
          <w:u w:val="single"/>
        </w:rPr>
      </w:pPr>
      <w:r w:rsidRPr="00C46812">
        <w:rPr>
          <w:b/>
          <w:sz w:val="24"/>
          <w:szCs w:val="24"/>
        </w:rPr>
        <w:t>4.1</w:t>
      </w:r>
      <w:r w:rsidRPr="00C46812">
        <w:rPr>
          <w:b/>
          <w:sz w:val="24"/>
          <w:szCs w:val="24"/>
        </w:rPr>
        <w:tab/>
        <w:t>Terapeutiske indikationer</w:t>
      </w:r>
    </w:p>
    <w:p w14:paraId="2ABC2D57" w14:textId="5C72A643" w:rsidR="00B5263A" w:rsidRPr="00C46812" w:rsidRDefault="00B5263A" w:rsidP="0081191F">
      <w:pPr>
        <w:tabs>
          <w:tab w:val="left" w:pos="-720"/>
        </w:tabs>
        <w:suppressAutoHyphens/>
        <w:ind w:left="851"/>
        <w:rPr>
          <w:sz w:val="24"/>
          <w:szCs w:val="24"/>
        </w:rPr>
      </w:pPr>
      <w:r w:rsidRPr="00C46812">
        <w:rPr>
          <w:spacing w:val="-3"/>
          <w:sz w:val="24"/>
          <w:szCs w:val="24"/>
        </w:rPr>
        <w:t xml:space="preserve">Til behandling af kronisk obstipation hos voksne og børn over 12 år. </w:t>
      </w:r>
      <w:proofErr w:type="spellStart"/>
      <w:r w:rsidRPr="00C46812">
        <w:rPr>
          <w:spacing w:val="-3"/>
          <w:sz w:val="24"/>
          <w:szCs w:val="24"/>
        </w:rPr>
        <w:t>Sacrovic</w:t>
      </w:r>
      <w:proofErr w:type="spellEnd"/>
      <w:r w:rsidRPr="00C46812">
        <w:rPr>
          <w:spacing w:val="-3"/>
          <w:sz w:val="24"/>
          <w:szCs w:val="24"/>
        </w:rPr>
        <w:t xml:space="preserve"> er også</w:t>
      </w:r>
      <w:r w:rsidR="0081191F" w:rsidRPr="00C46812">
        <w:rPr>
          <w:spacing w:val="-3"/>
          <w:sz w:val="24"/>
          <w:szCs w:val="24"/>
        </w:rPr>
        <w:t xml:space="preserve"> </w:t>
      </w:r>
      <w:r w:rsidRPr="00C46812">
        <w:rPr>
          <w:sz w:val="24"/>
          <w:szCs w:val="24"/>
        </w:rPr>
        <w:t xml:space="preserve">effektiv til opløsning af hård og indeklemt fæces, defineret som refraktær obstipation med ophobning af fæces i </w:t>
      </w:r>
      <w:proofErr w:type="spellStart"/>
      <w:r w:rsidRPr="00C46812">
        <w:rPr>
          <w:sz w:val="24"/>
          <w:szCs w:val="24"/>
        </w:rPr>
        <w:t>rectum</w:t>
      </w:r>
      <w:proofErr w:type="spellEnd"/>
      <w:r w:rsidRPr="00C46812">
        <w:rPr>
          <w:sz w:val="24"/>
          <w:szCs w:val="24"/>
        </w:rPr>
        <w:t xml:space="preserve"> og/eller </w:t>
      </w:r>
      <w:proofErr w:type="spellStart"/>
      <w:r w:rsidRPr="00C46812">
        <w:rPr>
          <w:sz w:val="24"/>
          <w:szCs w:val="24"/>
        </w:rPr>
        <w:t>colon</w:t>
      </w:r>
      <w:proofErr w:type="spellEnd"/>
      <w:r w:rsidRPr="00C46812">
        <w:rPr>
          <w:sz w:val="24"/>
          <w:szCs w:val="24"/>
        </w:rPr>
        <w:t xml:space="preserve"> hos voksne og børn over 12 år.</w:t>
      </w:r>
    </w:p>
    <w:p w14:paraId="777216D8" w14:textId="1B3532EA" w:rsidR="00020035" w:rsidRPr="00C46812" w:rsidRDefault="00020035">
      <w:pPr>
        <w:rPr>
          <w:sz w:val="24"/>
          <w:szCs w:val="24"/>
        </w:rPr>
      </w:pPr>
      <w:r w:rsidRPr="00C46812">
        <w:rPr>
          <w:sz w:val="24"/>
          <w:szCs w:val="24"/>
        </w:rPr>
        <w:br w:type="page"/>
      </w:r>
    </w:p>
    <w:p w14:paraId="62EF0748" w14:textId="77777777" w:rsidR="009260DE" w:rsidRPr="00C46812" w:rsidRDefault="009260DE" w:rsidP="009260DE">
      <w:pPr>
        <w:tabs>
          <w:tab w:val="left" w:pos="851"/>
        </w:tabs>
        <w:ind w:left="851"/>
        <w:rPr>
          <w:sz w:val="24"/>
          <w:szCs w:val="24"/>
        </w:rPr>
      </w:pPr>
    </w:p>
    <w:p w14:paraId="6EE361FD" w14:textId="77777777" w:rsidR="009260DE" w:rsidRPr="00C46812" w:rsidRDefault="009260DE" w:rsidP="009260DE">
      <w:pPr>
        <w:tabs>
          <w:tab w:val="left" w:pos="851"/>
        </w:tabs>
        <w:ind w:left="851" w:hanging="851"/>
        <w:rPr>
          <w:b/>
          <w:sz w:val="24"/>
          <w:szCs w:val="24"/>
        </w:rPr>
      </w:pPr>
      <w:r w:rsidRPr="00C46812">
        <w:rPr>
          <w:b/>
          <w:sz w:val="24"/>
          <w:szCs w:val="24"/>
        </w:rPr>
        <w:t>4.2</w:t>
      </w:r>
      <w:r w:rsidRPr="00C46812">
        <w:rPr>
          <w:b/>
          <w:sz w:val="24"/>
          <w:szCs w:val="24"/>
        </w:rPr>
        <w:tab/>
        <w:t xml:space="preserve">Dosering og </w:t>
      </w:r>
      <w:r w:rsidR="002C1EC0" w:rsidRPr="00C46812">
        <w:rPr>
          <w:b/>
          <w:sz w:val="24"/>
          <w:szCs w:val="24"/>
        </w:rPr>
        <w:t>administration</w:t>
      </w:r>
    </w:p>
    <w:p w14:paraId="590E420B" w14:textId="77777777" w:rsidR="00020035" w:rsidRPr="00C46812" w:rsidRDefault="00020035" w:rsidP="0083539E">
      <w:pPr>
        <w:ind w:left="851"/>
        <w:rPr>
          <w:noProof/>
          <w:sz w:val="24"/>
          <w:szCs w:val="24"/>
        </w:rPr>
      </w:pPr>
    </w:p>
    <w:p w14:paraId="3617A4DC" w14:textId="06F751EA" w:rsidR="00B5263A" w:rsidRPr="00C46812" w:rsidRDefault="00B5263A" w:rsidP="0083539E">
      <w:pPr>
        <w:ind w:left="851"/>
        <w:rPr>
          <w:noProof/>
          <w:sz w:val="24"/>
          <w:szCs w:val="24"/>
          <w:u w:val="single"/>
        </w:rPr>
      </w:pPr>
      <w:r w:rsidRPr="00C46812">
        <w:rPr>
          <w:noProof/>
          <w:sz w:val="24"/>
          <w:szCs w:val="24"/>
          <w:u w:val="single"/>
        </w:rPr>
        <w:t>Dosering</w:t>
      </w:r>
    </w:p>
    <w:p w14:paraId="441C6DDA" w14:textId="77777777" w:rsidR="00B5263A" w:rsidRPr="00C46812" w:rsidRDefault="00B5263A" w:rsidP="0083539E">
      <w:pPr>
        <w:ind w:left="851"/>
        <w:rPr>
          <w:b/>
          <w:sz w:val="24"/>
          <w:szCs w:val="24"/>
        </w:rPr>
      </w:pPr>
    </w:p>
    <w:p w14:paraId="11AF2D8C" w14:textId="77777777" w:rsidR="00B5263A" w:rsidRPr="00C46812" w:rsidRDefault="00B5263A" w:rsidP="0083539E">
      <w:pPr>
        <w:ind w:left="851"/>
        <w:rPr>
          <w:b/>
          <w:sz w:val="24"/>
          <w:szCs w:val="24"/>
        </w:rPr>
      </w:pPr>
      <w:r w:rsidRPr="00C46812">
        <w:rPr>
          <w:b/>
          <w:sz w:val="24"/>
          <w:szCs w:val="24"/>
        </w:rPr>
        <w:t>Kronisk obstipation</w:t>
      </w:r>
    </w:p>
    <w:p w14:paraId="0873162D" w14:textId="77777777" w:rsidR="00B5263A" w:rsidRPr="00C46812" w:rsidRDefault="00B5263A" w:rsidP="0083539E">
      <w:pPr>
        <w:ind w:left="851"/>
        <w:rPr>
          <w:noProof/>
          <w:sz w:val="24"/>
          <w:szCs w:val="24"/>
        </w:rPr>
      </w:pPr>
    </w:p>
    <w:p w14:paraId="4226664F" w14:textId="77777777" w:rsidR="00B5263A" w:rsidRPr="00C46812" w:rsidRDefault="00B5263A" w:rsidP="0083539E">
      <w:pPr>
        <w:ind w:left="851"/>
        <w:rPr>
          <w:sz w:val="24"/>
          <w:szCs w:val="24"/>
        </w:rPr>
      </w:pPr>
      <w:r w:rsidRPr="00C46812">
        <w:rPr>
          <w:sz w:val="24"/>
          <w:szCs w:val="24"/>
        </w:rPr>
        <w:t>Et behandlingsforløb mod obstipation varer normalt ikke længere end 2 uger, men kan om nødvendigt gentages.</w:t>
      </w:r>
    </w:p>
    <w:p w14:paraId="562FB3BF" w14:textId="77777777" w:rsidR="00B5263A" w:rsidRPr="00C46812" w:rsidRDefault="00B5263A" w:rsidP="0083539E">
      <w:pPr>
        <w:ind w:left="851"/>
        <w:rPr>
          <w:noProof/>
          <w:sz w:val="24"/>
          <w:szCs w:val="24"/>
        </w:rPr>
      </w:pPr>
    </w:p>
    <w:p w14:paraId="7F0F986D" w14:textId="77777777" w:rsidR="00B5263A" w:rsidRPr="00C46812" w:rsidRDefault="00B5263A" w:rsidP="0083539E">
      <w:pPr>
        <w:ind w:left="851"/>
        <w:rPr>
          <w:noProof/>
          <w:sz w:val="24"/>
          <w:szCs w:val="24"/>
        </w:rPr>
      </w:pPr>
      <w:r w:rsidRPr="00C46812">
        <w:rPr>
          <w:noProof/>
          <w:sz w:val="24"/>
          <w:szCs w:val="24"/>
        </w:rPr>
        <w:t>Som for alle afføringsmidler anbefales langvarig brug normalt ikke. Langvarig brug kan være nødvendig i plejen af patienter med svær kronisk eller resistent forstoppelse, sekundær til multipel sklerose eller Parkinsons sygdom, eller induceret af regelmæssig forstoppelsesmedicin, især opioider og antimuskarinika.</w:t>
      </w:r>
    </w:p>
    <w:p w14:paraId="145778F9" w14:textId="77777777" w:rsidR="00B5263A" w:rsidRPr="00C46812" w:rsidRDefault="00B5263A" w:rsidP="0083539E">
      <w:pPr>
        <w:ind w:left="851"/>
        <w:rPr>
          <w:i/>
          <w:sz w:val="24"/>
          <w:szCs w:val="24"/>
        </w:rPr>
      </w:pPr>
    </w:p>
    <w:p w14:paraId="7AC8A72B" w14:textId="77777777" w:rsidR="00B5263A" w:rsidRPr="00C46812" w:rsidRDefault="00B5263A" w:rsidP="0083539E">
      <w:pPr>
        <w:ind w:left="851"/>
        <w:rPr>
          <w:sz w:val="24"/>
          <w:szCs w:val="24"/>
        </w:rPr>
      </w:pPr>
      <w:r w:rsidRPr="00C46812">
        <w:rPr>
          <w:i/>
          <w:sz w:val="24"/>
          <w:szCs w:val="24"/>
        </w:rPr>
        <w:t>Voksne, unge og ældre:</w:t>
      </w:r>
      <w:r w:rsidRPr="00C46812">
        <w:rPr>
          <w:sz w:val="24"/>
          <w:szCs w:val="24"/>
        </w:rPr>
        <w:t xml:space="preserve"> 1-3 breve dagligt i opdelte doser efter behov.</w:t>
      </w:r>
    </w:p>
    <w:p w14:paraId="7EC21E18" w14:textId="77777777" w:rsidR="00B5263A" w:rsidRPr="00C46812" w:rsidRDefault="00B5263A" w:rsidP="0083539E">
      <w:pPr>
        <w:ind w:left="851"/>
        <w:rPr>
          <w:sz w:val="24"/>
          <w:szCs w:val="24"/>
        </w:rPr>
      </w:pPr>
    </w:p>
    <w:p w14:paraId="78097A1F" w14:textId="77777777" w:rsidR="00B5263A" w:rsidRPr="00C46812" w:rsidRDefault="00B5263A" w:rsidP="0083539E">
      <w:pPr>
        <w:ind w:left="851"/>
        <w:rPr>
          <w:noProof/>
          <w:sz w:val="24"/>
          <w:szCs w:val="24"/>
        </w:rPr>
      </w:pPr>
      <w:r w:rsidRPr="00C46812">
        <w:rPr>
          <w:sz w:val="24"/>
          <w:szCs w:val="24"/>
        </w:rPr>
        <w:t>Ved længerevarende brug kan dosis justeres til 1 eller 2 breve om dagen.</w:t>
      </w:r>
    </w:p>
    <w:p w14:paraId="613E52FE" w14:textId="77777777" w:rsidR="00B5263A" w:rsidRPr="00C46812" w:rsidRDefault="00B5263A" w:rsidP="0083539E">
      <w:pPr>
        <w:ind w:left="851"/>
        <w:rPr>
          <w:noProof/>
          <w:sz w:val="24"/>
          <w:szCs w:val="24"/>
        </w:rPr>
      </w:pPr>
    </w:p>
    <w:p w14:paraId="2F02C3D9" w14:textId="77777777" w:rsidR="00B5263A" w:rsidRPr="00C46812" w:rsidRDefault="00B5263A" w:rsidP="0083539E">
      <w:pPr>
        <w:ind w:left="851"/>
        <w:rPr>
          <w:noProof/>
          <w:sz w:val="24"/>
          <w:szCs w:val="24"/>
        </w:rPr>
      </w:pPr>
      <w:r w:rsidRPr="00C46812">
        <w:rPr>
          <w:i/>
          <w:noProof/>
          <w:sz w:val="24"/>
          <w:szCs w:val="24"/>
        </w:rPr>
        <w:t>Pædiatrisk population</w:t>
      </w:r>
    </w:p>
    <w:p w14:paraId="1820330D" w14:textId="77777777" w:rsidR="00B5263A" w:rsidRPr="00C46812" w:rsidRDefault="00B5263A" w:rsidP="0083539E">
      <w:pPr>
        <w:ind w:left="851"/>
        <w:rPr>
          <w:noProof/>
          <w:sz w:val="24"/>
          <w:szCs w:val="24"/>
        </w:rPr>
      </w:pPr>
    </w:p>
    <w:p w14:paraId="26533DAF" w14:textId="77777777" w:rsidR="00B5263A" w:rsidRPr="00C46812" w:rsidRDefault="00B5263A" w:rsidP="0083539E">
      <w:pPr>
        <w:ind w:left="851"/>
        <w:rPr>
          <w:sz w:val="24"/>
          <w:szCs w:val="24"/>
        </w:rPr>
      </w:pPr>
      <w:r w:rsidRPr="00C46812">
        <w:rPr>
          <w:i/>
          <w:sz w:val="24"/>
          <w:szCs w:val="24"/>
        </w:rPr>
        <w:t>Børn under 12 år:</w:t>
      </w:r>
      <w:r w:rsidRPr="00C46812">
        <w:rPr>
          <w:sz w:val="24"/>
          <w:szCs w:val="24"/>
        </w:rPr>
        <w:t xml:space="preserve"> Anbefales ikke. Alternativt findes </w:t>
      </w:r>
      <w:proofErr w:type="spellStart"/>
      <w:r w:rsidRPr="00C46812">
        <w:rPr>
          <w:sz w:val="24"/>
          <w:szCs w:val="24"/>
        </w:rPr>
        <w:t>Sacrovic</w:t>
      </w:r>
      <w:proofErr w:type="spellEnd"/>
      <w:r w:rsidRPr="00C46812">
        <w:rPr>
          <w:sz w:val="24"/>
          <w:szCs w:val="24"/>
        </w:rPr>
        <w:t xml:space="preserve"> Junior, pulver til oral opløsning for børn.</w:t>
      </w:r>
    </w:p>
    <w:p w14:paraId="627232BF" w14:textId="77777777" w:rsidR="00B5263A" w:rsidRPr="00C46812" w:rsidRDefault="00B5263A" w:rsidP="0083539E">
      <w:pPr>
        <w:ind w:left="851"/>
        <w:rPr>
          <w:noProof/>
          <w:sz w:val="24"/>
          <w:szCs w:val="24"/>
        </w:rPr>
      </w:pPr>
    </w:p>
    <w:p w14:paraId="5211B0DD" w14:textId="77777777" w:rsidR="00B5263A" w:rsidRPr="00C46812" w:rsidRDefault="00B5263A" w:rsidP="0083539E">
      <w:pPr>
        <w:ind w:left="851"/>
        <w:rPr>
          <w:sz w:val="24"/>
          <w:szCs w:val="24"/>
        </w:rPr>
      </w:pPr>
      <w:r w:rsidRPr="00C46812">
        <w:rPr>
          <w:b/>
          <w:sz w:val="24"/>
          <w:szCs w:val="24"/>
        </w:rPr>
        <w:t xml:space="preserve">Refraktær obstipation </w:t>
      </w:r>
      <w:r w:rsidRPr="00C46812">
        <w:rPr>
          <w:b/>
          <w:sz w:val="24"/>
          <w:szCs w:val="24"/>
        </w:rPr>
        <w:br/>
      </w:r>
      <w:r w:rsidRPr="00C46812">
        <w:rPr>
          <w:sz w:val="24"/>
          <w:szCs w:val="24"/>
        </w:rPr>
        <w:t xml:space="preserve">Et behandlingsforløb mod hård og indeklemt fæces varer normalt ikke længere end 3 dage. </w:t>
      </w:r>
    </w:p>
    <w:p w14:paraId="0BBAE235" w14:textId="77777777" w:rsidR="00B5263A" w:rsidRPr="00C46812" w:rsidRDefault="00B5263A" w:rsidP="0083539E">
      <w:pPr>
        <w:ind w:left="851"/>
        <w:rPr>
          <w:sz w:val="24"/>
          <w:szCs w:val="24"/>
        </w:rPr>
      </w:pPr>
    </w:p>
    <w:p w14:paraId="1B84CF84" w14:textId="77777777" w:rsidR="00B5263A" w:rsidRPr="00C46812" w:rsidRDefault="00B5263A" w:rsidP="0083539E">
      <w:pPr>
        <w:ind w:left="851"/>
        <w:rPr>
          <w:sz w:val="24"/>
          <w:szCs w:val="24"/>
        </w:rPr>
      </w:pPr>
      <w:r w:rsidRPr="00C46812">
        <w:rPr>
          <w:i/>
          <w:sz w:val="24"/>
          <w:szCs w:val="24"/>
        </w:rPr>
        <w:t>Voksne, unge og ældre:</w:t>
      </w:r>
      <w:r w:rsidRPr="00C46812">
        <w:rPr>
          <w:sz w:val="24"/>
          <w:szCs w:val="24"/>
        </w:rPr>
        <w:t xml:space="preserve"> 8 breve dagligt, som alle bør indtages inden for et tidsrum på 6 timer. </w:t>
      </w:r>
    </w:p>
    <w:p w14:paraId="5119C0A3" w14:textId="77777777" w:rsidR="00B5263A" w:rsidRPr="00C46812" w:rsidRDefault="00B5263A" w:rsidP="0083539E">
      <w:pPr>
        <w:ind w:left="851"/>
        <w:rPr>
          <w:sz w:val="24"/>
          <w:szCs w:val="24"/>
        </w:rPr>
      </w:pPr>
    </w:p>
    <w:p w14:paraId="64000434" w14:textId="77777777" w:rsidR="00B5263A" w:rsidRPr="00C46812" w:rsidRDefault="00B5263A" w:rsidP="0083539E">
      <w:pPr>
        <w:ind w:left="851"/>
        <w:rPr>
          <w:noProof/>
          <w:sz w:val="24"/>
          <w:szCs w:val="24"/>
        </w:rPr>
      </w:pPr>
      <w:r w:rsidRPr="00C46812">
        <w:rPr>
          <w:i/>
          <w:noProof/>
          <w:sz w:val="24"/>
          <w:szCs w:val="24"/>
        </w:rPr>
        <w:t>Pædiatrisk population</w:t>
      </w:r>
    </w:p>
    <w:p w14:paraId="6FAE3AAB" w14:textId="77777777" w:rsidR="00B5263A" w:rsidRPr="00C46812" w:rsidRDefault="00B5263A" w:rsidP="0083539E">
      <w:pPr>
        <w:ind w:left="851"/>
        <w:rPr>
          <w:sz w:val="24"/>
          <w:szCs w:val="24"/>
        </w:rPr>
      </w:pPr>
    </w:p>
    <w:p w14:paraId="0A0DB506" w14:textId="77777777" w:rsidR="00B5263A" w:rsidRPr="00C46812" w:rsidRDefault="00B5263A" w:rsidP="0083539E">
      <w:pPr>
        <w:ind w:left="851"/>
        <w:rPr>
          <w:sz w:val="24"/>
          <w:szCs w:val="24"/>
        </w:rPr>
      </w:pPr>
      <w:r w:rsidRPr="00C46812">
        <w:rPr>
          <w:i/>
          <w:sz w:val="24"/>
          <w:szCs w:val="24"/>
        </w:rPr>
        <w:t>Børn under 12 år:</w:t>
      </w:r>
      <w:r w:rsidRPr="00C46812">
        <w:rPr>
          <w:sz w:val="24"/>
          <w:szCs w:val="24"/>
        </w:rPr>
        <w:t xml:space="preserve"> Anbefales ikke. Alternativt findes </w:t>
      </w:r>
      <w:proofErr w:type="spellStart"/>
      <w:r w:rsidRPr="00C46812">
        <w:rPr>
          <w:sz w:val="24"/>
          <w:szCs w:val="24"/>
        </w:rPr>
        <w:t>Sacrovic</w:t>
      </w:r>
      <w:proofErr w:type="spellEnd"/>
      <w:r w:rsidRPr="00C46812">
        <w:rPr>
          <w:sz w:val="24"/>
          <w:szCs w:val="24"/>
        </w:rPr>
        <w:t xml:space="preserve"> Junior, pulver til oral opløsning for børn.</w:t>
      </w:r>
    </w:p>
    <w:p w14:paraId="4AE6673E" w14:textId="77777777" w:rsidR="00B5263A" w:rsidRPr="00C46812" w:rsidRDefault="00B5263A" w:rsidP="0083539E">
      <w:pPr>
        <w:ind w:left="851"/>
        <w:rPr>
          <w:noProof/>
          <w:sz w:val="24"/>
          <w:szCs w:val="24"/>
        </w:rPr>
      </w:pPr>
    </w:p>
    <w:p w14:paraId="04139AFB" w14:textId="77777777" w:rsidR="00B5263A" w:rsidRPr="00C46812" w:rsidRDefault="00B5263A" w:rsidP="0083539E">
      <w:pPr>
        <w:ind w:left="851"/>
        <w:rPr>
          <w:sz w:val="24"/>
          <w:szCs w:val="24"/>
        </w:rPr>
      </w:pPr>
      <w:r w:rsidRPr="00C46812">
        <w:rPr>
          <w:b/>
          <w:bCs/>
          <w:iCs/>
          <w:sz w:val="24"/>
          <w:szCs w:val="24"/>
        </w:rPr>
        <w:t xml:space="preserve">Patienter med nedsat </w:t>
      </w:r>
      <w:proofErr w:type="spellStart"/>
      <w:r w:rsidRPr="00C46812">
        <w:rPr>
          <w:b/>
          <w:bCs/>
          <w:iCs/>
          <w:sz w:val="24"/>
          <w:szCs w:val="24"/>
        </w:rPr>
        <w:t>kardiovaskulær</w:t>
      </w:r>
      <w:proofErr w:type="spellEnd"/>
      <w:r w:rsidRPr="00C46812">
        <w:rPr>
          <w:b/>
          <w:bCs/>
          <w:iCs/>
          <w:sz w:val="24"/>
          <w:szCs w:val="24"/>
        </w:rPr>
        <w:t xml:space="preserve"> funktion: </w:t>
      </w:r>
      <w:r w:rsidRPr="00C46812">
        <w:rPr>
          <w:sz w:val="24"/>
          <w:szCs w:val="24"/>
        </w:rPr>
        <w:t xml:space="preserve">Til behandling af hård og indeklemt fæces skal dosis opdeles, så der ikke tages mere end 2 breve i timen. </w:t>
      </w:r>
    </w:p>
    <w:p w14:paraId="7F2D4068" w14:textId="77777777" w:rsidR="00B5263A" w:rsidRPr="00C46812" w:rsidRDefault="00B5263A" w:rsidP="0083539E">
      <w:pPr>
        <w:ind w:left="851"/>
        <w:rPr>
          <w:sz w:val="24"/>
          <w:szCs w:val="24"/>
        </w:rPr>
      </w:pPr>
    </w:p>
    <w:p w14:paraId="060CE2F3" w14:textId="77777777" w:rsidR="00B5263A" w:rsidRPr="00C46812" w:rsidRDefault="00B5263A" w:rsidP="0083539E">
      <w:pPr>
        <w:ind w:left="851"/>
        <w:rPr>
          <w:sz w:val="24"/>
          <w:szCs w:val="24"/>
        </w:rPr>
      </w:pPr>
      <w:r w:rsidRPr="00C46812">
        <w:rPr>
          <w:b/>
          <w:bCs/>
          <w:iCs/>
          <w:sz w:val="24"/>
          <w:szCs w:val="24"/>
        </w:rPr>
        <w:t>Patienter med nyreinsufficiens:</w:t>
      </w:r>
      <w:r w:rsidRPr="00C46812">
        <w:rPr>
          <w:sz w:val="24"/>
          <w:szCs w:val="24"/>
        </w:rPr>
        <w:t xml:space="preserve"> Dosisjustering er ikke nødvendig ved behandling af obstipation eller hård og indeklemt fæces. </w:t>
      </w:r>
    </w:p>
    <w:p w14:paraId="376B3FD9" w14:textId="77777777" w:rsidR="00B5263A" w:rsidRPr="00C46812" w:rsidRDefault="00B5263A" w:rsidP="0083539E">
      <w:pPr>
        <w:ind w:left="851"/>
        <w:rPr>
          <w:noProof/>
          <w:sz w:val="24"/>
          <w:szCs w:val="24"/>
        </w:rPr>
      </w:pPr>
    </w:p>
    <w:p w14:paraId="287D2AD2" w14:textId="77777777" w:rsidR="00B5263A" w:rsidRPr="00C46812" w:rsidRDefault="00B5263A" w:rsidP="0083539E">
      <w:pPr>
        <w:ind w:left="851"/>
        <w:rPr>
          <w:sz w:val="24"/>
          <w:szCs w:val="24"/>
          <w:u w:val="single"/>
        </w:rPr>
      </w:pPr>
      <w:r w:rsidRPr="00C46812">
        <w:rPr>
          <w:sz w:val="24"/>
          <w:szCs w:val="24"/>
          <w:u w:val="single"/>
        </w:rPr>
        <w:t>Administration</w:t>
      </w:r>
    </w:p>
    <w:p w14:paraId="64E07C99" w14:textId="77777777" w:rsidR="00B5263A" w:rsidRPr="00C46812" w:rsidRDefault="00B5263A" w:rsidP="0083539E">
      <w:pPr>
        <w:ind w:left="851"/>
        <w:rPr>
          <w:sz w:val="24"/>
          <w:szCs w:val="24"/>
        </w:rPr>
      </w:pPr>
      <w:r w:rsidRPr="00C46812">
        <w:rPr>
          <w:sz w:val="24"/>
          <w:szCs w:val="24"/>
        </w:rPr>
        <w:t>Hvert brev skal opløses i 125 ml vand. Ved anvendelse mod hård og indeklemt fæces kan 8 breve opløses i 1 liter vand.</w:t>
      </w:r>
    </w:p>
    <w:p w14:paraId="57A469F9" w14:textId="77777777" w:rsidR="009260DE" w:rsidRPr="00C46812" w:rsidRDefault="009260DE" w:rsidP="009260DE">
      <w:pPr>
        <w:tabs>
          <w:tab w:val="left" w:pos="851"/>
        </w:tabs>
        <w:ind w:left="851"/>
        <w:rPr>
          <w:sz w:val="24"/>
          <w:szCs w:val="24"/>
        </w:rPr>
      </w:pPr>
    </w:p>
    <w:p w14:paraId="59825D02" w14:textId="77777777" w:rsidR="009260DE" w:rsidRPr="00C46812" w:rsidRDefault="009260DE" w:rsidP="009260DE">
      <w:pPr>
        <w:tabs>
          <w:tab w:val="left" w:pos="851"/>
        </w:tabs>
        <w:ind w:left="851" w:hanging="851"/>
        <w:rPr>
          <w:b/>
          <w:sz w:val="24"/>
          <w:szCs w:val="24"/>
        </w:rPr>
      </w:pPr>
      <w:r w:rsidRPr="00C46812">
        <w:rPr>
          <w:b/>
          <w:sz w:val="24"/>
          <w:szCs w:val="24"/>
        </w:rPr>
        <w:t>4.3</w:t>
      </w:r>
      <w:r w:rsidRPr="00C46812">
        <w:rPr>
          <w:b/>
          <w:sz w:val="24"/>
          <w:szCs w:val="24"/>
        </w:rPr>
        <w:tab/>
        <w:t>Kontraindikationer</w:t>
      </w:r>
    </w:p>
    <w:p w14:paraId="0992DD68" w14:textId="77777777" w:rsidR="00B5263A" w:rsidRPr="00C46812" w:rsidRDefault="00B5263A" w:rsidP="0083539E">
      <w:pPr>
        <w:ind w:left="851"/>
        <w:rPr>
          <w:sz w:val="24"/>
          <w:szCs w:val="24"/>
        </w:rPr>
      </w:pPr>
      <w:proofErr w:type="spellStart"/>
      <w:r w:rsidRPr="00C46812">
        <w:rPr>
          <w:sz w:val="24"/>
          <w:szCs w:val="24"/>
        </w:rPr>
        <w:t>Intestinal</w:t>
      </w:r>
      <w:proofErr w:type="spellEnd"/>
      <w:r w:rsidRPr="00C46812">
        <w:rPr>
          <w:sz w:val="24"/>
          <w:szCs w:val="24"/>
        </w:rPr>
        <w:t xml:space="preserve"> perforation eller obstruktion som følge af strukturelle eller funktionelle lidelser i tarmvæggen, </w:t>
      </w:r>
      <w:proofErr w:type="spellStart"/>
      <w:r w:rsidRPr="00C46812">
        <w:rPr>
          <w:sz w:val="24"/>
          <w:szCs w:val="24"/>
        </w:rPr>
        <w:t>ileus</w:t>
      </w:r>
      <w:proofErr w:type="spellEnd"/>
      <w:r w:rsidRPr="00C46812">
        <w:rPr>
          <w:sz w:val="24"/>
          <w:szCs w:val="24"/>
        </w:rPr>
        <w:t xml:space="preserve">, svære inflammatoriske tilstande i tarmkanalen, såsom </w:t>
      </w:r>
      <w:proofErr w:type="spellStart"/>
      <w:r w:rsidRPr="00C46812">
        <w:rPr>
          <w:sz w:val="24"/>
          <w:szCs w:val="24"/>
        </w:rPr>
        <w:t>Crohns</w:t>
      </w:r>
      <w:proofErr w:type="spellEnd"/>
      <w:r w:rsidRPr="00C46812">
        <w:rPr>
          <w:sz w:val="24"/>
          <w:szCs w:val="24"/>
        </w:rPr>
        <w:t xml:space="preserve"> sygdom, colitis </w:t>
      </w:r>
      <w:proofErr w:type="spellStart"/>
      <w:r w:rsidRPr="00C46812">
        <w:rPr>
          <w:sz w:val="24"/>
          <w:szCs w:val="24"/>
        </w:rPr>
        <w:t>ulcerosa</w:t>
      </w:r>
      <w:proofErr w:type="spellEnd"/>
      <w:r w:rsidRPr="00C46812">
        <w:rPr>
          <w:sz w:val="24"/>
          <w:szCs w:val="24"/>
        </w:rPr>
        <w:t xml:space="preserve"> og toksisk </w:t>
      </w:r>
      <w:proofErr w:type="spellStart"/>
      <w:r w:rsidRPr="00C46812">
        <w:rPr>
          <w:sz w:val="24"/>
          <w:szCs w:val="24"/>
        </w:rPr>
        <w:t>megacolon</w:t>
      </w:r>
      <w:proofErr w:type="spellEnd"/>
      <w:r w:rsidRPr="00C46812">
        <w:rPr>
          <w:sz w:val="24"/>
          <w:szCs w:val="24"/>
        </w:rPr>
        <w:t xml:space="preserve">. </w:t>
      </w:r>
    </w:p>
    <w:p w14:paraId="624483B8" w14:textId="77777777" w:rsidR="00B5263A" w:rsidRPr="00C46812" w:rsidRDefault="00B5263A" w:rsidP="0083539E">
      <w:pPr>
        <w:ind w:left="851"/>
        <w:rPr>
          <w:sz w:val="24"/>
          <w:szCs w:val="24"/>
        </w:rPr>
      </w:pPr>
    </w:p>
    <w:p w14:paraId="797E18BC" w14:textId="77777777" w:rsidR="00B5263A" w:rsidRPr="00C46812" w:rsidRDefault="00B5263A" w:rsidP="0083539E">
      <w:pPr>
        <w:ind w:left="851"/>
        <w:rPr>
          <w:sz w:val="24"/>
          <w:szCs w:val="24"/>
        </w:rPr>
      </w:pPr>
      <w:r w:rsidRPr="00C46812">
        <w:rPr>
          <w:sz w:val="24"/>
          <w:szCs w:val="24"/>
        </w:rPr>
        <w:lastRenderedPageBreak/>
        <w:t>Overfølsomhed over for de aktive stoffer eller over for et eller flere af hjælpestofferne anført i pkt. 6.1.</w:t>
      </w:r>
    </w:p>
    <w:p w14:paraId="4BB99D89" w14:textId="77777777" w:rsidR="009260DE" w:rsidRPr="00C46812" w:rsidRDefault="009260DE" w:rsidP="009260DE">
      <w:pPr>
        <w:tabs>
          <w:tab w:val="left" w:pos="851"/>
        </w:tabs>
        <w:ind w:left="851"/>
        <w:rPr>
          <w:sz w:val="24"/>
          <w:szCs w:val="24"/>
        </w:rPr>
      </w:pPr>
    </w:p>
    <w:p w14:paraId="2ADD7D31" w14:textId="77777777" w:rsidR="009260DE" w:rsidRPr="00C46812" w:rsidRDefault="009260DE" w:rsidP="009260DE">
      <w:pPr>
        <w:tabs>
          <w:tab w:val="left" w:pos="851"/>
        </w:tabs>
        <w:ind w:left="851" w:hanging="851"/>
        <w:rPr>
          <w:b/>
          <w:sz w:val="24"/>
          <w:szCs w:val="24"/>
        </w:rPr>
      </w:pPr>
      <w:r w:rsidRPr="00C46812">
        <w:rPr>
          <w:b/>
          <w:sz w:val="24"/>
          <w:szCs w:val="24"/>
        </w:rPr>
        <w:t>4.4</w:t>
      </w:r>
      <w:r w:rsidRPr="00C46812">
        <w:rPr>
          <w:b/>
          <w:sz w:val="24"/>
          <w:szCs w:val="24"/>
        </w:rPr>
        <w:tab/>
        <w:t>Særlige advarsler og forsigtighedsregler vedrørende brugen</w:t>
      </w:r>
    </w:p>
    <w:p w14:paraId="61ED3A92" w14:textId="4E698C3A" w:rsidR="00B5263A" w:rsidRPr="00C46812" w:rsidRDefault="00B5263A" w:rsidP="0083539E">
      <w:pPr>
        <w:ind w:left="851"/>
        <w:rPr>
          <w:sz w:val="24"/>
          <w:szCs w:val="24"/>
        </w:rPr>
      </w:pPr>
      <w:r w:rsidRPr="00C46812">
        <w:rPr>
          <w:sz w:val="24"/>
          <w:szCs w:val="24"/>
        </w:rPr>
        <w:t xml:space="preserve">Væskeindholdet af </w:t>
      </w:r>
      <w:proofErr w:type="spellStart"/>
      <w:r w:rsidR="0083539E" w:rsidRPr="00C46812">
        <w:rPr>
          <w:sz w:val="24"/>
          <w:szCs w:val="24"/>
        </w:rPr>
        <w:t>S</w:t>
      </w:r>
      <w:r w:rsidRPr="00C46812">
        <w:rPr>
          <w:sz w:val="24"/>
          <w:szCs w:val="24"/>
        </w:rPr>
        <w:t>acrovic</w:t>
      </w:r>
      <w:proofErr w:type="spellEnd"/>
      <w:r w:rsidRPr="00C46812">
        <w:rPr>
          <w:sz w:val="24"/>
          <w:szCs w:val="24"/>
        </w:rPr>
        <w:t xml:space="preserve"> når det er </w:t>
      </w:r>
      <w:proofErr w:type="spellStart"/>
      <w:r w:rsidRPr="00C46812">
        <w:rPr>
          <w:sz w:val="24"/>
          <w:szCs w:val="24"/>
        </w:rPr>
        <w:t>rekonstitueret</w:t>
      </w:r>
      <w:proofErr w:type="spellEnd"/>
      <w:r w:rsidRPr="00C46812">
        <w:rPr>
          <w:sz w:val="24"/>
          <w:szCs w:val="24"/>
        </w:rPr>
        <w:t xml:space="preserve"> med vand, erstatter ikke sædvanligt væskeindtag, og et passende væskeindtag bør opretholdes.</w:t>
      </w:r>
    </w:p>
    <w:p w14:paraId="4503B995" w14:textId="77777777" w:rsidR="009D4C7D" w:rsidRPr="00C46812" w:rsidRDefault="009D4C7D" w:rsidP="0083539E">
      <w:pPr>
        <w:ind w:left="851"/>
        <w:rPr>
          <w:sz w:val="24"/>
          <w:szCs w:val="24"/>
        </w:rPr>
      </w:pPr>
    </w:p>
    <w:p w14:paraId="64ECE4DA" w14:textId="6D788E9B" w:rsidR="00B5263A" w:rsidRPr="00C46812" w:rsidRDefault="00B5263A" w:rsidP="0083539E">
      <w:pPr>
        <w:ind w:left="851"/>
        <w:rPr>
          <w:sz w:val="24"/>
          <w:szCs w:val="24"/>
        </w:rPr>
      </w:pPr>
      <w:r w:rsidRPr="00C46812">
        <w:rPr>
          <w:sz w:val="24"/>
          <w:szCs w:val="24"/>
        </w:rPr>
        <w:t xml:space="preserve">Diagnosen hård og indeklemt fæces/ophobning af fæces skal bekræftes ved fysisk eller radiologisk undersøgelse af abdomen og </w:t>
      </w:r>
      <w:proofErr w:type="spellStart"/>
      <w:r w:rsidRPr="00C46812">
        <w:rPr>
          <w:sz w:val="24"/>
          <w:szCs w:val="24"/>
        </w:rPr>
        <w:t>rectum</w:t>
      </w:r>
      <w:proofErr w:type="spellEnd"/>
      <w:r w:rsidRPr="00C46812">
        <w:rPr>
          <w:sz w:val="24"/>
          <w:szCs w:val="24"/>
        </w:rPr>
        <w:t>.</w:t>
      </w:r>
    </w:p>
    <w:p w14:paraId="7FE6E38B" w14:textId="77777777" w:rsidR="00B5263A" w:rsidRPr="00C46812" w:rsidRDefault="00B5263A" w:rsidP="0083539E">
      <w:pPr>
        <w:ind w:left="851"/>
        <w:rPr>
          <w:sz w:val="24"/>
          <w:szCs w:val="24"/>
        </w:rPr>
      </w:pPr>
    </w:p>
    <w:p w14:paraId="57B444F4" w14:textId="77777777" w:rsidR="00B5263A" w:rsidRPr="00C46812" w:rsidRDefault="00B5263A" w:rsidP="0083539E">
      <w:pPr>
        <w:ind w:left="851"/>
        <w:rPr>
          <w:sz w:val="24"/>
          <w:szCs w:val="24"/>
        </w:rPr>
      </w:pPr>
      <w:r w:rsidRPr="00C46812">
        <w:rPr>
          <w:sz w:val="24"/>
          <w:szCs w:val="24"/>
        </w:rPr>
        <w:t xml:space="preserve">Der kan forekomme milde bivirkninger, se pkt. 4.8. Hvis patienter udvikler symptomer, der tyder på ændringer i væske-/elektrolytbalance (f.eks. ødemer, åndenød, øget træthed, dehydrering og hjertesvigt), skal behandling med </w:t>
      </w:r>
      <w:proofErr w:type="spellStart"/>
      <w:r w:rsidRPr="00C46812">
        <w:rPr>
          <w:sz w:val="24"/>
          <w:szCs w:val="24"/>
        </w:rPr>
        <w:t>Sacrovic</w:t>
      </w:r>
      <w:proofErr w:type="spellEnd"/>
      <w:r w:rsidRPr="00C46812">
        <w:rPr>
          <w:sz w:val="24"/>
          <w:szCs w:val="24"/>
        </w:rPr>
        <w:t xml:space="preserve"> omgående stoppes omgående, elektrolytter måles, og enhver anomali bør behandles på passende vis.</w:t>
      </w:r>
    </w:p>
    <w:p w14:paraId="39C62F6A" w14:textId="77777777" w:rsidR="00B5263A" w:rsidRPr="00C46812" w:rsidRDefault="00B5263A" w:rsidP="0083539E">
      <w:pPr>
        <w:ind w:left="851"/>
        <w:rPr>
          <w:sz w:val="24"/>
          <w:szCs w:val="24"/>
        </w:rPr>
      </w:pPr>
    </w:p>
    <w:p w14:paraId="0315C922" w14:textId="77777777" w:rsidR="00B5263A" w:rsidRPr="00C46812" w:rsidRDefault="00B5263A" w:rsidP="0083539E">
      <w:pPr>
        <w:ind w:left="851"/>
        <w:rPr>
          <w:sz w:val="24"/>
          <w:szCs w:val="24"/>
        </w:rPr>
      </w:pPr>
      <w:r w:rsidRPr="00C46812">
        <w:rPr>
          <w:sz w:val="24"/>
          <w:szCs w:val="24"/>
        </w:rPr>
        <w:t xml:space="preserve">Ved tilfælde af diarré bør der tages særligt hensyn til patienter, som er i øget risiko for forstyrrelser i væske- og elektrolytbalancen (f.eks. ældre, patienter med nedsat lever- eller nyrefunktion eller patienter, som tager </w:t>
      </w:r>
      <w:proofErr w:type="spellStart"/>
      <w:r w:rsidRPr="00C46812">
        <w:rPr>
          <w:sz w:val="24"/>
          <w:szCs w:val="24"/>
        </w:rPr>
        <w:t>diuretika</w:t>
      </w:r>
      <w:proofErr w:type="spellEnd"/>
      <w:r w:rsidRPr="00C46812">
        <w:rPr>
          <w:sz w:val="24"/>
          <w:szCs w:val="24"/>
        </w:rPr>
        <w:t xml:space="preserve">) og elektrolytkontrol bør overvejes. Hvis patienten får symptomer, der tyder på forstyrrelser i elektrolyt- eller væskebalancen (f.eks. ødem, åndenød, tiltagende træthed, dehydrering, hjerteinsufficiens), skal behandlingen med </w:t>
      </w:r>
      <w:proofErr w:type="spellStart"/>
      <w:r w:rsidRPr="00C46812">
        <w:rPr>
          <w:sz w:val="24"/>
          <w:szCs w:val="24"/>
        </w:rPr>
        <w:t>Sacrovic</w:t>
      </w:r>
      <w:proofErr w:type="spellEnd"/>
      <w:r w:rsidRPr="00C46812">
        <w:rPr>
          <w:sz w:val="24"/>
          <w:szCs w:val="24"/>
        </w:rPr>
        <w:t xml:space="preserve"> straks seponeres, patienten skal have målt elektrolyttal og have passende behandling for eventuelle anomalier.</w:t>
      </w:r>
    </w:p>
    <w:p w14:paraId="75D1C5BC" w14:textId="77777777" w:rsidR="00B5263A" w:rsidRPr="00C46812" w:rsidRDefault="00B5263A" w:rsidP="0083539E">
      <w:pPr>
        <w:ind w:left="851"/>
        <w:rPr>
          <w:sz w:val="24"/>
          <w:szCs w:val="24"/>
        </w:rPr>
      </w:pPr>
    </w:p>
    <w:p w14:paraId="0B9BB9D5" w14:textId="77777777" w:rsidR="00B5263A" w:rsidRPr="00C46812" w:rsidRDefault="00B5263A" w:rsidP="0083539E">
      <w:pPr>
        <w:ind w:left="851"/>
        <w:rPr>
          <w:sz w:val="24"/>
          <w:szCs w:val="24"/>
        </w:rPr>
      </w:pPr>
      <w:r w:rsidRPr="00C46812">
        <w:rPr>
          <w:sz w:val="24"/>
          <w:szCs w:val="24"/>
        </w:rPr>
        <w:t xml:space="preserve">Absorptionen af andre lægemidler kan være midlertidigt reduceret, idet </w:t>
      </w:r>
      <w:proofErr w:type="spellStart"/>
      <w:r w:rsidRPr="00C46812">
        <w:rPr>
          <w:sz w:val="24"/>
          <w:szCs w:val="24"/>
        </w:rPr>
        <w:t>Sacrovic</w:t>
      </w:r>
      <w:proofErr w:type="spellEnd"/>
      <w:r w:rsidRPr="00C46812">
        <w:rPr>
          <w:sz w:val="24"/>
          <w:szCs w:val="24"/>
        </w:rPr>
        <w:t xml:space="preserve"> øger den </w:t>
      </w:r>
      <w:proofErr w:type="spellStart"/>
      <w:r w:rsidRPr="00C46812">
        <w:rPr>
          <w:sz w:val="24"/>
          <w:szCs w:val="24"/>
        </w:rPr>
        <w:t>gastrointestinale</w:t>
      </w:r>
      <w:proofErr w:type="spellEnd"/>
      <w:r w:rsidRPr="00C46812">
        <w:rPr>
          <w:sz w:val="24"/>
          <w:szCs w:val="24"/>
        </w:rPr>
        <w:t xml:space="preserve"> transithastighed (se pkt. 4.5).</w:t>
      </w:r>
    </w:p>
    <w:p w14:paraId="7034E696" w14:textId="77777777" w:rsidR="00B5263A" w:rsidRPr="00C46812" w:rsidRDefault="00B5263A" w:rsidP="0083539E">
      <w:pPr>
        <w:ind w:left="851"/>
        <w:rPr>
          <w:sz w:val="24"/>
          <w:szCs w:val="24"/>
        </w:rPr>
      </w:pPr>
    </w:p>
    <w:p w14:paraId="387EE9E6" w14:textId="77777777" w:rsidR="00B5263A" w:rsidRPr="00C46812" w:rsidRDefault="00B5263A" w:rsidP="0083539E">
      <w:pPr>
        <w:ind w:left="851"/>
        <w:rPr>
          <w:sz w:val="24"/>
          <w:szCs w:val="24"/>
        </w:rPr>
      </w:pPr>
      <w:proofErr w:type="spellStart"/>
      <w:r w:rsidRPr="00C46812">
        <w:rPr>
          <w:sz w:val="24"/>
          <w:szCs w:val="24"/>
        </w:rPr>
        <w:t>Sacrovic</w:t>
      </w:r>
      <w:proofErr w:type="spellEnd"/>
      <w:r w:rsidRPr="00C46812">
        <w:rPr>
          <w:sz w:val="24"/>
          <w:szCs w:val="24"/>
        </w:rPr>
        <w:t xml:space="preserve"> indeholder 0,6213 mmol (24,230 mg) kalium pr. brev. Dette bør tages i betragtning, hvis patienten tager mere end ét brev dagligt og har nedsat nyrefunktion eller er på en kontrolleret kaliumdiæt.</w:t>
      </w:r>
    </w:p>
    <w:p w14:paraId="77DFFB7C" w14:textId="77777777" w:rsidR="00B5263A" w:rsidRPr="00C46812" w:rsidRDefault="00B5263A" w:rsidP="0083539E">
      <w:pPr>
        <w:ind w:left="851"/>
        <w:rPr>
          <w:sz w:val="24"/>
          <w:szCs w:val="24"/>
        </w:rPr>
      </w:pPr>
    </w:p>
    <w:p w14:paraId="66BFC991" w14:textId="77777777" w:rsidR="00B5263A" w:rsidRPr="00C46812" w:rsidRDefault="00B5263A" w:rsidP="0083539E">
      <w:pPr>
        <w:ind w:left="851"/>
        <w:rPr>
          <w:sz w:val="24"/>
          <w:szCs w:val="24"/>
        </w:rPr>
      </w:pPr>
      <w:r w:rsidRPr="00C46812">
        <w:rPr>
          <w:sz w:val="24"/>
          <w:szCs w:val="24"/>
        </w:rPr>
        <w:t xml:space="preserve">Denne medicin indeholder 186,87 mg (8,125 mmol) natrium pr. brev, svarende til 9,3 % af den WHO anbefalede </w:t>
      </w:r>
      <w:proofErr w:type="gramStart"/>
      <w:r w:rsidRPr="00C46812">
        <w:rPr>
          <w:sz w:val="24"/>
          <w:szCs w:val="24"/>
        </w:rPr>
        <w:t>maximale</w:t>
      </w:r>
      <w:proofErr w:type="gramEnd"/>
      <w:r w:rsidRPr="00C46812">
        <w:rPr>
          <w:sz w:val="24"/>
          <w:szCs w:val="24"/>
        </w:rPr>
        <w:t xml:space="preserve"> daglige indtagelse af 2 g natrium for en voksen. Når benyttet over længere tid mod obstipation svarer den maksimale daglige dosis af dette produkt til 28 % af det, WHO anbefaler som den maximale daglige indtagelse af natrium. </w:t>
      </w:r>
      <w:proofErr w:type="spellStart"/>
      <w:r w:rsidRPr="00C46812">
        <w:rPr>
          <w:sz w:val="24"/>
          <w:szCs w:val="24"/>
        </w:rPr>
        <w:t>Sacrovic</w:t>
      </w:r>
      <w:proofErr w:type="spellEnd"/>
      <w:r w:rsidRPr="00C46812">
        <w:rPr>
          <w:sz w:val="24"/>
          <w:szCs w:val="24"/>
        </w:rPr>
        <w:t xml:space="preserve"> anses for at have et højt indhold af natrium. Hvis patienten er på natriumfattig diæt, skal der tages hensyn hertil.</w:t>
      </w:r>
    </w:p>
    <w:p w14:paraId="66A4B3E3" w14:textId="77777777" w:rsidR="00B5263A" w:rsidRPr="00C46812" w:rsidRDefault="00B5263A" w:rsidP="0083539E">
      <w:pPr>
        <w:ind w:left="851"/>
        <w:rPr>
          <w:rFonts w:eastAsiaTheme="minorHAnsi"/>
          <w:sz w:val="24"/>
          <w:szCs w:val="24"/>
        </w:rPr>
      </w:pPr>
    </w:p>
    <w:p w14:paraId="5796011A" w14:textId="77777777" w:rsidR="00B5263A" w:rsidRPr="00C46812" w:rsidRDefault="00B5263A" w:rsidP="0083539E">
      <w:pPr>
        <w:ind w:left="851"/>
        <w:rPr>
          <w:rFonts w:eastAsiaTheme="minorHAnsi"/>
          <w:sz w:val="24"/>
          <w:szCs w:val="24"/>
        </w:rPr>
      </w:pPr>
      <w:r w:rsidRPr="00C46812">
        <w:rPr>
          <w:rFonts w:eastAsiaTheme="minorHAnsi"/>
          <w:sz w:val="24"/>
          <w:szCs w:val="24"/>
        </w:rPr>
        <w:t>Hos personer med synkebesvær, der har brug for at tilføje fortykningsmidler for at sikre et passende indtag, bør interaktioner tages i betragtning, se pkt. 4.5.</w:t>
      </w:r>
    </w:p>
    <w:p w14:paraId="30B52307" w14:textId="77777777" w:rsidR="00B5263A" w:rsidRPr="00C46812" w:rsidRDefault="00B5263A" w:rsidP="0083539E">
      <w:pPr>
        <w:ind w:left="851"/>
        <w:rPr>
          <w:rFonts w:eastAsiaTheme="minorHAnsi"/>
          <w:sz w:val="24"/>
          <w:szCs w:val="24"/>
        </w:rPr>
      </w:pPr>
    </w:p>
    <w:p w14:paraId="300DA28E" w14:textId="77777777" w:rsidR="00B5263A" w:rsidRPr="00C46812" w:rsidRDefault="00B5263A" w:rsidP="0083539E">
      <w:pPr>
        <w:ind w:left="851"/>
        <w:rPr>
          <w:noProof/>
          <w:sz w:val="24"/>
          <w:szCs w:val="24"/>
          <w:u w:val="single"/>
        </w:rPr>
      </w:pPr>
      <w:r w:rsidRPr="00C46812">
        <w:rPr>
          <w:noProof/>
          <w:sz w:val="24"/>
          <w:szCs w:val="24"/>
          <w:u w:val="single"/>
        </w:rPr>
        <w:t>Pædiatrisk population</w:t>
      </w:r>
    </w:p>
    <w:p w14:paraId="1621E15A" w14:textId="77777777" w:rsidR="00B5263A" w:rsidRPr="00C46812" w:rsidRDefault="00B5263A" w:rsidP="0083539E">
      <w:pPr>
        <w:ind w:left="851"/>
        <w:rPr>
          <w:noProof/>
          <w:sz w:val="24"/>
          <w:szCs w:val="24"/>
        </w:rPr>
      </w:pPr>
      <w:r w:rsidRPr="00C46812">
        <w:rPr>
          <w:noProof/>
          <w:sz w:val="24"/>
          <w:szCs w:val="24"/>
        </w:rPr>
        <w:t>Der findes ingen klinisk data for brug af Sacroviv pulver til oral opløsning hos børn og det bør derfor ikke bruges til børn under 12 år.</w:t>
      </w:r>
    </w:p>
    <w:p w14:paraId="5FFD023E" w14:textId="77777777" w:rsidR="009260DE" w:rsidRPr="00C46812" w:rsidRDefault="009260DE" w:rsidP="009260DE">
      <w:pPr>
        <w:tabs>
          <w:tab w:val="left" w:pos="851"/>
        </w:tabs>
        <w:ind w:left="851"/>
        <w:rPr>
          <w:sz w:val="24"/>
          <w:szCs w:val="24"/>
        </w:rPr>
      </w:pPr>
    </w:p>
    <w:p w14:paraId="084BE2F0" w14:textId="77777777" w:rsidR="009260DE" w:rsidRPr="00C46812" w:rsidRDefault="009260DE" w:rsidP="009260DE">
      <w:pPr>
        <w:tabs>
          <w:tab w:val="left" w:pos="851"/>
        </w:tabs>
        <w:ind w:left="851" w:hanging="851"/>
        <w:rPr>
          <w:b/>
          <w:sz w:val="24"/>
          <w:szCs w:val="24"/>
        </w:rPr>
      </w:pPr>
      <w:r w:rsidRPr="00C46812">
        <w:rPr>
          <w:b/>
          <w:sz w:val="24"/>
          <w:szCs w:val="24"/>
        </w:rPr>
        <w:t>4.5</w:t>
      </w:r>
      <w:r w:rsidRPr="00C46812">
        <w:rPr>
          <w:b/>
          <w:sz w:val="24"/>
          <w:szCs w:val="24"/>
        </w:rPr>
        <w:tab/>
        <w:t>Interaktion med andre lægemidler og andre former for interaktion</w:t>
      </w:r>
    </w:p>
    <w:p w14:paraId="218FD525" w14:textId="77777777" w:rsidR="00B5263A" w:rsidRPr="00C46812" w:rsidRDefault="00B5263A" w:rsidP="0083539E">
      <w:pPr>
        <w:ind w:left="851"/>
        <w:rPr>
          <w:sz w:val="24"/>
          <w:szCs w:val="24"/>
        </w:rPr>
      </w:pPr>
      <w:proofErr w:type="spellStart"/>
      <w:r w:rsidRPr="00C46812">
        <w:rPr>
          <w:sz w:val="24"/>
          <w:szCs w:val="24"/>
        </w:rPr>
        <w:t>Macrogol</w:t>
      </w:r>
      <w:proofErr w:type="spellEnd"/>
      <w:r w:rsidRPr="00C46812">
        <w:rPr>
          <w:sz w:val="24"/>
          <w:szCs w:val="24"/>
        </w:rPr>
        <w:t xml:space="preserve"> øger opløseligheden af lægemidler, der er opløselige i alkohol og relativt uopløselige i vand.  </w:t>
      </w:r>
    </w:p>
    <w:p w14:paraId="25F0AE61" w14:textId="77777777" w:rsidR="00B5263A" w:rsidRPr="00C46812" w:rsidRDefault="00B5263A" w:rsidP="0083539E">
      <w:pPr>
        <w:ind w:left="851"/>
        <w:rPr>
          <w:sz w:val="24"/>
          <w:szCs w:val="24"/>
        </w:rPr>
      </w:pPr>
    </w:p>
    <w:p w14:paraId="1D5E9316" w14:textId="77777777" w:rsidR="00B5263A" w:rsidRPr="00C46812" w:rsidRDefault="00B5263A" w:rsidP="0083539E">
      <w:pPr>
        <w:ind w:left="851"/>
        <w:rPr>
          <w:sz w:val="24"/>
          <w:szCs w:val="24"/>
        </w:rPr>
      </w:pPr>
      <w:r w:rsidRPr="00C46812">
        <w:rPr>
          <w:sz w:val="24"/>
          <w:szCs w:val="24"/>
        </w:rPr>
        <w:t xml:space="preserve">Det er muligt, at absorptionen af andre lægemidler kan blive midlertidigt reduceret under brugen af </w:t>
      </w:r>
      <w:proofErr w:type="spellStart"/>
      <w:r w:rsidRPr="00C46812">
        <w:rPr>
          <w:sz w:val="24"/>
          <w:szCs w:val="24"/>
        </w:rPr>
        <w:t>Sacrovic</w:t>
      </w:r>
      <w:proofErr w:type="spellEnd"/>
      <w:r w:rsidRPr="00C46812">
        <w:rPr>
          <w:sz w:val="24"/>
          <w:szCs w:val="24"/>
        </w:rPr>
        <w:t xml:space="preserve"> (se pkt. 4.4). Der har været enkeltstående rapporter med nedsat effekt af nogle lægemidler, f.eks. </w:t>
      </w:r>
      <w:proofErr w:type="spellStart"/>
      <w:r w:rsidRPr="00C46812">
        <w:rPr>
          <w:sz w:val="24"/>
          <w:szCs w:val="24"/>
        </w:rPr>
        <w:t>antiepileptika</w:t>
      </w:r>
      <w:proofErr w:type="spellEnd"/>
      <w:r w:rsidRPr="00C46812">
        <w:rPr>
          <w:sz w:val="24"/>
          <w:szCs w:val="24"/>
        </w:rPr>
        <w:t xml:space="preserve"> der blev givet samtidigt.   </w:t>
      </w:r>
    </w:p>
    <w:p w14:paraId="503D7048" w14:textId="77777777" w:rsidR="00B5263A" w:rsidRPr="00C46812" w:rsidRDefault="00B5263A" w:rsidP="0083539E">
      <w:pPr>
        <w:ind w:left="851"/>
        <w:rPr>
          <w:sz w:val="24"/>
          <w:szCs w:val="24"/>
        </w:rPr>
      </w:pPr>
    </w:p>
    <w:p w14:paraId="60096A53" w14:textId="77777777" w:rsidR="00B5263A" w:rsidRPr="00C46812" w:rsidRDefault="00B5263A" w:rsidP="0083539E">
      <w:pPr>
        <w:ind w:left="851"/>
        <w:rPr>
          <w:sz w:val="24"/>
          <w:szCs w:val="24"/>
        </w:rPr>
      </w:pPr>
      <w:proofErr w:type="spellStart"/>
      <w:r w:rsidRPr="00C46812">
        <w:rPr>
          <w:sz w:val="24"/>
          <w:szCs w:val="24"/>
        </w:rPr>
        <w:t>Sacrovic</w:t>
      </w:r>
      <w:proofErr w:type="spellEnd"/>
      <w:r w:rsidRPr="00C46812">
        <w:rPr>
          <w:sz w:val="24"/>
          <w:szCs w:val="24"/>
        </w:rPr>
        <w:t xml:space="preserve"> kan muligvis forårsage en interaktiv effekt, hvis det bruges sammen med stivelsesbaserede fortykningsmidler til mad. Den aktive ingrediens </w:t>
      </w:r>
      <w:proofErr w:type="spellStart"/>
      <w:r w:rsidRPr="00C46812">
        <w:rPr>
          <w:sz w:val="24"/>
          <w:szCs w:val="24"/>
        </w:rPr>
        <w:t>macrogol</w:t>
      </w:r>
      <w:proofErr w:type="spellEnd"/>
      <w:r w:rsidRPr="00C46812">
        <w:rPr>
          <w:sz w:val="24"/>
          <w:szCs w:val="24"/>
        </w:rPr>
        <w:t xml:space="preserve"> modvirker stivelsens fortykkende effekt. Dette bevirker, at opløsninger, der skal forblive tyktflydende for personer med synkebesvær, bliver tyndtflydende.</w:t>
      </w:r>
    </w:p>
    <w:p w14:paraId="5BBB0839" w14:textId="77777777" w:rsidR="009260DE" w:rsidRPr="00C46812" w:rsidRDefault="009260DE" w:rsidP="009260DE">
      <w:pPr>
        <w:tabs>
          <w:tab w:val="left" w:pos="851"/>
        </w:tabs>
        <w:ind w:left="851"/>
        <w:rPr>
          <w:sz w:val="24"/>
          <w:szCs w:val="24"/>
        </w:rPr>
      </w:pPr>
    </w:p>
    <w:p w14:paraId="313757C9" w14:textId="77777777" w:rsidR="009260DE" w:rsidRPr="00C46812" w:rsidRDefault="009260DE" w:rsidP="009260DE">
      <w:pPr>
        <w:tabs>
          <w:tab w:val="left" w:pos="851"/>
        </w:tabs>
        <w:ind w:left="851" w:hanging="851"/>
        <w:rPr>
          <w:b/>
          <w:sz w:val="24"/>
          <w:szCs w:val="24"/>
        </w:rPr>
      </w:pPr>
      <w:r w:rsidRPr="00C46812">
        <w:rPr>
          <w:b/>
          <w:sz w:val="24"/>
          <w:szCs w:val="24"/>
        </w:rPr>
        <w:t>4.6</w:t>
      </w:r>
      <w:r w:rsidRPr="00C46812">
        <w:rPr>
          <w:b/>
          <w:sz w:val="24"/>
          <w:szCs w:val="24"/>
        </w:rPr>
        <w:tab/>
      </w:r>
      <w:r w:rsidR="0071241E" w:rsidRPr="00C46812">
        <w:rPr>
          <w:b/>
          <w:sz w:val="24"/>
          <w:szCs w:val="24"/>
        </w:rPr>
        <w:t>Fertilitet, g</w:t>
      </w:r>
      <w:r w:rsidRPr="00C46812">
        <w:rPr>
          <w:b/>
          <w:sz w:val="24"/>
          <w:szCs w:val="24"/>
        </w:rPr>
        <w:t>raviditet og amning</w:t>
      </w:r>
    </w:p>
    <w:p w14:paraId="46CF5D12" w14:textId="77777777" w:rsidR="00020035" w:rsidRPr="00C46812" w:rsidRDefault="00020035" w:rsidP="0083539E">
      <w:pPr>
        <w:ind w:left="851"/>
        <w:rPr>
          <w:sz w:val="24"/>
          <w:szCs w:val="24"/>
        </w:rPr>
      </w:pPr>
    </w:p>
    <w:p w14:paraId="1E8E268F" w14:textId="13087724" w:rsidR="00B5263A" w:rsidRPr="00C46812" w:rsidRDefault="00B5263A" w:rsidP="0083539E">
      <w:pPr>
        <w:ind w:left="851"/>
        <w:rPr>
          <w:sz w:val="24"/>
          <w:szCs w:val="24"/>
          <w:u w:val="single"/>
        </w:rPr>
      </w:pPr>
      <w:r w:rsidRPr="00C46812">
        <w:rPr>
          <w:sz w:val="24"/>
          <w:szCs w:val="24"/>
          <w:u w:val="single"/>
        </w:rPr>
        <w:t xml:space="preserve">Graviditet </w:t>
      </w:r>
    </w:p>
    <w:p w14:paraId="4E69FBCA" w14:textId="77777777" w:rsidR="00B5263A" w:rsidRPr="00C46812" w:rsidRDefault="00B5263A" w:rsidP="0083539E">
      <w:pPr>
        <w:ind w:left="851"/>
        <w:rPr>
          <w:sz w:val="24"/>
          <w:szCs w:val="24"/>
        </w:rPr>
      </w:pPr>
      <w:r w:rsidRPr="00C46812">
        <w:rPr>
          <w:sz w:val="24"/>
          <w:szCs w:val="24"/>
        </w:rPr>
        <w:t xml:space="preserve">Der er begrænset mængde data fra anvendelse af </w:t>
      </w:r>
      <w:proofErr w:type="spellStart"/>
      <w:r w:rsidRPr="00C46812">
        <w:rPr>
          <w:sz w:val="24"/>
          <w:szCs w:val="24"/>
        </w:rPr>
        <w:t>Sacrovic</w:t>
      </w:r>
      <w:proofErr w:type="spellEnd"/>
      <w:r w:rsidRPr="00C46812">
        <w:rPr>
          <w:sz w:val="24"/>
          <w:szCs w:val="24"/>
        </w:rPr>
        <w:t xml:space="preserve"> til gravide kvinder. Dyreforsøg har påvist indirekte reproduktionstoksicitet (se pkt. 5.3). Klinisk forventes ingen virkning på graviditeten, da systemisk eksponering af </w:t>
      </w:r>
      <w:proofErr w:type="spellStart"/>
      <w:r w:rsidRPr="00C46812">
        <w:rPr>
          <w:sz w:val="24"/>
          <w:szCs w:val="24"/>
        </w:rPr>
        <w:t>macrogol</w:t>
      </w:r>
      <w:proofErr w:type="spellEnd"/>
      <w:r w:rsidRPr="00C46812">
        <w:rPr>
          <w:sz w:val="24"/>
          <w:szCs w:val="24"/>
        </w:rPr>
        <w:t xml:space="preserve"> 3350 er ubetydelig.</w:t>
      </w:r>
    </w:p>
    <w:p w14:paraId="52ED44EE" w14:textId="77777777" w:rsidR="00B5263A" w:rsidRPr="00C46812" w:rsidRDefault="00B5263A" w:rsidP="0083539E">
      <w:pPr>
        <w:ind w:left="851"/>
        <w:rPr>
          <w:sz w:val="24"/>
          <w:szCs w:val="24"/>
        </w:rPr>
      </w:pPr>
      <w:proofErr w:type="spellStart"/>
      <w:r w:rsidRPr="00C46812">
        <w:rPr>
          <w:sz w:val="24"/>
          <w:szCs w:val="24"/>
        </w:rPr>
        <w:t>Sacrovic</w:t>
      </w:r>
      <w:proofErr w:type="spellEnd"/>
      <w:r w:rsidRPr="00C46812">
        <w:rPr>
          <w:sz w:val="24"/>
          <w:szCs w:val="24"/>
        </w:rPr>
        <w:t xml:space="preserve"> kan anvendes under graviditeten.</w:t>
      </w:r>
    </w:p>
    <w:p w14:paraId="737A426A" w14:textId="3AF36AE9" w:rsidR="00B5263A" w:rsidRPr="00C46812" w:rsidRDefault="00B5263A" w:rsidP="0083539E">
      <w:pPr>
        <w:ind w:left="851"/>
        <w:rPr>
          <w:sz w:val="24"/>
          <w:szCs w:val="24"/>
        </w:rPr>
      </w:pPr>
    </w:p>
    <w:p w14:paraId="3452C230" w14:textId="77777777" w:rsidR="00B5263A" w:rsidRPr="00C46812" w:rsidRDefault="00B5263A" w:rsidP="0083539E">
      <w:pPr>
        <w:ind w:left="851"/>
        <w:rPr>
          <w:sz w:val="24"/>
          <w:szCs w:val="24"/>
          <w:u w:val="single"/>
        </w:rPr>
      </w:pPr>
      <w:r w:rsidRPr="00C46812">
        <w:rPr>
          <w:sz w:val="24"/>
          <w:szCs w:val="24"/>
          <w:u w:val="single"/>
        </w:rPr>
        <w:t xml:space="preserve">Amning </w:t>
      </w:r>
    </w:p>
    <w:p w14:paraId="65F071A5" w14:textId="77777777" w:rsidR="00B5263A" w:rsidRPr="00C46812" w:rsidRDefault="00B5263A" w:rsidP="0083539E">
      <w:pPr>
        <w:ind w:left="851"/>
        <w:rPr>
          <w:sz w:val="24"/>
          <w:szCs w:val="24"/>
        </w:rPr>
      </w:pPr>
      <w:r w:rsidRPr="00C46812">
        <w:rPr>
          <w:sz w:val="24"/>
          <w:szCs w:val="24"/>
        </w:rPr>
        <w:t xml:space="preserve">Der forventes ingen påvirkning af nyfødte/spædbørn, ammet af mødre i behandling med </w:t>
      </w:r>
      <w:proofErr w:type="spellStart"/>
      <w:r w:rsidRPr="00C46812">
        <w:rPr>
          <w:sz w:val="24"/>
          <w:szCs w:val="24"/>
        </w:rPr>
        <w:t>macrogol</w:t>
      </w:r>
      <w:proofErr w:type="spellEnd"/>
      <w:r w:rsidRPr="00C46812">
        <w:rPr>
          <w:sz w:val="24"/>
          <w:szCs w:val="24"/>
        </w:rPr>
        <w:t xml:space="preserve"> 3350, da den systemiske eksponering er ubetydelig.</w:t>
      </w:r>
    </w:p>
    <w:p w14:paraId="5444A859" w14:textId="2759480F" w:rsidR="00B5263A" w:rsidRPr="00C46812" w:rsidRDefault="00B5263A" w:rsidP="0083539E">
      <w:pPr>
        <w:ind w:left="851"/>
        <w:rPr>
          <w:sz w:val="24"/>
          <w:szCs w:val="24"/>
        </w:rPr>
      </w:pPr>
      <w:proofErr w:type="spellStart"/>
      <w:r w:rsidRPr="00C46812">
        <w:rPr>
          <w:sz w:val="24"/>
          <w:szCs w:val="24"/>
        </w:rPr>
        <w:t>Sacrovic</w:t>
      </w:r>
      <w:proofErr w:type="spellEnd"/>
      <w:r w:rsidRPr="00C46812">
        <w:rPr>
          <w:sz w:val="24"/>
          <w:szCs w:val="24"/>
        </w:rPr>
        <w:t xml:space="preserve"> kan anvendes under amning.</w:t>
      </w:r>
    </w:p>
    <w:p w14:paraId="68FB3D44" w14:textId="77777777" w:rsidR="00B5263A" w:rsidRPr="00C46812" w:rsidRDefault="00B5263A" w:rsidP="0083539E">
      <w:pPr>
        <w:ind w:left="851"/>
        <w:rPr>
          <w:sz w:val="24"/>
          <w:szCs w:val="24"/>
        </w:rPr>
      </w:pPr>
    </w:p>
    <w:p w14:paraId="096A38DE" w14:textId="77777777" w:rsidR="00B5263A" w:rsidRPr="00C46812" w:rsidRDefault="00B5263A" w:rsidP="0083539E">
      <w:pPr>
        <w:ind w:left="851"/>
        <w:rPr>
          <w:sz w:val="24"/>
          <w:szCs w:val="24"/>
          <w:u w:val="single"/>
        </w:rPr>
      </w:pPr>
      <w:r w:rsidRPr="00C46812">
        <w:rPr>
          <w:sz w:val="24"/>
          <w:szCs w:val="24"/>
          <w:u w:val="single"/>
        </w:rPr>
        <w:t>Fertilitet</w:t>
      </w:r>
    </w:p>
    <w:p w14:paraId="4B1443FC" w14:textId="1C324FD6" w:rsidR="00B5263A" w:rsidRPr="00C46812" w:rsidRDefault="00B5263A" w:rsidP="0083539E">
      <w:pPr>
        <w:ind w:left="851"/>
        <w:rPr>
          <w:sz w:val="24"/>
          <w:szCs w:val="24"/>
        </w:rPr>
      </w:pPr>
      <w:r w:rsidRPr="00C46812">
        <w:rPr>
          <w:sz w:val="24"/>
          <w:szCs w:val="24"/>
        </w:rPr>
        <w:t xml:space="preserve">Der findes ingen data om virkningerne af </w:t>
      </w:r>
      <w:proofErr w:type="spellStart"/>
      <w:r w:rsidRPr="00C46812">
        <w:rPr>
          <w:sz w:val="24"/>
          <w:szCs w:val="24"/>
        </w:rPr>
        <w:t>Sacrovic</w:t>
      </w:r>
      <w:proofErr w:type="spellEnd"/>
      <w:r w:rsidRPr="00C46812">
        <w:rPr>
          <w:sz w:val="24"/>
          <w:szCs w:val="24"/>
        </w:rPr>
        <w:t xml:space="preserve"> på human fertilitet. Der var ingen virkninger på fertiliteten i forsøg med han- og hunrotter (se pkt. 5.3).</w:t>
      </w:r>
    </w:p>
    <w:p w14:paraId="43790E65" w14:textId="77777777" w:rsidR="009260DE" w:rsidRPr="00C46812" w:rsidRDefault="009260DE" w:rsidP="009260DE">
      <w:pPr>
        <w:tabs>
          <w:tab w:val="left" w:pos="851"/>
        </w:tabs>
        <w:ind w:left="851"/>
        <w:rPr>
          <w:sz w:val="24"/>
          <w:szCs w:val="24"/>
        </w:rPr>
      </w:pPr>
    </w:p>
    <w:p w14:paraId="162A18C1" w14:textId="77777777" w:rsidR="009260DE" w:rsidRPr="00C46812" w:rsidRDefault="009260DE" w:rsidP="009260DE">
      <w:pPr>
        <w:tabs>
          <w:tab w:val="left" w:pos="851"/>
        </w:tabs>
        <w:ind w:left="851" w:hanging="851"/>
        <w:rPr>
          <w:b/>
          <w:sz w:val="24"/>
          <w:szCs w:val="24"/>
        </w:rPr>
      </w:pPr>
      <w:r w:rsidRPr="00C46812">
        <w:rPr>
          <w:b/>
          <w:sz w:val="24"/>
          <w:szCs w:val="24"/>
        </w:rPr>
        <w:t>4.7</w:t>
      </w:r>
      <w:r w:rsidRPr="00C46812">
        <w:rPr>
          <w:b/>
          <w:sz w:val="24"/>
          <w:szCs w:val="24"/>
        </w:rPr>
        <w:tab/>
        <w:t xml:space="preserve">Virkning på evnen til at føre motorkøretøj </w:t>
      </w:r>
      <w:r w:rsidR="0071241E" w:rsidRPr="00C46812">
        <w:rPr>
          <w:b/>
          <w:sz w:val="24"/>
          <w:szCs w:val="24"/>
        </w:rPr>
        <w:t>og</w:t>
      </w:r>
      <w:r w:rsidRPr="00C46812">
        <w:rPr>
          <w:b/>
          <w:sz w:val="24"/>
          <w:szCs w:val="24"/>
        </w:rPr>
        <w:t xml:space="preserve"> betjene maskiner</w:t>
      </w:r>
    </w:p>
    <w:p w14:paraId="5EE50F5C" w14:textId="77777777" w:rsidR="00B5263A" w:rsidRPr="00C46812" w:rsidRDefault="00B5263A" w:rsidP="0083539E">
      <w:pPr>
        <w:ind w:left="851"/>
        <w:rPr>
          <w:sz w:val="24"/>
          <w:szCs w:val="24"/>
        </w:rPr>
      </w:pPr>
      <w:r w:rsidRPr="00C46812">
        <w:rPr>
          <w:sz w:val="24"/>
          <w:szCs w:val="24"/>
        </w:rPr>
        <w:t>Ikke mærkning</w:t>
      </w:r>
    </w:p>
    <w:p w14:paraId="148B14D7" w14:textId="77777777" w:rsidR="00B5263A" w:rsidRPr="00C46812" w:rsidRDefault="00B5263A" w:rsidP="0083539E">
      <w:pPr>
        <w:ind w:left="851"/>
        <w:rPr>
          <w:sz w:val="24"/>
          <w:szCs w:val="24"/>
        </w:rPr>
      </w:pPr>
      <w:proofErr w:type="spellStart"/>
      <w:r w:rsidRPr="00C46812">
        <w:rPr>
          <w:sz w:val="24"/>
          <w:szCs w:val="24"/>
        </w:rPr>
        <w:t>Sacrovic</w:t>
      </w:r>
      <w:proofErr w:type="spellEnd"/>
      <w:r w:rsidRPr="00C46812">
        <w:rPr>
          <w:sz w:val="24"/>
          <w:szCs w:val="24"/>
        </w:rPr>
        <w:t xml:space="preserve"> påvirker ikke eller kun i ubetydelig grad evnen til at føre motorkøretøj og betjene maskiner.</w:t>
      </w:r>
    </w:p>
    <w:p w14:paraId="08D7D695" w14:textId="77777777" w:rsidR="009260DE" w:rsidRPr="00C46812" w:rsidRDefault="009260DE" w:rsidP="009260DE">
      <w:pPr>
        <w:tabs>
          <w:tab w:val="left" w:pos="851"/>
        </w:tabs>
        <w:ind w:left="851"/>
        <w:rPr>
          <w:sz w:val="24"/>
          <w:szCs w:val="24"/>
        </w:rPr>
      </w:pPr>
    </w:p>
    <w:p w14:paraId="5B4FD916" w14:textId="77777777" w:rsidR="009260DE" w:rsidRPr="00C46812" w:rsidRDefault="009260DE" w:rsidP="009260DE">
      <w:pPr>
        <w:tabs>
          <w:tab w:val="left" w:pos="851"/>
        </w:tabs>
        <w:ind w:left="851" w:hanging="851"/>
        <w:rPr>
          <w:b/>
          <w:sz w:val="24"/>
          <w:szCs w:val="24"/>
        </w:rPr>
      </w:pPr>
      <w:r w:rsidRPr="00C46812">
        <w:rPr>
          <w:b/>
          <w:sz w:val="24"/>
          <w:szCs w:val="24"/>
        </w:rPr>
        <w:t>4.8</w:t>
      </w:r>
      <w:r w:rsidRPr="00C46812">
        <w:rPr>
          <w:b/>
          <w:sz w:val="24"/>
          <w:szCs w:val="24"/>
        </w:rPr>
        <w:tab/>
        <w:t>Bivirkninger</w:t>
      </w:r>
    </w:p>
    <w:p w14:paraId="4E913F38" w14:textId="77777777" w:rsidR="00B5263A" w:rsidRPr="00C46812" w:rsidRDefault="00B5263A" w:rsidP="0083539E">
      <w:pPr>
        <w:ind w:left="851"/>
        <w:rPr>
          <w:sz w:val="24"/>
          <w:szCs w:val="24"/>
        </w:rPr>
      </w:pPr>
      <w:r w:rsidRPr="00C46812">
        <w:rPr>
          <w:sz w:val="24"/>
          <w:szCs w:val="24"/>
        </w:rPr>
        <w:t xml:space="preserve">Reaktioner relateret til den </w:t>
      </w:r>
      <w:proofErr w:type="spellStart"/>
      <w:r w:rsidRPr="00C46812">
        <w:rPr>
          <w:sz w:val="24"/>
          <w:szCs w:val="24"/>
        </w:rPr>
        <w:t>gastrointestinale</w:t>
      </w:r>
      <w:proofErr w:type="spellEnd"/>
      <w:r w:rsidRPr="00C46812">
        <w:rPr>
          <w:sz w:val="24"/>
          <w:szCs w:val="24"/>
        </w:rPr>
        <w:t xml:space="preserve"> kanal er de mest almindeligt forekommende.</w:t>
      </w:r>
    </w:p>
    <w:p w14:paraId="35332FB8" w14:textId="77777777" w:rsidR="00B5263A" w:rsidRPr="00C46812" w:rsidRDefault="00B5263A" w:rsidP="0083539E">
      <w:pPr>
        <w:ind w:left="851"/>
        <w:rPr>
          <w:sz w:val="24"/>
          <w:szCs w:val="24"/>
        </w:rPr>
      </w:pPr>
      <w:r w:rsidRPr="00C46812">
        <w:rPr>
          <w:sz w:val="24"/>
          <w:szCs w:val="24"/>
        </w:rPr>
        <w:t xml:space="preserve">Disse reaktioner kan opstå som konsekvens af udvidelsen af den </w:t>
      </w:r>
      <w:proofErr w:type="spellStart"/>
      <w:r w:rsidRPr="00C46812">
        <w:rPr>
          <w:sz w:val="24"/>
          <w:szCs w:val="24"/>
        </w:rPr>
        <w:t>gastrointestinale</w:t>
      </w:r>
      <w:proofErr w:type="spellEnd"/>
      <w:r w:rsidRPr="00C46812">
        <w:rPr>
          <w:sz w:val="24"/>
          <w:szCs w:val="24"/>
        </w:rPr>
        <w:t xml:space="preserve"> kanals indhold og en øget </w:t>
      </w:r>
      <w:proofErr w:type="spellStart"/>
      <w:r w:rsidRPr="00C46812">
        <w:rPr>
          <w:sz w:val="24"/>
          <w:szCs w:val="24"/>
        </w:rPr>
        <w:t>motilitet</w:t>
      </w:r>
      <w:proofErr w:type="spellEnd"/>
      <w:r w:rsidRPr="00C46812">
        <w:rPr>
          <w:sz w:val="24"/>
          <w:szCs w:val="24"/>
        </w:rPr>
        <w:t xml:space="preserve"> som følge af </w:t>
      </w:r>
      <w:proofErr w:type="spellStart"/>
      <w:r w:rsidRPr="00C46812">
        <w:rPr>
          <w:sz w:val="24"/>
          <w:szCs w:val="24"/>
        </w:rPr>
        <w:t>Sacrovics</w:t>
      </w:r>
      <w:proofErr w:type="spellEnd"/>
      <w:r w:rsidRPr="00C46812">
        <w:rPr>
          <w:sz w:val="24"/>
          <w:szCs w:val="24"/>
        </w:rPr>
        <w:t xml:space="preserve"> farmakologiske virkninger. Let diarré responderer sædvanligvis på dosisreduktion.</w:t>
      </w:r>
    </w:p>
    <w:p w14:paraId="07BA80A9" w14:textId="77777777" w:rsidR="00B5263A" w:rsidRPr="00C46812" w:rsidRDefault="00B5263A" w:rsidP="0083539E">
      <w:pPr>
        <w:ind w:left="851"/>
        <w:rPr>
          <w:sz w:val="24"/>
          <w:szCs w:val="24"/>
        </w:rPr>
      </w:pPr>
    </w:p>
    <w:p w14:paraId="18E68C91" w14:textId="77777777" w:rsidR="00B5263A" w:rsidRPr="00C46812" w:rsidRDefault="00B5263A" w:rsidP="0083539E">
      <w:pPr>
        <w:ind w:left="851"/>
        <w:rPr>
          <w:sz w:val="24"/>
          <w:szCs w:val="24"/>
        </w:rPr>
      </w:pPr>
      <w:r w:rsidRPr="00C46812">
        <w:rPr>
          <w:sz w:val="24"/>
          <w:szCs w:val="24"/>
        </w:rPr>
        <w:t>Hyppigheden af bivirkningerne er ikke kendt og kan ikke estimeres ud fra forhåndenværende data.</w:t>
      </w:r>
    </w:p>
    <w:p w14:paraId="4CAF84A7" w14:textId="77777777" w:rsidR="00B5263A" w:rsidRPr="00C46812" w:rsidRDefault="00B5263A" w:rsidP="0083539E">
      <w:pPr>
        <w:ind w:left="851"/>
        <w:rPr>
          <w:sz w:val="24"/>
          <w:szCs w:val="24"/>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2"/>
        <w:gridCol w:w="4696"/>
      </w:tblGrid>
      <w:tr w:rsidR="00B5263A" w:rsidRPr="00C46812" w14:paraId="7EC07257" w14:textId="77777777" w:rsidTr="0083539E">
        <w:tc>
          <w:tcPr>
            <w:tcW w:w="4092" w:type="dxa"/>
            <w:tcBorders>
              <w:top w:val="single" w:sz="4" w:space="0" w:color="auto"/>
              <w:left w:val="single" w:sz="4" w:space="0" w:color="auto"/>
              <w:bottom w:val="single" w:sz="4" w:space="0" w:color="auto"/>
              <w:right w:val="single" w:sz="4" w:space="0" w:color="auto"/>
            </w:tcBorders>
            <w:hideMark/>
          </w:tcPr>
          <w:p w14:paraId="0480E55F" w14:textId="77777777" w:rsidR="00B5263A" w:rsidRPr="00C46812" w:rsidRDefault="00B5263A">
            <w:pPr>
              <w:spacing w:line="254" w:lineRule="auto"/>
              <w:ind w:left="29"/>
              <w:rPr>
                <w:b/>
                <w:i/>
                <w:sz w:val="24"/>
                <w:szCs w:val="24"/>
              </w:rPr>
            </w:pPr>
            <w:r w:rsidRPr="00C46812">
              <w:rPr>
                <w:b/>
                <w:i/>
                <w:sz w:val="24"/>
                <w:szCs w:val="24"/>
              </w:rPr>
              <w:t>Systemorganklasse</w:t>
            </w:r>
          </w:p>
        </w:tc>
        <w:tc>
          <w:tcPr>
            <w:tcW w:w="4696" w:type="dxa"/>
            <w:tcBorders>
              <w:top w:val="single" w:sz="4" w:space="0" w:color="auto"/>
              <w:left w:val="single" w:sz="4" w:space="0" w:color="auto"/>
              <w:bottom w:val="single" w:sz="4" w:space="0" w:color="auto"/>
              <w:right w:val="single" w:sz="4" w:space="0" w:color="auto"/>
            </w:tcBorders>
            <w:hideMark/>
          </w:tcPr>
          <w:p w14:paraId="5FEC13CC" w14:textId="77777777" w:rsidR="00B5263A" w:rsidRPr="00C46812" w:rsidRDefault="00B5263A">
            <w:pPr>
              <w:spacing w:line="254" w:lineRule="auto"/>
              <w:ind w:left="70"/>
              <w:rPr>
                <w:b/>
                <w:i/>
                <w:sz w:val="24"/>
                <w:szCs w:val="24"/>
              </w:rPr>
            </w:pPr>
            <w:r w:rsidRPr="00C46812">
              <w:rPr>
                <w:b/>
                <w:i/>
                <w:sz w:val="24"/>
                <w:szCs w:val="24"/>
              </w:rPr>
              <w:t>Bivirkning</w:t>
            </w:r>
          </w:p>
        </w:tc>
      </w:tr>
      <w:tr w:rsidR="00B5263A" w:rsidRPr="00C46812" w14:paraId="092905F9" w14:textId="77777777" w:rsidTr="0083539E">
        <w:tc>
          <w:tcPr>
            <w:tcW w:w="4092" w:type="dxa"/>
            <w:tcBorders>
              <w:top w:val="single" w:sz="4" w:space="0" w:color="auto"/>
              <w:left w:val="single" w:sz="4" w:space="0" w:color="auto"/>
              <w:bottom w:val="single" w:sz="4" w:space="0" w:color="auto"/>
              <w:right w:val="single" w:sz="4" w:space="0" w:color="auto"/>
            </w:tcBorders>
          </w:tcPr>
          <w:p w14:paraId="779F64ED" w14:textId="272E3201" w:rsidR="00B5263A" w:rsidRPr="00C46812" w:rsidRDefault="00B5263A" w:rsidP="009D4C7D">
            <w:pPr>
              <w:spacing w:line="254" w:lineRule="auto"/>
              <w:ind w:left="29"/>
              <w:rPr>
                <w:b/>
                <w:bCs/>
                <w:iCs/>
                <w:sz w:val="24"/>
                <w:szCs w:val="24"/>
              </w:rPr>
            </w:pPr>
            <w:r w:rsidRPr="00C46812">
              <w:rPr>
                <w:b/>
                <w:bCs/>
                <w:iCs/>
                <w:sz w:val="24"/>
                <w:szCs w:val="24"/>
              </w:rPr>
              <w:t>Immunsystemet</w:t>
            </w:r>
          </w:p>
        </w:tc>
        <w:tc>
          <w:tcPr>
            <w:tcW w:w="4696" w:type="dxa"/>
            <w:tcBorders>
              <w:top w:val="single" w:sz="4" w:space="0" w:color="auto"/>
              <w:left w:val="single" w:sz="4" w:space="0" w:color="auto"/>
              <w:bottom w:val="single" w:sz="4" w:space="0" w:color="auto"/>
              <w:right w:val="single" w:sz="4" w:space="0" w:color="auto"/>
            </w:tcBorders>
          </w:tcPr>
          <w:p w14:paraId="38EFD72D" w14:textId="77777777" w:rsidR="00B5263A" w:rsidRPr="00C46812" w:rsidRDefault="00B5263A">
            <w:pPr>
              <w:spacing w:line="254" w:lineRule="auto"/>
              <w:ind w:left="70"/>
              <w:rPr>
                <w:sz w:val="24"/>
                <w:szCs w:val="24"/>
              </w:rPr>
            </w:pPr>
            <w:r w:rsidRPr="00C46812">
              <w:rPr>
                <w:sz w:val="24"/>
                <w:szCs w:val="24"/>
              </w:rPr>
              <w:t xml:space="preserve">Allergiske reaktioner inklusive </w:t>
            </w:r>
            <w:proofErr w:type="spellStart"/>
            <w:r w:rsidRPr="00C46812">
              <w:rPr>
                <w:sz w:val="24"/>
                <w:szCs w:val="24"/>
              </w:rPr>
              <w:t>anafylaktisk</w:t>
            </w:r>
            <w:proofErr w:type="spellEnd"/>
            <w:r w:rsidRPr="00C46812">
              <w:rPr>
                <w:sz w:val="24"/>
                <w:szCs w:val="24"/>
              </w:rPr>
              <w:t xml:space="preserve"> reaktion, dyspnø og hudreaktioner (se nedenstående)</w:t>
            </w:r>
          </w:p>
          <w:p w14:paraId="641EB595" w14:textId="77777777" w:rsidR="00B5263A" w:rsidRPr="00C46812" w:rsidRDefault="00B5263A">
            <w:pPr>
              <w:spacing w:line="254" w:lineRule="auto"/>
              <w:ind w:left="70"/>
              <w:rPr>
                <w:i/>
                <w:sz w:val="24"/>
                <w:szCs w:val="24"/>
              </w:rPr>
            </w:pPr>
          </w:p>
        </w:tc>
      </w:tr>
      <w:tr w:rsidR="00B5263A" w:rsidRPr="00C46812" w14:paraId="0997D4B2" w14:textId="77777777" w:rsidTr="0083539E">
        <w:tc>
          <w:tcPr>
            <w:tcW w:w="4092" w:type="dxa"/>
            <w:tcBorders>
              <w:top w:val="single" w:sz="4" w:space="0" w:color="auto"/>
              <w:left w:val="single" w:sz="4" w:space="0" w:color="auto"/>
              <w:bottom w:val="single" w:sz="4" w:space="0" w:color="auto"/>
              <w:right w:val="single" w:sz="4" w:space="0" w:color="auto"/>
            </w:tcBorders>
            <w:hideMark/>
          </w:tcPr>
          <w:p w14:paraId="05D6EA11" w14:textId="77777777" w:rsidR="00B5263A" w:rsidRPr="00C46812" w:rsidRDefault="00B5263A">
            <w:pPr>
              <w:spacing w:line="254" w:lineRule="auto"/>
              <w:ind w:left="29"/>
              <w:rPr>
                <w:b/>
                <w:bCs/>
                <w:iCs/>
                <w:sz w:val="24"/>
                <w:szCs w:val="24"/>
                <w:lang w:bidi="da-DK"/>
              </w:rPr>
            </w:pPr>
            <w:r w:rsidRPr="00C46812">
              <w:rPr>
                <w:b/>
                <w:bCs/>
                <w:iCs/>
                <w:sz w:val="24"/>
                <w:szCs w:val="24"/>
                <w:lang w:bidi="da-DK"/>
              </w:rPr>
              <w:t>Hud og subkutane væv</w:t>
            </w:r>
          </w:p>
        </w:tc>
        <w:tc>
          <w:tcPr>
            <w:tcW w:w="4696" w:type="dxa"/>
            <w:tcBorders>
              <w:top w:val="single" w:sz="4" w:space="0" w:color="auto"/>
              <w:left w:val="single" w:sz="4" w:space="0" w:color="auto"/>
              <w:bottom w:val="single" w:sz="4" w:space="0" w:color="auto"/>
              <w:right w:val="single" w:sz="4" w:space="0" w:color="auto"/>
            </w:tcBorders>
            <w:hideMark/>
          </w:tcPr>
          <w:p w14:paraId="634C68F6" w14:textId="3E4C686D" w:rsidR="00B5263A" w:rsidRDefault="00B5263A">
            <w:pPr>
              <w:spacing w:line="254" w:lineRule="auto"/>
              <w:ind w:left="70"/>
              <w:rPr>
                <w:sz w:val="24"/>
                <w:szCs w:val="24"/>
                <w:lang w:bidi="da-DK"/>
              </w:rPr>
            </w:pPr>
            <w:r w:rsidRPr="00C46812">
              <w:rPr>
                <w:sz w:val="24"/>
                <w:szCs w:val="24"/>
                <w:lang w:bidi="da-DK"/>
              </w:rPr>
              <w:t xml:space="preserve">Allergiske hudreaktioner inklusiv </w:t>
            </w:r>
            <w:proofErr w:type="spellStart"/>
            <w:r w:rsidRPr="00C46812">
              <w:rPr>
                <w:sz w:val="24"/>
                <w:szCs w:val="24"/>
                <w:lang w:bidi="da-DK"/>
              </w:rPr>
              <w:t>angioødem</w:t>
            </w:r>
            <w:proofErr w:type="spellEnd"/>
            <w:r w:rsidRPr="00C46812">
              <w:rPr>
                <w:sz w:val="24"/>
                <w:szCs w:val="24"/>
                <w:lang w:bidi="da-DK"/>
              </w:rPr>
              <w:t xml:space="preserve">, </w:t>
            </w:r>
            <w:proofErr w:type="spellStart"/>
            <w:r w:rsidRPr="00C46812">
              <w:rPr>
                <w:sz w:val="24"/>
                <w:szCs w:val="24"/>
                <w:lang w:bidi="da-DK"/>
              </w:rPr>
              <w:t>urticaria</w:t>
            </w:r>
            <w:proofErr w:type="spellEnd"/>
            <w:r w:rsidRPr="00C46812">
              <w:rPr>
                <w:sz w:val="24"/>
                <w:szCs w:val="24"/>
                <w:lang w:bidi="da-DK"/>
              </w:rPr>
              <w:t xml:space="preserve">, </w:t>
            </w:r>
            <w:proofErr w:type="spellStart"/>
            <w:r w:rsidRPr="00C46812">
              <w:rPr>
                <w:sz w:val="24"/>
                <w:szCs w:val="24"/>
                <w:lang w:bidi="da-DK"/>
              </w:rPr>
              <w:t>pruritus</w:t>
            </w:r>
            <w:proofErr w:type="spellEnd"/>
            <w:r w:rsidRPr="00C46812">
              <w:rPr>
                <w:sz w:val="24"/>
                <w:szCs w:val="24"/>
                <w:lang w:bidi="da-DK"/>
              </w:rPr>
              <w:t xml:space="preserve">, udslæt og </w:t>
            </w:r>
            <w:proofErr w:type="spellStart"/>
            <w:r w:rsidRPr="00C46812">
              <w:rPr>
                <w:sz w:val="24"/>
                <w:szCs w:val="24"/>
                <w:lang w:bidi="da-DK"/>
              </w:rPr>
              <w:t>erythem</w:t>
            </w:r>
            <w:proofErr w:type="spellEnd"/>
          </w:p>
          <w:p w14:paraId="144EF3C5" w14:textId="77777777" w:rsidR="00C46812" w:rsidRPr="00C46812" w:rsidRDefault="00C46812">
            <w:pPr>
              <w:spacing w:line="254" w:lineRule="auto"/>
              <w:ind w:left="70"/>
              <w:rPr>
                <w:sz w:val="24"/>
                <w:szCs w:val="24"/>
                <w:lang w:bidi="da-DK"/>
              </w:rPr>
            </w:pPr>
          </w:p>
          <w:p w14:paraId="20DE4207" w14:textId="13EF6D9A" w:rsidR="009D4C7D" w:rsidRPr="00C46812" w:rsidRDefault="009D4C7D">
            <w:pPr>
              <w:spacing w:line="254" w:lineRule="auto"/>
              <w:ind w:left="70"/>
              <w:rPr>
                <w:sz w:val="24"/>
                <w:szCs w:val="24"/>
                <w:lang w:bidi="da-DK"/>
              </w:rPr>
            </w:pPr>
          </w:p>
        </w:tc>
      </w:tr>
      <w:tr w:rsidR="00B5263A" w:rsidRPr="00C46812" w14:paraId="0E09E254" w14:textId="77777777" w:rsidTr="0083539E">
        <w:tc>
          <w:tcPr>
            <w:tcW w:w="4092" w:type="dxa"/>
            <w:tcBorders>
              <w:top w:val="single" w:sz="4" w:space="0" w:color="auto"/>
              <w:left w:val="single" w:sz="4" w:space="0" w:color="auto"/>
              <w:bottom w:val="single" w:sz="4" w:space="0" w:color="auto"/>
              <w:right w:val="single" w:sz="4" w:space="0" w:color="auto"/>
            </w:tcBorders>
          </w:tcPr>
          <w:p w14:paraId="1EF18CE1" w14:textId="32411FF0" w:rsidR="00B5263A" w:rsidRPr="00C46812" w:rsidRDefault="00B5263A" w:rsidP="009D4C7D">
            <w:pPr>
              <w:spacing w:line="254" w:lineRule="auto"/>
              <w:ind w:left="29"/>
              <w:rPr>
                <w:b/>
                <w:bCs/>
                <w:iCs/>
                <w:sz w:val="24"/>
                <w:szCs w:val="24"/>
                <w:lang w:bidi="da-DK"/>
              </w:rPr>
            </w:pPr>
            <w:r w:rsidRPr="00C46812">
              <w:rPr>
                <w:b/>
                <w:bCs/>
                <w:iCs/>
                <w:sz w:val="24"/>
                <w:szCs w:val="24"/>
                <w:lang w:bidi="da-DK"/>
              </w:rPr>
              <w:t>Metabolisme og ernæring</w:t>
            </w:r>
          </w:p>
        </w:tc>
        <w:tc>
          <w:tcPr>
            <w:tcW w:w="4696" w:type="dxa"/>
            <w:tcBorders>
              <w:top w:val="single" w:sz="4" w:space="0" w:color="auto"/>
              <w:left w:val="single" w:sz="4" w:space="0" w:color="auto"/>
              <w:bottom w:val="single" w:sz="4" w:space="0" w:color="auto"/>
              <w:right w:val="single" w:sz="4" w:space="0" w:color="auto"/>
            </w:tcBorders>
          </w:tcPr>
          <w:p w14:paraId="33B64DE2" w14:textId="4B956B91" w:rsidR="00B5263A" w:rsidRPr="00C46812" w:rsidRDefault="00B5263A">
            <w:pPr>
              <w:spacing w:line="252" w:lineRule="auto"/>
              <w:ind w:left="70"/>
              <w:rPr>
                <w:sz w:val="24"/>
                <w:szCs w:val="24"/>
                <w:lang w:bidi="da-DK"/>
              </w:rPr>
            </w:pPr>
            <w:r w:rsidRPr="00C46812">
              <w:rPr>
                <w:sz w:val="24"/>
                <w:szCs w:val="24"/>
                <w:lang w:bidi="da-DK"/>
              </w:rPr>
              <w:t xml:space="preserve">Elektrolytforstyrrelser, især </w:t>
            </w:r>
            <w:proofErr w:type="spellStart"/>
            <w:r w:rsidRPr="00C46812">
              <w:rPr>
                <w:sz w:val="24"/>
                <w:szCs w:val="24"/>
                <w:lang w:bidi="da-DK"/>
              </w:rPr>
              <w:t>hyperkaliæmi</w:t>
            </w:r>
            <w:proofErr w:type="spellEnd"/>
            <w:r w:rsidRPr="00C46812">
              <w:rPr>
                <w:sz w:val="24"/>
                <w:szCs w:val="24"/>
                <w:lang w:bidi="da-DK"/>
              </w:rPr>
              <w:t xml:space="preserve">, </w:t>
            </w:r>
            <w:proofErr w:type="spellStart"/>
            <w:r w:rsidRPr="00C46812">
              <w:rPr>
                <w:sz w:val="24"/>
                <w:szCs w:val="24"/>
                <w:lang w:bidi="da-DK"/>
              </w:rPr>
              <w:t>hypokaliæmi</w:t>
            </w:r>
            <w:proofErr w:type="spellEnd"/>
            <w:r w:rsidRPr="00C46812">
              <w:rPr>
                <w:sz w:val="24"/>
                <w:szCs w:val="24"/>
                <w:lang w:bidi="da-DK"/>
              </w:rPr>
              <w:t>)</w:t>
            </w:r>
          </w:p>
          <w:p w14:paraId="73D6AF24" w14:textId="77777777" w:rsidR="00B5263A" w:rsidRPr="00C46812" w:rsidRDefault="00B5263A">
            <w:pPr>
              <w:spacing w:line="254" w:lineRule="auto"/>
              <w:ind w:left="70"/>
              <w:rPr>
                <w:sz w:val="24"/>
                <w:szCs w:val="24"/>
                <w:lang w:bidi="da-DK"/>
              </w:rPr>
            </w:pPr>
          </w:p>
        </w:tc>
      </w:tr>
      <w:tr w:rsidR="00B5263A" w:rsidRPr="00C46812" w14:paraId="6812CACF" w14:textId="77777777" w:rsidTr="0083539E">
        <w:tc>
          <w:tcPr>
            <w:tcW w:w="4092" w:type="dxa"/>
            <w:tcBorders>
              <w:top w:val="single" w:sz="4" w:space="0" w:color="auto"/>
              <w:left w:val="single" w:sz="4" w:space="0" w:color="auto"/>
              <w:bottom w:val="single" w:sz="4" w:space="0" w:color="auto"/>
              <w:right w:val="single" w:sz="4" w:space="0" w:color="auto"/>
            </w:tcBorders>
          </w:tcPr>
          <w:p w14:paraId="271C332F" w14:textId="0563922B" w:rsidR="00B5263A" w:rsidRPr="00C46812" w:rsidRDefault="00B5263A" w:rsidP="009D4C7D">
            <w:pPr>
              <w:spacing w:line="254" w:lineRule="auto"/>
              <w:ind w:left="29"/>
              <w:rPr>
                <w:b/>
                <w:bCs/>
                <w:iCs/>
                <w:sz w:val="24"/>
                <w:szCs w:val="24"/>
              </w:rPr>
            </w:pPr>
            <w:r w:rsidRPr="00C46812">
              <w:rPr>
                <w:b/>
                <w:bCs/>
                <w:iCs/>
                <w:sz w:val="24"/>
                <w:szCs w:val="24"/>
                <w:lang w:bidi="da-DK"/>
              </w:rPr>
              <w:t>Nervesystemet</w:t>
            </w:r>
          </w:p>
        </w:tc>
        <w:tc>
          <w:tcPr>
            <w:tcW w:w="4696" w:type="dxa"/>
            <w:tcBorders>
              <w:top w:val="single" w:sz="4" w:space="0" w:color="auto"/>
              <w:left w:val="single" w:sz="4" w:space="0" w:color="auto"/>
              <w:bottom w:val="single" w:sz="4" w:space="0" w:color="auto"/>
              <w:right w:val="single" w:sz="4" w:space="0" w:color="auto"/>
            </w:tcBorders>
          </w:tcPr>
          <w:p w14:paraId="7FE45D60" w14:textId="77777777" w:rsidR="00B5263A" w:rsidRPr="00C46812" w:rsidRDefault="00B5263A">
            <w:pPr>
              <w:spacing w:line="254" w:lineRule="auto"/>
              <w:ind w:left="70"/>
              <w:rPr>
                <w:sz w:val="24"/>
                <w:szCs w:val="24"/>
                <w:lang w:bidi="da-DK"/>
              </w:rPr>
            </w:pPr>
            <w:r w:rsidRPr="00C46812">
              <w:rPr>
                <w:sz w:val="24"/>
                <w:szCs w:val="24"/>
                <w:lang w:bidi="da-DK"/>
              </w:rPr>
              <w:t>Hovedpine</w:t>
            </w:r>
          </w:p>
          <w:p w14:paraId="76DF1AC4" w14:textId="77777777" w:rsidR="00B5263A" w:rsidRPr="00C46812" w:rsidRDefault="00B5263A">
            <w:pPr>
              <w:spacing w:line="254" w:lineRule="auto"/>
              <w:ind w:left="70"/>
              <w:rPr>
                <w:sz w:val="24"/>
                <w:szCs w:val="24"/>
                <w:lang w:bidi="da-DK"/>
              </w:rPr>
            </w:pPr>
          </w:p>
        </w:tc>
      </w:tr>
      <w:tr w:rsidR="00B5263A" w:rsidRPr="00C46812" w14:paraId="68BA09E3" w14:textId="77777777" w:rsidTr="0083539E">
        <w:tc>
          <w:tcPr>
            <w:tcW w:w="4092" w:type="dxa"/>
            <w:tcBorders>
              <w:top w:val="single" w:sz="4" w:space="0" w:color="auto"/>
              <w:left w:val="single" w:sz="4" w:space="0" w:color="auto"/>
              <w:bottom w:val="single" w:sz="4" w:space="0" w:color="auto"/>
              <w:right w:val="single" w:sz="4" w:space="0" w:color="auto"/>
            </w:tcBorders>
          </w:tcPr>
          <w:p w14:paraId="4D9B3906" w14:textId="07731049" w:rsidR="00B5263A" w:rsidRPr="00C46812" w:rsidRDefault="00B5263A" w:rsidP="009D4C7D">
            <w:pPr>
              <w:spacing w:line="254" w:lineRule="auto"/>
              <w:ind w:left="29"/>
              <w:rPr>
                <w:b/>
                <w:bCs/>
                <w:iCs/>
                <w:sz w:val="24"/>
                <w:szCs w:val="24"/>
              </w:rPr>
            </w:pPr>
            <w:r w:rsidRPr="00C46812">
              <w:rPr>
                <w:b/>
                <w:bCs/>
                <w:iCs/>
                <w:sz w:val="24"/>
                <w:szCs w:val="24"/>
              </w:rPr>
              <w:lastRenderedPageBreak/>
              <w:t>Mave-tarm-kanalen</w:t>
            </w:r>
          </w:p>
        </w:tc>
        <w:tc>
          <w:tcPr>
            <w:tcW w:w="4696" w:type="dxa"/>
            <w:tcBorders>
              <w:top w:val="single" w:sz="4" w:space="0" w:color="auto"/>
              <w:left w:val="single" w:sz="4" w:space="0" w:color="auto"/>
              <w:bottom w:val="single" w:sz="4" w:space="0" w:color="auto"/>
              <w:right w:val="single" w:sz="4" w:space="0" w:color="auto"/>
            </w:tcBorders>
          </w:tcPr>
          <w:p w14:paraId="56E76AAD" w14:textId="77777777" w:rsidR="00B5263A" w:rsidRPr="00C46812" w:rsidRDefault="00B5263A">
            <w:pPr>
              <w:spacing w:line="254" w:lineRule="auto"/>
              <w:ind w:left="70"/>
              <w:rPr>
                <w:sz w:val="24"/>
                <w:szCs w:val="24"/>
                <w:lang w:bidi="da-DK"/>
              </w:rPr>
            </w:pPr>
            <w:r w:rsidRPr="00C46812">
              <w:rPr>
                <w:sz w:val="24"/>
                <w:szCs w:val="24"/>
                <w:lang w:bidi="da-DK"/>
              </w:rPr>
              <w:t>Mavesmerter, diarré, opkastning, kvalme, d</w:t>
            </w:r>
            <w:r w:rsidRPr="00C46812">
              <w:rPr>
                <w:sz w:val="24"/>
                <w:szCs w:val="24"/>
              </w:rPr>
              <w:t xml:space="preserve">yspepsi, </w:t>
            </w:r>
            <w:proofErr w:type="spellStart"/>
            <w:r w:rsidRPr="00C46812">
              <w:rPr>
                <w:sz w:val="24"/>
                <w:szCs w:val="24"/>
              </w:rPr>
              <w:t>abdominal</w:t>
            </w:r>
            <w:proofErr w:type="spellEnd"/>
            <w:r w:rsidRPr="00C46812">
              <w:rPr>
                <w:sz w:val="24"/>
                <w:szCs w:val="24"/>
              </w:rPr>
              <w:t xml:space="preserve"> udspiling</w:t>
            </w:r>
            <w:r w:rsidRPr="00C46812">
              <w:rPr>
                <w:sz w:val="24"/>
                <w:szCs w:val="24"/>
                <w:lang w:bidi="da-DK"/>
              </w:rPr>
              <w:t xml:space="preserve">, </w:t>
            </w:r>
            <w:proofErr w:type="spellStart"/>
            <w:r w:rsidRPr="00C46812">
              <w:rPr>
                <w:sz w:val="24"/>
                <w:szCs w:val="24"/>
                <w:lang w:bidi="da-DK"/>
              </w:rPr>
              <w:t>borborygmi</w:t>
            </w:r>
            <w:proofErr w:type="spellEnd"/>
            <w:r w:rsidRPr="00C46812">
              <w:rPr>
                <w:sz w:val="24"/>
                <w:szCs w:val="24"/>
                <w:lang w:bidi="da-DK"/>
              </w:rPr>
              <w:t xml:space="preserve">, </w:t>
            </w:r>
            <w:proofErr w:type="spellStart"/>
            <w:r w:rsidRPr="00C46812">
              <w:rPr>
                <w:sz w:val="24"/>
                <w:szCs w:val="24"/>
                <w:lang w:bidi="da-DK"/>
              </w:rPr>
              <w:t>flatulens</w:t>
            </w:r>
            <w:proofErr w:type="spellEnd"/>
            <w:r w:rsidRPr="00C46812">
              <w:rPr>
                <w:sz w:val="24"/>
                <w:szCs w:val="24"/>
                <w:lang w:bidi="da-DK"/>
              </w:rPr>
              <w:t xml:space="preserve"> og </w:t>
            </w:r>
            <w:proofErr w:type="spellStart"/>
            <w:r w:rsidRPr="00C46812">
              <w:rPr>
                <w:sz w:val="24"/>
                <w:szCs w:val="24"/>
                <w:lang w:bidi="da-DK"/>
              </w:rPr>
              <w:t>a</w:t>
            </w:r>
            <w:r w:rsidRPr="00C46812">
              <w:rPr>
                <w:sz w:val="24"/>
                <w:szCs w:val="24"/>
              </w:rPr>
              <w:t>norektal</w:t>
            </w:r>
            <w:proofErr w:type="spellEnd"/>
            <w:r w:rsidRPr="00C46812">
              <w:rPr>
                <w:sz w:val="24"/>
                <w:szCs w:val="24"/>
              </w:rPr>
              <w:t xml:space="preserve"> irritation</w:t>
            </w:r>
          </w:p>
          <w:p w14:paraId="06F46457" w14:textId="77777777" w:rsidR="00B5263A" w:rsidRPr="00C46812" w:rsidRDefault="00B5263A">
            <w:pPr>
              <w:spacing w:line="254" w:lineRule="auto"/>
              <w:ind w:left="70"/>
              <w:rPr>
                <w:sz w:val="24"/>
                <w:szCs w:val="24"/>
                <w:lang w:bidi="da-DK"/>
              </w:rPr>
            </w:pPr>
          </w:p>
        </w:tc>
      </w:tr>
      <w:tr w:rsidR="00B5263A" w:rsidRPr="00C46812" w14:paraId="41161A6E" w14:textId="77777777" w:rsidTr="0083539E">
        <w:tc>
          <w:tcPr>
            <w:tcW w:w="4092" w:type="dxa"/>
            <w:tcBorders>
              <w:top w:val="single" w:sz="4" w:space="0" w:color="auto"/>
              <w:left w:val="single" w:sz="4" w:space="0" w:color="auto"/>
              <w:bottom w:val="single" w:sz="4" w:space="0" w:color="auto"/>
              <w:right w:val="single" w:sz="4" w:space="0" w:color="auto"/>
            </w:tcBorders>
          </w:tcPr>
          <w:p w14:paraId="3BCBC1DC" w14:textId="644468AE" w:rsidR="00B5263A" w:rsidRPr="00C46812" w:rsidRDefault="00B5263A" w:rsidP="009D4C7D">
            <w:pPr>
              <w:spacing w:line="254" w:lineRule="auto"/>
              <w:ind w:left="29"/>
              <w:rPr>
                <w:b/>
                <w:bCs/>
                <w:iCs/>
                <w:sz w:val="24"/>
                <w:szCs w:val="24"/>
              </w:rPr>
            </w:pPr>
            <w:r w:rsidRPr="00C46812">
              <w:rPr>
                <w:b/>
                <w:bCs/>
                <w:iCs/>
                <w:sz w:val="24"/>
                <w:szCs w:val="24"/>
                <w:lang w:bidi="da-DK"/>
              </w:rPr>
              <w:t>Almene symptomer og reaktioner på administrationsstedet</w:t>
            </w:r>
          </w:p>
        </w:tc>
        <w:tc>
          <w:tcPr>
            <w:tcW w:w="4696" w:type="dxa"/>
            <w:tcBorders>
              <w:top w:val="single" w:sz="4" w:space="0" w:color="auto"/>
              <w:left w:val="single" w:sz="4" w:space="0" w:color="auto"/>
              <w:bottom w:val="single" w:sz="4" w:space="0" w:color="auto"/>
              <w:right w:val="single" w:sz="4" w:space="0" w:color="auto"/>
            </w:tcBorders>
          </w:tcPr>
          <w:p w14:paraId="25EAF06C" w14:textId="2F70C2D7" w:rsidR="00B5263A" w:rsidRPr="00C46812" w:rsidRDefault="00B5263A" w:rsidP="009D4C7D">
            <w:pPr>
              <w:spacing w:line="254" w:lineRule="auto"/>
              <w:ind w:left="70"/>
              <w:rPr>
                <w:sz w:val="24"/>
                <w:szCs w:val="24"/>
                <w:lang w:bidi="da-DK"/>
              </w:rPr>
            </w:pPr>
            <w:r w:rsidRPr="00C46812">
              <w:rPr>
                <w:sz w:val="24"/>
                <w:szCs w:val="24"/>
                <w:lang w:bidi="da-DK"/>
              </w:rPr>
              <w:t>Perifert ødem</w:t>
            </w:r>
          </w:p>
        </w:tc>
      </w:tr>
    </w:tbl>
    <w:p w14:paraId="21F00E0B" w14:textId="77777777" w:rsidR="00B5263A" w:rsidRPr="00C46812" w:rsidRDefault="00B5263A" w:rsidP="0083539E">
      <w:pPr>
        <w:ind w:left="851"/>
        <w:rPr>
          <w:noProof/>
          <w:sz w:val="24"/>
          <w:szCs w:val="24"/>
        </w:rPr>
      </w:pPr>
    </w:p>
    <w:p w14:paraId="1157764B" w14:textId="77777777" w:rsidR="00B5263A" w:rsidRPr="00C46812" w:rsidRDefault="00B5263A" w:rsidP="0083539E">
      <w:pPr>
        <w:ind w:left="851"/>
        <w:rPr>
          <w:sz w:val="24"/>
          <w:szCs w:val="24"/>
          <w:u w:val="single"/>
        </w:rPr>
      </w:pPr>
      <w:r w:rsidRPr="00C46812">
        <w:rPr>
          <w:noProof/>
          <w:sz w:val="24"/>
          <w:szCs w:val="24"/>
          <w:u w:val="single"/>
        </w:rPr>
        <w:t>Indberetning af formodede bivirkninger</w:t>
      </w:r>
    </w:p>
    <w:p w14:paraId="6361DADC" w14:textId="77777777" w:rsidR="00B5263A" w:rsidRPr="00C46812" w:rsidRDefault="00B5263A" w:rsidP="0083539E">
      <w:pPr>
        <w:ind w:left="851"/>
        <w:rPr>
          <w:noProof/>
          <w:sz w:val="24"/>
          <w:szCs w:val="24"/>
        </w:rPr>
      </w:pPr>
      <w:r w:rsidRPr="00C46812">
        <w:rPr>
          <w:noProof/>
          <w:sz w:val="24"/>
          <w:szCs w:val="24"/>
        </w:rPr>
        <w:t>Når lægemidlet er godkendt, er indberetning af formodede bivirkninger vigtig.</w:t>
      </w:r>
      <w:r w:rsidRPr="00C46812">
        <w:rPr>
          <w:sz w:val="24"/>
          <w:szCs w:val="24"/>
        </w:rPr>
        <w:t xml:space="preserve"> </w:t>
      </w:r>
      <w:r w:rsidRPr="00C46812">
        <w:rPr>
          <w:noProof/>
          <w:sz w:val="24"/>
          <w:szCs w:val="24"/>
        </w:rPr>
        <w:t>Det muliggør løbende overvågning af benefit/risk-forholdet for lægemidlet.</w:t>
      </w:r>
      <w:r w:rsidRPr="00C46812">
        <w:rPr>
          <w:sz w:val="24"/>
          <w:szCs w:val="24"/>
        </w:rPr>
        <w:t xml:space="preserve"> </w:t>
      </w:r>
      <w:r w:rsidRPr="00C46812">
        <w:rPr>
          <w:noProof/>
          <w:sz w:val="24"/>
          <w:szCs w:val="24"/>
        </w:rPr>
        <w:t xml:space="preserve">Sundhedspersoner anmodes om at indberette alle formodede bivirkninger via </w:t>
      </w:r>
    </w:p>
    <w:p w14:paraId="3C160BEE" w14:textId="77777777" w:rsidR="00B5263A" w:rsidRPr="00C46812" w:rsidRDefault="00B5263A" w:rsidP="0083539E">
      <w:pPr>
        <w:ind w:left="851"/>
        <w:rPr>
          <w:noProof/>
          <w:sz w:val="24"/>
          <w:szCs w:val="24"/>
        </w:rPr>
      </w:pPr>
    </w:p>
    <w:p w14:paraId="34D4736B" w14:textId="77777777" w:rsidR="00B5263A" w:rsidRPr="00C46812" w:rsidRDefault="00B5263A" w:rsidP="0083539E">
      <w:pPr>
        <w:ind w:left="851"/>
        <w:rPr>
          <w:color w:val="000000"/>
          <w:sz w:val="24"/>
          <w:szCs w:val="24"/>
        </w:rPr>
      </w:pPr>
      <w:r w:rsidRPr="00C46812">
        <w:rPr>
          <w:color w:val="000000"/>
          <w:sz w:val="24"/>
          <w:szCs w:val="24"/>
        </w:rPr>
        <w:t>Lægemiddelstyrelsen</w:t>
      </w:r>
    </w:p>
    <w:p w14:paraId="555C8E10" w14:textId="77777777" w:rsidR="00B5263A" w:rsidRPr="00C46812" w:rsidRDefault="00B5263A" w:rsidP="0083539E">
      <w:pPr>
        <w:ind w:left="851"/>
        <w:rPr>
          <w:color w:val="000000"/>
          <w:sz w:val="24"/>
          <w:szCs w:val="24"/>
        </w:rPr>
      </w:pPr>
      <w:r w:rsidRPr="00C46812">
        <w:rPr>
          <w:color w:val="000000"/>
          <w:sz w:val="24"/>
          <w:szCs w:val="24"/>
        </w:rPr>
        <w:t>Axel Heides Gade 1</w:t>
      </w:r>
    </w:p>
    <w:p w14:paraId="5AC2CC82" w14:textId="77777777" w:rsidR="00B5263A" w:rsidRPr="00C46812" w:rsidRDefault="00B5263A" w:rsidP="0083539E">
      <w:pPr>
        <w:ind w:left="851"/>
        <w:rPr>
          <w:color w:val="000000"/>
          <w:sz w:val="24"/>
          <w:szCs w:val="24"/>
        </w:rPr>
      </w:pPr>
      <w:r w:rsidRPr="00C46812">
        <w:rPr>
          <w:color w:val="000000"/>
          <w:sz w:val="24"/>
          <w:szCs w:val="24"/>
        </w:rPr>
        <w:t>DK-2300 København S</w:t>
      </w:r>
    </w:p>
    <w:p w14:paraId="7E2C891D" w14:textId="77777777" w:rsidR="00B5263A" w:rsidRPr="00C46812" w:rsidRDefault="00B5263A" w:rsidP="0083539E">
      <w:pPr>
        <w:ind w:left="851"/>
        <w:rPr>
          <w:color w:val="000000"/>
          <w:sz w:val="24"/>
          <w:szCs w:val="24"/>
        </w:rPr>
      </w:pPr>
      <w:r w:rsidRPr="00C46812">
        <w:rPr>
          <w:color w:val="000000"/>
          <w:sz w:val="24"/>
          <w:szCs w:val="24"/>
        </w:rPr>
        <w:t xml:space="preserve">Websted: </w:t>
      </w:r>
      <w:hyperlink r:id="rId8" w:history="1">
        <w:r w:rsidRPr="00C46812">
          <w:rPr>
            <w:rStyle w:val="Hyperlink"/>
            <w:sz w:val="24"/>
            <w:szCs w:val="24"/>
          </w:rPr>
          <w:t>www.meldenbivirkning.dk</w:t>
        </w:r>
      </w:hyperlink>
    </w:p>
    <w:p w14:paraId="0D952156" w14:textId="77777777" w:rsidR="00B5263A" w:rsidRPr="00C46812" w:rsidRDefault="00B5263A" w:rsidP="0083539E">
      <w:pPr>
        <w:ind w:left="851"/>
        <w:rPr>
          <w:color w:val="000000"/>
          <w:sz w:val="24"/>
          <w:szCs w:val="24"/>
        </w:rPr>
      </w:pPr>
    </w:p>
    <w:p w14:paraId="2D2CA733" w14:textId="77777777" w:rsidR="00B5263A" w:rsidRPr="00C46812" w:rsidRDefault="00B5263A" w:rsidP="0083539E">
      <w:pPr>
        <w:ind w:left="851"/>
        <w:rPr>
          <w:color w:val="000000"/>
          <w:sz w:val="24"/>
          <w:szCs w:val="24"/>
        </w:rPr>
      </w:pPr>
      <w:r w:rsidRPr="00C46812">
        <w:rPr>
          <w:color w:val="000000"/>
          <w:sz w:val="24"/>
          <w:szCs w:val="24"/>
        </w:rPr>
        <w:t>Ved at indrapportere bivirkninger kan du hjælpe med at fremskaffe mere information om sikkerheden af dette lægemiddel.</w:t>
      </w:r>
    </w:p>
    <w:p w14:paraId="6182AE25" w14:textId="77777777" w:rsidR="009260DE" w:rsidRPr="00C46812" w:rsidRDefault="009260DE" w:rsidP="00A10294">
      <w:pPr>
        <w:tabs>
          <w:tab w:val="left" w:pos="851"/>
        </w:tabs>
        <w:ind w:left="851"/>
        <w:rPr>
          <w:sz w:val="24"/>
          <w:szCs w:val="24"/>
        </w:rPr>
      </w:pPr>
    </w:p>
    <w:p w14:paraId="6D5FA458" w14:textId="77777777" w:rsidR="009260DE" w:rsidRPr="00C46812" w:rsidRDefault="009260DE" w:rsidP="009260DE">
      <w:pPr>
        <w:tabs>
          <w:tab w:val="left" w:pos="851"/>
        </w:tabs>
        <w:ind w:left="851" w:hanging="851"/>
        <w:rPr>
          <w:b/>
          <w:sz w:val="24"/>
          <w:szCs w:val="24"/>
        </w:rPr>
      </w:pPr>
      <w:r w:rsidRPr="00C46812">
        <w:rPr>
          <w:b/>
          <w:sz w:val="24"/>
          <w:szCs w:val="24"/>
        </w:rPr>
        <w:t>4.9</w:t>
      </w:r>
      <w:r w:rsidRPr="00C46812">
        <w:rPr>
          <w:b/>
          <w:sz w:val="24"/>
          <w:szCs w:val="24"/>
        </w:rPr>
        <w:tab/>
        <w:t>Overdosering</w:t>
      </w:r>
    </w:p>
    <w:p w14:paraId="3ABB6120" w14:textId="77777777" w:rsidR="00B5263A" w:rsidRPr="00C46812" w:rsidRDefault="00B5263A" w:rsidP="0083539E">
      <w:pPr>
        <w:ind w:left="851"/>
        <w:rPr>
          <w:sz w:val="24"/>
          <w:szCs w:val="24"/>
        </w:rPr>
      </w:pPr>
      <w:bookmarkStart w:id="1" w:name="OLE_LINK29"/>
      <w:bookmarkStart w:id="2" w:name="OLE_LINK30"/>
      <w:r w:rsidRPr="00C46812">
        <w:rPr>
          <w:sz w:val="24"/>
          <w:szCs w:val="24"/>
        </w:rPr>
        <w:t xml:space="preserve">Svære mavesmerter eller voldsom </w:t>
      </w:r>
      <w:proofErr w:type="spellStart"/>
      <w:r w:rsidRPr="00C46812">
        <w:rPr>
          <w:sz w:val="24"/>
          <w:szCs w:val="24"/>
        </w:rPr>
        <w:t>udspilen</w:t>
      </w:r>
      <w:proofErr w:type="spellEnd"/>
      <w:r w:rsidRPr="00C46812">
        <w:rPr>
          <w:sz w:val="24"/>
          <w:szCs w:val="24"/>
        </w:rPr>
        <w:t xml:space="preserve"> kan behandles med </w:t>
      </w:r>
      <w:proofErr w:type="spellStart"/>
      <w:r w:rsidRPr="00C46812">
        <w:rPr>
          <w:sz w:val="24"/>
          <w:szCs w:val="24"/>
        </w:rPr>
        <w:t>nasogastrisk</w:t>
      </w:r>
      <w:proofErr w:type="spellEnd"/>
      <w:r w:rsidRPr="00C46812">
        <w:rPr>
          <w:sz w:val="24"/>
          <w:szCs w:val="24"/>
        </w:rPr>
        <w:t xml:space="preserve"> aspiration. Udtalt væsketab som følge af opkastning eller diarré kan nødvendiggøre korrektion af elektrolytforstyrrelser.</w:t>
      </w:r>
      <w:bookmarkEnd w:id="1"/>
      <w:bookmarkEnd w:id="2"/>
    </w:p>
    <w:p w14:paraId="2D89AD40" w14:textId="77777777" w:rsidR="009260DE" w:rsidRPr="00C46812" w:rsidRDefault="009260DE" w:rsidP="009260DE">
      <w:pPr>
        <w:tabs>
          <w:tab w:val="left" w:pos="851"/>
        </w:tabs>
        <w:ind w:left="851"/>
        <w:rPr>
          <w:sz w:val="24"/>
          <w:szCs w:val="24"/>
        </w:rPr>
      </w:pPr>
    </w:p>
    <w:p w14:paraId="15C84C6A" w14:textId="77777777" w:rsidR="009260DE" w:rsidRPr="00C46812" w:rsidRDefault="009260DE" w:rsidP="009260DE">
      <w:pPr>
        <w:tabs>
          <w:tab w:val="left" w:pos="851"/>
        </w:tabs>
        <w:ind w:left="851" w:hanging="851"/>
        <w:rPr>
          <w:b/>
          <w:sz w:val="24"/>
          <w:szCs w:val="24"/>
        </w:rPr>
      </w:pPr>
      <w:r w:rsidRPr="00C46812">
        <w:rPr>
          <w:b/>
          <w:sz w:val="24"/>
          <w:szCs w:val="24"/>
        </w:rPr>
        <w:t>4.10</w:t>
      </w:r>
      <w:r w:rsidRPr="00C46812">
        <w:rPr>
          <w:b/>
          <w:sz w:val="24"/>
          <w:szCs w:val="24"/>
        </w:rPr>
        <w:tab/>
        <w:t>Udlevering</w:t>
      </w:r>
    </w:p>
    <w:p w14:paraId="40284205" w14:textId="1AAFBA1B" w:rsidR="009260DE" w:rsidRPr="00C46812" w:rsidRDefault="00B5263A" w:rsidP="009260DE">
      <w:pPr>
        <w:tabs>
          <w:tab w:val="left" w:pos="851"/>
        </w:tabs>
        <w:ind w:left="851"/>
        <w:rPr>
          <w:sz w:val="24"/>
          <w:szCs w:val="24"/>
        </w:rPr>
      </w:pPr>
      <w:r w:rsidRPr="00C46812">
        <w:rPr>
          <w:sz w:val="24"/>
          <w:szCs w:val="24"/>
        </w:rPr>
        <w:t>HF</w:t>
      </w:r>
    </w:p>
    <w:p w14:paraId="6379868B" w14:textId="77777777" w:rsidR="009260DE" w:rsidRPr="00C46812" w:rsidRDefault="009260DE" w:rsidP="009260DE">
      <w:pPr>
        <w:tabs>
          <w:tab w:val="left" w:pos="851"/>
        </w:tabs>
        <w:ind w:left="851"/>
        <w:rPr>
          <w:sz w:val="24"/>
          <w:szCs w:val="24"/>
        </w:rPr>
      </w:pPr>
    </w:p>
    <w:p w14:paraId="482B5C56" w14:textId="77777777" w:rsidR="009260DE" w:rsidRPr="00C46812" w:rsidRDefault="009260DE" w:rsidP="009260DE">
      <w:pPr>
        <w:tabs>
          <w:tab w:val="left" w:pos="851"/>
        </w:tabs>
        <w:ind w:left="851"/>
        <w:rPr>
          <w:sz w:val="24"/>
          <w:szCs w:val="24"/>
        </w:rPr>
      </w:pPr>
    </w:p>
    <w:p w14:paraId="428220EA" w14:textId="77777777" w:rsidR="009260DE" w:rsidRPr="00C46812" w:rsidRDefault="009260DE" w:rsidP="009260DE">
      <w:pPr>
        <w:tabs>
          <w:tab w:val="left" w:pos="851"/>
        </w:tabs>
        <w:ind w:left="851" w:hanging="851"/>
        <w:rPr>
          <w:b/>
          <w:sz w:val="24"/>
          <w:szCs w:val="24"/>
        </w:rPr>
      </w:pPr>
      <w:r w:rsidRPr="00C46812">
        <w:rPr>
          <w:b/>
          <w:sz w:val="24"/>
          <w:szCs w:val="24"/>
        </w:rPr>
        <w:t>5.</w:t>
      </w:r>
      <w:r w:rsidRPr="00C46812">
        <w:rPr>
          <w:b/>
          <w:sz w:val="24"/>
          <w:szCs w:val="24"/>
        </w:rPr>
        <w:tab/>
        <w:t>FARMAKOLOGISKE EGENSKABER</w:t>
      </w:r>
    </w:p>
    <w:p w14:paraId="15358A66" w14:textId="77777777" w:rsidR="009260DE" w:rsidRPr="00C46812" w:rsidRDefault="009260DE" w:rsidP="009260DE">
      <w:pPr>
        <w:tabs>
          <w:tab w:val="left" w:pos="851"/>
        </w:tabs>
        <w:ind w:left="851"/>
        <w:rPr>
          <w:sz w:val="24"/>
          <w:szCs w:val="24"/>
        </w:rPr>
      </w:pPr>
    </w:p>
    <w:p w14:paraId="420B3948" w14:textId="77777777" w:rsidR="009260DE" w:rsidRPr="00C46812" w:rsidRDefault="009260DE" w:rsidP="009260DE">
      <w:pPr>
        <w:tabs>
          <w:tab w:val="num" w:pos="851"/>
        </w:tabs>
        <w:ind w:left="851" w:hanging="851"/>
        <w:rPr>
          <w:b/>
          <w:sz w:val="24"/>
          <w:szCs w:val="24"/>
        </w:rPr>
      </w:pPr>
      <w:r w:rsidRPr="00C46812">
        <w:rPr>
          <w:b/>
          <w:sz w:val="24"/>
          <w:szCs w:val="24"/>
        </w:rPr>
        <w:t>5.1</w:t>
      </w:r>
      <w:r w:rsidRPr="00C46812">
        <w:rPr>
          <w:b/>
          <w:sz w:val="24"/>
          <w:szCs w:val="24"/>
        </w:rPr>
        <w:tab/>
      </w:r>
      <w:proofErr w:type="spellStart"/>
      <w:r w:rsidRPr="00C46812">
        <w:rPr>
          <w:b/>
          <w:sz w:val="24"/>
          <w:szCs w:val="24"/>
        </w:rPr>
        <w:t>Farmakodynamiske</w:t>
      </w:r>
      <w:proofErr w:type="spellEnd"/>
      <w:r w:rsidRPr="00C46812">
        <w:rPr>
          <w:b/>
          <w:sz w:val="24"/>
          <w:szCs w:val="24"/>
        </w:rPr>
        <w:t xml:space="preserve"> egenskaber</w:t>
      </w:r>
    </w:p>
    <w:p w14:paraId="27149A70" w14:textId="6747564F" w:rsidR="00B5263A" w:rsidRPr="00C46812" w:rsidRDefault="009D4C7D" w:rsidP="009D4C7D">
      <w:pPr>
        <w:ind w:left="851"/>
        <w:rPr>
          <w:sz w:val="24"/>
          <w:szCs w:val="24"/>
        </w:rPr>
      </w:pPr>
      <w:proofErr w:type="spellStart"/>
      <w:r w:rsidRPr="00C46812">
        <w:rPr>
          <w:sz w:val="24"/>
          <w:szCs w:val="24"/>
        </w:rPr>
        <w:t>Farmakoterapeutisk</w:t>
      </w:r>
      <w:proofErr w:type="spellEnd"/>
      <w:r w:rsidRPr="00C46812">
        <w:rPr>
          <w:sz w:val="24"/>
          <w:szCs w:val="24"/>
        </w:rPr>
        <w:t xml:space="preserve"> klassifikation:</w:t>
      </w:r>
      <w:r w:rsidR="00B5263A" w:rsidRPr="00C46812">
        <w:rPr>
          <w:sz w:val="24"/>
          <w:szCs w:val="24"/>
        </w:rPr>
        <w:t xml:space="preserve"> Osmotisk virkende </w:t>
      </w:r>
      <w:proofErr w:type="spellStart"/>
      <w:r w:rsidR="00B5263A" w:rsidRPr="00C46812">
        <w:rPr>
          <w:sz w:val="24"/>
          <w:szCs w:val="24"/>
        </w:rPr>
        <w:t>laksantia</w:t>
      </w:r>
      <w:proofErr w:type="spellEnd"/>
      <w:r w:rsidR="00B5263A" w:rsidRPr="00C46812">
        <w:rPr>
          <w:sz w:val="24"/>
          <w:szCs w:val="24"/>
        </w:rPr>
        <w:t xml:space="preserve"> ATC-kode: A06AD65.</w:t>
      </w:r>
    </w:p>
    <w:p w14:paraId="5C756FF6" w14:textId="77777777" w:rsidR="00B5263A" w:rsidRPr="00C46812" w:rsidRDefault="00B5263A" w:rsidP="0083539E">
      <w:pPr>
        <w:ind w:left="851"/>
        <w:rPr>
          <w:sz w:val="24"/>
          <w:szCs w:val="24"/>
        </w:rPr>
      </w:pPr>
    </w:p>
    <w:p w14:paraId="20550FD4" w14:textId="77777777" w:rsidR="00B5263A" w:rsidRPr="00C46812" w:rsidRDefault="00B5263A" w:rsidP="0083539E">
      <w:pPr>
        <w:ind w:left="851"/>
        <w:rPr>
          <w:sz w:val="24"/>
          <w:szCs w:val="24"/>
          <w:u w:val="single"/>
        </w:rPr>
      </w:pPr>
      <w:r w:rsidRPr="00C46812">
        <w:rPr>
          <w:sz w:val="24"/>
          <w:szCs w:val="24"/>
          <w:u w:val="single"/>
        </w:rPr>
        <w:t>Virkningsmekanisme</w:t>
      </w:r>
    </w:p>
    <w:p w14:paraId="7A4CFB39" w14:textId="77777777" w:rsidR="00B5263A" w:rsidRPr="00C46812" w:rsidRDefault="00B5263A" w:rsidP="0083539E">
      <w:pPr>
        <w:ind w:left="851"/>
        <w:rPr>
          <w:sz w:val="24"/>
          <w:szCs w:val="24"/>
        </w:rPr>
      </w:pPr>
    </w:p>
    <w:p w14:paraId="764EB749" w14:textId="77777777" w:rsidR="00B5263A" w:rsidRPr="00C46812" w:rsidRDefault="00B5263A" w:rsidP="0083539E">
      <w:pPr>
        <w:ind w:left="851"/>
        <w:rPr>
          <w:sz w:val="24"/>
          <w:szCs w:val="24"/>
        </w:rPr>
      </w:pPr>
      <w:proofErr w:type="spellStart"/>
      <w:r w:rsidRPr="00C46812">
        <w:rPr>
          <w:sz w:val="24"/>
          <w:szCs w:val="24"/>
        </w:rPr>
        <w:t>Macrogol</w:t>
      </w:r>
      <w:proofErr w:type="spellEnd"/>
      <w:r w:rsidRPr="00C46812">
        <w:rPr>
          <w:sz w:val="24"/>
          <w:szCs w:val="24"/>
        </w:rPr>
        <w:t xml:space="preserve"> 3350 har en osmotisk virkning i tarmen, hvilket inducerer en </w:t>
      </w:r>
      <w:proofErr w:type="gramStart"/>
      <w:r w:rsidRPr="00C46812">
        <w:rPr>
          <w:sz w:val="24"/>
          <w:szCs w:val="24"/>
        </w:rPr>
        <w:t>laksativ effekt</w:t>
      </w:r>
      <w:proofErr w:type="gramEnd"/>
      <w:r w:rsidRPr="00C46812">
        <w:rPr>
          <w:sz w:val="24"/>
          <w:szCs w:val="24"/>
        </w:rPr>
        <w:t xml:space="preserve">. </w:t>
      </w:r>
    </w:p>
    <w:p w14:paraId="44DA55D8" w14:textId="77777777" w:rsidR="00B5263A" w:rsidRPr="00C46812" w:rsidRDefault="00B5263A" w:rsidP="0083539E">
      <w:pPr>
        <w:ind w:left="851"/>
        <w:rPr>
          <w:sz w:val="24"/>
          <w:szCs w:val="24"/>
        </w:rPr>
      </w:pPr>
    </w:p>
    <w:p w14:paraId="071C0FB9" w14:textId="77777777" w:rsidR="00B5263A" w:rsidRPr="00C46812" w:rsidRDefault="00B5263A" w:rsidP="0083539E">
      <w:pPr>
        <w:ind w:left="851"/>
        <w:rPr>
          <w:sz w:val="24"/>
          <w:szCs w:val="24"/>
        </w:rPr>
      </w:pPr>
      <w:proofErr w:type="spellStart"/>
      <w:r w:rsidRPr="00C46812">
        <w:rPr>
          <w:sz w:val="24"/>
          <w:szCs w:val="24"/>
        </w:rPr>
        <w:t>Macrogol</w:t>
      </w:r>
      <w:proofErr w:type="spellEnd"/>
      <w:r w:rsidRPr="00C46812">
        <w:rPr>
          <w:sz w:val="24"/>
          <w:szCs w:val="24"/>
        </w:rPr>
        <w:t xml:space="preserve"> 3350 forøger </w:t>
      </w:r>
      <w:proofErr w:type="spellStart"/>
      <w:r w:rsidRPr="00C46812">
        <w:rPr>
          <w:sz w:val="24"/>
          <w:szCs w:val="24"/>
        </w:rPr>
        <w:t>fæcesvolumen</w:t>
      </w:r>
      <w:proofErr w:type="spellEnd"/>
      <w:r w:rsidRPr="00C46812">
        <w:rPr>
          <w:sz w:val="24"/>
          <w:szCs w:val="24"/>
        </w:rPr>
        <w:t xml:space="preserve">, hvilket udløser </w:t>
      </w:r>
      <w:proofErr w:type="spellStart"/>
      <w:r w:rsidRPr="00C46812">
        <w:rPr>
          <w:sz w:val="24"/>
          <w:szCs w:val="24"/>
        </w:rPr>
        <w:t>colonmotilitet</w:t>
      </w:r>
      <w:proofErr w:type="spellEnd"/>
      <w:r w:rsidRPr="00C46812">
        <w:rPr>
          <w:sz w:val="24"/>
          <w:szCs w:val="24"/>
        </w:rPr>
        <w:t xml:space="preserve"> via </w:t>
      </w:r>
      <w:proofErr w:type="spellStart"/>
      <w:r w:rsidRPr="00C46812">
        <w:rPr>
          <w:sz w:val="24"/>
          <w:szCs w:val="24"/>
        </w:rPr>
        <w:t>neuromuskulære</w:t>
      </w:r>
      <w:proofErr w:type="spellEnd"/>
      <w:r w:rsidRPr="00C46812">
        <w:rPr>
          <w:sz w:val="24"/>
          <w:szCs w:val="24"/>
        </w:rPr>
        <w:t xml:space="preserve"> baner. Den fysiologiske konsekvens er en forbedret </w:t>
      </w:r>
      <w:proofErr w:type="spellStart"/>
      <w:r w:rsidRPr="00C46812">
        <w:rPr>
          <w:sz w:val="24"/>
          <w:szCs w:val="24"/>
        </w:rPr>
        <w:t>propulsiv</w:t>
      </w:r>
      <w:proofErr w:type="spellEnd"/>
      <w:r w:rsidRPr="00C46812">
        <w:rPr>
          <w:sz w:val="24"/>
          <w:szCs w:val="24"/>
        </w:rPr>
        <w:t xml:space="preserve"> </w:t>
      </w:r>
      <w:proofErr w:type="spellStart"/>
      <w:r w:rsidRPr="00C46812">
        <w:rPr>
          <w:sz w:val="24"/>
          <w:szCs w:val="24"/>
        </w:rPr>
        <w:t>colonisk</w:t>
      </w:r>
      <w:proofErr w:type="spellEnd"/>
      <w:r w:rsidRPr="00C46812">
        <w:rPr>
          <w:sz w:val="24"/>
          <w:szCs w:val="24"/>
        </w:rPr>
        <w:t xml:space="preserve"> transport af den blødgjorte fæces og en </w:t>
      </w:r>
      <w:proofErr w:type="spellStart"/>
      <w:r w:rsidRPr="00C46812">
        <w:rPr>
          <w:sz w:val="24"/>
          <w:szCs w:val="24"/>
        </w:rPr>
        <w:t>defækationsfacilitering</w:t>
      </w:r>
      <w:proofErr w:type="spellEnd"/>
      <w:r w:rsidRPr="00C46812">
        <w:rPr>
          <w:sz w:val="24"/>
          <w:szCs w:val="24"/>
        </w:rPr>
        <w:t xml:space="preserve">. </w:t>
      </w:r>
    </w:p>
    <w:p w14:paraId="5A93CDEC" w14:textId="77777777" w:rsidR="00B5263A" w:rsidRPr="00C46812" w:rsidRDefault="00B5263A" w:rsidP="0083539E">
      <w:pPr>
        <w:ind w:left="851"/>
        <w:rPr>
          <w:sz w:val="24"/>
          <w:szCs w:val="24"/>
        </w:rPr>
      </w:pPr>
    </w:p>
    <w:p w14:paraId="734FCCE5" w14:textId="77777777" w:rsidR="00B5263A" w:rsidRPr="00C46812" w:rsidRDefault="00B5263A" w:rsidP="0083539E">
      <w:pPr>
        <w:ind w:left="851"/>
        <w:rPr>
          <w:sz w:val="24"/>
          <w:szCs w:val="24"/>
        </w:rPr>
      </w:pPr>
      <w:r w:rsidRPr="00C46812">
        <w:rPr>
          <w:sz w:val="24"/>
          <w:szCs w:val="24"/>
        </w:rPr>
        <w:t xml:space="preserve">Elektrolytter kombineret med </w:t>
      </w:r>
      <w:proofErr w:type="spellStart"/>
      <w:r w:rsidRPr="00C46812">
        <w:rPr>
          <w:sz w:val="24"/>
          <w:szCs w:val="24"/>
        </w:rPr>
        <w:t>macrogol</w:t>
      </w:r>
      <w:proofErr w:type="spellEnd"/>
      <w:r w:rsidRPr="00C46812">
        <w:rPr>
          <w:sz w:val="24"/>
          <w:szCs w:val="24"/>
        </w:rPr>
        <w:t xml:space="preserve"> 3350 udveksles over tarmbarrieren (slimhinden) med serumelektrolytter og udskilles i fækalt vand uden nettotilvækst eller tab af natrium, kalium og vand.</w:t>
      </w:r>
    </w:p>
    <w:p w14:paraId="57745830" w14:textId="77777777" w:rsidR="00B5263A" w:rsidRPr="00C46812" w:rsidRDefault="00B5263A" w:rsidP="0083539E">
      <w:pPr>
        <w:ind w:left="851"/>
        <w:rPr>
          <w:sz w:val="24"/>
          <w:szCs w:val="24"/>
        </w:rPr>
      </w:pPr>
    </w:p>
    <w:p w14:paraId="256811F7" w14:textId="77777777" w:rsidR="00B5263A" w:rsidRPr="00C46812" w:rsidRDefault="00B5263A" w:rsidP="0083539E">
      <w:pPr>
        <w:ind w:left="851"/>
        <w:rPr>
          <w:sz w:val="24"/>
          <w:szCs w:val="24"/>
        </w:rPr>
      </w:pPr>
      <w:r w:rsidRPr="00C46812">
        <w:rPr>
          <w:sz w:val="24"/>
          <w:szCs w:val="24"/>
        </w:rPr>
        <w:t xml:space="preserve">For indikationen hård og indeklemt fæces er der ikke foretaget kontrollerede komparative studier med andre behandlinger (f.eks. lavementer) I et ikke-komparativt studie med 27 voksne patienter fjernede </w:t>
      </w:r>
      <w:proofErr w:type="spellStart"/>
      <w:r w:rsidRPr="00C46812">
        <w:rPr>
          <w:sz w:val="24"/>
          <w:szCs w:val="24"/>
        </w:rPr>
        <w:t>macrogol</w:t>
      </w:r>
      <w:proofErr w:type="spellEnd"/>
      <w:r w:rsidRPr="00C46812">
        <w:rPr>
          <w:sz w:val="24"/>
          <w:szCs w:val="24"/>
        </w:rPr>
        <w:t xml:space="preserve"> med elektrolytter den hårde og indeklemte fæces hos </w:t>
      </w:r>
      <w:r w:rsidRPr="00C46812">
        <w:rPr>
          <w:sz w:val="24"/>
          <w:szCs w:val="24"/>
        </w:rPr>
        <w:lastRenderedPageBreak/>
        <w:t>12/27 patienter (44 %) efter 1 dags behandling, 23/27 patienter (85 %) efter 2 dages behandling og 24/27 patienter (89 %) efter 3 dages behandling.</w:t>
      </w:r>
    </w:p>
    <w:p w14:paraId="2485F31E" w14:textId="77777777" w:rsidR="00B5263A" w:rsidRPr="00C46812" w:rsidRDefault="00B5263A" w:rsidP="0083539E">
      <w:pPr>
        <w:ind w:left="851"/>
        <w:rPr>
          <w:sz w:val="24"/>
          <w:szCs w:val="24"/>
        </w:rPr>
      </w:pPr>
    </w:p>
    <w:p w14:paraId="41CC9D31" w14:textId="77777777" w:rsidR="00B5263A" w:rsidRPr="00C46812" w:rsidRDefault="00B5263A" w:rsidP="0083539E">
      <w:pPr>
        <w:ind w:left="851"/>
        <w:rPr>
          <w:sz w:val="24"/>
          <w:szCs w:val="24"/>
          <w:u w:val="single"/>
        </w:rPr>
      </w:pPr>
      <w:r w:rsidRPr="00C46812">
        <w:rPr>
          <w:sz w:val="24"/>
          <w:szCs w:val="24"/>
          <w:u w:val="single"/>
        </w:rPr>
        <w:t>Klinisk virkning og sikkerhed</w:t>
      </w:r>
    </w:p>
    <w:p w14:paraId="61B72BBA" w14:textId="77777777" w:rsidR="00B5263A" w:rsidRPr="00C46812" w:rsidRDefault="00B5263A" w:rsidP="0083539E">
      <w:pPr>
        <w:ind w:left="851"/>
        <w:rPr>
          <w:sz w:val="24"/>
          <w:szCs w:val="24"/>
        </w:rPr>
      </w:pPr>
    </w:p>
    <w:p w14:paraId="4B1570FC" w14:textId="77777777" w:rsidR="00B5263A" w:rsidRPr="00C46812" w:rsidRDefault="00B5263A" w:rsidP="0083539E">
      <w:pPr>
        <w:ind w:left="851"/>
        <w:rPr>
          <w:sz w:val="24"/>
          <w:szCs w:val="24"/>
        </w:rPr>
      </w:pPr>
      <w:r w:rsidRPr="00C46812">
        <w:rPr>
          <w:sz w:val="24"/>
          <w:szCs w:val="24"/>
        </w:rPr>
        <w:t>Det fremgår af kliniske studier, hvor de angivne lægemidler blev anvendt til behandling af kronisk obstipation, at den dosis, der kræves for at opnå afføring med normal konsistens, bliver lavere med tiden. Mange patienter responderer på 1-2 breve daglig, men denne dosis bør justeres i henhold til individuelt respons.</w:t>
      </w:r>
    </w:p>
    <w:p w14:paraId="1DC398A0" w14:textId="77777777" w:rsidR="009260DE" w:rsidRPr="00C46812" w:rsidRDefault="009260DE" w:rsidP="0083539E">
      <w:pPr>
        <w:ind w:left="851"/>
        <w:rPr>
          <w:sz w:val="24"/>
          <w:szCs w:val="24"/>
        </w:rPr>
      </w:pPr>
    </w:p>
    <w:p w14:paraId="73C2ECA4" w14:textId="77777777" w:rsidR="009260DE" w:rsidRPr="00C46812" w:rsidRDefault="009260DE" w:rsidP="009260DE">
      <w:pPr>
        <w:tabs>
          <w:tab w:val="left" w:pos="851"/>
        </w:tabs>
        <w:ind w:left="851" w:hanging="851"/>
        <w:rPr>
          <w:b/>
          <w:sz w:val="24"/>
          <w:szCs w:val="24"/>
        </w:rPr>
      </w:pPr>
      <w:r w:rsidRPr="00C46812">
        <w:rPr>
          <w:b/>
          <w:sz w:val="24"/>
          <w:szCs w:val="24"/>
        </w:rPr>
        <w:t>5.2</w:t>
      </w:r>
      <w:r w:rsidRPr="00C46812">
        <w:rPr>
          <w:b/>
          <w:sz w:val="24"/>
          <w:szCs w:val="24"/>
        </w:rPr>
        <w:tab/>
      </w:r>
      <w:proofErr w:type="spellStart"/>
      <w:r w:rsidRPr="00C46812">
        <w:rPr>
          <w:b/>
          <w:sz w:val="24"/>
          <w:szCs w:val="24"/>
        </w:rPr>
        <w:t>Farmakokinetiske</w:t>
      </w:r>
      <w:proofErr w:type="spellEnd"/>
      <w:r w:rsidRPr="00C46812">
        <w:rPr>
          <w:b/>
          <w:sz w:val="24"/>
          <w:szCs w:val="24"/>
        </w:rPr>
        <w:t xml:space="preserve"> egenskaber</w:t>
      </w:r>
    </w:p>
    <w:p w14:paraId="38D4CDB0" w14:textId="77777777" w:rsidR="00B5263A" w:rsidRPr="00C46812" w:rsidRDefault="00B5263A" w:rsidP="0083539E">
      <w:pPr>
        <w:ind w:left="851"/>
        <w:rPr>
          <w:sz w:val="24"/>
          <w:szCs w:val="24"/>
        </w:rPr>
      </w:pPr>
      <w:proofErr w:type="spellStart"/>
      <w:r w:rsidRPr="00C46812">
        <w:rPr>
          <w:sz w:val="24"/>
          <w:szCs w:val="24"/>
        </w:rPr>
        <w:t>Macrogol</w:t>
      </w:r>
      <w:proofErr w:type="spellEnd"/>
      <w:r w:rsidRPr="00C46812">
        <w:rPr>
          <w:sz w:val="24"/>
          <w:szCs w:val="24"/>
        </w:rPr>
        <w:t xml:space="preserve"> 3350 omdannes ikke i tarmen. Det absorberes stort set ikke fra mave-tarm-kanalen. Eventuelt absorberet </w:t>
      </w:r>
      <w:proofErr w:type="spellStart"/>
      <w:r w:rsidRPr="00C46812">
        <w:rPr>
          <w:sz w:val="24"/>
          <w:szCs w:val="24"/>
        </w:rPr>
        <w:t>macrogol</w:t>
      </w:r>
      <w:proofErr w:type="spellEnd"/>
      <w:r w:rsidRPr="00C46812">
        <w:rPr>
          <w:sz w:val="24"/>
          <w:szCs w:val="24"/>
        </w:rPr>
        <w:t xml:space="preserve"> 3350 udskilles via urinen.</w:t>
      </w:r>
    </w:p>
    <w:p w14:paraId="6B1E6682" w14:textId="77777777" w:rsidR="009260DE" w:rsidRPr="00C46812" w:rsidRDefault="009260DE" w:rsidP="009260DE">
      <w:pPr>
        <w:tabs>
          <w:tab w:val="left" w:pos="851"/>
        </w:tabs>
        <w:ind w:left="851"/>
        <w:rPr>
          <w:sz w:val="24"/>
          <w:szCs w:val="24"/>
        </w:rPr>
      </w:pPr>
    </w:p>
    <w:p w14:paraId="084F7AAC" w14:textId="77777777" w:rsidR="009260DE" w:rsidRPr="00C46812" w:rsidRDefault="009260DE" w:rsidP="009260DE">
      <w:pPr>
        <w:tabs>
          <w:tab w:val="left" w:pos="851"/>
        </w:tabs>
        <w:ind w:left="851" w:hanging="851"/>
        <w:rPr>
          <w:b/>
          <w:sz w:val="24"/>
          <w:szCs w:val="24"/>
        </w:rPr>
      </w:pPr>
      <w:r w:rsidRPr="00C46812">
        <w:rPr>
          <w:b/>
          <w:sz w:val="24"/>
          <w:szCs w:val="24"/>
        </w:rPr>
        <w:t>5.3</w:t>
      </w:r>
      <w:r w:rsidRPr="00C46812">
        <w:rPr>
          <w:b/>
          <w:sz w:val="24"/>
          <w:szCs w:val="24"/>
        </w:rPr>
        <w:tab/>
      </w:r>
      <w:r w:rsidR="00BD7931" w:rsidRPr="00C46812">
        <w:rPr>
          <w:b/>
          <w:sz w:val="24"/>
          <w:szCs w:val="24"/>
        </w:rPr>
        <w:t>Non-</w:t>
      </w:r>
      <w:r w:rsidRPr="00C46812">
        <w:rPr>
          <w:b/>
          <w:sz w:val="24"/>
          <w:szCs w:val="24"/>
        </w:rPr>
        <w:t>kliniske sikkerhedsdata</w:t>
      </w:r>
    </w:p>
    <w:p w14:paraId="6BD0634B" w14:textId="77777777" w:rsidR="00B5263A" w:rsidRPr="00C46812" w:rsidRDefault="00B5263A" w:rsidP="0083539E">
      <w:pPr>
        <w:ind w:left="851"/>
        <w:rPr>
          <w:sz w:val="24"/>
          <w:szCs w:val="24"/>
        </w:rPr>
      </w:pPr>
      <w:r w:rsidRPr="00C46812">
        <w:rPr>
          <w:sz w:val="24"/>
          <w:szCs w:val="24"/>
        </w:rPr>
        <w:t xml:space="preserve">Prækliniske studier har frembragt evidens for, at </w:t>
      </w:r>
      <w:proofErr w:type="spellStart"/>
      <w:r w:rsidRPr="00C46812">
        <w:rPr>
          <w:sz w:val="24"/>
          <w:szCs w:val="24"/>
        </w:rPr>
        <w:t>macrogol</w:t>
      </w:r>
      <w:proofErr w:type="spellEnd"/>
      <w:r w:rsidRPr="00C46812">
        <w:rPr>
          <w:sz w:val="24"/>
          <w:szCs w:val="24"/>
        </w:rPr>
        <w:t xml:space="preserve"> 3350 ikke har noget signifikant potentiale for at udløse systemisk toksicitet vurderet ud fra konventionelle studier af farmakologi, toksicitet efter gentagne doser og genotoksicitet.</w:t>
      </w:r>
    </w:p>
    <w:p w14:paraId="347E162E" w14:textId="77777777" w:rsidR="00B5263A" w:rsidRPr="00C46812" w:rsidRDefault="00B5263A" w:rsidP="0083539E">
      <w:pPr>
        <w:ind w:left="851"/>
        <w:rPr>
          <w:sz w:val="24"/>
          <w:szCs w:val="24"/>
        </w:rPr>
      </w:pPr>
    </w:p>
    <w:p w14:paraId="6425A5C5" w14:textId="77777777" w:rsidR="00B5263A" w:rsidRPr="00C46812" w:rsidRDefault="00B5263A" w:rsidP="0083539E">
      <w:pPr>
        <w:ind w:left="851"/>
        <w:rPr>
          <w:sz w:val="24"/>
          <w:szCs w:val="24"/>
        </w:rPr>
      </w:pPr>
      <w:r w:rsidRPr="00C46812">
        <w:rPr>
          <w:sz w:val="24"/>
          <w:szCs w:val="24"/>
        </w:rPr>
        <w:t xml:space="preserve">Der var ingen direkte embryotoksiske eller </w:t>
      </w:r>
      <w:proofErr w:type="spellStart"/>
      <w:r w:rsidRPr="00C46812">
        <w:rPr>
          <w:sz w:val="24"/>
          <w:szCs w:val="24"/>
        </w:rPr>
        <w:t>teratogene</w:t>
      </w:r>
      <w:proofErr w:type="spellEnd"/>
      <w:r w:rsidRPr="00C46812">
        <w:rPr>
          <w:sz w:val="24"/>
          <w:szCs w:val="24"/>
        </w:rPr>
        <w:t xml:space="preserve"> virkninger hos rotter, end ikke ved </w:t>
      </w:r>
      <w:proofErr w:type="spellStart"/>
      <w:r w:rsidRPr="00C46812">
        <w:rPr>
          <w:sz w:val="24"/>
          <w:szCs w:val="24"/>
        </w:rPr>
        <w:t>maternelt</w:t>
      </w:r>
      <w:proofErr w:type="spellEnd"/>
      <w:r w:rsidRPr="00C46812">
        <w:rPr>
          <w:sz w:val="24"/>
          <w:szCs w:val="24"/>
        </w:rPr>
        <w:t xml:space="preserve"> toksiske niveauer, der var 66 gange højere end den maksimalt anbefalede dosis hos mennesker mod kronisk obstipation og 25 gange højere end den maksimalt anbefalede dosis mod </w:t>
      </w:r>
      <w:proofErr w:type="spellStart"/>
      <w:r w:rsidRPr="00C46812">
        <w:rPr>
          <w:sz w:val="24"/>
          <w:szCs w:val="24"/>
        </w:rPr>
        <w:t>fækalom</w:t>
      </w:r>
      <w:proofErr w:type="spellEnd"/>
      <w:r w:rsidRPr="00C46812">
        <w:rPr>
          <w:sz w:val="24"/>
          <w:szCs w:val="24"/>
        </w:rPr>
        <w:t xml:space="preserve">. Der blev set indirekte </w:t>
      </w:r>
      <w:proofErr w:type="spellStart"/>
      <w:r w:rsidRPr="00C46812">
        <w:rPr>
          <w:sz w:val="24"/>
          <w:szCs w:val="24"/>
        </w:rPr>
        <w:t>embryoføtale</w:t>
      </w:r>
      <w:proofErr w:type="spellEnd"/>
      <w:r w:rsidRPr="00C46812">
        <w:rPr>
          <w:sz w:val="24"/>
          <w:szCs w:val="24"/>
        </w:rPr>
        <w:t xml:space="preserve"> virkninger, inklusive nedsat foster- og placentavægt, reduceret fosteroverlevelse, øget </w:t>
      </w:r>
      <w:proofErr w:type="spellStart"/>
      <w:r w:rsidRPr="00C46812">
        <w:rPr>
          <w:sz w:val="24"/>
          <w:szCs w:val="24"/>
        </w:rPr>
        <w:t>hyperfleksion</w:t>
      </w:r>
      <w:proofErr w:type="spellEnd"/>
      <w:r w:rsidRPr="00C46812">
        <w:rPr>
          <w:sz w:val="24"/>
          <w:szCs w:val="24"/>
        </w:rPr>
        <w:t xml:space="preserve"> af lemmer og poter og øget abortfrekvens hos kaniner ved en </w:t>
      </w:r>
      <w:proofErr w:type="spellStart"/>
      <w:r w:rsidRPr="00C46812">
        <w:rPr>
          <w:sz w:val="24"/>
          <w:szCs w:val="24"/>
        </w:rPr>
        <w:t>maternelt</w:t>
      </w:r>
      <w:proofErr w:type="spellEnd"/>
      <w:r w:rsidRPr="00C46812">
        <w:rPr>
          <w:sz w:val="24"/>
          <w:szCs w:val="24"/>
        </w:rPr>
        <w:t xml:space="preserve"> toksisk dosis, der var 3,3 gange højere end den maksimalt anbefalede dosis hos mennesker til behandling af kronisk obstipation og 1,3 gange højere end den maksimalt anbefalede dosis mod </w:t>
      </w:r>
      <w:proofErr w:type="spellStart"/>
      <w:r w:rsidRPr="00C46812">
        <w:rPr>
          <w:sz w:val="24"/>
          <w:szCs w:val="24"/>
        </w:rPr>
        <w:t>fækalom</w:t>
      </w:r>
      <w:proofErr w:type="spellEnd"/>
      <w:r w:rsidRPr="00C46812">
        <w:rPr>
          <w:sz w:val="24"/>
          <w:szCs w:val="24"/>
        </w:rPr>
        <w:t xml:space="preserve">. Kaniner er en følsom dyreart, hvad angår virkninger af stoffer med virkning på mave-tarm-kanalen, og studierne blev udført under overdimensionerede forhold med administration af høje doser, som ikke er klinisk relevante. Resultaterne kan have været en konsekvens af en indirekte virkning af </w:t>
      </w:r>
      <w:proofErr w:type="spellStart"/>
      <w:r w:rsidRPr="00C46812">
        <w:rPr>
          <w:sz w:val="24"/>
          <w:szCs w:val="24"/>
        </w:rPr>
        <w:t>macrogol</w:t>
      </w:r>
      <w:proofErr w:type="spellEnd"/>
      <w:r w:rsidRPr="00C46812">
        <w:rPr>
          <w:sz w:val="24"/>
          <w:szCs w:val="24"/>
        </w:rPr>
        <w:t xml:space="preserve"> 3350 relateret til ringe </w:t>
      </w:r>
      <w:proofErr w:type="spellStart"/>
      <w:r w:rsidRPr="00C46812">
        <w:rPr>
          <w:sz w:val="24"/>
          <w:szCs w:val="24"/>
        </w:rPr>
        <w:t>maternel</w:t>
      </w:r>
      <w:proofErr w:type="spellEnd"/>
      <w:r w:rsidRPr="00C46812">
        <w:rPr>
          <w:sz w:val="24"/>
          <w:szCs w:val="24"/>
        </w:rPr>
        <w:t xml:space="preserve"> tilstand som følge af et udtalt </w:t>
      </w:r>
      <w:proofErr w:type="spellStart"/>
      <w:r w:rsidRPr="00C46812">
        <w:rPr>
          <w:sz w:val="24"/>
          <w:szCs w:val="24"/>
        </w:rPr>
        <w:t>farmakodynamisk</w:t>
      </w:r>
      <w:proofErr w:type="spellEnd"/>
      <w:r w:rsidRPr="00C46812">
        <w:rPr>
          <w:sz w:val="24"/>
          <w:szCs w:val="24"/>
        </w:rPr>
        <w:t xml:space="preserve"> respons hos kaniner. Der var ingen tegn på </w:t>
      </w:r>
      <w:proofErr w:type="spellStart"/>
      <w:r w:rsidRPr="00C46812">
        <w:rPr>
          <w:sz w:val="24"/>
          <w:szCs w:val="24"/>
        </w:rPr>
        <w:t>teratogene</w:t>
      </w:r>
      <w:proofErr w:type="spellEnd"/>
      <w:r w:rsidRPr="00C46812">
        <w:rPr>
          <w:sz w:val="24"/>
          <w:szCs w:val="24"/>
        </w:rPr>
        <w:t xml:space="preserve"> virkninger.</w:t>
      </w:r>
    </w:p>
    <w:p w14:paraId="13556636" w14:textId="77777777" w:rsidR="00B5263A" w:rsidRPr="00C46812" w:rsidRDefault="00B5263A" w:rsidP="0083539E">
      <w:pPr>
        <w:ind w:left="851"/>
        <w:rPr>
          <w:sz w:val="24"/>
          <w:szCs w:val="24"/>
        </w:rPr>
      </w:pPr>
    </w:p>
    <w:p w14:paraId="4E3EF1D2" w14:textId="77777777" w:rsidR="00B5263A" w:rsidRPr="00C46812" w:rsidRDefault="00B5263A" w:rsidP="0083539E">
      <w:pPr>
        <w:ind w:left="851"/>
        <w:rPr>
          <w:sz w:val="24"/>
          <w:szCs w:val="24"/>
        </w:rPr>
      </w:pPr>
      <w:r w:rsidRPr="00C46812">
        <w:rPr>
          <w:sz w:val="24"/>
          <w:szCs w:val="24"/>
        </w:rPr>
        <w:t xml:space="preserve">Der er udført langvarige dyreforsøg vedrørende toksicitet og </w:t>
      </w:r>
      <w:proofErr w:type="spellStart"/>
      <w:r w:rsidRPr="00C46812">
        <w:rPr>
          <w:sz w:val="24"/>
          <w:szCs w:val="24"/>
        </w:rPr>
        <w:t>karcinogenicitet</w:t>
      </w:r>
      <w:proofErr w:type="spellEnd"/>
      <w:r w:rsidRPr="00C46812">
        <w:rPr>
          <w:sz w:val="24"/>
          <w:szCs w:val="24"/>
        </w:rPr>
        <w:t xml:space="preserve"> med </w:t>
      </w:r>
      <w:proofErr w:type="spellStart"/>
      <w:r w:rsidRPr="00C46812">
        <w:rPr>
          <w:sz w:val="24"/>
          <w:szCs w:val="24"/>
        </w:rPr>
        <w:t>macrogol</w:t>
      </w:r>
      <w:proofErr w:type="spellEnd"/>
      <w:r w:rsidRPr="00C46812">
        <w:rPr>
          <w:sz w:val="24"/>
          <w:szCs w:val="24"/>
        </w:rPr>
        <w:t xml:space="preserve"> 3350. Resultaterne fra disse studier og andre toksicitetsstudier, hvor der blev anvendt høje niveauer af oralt administrerede </w:t>
      </w:r>
      <w:proofErr w:type="spellStart"/>
      <w:r w:rsidRPr="00C46812">
        <w:rPr>
          <w:sz w:val="24"/>
          <w:szCs w:val="24"/>
        </w:rPr>
        <w:t>macrogoler</w:t>
      </w:r>
      <w:proofErr w:type="spellEnd"/>
      <w:r w:rsidRPr="00C46812">
        <w:rPr>
          <w:sz w:val="24"/>
          <w:szCs w:val="24"/>
        </w:rPr>
        <w:t xml:space="preserve"> med høj </w:t>
      </w:r>
      <w:proofErr w:type="spellStart"/>
      <w:r w:rsidRPr="00C46812">
        <w:rPr>
          <w:sz w:val="24"/>
          <w:szCs w:val="24"/>
        </w:rPr>
        <w:t>molekylevægt</w:t>
      </w:r>
      <w:proofErr w:type="spellEnd"/>
      <w:r w:rsidRPr="00C46812">
        <w:rPr>
          <w:sz w:val="24"/>
          <w:szCs w:val="24"/>
        </w:rPr>
        <w:t>, viser evidens for sikkerhed ved de anbefalede terapeutiske doser.</w:t>
      </w:r>
    </w:p>
    <w:p w14:paraId="67A5ED85" w14:textId="77777777" w:rsidR="009260DE" w:rsidRPr="00C46812" w:rsidRDefault="009260DE" w:rsidP="009260DE">
      <w:pPr>
        <w:tabs>
          <w:tab w:val="left" w:pos="851"/>
        </w:tabs>
        <w:ind w:left="851"/>
        <w:rPr>
          <w:sz w:val="24"/>
          <w:szCs w:val="24"/>
        </w:rPr>
      </w:pPr>
    </w:p>
    <w:p w14:paraId="6395F6BC" w14:textId="77777777" w:rsidR="009260DE" w:rsidRPr="00C46812" w:rsidRDefault="009260DE" w:rsidP="009260DE">
      <w:pPr>
        <w:tabs>
          <w:tab w:val="left" w:pos="851"/>
        </w:tabs>
        <w:ind w:left="851"/>
        <w:rPr>
          <w:sz w:val="24"/>
          <w:szCs w:val="24"/>
        </w:rPr>
      </w:pPr>
    </w:p>
    <w:p w14:paraId="0B2767F6" w14:textId="77777777" w:rsidR="009260DE" w:rsidRPr="00C46812" w:rsidRDefault="009260DE" w:rsidP="009260DE">
      <w:pPr>
        <w:tabs>
          <w:tab w:val="left" w:pos="851"/>
        </w:tabs>
        <w:ind w:left="851" w:hanging="851"/>
        <w:rPr>
          <w:b/>
          <w:sz w:val="24"/>
          <w:szCs w:val="24"/>
        </w:rPr>
      </w:pPr>
      <w:r w:rsidRPr="00C46812">
        <w:rPr>
          <w:b/>
          <w:sz w:val="24"/>
          <w:szCs w:val="24"/>
        </w:rPr>
        <w:t>6.</w:t>
      </w:r>
      <w:r w:rsidRPr="00C46812">
        <w:rPr>
          <w:b/>
          <w:sz w:val="24"/>
          <w:szCs w:val="24"/>
        </w:rPr>
        <w:tab/>
        <w:t>FARMACEUTISKE OPLYSNINGER</w:t>
      </w:r>
    </w:p>
    <w:p w14:paraId="01CBFDCC" w14:textId="77777777" w:rsidR="009260DE" w:rsidRPr="00C46812" w:rsidRDefault="009260DE" w:rsidP="009260DE">
      <w:pPr>
        <w:tabs>
          <w:tab w:val="left" w:pos="851"/>
        </w:tabs>
        <w:ind w:left="851"/>
        <w:rPr>
          <w:sz w:val="24"/>
          <w:szCs w:val="24"/>
        </w:rPr>
      </w:pPr>
    </w:p>
    <w:p w14:paraId="09D41BC8" w14:textId="77777777" w:rsidR="009260DE" w:rsidRPr="00C46812" w:rsidRDefault="009260DE" w:rsidP="009260DE">
      <w:pPr>
        <w:tabs>
          <w:tab w:val="left" w:pos="851"/>
        </w:tabs>
        <w:ind w:left="851" w:hanging="851"/>
        <w:rPr>
          <w:b/>
          <w:sz w:val="24"/>
          <w:szCs w:val="24"/>
        </w:rPr>
      </w:pPr>
      <w:r w:rsidRPr="00C46812">
        <w:rPr>
          <w:b/>
          <w:sz w:val="24"/>
          <w:szCs w:val="24"/>
        </w:rPr>
        <w:t>6.1</w:t>
      </w:r>
      <w:r w:rsidRPr="00C46812">
        <w:rPr>
          <w:b/>
          <w:sz w:val="24"/>
          <w:szCs w:val="24"/>
        </w:rPr>
        <w:tab/>
        <w:t>Hjælpestoffer</w:t>
      </w:r>
    </w:p>
    <w:p w14:paraId="595B740A" w14:textId="77777777" w:rsidR="00B5263A" w:rsidRPr="00C46812" w:rsidRDefault="00B5263A" w:rsidP="0083539E">
      <w:pPr>
        <w:ind w:left="851"/>
        <w:rPr>
          <w:sz w:val="24"/>
          <w:szCs w:val="24"/>
        </w:rPr>
      </w:pPr>
      <w:proofErr w:type="spellStart"/>
      <w:r w:rsidRPr="00C46812">
        <w:rPr>
          <w:sz w:val="24"/>
          <w:szCs w:val="24"/>
        </w:rPr>
        <w:t>Acesulfamkalium</w:t>
      </w:r>
      <w:proofErr w:type="spellEnd"/>
    </w:p>
    <w:p w14:paraId="247F93F4" w14:textId="77777777" w:rsidR="00B5263A" w:rsidRPr="00C46812" w:rsidRDefault="00B5263A" w:rsidP="0083539E">
      <w:pPr>
        <w:ind w:left="851"/>
        <w:rPr>
          <w:sz w:val="24"/>
          <w:szCs w:val="24"/>
        </w:rPr>
      </w:pPr>
      <w:r w:rsidRPr="00C46812">
        <w:rPr>
          <w:sz w:val="24"/>
          <w:szCs w:val="24"/>
        </w:rPr>
        <w:t>Citron smag</w:t>
      </w:r>
    </w:p>
    <w:p w14:paraId="44B22316" w14:textId="77777777" w:rsidR="009260DE" w:rsidRPr="00C46812" w:rsidRDefault="009260DE" w:rsidP="009260DE">
      <w:pPr>
        <w:tabs>
          <w:tab w:val="left" w:pos="851"/>
        </w:tabs>
        <w:ind w:left="851"/>
        <w:rPr>
          <w:sz w:val="24"/>
          <w:szCs w:val="24"/>
        </w:rPr>
      </w:pPr>
    </w:p>
    <w:p w14:paraId="00F8CDF6" w14:textId="77777777" w:rsidR="009260DE" w:rsidRPr="00C46812" w:rsidRDefault="009260DE" w:rsidP="009260DE">
      <w:pPr>
        <w:tabs>
          <w:tab w:val="left" w:pos="851"/>
        </w:tabs>
        <w:ind w:left="851" w:hanging="851"/>
        <w:rPr>
          <w:b/>
          <w:sz w:val="24"/>
          <w:szCs w:val="24"/>
        </w:rPr>
      </w:pPr>
      <w:r w:rsidRPr="00C46812">
        <w:rPr>
          <w:b/>
          <w:sz w:val="24"/>
          <w:szCs w:val="24"/>
        </w:rPr>
        <w:t>6.2</w:t>
      </w:r>
      <w:r w:rsidRPr="00C46812">
        <w:rPr>
          <w:b/>
          <w:sz w:val="24"/>
          <w:szCs w:val="24"/>
        </w:rPr>
        <w:tab/>
        <w:t>Uforligeligheder</w:t>
      </w:r>
    </w:p>
    <w:p w14:paraId="43FC7443" w14:textId="77777777" w:rsidR="00B5263A" w:rsidRPr="00C46812" w:rsidRDefault="00B5263A" w:rsidP="0083539E">
      <w:pPr>
        <w:ind w:left="851"/>
        <w:rPr>
          <w:sz w:val="24"/>
          <w:szCs w:val="24"/>
        </w:rPr>
      </w:pPr>
      <w:r w:rsidRPr="00C46812">
        <w:rPr>
          <w:sz w:val="24"/>
          <w:szCs w:val="24"/>
        </w:rPr>
        <w:t>Ikke relevant.</w:t>
      </w:r>
    </w:p>
    <w:p w14:paraId="3E9685C1" w14:textId="77777777" w:rsidR="009260DE" w:rsidRPr="00C46812" w:rsidRDefault="009260DE" w:rsidP="009260DE">
      <w:pPr>
        <w:tabs>
          <w:tab w:val="left" w:pos="851"/>
        </w:tabs>
        <w:ind w:left="851"/>
        <w:rPr>
          <w:sz w:val="24"/>
          <w:szCs w:val="24"/>
        </w:rPr>
      </w:pPr>
    </w:p>
    <w:p w14:paraId="2F9603EC" w14:textId="77777777" w:rsidR="009260DE" w:rsidRPr="00C46812" w:rsidRDefault="009260DE" w:rsidP="009260DE">
      <w:pPr>
        <w:tabs>
          <w:tab w:val="left" w:pos="851"/>
        </w:tabs>
        <w:ind w:left="851" w:hanging="851"/>
        <w:rPr>
          <w:b/>
          <w:sz w:val="24"/>
          <w:szCs w:val="24"/>
        </w:rPr>
      </w:pPr>
      <w:r w:rsidRPr="00C46812">
        <w:rPr>
          <w:b/>
          <w:sz w:val="24"/>
          <w:szCs w:val="24"/>
        </w:rPr>
        <w:t>6.3</w:t>
      </w:r>
      <w:r w:rsidRPr="00C46812">
        <w:rPr>
          <w:b/>
          <w:sz w:val="24"/>
          <w:szCs w:val="24"/>
        </w:rPr>
        <w:tab/>
        <w:t>Opbevaringstid</w:t>
      </w:r>
    </w:p>
    <w:p w14:paraId="4B31D9E7" w14:textId="77777777" w:rsidR="00B5263A" w:rsidRPr="00C46812" w:rsidRDefault="00B5263A" w:rsidP="0083539E">
      <w:pPr>
        <w:ind w:left="851"/>
        <w:rPr>
          <w:sz w:val="24"/>
          <w:szCs w:val="24"/>
        </w:rPr>
      </w:pPr>
      <w:r w:rsidRPr="00C46812">
        <w:rPr>
          <w:sz w:val="24"/>
          <w:szCs w:val="24"/>
        </w:rPr>
        <w:t xml:space="preserve">4 år. </w:t>
      </w:r>
    </w:p>
    <w:p w14:paraId="52814A49" w14:textId="77777777" w:rsidR="00B5263A" w:rsidRPr="00C46812" w:rsidRDefault="00B5263A" w:rsidP="0083539E">
      <w:pPr>
        <w:ind w:left="851"/>
        <w:rPr>
          <w:sz w:val="24"/>
          <w:szCs w:val="24"/>
        </w:rPr>
      </w:pPr>
    </w:p>
    <w:p w14:paraId="450BA46B" w14:textId="77777777" w:rsidR="00B5263A" w:rsidRPr="00C46812" w:rsidRDefault="00B5263A" w:rsidP="0083539E">
      <w:pPr>
        <w:ind w:left="851"/>
        <w:rPr>
          <w:spacing w:val="-3"/>
          <w:sz w:val="24"/>
          <w:szCs w:val="24"/>
        </w:rPr>
      </w:pPr>
      <w:r w:rsidRPr="00C46812">
        <w:rPr>
          <w:sz w:val="24"/>
          <w:szCs w:val="24"/>
        </w:rPr>
        <w:lastRenderedPageBreak/>
        <w:t xml:space="preserve">Opbevaringstid efter </w:t>
      </w:r>
      <w:proofErr w:type="spellStart"/>
      <w:r w:rsidRPr="00C46812">
        <w:rPr>
          <w:sz w:val="24"/>
          <w:szCs w:val="24"/>
        </w:rPr>
        <w:t>rekonstituering</w:t>
      </w:r>
      <w:proofErr w:type="spellEnd"/>
      <w:r w:rsidRPr="00C46812">
        <w:rPr>
          <w:sz w:val="24"/>
          <w:szCs w:val="24"/>
        </w:rPr>
        <w:t>: 24 timer.</w:t>
      </w:r>
    </w:p>
    <w:p w14:paraId="7BCDA638" w14:textId="77777777" w:rsidR="009260DE" w:rsidRPr="00C46812" w:rsidRDefault="009260DE" w:rsidP="009260DE">
      <w:pPr>
        <w:tabs>
          <w:tab w:val="left" w:pos="851"/>
        </w:tabs>
        <w:ind w:left="851"/>
        <w:rPr>
          <w:sz w:val="24"/>
          <w:szCs w:val="24"/>
        </w:rPr>
      </w:pPr>
    </w:p>
    <w:p w14:paraId="1B6EBADE" w14:textId="77777777" w:rsidR="009260DE" w:rsidRPr="00C46812" w:rsidRDefault="009260DE" w:rsidP="009260DE">
      <w:pPr>
        <w:tabs>
          <w:tab w:val="left" w:pos="851"/>
        </w:tabs>
        <w:ind w:left="851" w:hanging="851"/>
        <w:rPr>
          <w:b/>
          <w:sz w:val="24"/>
          <w:szCs w:val="24"/>
        </w:rPr>
      </w:pPr>
      <w:r w:rsidRPr="00C46812">
        <w:rPr>
          <w:b/>
          <w:sz w:val="24"/>
          <w:szCs w:val="24"/>
        </w:rPr>
        <w:t>6.4</w:t>
      </w:r>
      <w:r w:rsidRPr="00C46812">
        <w:rPr>
          <w:b/>
          <w:sz w:val="24"/>
          <w:szCs w:val="24"/>
        </w:rPr>
        <w:tab/>
        <w:t>Særlige opbevaringsforhold</w:t>
      </w:r>
    </w:p>
    <w:p w14:paraId="73981B1A" w14:textId="77777777" w:rsidR="00B5263A" w:rsidRPr="00C46812" w:rsidRDefault="00B5263A" w:rsidP="0083539E">
      <w:pPr>
        <w:ind w:left="851"/>
        <w:rPr>
          <w:noProof/>
          <w:sz w:val="24"/>
          <w:szCs w:val="24"/>
        </w:rPr>
      </w:pPr>
      <w:r w:rsidRPr="00C46812">
        <w:rPr>
          <w:noProof/>
          <w:sz w:val="24"/>
          <w:szCs w:val="24"/>
        </w:rPr>
        <w:t>Opbevaringsbetingelser efter rekonstituering: Opbevares tildækket i køleskab (2-8 ºC).</w:t>
      </w:r>
    </w:p>
    <w:p w14:paraId="5C91C266" w14:textId="77777777" w:rsidR="009260DE" w:rsidRPr="00C46812" w:rsidRDefault="009260DE" w:rsidP="009260DE">
      <w:pPr>
        <w:tabs>
          <w:tab w:val="left" w:pos="851"/>
        </w:tabs>
        <w:ind w:left="851"/>
        <w:rPr>
          <w:sz w:val="24"/>
          <w:szCs w:val="24"/>
        </w:rPr>
      </w:pPr>
    </w:p>
    <w:p w14:paraId="5EDBB2A0" w14:textId="77777777" w:rsidR="009260DE" w:rsidRPr="00C46812" w:rsidRDefault="009260DE" w:rsidP="009260DE">
      <w:pPr>
        <w:tabs>
          <w:tab w:val="left" w:pos="851"/>
        </w:tabs>
        <w:ind w:left="851" w:hanging="851"/>
        <w:rPr>
          <w:b/>
          <w:sz w:val="24"/>
          <w:szCs w:val="24"/>
        </w:rPr>
      </w:pPr>
      <w:r w:rsidRPr="00C46812">
        <w:rPr>
          <w:b/>
          <w:sz w:val="24"/>
          <w:szCs w:val="24"/>
        </w:rPr>
        <w:t>6.5</w:t>
      </w:r>
      <w:r w:rsidRPr="00C46812">
        <w:rPr>
          <w:b/>
          <w:sz w:val="24"/>
          <w:szCs w:val="24"/>
        </w:rPr>
        <w:tab/>
        <w:t>Emballagetype og pakningsstørrelser</w:t>
      </w:r>
    </w:p>
    <w:p w14:paraId="75DBF0A5" w14:textId="77777777" w:rsidR="00B5263A" w:rsidRPr="00C46812" w:rsidRDefault="00B5263A" w:rsidP="0083539E">
      <w:pPr>
        <w:ind w:left="851"/>
        <w:rPr>
          <w:sz w:val="24"/>
          <w:szCs w:val="24"/>
        </w:rPr>
      </w:pPr>
      <w:r w:rsidRPr="00C46812">
        <w:rPr>
          <w:sz w:val="24"/>
          <w:szCs w:val="24"/>
        </w:rPr>
        <w:t xml:space="preserve">Brev: laminat bestående af fire lag: </w:t>
      </w:r>
      <w:proofErr w:type="spellStart"/>
      <w:r w:rsidRPr="00C46812">
        <w:rPr>
          <w:sz w:val="24"/>
          <w:szCs w:val="24"/>
        </w:rPr>
        <w:t>lavdensitetspolyethylen</w:t>
      </w:r>
      <w:proofErr w:type="spellEnd"/>
      <w:r w:rsidRPr="00C46812">
        <w:rPr>
          <w:sz w:val="24"/>
          <w:szCs w:val="24"/>
        </w:rPr>
        <w:t xml:space="preserve"> (LDPE), aluminium, </w:t>
      </w:r>
      <w:proofErr w:type="spellStart"/>
      <w:r w:rsidRPr="00C46812">
        <w:rPr>
          <w:sz w:val="24"/>
          <w:szCs w:val="24"/>
        </w:rPr>
        <w:t>lavdensitetspolyethylen</w:t>
      </w:r>
      <w:proofErr w:type="spellEnd"/>
      <w:r w:rsidRPr="00C46812">
        <w:rPr>
          <w:sz w:val="24"/>
          <w:szCs w:val="24"/>
        </w:rPr>
        <w:t xml:space="preserve"> (LDPE) og papir.</w:t>
      </w:r>
    </w:p>
    <w:p w14:paraId="11ABD5B1" w14:textId="77777777" w:rsidR="00B5263A" w:rsidRPr="00C46812" w:rsidRDefault="00B5263A" w:rsidP="0083539E">
      <w:pPr>
        <w:ind w:left="851"/>
        <w:rPr>
          <w:sz w:val="24"/>
          <w:szCs w:val="24"/>
        </w:rPr>
      </w:pPr>
    </w:p>
    <w:p w14:paraId="0831A293" w14:textId="6581A349" w:rsidR="00B5263A" w:rsidRPr="00C46812" w:rsidRDefault="00B5263A" w:rsidP="0083539E">
      <w:pPr>
        <w:ind w:left="851"/>
        <w:rPr>
          <w:sz w:val="24"/>
          <w:szCs w:val="24"/>
        </w:rPr>
      </w:pPr>
      <w:r w:rsidRPr="00C46812">
        <w:rPr>
          <w:sz w:val="24"/>
          <w:szCs w:val="24"/>
        </w:rPr>
        <w:t xml:space="preserve">Pakningsstørrelser: Æsker med 6, 8, 10, 20, 30, 40, 50, 60 </w:t>
      </w:r>
      <w:r w:rsidR="00020035" w:rsidRPr="00C46812">
        <w:rPr>
          <w:sz w:val="24"/>
          <w:szCs w:val="24"/>
        </w:rPr>
        <w:t>eller</w:t>
      </w:r>
      <w:r w:rsidRPr="00C46812">
        <w:rPr>
          <w:sz w:val="24"/>
          <w:szCs w:val="24"/>
        </w:rPr>
        <w:t xml:space="preserve"> 100 breve.</w:t>
      </w:r>
    </w:p>
    <w:p w14:paraId="73368883" w14:textId="77777777" w:rsidR="00B5263A" w:rsidRPr="00C46812" w:rsidRDefault="00B5263A" w:rsidP="0083539E">
      <w:pPr>
        <w:ind w:left="851"/>
        <w:rPr>
          <w:sz w:val="24"/>
          <w:szCs w:val="24"/>
        </w:rPr>
      </w:pPr>
    </w:p>
    <w:p w14:paraId="0E2002C1" w14:textId="77777777" w:rsidR="00B5263A" w:rsidRPr="00C46812" w:rsidRDefault="00B5263A" w:rsidP="0083539E">
      <w:pPr>
        <w:ind w:left="851"/>
        <w:rPr>
          <w:sz w:val="24"/>
          <w:szCs w:val="24"/>
        </w:rPr>
      </w:pPr>
      <w:r w:rsidRPr="00C46812">
        <w:rPr>
          <w:sz w:val="24"/>
          <w:szCs w:val="24"/>
        </w:rPr>
        <w:t>Ikke alle pakningsstørrelser er nødvendigvis markedsført.</w:t>
      </w:r>
    </w:p>
    <w:p w14:paraId="6A293A43" w14:textId="77777777" w:rsidR="009260DE" w:rsidRPr="00C46812" w:rsidRDefault="009260DE" w:rsidP="009260DE">
      <w:pPr>
        <w:tabs>
          <w:tab w:val="left" w:pos="851"/>
        </w:tabs>
        <w:ind w:left="851"/>
        <w:rPr>
          <w:sz w:val="24"/>
          <w:szCs w:val="24"/>
        </w:rPr>
      </w:pPr>
    </w:p>
    <w:p w14:paraId="4AAD0B4F" w14:textId="77777777" w:rsidR="009260DE" w:rsidRPr="00C46812" w:rsidRDefault="009260DE" w:rsidP="009260DE">
      <w:pPr>
        <w:tabs>
          <w:tab w:val="left" w:pos="851"/>
        </w:tabs>
        <w:ind w:left="851" w:hanging="851"/>
        <w:rPr>
          <w:b/>
          <w:sz w:val="24"/>
          <w:szCs w:val="24"/>
        </w:rPr>
      </w:pPr>
      <w:r w:rsidRPr="00C46812">
        <w:rPr>
          <w:b/>
          <w:sz w:val="24"/>
          <w:szCs w:val="24"/>
        </w:rPr>
        <w:t>6.6</w:t>
      </w:r>
      <w:r w:rsidRPr="00C46812">
        <w:rPr>
          <w:b/>
          <w:sz w:val="24"/>
          <w:szCs w:val="24"/>
        </w:rPr>
        <w:tab/>
        <w:t xml:space="preserve">Regler for </w:t>
      </w:r>
      <w:r w:rsidR="00BD7931" w:rsidRPr="00C46812">
        <w:rPr>
          <w:b/>
          <w:sz w:val="24"/>
          <w:szCs w:val="24"/>
        </w:rPr>
        <w:t>bortskaffelse</w:t>
      </w:r>
      <w:r w:rsidRPr="00C46812">
        <w:rPr>
          <w:b/>
          <w:sz w:val="24"/>
          <w:szCs w:val="24"/>
        </w:rPr>
        <w:t xml:space="preserve"> og anden håndtering</w:t>
      </w:r>
    </w:p>
    <w:p w14:paraId="3493216D" w14:textId="77777777" w:rsidR="00B5263A" w:rsidRPr="00C46812" w:rsidRDefault="00B5263A" w:rsidP="0083539E">
      <w:pPr>
        <w:ind w:left="851"/>
        <w:rPr>
          <w:sz w:val="24"/>
          <w:szCs w:val="24"/>
        </w:rPr>
      </w:pPr>
      <w:r w:rsidRPr="00C46812">
        <w:rPr>
          <w:sz w:val="24"/>
          <w:szCs w:val="24"/>
        </w:rPr>
        <w:t xml:space="preserve">Ikke anvendt opløsning skal bortskaffes efter 24 timer </w:t>
      </w:r>
    </w:p>
    <w:p w14:paraId="35447229" w14:textId="77777777" w:rsidR="009260DE" w:rsidRPr="00C46812" w:rsidRDefault="009260DE" w:rsidP="000730CA">
      <w:pPr>
        <w:tabs>
          <w:tab w:val="left" w:pos="851"/>
        </w:tabs>
        <w:ind w:left="851"/>
        <w:rPr>
          <w:sz w:val="24"/>
          <w:szCs w:val="24"/>
        </w:rPr>
      </w:pPr>
    </w:p>
    <w:p w14:paraId="1DDC53C2" w14:textId="77777777" w:rsidR="009260DE" w:rsidRPr="00C46812" w:rsidRDefault="009260DE" w:rsidP="009260DE">
      <w:pPr>
        <w:tabs>
          <w:tab w:val="left" w:pos="851"/>
        </w:tabs>
        <w:ind w:left="851" w:hanging="851"/>
        <w:rPr>
          <w:b/>
          <w:sz w:val="24"/>
          <w:szCs w:val="24"/>
        </w:rPr>
      </w:pPr>
      <w:r w:rsidRPr="00C46812">
        <w:rPr>
          <w:b/>
          <w:sz w:val="24"/>
          <w:szCs w:val="24"/>
        </w:rPr>
        <w:t>7.</w:t>
      </w:r>
      <w:r w:rsidRPr="00C46812">
        <w:rPr>
          <w:b/>
          <w:sz w:val="24"/>
          <w:szCs w:val="24"/>
        </w:rPr>
        <w:tab/>
        <w:t>INDEHAVER AF MARKEDSFØRINGSTILLADELSEN</w:t>
      </w:r>
    </w:p>
    <w:p w14:paraId="795FEBD4" w14:textId="77777777" w:rsidR="00B5263A" w:rsidRPr="00C46812" w:rsidRDefault="00B5263A" w:rsidP="0083539E">
      <w:pPr>
        <w:ind w:left="851"/>
        <w:rPr>
          <w:snapToGrid w:val="0"/>
          <w:sz w:val="24"/>
          <w:szCs w:val="24"/>
        </w:rPr>
      </w:pPr>
      <w:r w:rsidRPr="00C46812">
        <w:rPr>
          <w:snapToGrid w:val="0"/>
          <w:sz w:val="24"/>
          <w:szCs w:val="24"/>
        </w:rPr>
        <w:t>Strides Nordic ApS</w:t>
      </w:r>
    </w:p>
    <w:p w14:paraId="6FE72111" w14:textId="77777777" w:rsidR="00B5263A" w:rsidRPr="00C46812" w:rsidRDefault="00B5263A" w:rsidP="0083539E">
      <w:pPr>
        <w:ind w:left="851"/>
        <w:rPr>
          <w:snapToGrid w:val="0"/>
          <w:sz w:val="24"/>
          <w:szCs w:val="24"/>
        </w:rPr>
      </w:pPr>
      <w:r w:rsidRPr="00C46812">
        <w:rPr>
          <w:snapToGrid w:val="0"/>
          <w:sz w:val="24"/>
          <w:szCs w:val="24"/>
        </w:rPr>
        <w:t xml:space="preserve">Dronningens Tværgade 9 </w:t>
      </w:r>
    </w:p>
    <w:p w14:paraId="10EC8F87" w14:textId="77777777" w:rsidR="00B5263A" w:rsidRPr="00C46812" w:rsidRDefault="00B5263A" w:rsidP="0083539E">
      <w:pPr>
        <w:ind w:left="851"/>
        <w:rPr>
          <w:spacing w:val="-3"/>
          <w:sz w:val="24"/>
          <w:szCs w:val="24"/>
        </w:rPr>
      </w:pPr>
      <w:r w:rsidRPr="00C46812">
        <w:rPr>
          <w:snapToGrid w:val="0"/>
          <w:sz w:val="24"/>
          <w:szCs w:val="24"/>
        </w:rPr>
        <w:t>1302 København</w:t>
      </w:r>
    </w:p>
    <w:p w14:paraId="1B41CD40" w14:textId="77777777" w:rsidR="00641C65" w:rsidRPr="00C46812" w:rsidRDefault="00641C65" w:rsidP="009260DE">
      <w:pPr>
        <w:tabs>
          <w:tab w:val="left" w:pos="851"/>
        </w:tabs>
        <w:ind w:left="851"/>
        <w:rPr>
          <w:sz w:val="24"/>
          <w:szCs w:val="24"/>
        </w:rPr>
      </w:pPr>
    </w:p>
    <w:p w14:paraId="466BD75B" w14:textId="77777777" w:rsidR="009260DE" w:rsidRPr="00C46812" w:rsidRDefault="009260DE" w:rsidP="009260DE">
      <w:pPr>
        <w:tabs>
          <w:tab w:val="left" w:pos="851"/>
        </w:tabs>
        <w:ind w:left="851" w:hanging="851"/>
        <w:rPr>
          <w:b/>
          <w:sz w:val="24"/>
          <w:szCs w:val="24"/>
        </w:rPr>
      </w:pPr>
      <w:r w:rsidRPr="00C46812">
        <w:rPr>
          <w:b/>
          <w:sz w:val="24"/>
          <w:szCs w:val="24"/>
        </w:rPr>
        <w:t>8.</w:t>
      </w:r>
      <w:r w:rsidRPr="00C46812">
        <w:rPr>
          <w:b/>
          <w:sz w:val="24"/>
          <w:szCs w:val="24"/>
        </w:rPr>
        <w:tab/>
        <w:t>MARKEDSFØRINGSTILLADELSESNUMMER (</w:t>
      </w:r>
      <w:r w:rsidR="00BF6243" w:rsidRPr="00C46812">
        <w:rPr>
          <w:b/>
          <w:sz w:val="24"/>
          <w:szCs w:val="24"/>
        </w:rPr>
        <w:t>-</w:t>
      </w:r>
      <w:r w:rsidRPr="00C46812">
        <w:rPr>
          <w:b/>
          <w:sz w:val="24"/>
          <w:szCs w:val="24"/>
        </w:rPr>
        <w:t>NUMRE)</w:t>
      </w:r>
    </w:p>
    <w:p w14:paraId="3231A65C" w14:textId="51427C2E" w:rsidR="009260DE" w:rsidRPr="00C46812" w:rsidRDefault="00B5263A" w:rsidP="009260DE">
      <w:pPr>
        <w:tabs>
          <w:tab w:val="left" w:pos="851"/>
        </w:tabs>
        <w:ind w:left="851"/>
        <w:rPr>
          <w:sz w:val="24"/>
          <w:szCs w:val="24"/>
        </w:rPr>
      </w:pPr>
      <w:r w:rsidRPr="00C46812">
        <w:rPr>
          <w:sz w:val="24"/>
          <w:szCs w:val="24"/>
        </w:rPr>
        <w:t>69909</w:t>
      </w:r>
    </w:p>
    <w:p w14:paraId="35C7EB45" w14:textId="77777777" w:rsidR="009260DE" w:rsidRPr="00C46812" w:rsidRDefault="009260DE" w:rsidP="009260DE">
      <w:pPr>
        <w:tabs>
          <w:tab w:val="left" w:pos="851"/>
        </w:tabs>
        <w:ind w:left="851"/>
        <w:jc w:val="both"/>
        <w:rPr>
          <w:sz w:val="24"/>
          <w:szCs w:val="24"/>
        </w:rPr>
      </w:pPr>
    </w:p>
    <w:p w14:paraId="5199735B" w14:textId="77777777" w:rsidR="009260DE" w:rsidRPr="00C46812" w:rsidRDefault="009260DE" w:rsidP="009260DE">
      <w:pPr>
        <w:tabs>
          <w:tab w:val="left" w:pos="851"/>
        </w:tabs>
        <w:ind w:left="851" w:hanging="851"/>
        <w:rPr>
          <w:b/>
          <w:sz w:val="24"/>
          <w:szCs w:val="24"/>
        </w:rPr>
      </w:pPr>
      <w:r w:rsidRPr="00C46812">
        <w:rPr>
          <w:b/>
          <w:sz w:val="24"/>
          <w:szCs w:val="24"/>
        </w:rPr>
        <w:t>9.</w:t>
      </w:r>
      <w:r w:rsidRPr="00C46812">
        <w:rPr>
          <w:b/>
          <w:sz w:val="24"/>
          <w:szCs w:val="24"/>
        </w:rPr>
        <w:tab/>
        <w:t>DATO FOR FØRSTE MARKEDSFØRINGSTILLADELSE</w:t>
      </w:r>
    </w:p>
    <w:p w14:paraId="06EB5A3B" w14:textId="4133D47B" w:rsidR="009260DE" w:rsidRPr="00C46812" w:rsidRDefault="00FD37A0" w:rsidP="009260DE">
      <w:pPr>
        <w:tabs>
          <w:tab w:val="left" w:pos="851"/>
        </w:tabs>
        <w:ind w:left="851"/>
        <w:rPr>
          <w:sz w:val="24"/>
          <w:szCs w:val="24"/>
        </w:rPr>
      </w:pPr>
      <w:r>
        <w:rPr>
          <w:sz w:val="24"/>
          <w:szCs w:val="24"/>
        </w:rPr>
        <w:t>11. juni 2024</w:t>
      </w:r>
    </w:p>
    <w:p w14:paraId="0DF139B1" w14:textId="77777777" w:rsidR="009260DE" w:rsidRPr="00C46812" w:rsidRDefault="009260DE" w:rsidP="009260DE">
      <w:pPr>
        <w:tabs>
          <w:tab w:val="left" w:pos="851"/>
        </w:tabs>
        <w:ind w:left="851"/>
        <w:rPr>
          <w:sz w:val="24"/>
          <w:szCs w:val="24"/>
        </w:rPr>
      </w:pPr>
    </w:p>
    <w:p w14:paraId="7A3EEDE0" w14:textId="77777777" w:rsidR="009260DE" w:rsidRPr="00C46812" w:rsidRDefault="009260DE" w:rsidP="009260DE">
      <w:pPr>
        <w:tabs>
          <w:tab w:val="left" w:pos="851"/>
        </w:tabs>
        <w:ind w:left="851" w:hanging="851"/>
        <w:rPr>
          <w:b/>
          <w:sz w:val="24"/>
          <w:szCs w:val="24"/>
        </w:rPr>
      </w:pPr>
      <w:r w:rsidRPr="00C46812">
        <w:rPr>
          <w:b/>
          <w:sz w:val="24"/>
          <w:szCs w:val="24"/>
        </w:rPr>
        <w:t>10.</w:t>
      </w:r>
      <w:r w:rsidRPr="00C46812">
        <w:rPr>
          <w:b/>
          <w:sz w:val="24"/>
          <w:szCs w:val="24"/>
        </w:rPr>
        <w:tab/>
        <w:t>DATO FOR ÆNDRING AF TEKSTEN</w:t>
      </w:r>
    </w:p>
    <w:p w14:paraId="5B389B84" w14:textId="1A953AB0" w:rsidR="009260DE" w:rsidRPr="00C46812" w:rsidRDefault="00B5263A" w:rsidP="009260DE">
      <w:pPr>
        <w:tabs>
          <w:tab w:val="left" w:pos="851"/>
        </w:tabs>
        <w:ind w:left="851"/>
        <w:rPr>
          <w:sz w:val="24"/>
          <w:szCs w:val="24"/>
        </w:rPr>
      </w:pPr>
      <w:r w:rsidRPr="00C46812">
        <w:rPr>
          <w:sz w:val="24"/>
          <w:szCs w:val="24"/>
        </w:rPr>
        <w:t>-</w:t>
      </w:r>
    </w:p>
    <w:sectPr w:rsidR="009260DE" w:rsidRPr="00C4681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75C6E" w14:textId="77777777" w:rsidR="00C561F9" w:rsidRDefault="00C561F9">
      <w:r>
        <w:separator/>
      </w:r>
    </w:p>
  </w:endnote>
  <w:endnote w:type="continuationSeparator" w:id="0">
    <w:p w14:paraId="4BD84BC3" w14:textId="77777777" w:rsidR="00C561F9" w:rsidRDefault="00C56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2AB09" w14:textId="77777777" w:rsidR="000259B9" w:rsidRDefault="000259B9">
    <w:pPr>
      <w:pStyle w:val="Sidefod"/>
      <w:pBdr>
        <w:bottom w:val="single" w:sz="6" w:space="1" w:color="auto"/>
      </w:pBdr>
    </w:pPr>
  </w:p>
  <w:p w14:paraId="77E86B22" w14:textId="77777777" w:rsidR="000259B9" w:rsidRDefault="000259B9" w:rsidP="00C42586">
    <w:pPr>
      <w:pStyle w:val="Sidefod"/>
      <w:tabs>
        <w:tab w:val="clear" w:pos="4819"/>
        <w:tab w:val="left" w:pos="8505"/>
      </w:tabs>
      <w:rPr>
        <w:i/>
        <w:sz w:val="18"/>
        <w:szCs w:val="18"/>
      </w:rPr>
    </w:pPr>
  </w:p>
  <w:p w14:paraId="2A62E2A7" w14:textId="5F975499"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46812">
      <w:rPr>
        <w:i/>
        <w:noProof/>
        <w:sz w:val="18"/>
        <w:szCs w:val="18"/>
      </w:rPr>
      <w:t>Sacrovic, pulver til oral opløsning.docx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27442" w14:textId="77777777" w:rsidR="00C561F9" w:rsidRDefault="00C561F9">
      <w:r>
        <w:separator/>
      </w:r>
    </w:p>
  </w:footnote>
  <w:footnote w:type="continuationSeparator" w:id="0">
    <w:p w14:paraId="16F1BF61" w14:textId="77777777" w:rsidR="00C561F9" w:rsidRDefault="00C56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1F9"/>
    <w:rsid w:val="00020035"/>
    <w:rsid w:val="000259B9"/>
    <w:rsid w:val="00041491"/>
    <w:rsid w:val="00050D16"/>
    <w:rsid w:val="000730CA"/>
    <w:rsid w:val="00074F2A"/>
    <w:rsid w:val="000A1CA8"/>
    <w:rsid w:val="000A466B"/>
    <w:rsid w:val="000B058C"/>
    <w:rsid w:val="000D293A"/>
    <w:rsid w:val="000D68B0"/>
    <w:rsid w:val="000E4EE6"/>
    <w:rsid w:val="001454E2"/>
    <w:rsid w:val="00206CE8"/>
    <w:rsid w:val="0021526C"/>
    <w:rsid w:val="00283A2B"/>
    <w:rsid w:val="002B30AD"/>
    <w:rsid w:val="002B7E89"/>
    <w:rsid w:val="002C1EC0"/>
    <w:rsid w:val="002C2C01"/>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1191F"/>
    <w:rsid w:val="0082576E"/>
    <w:rsid w:val="008319D0"/>
    <w:rsid w:val="0083539E"/>
    <w:rsid w:val="0089346F"/>
    <w:rsid w:val="00907F75"/>
    <w:rsid w:val="009260DE"/>
    <w:rsid w:val="0093258A"/>
    <w:rsid w:val="009C7BA3"/>
    <w:rsid w:val="009D1F5A"/>
    <w:rsid w:val="009D4C7D"/>
    <w:rsid w:val="00A10294"/>
    <w:rsid w:val="00B003BF"/>
    <w:rsid w:val="00B373D7"/>
    <w:rsid w:val="00B5263A"/>
    <w:rsid w:val="00B55271"/>
    <w:rsid w:val="00BD7931"/>
    <w:rsid w:val="00BF6243"/>
    <w:rsid w:val="00C36276"/>
    <w:rsid w:val="00C42586"/>
    <w:rsid w:val="00C45F6B"/>
    <w:rsid w:val="00C46812"/>
    <w:rsid w:val="00C561F9"/>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66D4F"/>
    <w:rsid w:val="00FB6D01"/>
    <w:rsid w:val="00FD37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FD3C0"/>
  <w15:chartTrackingRefBased/>
  <w15:docId w15:val="{21FCCCA4-36A3-4959-A9E6-7CFC7DA63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B5263A"/>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B5263A"/>
    <w:rPr>
      <w:sz w:val="22"/>
      <w:szCs w:val="22"/>
      <w:lang w:val="en-US" w:eastAsia="en-US"/>
    </w:rPr>
  </w:style>
  <w:style w:type="paragraph" w:customStyle="1" w:styleId="Text">
    <w:name w:val="Text"/>
    <w:basedOn w:val="Normal"/>
    <w:rsid w:val="00B5263A"/>
    <w:pPr>
      <w:snapToGrid w:val="0"/>
      <w:spacing w:line="240" w:lineRule="atLeast"/>
    </w:pPr>
    <w:rPr>
      <w:sz w:val="22"/>
      <w:szCs w:val="22"/>
      <w:lang w:val="de-DE" w:eastAsia="da-DK"/>
    </w:rPr>
  </w:style>
  <w:style w:type="character" w:styleId="Hyperlink">
    <w:name w:val="Hyperlink"/>
    <w:uiPriority w:val="99"/>
    <w:semiHidden/>
    <w:unhideWhenUsed/>
    <w:rsid w:val="00B526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84358">
      <w:bodyDiv w:val="1"/>
      <w:marLeft w:val="0"/>
      <w:marRight w:val="0"/>
      <w:marTop w:val="0"/>
      <w:marBottom w:val="0"/>
      <w:divBdr>
        <w:top w:val="none" w:sz="0" w:space="0" w:color="auto"/>
        <w:left w:val="none" w:sz="0" w:space="0" w:color="auto"/>
        <w:bottom w:val="none" w:sz="0" w:space="0" w:color="auto"/>
        <w:right w:val="none" w:sz="0" w:space="0" w:color="auto"/>
      </w:divBdr>
    </w:div>
    <w:div w:id="10049314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44674261">
      <w:bodyDiv w:val="1"/>
      <w:marLeft w:val="0"/>
      <w:marRight w:val="0"/>
      <w:marTop w:val="0"/>
      <w:marBottom w:val="0"/>
      <w:divBdr>
        <w:top w:val="none" w:sz="0" w:space="0" w:color="auto"/>
        <w:left w:val="none" w:sz="0" w:space="0" w:color="auto"/>
        <w:bottom w:val="none" w:sz="0" w:space="0" w:color="auto"/>
        <w:right w:val="none" w:sz="0" w:space="0" w:color="auto"/>
      </w:divBdr>
    </w:div>
    <w:div w:id="425033245">
      <w:bodyDiv w:val="1"/>
      <w:marLeft w:val="0"/>
      <w:marRight w:val="0"/>
      <w:marTop w:val="0"/>
      <w:marBottom w:val="0"/>
      <w:divBdr>
        <w:top w:val="none" w:sz="0" w:space="0" w:color="auto"/>
        <w:left w:val="none" w:sz="0" w:space="0" w:color="auto"/>
        <w:bottom w:val="none" w:sz="0" w:space="0" w:color="auto"/>
        <w:right w:val="none" w:sz="0" w:space="0" w:color="auto"/>
      </w:divBdr>
      <w:divsChild>
        <w:div w:id="1147624852">
          <w:marLeft w:val="0"/>
          <w:marRight w:val="0"/>
          <w:marTop w:val="0"/>
          <w:marBottom w:val="0"/>
          <w:divBdr>
            <w:top w:val="none" w:sz="0" w:space="0" w:color="auto"/>
            <w:left w:val="none" w:sz="0" w:space="0" w:color="auto"/>
            <w:bottom w:val="none" w:sz="0" w:space="0" w:color="auto"/>
            <w:right w:val="none" w:sz="0" w:space="0" w:color="auto"/>
          </w:divBdr>
          <w:divsChild>
            <w:div w:id="108214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5314">
      <w:bodyDiv w:val="1"/>
      <w:marLeft w:val="0"/>
      <w:marRight w:val="0"/>
      <w:marTop w:val="0"/>
      <w:marBottom w:val="0"/>
      <w:divBdr>
        <w:top w:val="none" w:sz="0" w:space="0" w:color="auto"/>
        <w:left w:val="none" w:sz="0" w:space="0" w:color="auto"/>
        <w:bottom w:val="none" w:sz="0" w:space="0" w:color="auto"/>
        <w:right w:val="none" w:sz="0" w:space="0" w:color="auto"/>
      </w:divBdr>
    </w:div>
    <w:div w:id="526412675">
      <w:bodyDiv w:val="1"/>
      <w:marLeft w:val="0"/>
      <w:marRight w:val="0"/>
      <w:marTop w:val="0"/>
      <w:marBottom w:val="0"/>
      <w:divBdr>
        <w:top w:val="none" w:sz="0" w:space="0" w:color="auto"/>
        <w:left w:val="none" w:sz="0" w:space="0" w:color="auto"/>
        <w:bottom w:val="none" w:sz="0" w:space="0" w:color="auto"/>
        <w:right w:val="none" w:sz="0" w:space="0" w:color="auto"/>
      </w:divBdr>
    </w:div>
    <w:div w:id="527185091">
      <w:bodyDiv w:val="1"/>
      <w:marLeft w:val="0"/>
      <w:marRight w:val="0"/>
      <w:marTop w:val="0"/>
      <w:marBottom w:val="0"/>
      <w:divBdr>
        <w:top w:val="none" w:sz="0" w:space="0" w:color="auto"/>
        <w:left w:val="none" w:sz="0" w:space="0" w:color="auto"/>
        <w:bottom w:val="none" w:sz="0" w:space="0" w:color="auto"/>
        <w:right w:val="none" w:sz="0" w:space="0" w:color="auto"/>
      </w:divBdr>
    </w:div>
    <w:div w:id="541096542">
      <w:bodyDiv w:val="1"/>
      <w:marLeft w:val="0"/>
      <w:marRight w:val="0"/>
      <w:marTop w:val="0"/>
      <w:marBottom w:val="0"/>
      <w:divBdr>
        <w:top w:val="none" w:sz="0" w:space="0" w:color="auto"/>
        <w:left w:val="none" w:sz="0" w:space="0" w:color="auto"/>
        <w:bottom w:val="none" w:sz="0" w:space="0" w:color="auto"/>
        <w:right w:val="none" w:sz="0" w:space="0" w:color="auto"/>
      </w:divBdr>
    </w:div>
    <w:div w:id="577247152">
      <w:bodyDiv w:val="1"/>
      <w:marLeft w:val="0"/>
      <w:marRight w:val="0"/>
      <w:marTop w:val="0"/>
      <w:marBottom w:val="0"/>
      <w:divBdr>
        <w:top w:val="none" w:sz="0" w:space="0" w:color="auto"/>
        <w:left w:val="none" w:sz="0" w:space="0" w:color="auto"/>
        <w:bottom w:val="none" w:sz="0" w:space="0" w:color="auto"/>
        <w:right w:val="none" w:sz="0" w:space="0" w:color="auto"/>
      </w:divBdr>
    </w:div>
    <w:div w:id="709652444">
      <w:bodyDiv w:val="1"/>
      <w:marLeft w:val="0"/>
      <w:marRight w:val="0"/>
      <w:marTop w:val="0"/>
      <w:marBottom w:val="0"/>
      <w:divBdr>
        <w:top w:val="none" w:sz="0" w:space="0" w:color="auto"/>
        <w:left w:val="none" w:sz="0" w:space="0" w:color="auto"/>
        <w:bottom w:val="none" w:sz="0" w:space="0" w:color="auto"/>
        <w:right w:val="none" w:sz="0" w:space="0" w:color="auto"/>
      </w:divBdr>
    </w:div>
    <w:div w:id="744306615">
      <w:bodyDiv w:val="1"/>
      <w:marLeft w:val="0"/>
      <w:marRight w:val="0"/>
      <w:marTop w:val="0"/>
      <w:marBottom w:val="0"/>
      <w:divBdr>
        <w:top w:val="none" w:sz="0" w:space="0" w:color="auto"/>
        <w:left w:val="none" w:sz="0" w:space="0" w:color="auto"/>
        <w:bottom w:val="none" w:sz="0" w:space="0" w:color="auto"/>
        <w:right w:val="none" w:sz="0" w:space="0" w:color="auto"/>
      </w:divBdr>
    </w:div>
    <w:div w:id="1036807538">
      <w:bodyDiv w:val="1"/>
      <w:marLeft w:val="0"/>
      <w:marRight w:val="0"/>
      <w:marTop w:val="0"/>
      <w:marBottom w:val="0"/>
      <w:divBdr>
        <w:top w:val="none" w:sz="0" w:space="0" w:color="auto"/>
        <w:left w:val="none" w:sz="0" w:space="0" w:color="auto"/>
        <w:bottom w:val="none" w:sz="0" w:space="0" w:color="auto"/>
        <w:right w:val="none" w:sz="0" w:space="0" w:color="auto"/>
      </w:divBdr>
    </w:div>
    <w:div w:id="1162964762">
      <w:bodyDiv w:val="1"/>
      <w:marLeft w:val="0"/>
      <w:marRight w:val="0"/>
      <w:marTop w:val="0"/>
      <w:marBottom w:val="0"/>
      <w:divBdr>
        <w:top w:val="none" w:sz="0" w:space="0" w:color="auto"/>
        <w:left w:val="none" w:sz="0" w:space="0" w:color="auto"/>
        <w:bottom w:val="none" w:sz="0" w:space="0" w:color="auto"/>
        <w:right w:val="none" w:sz="0" w:space="0" w:color="auto"/>
      </w:divBdr>
    </w:div>
    <w:div w:id="1167867779">
      <w:bodyDiv w:val="1"/>
      <w:marLeft w:val="0"/>
      <w:marRight w:val="0"/>
      <w:marTop w:val="0"/>
      <w:marBottom w:val="0"/>
      <w:divBdr>
        <w:top w:val="none" w:sz="0" w:space="0" w:color="auto"/>
        <w:left w:val="none" w:sz="0" w:space="0" w:color="auto"/>
        <w:bottom w:val="none" w:sz="0" w:space="0" w:color="auto"/>
        <w:right w:val="none" w:sz="0" w:space="0" w:color="auto"/>
      </w:divBdr>
    </w:div>
    <w:div w:id="1200168005">
      <w:bodyDiv w:val="1"/>
      <w:marLeft w:val="0"/>
      <w:marRight w:val="0"/>
      <w:marTop w:val="0"/>
      <w:marBottom w:val="0"/>
      <w:divBdr>
        <w:top w:val="none" w:sz="0" w:space="0" w:color="auto"/>
        <w:left w:val="none" w:sz="0" w:space="0" w:color="auto"/>
        <w:bottom w:val="none" w:sz="0" w:space="0" w:color="auto"/>
        <w:right w:val="none" w:sz="0" w:space="0" w:color="auto"/>
      </w:divBdr>
    </w:div>
    <w:div w:id="1208683561">
      <w:bodyDiv w:val="1"/>
      <w:marLeft w:val="0"/>
      <w:marRight w:val="0"/>
      <w:marTop w:val="0"/>
      <w:marBottom w:val="0"/>
      <w:divBdr>
        <w:top w:val="none" w:sz="0" w:space="0" w:color="auto"/>
        <w:left w:val="none" w:sz="0" w:space="0" w:color="auto"/>
        <w:bottom w:val="none" w:sz="0" w:space="0" w:color="auto"/>
        <w:right w:val="none" w:sz="0" w:space="0" w:color="auto"/>
      </w:divBdr>
    </w:div>
    <w:div w:id="1346980892">
      <w:bodyDiv w:val="1"/>
      <w:marLeft w:val="0"/>
      <w:marRight w:val="0"/>
      <w:marTop w:val="0"/>
      <w:marBottom w:val="0"/>
      <w:divBdr>
        <w:top w:val="none" w:sz="0" w:space="0" w:color="auto"/>
        <w:left w:val="none" w:sz="0" w:space="0" w:color="auto"/>
        <w:bottom w:val="none" w:sz="0" w:space="0" w:color="auto"/>
        <w:right w:val="none" w:sz="0" w:space="0" w:color="auto"/>
      </w:divBdr>
    </w:div>
    <w:div w:id="1507943070">
      <w:bodyDiv w:val="1"/>
      <w:marLeft w:val="0"/>
      <w:marRight w:val="0"/>
      <w:marTop w:val="0"/>
      <w:marBottom w:val="0"/>
      <w:divBdr>
        <w:top w:val="none" w:sz="0" w:space="0" w:color="auto"/>
        <w:left w:val="none" w:sz="0" w:space="0" w:color="auto"/>
        <w:bottom w:val="none" w:sz="0" w:space="0" w:color="auto"/>
        <w:right w:val="none" w:sz="0" w:space="0" w:color="auto"/>
      </w:divBdr>
    </w:div>
    <w:div w:id="1667442842">
      <w:bodyDiv w:val="1"/>
      <w:marLeft w:val="0"/>
      <w:marRight w:val="0"/>
      <w:marTop w:val="0"/>
      <w:marBottom w:val="0"/>
      <w:divBdr>
        <w:top w:val="none" w:sz="0" w:space="0" w:color="auto"/>
        <w:left w:val="none" w:sz="0" w:space="0" w:color="auto"/>
        <w:bottom w:val="none" w:sz="0" w:space="0" w:color="auto"/>
        <w:right w:val="none" w:sz="0" w:space="0" w:color="auto"/>
      </w:divBdr>
    </w:div>
    <w:div w:id="2060935059">
      <w:bodyDiv w:val="1"/>
      <w:marLeft w:val="0"/>
      <w:marRight w:val="0"/>
      <w:marTop w:val="0"/>
      <w:marBottom w:val="0"/>
      <w:divBdr>
        <w:top w:val="none" w:sz="0" w:space="0" w:color="auto"/>
        <w:left w:val="none" w:sz="0" w:space="0" w:color="auto"/>
        <w:bottom w:val="none" w:sz="0" w:space="0" w:color="auto"/>
        <w:right w:val="none" w:sz="0" w:space="0" w:color="auto"/>
      </w:divBdr>
    </w:div>
    <w:div w:id="213032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14</TotalTime>
  <Pages>7</Pages>
  <Words>1741</Words>
  <Characters>11186</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2023070350, MT</dc:description>
  <cp:lastModifiedBy>Gitte Jørgensen</cp:lastModifiedBy>
  <cp:revision>10</cp:revision>
  <cp:lastPrinted>2012-08-22T08:53:00Z</cp:lastPrinted>
  <dcterms:created xsi:type="dcterms:W3CDTF">2024-06-06T06:56:00Z</dcterms:created>
  <dcterms:modified xsi:type="dcterms:W3CDTF">2024-06-11T12:29:00Z</dcterms:modified>
</cp:coreProperties>
</file>