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D20D0"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421878F2" wp14:editId="3FE4AC63">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60A1908A" w14:textId="3441126E"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B3350E">
        <w:rPr>
          <w:szCs w:val="24"/>
        </w:rPr>
        <w:t>7. oktober 2025</w:t>
      </w:r>
    </w:p>
    <w:p w14:paraId="3132E144" w14:textId="77777777" w:rsidR="009260DE" w:rsidRPr="00C84483" w:rsidRDefault="009260DE" w:rsidP="009260DE">
      <w:pPr>
        <w:pStyle w:val="Titel"/>
        <w:tabs>
          <w:tab w:val="left" w:pos="8222"/>
        </w:tabs>
        <w:jc w:val="left"/>
        <w:rPr>
          <w:b w:val="0"/>
          <w:szCs w:val="24"/>
        </w:rPr>
      </w:pPr>
    </w:p>
    <w:p w14:paraId="07F8AD19" w14:textId="77777777" w:rsidR="009260DE" w:rsidRPr="00C84483" w:rsidRDefault="009260DE" w:rsidP="009260DE">
      <w:pPr>
        <w:pStyle w:val="Titel"/>
        <w:jc w:val="left"/>
        <w:rPr>
          <w:b w:val="0"/>
          <w:szCs w:val="24"/>
        </w:rPr>
      </w:pPr>
    </w:p>
    <w:p w14:paraId="4C17D49B" w14:textId="77777777" w:rsidR="009260DE" w:rsidRPr="00C84483" w:rsidRDefault="009260DE" w:rsidP="009260DE">
      <w:pPr>
        <w:jc w:val="center"/>
        <w:rPr>
          <w:b/>
          <w:sz w:val="24"/>
          <w:szCs w:val="24"/>
        </w:rPr>
      </w:pPr>
      <w:r w:rsidRPr="00C84483">
        <w:rPr>
          <w:b/>
          <w:sz w:val="24"/>
          <w:szCs w:val="24"/>
        </w:rPr>
        <w:t>PRODUKTRESUMÉ</w:t>
      </w:r>
    </w:p>
    <w:p w14:paraId="494421BD" w14:textId="77777777" w:rsidR="009260DE" w:rsidRPr="00C84483" w:rsidRDefault="009260DE" w:rsidP="009260DE">
      <w:pPr>
        <w:jc w:val="center"/>
        <w:rPr>
          <w:b/>
          <w:sz w:val="24"/>
          <w:szCs w:val="24"/>
        </w:rPr>
      </w:pPr>
    </w:p>
    <w:p w14:paraId="55CF2AEC" w14:textId="77777777" w:rsidR="009260DE" w:rsidRDefault="009260DE" w:rsidP="009260DE">
      <w:pPr>
        <w:jc w:val="center"/>
        <w:rPr>
          <w:b/>
          <w:sz w:val="24"/>
          <w:szCs w:val="24"/>
        </w:rPr>
      </w:pPr>
      <w:r w:rsidRPr="00C84483">
        <w:rPr>
          <w:b/>
          <w:sz w:val="24"/>
          <w:szCs w:val="24"/>
        </w:rPr>
        <w:t>for</w:t>
      </w:r>
    </w:p>
    <w:p w14:paraId="07AE82B8" w14:textId="77777777" w:rsidR="000B058C" w:rsidRPr="00C84483" w:rsidRDefault="000B058C" w:rsidP="009260DE">
      <w:pPr>
        <w:jc w:val="center"/>
        <w:rPr>
          <w:b/>
          <w:sz w:val="24"/>
          <w:szCs w:val="24"/>
        </w:rPr>
      </w:pPr>
    </w:p>
    <w:p w14:paraId="4CD97E4C" w14:textId="384526AD" w:rsidR="009260DE" w:rsidRPr="00C84483" w:rsidRDefault="00484BC5" w:rsidP="009260DE">
      <w:pPr>
        <w:jc w:val="center"/>
        <w:rPr>
          <w:b/>
          <w:sz w:val="24"/>
          <w:szCs w:val="24"/>
        </w:rPr>
      </w:pPr>
      <w:bookmarkStart w:id="1" w:name="_Hlk210652360"/>
      <w:r w:rsidRPr="00484BC5">
        <w:rPr>
          <w:b/>
          <w:sz w:val="24"/>
          <w:szCs w:val="24"/>
        </w:rPr>
        <w:t>Sacubitril/Valsartan "Krka"</w:t>
      </w:r>
      <w:r w:rsidR="00404627">
        <w:rPr>
          <w:b/>
          <w:sz w:val="24"/>
          <w:szCs w:val="24"/>
        </w:rPr>
        <w:t xml:space="preserve">, </w:t>
      </w:r>
      <w:bookmarkEnd w:id="1"/>
      <w:r w:rsidR="00404627">
        <w:rPr>
          <w:b/>
          <w:sz w:val="24"/>
          <w:szCs w:val="24"/>
        </w:rPr>
        <w:t>filmovertrukne tabletter</w:t>
      </w:r>
    </w:p>
    <w:p w14:paraId="4ECEFEF4" w14:textId="77777777" w:rsidR="009260DE" w:rsidRPr="00C84483" w:rsidRDefault="009260DE" w:rsidP="009260DE">
      <w:pPr>
        <w:jc w:val="both"/>
        <w:rPr>
          <w:sz w:val="24"/>
          <w:szCs w:val="24"/>
        </w:rPr>
      </w:pPr>
    </w:p>
    <w:p w14:paraId="7617AC35" w14:textId="77777777" w:rsidR="009260DE" w:rsidRPr="00C84483" w:rsidRDefault="009260DE" w:rsidP="009260DE">
      <w:pPr>
        <w:jc w:val="both"/>
        <w:rPr>
          <w:sz w:val="24"/>
          <w:szCs w:val="24"/>
        </w:rPr>
      </w:pPr>
    </w:p>
    <w:p w14:paraId="053657BB"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10D058C2" w14:textId="5B94DC8A" w:rsidR="009260DE" w:rsidRPr="00C84483" w:rsidRDefault="00404627" w:rsidP="009260DE">
      <w:pPr>
        <w:tabs>
          <w:tab w:val="left" w:pos="851"/>
        </w:tabs>
        <w:ind w:left="851"/>
        <w:rPr>
          <w:sz w:val="24"/>
          <w:szCs w:val="24"/>
        </w:rPr>
      </w:pPr>
      <w:r>
        <w:rPr>
          <w:sz w:val="24"/>
          <w:szCs w:val="24"/>
        </w:rPr>
        <w:t>34001</w:t>
      </w:r>
    </w:p>
    <w:p w14:paraId="23E9CA51" w14:textId="77777777" w:rsidR="009260DE" w:rsidRPr="00C84483" w:rsidRDefault="009260DE" w:rsidP="009260DE">
      <w:pPr>
        <w:tabs>
          <w:tab w:val="left" w:pos="851"/>
        </w:tabs>
        <w:ind w:left="851"/>
        <w:rPr>
          <w:sz w:val="24"/>
          <w:szCs w:val="24"/>
        </w:rPr>
      </w:pPr>
    </w:p>
    <w:p w14:paraId="5B0355F9"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2A06156A" w14:textId="2BA32398" w:rsidR="009260DE" w:rsidRPr="00404627" w:rsidRDefault="00404627" w:rsidP="009260DE">
      <w:pPr>
        <w:tabs>
          <w:tab w:val="left" w:pos="851"/>
        </w:tabs>
        <w:ind w:left="851"/>
        <w:rPr>
          <w:sz w:val="24"/>
          <w:szCs w:val="24"/>
        </w:rPr>
      </w:pPr>
      <w:r w:rsidRPr="00404627">
        <w:rPr>
          <w:sz w:val="24"/>
          <w:szCs w:val="24"/>
        </w:rPr>
        <w:t>Sacubitril/Valsartan "Krka"</w:t>
      </w:r>
    </w:p>
    <w:p w14:paraId="467042D2" w14:textId="77777777" w:rsidR="009260DE" w:rsidRPr="00C84483" w:rsidRDefault="009260DE" w:rsidP="009260DE">
      <w:pPr>
        <w:tabs>
          <w:tab w:val="left" w:pos="851"/>
        </w:tabs>
        <w:ind w:left="851"/>
        <w:rPr>
          <w:sz w:val="24"/>
          <w:szCs w:val="24"/>
        </w:rPr>
      </w:pPr>
    </w:p>
    <w:p w14:paraId="5BC05EC9"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2D25CC23" w14:textId="77777777" w:rsidR="00404627" w:rsidRDefault="00404627" w:rsidP="00404627">
      <w:pPr>
        <w:tabs>
          <w:tab w:val="left" w:pos="851"/>
        </w:tabs>
        <w:ind w:left="851"/>
        <w:rPr>
          <w:sz w:val="24"/>
          <w:szCs w:val="24"/>
          <w:u w:val="single"/>
        </w:rPr>
      </w:pPr>
    </w:p>
    <w:p w14:paraId="0D56D291" w14:textId="3A5A16B4" w:rsidR="00404627" w:rsidRPr="00404627" w:rsidRDefault="00404627" w:rsidP="00404627">
      <w:pPr>
        <w:tabs>
          <w:tab w:val="left" w:pos="851"/>
        </w:tabs>
        <w:ind w:left="851"/>
        <w:rPr>
          <w:sz w:val="24"/>
          <w:szCs w:val="24"/>
          <w:u w:val="single"/>
        </w:rPr>
      </w:pPr>
      <w:r w:rsidRPr="00404627">
        <w:rPr>
          <w:sz w:val="24"/>
          <w:szCs w:val="24"/>
          <w:u w:val="single"/>
        </w:rPr>
        <w:t>Sacubitril/Valsartan "Krka" 24 mg/26 mg filmovertrukne tabletter</w:t>
      </w:r>
    </w:p>
    <w:p w14:paraId="56D8B4EE" w14:textId="77777777" w:rsidR="00404627" w:rsidRPr="00404627" w:rsidRDefault="00404627" w:rsidP="00404627">
      <w:pPr>
        <w:tabs>
          <w:tab w:val="left" w:pos="851"/>
        </w:tabs>
        <w:ind w:left="851"/>
        <w:rPr>
          <w:sz w:val="24"/>
          <w:szCs w:val="24"/>
        </w:rPr>
      </w:pPr>
      <w:r w:rsidRPr="00404627">
        <w:rPr>
          <w:sz w:val="24"/>
          <w:szCs w:val="24"/>
        </w:rPr>
        <w:t>Hver filmovertrukket tablet indeholder sacubitrilnatrium svarende til 24,3 mg sacubitril og valsartandinatrium svarende til 25,7 mg valsartan.</w:t>
      </w:r>
    </w:p>
    <w:p w14:paraId="52A1E766" w14:textId="77777777" w:rsidR="00404627" w:rsidRPr="00404627" w:rsidRDefault="00404627" w:rsidP="00404627">
      <w:pPr>
        <w:tabs>
          <w:tab w:val="left" w:pos="851"/>
        </w:tabs>
        <w:ind w:left="851"/>
        <w:rPr>
          <w:sz w:val="24"/>
          <w:szCs w:val="24"/>
        </w:rPr>
      </w:pPr>
    </w:p>
    <w:p w14:paraId="28372533" w14:textId="77777777" w:rsidR="00404627" w:rsidRPr="00404627" w:rsidRDefault="00404627" w:rsidP="00404627">
      <w:pPr>
        <w:tabs>
          <w:tab w:val="left" w:pos="851"/>
        </w:tabs>
        <w:ind w:left="851"/>
        <w:rPr>
          <w:sz w:val="24"/>
          <w:szCs w:val="24"/>
          <w:u w:val="single"/>
        </w:rPr>
      </w:pPr>
      <w:r w:rsidRPr="00404627">
        <w:rPr>
          <w:sz w:val="24"/>
          <w:szCs w:val="24"/>
          <w:u w:val="single"/>
        </w:rPr>
        <w:t>Sacubitril/Valsartan "Krka" 49 mg/51 mg filmovertrukne tabletter</w:t>
      </w:r>
    </w:p>
    <w:p w14:paraId="669AD3A4" w14:textId="77777777" w:rsidR="00404627" w:rsidRPr="00404627" w:rsidRDefault="00404627" w:rsidP="00404627">
      <w:pPr>
        <w:tabs>
          <w:tab w:val="left" w:pos="851"/>
        </w:tabs>
        <w:ind w:left="851"/>
        <w:rPr>
          <w:sz w:val="24"/>
          <w:szCs w:val="24"/>
        </w:rPr>
      </w:pPr>
      <w:r w:rsidRPr="00404627">
        <w:rPr>
          <w:sz w:val="24"/>
          <w:szCs w:val="24"/>
        </w:rPr>
        <w:t>Hver filmovertrukket tablet indeholder sacubitrilnatrium svarende til 48,6 mg sacubitril og valsartandinatrium svarende til 51,4 mg valsartan.</w:t>
      </w:r>
    </w:p>
    <w:p w14:paraId="5CB62AAB" w14:textId="77777777" w:rsidR="00404627" w:rsidRPr="00404627" w:rsidRDefault="00404627" w:rsidP="00404627">
      <w:pPr>
        <w:tabs>
          <w:tab w:val="left" w:pos="851"/>
        </w:tabs>
        <w:ind w:left="851"/>
        <w:rPr>
          <w:sz w:val="24"/>
          <w:szCs w:val="24"/>
        </w:rPr>
      </w:pPr>
    </w:p>
    <w:p w14:paraId="538FD822" w14:textId="77777777" w:rsidR="00404627" w:rsidRPr="00404627" w:rsidRDefault="00404627" w:rsidP="00404627">
      <w:pPr>
        <w:tabs>
          <w:tab w:val="left" w:pos="851"/>
        </w:tabs>
        <w:ind w:left="851"/>
        <w:rPr>
          <w:sz w:val="24"/>
          <w:szCs w:val="24"/>
          <w:u w:val="single"/>
        </w:rPr>
      </w:pPr>
      <w:r w:rsidRPr="00404627">
        <w:rPr>
          <w:sz w:val="24"/>
          <w:szCs w:val="24"/>
          <w:u w:val="single"/>
        </w:rPr>
        <w:t>Sacubitril/Valsartan "Krka" 97 mg/103 mg filmovertrukne tabletter</w:t>
      </w:r>
    </w:p>
    <w:p w14:paraId="50636D69" w14:textId="77777777" w:rsidR="00404627" w:rsidRPr="00404627" w:rsidRDefault="00404627" w:rsidP="00404627">
      <w:pPr>
        <w:tabs>
          <w:tab w:val="left" w:pos="851"/>
        </w:tabs>
        <w:ind w:left="851"/>
        <w:rPr>
          <w:sz w:val="24"/>
          <w:szCs w:val="24"/>
        </w:rPr>
      </w:pPr>
      <w:r w:rsidRPr="00404627">
        <w:rPr>
          <w:sz w:val="24"/>
          <w:szCs w:val="24"/>
        </w:rPr>
        <w:t>Hver filmovertrukket tablet indeholder sacubitrilnatrium svarende til 97,2 mg sacubitril og valsartandinatrium svarende til 102,8 mg valsartan.</w:t>
      </w:r>
    </w:p>
    <w:p w14:paraId="116945EA" w14:textId="77777777" w:rsidR="00404627" w:rsidRPr="00404627" w:rsidRDefault="00404627" w:rsidP="00404627">
      <w:pPr>
        <w:tabs>
          <w:tab w:val="left" w:pos="851"/>
        </w:tabs>
        <w:ind w:left="851"/>
        <w:rPr>
          <w:sz w:val="24"/>
          <w:szCs w:val="24"/>
        </w:rPr>
      </w:pPr>
    </w:p>
    <w:p w14:paraId="0EABE3A6" w14:textId="77777777" w:rsidR="00404627" w:rsidRPr="00404627" w:rsidRDefault="00404627" w:rsidP="00404627">
      <w:pPr>
        <w:tabs>
          <w:tab w:val="left" w:pos="851"/>
        </w:tabs>
        <w:ind w:left="851"/>
        <w:rPr>
          <w:sz w:val="24"/>
          <w:szCs w:val="24"/>
        </w:rPr>
      </w:pPr>
      <w:r w:rsidRPr="00404627">
        <w:rPr>
          <w:sz w:val="24"/>
          <w:szCs w:val="24"/>
        </w:rPr>
        <w:t>Alle hjælpestoffer er anført under pkt. 6.1.</w:t>
      </w:r>
    </w:p>
    <w:p w14:paraId="0C20AE90" w14:textId="77777777" w:rsidR="009260DE" w:rsidRPr="00C84483" w:rsidRDefault="009260DE" w:rsidP="009260DE">
      <w:pPr>
        <w:tabs>
          <w:tab w:val="left" w:pos="851"/>
        </w:tabs>
        <w:ind w:left="851"/>
        <w:rPr>
          <w:sz w:val="24"/>
          <w:szCs w:val="24"/>
        </w:rPr>
      </w:pPr>
    </w:p>
    <w:p w14:paraId="5CD582E2"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0A9498FB" w14:textId="5A29ACB3" w:rsidR="00404627" w:rsidRPr="00404627" w:rsidRDefault="00404627" w:rsidP="00404627">
      <w:pPr>
        <w:tabs>
          <w:tab w:val="left" w:pos="851"/>
        </w:tabs>
        <w:ind w:left="851"/>
        <w:rPr>
          <w:sz w:val="24"/>
          <w:szCs w:val="24"/>
        </w:rPr>
      </w:pPr>
      <w:r w:rsidRPr="00404627">
        <w:rPr>
          <w:sz w:val="24"/>
          <w:szCs w:val="24"/>
        </w:rPr>
        <w:t>Filmovertrukket tablet</w:t>
      </w:r>
      <w:r>
        <w:rPr>
          <w:sz w:val="24"/>
          <w:szCs w:val="24"/>
        </w:rPr>
        <w:t>ter</w:t>
      </w:r>
      <w:r w:rsidRPr="00404627">
        <w:rPr>
          <w:sz w:val="24"/>
          <w:szCs w:val="24"/>
        </w:rPr>
        <w:t xml:space="preserve"> (tablet)</w:t>
      </w:r>
    </w:p>
    <w:p w14:paraId="01BD9BB2" w14:textId="77777777" w:rsidR="00404627" w:rsidRPr="00404627" w:rsidRDefault="00404627" w:rsidP="00404627">
      <w:pPr>
        <w:tabs>
          <w:tab w:val="left" w:pos="851"/>
        </w:tabs>
        <w:ind w:left="851"/>
        <w:rPr>
          <w:sz w:val="24"/>
          <w:szCs w:val="24"/>
        </w:rPr>
      </w:pPr>
    </w:p>
    <w:p w14:paraId="620AAC37" w14:textId="77777777" w:rsidR="00404627" w:rsidRPr="00404627" w:rsidRDefault="00404627" w:rsidP="00404627">
      <w:pPr>
        <w:tabs>
          <w:tab w:val="left" w:pos="851"/>
        </w:tabs>
        <w:ind w:left="851"/>
        <w:rPr>
          <w:sz w:val="24"/>
          <w:szCs w:val="24"/>
          <w:u w:val="single"/>
        </w:rPr>
      </w:pPr>
      <w:r w:rsidRPr="00404627">
        <w:rPr>
          <w:sz w:val="24"/>
          <w:szCs w:val="24"/>
          <w:u w:val="single"/>
        </w:rPr>
        <w:t>Sacubitril/Valsartan "Krka" 24 mg/26 mg filmovertrukne tabletter</w:t>
      </w:r>
    </w:p>
    <w:p w14:paraId="4E7DAECC" w14:textId="77777777" w:rsidR="00404627" w:rsidRPr="00404627" w:rsidRDefault="00404627" w:rsidP="00404627">
      <w:pPr>
        <w:tabs>
          <w:tab w:val="left" w:pos="851"/>
        </w:tabs>
        <w:ind w:left="851"/>
        <w:rPr>
          <w:sz w:val="24"/>
          <w:szCs w:val="24"/>
        </w:rPr>
      </w:pPr>
      <w:r w:rsidRPr="00404627">
        <w:rPr>
          <w:sz w:val="24"/>
          <w:szCs w:val="24"/>
        </w:rPr>
        <w:t>Lys grålyserød, rund, bikonveks, filmovertrukket tablet, mærket med S3 på den ene side. Tabletdimension: Diameter ca. 9 mm.</w:t>
      </w:r>
    </w:p>
    <w:p w14:paraId="46A79968" w14:textId="77777777" w:rsidR="00404627" w:rsidRPr="00404627" w:rsidRDefault="00404627" w:rsidP="00404627">
      <w:pPr>
        <w:tabs>
          <w:tab w:val="left" w:pos="851"/>
        </w:tabs>
        <w:ind w:left="851"/>
        <w:rPr>
          <w:sz w:val="24"/>
          <w:szCs w:val="24"/>
        </w:rPr>
      </w:pPr>
    </w:p>
    <w:p w14:paraId="26B507B2" w14:textId="77777777" w:rsidR="00404627" w:rsidRPr="00404627" w:rsidRDefault="00404627" w:rsidP="00404627">
      <w:pPr>
        <w:tabs>
          <w:tab w:val="left" w:pos="851"/>
        </w:tabs>
        <w:ind w:left="851"/>
        <w:rPr>
          <w:sz w:val="24"/>
          <w:szCs w:val="24"/>
          <w:u w:val="single"/>
        </w:rPr>
      </w:pPr>
      <w:r w:rsidRPr="00404627">
        <w:rPr>
          <w:sz w:val="24"/>
          <w:szCs w:val="24"/>
          <w:u w:val="single"/>
        </w:rPr>
        <w:t>Sacubitril/Valsartan "Krka" 49 mg/51 mg filmovertrukne tabletter</w:t>
      </w:r>
    </w:p>
    <w:p w14:paraId="09F4F423" w14:textId="77777777" w:rsidR="00404627" w:rsidRPr="00404627" w:rsidRDefault="00404627" w:rsidP="00404627">
      <w:pPr>
        <w:tabs>
          <w:tab w:val="left" w:pos="851"/>
        </w:tabs>
        <w:ind w:left="851"/>
        <w:rPr>
          <w:sz w:val="24"/>
          <w:szCs w:val="24"/>
        </w:rPr>
      </w:pPr>
      <w:r w:rsidRPr="00404627">
        <w:rPr>
          <w:sz w:val="24"/>
          <w:szCs w:val="24"/>
        </w:rPr>
        <w:t>Gul, rund, bikonveks, filmovertrukket tablet, mærket med S2 på den ene side. Tabletdimension: Diameter ca. 9 mm.</w:t>
      </w:r>
    </w:p>
    <w:p w14:paraId="1546863C" w14:textId="77777777" w:rsidR="00404627" w:rsidRPr="00404627" w:rsidRDefault="00404627" w:rsidP="00404627">
      <w:pPr>
        <w:tabs>
          <w:tab w:val="left" w:pos="851"/>
        </w:tabs>
        <w:ind w:left="851"/>
        <w:rPr>
          <w:sz w:val="24"/>
          <w:szCs w:val="24"/>
        </w:rPr>
      </w:pPr>
    </w:p>
    <w:p w14:paraId="4D986305" w14:textId="77777777" w:rsidR="00404627" w:rsidRPr="00404627" w:rsidRDefault="00404627" w:rsidP="00404627">
      <w:pPr>
        <w:tabs>
          <w:tab w:val="left" w:pos="851"/>
        </w:tabs>
        <w:ind w:left="851"/>
        <w:rPr>
          <w:sz w:val="24"/>
          <w:szCs w:val="24"/>
          <w:u w:val="single"/>
        </w:rPr>
      </w:pPr>
      <w:r w:rsidRPr="00404627">
        <w:rPr>
          <w:sz w:val="24"/>
          <w:szCs w:val="24"/>
          <w:u w:val="single"/>
        </w:rPr>
        <w:t>Sacubitril/Valsartan "Krka" 97 mg/103 mg filmovertrukne tabletter</w:t>
      </w:r>
    </w:p>
    <w:p w14:paraId="6A1B8BA2" w14:textId="6EA6DDC3" w:rsidR="00404627" w:rsidRPr="00404627" w:rsidRDefault="00404627" w:rsidP="00404627">
      <w:pPr>
        <w:tabs>
          <w:tab w:val="left" w:pos="851"/>
        </w:tabs>
        <w:ind w:left="851"/>
        <w:rPr>
          <w:sz w:val="24"/>
          <w:szCs w:val="24"/>
        </w:rPr>
      </w:pPr>
      <w:r w:rsidRPr="00404627">
        <w:rPr>
          <w:sz w:val="24"/>
          <w:szCs w:val="24"/>
        </w:rPr>
        <w:t>Orangelyserød, oval, bikonveks, filmovertrukket tablet, mærket med S1 på den ene side. Tabletdimension: Ca. 15 mm</w:t>
      </w:r>
      <w:r>
        <w:rPr>
          <w:sz w:val="24"/>
          <w:szCs w:val="24"/>
        </w:rPr>
        <w:t>×</w:t>
      </w:r>
      <w:r w:rsidRPr="00404627">
        <w:rPr>
          <w:sz w:val="24"/>
          <w:szCs w:val="24"/>
        </w:rPr>
        <w:t>8 mm.</w:t>
      </w:r>
    </w:p>
    <w:p w14:paraId="3DC8B75E" w14:textId="77777777" w:rsidR="00404627" w:rsidRPr="00404627" w:rsidRDefault="00404627" w:rsidP="00404627">
      <w:pPr>
        <w:tabs>
          <w:tab w:val="left" w:pos="851"/>
        </w:tabs>
        <w:ind w:left="851"/>
        <w:rPr>
          <w:sz w:val="24"/>
          <w:szCs w:val="24"/>
        </w:rPr>
      </w:pPr>
    </w:p>
    <w:p w14:paraId="6DBC930A" w14:textId="77777777" w:rsidR="009260DE" w:rsidRPr="00C84483" w:rsidRDefault="009260DE" w:rsidP="009260DE">
      <w:pPr>
        <w:tabs>
          <w:tab w:val="left" w:pos="851"/>
        </w:tabs>
        <w:ind w:left="851"/>
        <w:rPr>
          <w:sz w:val="24"/>
          <w:szCs w:val="24"/>
        </w:rPr>
      </w:pPr>
    </w:p>
    <w:p w14:paraId="7661CE55" w14:textId="77777777" w:rsidR="009260DE" w:rsidRPr="00C84483" w:rsidRDefault="009260DE" w:rsidP="009260DE">
      <w:pPr>
        <w:tabs>
          <w:tab w:val="left" w:pos="851"/>
        </w:tabs>
        <w:ind w:left="851"/>
        <w:rPr>
          <w:sz w:val="24"/>
          <w:szCs w:val="24"/>
        </w:rPr>
      </w:pPr>
    </w:p>
    <w:p w14:paraId="21357BB5"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1BD786BA" w14:textId="77777777" w:rsidR="009260DE" w:rsidRPr="00C84483" w:rsidRDefault="009260DE" w:rsidP="009260DE">
      <w:pPr>
        <w:tabs>
          <w:tab w:val="left" w:pos="851"/>
        </w:tabs>
        <w:ind w:left="851"/>
        <w:rPr>
          <w:b/>
          <w:sz w:val="24"/>
          <w:szCs w:val="24"/>
        </w:rPr>
      </w:pPr>
    </w:p>
    <w:p w14:paraId="36585B59"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49B0BE3C" w14:textId="77777777" w:rsidR="00234440" w:rsidRDefault="00234440" w:rsidP="00234440">
      <w:pPr>
        <w:tabs>
          <w:tab w:val="left" w:pos="851"/>
        </w:tabs>
        <w:ind w:left="851"/>
        <w:rPr>
          <w:sz w:val="24"/>
          <w:szCs w:val="24"/>
          <w:u w:val="single"/>
        </w:rPr>
      </w:pPr>
    </w:p>
    <w:p w14:paraId="245AB643" w14:textId="1DAE7AFB" w:rsidR="00234440" w:rsidRPr="00234440" w:rsidRDefault="00234440" w:rsidP="00234440">
      <w:pPr>
        <w:tabs>
          <w:tab w:val="left" w:pos="851"/>
        </w:tabs>
        <w:ind w:left="851"/>
        <w:rPr>
          <w:sz w:val="24"/>
          <w:szCs w:val="24"/>
          <w:u w:val="single"/>
        </w:rPr>
      </w:pPr>
      <w:r w:rsidRPr="00234440">
        <w:rPr>
          <w:sz w:val="24"/>
          <w:szCs w:val="24"/>
          <w:u w:val="single"/>
        </w:rPr>
        <w:t>Hjertesvigt hos voksne patienter</w:t>
      </w:r>
    </w:p>
    <w:p w14:paraId="470EDE83" w14:textId="77777777" w:rsidR="00234440" w:rsidRPr="00234440" w:rsidRDefault="00234440" w:rsidP="00234440">
      <w:pPr>
        <w:tabs>
          <w:tab w:val="left" w:pos="851"/>
        </w:tabs>
        <w:ind w:left="851"/>
        <w:rPr>
          <w:sz w:val="24"/>
          <w:szCs w:val="24"/>
        </w:rPr>
      </w:pPr>
      <w:r w:rsidRPr="00234440">
        <w:rPr>
          <w:sz w:val="24"/>
          <w:szCs w:val="24"/>
        </w:rPr>
        <w:t>Sacubitril/Valsartan "Krka" er indiceret til behandling af voksne patienter med symptomatisk kronisk hjertesvigt med nedsat uddrivningsfraktion (se pkt. 5.1).</w:t>
      </w:r>
    </w:p>
    <w:p w14:paraId="207B2DF2" w14:textId="77777777" w:rsidR="00234440" w:rsidRPr="00234440" w:rsidRDefault="00234440" w:rsidP="00234440">
      <w:pPr>
        <w:tabs>
          <w:tab w:val="left" w:pos="851"/>
        </w:tabs>
        <w:ind w:left="851"/>
        <w:rPr>
          <w:sz w:val="24"/>
          <w:szCs w:val="24"/>
        </w:rPr>
      </w:pPr>
    </w:p>
    <w:p w14:paraId="309E5509" w14:textId="77777777" w:rsidR="00234440" w:rsidRPr="00234440" w:rsidRDefault="00234440" w:rsidP="00234440">
      <w:pPr>
        <w:tabs>
          <w:tab w:val="left" w:pos="851"/>
        </w:tabs>
        <w:ind w:left="851"/>
        <w:rPr>
          <w:sz w:val="24"/>
          <w:szCs w:val="24"/>
          <w:u w:val="single"/>
        </w:rPr>
      </w:pPr>
      <w:r w:rsidRPr="00234440">
        <w:rPr>
          <w:sz w:val="24"/>
          <w:szCs w:val="24"/>
          <w:u w:val="single"/>
        </w:rPr>
        <w:t>Hjertesvigt hos pædiatriske patienter</w:t>
      </w:r>
    </w:p>
    <w:p w14:paraId="453115FB" w14:textId="77777777" w:rsidR="00234440" w:rsidRPr="00234440" w:rsidRDefault="00234440" w:rsidP="00234440">
      <w:pPr>
        <w:tabs>
          <w:tab w:val="left" w:pos="851"/>
        </w:tabs>
        <w:ind w:left="851"/>
        <w:rPr>
          <w:sz w:val="24"/>
          <w:szCs w:val="24"/>
        </w:rPr>
      </w:pPr>
      <w:r w:rsidRPr="00234440">
        <w:rPr>
          <w:sz w:val="24"/>
          <w:szCs w:val="24"/>
        </w:rPr>
        <w:t>Sacubitril/Valsartan "Krka" er indiceret til behandling af børn og unge i alderen 1 år og derover med symptomatisk kronisk hjertesvigt med systolisk dysfunktion af venstre ventrikel (se pkt. 5.1).</w:t>
      </w:r>
    </w:p>
    <w:p w14:paraId="1FA4AAEC" w14:textId="77777777" w:rsidR="009260DE" w:rsidRPr="00C84483" w:rsidRDefault="009260DE" w:rsidP="009260DE">
      <w:pPr>
        <w:tabs>
          <w:tab w:val="left" w:pos="851"/>
        </w:tabs>
        <w:ind w:left="851"/>
        <w:rPr>
          <w:sz w:val="24"/>
          <w:szCs w:val="24"/>
        </w:rPr>
      </w:pPr>
    </w:p>
    <w:p w14:paraId="0B3DD802"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0B6B7B0A" w14:textId="77777777" w:rsidR="00234440" w:rsidRPr="00234440" w:rsidRDefault="00234440" w:rsidP="00234440">
      <w:pPr>
        <w:keepNext/>
        <w:ind w:left="851"/>
        <w:rPr>
          <w:sz w:val="24"/>
          <w:szCs w:val="24"/>
        </w:rPr>
      </w:pPr>
    </w:p>
    <w:p w14:paraId="355BF584" w14:textId="77777777" w:rsidR="00234440" w:rsidRPr="00234440" w:rsidRDefault="00234440" w:rsidP="00234440">
      <w:pPr>
        <w:keepNext/>
        <w:ind w:left="851"/>
        <w:rPr>
          <w:sz w:val="24"/>
          <w:szCs w:val="24"/>
        </w:rPr>
      </w:pPr>
      <w:r w:rsidRPr="00234440">
        <w:rPr>
          <w:sz w:val="24"/>
          <w:szCs w:val="24"/>
          <w:u w:val="single"/>
        </w:rPr>
        <w:t>Dosering</w:t>
      </w:r>
    </w:p>
    <w:p w14:paraId="23E69C5A" w14:textId="77777777" w:rsidR="00234440" w:rsidRPr="00234440" w:rsidRDefault="00234440" w:rsidP="00234440">
      <w:pPr>
        <w:keepNext/>
        <w:ind w:left="851"/>
        <w:rPr>
          <w:sz w:val="24"/>
          <w:szCs w:val="24"/>
        </w:rPr>
      </w:pPr>
    </w:p>
    <w:p w14:paraId="6108E28A" w14:textId="77777777" w:rsidR="00234440" w:rsidRPr="00234440" w:rsidRDefault="00234440" w:rsidP="00234440">
      <w:pPr>
        <w:ind w:left="851"/>
        <w:rPr>
          <w:i/>
          <w:sz w:val="24"/>
          <w:szCs w:val="24"/>
        </w:rPr>
      </w:pPr>
      <w:r w:rsidRPr="00234440">
        <w:rPr>
          <w:i/>
          <w:sz w:val="24"/>
          <w:szCs w:val="24"/>
        </w:rPr>
        <w:t>Generelle hensyn</w:t>
      </w:r>
    </w:p>
    <w:p w14:paraId="2CE7AAAA" w14:textId="77777777" w:rsidR="00234440" w:rsidRPr="00234440" w:rsidRDefault="00234440" w:rsidP="00234440">
      <w:pPr>
        <w:ind w:left="851"/>
        <w:rPr>
          <w:sz w:val="24"/>
          <w:szCs w:val="24"/>
        </w:rPr>
      </w:pPr>
      <w:r w:rsidRPr="00234440">
        <w:rPr>
          <w:sz w:val="24"/>
          <w:szCs w:val="24"/>
        </w:rPr>
        <w:t>Sacubitril/Valsartan "Krka" må ikke administreres sammen med en ACE</w:t>
      </w:r>
      <w:r w:rsidRPr="00234440">
        <w:rPr>
          <w:sz w:val="24"/>
          <w:szCs w:val="24"/>
        </w:rPr>
        <w:noBreakHyphen/>
        <w:t>hæmmer (angiotensin-konverterende enzym) eller en angiotensin</w:t>
      </w:r>
      <w:r w:rsidRPr="00234440">
        <w:rPr>
          <w:sz w:val="24"/>
          <w:szCs w:val="24"/>
        </w:rPr>
        <w:noBreakHyphen/>
        <w:t>II-receptorblokker (ARB). På grund af mulig risiko for angioødem, må behandling med Sacubitril/Valsartan "Krka" ikke initieres før mindst 36 timer efter, at behandling med en ACE</w:t>
      </w:r>
      <w:r w:rsidRPr="00234440">
        <w:rPr>
          <w:sz w:val="24"/>
          <w:szCs w:val="24"/>
        </w:rPr>
        <w:noBreakHyphen/>
        <w:t>hæmmer er seponeret (se pkt. 4.3, 4.4 og 4.5).</w:t>
      </w:r>
    </w:p>
    <w:p w14:paraId="4E8B1020" w14:textId="77777777" w:rsidR="00234440" w:rsidRPr="00234440" w:rsidRDefault="00234440" w:rsidP="00234440">
      <w:pPr>
        <w:ind w:left="851"/>
        <w:rPr>
          <w:sz w:val="24"/>
          <w:szCs w:val="24"/>
        </w:rPr>
      </w:pPr>
    </w:p>
    <w:p w14:paraId="47F689B2" w14:textId="77777777" w:rsidR="00234440" w:rsidRPr="00234440" w:rsidRDefault="00234440" w:rsidP="00234440">
      <w:pPr>
        <w:ind w:left="851"/>
        <w:rPr>
          <w:sz w:val="24"/>
          <w:szCs w:val="24"/>
        </w:rPr>
      </w:pPr>
      <w:r w:rsidRPr="00234440">
        <w:rPr>
          <w:sz w:val="24"/>
          <w:szCs w:val="24"/>
        </w:rPr>
        <w:t>Biotilgængeligheden af valsartan-komponenten i Sacubitril/Valsartan "Krka" er højere end biotilgængeligheden af valsartan i andre markedsførte tabletformuleringer (se pkt. 5.2).</w:t>
      </w:r>
    </w:p>
    <w:p w14:paraId="580D44FC" w14:textId="77777777" w:rsidR="00234440" w:rsidRPr="00234440" w:rsidRDefault="00234440" w:rsidP="00234440">
      <w:pPr>
        <w:ind w:left="851"/>
        <w:rPr>
          <w:sz w:val="24"/>
          <w:szCs w:val="24"/>
        </w:rPr>
      </w:pPr>
    </w:p>
    <w:p w14:paraId="101C50CA" w14:textId="77777777" w:rsidR="00234440" w:rsidRPr="00234440" w:rsidRDefault="00234440" w:rsidP="00234440">
      <w:pPr>
        <w:ind w:left="851"/>
        <w:rPr>
          <w:sz w:val="24"/>
          <w:szCs w:val="24"/>
        </w:rPr>
      </w:pPr>
      <w:r w:rsidRPr="00234440">
        <w:rPr>
          <w:sz w:val="24"/>
          <w:szCs w:val="24"/>
        </w:rPr>
        <w:t>Hvis en dosis glemmes, skal patienten tage den efterfølgende dosis på det planlagte tidspunkt.</w:t>
      </w:r>
    </w:p>
    <w:p w14:paraId="295415AC" w14:textId="77777777" w:rsidR="00234440" w:rsidRPr="00234440" w:rsidRDefault="00234440" w:rsidP="00234440">
      <w:pPr>
        <w:ind w:left="851"/>
        <w:rPr>
          <w:sz w:val="24"/>
          <w:szCs w:val="24"/>
        </w:rPr>
      </w:pPr>
    </w:p>
    <w:p w14:paraId="19D03B7B" w14:textId="77777777" w:rsidR="00234440" w:rsidRPr="00234440" w:rsidRDefault="00234440" w:rsidP="00234440">
      <w:pPr>
        <w:ind w:left="851"/>
        <w:rPr>
          <w:i/>
          <w:sz w:val="24"/>
          <w:szCs w:val="24"/>
        </w:rPr>
      </w:pPr>
      <w:r w:rsidRPr="00234440">
        <w:rPr>
          <w:i/>
          <w:sz w:val="24"/>
          <w:szCs w:val="24"/>
        </w:rPr>
        <w:t>Hjertesvigt hos voksne patienter</w:t>
      </w:r>
    </w:p>
    <w:p w14:paraId="6486A8E9" w14:textId="77777777" w:rsidR="00234440" w:rsidRPr="00234440" w:rsidRDefault="00234440" w:rsidP="00234440">
      <w:pPr>
        <w:ind w:left="851"/>
        <w:rPr>
          <w:sz w:val="24"/>
          <w:szCs w:val="24"/>
        </w:rPr>
      </w:pPr>
      <w:r w:rsidRPr="00234440">
        <w:rPr>
          <w:sz w:val="24"/>
          <w:szCs w:val="24"/>
        </w:rPr>
        <w:t>Den anbefalede startdosis af Sacubitril/Valsartan "Krka" er én tablet på 49 mg/51 mg to gange dagligt, med undtagelse af de tilfælde, der er beskrevet herunder. Dosis bør fordobles efter 2</w:t>
      </w:r>
      <w:r w:rsidRPr="00234440">
        <w:rPr>
          <w:sz w:val="24"/>
          <w:szCs w:val="24"/>
        </w:rPr>
        <w:noBreakHyphen/>
        <w:t>4 uger til en måldosis på én tablet på 97 mg/103 mg to gange dagligt, baseret på patientens toleranceevne (se pkt. 5.1).</w:t>
      </w:r>
    </w:p>
    <w:p w14:paraId="1D0ADA93" w14:textId="77777777" w:rsidR="00234440" w:rsidRPr="00234440" w:rsidRDefault="00234440" w:rsidP="00234440">
      <w:pPr>
        <w:ind w:left="851"/>
        <w:rPr>
          <w:sz w:val="24"/>
          <w:szCs w:val="24"/>
        </w:rPr>
      </w:pPr>
    </w:p>
    <w:p w14:paraId="446FEA68" w14:textId="77777777" w:rsidR="00234440" w:rsidRPr="00234440" w:rsidRDefault="00234440" w:rsidP="00234440">
      <w:pPr>
        <w:ind w:left="851"/>
        <w:rPr>
          <w:sz w:val="24"/>
          <w:szCs w:val="24"/>
        </w:rPr>
      </w:pPr>
      <w:r w:rsidRPr="00234440">
        <w:rPr>
          <w:sz w:val="24"/>
          <w:szCs w:val="24"/>
        </w:rPr>
        <w:t>Hvis patienten oplever tolerabilitetsproblemer (systolisk blodtryk [SBT] ≤ 95 mmHg, symptomatisk hypotension, hyperkaliæmi, nedsat nyrefunktion), er justering af samtidigt administrerede lægemidler, midlertidig nedtitrering eller seponering af Sacubitril/Valsartan "Krka" anbefalet (se pkt. 4.4).</w:t>
      </w:r>
    </w:p>
    <w:p w14:paraId="148069AE" w14:textId="77777777" w:rsidR="00234440" w:rsidRPr="00234440" w:rsidRDefault="00234440" w:rsidP="00234440">
      <w:pPr>
        <w:ind w:left="851"/>
        <w:rPr>
          <w:sz w:val="24"/>
          <w:szCs w:val="24"/>
        </w:rPr>
      </w:pPr>
    </w:p>
    <w:p w14:paraId="1D630025" w14:textId="77777777" w:rsidR="00234440" w:rsidRPr="00234440" w:rsidRDefault="00234440" w:rsidP="00234440">
      <w:pPr>
        <w:ind w:left="851"/>
        <w:rPr>
          <w:sz w:val="24"/>
          <w:szCs w:val="24"/>
        </w:rPr>
      </w:pPr>
      <w:r w:rsidRPr="00234440">
        <w:rPr>
          <w:sz w:val="24"/>
          <w:szCs w:val="24"/>
        </w:rPr>
        <w:t>I PARADIGM</w:t>
      </w:r>
      <w:r w:rsidRPr="00234440">
        <w:rPr>
          <w:sz w:val="24"/>
          <w:szCs w:val="24"/>
        </w:rPr>
        <w:noBreakHyphen/>
        <w:t>HF-studiet blev sacubitril/valsartan administreret sammen med andre lægemidler til hjertesvigt, enten i stedet for en ACE</w:t>
      </w:r>
      <w:r w:rsidRPr="00234440">
        <w:rPr>
          <w:sz w:val="24"/>
          <w:szCs w:val="24"/>
        </w:rPr>
        <w:noBreakHyphen/>
        <w:t>hæmmer eller andre ARB (se pkt. 5.1). Der er begrænset erfaring hos patienter, som ikke er i behandling med en ACE</w:t>
      </w:r>
      <w:r w:rsidRPr="00234440">
        <w:rPr>
          <w:sz w:val="24"/>
          <w:szCs w:val="24"/>
        </w:rPr>
        <w:noBreakHyphen/>
        <w:t>hæmmer eller en ARB, eller som tager lave doser af disse lægemidler. Derfor anbefales en startdosis på 24 mg/26 mg to gange dagligt samt langsom dosistitrering (fordobling hver 3.</w:t>
      </w:r>
      <w:r w:rsidRPr="00234440">
        <w:rPr>
          <w:sz w:val="24"/>
          <w:szCs w:val="24"/>
        </w:rPr>
        <w:noBreakHyphen/>
        <w:t>4. uge) hos disse patienter (se "Titration" under pkt. 5.1).</w:t>
      </w:r>
    </w:p>
    <w:p w14:paraId="7A094D4D" w14:textId="77777777" w:rsidR="00234440" w:rsidRPr="00234440" w:rsidRDefault="00234440" w:rsidP="00234440">
      <w:pPr>
        <w:ind w:left="851"/>
        <w:rPr>
          <w:sz w:val="24"/>
          <w:szCs w:val="24"/>
        </w:rPr>
      </w:pPr>
    </w:p>
    <w:p w14:paraId="51E77636" w14:textId="77777777" w:rsidR="00234440" w:rsidRPr="00234440" w:rsidRDefault="00234440" w:rsidP="00234440">
      <w:pPr>
        <w:ind w:left="851"/>
        <w:rPr>
          <w:sz w:val="24"/>
          <w:szCs w:val="24"/>
        </w:rPr>
      </w:pPr>
      <w:r w:rsidRPr="00234440">
        <w:rPr>
          <w:sz w:val="24"/>
          <w:szCs w:val="24"/>
        </w:rPr>
        <w:lastRenderedPageBreak/>
        <w:t>Behandling bør ikke initieres hos patienter med serumkalium-værdier &gt; 5,4 mmol/l eller med SBT &lt; 100 mmHg (se pkt. 4.4). En startdosis på 24 mg/26 mg to gange dagligt bør overvejes hos patienter med SBT ≥ 100</w:t>
      </w:r>
      <w:r w:rsidRPr="00234440">
        <w:rPr>
          <w:sz w:val="24"/>
          <w:szCs w:val="24"/>
        </w:rPr>
        <w:noBreakHyphen/>
        <w:t>110 mmHg.</w:t>
      </w:r>
    </w:p>
    <w:p w14:paraId="37AEDD8B" w14:textId="77777777" w:rsidR="00234440" w:rsidRPr="00234440" w:rsidRDefault="00234440" w:rsidP="00234440">
      <w:pPr>
        <w:ind w:left="851"/>
        <w:rPr>
          <w:sz w:val="24"/>
          <w:szCs w:val="24"/>
        </w:rPr>
      </w:pPr>
    </w:p>
    <w:p w14:paraId="4A75F4DD" w14:textId="77777777" w:rsidR="00234440" w:rsidRPr="00234440" w:rsidRDefault="00234440" w:rsidP="00234440">
      <w:pPr>
        <w:ind w:left="851"/>
        <w:rPr>
          <w:i/>
          <w:sz w:val="24"/>
          <w:szCs w:val="24"/>
        </w:rPr>
      </w:pPr>
      <w:r w:rsidRPr="00234440">
        <w:rPr>
          <w:i/>
          <w:sz w:val="24"/>
          <w:szCs w:val="24"/>
        </w:rPr>
        <w:t>Hjertesvigt hos pædiatriske patienter</w:t>
      </w:r>
    </w:p>
    <w:p w14:paraId="2A3F942F" w14:textId="77777777" w:rsidR="00234440" w:rsidRPr="00234440" w:rsidRDefault="00234440" w:rsidP="00234440">
      <w:pPr>
        <w:ind w:left="851"/>
        <w:rPr>
          <w:sz w:val="24"/>
          <w:szCs w:val="24"/>
        </w:rPr>
      </w:pPr>
      <w:r w:rsidRPr="00234440">
        <w:rPr>
          <w:sz w:val="24"/>
          <w:szCs w:val="24"/>
        </w:rPr>
        <w:t>Tabel 1 viser den anbefalede dosis til pædiatriske patienter. Den anbefalede dosis bør tages oralt to gange dagligt. Dosis bør øges hver 2.</w:t>
      </w:r>
      <w:r w:rsidRPr="00234440">
        <w:rPr>
          <w:sz w:val="24"/>
          <w:szCs w:val="24"/>
        </w:rPr>
        <w:noBreakHyphen/>
        <w:t>4. uge til måldosis, baseret på patientens toleranceevne.</w:t>
      </w:r>
    </w:p>
    <w:p w14:paraId="64249701" w14:textId="77777777" w:rsidR="00234440" w:rsidRPr="00234440" w:rsidRDefault="00234440" w:rsidP="00234440">
      <w:pPr>
        <w:ind w:left="851"/>
        <w:rPr>
          <w:sz w:val="24"/>
          <w:szCs w:val="24"/>
        </w:rPr>
      </w:pPr>
    </w:p>
    <w:p w14:paraId="6AC1E996" w14:textId="77777777" w:rsidR="00234440" w:rsidRPr="00234440" w:rsidRDefault="00234440" w:rsidP="00234440">
      <w:pPr>
        <w:ind w:left="851"/>
        <w:rPr>
          <w:sz w:val="24"/>
          <w:szCs w:val="24"/>
        </w:rPr>
      </w:pPr>
      <w:r w:rsidRPr="00234440">
        <w:rPr>
          <w:sz w:val="24"/>
          <w:szCs w:val="24"/>
        </w:rPr>
        <w:t>Sacubitril/Valsartan "Krka" filmovertrukne tabletter er ikke egnede til børn, der vejer under 40 kg. Der findes andre egnede lægemiddelformer (granulat) til disse patienter.</w:t>
      </w:r>
    </w:p>
    <w:p w14:paraId="2C2B12BC" w14:textId="77777777" w:rsidR="00234440" w:rsidRPr="00234440" w:rsidRDefault="00234440" w:rsidP="00234440">
      <w:pPr>
        <w:ind w:left="851"/>
        <w:rPr>
          <w:sz w:val="24"/>
          <w:szCs w:val="24"/>
        </w:rPr>
      </w:pPr>
    </w:p>
    <w:p w14:paraId="0B7A77B6" w14:textId="77777777" w:rsidR="00234440" w:rsidRDefault="00234440" w:rsidP="00234440">
      <w:pPr>
        <w:rPr>
          <w:b/>
          <w:bCs/>
        </w:rPr>
      </w:pPr>
      <w:r>
        <w:rPr>
          <w:b/>
          <w:bCs/>
        </w:rPr>
        <w:t>Tabel 1</w:t>
      </w:r>
      <w:r>
        <w:rPr>
          <w:b/>
          <w:bCs/>
        </w:rPr>
        <w:tab/>
      </w:r>
      <w:r>
        <w:rPr>
          <w:b/>
          <w:bCs/>
        </w:rPr>
        <w:tab/>
        <w:t>Anbefalet dosistitrering</w:t>
      </w:r>
    </w:p>
    <w:p w14:paraId="744F4A8B" w14:textId="77777777" w:rsidR="00234440" w:rsidRDefault="00234440" w:rsidP="00234440">
      <w:pPr>
        <w:rPr>
          <w:b/>
          <w:bCs/>
        </w:rPr>
      </w:pPr>
    </w:p>
    <w:tbl>
      <w:tblPr>
        <w:tblW w:w="907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78"/>
        <w:gridCol w:w="1418"/>
        <w:gridCol w:w="1417"/>
        <w:gridCol w:w="1702"/>
        <w:gridCol w:w="1560"/>
      </w:tblGrid>
      <w:tr w:rsidR="00234440" w14:paraId="3C72ADDA" w14:textId="77777777" w:rsidTr="00234440">
        <w:trPr>
          <w:trHeight w:val="252"/>
        </w:trPr>
        <w:tc>
          <w:tcPr>
            <w:tcW w:w="2977" w:type="dxa"/>
            <w:vMerge w:val="restart"/>
            <w:tcBorders>
              <w:top w:val="single" w:sz="8" w:space="0" w:color="000000"/>
              <w:left w:val="single" w:sz="8" w:space="0" w:color="000000"/>
              <w:bottom w:val="single" w:sz="8" w:space="0" w:color="000000"/>
              <w:right w:val="single" w:sz="8" w:space="0" w:color="000000"/>
            </w:tcBorders>
            <w:hideMark/>
          </w:tcPr>
          <w:p w14:paraId="20EBB700" w14:textId="77777777" w:rsidR="00234440" w:rsidRDefault="00234440">
            <w:pPr>
              <w:spacing w:line="276" w:lineRule="auto"/>
              <w:jc w:val="center"/>
              <w:rPr>
                <w:kern w:val="2"/>
                <w:lang w:val="sv-SE"/>
                <w14:ligatures w14:val="standardContextual"/>
              </w:rPr>
            </w:pPr>
            <w:r>
              <w:rPr>
                <w:kern w:val="2"/>
                <w:lang w:val="sv-SE"/>
                <w14:ligatures w14:val="standardContextual"/>
              </w:rPr>
              <w:t>Patientvægt</w:t>
            </w:r>
          </w:p>
        </w:tc>
        <w:tc>
          <w:tcPr>
            <w:tcW w:w="6095" w:type="dxa"/>
            <w:gridSpan w:val="4"/>
            <w:tcBorders>
              <w:top w:val="single" w:sz="8" w:space="0" w:color="000000"/>
              <w:left w:val="single" w:sz="8" w:space="0" w:color="000000"/>
              <w:bottom w:val="single" w:sz="8" w:space="0" w:color="000000"/>
              <w:right w:val="single" w:sz="8" w:space="0" w:color="000000"/>
            </w:tcBorders>
            <w:hideMark/>
          </w:tcPr>
          <w:p w14:paraId="0DD84243" w14:textId="77777777" w:rsidR="00234440" w:rsidRDefault="00234440">
            <w:pPr>
              <w:spacing w:line="276" w:lineRule="auto"/>
              <w:jc w:val="center"/>
              <w:rPr>
                <w:kern w:val="2"/>
                <w:lang w:val="sv-SE"/>
                <w14:ligatures w14:val="standardContextual"/>
              </w:rPr>
            </w:pPr>
            <w:r>
              <w:rPr>
                <w:kern w:val="2"/>
                <w:lang w:val="sv-SE"/>
                <w14:ligatures w14:val="standardContextual"/>
              </w:rPr>
              <w:t>Administreres to gange dagligt</w:t>
            </w:r>
          </w:p>
        </w:tc>
      </w:tr>
      <w:tr w:rsidR="00234440" w14:paraId="50746101" w14:textId="77777777" w:rsidTr="00234440">
        <w:trPr>
          <w:trHeight w:val="505"/>
        </w:trPr>
        <w:tc>
          <w:tcPr>
            <w:tcW w:w="2977" w:type="dxa"/>
            <w:vMerge/>
            <w:tcBorders>
              <w:top w:val="single" w:sz="8" w:space="0" w:color="000000"/>
              <w:left w:val="single" w:sz="8" w:space="0" w:color="000000"/>
              <w:bottom w:val="single" w:sz="8" w:space="0" w:color="000000"/>
              <w:right w:val="single" w:sz="8" w:space="0" w:color="000000"/>
            </w:tcBorders>
            <w:vAlign w:val="center"/>
            <w:hideMark/>
          </w:tcPr>
          <w:p w14:paraId="16844FCD" w14:textId="77777777" w:rsidR="00234440" w:rsidRDefault="00234440">
            <w:pPr>
              <w:spacing w:line="276" w:lineRule="auto"/>
              <w:rPr>
                <w:kern w:val="2"/>
                <w:sz w:val="22"/>
                <w:lang w:val="sv-SE"/>
                <w14:ligatures w14:val="standardContextual"/>
              </w:rPr>
            </w:pPr>
          </w:p>
        </w:tc>
        <w:tc>
          <w:tcPr>
            <w:tcW w:w="1418" w:type="dxa"/>
            <w:tcBorders>
              <w:top w:val="single" w:sz="8" w:space="0" w:color="000000"/>
              <w:left w:val="single" w:sz="8" w:space="0" w:color="000000"/>
              <w:bottom w:val="single" w:sz="8" w:space="0" w:color="000000"/>
              <w:right w:val="single" w:sz="8" w:space="0" w:color="000000"/>
            </w:tcBorders>
            <w:hideMark/>
          </w:tcPr>
          <w:p w14:paraId="6CF62983" w14:textId="77777777" w:rsidR="00234440" w:rsidRDefault="00234440">
            <w:pPr>
              <w:spacing w:line="276" w:lineRule="auto"/>
              <w:rPr>
                <w:kern w:val="2"/>
                <w:lang w:val="sv-SE"/>
                <w14:ligatures w14:val="standardContextual"/>
              </w:rPr>
            </w:pPr>
            <w:r>
              <w:rPr>
                <w:kern w:val="2"/>
                <w:lang w:val="sv-SE"/>
                <w14:ligatures w14:val="standardContextual"/>
              </w:rPr>
              <w:t>Halvdelen af startdosis*</w:t>
            </w:r>
          </w:p>
        </w:tc>
        <w:tc>
          <w:tcPr>
            <w:tcW w:w="1417" w:type="dxa"/>
            <w:tcBorders>
              <w:top w:val="single" w:sz="8" w:space="0" w:color="000000"/>
              <w:left w:val="single" w:sz="8" w:space="0" w:color="000000"/>
              <w:bottom w:val="single" w:sz="4" w:space="0" w:color="000000"/>
              <w:right w:val="single" w:sz="8" w:space="0" w:color="000000"/>
            </w:tcBorders>
            <w:hideMark/>
          </w:tcPr>
          <w:p w14:paraId="3AA36FB7" w14:textId="77777777" w:rsidR="00234440" w:rsidRDefault="00234440">
            <w:pPr>
              <w:spacing w:line="276" w:lineRule="auto"/>
              <w:rPr>
                <w:kern w:val="2"/>
                <w:lang w:val="sv-SE"/>
                <w14:ligatures w14:val="standardContextual"/>
              </w:rPr>
            </w:pPr>
            <w:r>
              <w:rPr>
                <w:kern w:val="2"/>
                <w:lang w:val="sv-SE"/>
                <w14:ligatures w14:val="standardContextual"/>
              </w:rPr>
              <w:t>Startdosis</w:t>
            </w:r>
          </w:p>
        </w:tc>
        <w:tc>
          <w:tcPr>
            <w:tcW w:w="1701" w:type="dxa"/>
            <w:tcBorders>
              <w:top w:val="single" w:sz="8" w:space="0" w:color="000000"/>
              <w:left w:val="single" w:sz="8" w:space="0" w:color="000000"/>
              <w:bottom w:val="single" w:sz="4" w:space="0" w:color="000000"/>
              <w:right w:val="single" w:sz="8" w:space="0" w:color="000000"/>
            </w:tcBorders>
            <w:hideMark/>
          </w:tcPr>
          <w:p w14:paraId="2B019354" w14:textId="77777777" w:rsidR="00234440" w:rsidRDefault="00234440">
            <w:pPr>
              <w:spacing w:line="276" w:lineRule="auto"/>
              <w:rPr>
                <w:kern w:val="2"/>
                <w:lang w:val="sv-SE"/>
                <w14:ligatures w14:val="standardContextual"/>
              </w:rPr>
            </w:pPr>
            <w:r>
              <w:rPr>
                <w:kern w:val="2"/>
                <w:lang w:val="sv-SE"/>
                <w14:ligatures w14:val="standardContextual"/>
              </w:rPr>
              <w:t>Mellemliggende dosis</w:t>
            </w:r>
          </w:p>
        </w:tc>
        <w:tc>
          <w:tcPr>
            <w:tcW w:w="1559" w:type="dxa"/>
            <w:tcBorders>
              <w:top w:val="single" w:sz="8" w:space="0" w:color="000000"/>
              <w:left w:val="single" w:sz="8" w:space="0" w:color="000000"/>
              <w:bottom w:val="single" w:sz="4" w:space="0" w:color="000000"/>
              <w:right w:val="single" w:sz="8" w:space="0" w:color="000000"/>
            </w:tcBorders>
            <w:hideMark/>
          </w:tcPr>
          <w:p w14:paraId="767DBACE" w14:textId="77777777" w:rsidR="00234440" w:rsidRDefault="00234440">
            <w:pPr>
              <w:spacing w:line="276" w:lineRule="auto"/>
              <w:rPr>
                <w:kern w:val="2"/>
                <w:lang w:val="sv-SE"/>
                <w14:ligatures w14:val="standardContextual"/>
              </w:rPr>
            </w:pPr>
            <w:r>
              <w:rPr>
                <w:kern w:val="2"/>
                <w:lang w:val="sv-SE"/>
                <w14:ligatures w14:val="standardContextual"/>
              </w:rPr>
              <w:t>Måldosis</w:t>
            </w:r>
          </w:p>
        </w:tc>
      </w:tr>
      <w:tr w:rsidR="00234440" w14:paraId="3A49D413" w14:textId="77777777" w:rsidTr="00234440">
        <w:trPr>
          <w:trHeight w:val="507"/>
        </w:trPr>
        <w:tc>
          <w:tcPr>
            <w:tcW w:w="2977" w:type="dxa"/>
            <w:tcBorders>
              <w:top w:val="single" w:sz="8" w:space="0" w:color="000000"/>
              <w:left w:val="single" w:sz="8" w:space="0" w:color="000000"/>
              <w:bottom w:val="single" w:sz="8" w:space="0" w:color="000000"/>
              <w:right w:val="single" w:sz="8" w:space="0" w:color="000000"/>
            </w:tcBorders>
            <w:hideMark/>
          </w:tcPr>
          <w:p w14:paraId="1BBA3A0F" w14:textId="77777777" w:rsidR="00234440" w:rsidRDefault="00234440">
            <w:pPr>
              <w:spacing w:line="276" w:lineRule="auto"/>
              <w:rPr>
                <w:kern w:val="2"/>
                <w:lang w:val="sv-SE"/>
                <w14:ligatures w14:val="standardContextual"/>
              </w:rPr>
            </w:pPr>
            <w:r>
              <w:rPr>
                <w:kern w:val="2"/>
                <w:lang w:val="sv-SE"/>
                <w14:ligatures w14:val="standardContextual"/>
              </w:rPr>
              <w:t>Pædiatriske patienter, der vejer under 40 kg</w:t>
            </w:r>
          </w:p>
        </w:tc>
        <w:tc>
          <w:tcPr>
            <w:tcW w:w="1418" w:type="dxa"/>
            <w:tcBorders>
              <w:top w:val="single" w:sz="8" w:space="0" w:color="000000"/>
              <w:left w:val="single" w:sz="8" w:space="0" w:color="000000"/>
              <w:bottom w:val="single" w:sz="8" w:space="0" w:color="000000"/>
              <w:right w:val="single" w:sz="8" w:space="0" w:color="000000"/>
            </w:tcBorders>
            <w:hideMark/>
          </w:tcPr>
          <w:p w14:paraId="52520AFE" w14:textId="77777777" w:rsidR="00234440" w:rsidRDefault="00234440">
            <w:pPr>
              <w:spacing w:line="276" w:lineRule="auto"/>
              <w:rPr>
                <w:kern w:val="2"/>
                <w:lang w:val="sv-SE"/>
                <w14:ligatures w14:val="standardContextual"/>
              </w:rPr>
            </w:pPr>
            <w:r>
              <w:rPr>
                <w:kern w:val="2"/>
                <w:lang w:val="sv-SE"/>
                <w14:ligatures w14:val="standardContextual"/>
              </w:rPr>
              <w:t>0,8 mg/kg</w:t>
            </w:r>
            <w:r>
              <w:rPr>
                <w:kern w:val="2"/>
                <w:vertAlign w:val="superscript"/>
                <w:lang w:val="sv-SE"/>
                <w14:ligatures w14:val="standardContextual"/>
              </w:rPr>
              <w:t>#</w:t>
            </w:r>
          </w:p>
        </w:tc>
        <w:tc>
          <w:tcPr>
            <w:tcW w:w="1417" w:type="dxa"/>
            <w:tcBorders>
              <w:top w:val="single" w:sz="4" w:space="0" w:color="000000"/>
              <w:left w:val="single" w:sz="8" w:space="0" w:color="000000"/>
              <w:bottom w:val="single" w:sz="8" w:space="0" w:color="000000"/>
              <w:right w:val="single" w:sz="8" w:space="0" w:color="000000"/>
            </w:tcBorders>
            <w:hideMark/>
          </w:tcPr>
          <w:p w14:paraId="307C9F4C" w14:textId="77777777" w:rsidR="00234440" w:rsidRDefault="00234440">
            <w:pPr>
              <w:spacing w:line="276" w:lineRule="auto"/>
              <w:rPr>
                <w:kern w:val="2"/>
                <w:lang w:val="sv-SE"/>
                <w14:ligatures w14:val="standardContextual"/>
              </w:rPr>
            </w:pPr>
            <w:r>
              <w:rPr>
                <w:kern w:val="2"/>
                <w:lang w:val="sv-SE"/>
                <w14:ligatures w14:val="standardContextual"/>
              </w:rPr>
              <w:t>1,6 mg/kg</w:t>
            </w:r>
            <w:r>
              <w:rPr>
                <w:kern w:val="2"/>
                <w:vertAlign w:val="superscript"/>
                <w:lang w:val="sv-SE"/>
                <w14:ligatures w14:val="standardContextual"/>
              </w:rPr>
              <w:t>#</w:t>
            </w:r>
          </w:p>
        </w:tc>
        <w:tc>
          <w:tcPr>
            <w:tcW w:w="1701" w:type="dxa"/>
            <w:tcBorders>
              <w:top w:val="single" w:sz="4" w:space="0" w:color="000000"/>
              <w:left w:val="single" w:sz="8" w:space="0" w:color="000000"/>
              <w:bottom w:val="single" w:sz="8" w:space="0" w:color="000000"/>
              <w:right w:val="single" w:sz="8" w:space="0" w:color="000000"/>
            </w:tcBorders>
            <w:hideMark/>
          </w:tcPr>
          <w:p w14:paraId="37F7E51A" w14:textId="77777777" w:rsidR="00234440" w:rsidRDefault="00234440">
            <w:pPr>
              <w:spacing w:line="276" w:lineRule="auto"/>
              <w:rPr>
                <w:kern w:val="2"/>
                <w:lang w:val="sv-SE"/>
                <w14:ligatures w14:val="standardContextual"/>
              </w:rPr>
            </w:pPr>
            <w:r>
              <w:rPr>
                <w:kern w:val="2"/>
                <w:lang w:val="sv-SE"/>
                <w14:ligatures w14:val="standardContextual"/>
              </w:rPr>
              <w:t>2,3 mg/kg</w:t>
            </w:r>
            <w:r>
              <w:rPr>
                <w:kern w:val="2"/>
                <w:vertAlign w:val="superscript"/>
                <w:lang w:val="sv-SE"/>
                <w14:ligatures w14:val="standardContextual"/>
              </w:rPr>
              <w:t>#</w:t>
            </w:r>
          </w:p>
        </w:tc>
        <w:tc>
          <w:tcPr>
            <w:tcW w:w="1559" w:type="dxa"/>
            <w:tcBorders>
              <w:top w:val="single" w:sz="4" w:space="0" w:color="000000"/>
              <w:left w:val="single" w:sz="8" w:space="0" w:color="000000"/>
              <w:bottom w:val="single" w:sz="8" w:space="0" w:color="000000"/>
              <w:right w:val="single" w:sz="4" w:space="0" w:color="000000"/>
            </w:tcBorders>
            <w:hideMark/>
          </w:tcPr>
          <w:p w14:paraId="3C1CDCA7" w14:textId="77777777" w:rsidR="00234440" w:rsidRDefault="00234440">
            <w:pPr>
              <w:spacing w:line="276" w:lineRule="auto"/>
              <w:rPr>
                <w:kern w:val="2"/>
                <w:lang w:val="sv-SE"/>
                <w14:ligatures w14:val="standardContextual"/>
              </w:rPr>
            </w:pPr>
            <w:r>
              <w:rPr>
                <w:kern w:val="2"/>
                <w:lang w:val="sv-SE"/>
                <w14:ligatures w14:val="standardContextual"/>
              </w:rPr>
              <w:t>3,1 mg/kg</w:t>
            </w:r>
            <w:r>
              <w:rPr>
                <w:kern w:val="2"/>
                <w:vertAlign w:val="superscript"/>
                <w:lang w:val="sv-SE"/>
                <w14:ligatures w14:val="standardContextual"/>
              </w:rPr>
              <w:t>#</w:t>
            </w:r>
          </w:p>
        </w:tc>
      </w:tr>
      <w:tr w:rsidR="00234440" w14:paraId="39EB708B" w14:textId="77777777" w:rsidTr="00234440">
        <w:trPr>
          <w:trHeight w:val="505"/>
        </w:trPr>
        <w:tc>
          <w:tcPr>
            <w:tcW w:w="2977" w:type="dxa"/>
            <w:tcBorders>
              <w:top w:val="single" w:sz="8" w:space="0" w:color="000000"/>
              <w:left w:val="single" w:sz="8" w:space="0" w:color="000000"/>
              <w:bottom w:val="single" w:sz="4" w:space="0" w:color="000000"/>
              <w:right w:val="single" w:sz="8" w:space="0" w:color="000000"/>
            </w:tcBorders>
            <w:hideMark/>
          </w:tcPr>
          <w:p w14:paraId="3D59BBD6" w14:textId="77777777" w:rsidR="00234440" w:rsidRDefault="00234440">
            <w:pPr>
              <w:spacing w:line="276" w:lineRule="auto"/>
              <w:rPr>
                <w:kern w:val="2"/>
                <w:lang w:val="sv-SE"/>
                <w14:ligatures w14:val="standardContextual"/>
              </w:rPr>
            </w:pPr>
            <w:r>
              <w:rPr>
                <w:kern w:val="2"/>
                <w:lang w:val="sv-SE"/>
                <w14:ligatures w14:val="standardContextual"/>
              </w:rPr>
              <w:t>Pædiatriske patienter, der vejer mindst 40 kg, men under 50 kg</w:t>
            </w:r>
          </w:p>
        </w:tc>
        <w:tc>
          <w:tcPr>
            <w:tcW w:w="1418" w:type="dxa"/>
            <w:tcBorders>
              <w:top w:val="single" w:sz="8" w:space="0" w:color="000000"/>
              <w:left w:val="single" w:sz="8" w:space="0" w:color="000000"/>
              <w:bottom w:val="single" w:sz="4" w:space="0" w:color="000000"/>
              <w:right w:val="single" w:sz="8" w:space="0" w:color="000000"/>
            </w:tcBorders>
            <w:hideMark/>
          </w:tcPr>
          <w:p w14:paraId="3687DFE7" w14:textId="77777777" w:rsidR="00234440" w:rsidRDefault="00234440">
            <w:pPr>
              <w:spacing w:line="276" w:lineRule="auto"/>
              <w:rPr>
                <w:kern w:val="2"/>
                <w:lang w:val="sv-SE"/>
                <w14:ligatures w14:val="standardContextual"/>
              </w:rPr>
            </w:pPr>
            <w:r>
              <w:rPr>
                <w:kern w:val="2"/>
                <w:lang w:val="sv-SE"/>
                <w14:ligatures w14:val="standardContextual"/>
              </w:rPr>
              <w:t>0,8 mg/kg</w:t>
            </w:r>
            <w:r>
              <w:rPr>
                <w:kern w:val="2"/>
                <w:vertAlign w:val="superscript"/>
                <w:lang w:val="sv-SE"/>
                <w14:ligatures w14:val="standardContextual"/>
              </w:rPr>
              <w:t>#</w:t>
            </w:r>
          </w:p>
        </w:tc>
        <w:tc>
          <w:tcPr>
            <w:tcW w:w="1417" w:type="dxa"/>
            <w:tcBorders>
              <w:top w:val="single" w:sz="8" w:space="0" w:color="000000"/>
              <w:left w:val="single" w:sz="8" w:space="0" w:color="000000"/>
              <w:bottom w:val="single" w:sz="4" w:space="0" w:color="000000"/>
              <w:right w:val="single" w:sz="8" w:space="0" w:color="000000"/>
            </w:tcBorders>
            <w:hideMark/>
          </w:tcPr>
          <w:p w14:paraId="15A56E9F" w14:textId="77777777" w:rsidR="00234440" w:rsidRDefault="00234440">
            <w:pPr>
              <w:spacing w:line="276" w:lineRule="auto"/>
              <w:rPr>
                <w:kern w:val="2"/>
                <w:lang w:val="sv-SE"/>
                <w14:ligatures w14:val="standardContextual"/>
              </w:rPr>
            </w:pPr>
            <w:r>
              <w:rPr>
                <w:kern w:val="2"/>
                <w:lang w:val="sv-SE"/>
                <w14:ligatures w14:val="standardContextual"/>
              </w:rPr>
              <w:t>24 mg/26 mg</w:t>
            </w:r>
          </w:p>
        </w:tc>
        <w:tc>
          <w:tcPr>
            <w:tcW w:w="1701" w:type="dxa"/>
            <w:tcBorders>
              <w:top w:val="single" w:sz="8" w:space="0" w:color="000000"/>
              <w:left w:val="single" w:sz="8" w:space="0" w:color="000000"/>
              <w:bottom w:val="single" w:sz="4" w:space="0" w:color="000000"/>
              <w:right w:val="single" w:sz="8" w:space="0" w:color="000000"/>
            </w:tcBorders>
            <w:hideMark/>
          </w:tcPr>
          <w:p w14:paraId="06918B1A" w14:textId="77777777" w:rsidR="00234440" w:rsidRDefault="00234440">
            <w:pPr>
              <w:spacing w:line="276" w:lineRule="auto"/>
              <w:rPr>
                <w:kern w:val="2"/>
                <w:lang w:val="sv-SE"/>
                <w14:ligatures w14:val="standardContextual"/>
              </w:rPr>
            </w:pPr>
            <w:r>
              <w:rPr>
                <w:kern w:val="2"/>
                <w:lang w:val="sv-SE"/>
                <w14:ligatures w14:val="standardContextual"/>
              </w:rPr>
              <w:t>49 mg/51 mg</w:t>
            </w:r>
          </w:p>
        </w:tc>
        <w:tc>
          <w:tcPr>
            <w:tcW w:w="1559" w:type="dxa"/>
            <w:tcBorders>
              <w:top w:val="single" w:sz="8" w:space="0" w:color="000000"/>
              <w:left w:val="single" w:sz="8" w:space="0" w:color="000000"/>
              <w:bottom w:val="single" w:sz="4" w:space="0" w:color="000000"/>
              <w:right w:val="single" w:sz="8" w:space="0" w:color="000000"/>
            </w:tcBorders>
            <w:hideMark/>
          </w:tcPr>
          <w:p w14:paraId="189226E9" w14:textId="77777777" w:rsidR="00234440" w:rsidRDefault="00234440">
            <w:pPr>
              <w:spacing w:line="276" w:lineRule="auto"/>
              <w:rPr>
                <w:kern w:val="2"/>
                <w:lang w:val="sv-SE"/>
                <w14:ligatures w14:val="standardContextual"/>
              </w:rPr>
            </w:pPr>
            <w:r>
              <w:rPr>
                <w:kern w:val="2"/>
                <w:lang w:val="sv-SE"/>
                <w14:ligatures w14:val="standardContextual"/>
              </w:rPr>
              <w:t>72 mg/78 mg</w:t>
            </w:r>
          </w:p>
        </w:tc>
      </w:tr>
      <w:tr w:rsidR="00234440" w14:paraId="598D1062" w14:textId="77777777" w:rsidTr="00234440">
        <w:trPr>
          <w:trHeight w:val="504"/>
        </w:trPr>
        <w:tc>
          <w:tcPr>
            <w:tcW w:w="2977" w:type="dxa"/>
            <w:tcBorders>
              <w:top w:val="single" w:sz="4" w:space="0" w:color="000000"/>
              <w:left w:val="single" w:sz="4" w:space="0" w:color="000000"/>
              <w:bottom w:val="single" w:sz="4" w:space="0" w:color="000000"/>
              <w:right w:val="single" w:sz="4" w:space="0" w:color="000000"/>
            </w:tcBorders>
            <w:hideMark/>
          </w:tcPr>
          <w:p w14:paraId="18494B4E" w14:textId="77777777" w:rsidR="00234440" w:rsidRDefault="00234440">
            <w:pPr>
              <w:spacing w:line="276" w:lineRule="auto"/>
              <w:rPr>
                <w:kern w:val="2"/>
                <w:lang w:val="sv-SE"/>
                <w14:ligatures w14:val="standardContextual"/>
              </w:rPr>
            </w:pPr>
            <w:r>
              <w:rPr>
                <w:kern w:val="2"/>
                <w:lang w:val="sv-SE"/>
                <w14:ligatures w14:val="standardContextual"/>
              </w:rPr>
              <w:t>Pædiatriske patienter, der vejer mindst 50 kg</w:t>
            </w:r>
          </w:p>
        </w:tc>
        <w:tc>
          <w:tcPr>
            <w:tcW w:w="1418" w:type="dxa"/>
            <w:tcBorders>
              <w:top w:val="single" w:sz="4" w:space="0" w:color="000000"/>
              <w:left w:val="single" w:sz="4" w:space="0" w:color="000000"/>
              <w:bottom w:val="single" w:sz="4" w:space="0" w:color="000000"/>
              <w:right w:val="single" w:sz="4" w:space="0" w:color="000000"/>
            </w:tcBorders>
            <w:hideMark/>
          </w:tcPr>
          <w:p w14:paraId="4EDABBC3" w14:textId="77777777" w:rsidR="00234440" w:rsidRDefault="00234440">
            <w:pPr>
              <w:spacing w:line="276" w:lineRule="auto"/>
              <w:rPr>
                <w:kern w:val="2"/>
                <w:lang w:val="sv-SE"/>
                <w14:ligatures w14:val="standardContextual"/>
              </w:rPr>
            </w:pPr>
            <w:r>
              <w:rPr>
                <w:kern w:val="2"/>
                <w:lang w:val="sv-SE"/>
                <w14:ligatures w14:val="standardContextual"/>
              </w:rPr>
              <w:t>24 mg/26 mg</w:t>
            </w:r>
          </w:p>
        </w:tc>
        <w:tc>
          <w:tcPr>
            <w:tcW w:w="1417" w:type="dxa"/>
            <w:tcBorders>
              <w:top w:val="single" w:sz="4" w:space="0" w:color="000000"/>
              <w:left w:val="single" w:sz="4" w:space="0" w:color="000000"/>
              <w:bottom w:val="single" w:sz="4" w:space="0" w:color="000000"/>
              <w:right w:val="single" w:sz="4" w:space="0" w:color="000000"/>
            </w:tcBorders>
            <w:hideMark/>
          </w:tcPr>
          <w:p w14:paraId="38620C2B" w14:textId="77777777" w:rsidR="00234440" w:rsidRDefault="00234440">
            <w:pPr>
              <w:spacing w:line="276" w:lineRule="auto"/>
              <w:rPr>
                <w:kern w:val="2"/>
                <w:lang w:val="sv-SE"/>
                <w14:ligatures w14:val="standardContextual"/>
              </w:rPr>
            </w:pPr>
            <w:r>
              <w:rPr>
                <w:kern w:val="2"/>
                <w:lang w:val="sv-SE"/>
                <w14:ligatures w14:val="standardContextual"/>
              </w:rPr>
              <w:t>49 mg/51 mg</w:t>
            </w:r>
          </w:p>
        </w:tc>
        <w:tc>
          <w:tcPr>
            <w:tcW w:w="1701" w:type="dxa"/>
            <w:tcBorders>
              <w:top w:val="single" w:sz="4" w:space="0" w:color="000000"/>
              <w:left w:val="single" w:sz="4" w:space="0" w:color="000000"/>
              <w:bottom w:val="single" w:sz="4" w:space="0" w:color="000000"/>
              <w:right w:val="single" w:sz="4" w:space="0" w:color="000000"/>
            </w:tcBorders>
            <w:hideMark/>
          </w:tcPr>
          <w:p w14:paraId="2479AFC7" w14:textId="77777777" w:rsidR="00234440" w:rsidRDefault="00234440">
            <w:pPr>
              <w:spacing w:line="276" w:lineRule="auto"/>
              <w:rPr>
                <w:kern w:val="2"/>
                <w:lang w:val="sv-SE"/>
                <w14:ligatures w14:val="standardContextual"/>
              </w:rPr>
            </w:pPr>
            <w:r>
              <w:rPr>
                <w:kern w:val="2"/>
                <w:lang w:val="sv-SE"/>
                <w14:ligatures w14:val="standardContextual"/>
              </w:rPr>
              <w:t>72 mg/78 mg</w:t>
            </w:r>
          </w:p>
        </w:tc>
        <w:tc>
          <w:tcPr>
            <w:tcW w:w="1559" w:type="dxa"/>
            <w:tcBorders>
              <w:top w:val="single" w:sz="4" w:space="0" w:color="000000"/>
              <w:left w:val="single" w:sz="4" w:space="0" w:color="000000"/>
              <w:bottom w:val="single" w:sz="4" w:space="0" w:color="000000"/>
              <w:right w:val="single" w:sz="4" w:space="0" w:color="000000"/>
            </w:tcBorders>
            <w:hideMark/>
          </w:tcPr>
          <w:p w14:paraId="6B593D2E" w14:textId="77777777" w:rsidR="00234440" w:rsidRDefault="00234440">
            <w:pPr>
              <w:spacing w:line="276" w:lineRule="auto"/>
              <w:rPr>
                <w:kern w:val="2"/>
                <w:lang w:val="sv-SE"/>
                <w14:ligatures w14:val="standardContextual"/>
              </w:rPr>
            </w:pPr>
            <w:r>
              <w:rPr>
                <w:kern w:val="2"/>
                <w:lang w:val="sv-SE"/>
                <w14:ligatures w14:val="standardContextual"/>
              </w:rPr>
              <w:t>97 mg/103 mg</w:t>
            </w:r>
          </w:p>
        </w:tc>
      </w:tr>
    </w:tbl>
    <w:p w14:paraId="13BA776A" w14:textId="77777777" w:rsidR="00234440" w:rsidRDefault="00234440" w:rsidP="00234440">
      <w:pPr>
        <w:rPr>
          <w:sz w:val="20"/>
        </w:rPr>
      </w:pPr>
      <w:r>
        <w:rPr>
          <w:sz w:val="20"/>
        </w:rPr>
        <w:t>* Halvdelen af startdosis anbefales til patienter, som ikke har taget en ACE</w:t>
      </w:r>
      <w:r>
        <w:rPr>
          <w:sz w:val="20"/>
        </w:rPr>
        <w:noBreakHyphen/>
        <w:t>hæmmer eller en ARB, eller som har taget lave doser af disse lægemidler, patienter med nedsat nyrefunktion (estimeret glomerulær filtrationshastighed [eGFR] &lt; 60 ml/min/1,73 m</w:t>
      </w:r>
      <w:r>
        <w:rPr>
          <w:sz w:val="20"/>
          <w:vertAlign w:val="superscript"/>
        </w:rPr>
        <w:t>2</w:t>
      </w:r>
      <w:r>
        <w:rPr>
          <w:sz w:val="20"/>
        </w:rPr>
        <w:t>) samt patienter, som har moderat nedsat leverfunktion (se oplysningerne om særlige populationer).</w:t>
      </w:r>
    </w:p>
    <w:p w14:paraId="7383E1FD" w14:textId="77777777" w:rsidR="00234440" w:rsidRDefault="00234440" w:rsidP="00234440">
      <w:pPr>
        <w:rPr>
          <w:sz w:val="20"/>
        </w:rPr>
      </w:pPr>
      <w:r>
        <w:rPr>
          <w:sz w:val="20"/>
          <w:vertAlign w:val="superscript"/>
        </w:rPr>
        <w:t>#</w:t>
      </w:r>
      <w:r>
        <w:rPr>
          <w:sz w:val="20"/>
        </w:rPr>
        <w:t xml:space="preserve"> 0,8 mg/kg, 1,6 mg/kg, 2,3 mg/kg og 3,1 mg/kg henviser til den kombinerede mængde af sacubitril og valsartan og bør gives som granulat.</w:t>
      </w:r>
    </w:p>
    <w:p w14:paraId="2581A7DD" w14:textId="77777777" w:rsidR="00234440" w:rsidRPr="00234440" w:rsidRDefault="00234440" w:rsidP="00234440">
      <w:pPr>
        <w:ind w:left="851"/>
        <w:rPr>
          <w:sz w:val="24"/>
          <w:szCs w:val="24"/>
        </w:rPr>
      </w:pPr>
    </w:p>
    <w:p w14:paraId="7A1193FC" w14:textId="77777777" w:rsidR="00234440" w:rsidRPr="00234440" w:rsidRDefault="00234440" w:rsidP="00234440">
      <w:pPr>
        <w:ind w:left="851"/>
        <w:rPr>
          <w:sz w:val="24"/>
          <w:szCs w:val="24"/>
        </w:rPr>
      </w:pPr>
      <w:r w:rsidRPr="00234440">
        <w:rPr>
          <w:sz w:val="24"/>
          <w:szCs w:val="24"/>
        </w:rPr>
        <w:t>Hos patienter, som ikke i øjeblikket tager en ACE</w:t>
      </w:r>
      <w:r w:rsidRPr="00234440">
        <w:rPr>
          <w:sz w:val="24"/>
          <w:szCs w:val="24"/>
        </w:rPr>
        <w:noBreakHyphen/>
        <w:t>hæmmer eller en ARB, eller som tager lavere doser af disse lægemidler, anbefales halvdelen af startdosis. Hos pædiatriske patienter, som vejer 40 kg til under 50 kg, anbefales en startdosis på 0,8 mg/kg to gange dagligt (givet som granulat). Efter påbegyndelse af behandlingen bør dosis øges til standard startdosis i henhold til den anbefalede dosistitrering i tabel 1 og justeres hver 3.</w:t>
      </w:r>
      <w:r w:rsidRPr="00234440">
        <w:rPr>
          <w:sz w:val="24"/>
          <w:szCs w:val="24"/>
        </w:rPr>
        <w:noBreakHyphen/>
        <w:t>4. uge.</w:t>
      </w:r>
    </w:p>
    <w:p w14:paraId="0F672E6D" w14:textId="77777777" w:rsidR="00234440" w:rsidRPr="00234440" w:rsidRDefault="00234440" w:rsidP="00234440">
      <w:pPr>
        <w:ind w:left="851"/>
        <w:rPr>
          <w:sz w:val="24"/>
          <w:szCs w:val="24"/>
        </w:rPr>
      </w:pPr>
    </w:p>
    <w:p w14:paraId="046CB317" w14:textId="77777777" w:rsidR="00234440" w:rsidRPr="00234440" w:rsidRDefault="00234440" w:rsidP="00234440">
      <w:pPr>
        <w:ind w:left="851"/>
        <w:rPr>
          <w:sz w:val="24"/>
          <w:szCs w:val="24"/>
        </w:rPr>
      </w:pPr>
      <w:r w:rsidRPr="00234440">
        <w:rPr>
          <w:sz w:val="24"/>
          <w:szCs w:val="24"/>
        </w:rPr>
        <w:t>Eksempelvis bør en pædiatrisk patient, der vejer 25 kg, og som ikke tidligere har taget en ACE</w:t>
      </w:r>
      <w:r w:rsidRPr="00234440">
        <w:rPr>
          <w:sz w:val="24"/>
          <w:szCs w:val="24"/>
        </w:rPr>
        <w:noBreakHyphen/>
        <w:t>hæmmer, starte med halvdelen af standard startdosis, hvilket svarer til 20 mg (25 kg × 0,8 mg/kg) to gange dagligt givet som granulat (i kapsler til åbning). Efter afrunding til det nærmeste antal fulde kapsler (der indeholder granulat) svarer dette til 2 kapsler á 6 mg/6 mg sacubitril/valsartan to gange dagligt.</w:t>
      </w:r>
    </w:p>
    <w:p w14:paraId="591F2244" w14:textId="77777777" w:rsidR="00234440" w:rsidRPr="00234440" w:rsidRDefault="00234440" w:rsidP="00234440">
      <w:pPr>
        <w:ind w:left="851"/>
        <w:rPr>
          <w:sz w:val="24"/>
          <w:szCs w:val="24"/>
        </w:rPr>
      </w:pPr>
    </w:p>
    <w:p w14:paraId="1A726B4A" w14:textId="77777777" w:rsidR="00234440" w:rsidRPr="00234440" w:rsidRDefault="00234440" w:rsidP="00234440">
      <w:pPr>
        <w:ind w:left="851"/>
        <w:rPr>
          <w:sz w:val="24"/>
          <w:szCs w:val="24"/>
        </w:rPr>
      </w:pPr>
      <w:r w:rsidRPr="00234440">
        <w:rPr>
          <w:sz w:val="24"/>
          <w:szCs w:val="24"/>
        </w:rPr>
        <w:t>Behandling må ikke påbegyndes hos patienter med et serumkaliumniveau &gt; 5,3 mmol/l eller med SBT &lt; 5</w:t>
      </w:r>
      <w:r w:rsidRPr="00234440">
        <w:rPr>
          <w:sz w:val="24"/>
          <w:szCs w:val="24"/>
        </w:rPr>
        <w:noBreakHyphen/>
        <w:t>percentilen for patientens alder. Hvis patienten oplever tolerabilitetsproblemer (SBT &lt; 5</w:t>
      </w:r>
      <w:r w:rsidRPr="00234440">
        <w:rPr>
          <w:sz w:val="24"/>
          <w:szCs w:val="24"/>
        </w:rPr>
        <w:noBreakHyphen/>
        <w:t>percentilen for patientens alder, symptomatisk hypotension, hyperkaliæmi, nedsat nyrefunktion), anbefales justering af samtidigt administrerede lægemidler, midlertidig nedtitrering eller seponering af Sacubitril/Valsartan "Krka" (se pkt. 4.4).</w:t>
      </w:r>
    </w:p>
    <w:p w14:paraId="328AAE88" w14:textId="223EFF62" w:rsidR="00234440" w:rsidRDefault="00234440">
      <w:pPr>
        <w:rPr>
          <w:sz w:val="24"/>
          <w:szCs w:val="24"/>
        </w:rPr>
      </w:pPr>
      <w:r>
        <w:rPr>
          <w:sz w:val="24"/>
          <w:szCs w:val="24"/>
        </w:rPr>
        <w:br w:type="page"/>
      </w:r>
    </w:p>
    <w:p w14:paraId="65D82505" w14:textId="77777777" w:rsidR="00234440" w:rsidRPr="00234440" w:rsidRDefault="00234440" w:rsidP="00234440">
      <w:pPr>
        <w:ind w:left="851"/>
        <w:rPr>
          <w:sz w:val="24"/>
          <w:szCs w:val="24"/>
        </w:rPr>
      </w:pPr>
    </w:p>
    <w:p w14:paraId="0D56572C" w14:textId="77777777" w:rsidR="00234440" w:rsidRPr="00BD0E1E" w:rsidRDefault="00234440" w:rsidP="00234440">
      <w:pPr>
        <w:ind w:left="851"/>
        <w:rPr>
          <w:iCs/>
          <w:sz w:val="24"/>
          <w:szCs w:val="24"/>
          <w:u w:val="single"/>
        </w:rPr>
      </w:pPr>
      <w:r w:rsidRPr="00BD0E1E">
        <w:rPr>
          <w:iCs/>
          <w:sz w:val="24"/>
          <w:szCs w:val="24"/>
          <w:u w:val="single"/>
        </w:rPr>
        <w:t>Særlige populationer</w:t>
      </w:r>
    </w:p>
    <w:p w14:paraId="4BB9DFFD" w14:textId="77777777" w:rsidR="00BD0E1E" w:rsidRDefault="00BD0E1E" w:rsidP="00234440">
      <w:pPr>
        <w:ind w:left="851"/>
        <w:rPr>
          <w:i/>
          <w:iCs/>
          <w:sz w:val="24"/>
          <w:szCs w:val="24"/>
        </w:rPr>
      </w:pPr>
    </w:p>
    <w:p w14:paraId="445AFC90" w14:textId="4D6235E1" w:rsidR="00234440" w:rsidRPr="00234440" w:rsidRDefault="00234440" w:rsidP="00234440">
      <w:pPr>
        <w:ind w:left="851"/>
        <w:rPr>
          <w:i/>
          <w:iCs/>
          <w:sz w:val="24"/>
          <w:szCs w:val="24"/>
        </w:rPr>
      </w:pPr>
      <w:r w:rsidRPr="00234440">
        <w:rPr>
          <w:i/>
          <w:iCs/>
          <w:sz w:val="24"/>
          <w:szCs w:val="24"/>
        </w:rPr>
        <w:t>Ældre</w:t>
      </w:r>
    </w:p>
    <w:p w14:paraId="71980863" w14:textId="77777777" w:rsidR="00234440" w:rsidRPr="00234440" w:rsidRDefault="00234440" w:rsidP="00234440">
      <w:pPr>
        <w:ind w:left="851"/>
        <w:rPr>
          <w:sz w:val="24"/>
          <w:szCs w:val="24"/>
        </w:rPr>
      </w:pPr>
      <w:r w:rsidRPr="00234440">
        <w:rPr>
          <w:sz w:val="24"/>
          <w:szCs w:val="24"/>
        </w:rPr>
        <w:t>Dosis skal tilpasses de ældre patienters nyrefunktion.</w:t>
      </w:r>
    </w:p>
    <w:p w14:paraId="7086A344" w14:textId="77777777" w:rsidR="00234440" w:rsidRPr="00234440" w:rsidRDefault="00234440" w:rsidP="00234440">
      <w:pPr>
        <w:ind w:left="851"/>
        <w:rPr>
          <w:sz w:val="24"/>
          <w:szCs w:val="24"/>
        </w:rPr>
      </w:pPr>
    </w:p>
    <w:p w14:paraId="783257B8" w14:textId="77777777" w:rsidR="00234440" w:rsidRPr="00234440" w:rsidRDefault="00234440" w:rsidP="00234440">
      <w:pPr>
        <w:ind w:left="851"/>
        <w:rPr>
          <w:i/>
          <w:iCs/>
          <w:sz w:val="24"/>
          <w:szCs w:val="24"/>
        </w:rPr>
      </w:pPr>
      <w:r w:rsidRPr="00234440">
        <w:rPr>
          <w:i/>
          <w:iCs/>
          <w:sz w:val="24"/>
          <w:szCs w:val="24"/>
        </w:rPr>
        <w:t>Nedsat nyrefunktion</w:t>
      </w:r>
    </w:p>
    <w:p w14:paraId="3E5C1CF6" w14:textId="77777777" w:rsidR="00234440" w:rsidRPr="00234440" w:rsidRDefault="00234440" w:rsidP="00234440">
      <w:pPr>
        <w:ind w:left="851"/>
        <w:rPr>
          <w:sz w:val="24"/>
          <w:szCs w:val="24"/>
        </w:rPr>
      </w:pPr>
      <w:r w:rsidRPr="00234440">
        <w:rPr>
          <w:sz w:val="24"/>
          <w:szCs w:val="24"/>
        </w:rPr>
        <w:t>Dosisjustering er ikke påkrævet hos patienter med let (eGFR 60</w:t>
      </w:r>
      <w:r w:rsidRPr="00234440">
        <w:rPr>
          <w:sz w:val="24"/>
          <w:szCs w:val="24"/>
        </w:rPr>
        <w:noBreakHyphen/>
        <w:t>90 ml/min/1,73 m</w:t>
      </w:r>
      <w:r w:rsidRPr="00234440">
        <w:rPr>
          <w:sz w:val="24"/>
          <w:szCs w:val="24"/>
          <w:vertAlign w:val="superscript"/>
        </w:rPr>
        <w:t>2</w:t>
      </w:r>
      <w:r w:rsidRPr="00234440">
        <w:rPr>
          <w:sz w:val="24"/>
          <w:szCs w:val="24"/>
        </w:rPr>
        <w:t>) nedsat nyrefunktion.</w:t>
      </w:r>
    </w:p>
    <w:p w14:paraId="6ECFF197" w14:textId="77777777" w:rsidR="00234440" w:rsidRPr="00234440" w:rsidRDefault="00234440" w:rsidP="00234440">
      <w:pPr>
        <w:ind w:left="851"/>
        <w:rPr>
          <w:sz w:val="24"/>
          <w:szCs w:val="24"/>
        </w:rPr>
      </w:pPr>
    </w:p>
    <w:p w14:paraId="3A742119" w14:textId="77777777" w:rsidR="00234440" w:rsidRPr="00234440" w:rsidRDefault="00234440" w:rsidP="00234440">
      <w:pPr>
        <w:ind w:left="851"/>
        <w:rPr>
          <w:sz w:val="24"/>
          <w:szCs w:val="24"/>
        </w:rPr>
      </w:pPr>
      <w:r w:rsidRPr="00234440">
        <w:rPr>
          <w:sz w:val="24"/>
          <w:szCs w:val="24"/>
        </w:rPr>
        <w:t>Halvdelen af startdosis bør overvejes hos patienter med moderat nedsat nyrefunktion (eGFR 30</w:t>
      </w:r>
      <w:r w:rsidRPr="00234440">
        <w:rPr>
          <w:sz w:val="24"/>
          <w:szCs w:val="24"/>
        </w:rPr>
        <w:noBreakHyphen/>
        <w:t>60 ml/min/1,73 m</w:t>
      </w:r>
      <w:r w:rsidRPr="00234440">
        <w:rPr>
          <w:sz w:val="24"/>
          <w:szCs w:val="24"/>
          <w:vertAlign w:val="superscript"/>
        </w:rPr>
        <w:t>2</w:t>
      </w:r>
      <w:r w:rsidRPr="00234440">
        <w:rPr>
          <w:sz w:val="24"/>
          <w:szCs w:val="24"/>
        </w:rPr>
        <w:t>). Da der er meget begrænset klinisk erfaring hos patienter med svært nedsat nyrefunktion (eGFR &lt; 30 ml/min/1,73 m</w:t>
      </w:r>
      <w:r w:rsidRPr="00234440">
        <w:rPr>
          <w:sz w:val="24"/>
          <w:szCs w:val="24"/>
          <w:vertAlign w:val="superscript"/>
        </w:rPr>
        <w:t>2</w:t>
      </w:r>
      <w:r w:rsidRPr="00234440">
        <w:rPr>
          <w:sz w:val="24"/>
          <w:szCs w:val="24"/>
        </w:rPr>
        <w:t>) (se pkt. 5.1), skal Sacubitril/Valsartan "Krka" anvendes med forsigtighed og halvdelen af startdosis anbefales. Hos pædiatriske patienter, som vejer 40 kg til under 50 kg, anbefales en startdosis på 0,8 mg/kg to gange dagligt (givet som granulat). Efter initiering af behandlingen bør dosis øges i henhold til den anbefalede dosistitrering hver 2.</w:t>
      </w:r>
      <w:r w:rsidRPr="00234440">
        <w:rPr>
          <w:sz w:val="24"/>
          <w:szCs w:val="24"/>
        </w:rPr>
        <w:noBreakHyphen/>
        <w:t>4. uge.</w:t>
      </w:r>
    </w:p>
    <w:p w14:paraId="14267DA6" w14:textId="77777777" w:rsidR="00234440" w:rsidRPr="00234440" w:rsidRDefault="00234440" w:rsidP="00234440">
      <w:pPr>
        <w:ind w:left="851"/>
        <w:rPr>
          <w:sz w:val="24"/>
          <w:szCs w:val="24"/>
        </w:rPr>
      </w:pPr>
    </w:p>
    <w:p w14:paraId="23AEFA4F" w14:textId="77777777" w:rsidR="00234440" w:rsidRPr="00234440" w:rsidRDefault="00234440" w:rsidP="00234440">
      <w:pPr>
        <w:ind w:left="851"/>
        <w:rPr>
          <w:sz w:val="24"/>
          <w:szCs w:val="24"/>
        </w:rPr>
      </w:pPr>
      <w:r w:rsidRPr="00234440">
        <w:rPr>
          <w:sz w:val="24"/>
          <w:szCs w:val="24"/>
        </w:rPr>
        <w:t>Der er ingen erfaring hos patienter med nyresygdom i slutstadiet og Sacubitril/Valsartan "Krka" frarådes.</w:t>
      </w:r>
    </w:p>
    <w:p w14:paraId="0AC57A99" w14:textId="77777777" w:rsidR="00234440" w:rsidRPr="00234440" w:rsidRDefault="00234440" w:rsidP="00234440">
      <w:pPr>
        <w:ind w:left="851"/>
        <w:rPr>
          <w:sz w:val="24"/>
          <w:szCs w:val="24"/>
        </w:rPr>
      </w:pPr>
    </w:p>
    <w:p w14:paraId="54FD0783" w14:textId="77777777" w:rsidR="00234440" w:rsidRPr="00234440" w:rsidRDefault="00234440" w:rsidP="00234440">
      <w:pPr>
        <w:ind w:left="851"/>
        <w:rPr>
          <w:i/>
          <w:iCs/>
          <w:sz w:val="24"/>
          <w:szCs w:val="24"/>
        </w:rPr>
      </w:pPr>
      <w:r w:rsidRPr="00234440">
        <w:rPr>
          <w:i/>
          <w:iCs/>
          <w:sz w:val="24"/>
          <w:szCs w:val="24"/>
        </w:rPr>
        <w:t>Nedsat leverfunktion</w:t>
      </w:r>
    </w:p>
    <w:p w14:paraId="0A1614D2" w14:textId="77777777" w:rsidR="00234440" w:rsidRPr="00234440" w:rsidRDefault="00234440" w:rsidP="00234440">
      <w:pPr>
        <w:ind w:left="851"/>
        <w:rPr>
          <w:sz w:val="24"/>
          <w:szCs w:val="24"/>
        </w:rPr>
      </w:pPr>
      <w:r w:rsidRPr="00234440">
        <w:rPr>
          <w:sz w:val="24"/>
          <w:szCs w:val="24"/>
        </w:rPr>
        <w:t>Dosisjustering er ikke påkrævet, når Sacubitril/Valsartan "Krka" administreres til patienter med let nedsat leverfunktion (Child</w:t>
      </w:r>
      <w:r w:rsidRPr="00234440">
        <w:rPr>
          <w:sz w:val="24"/>
          <w:szCs w:val="24"/>
        </w:rPr>
        <w:noBreakHyphen/>
        <w:t>Pugh klasse A).</w:t>
      </w:r>
    </w:p>
    <w:p w14:paraId="0C2962CE" w14:textId="77777777" w:rsidR="00234440" w:rsidRPr="00234440" w:rsidRDefault="00234440" w:rsidP="00234440">
      <w:pPr>
        <w:ind w:left="851"/>
        <w:rPr>
          <w:sz w:val="24"/>
          <w:szCs w:val="24"/>
        </w:rPr>
      </w:pPr>
    </w:p>
    <w:p w14:paraId="2AC03A40" w14:textId="77777777" w:rsidR="00234440" w:rsidRPr="00234440" w:rsidRDefault="00234440" w:rsidP="00234440">
      <w:pPr>
        <w:ind w:left="851"/>
        <w:rPr>
          <w:sz w:val="24"/>
          <w:szCs w:val="24"/>
        </w:rPr>
      </w:pPr>
      <w:r w:rsidRPr="00234440">
        <w:rPr>
          <w:sz w:val="24"/>
          <w:szCs w:val="24"/>
        </w:rPr>
        <w:t>Der er begrænset klinisk erfaring hos patienter med moderat nedsat leverfunktion (Child</w:t>
      </w:r>
      <w:r w:rsidRPr="00234440">
        <w:rPr>
          <w:sz w:val="24"/>
          <w:szCs w:val="24"/>
        </w:rPr>
        <w:noBreakHyphen/>
        <w:t>Pugh klasse B) eller med aspartattransaminase (ASAT)/alanintransaminase (ALAT)</w:t>
      </w:r>
      <w:r w:rsidRPr="00234440">
        <w:rPr>
          <w:sz w:val="24"/>
          <w:szCs w:val="24"/>
        </w:rPr>
        <w:noBreakHyphen/>
        <w:t>værdier mere end to gange den øvre grænse for normalværdier. Sacubitril/Valsartan "Krka" skal derfor anvendes med forsigtighed hos disse patienter, og halvdelen af startdosis anbefales (se pkt. 4.4 og 5.2). Hos pædiatriske patienter, som vejer 40 kg til under 50 kg, anbefales en startdosis på 0,8 mg/kg to gange dagligt (givet som granulat). Efter initiering af behandlingen bør dosis øges i henhold til den anbefalede dosistitrering hver 2.</w:t>
      </w:r>
      <w:r w:rsidRPr="00234440">
        <w:rPr>
          <w:sz w:val="24"/>
          <w:szCs w:val="24"/>
        </w:rPr>
        <w:noBreakHyphen/>
        <w:t>4. uge.</w:t>
      </w:r>
    </w:p>
    <w:p w14:paraId="2B8772AE" w14:textId="77777777" w:rsidR="00234440" w:rsidRPr="00234440" w:rsidRDefault="00234440" w:rsidP="00234440">
      <w:pPr>
        <w:ind w:left="851"/>
        <w:rPr>
          <w:sz w:val="24"/>
          <w:szCs w:val="24"/>
        </w:rPr>
      </w:pPr>
    </w:p>
    <w:p w14:paraId="0647575B" w14:textId="77777777" w:rsidR="00234440" w:rsidRPr="00234440" w:rsidRDefault="00234440" w:rsidP="00234440">
      <w:pPr>
        <w:ind w:left="851"/>
        <w:rPr>
          <w:sz w:val="24"/>
          <w:szCs w:val="24"/>
        </w:rPr>
      </w:pPr>
      <w:r w:rsidRPr="00234440">
        <w:rPr>
          <w:sz w:val="24"/>
          <w:szCs w:val="24"/>
        </w:rPr>
        <w:t>Sacubitril/Valsartan "Krka" er kontraindiceret hos patienter med svært nedsat leverfunktion, biliær cirrose eller kolestase (Child</w:t>
      </w:r>
      <w:r w:rsidRPr="00234440">
        <w:rPr>
          <w:sz w:val="24"/>
          <w:szCs w:val="24"/>
        </w:rPr>
        <w:noBreakHyphen/>
        <w:t>Pugh klasse C) (se pkt. 4.3).</w:t>
      </w:r>
    </w:p>
    <w:p w14:paraId="79EEDEE0" w14:textId="77777777" w:rsidR="00234440" w:rsidRPr="00234440" w:rsidRDefault="00234440" w:rsidP="00234440">
      <w:pPr>
        <w:ind w:left="851"/>
        <w:rPr>
          <w:sz w:val="24"/>
          <w:szCs w:val="24"/>
        </w:rPr>
      </w:pPr>
    </w:p>
    <w:p w14:paraId="5BE926A4" w14:textId="77777777" w:rsidR="00234440" w:rsidRPr="00234440" w:rsidRDefault="00234440" w:rsidP="00234440">
      <w:pPr>
        <w:ind w:left="851"/>
        <w:rPr>
          <w:i/>
          <w:iCs/>
          <w:sz w:val="24"/>
          <w:szCs w:val="24"/>
        </w:rPr>
      </w:pPr>
      <w:r w:rsidRPr="00234440">
        <w:rPr>
          <w:i/>
          <w:iCs/>
          <w:sz w:val="24"/>
          <w:szCs w:val="24"/>
        </w:rPr>
        <w:t>Pædiatrisk population</w:t>
      </w:r>
    </w:p>
    <w:p w14:paraId="1A7C57BE" w14:textId="77777777" w:rsidR="00234440" w:rsidRPr="00234440" w:rsidRDefault="00234440" w:rsidP="00234440">
      <w:pPr>
        <w:ind w:left="851"/>
        <w:rPr>
          <w:sz w:val="24"/>
          <w:szCs w:val="24"/>
        </w:rPr>
      </w:pPr>
      <w:r w:rsidRPr="00234440">
        <w:rPr>
          <w:sz w:val="24"/>
          <w:szCs w:val="24"/>
        </w:rPr>
        <w:t>Sacubitril/Valsartan "Krka"s sikkerhed og virkning hos børn under 1 år er ikke klarlagt. De foreliggende data er beskrevet i pkt. 5.1, men der kan ikke gives nogen anbefalinger vedrørende dosering.</w:t>
      </w:r>
    </w:p>
    <w:p w14:paraId="2F3ED8A9" w14:textId="77777777" w:rsidR="00234440" w:rsidRPr="00234440" w:rsidRDefault="00234440" w:rsidP="00234440">
      <w:pPr>
        <w:ind w:left="851"/>
        <w:rPr>
          <w:sz w:val="24"/>
          <w:szCs w:val="24"/>
        </w:rPr>
      </w:pPr>
    </w:p>
    <w:p w14:paraId="190A8D8F" w14:textId="77777777" w:rsidR="00234440" w:rsidRPr="00234440" w:rsidRDefault="00234440" w:rsidP="00234440">
      <w:pPr>
        <w:ind w:left="851"/>
        <w:rPr>
          <w:sz w:val="24"/>
          <w:szCs w:val="24"/>
          <w:u w:val="single"/>
        </w:rPr>
      </w:pPr>
      <w:r w:rsidRPr="00234440">
        <w:rPr>
          <w:sz w:val="24"/>
          <w:szCs w:val="24"/>
          <w:u w:val="single"/>
        </w:rPr>
        <w:t>Administration</w:t>
      </w:r>
    </w:p>
    <w:p w14:paraId="44E56956" w14:textId="77777777" w:rsidR="00234440" w:rsidRPr="00234440" w:rsidRDefault="00234440" w:rsidP="00234440">
      <w:pPr>
        <w:ind w:left="851"/>
        <w:rPr>
          <w:sz w:val="24"/>
          <w:szCs w:val="24"/>
        </w:rPr>
      </w:pPr>
      <w:r w:rsidRPr="00234440">
        <w:rPr>
          <w:sz w:val="24"/>
          <w:szCs w:val="24"/>
        </w:rPr>
        <w:t>Oral anvendelse.</w:t>
      </w:r>
    </w:p>
    <w:p w14:paraId="3006DF89" w14:textId="77777777" w:rsidR="00234440" w:rsidRPr="00234440" w:rsidRDefault="00234440" w:rsidP="00234440">
      <w:pPr>
        <w:ind w:left="851"/>
        <w:rPr>
          <w:sz w:val="24"/>
          <w:szCs w:val="24"/>
        </w:rPr>
      </w:pPr>
      <w:r w:rsidRPr="00234440">
        <w:rPr>
          <w:sz w:val="24"/>
          <w:szCs w:val="24"/>
        </w:rPr>
        <w:t>Sacubitril/Valsartan "Krka" kan indtages med eller uden mad (se pkt. 5.2). Tabletterne skal synkes med et glas vand. Det frarådes at dele eller knuse tabletterne.</w:t>
      </w:r>
    </w:p>
    <w:p w14:paraId="12BA55B3" w14:textId="77777777" w:rsidR="00234440" w:rsidRPr="00234440" w:rsidRDefault="00234440" w:rsidP="00234440">
      <w:pPr>
        <w:ind w:left="851"/>
        <w:rPr>
          <w:sz w:val="24"/>
          <w:szCs w:val="24"/>
        </w:rPr>
      </w:pPr>
      <w:r w:rsidRPr="00234440">
        <w:rPr>
          <w:sz w:val="24"/>
          <w:szCs w:val="24"/>
        </w:rPr>
        <w:t>Sacubitril/Valsartan "Krka"-tabletter er filmovertrukne for at beskytte dem mod miljøpåvirkninger og for at gøre det lettere for patienten at synke tabletten. Filmovertrækket egner sig ikke til knusning.</w:t>
      </w:r>
    </w:p>
    <w:p w14:paraId="11768015" w14:textId="34D2D24A" w:rsidR="00BD0E1E" w:rsidRDefault="00BD0E1E">
      <w:pPr>
        <w:rPr>
          <w:sz w:val="24"/>
          <w:szCs w:val="24"/>
        </w:rPr>
      </w:pPr>
      <w:r>
        <w:rPr>
          <w:sz w:val="24"/>
          <w:szCs w:val="24"/>
        </w:rPr>
        <w:br w:type="page"/>
      </w:r>
    </w:p>
    <w:p w14:paraId="16DA3182" w14:textId="77777777" w:rsidR="00234440" w:rsidRPr="00234440" w:rsidRDefault="00234440" w:rsidP="00234440">
      <w:pPr>
        <w:ind w:left="851"/>
        <w:rPr>
          <w:sz w:val="24"/>
          <w:szCs w:val="24"/>
        </w:rPr>
      </w:pPr>
    </w:p>
    <w:p w14:paraId="4BFA98A2"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51CED53E" w14:textId="77777777" w:rsidR="00207276" w:rsidRPr="00207276" w:rsidRDefault="00207276" w:rsidP="00207276">
      <w:pPr>
        <w:numPr>
          <w:ilvl w:val="0"/>
          <w:numId w:val="6"/>
        </w:numPr>
        <w:tabs>
          <w:tab w:val="left" w:pos="1134"/>
        </w:tabs>
        <w:ind w:left="1134" w:hanging="283"/>
        <w:rPr>
          <w:sz w:val="24"/>
          <w:szCs w:val="24"/>
        </w:rPr>
      </w:pPr>
      <w:r w:rsidRPr="00207276">
        <w:rPr>
          <w:sz w:val="24"/>
          <w:szCs w:val="24"/>
        </w:rPr>
        <w:t>Overfølsomhed over for de aktive stoffer eller over for et eller flere af hjælpestofferne anført i pkt. 6.1.</w:t>
      </w:r>
    </w:p>
    <w:p w14:paraId="06D79CAB" w14:textId="77777777" w:rsidR="00207276" w:rsidRPr="00207276" w:rsidRDefault="00207276" w:rsidP="00207276">
      <w:pPr>
        <w:numPr>
          <w:ilvl w:val="0"/>
          <w:numId w:val="6"/>
        </w:numPr>
        <w:tabs>
          <w:tab w:val="left" w:pos="1134"/>
        </w:tabs>
        <w:ind w:left="1134" w:hanging="283"/>
        <w:rPr>
          <w:sz w:val="24"/>
          <w:szCs w:val="24"/>
        </w:rPr>
      </w:pPr>
      <w:r w:rsidRPr="00207276">
        <w:rPr>
          <w:sz w:val="24"/>
          <w:szCs w:val="24"/>
        </w:rPr>
        <w:t>Brug sammen med ACE</w:t>
      </w:r>
      <w:r w:rsidRPr="00207276">
        <w:rPr>
          <w:sz w:val="24"/>
          <w:szCs w:val="24"/>
        </w:rPr>
        <w:noBreakHyphen/>
        <w:t>hæmmere (se pkt. 4.4 og 4.5). Sacubitril/Valsartan "Krka" må ikke administreres før 36 timer efter behandling med ACE</w:t>
      </w:r>
      <w:r w:rsidRPr="00207276">
        <w:rPr>
          <w:sz w:val="24"/>
          <w:szCs w:val="24"/>
        </w:rPr>
        <w:noBreakHyphen/>
        <w:t>hæmmer er seponeret.</w:t>
      </w:r>
    </w:p>
    <w:p w14:paraId="18A20A3D" w14:textId="77777777" w:rsidR="00207276" w:rsidRPr="00207276" w:rsidRDefault="00207276" w:rsidP="00207276">
      <w:pPr>
        <w:numPr>
          <w:ilvl w:val="0"/>
          <w:numId w:val="6"/>
        </w:numPr>
        <w:tabs>
          <w:tab w:val="left" w:pos="1134"/>
        </w:tabs>
        <w:ind w:left="1134" w:hanging="283"/>
        <w:rPr>
          <w:sz w:val="24"/>
          <w:szCs w:val="24"/>
        </w:rPr>
      </w:pPr>
      <w:r w:rsidRPr="00207276">
        <w:rPr>
          <w:sz w:val="24"/>
          <w:szCs w:val="24"/>
        </w:rPr>
        <w:t>Kendt angioødem i anamnesen i forbindelse med tidligere behandling med ACE</w:t>
      </w:r>
      <w:r w:rsidRPr="00207276">
        <w:rPr>
          <w:sz w:val="24"/>
          <w:szCs w:val="24"/>
        </w:rPr>
        <w:noBreakHyphen/>
        <w:t>hæmmer eller ARB (se pkt. 4.4).</w:t>
      </w:r>
    </w:p>
    <w:p w14:paraId="1B6F8FE4" w14:textId="77777777" w:rsidR="00207276" w:rsidRPr="00207276" w:rsidRDefault="00207276" w:rsidP="00207276">
      <w:pPr>
        <w:numPr>
          <w:ilvl w:val="0"/>
          <w:numId w:val="6"/>
        </w:numPr>
        <w:tabs>
          <w:tab w:val="left" w:pos="1134"/>
        </w:tabs>
        <w:ind w:left="1134" w:hanging="283"/>
        <w:rPr>
          <w:sz w:val="24"/>
          <w:szCs w:val="24"/>
        </w:rPr>
      </w:pPr>
      <w:r w:rsidRPr="00207276">
        <w:rPr>
          <w:sz w:val="24"/>
          <w:szCs w:val="24"/>
        </w:rPr>
        <w:t>Hereditær eller idiopatisk angioødem (se pkt. 4.4).</w:t>
      </w:r>
    </w:p>
    <w:p w14:paraId="21EFED7B" w14:textId="77777777" w:rsidR="00207276" w:rsidRPr="00207276" w:rsidRDefault="00207276" w:rsidP="00207276">
      <w:pPr>
        <w:numPr>
          <w:ilvl w:val="0"/>
          <w:numId w:val="6"/>
        </w:numPr>
        <w:tabs>
          <w:tab w:val="left" w:pos="1134"/>
        </w:tabs>
        <w:ind w:left="1134" w:hanging="283"/>
        <w:rPr>
          <w:sz w:val="24"/>
          <w:szCs w:val="24"/>
        </w:rPr>
      </w:pPr>
      <w:r w:rsidRPr="00207276">
        <w:rPr>
          <w:sz w:val="24"/>
          <w:szCs w:val="24"/>
        </w:rPr>
        <w:t>Brug sammen med lægemidler indeholdende aliskiren hos patienter med diabetes mellitus eller hos patienter med nedsat nyrefunktion (eGFR &lt;60 ml/min/1,73 m</w:t>
      </w:r>
      <w:r w:rsidRPr="00207276">
        <w:rPr>
          <w:sz w:val="24"/>
          <w:szCs w:val="24"/>
          <w:vertAlign w:val="superscript"/>
        </w:rPr>
        <w:t>2</w:t>
      </w:r>
      <w:r w:rsidRPr="00207276">
        <w:rPr>
          <w:sz w:val="24"/>
          <w:szCs w:val="24"/>
        </w:rPr>
        <w:t>) (se pkt. 4.4 og 4.5).</w:t>
      </w:r>
    </w:p>
    <w:p w14:paraId="0C763E62" w14:textId="77777777" w:rsidR="00207276" w:rsidRPr="00207276" w:rsidRDefault="00207276" w:rsidP="00207276">
      <w:pPr>
        <w:numPr>
          <w:ilvl w:val="0"/>
          <w:numId w:val="6"/>
        </w:numPr>
        <w:tabs>
          <w:tab w:val="left" w:pos="1134"/>
        </w:tabs>
        <w:ind w:left="1134" w:hanging="283"/>
        <w:rPr>
          <w:sz w:val="24"/>
          <w:szCs w:val="24"/>
        </w:rPr>
      </w:pPr>
      <w:r w:rsidRPr="00207276">
        <w:rPr>
          <w:sz w:val="24"/>
          <w:szCs w:val="24"/>
        </w:rPr>
        <w:t>Svært nedsat leverfunktion, biliær cirrose eller kolestase (se pkt. 4.2).</w:t>
      </w:r>
    </w:p>
    <w:p w14:paraId="2F440002" w14:textId="77777777" w:rsidR="00207276" w:rsidRPr="00207276" w:rsidRDefault="00207276" w:rsidP="00207276">
      <w:pPr>
        <w:numPr>
          <w:ilvl w:val="0"/>
          <w:numId w:val="6"/>
        </w:numPr>
        <w:tabs>
          <w:tab w:val="left" w:pos="1134"/>
        </w:tabs>
        <w:ind w:left="1134" w:hanging="283"/>
        <w:rPr>
          <w:sz w:val="24"/>
          <w:szCs w:val="24"/>
        </w:rPr>
      </w:pPr>
      <w:r w:rsidRPr="00207276">
        <w:rPr>
          <w:sz w:val="24"/>
          <w:szCs w:val="24"/>
        </w:rPr>
        <w:t>Andet og tredje trimester af graviditet (se pkt. 4.6).</w:t>
      </w:r>
    </w:p>
    <w:p w14:paraId="0AF8F704" w14:textId="77777777" w:rsidR="009260DE" w:rsidRPr="00C84483" w:rsidRDefault="009260DE" w:rsidP="009260DE">
      <w:pPr>
        <w:tabs>
          <w:tab w:val="left" w:pos="851"/>
        </w:tabs>
        <w:ind w:left="851"/>
        <w:rPr>
          <w:sz w:val="24"/>
          <w:szCs w:val="24"/>
        </w:rPr>
      </w:pPr>
    </w:p>
    <w:p w14:paraId="0C290AB4"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2F5378DD" w14:textId="77777777" w:rsidR="00207276" w:rsidRPr="00207276" w:rsidRDefault="00207276" w:rsidP="00207276">
      <w:pPr>
        <w:tabs>
          <w:tab w:val="left" w:pos="851"/>
        </w:tabs>
        <w:ind w:left="851"/>
        <w:rPr>
          <w:sz w:val="24"/>
          <w:szCs w:val="24"/>
        </w:rPr>
      </w:pPr>
    </w:p>
    <w:p w14:paraId="30507D3E" w14:textId="77777777" w:rsidR="00207276" w:rsidRPr="00207276" w:rsidRDefault="00207276" w:rsidP="00207276">
      <w:pPr>
        <w:tabs>
          <w:tab w:val="left" w:pos="851"/>
        </w:tabs>
        <w:ind w:left="851"/>
        <w:rPr>
          <w:sz w:val="24"/>
          <w:szCs w:val="24"/>
        </w:rPr>
      </w:pPr>
      <w:r w:rsidRPr="00207276">
        <w:rPr>
          <w:sz w:val="24"/>
          <w:szCs w:val="24"/>
          <w:u w:val="single"/>
        </w:rPr>
        <w:t>Dobbelt hæmning af renin-angiotensin-aldosteronsystemet (RAAS)</w:t>
      </w:r>
    </w:p>
    <w:p w14:paraId="1AE18DE4" w14:textId="77777777" w:rsidR="00207276" w:rsidRPr="00207276" w:rsidRDefault="00207276" w:rsidP="00207276">
      <w:pPr>
        <w:numPr>
          <w:ilvl w:val="0"/>
          <w:numId w:val="6"/>
        </w:numPr>
        <w:tabs>
          <w:tab w:val="left" w:pos="851"/>
        </w:tabs>
        <w:ind w:left="1134" w:hanging="283"/>
        <w:rPr>
          <w:sz w:val="24"/>
          <w:szCs w:val="24"/>
        </w:rPr>
      </w:pPr>
      <w:r w:rsidRPr="00207276">
        <w:rPr>
          <w:sz w:val="24"/>
          <w:szCs w:val="24"/>
        </w:rPr>
        <w:t>På grund af en øget risiko for angioødem er en kombination af sacubitril/valsartan og en ACE</w:t>
      </w:r>
      <w:r w:rsidRPr="00207276">
        <w:rPr>
          <w:sz w:val="24"/>
          <w:szCs w:val="24"/>
        </w:rPr>
        <w:noBreakHyphen/>
        <w:t>hæmmer kontraindiceret (se pkt. 4.3). Sacubitril/valsartan må ikke påbegyndes før 36 timer efter indtagelse af den sidste dosis ACE</w:t>
      </w:r>
      <w:r w:rsidRPr="00207276">
        <w:rPr>
          <w:sz w:val="24"/>
          <w:szCs w:val="24"/>
        </w:rPr>
        <w:noBreakHyphen/>
        <w:t>hæmmer. Hvis behandling med sacubitril/valsartan afbrydes, må behandling med ACE</w:t>
      </w:r>
      <w:r w:rsidRPr="00207276">
        <w:rPr>
          <w:sz w:val="24"/>
          <w:szCs w:val="24"/>
        </w:rPr>
        <w:noBreakHyphen/>
        <w:t>hæmmer ikke påbegyndes før 36 timer efter sidste dosis sacubitril/valsartan (se pkt. 4.2, 4.3, og 4.5).</w:t>
      </w:r>
    </w:p>
    <w:p w14:paraId="5A0D198D" w14:textId="77777777" w:rsidR="00207276" w:rsidRPr="00207276" w:rsidRDefault="00207276" w:rsidP="00207276">
      <w:pPr>
        <w:numPr>
          <w:ilvl w:val="0"/>
          <w:numId w:val="6"/>
        </w:numPr>
        <w:tabs>
          <w:tab w:val="left" w:pos="851"/>
        </w:tabs>
        <w:ind w:left="1134" w:hanging="283"/>
        <w:rPr>
          <w:sz w:val="24"/>
          <w:szCs w:val="24"/>
        </w:rPr>
      </w:pPr>
      <w:r w:rsidRPr="00207276">
        <w:rPr>
          <w:sz w:val="24"/>
          <w:szCs w:val="24"/>
        </w:rPr>
        <w:t>Det frarådes at give sacubitril/valsartan sammen med en direkte reninhæmmer såsom aliskiren (se pkt. 4.5). En kombination af sacubitril/valsartan og lægemidler indeholdende aliskiren er kontraindiceret hos patienter med diabetes mellitus eller nedsat nyrefunktion (eGFR &lt; 60 ml/min/1,73 m</w:t>
      </w:r>
      <w:r w:rsidRPr="00207276">
        <w:rPr>
          <w:sz w:val="24"/>
          <w:szCs w:val="24"/>
          <w:vertAlign w:val="superscript"/>
        </w:rPr>
        <w:t>2</w:t>
      </w:r>
      <w:r w:rsidRPr="00207276">
        <w:rPr>
          <w:sz w:val="24"/>
          <w:szCs w:val="24"/>
        </w:rPr>
        <w:t>) (se pkt. 4.3 og 4.5).</w:t>
      </w:r>
    </w:p>
    <w:p w14:paraId="439A1921" w14:textId="77777777" w:rsidR="00207276" w:rsidRPr="00207276" w:rsidRDefault="00207276" w:rsidP="00207276">
      <w:pPr>
        <w:numPr>
          <w:ilvl w:val="0"/>
          <w:numId w:val="6"/>
        </w:numPr>
        <w:tabs>
          <w:tab w:val="left" w:pos="851"/>
        </w:tabs>
        <w:ind w:left="1134" w:hanging="283"/>
        <w:rPr>
          <w:sz w:val="24"/>
          <w:szCs w:val="24"/>
        </w:rPr>
      </w:pPr>
      <w:r w:rsidRPr="00207276">
        <w:rPr>
          <w:sz w:val="24"/>
          <w:szCs w:val="24"/>
        </w:rPr>
        <w:t>Sacubitril/Valsartan "Krka" indeholder valsartan og må derfor ikke administreres sammen med et andet lægemiddel indeholdende en ARB (se pkt. 4.2 og 4.5).</w:t>
      </w:r>
    </w:p>
    <w:p w14:paraId="09C2D7D7" w14:textId="77777777" w:rsidR="00207276" w:rsidRPr="00207276" w:rsidRDefault="00207276" w:rsidP="00207276">
      <w:pPr>
        <w:tabs>
          <w:tab w:val="left" w:pos="851"/>
        </w:tabs>
        <w:ind w:left="851"/>
        <w:rPr>
          <w:sz w:val="24"/>
          <w:szCs w:val="24"/>
        </w:rPr>
      </w:pPr>
    </w:p>
    <w:p w14:paraId="12DF0636" w14:textId="77777777" w:rsidR="00207276" w:rsidRPr="00207276" w:rsidRDefault="00207276" w:rsidP="00207276">
      <w:pPr>
        <w:tabs>
          <w:tab w:val="left" w:pos="851"/>
        </w:tabs>
        <w:ind w:left="851"/>
        <w:rPr>
          <w:sz w:val="24"/>
          <w:szCs w:val="24"/>
        </w:rPr>
      </w:pPr>
      <w:r w:rsidRPr="00207276">
        <w:rPr>
          <w:sz w:val="24"/>
          <w:szCs w:val="24"/>
          <w:u w:val="single"/>
        </w:rPr>
        <w:t>Hypotension</w:t>
      </w:r>
    </w:p>
    <w:p w14:paraId="10FDF473" w14:textId="77777777" w:rsidR="00207276" w:rsidRPr="00207276" w:rsidRDefault="00207276" w:rsidP="00207276">
      <w:pPr>
        <w:tabs>
          <w:tab w:val="left" w:pos="851"/>
        </w:tabs>
        <w:ind w:left="851"/>
        <w:rPr>
          <w:sz w:val="24"/>
          <w:szCs w:val="24"/>
        </w:rPr>
      </w:pPr>
      <w:r w:rsidRPr="00207276">
        <w:rPr>
          <w:sz w:val="24"/>
          <w:szCs w:val="24"/>
        </w:rPr>
        <w:t>Behandling må ikke initieres, medmindre SBT er ≥ 100 mmHg hos voksne patienter eller SBT er ≥ 5</w:t>
      </w:r>
      <w:r w:rsidRPr="00207276">
        <w:rPr>
          <w:sz w:val="24"/>
          <w:szCs w:val="24"/>
        </w:rPr>
        <w:noBreakHyphen/>
        <w:t>percentilen for alderen hos pædiatriske patienter. Der er ikke udført studier hos patienter med SBT under disse værdier (se pkt. 5.1). Der er forekommet symptomatisk hypotension hos voksne patienter behandlet med sacubitril/valsartan i kliniske studier (se pkt. 4.8), især hos patienter ≥ 65 år, patienter med nyresygdom og patienter med lavt SBT (&lt; 112 mmHg.). Ved behandlingsstart eller under dosistitrering med sacubitril/valsartan bør blodtrykket monitoreres regelmæssigt. Ved forekomst af hypotension anbefales midlertidig nedtitrering eller seponering af sacubitril/valsartan (se pkt. 4.2). Det bør overvejes at justere dosis af diuretika, samtidigt administrerede antihypertensiva og hypotensionsbehandling af andre årsager (f.eks. hypovolæmi). Risiko for symptomatisk hypotension er størst, hvis patienten har hypovolæmi, f.eks. forårsaget af behandling med diuretika, saltfattig diæt, diarré eller opkastning. Hyponatriæmi og/eller hypovolæmi bør korrigeres før behandling med sacubitril/valsartan påbegyndes. En sådan korrektiv handling skal opvejes omhyggeligt over for risikoen for væske-overload.</w:t>
      </w:r>
    </w:p>
    <w:p w14:paraId="7997A768" w14:textId="77777777" w:rsidR="00207276" w:rsidRPr="00207276" w:rsidRDefault="00207276" w:rsidP="00207276">
      <w:pPr>
        <w:tabs>
          <w:tab w:val="left" w:pos="851"/>
        </w:tabs>
        <w:ind w:left="851"/>
        <w:rPr>
          <w:sz w:val="24"/>
          <w:szCs w:val="24"/>
        </w:rPr>
      </w:pPr>
    </w:p>
    <w:p w14:paraId="49FE337F" w14:textId="77777777" w:rsidR="00207276" w:rsidRPr="00207276" w:rsidRDefault="00207276" w:rsidP="00207276">
      <w:pPr>
        <w:tabs>
          <w:tab w:val="left" w:pos="851"/>
        </w:tabs>
        <w:ind w:left="851"/>
        <w:rPr>
          <w:sz w:val="24"/>
          <w:szCs w:val="24"/>
        </w:rPr>
      </w:pPr>
      <w:r w:rsidRPr="00207276">
        <w:rPr>
          <w:sz w:val="24"/>
          <w:szCs w:val="24"/>
          <w:u w:val="single"/>
        </w:rPr>
        <w:t>Nedsat nyrefunktion</w:t>
      </w:r>
    </w:p>
    <w:p w14:paraId="380A6C93" w14:textId="77777777" w:rsidR="00207276" w:rsidRPr="00207276" w:rsidRDefault="00207276" w:rsidP="00207276">
      <w:pPr>
        <w:tabs>
          <w:tab w:val="left" w:pos="851"/>
        </w:tabs>
        <w:ind w:left="851"/>
        <w:rPr>
          <w:sz w:val="24"/>
          <w:szCs w:val="24"/>
        </w:rPr>
      </w:pPr>
      <w:r w:rsidRPr="00207276">
        <w:rPr>
          <w:sz w:val="24"/>
          <w:szCs w:val="24"/>
        </w:rPr>
        <w:t>Vurdering af patienter med hjertesvigt bør altid inkludere måling af nyrefunktionen. Patienter med let til moderat nedsat nyrefunktion har større risiko for at udvikle hypotension (se pkt. 4.2).</w:t>
      </w:r>
    </w:p>
    <w:p w14:paraId="02F40A4A" w14:textId="77777777" w:rsidR="00207276" w:rsidRPr="00207276" w:rsidRDefault="00207276" w:rsidP="00207276">
      <w:pPr>
        <w:tabs>
          <w:tab w:val="left" w:pos="851"/>
        </w:tabs>
        <w:ind w:left="851"/>
        <w:rPr>
          <w:sz w:val="24"/>
          <w:szCs w:val="24"/>
        </w:rPr>
      </w:pPr>
      <w:r w:rsidRPr="00207276">
        <w:rPr>
          <w:sz w:val="24"/>
          <w:szCs w:val="24"/>
        </w:rPr>
        <w:lastRenderedPageBreak/>
        <w:t>Der er meget begrænset klinisk erfaring hos patienter med svært nedsat nyrefunktion (estimeret GFR &lt; 30 ml/min/1,73m</w:t>
      </w:r>
      <w:r w:rsidRPr="00207276">
        <w:rPr>
          <w:sz w:val="24"/>
          <w:szCs w:val="24"/>
          <w:vertAlign w:val="superscript"/>
        </w:rPr>
        <w:t>2</w:t>
      </w:r>
      <w:r w:rsidRPr="00207276">
        <w:rPr>
          <w:sz w:val="24"/>
          <w:szCs w:val="24"/>
        </w:rPr>
        <w:t>), og disse patienter kan være i størst fare for hypotension (se pkt. 4.2). Der er ingen erfaring hos patienter med nyresygdom i slutstadiet og sacubitril/valsartan frarådes.</w:t>
      </w:r>
    </w:p>
    <w:p w14:paraId="673B65EA" w14:textId="77777777" w:rsidR="00207276" w:rsidRPr="00207276" w:rsidRDefault="00207276" w:rsidP="00207276">
      <w:pPr>
        <w:tabs>
          <w:tab w:val="left" w:pos="851"/>
        </w:tabs>
        <w:ind w:left="851"/>
        <w:rPr>
          <w:sz w:val="24"/>
          <w:szCs w:val="24"/>
        </w:rPr>
      </w:pPr>
    </w:p>
    <w:p w14:paraId="6CC1A237" w14:textId="77777777" w:rsidR="00207276" w:rsidRPr="00207276" w:rsidRDefault="00207276" w:rsidP="00207276">
      <w:pPr>
        <w:tabs>
          <w:tab w:val="left" w:pos="851"/>
        </w:tabs>
        <w:ind w:left="851"/>
        <w:rPr>
          <w:sz w:val="24"/>
          <w:szCs w:val="24"/>
        </w:rPr>
      </w:pPr>
      <w:r w:rsidRPr="00207276">
        <w:rPr>
          <w:sz w:val="24"/>
          <w:szCs w:val="24"/>
          <w:u w:val="single"/>
        </w:rPr>
        <w:t>Forværring af nyrefunktionen</w:t>
      </w:r>
    </w:p>
    <w:p w14:paraId="5B791183" w14:textId="77777777" w:rsidR="00207276" w:rsidRPr="00207276" w:rsidRDefault="00207276" w:rsidP="00207276">
      <w:pPr>
        <w:tabs>
          <w:tab w:val="left" w:pos="851"/>
        </w:tabs>
        <w:ind w:left="851"/>
        <w:rPr>
          <w:sz w:val="24"/>
          <w:szCs w:val="24"/>
        </w:rPr>
      </w:pPr>
      <w:r w:rsidRPr="00207276">
        <w:rPr>
          <w:sz w:val="24"/>
          <w:szCs w:val="24"/>
        </w:rPr>
        <w:t>Brug af sacubitril/valsartan kan være forbundet med nedsat nyrefunktion. Risikoen kan være forøget ved dehydrering eller brug sammen med non</w:t>
      </w:r>
      <w:r w:rsidRPr="00207276">
        <w:rPr>
          <w:sz w:val="24"/>
          <w:szCs w:val="24"/>
        </w:rPr>
        <w:noBreakHyphen/>
        <w:t>steroide antiinflammatoriske lægemidler (NSAID’er) (se pkt. 4.5). Nedtitrering bør overvejes hos patienter, som udvikler klinisk signifikant fald i nyrefunktionen.</w:t>
      </w:r>
    </w:p>
    <w:p w14:paraId="4EA1C068" w14:textId="77777777" w:rsidR="00207276" w:rsidRPr="00207276" w:rsidRDefault="00207276" w:rsidP="00207276">
      <w:pPr>
        <w:tabs>
          <w:tab w:val="left" w:pos="851"/>
        </w:tabs>
        <w:ind w:left="851"/>
        <w:rPr>
          <w:sz w:val="24"/>
          <w:szCs w:val="24"/>
        </w:rPr>
      </w:pPr>
    </w:p>
    <w:p w14:paraId="2E5F2C40" w14:textId="77777777" w:rsidR="00207276" w:rsidRPr="00207276" w:rsidRDefault="00207276" w:rsidP="00207276">
      <w:pPr>
        <w:tabs>
          <w:tab w:val="left" w:pos="851"/>
        </w:tabs>
        <w:ind w:left="851"/>
        <w:rPr>
          <w:sz w:val="24"/>
          <w:szCs w:val="24"/>
        </w:rPr>
      </w:pPr>
      <w:r w:rsidRPr="00207276">
        <w:rPr>
          <w:sz w:val="24"/>
          <w:szCs w:val="24"/>
          <w:u w:val="single"/>
        </w:rPr>
        <w:t>Hyperkaliæmi</w:t>
      </w:r>
    </w:p>
    <w:p w14:paraId="14315E42" w14:textId="77777777" w:rsidR="00207276" w:rsidRPr="00207276" w:rsidRDefault="00207276" w:rsidP="00207276">
      <w:pPr>
        <w:tabs>
          <w:tab w:val="left" w:pos="851"/>
        </w:tabs>
        <w:ind w:left="851"/>
        <w:rPr>
          <w:sz w:val="24"/>
          <w:szCs w:val="24"/>
        </w:rPr>
      </w:pPr>
      <w:r w:rsidRPr="00207276">
        <w:rPr>
          <w:sz w:val="24"/>
          <w:szCs w:val="24"/>
        </w:rPr>
        <w:t>Behandling bør ikke initieres, hvis serumkaliumniveauet er &gt; 5,4 mmol/l hos voksne patienter og &gt; 5,3 mmol/l hos pædiatriske patienter. Anvendelse af sacubitril/valsartan kan være forbundet med en øget risiko for hyperkaliæmi, selvom hypokaliæmi også kan forekomme (se pkt. 4.8). Det anbefales at monitorere serumkalium, især hos patienter, som har risikofaktorer såsom nedsat nyrefunktion, diabetes mellitus eller hypoaldosteronisme, eller som er på en diæt med højt kaliumindhold, eller som behandles med mineralokortikoidantagonister (se pkt. 4.2). Hvis patienter får klinisk signifikant hyperkaliæmi, anbefales justering af samtidigt administrerede lægemidler eller midlertidig nedtitrering eller seponering. Hvis serumkaliumniveauet er &gt; 5,4 mmol/l, bør seponering overvejes.</w:t>
      </w:r>
    </w:p>
    <w:p w14:paraId="44F9B6A2" w14:textId="77777777" w:rsidR="00207276" w:rsidRPr="00207276" w:rsidRDefault="00207276" w:rsidP="00207276">
      <w:pPr>
        <w:tabs>
          <w:tab w:val="left" w:pos="851"/>
        </w:tabs>
        <w:ind w:left="851"/>
        <w:rPr>
          <w:sz w:val="24"/>
          <w:szCs w:val="24"/>
        </w:rPr>
      </w:pPr>
    </w:p>
    <w:p w14:paraId="3AE04895" w14:textId="77777777" w:rsidR="00207276" w:rsidRPr="00207276" w:rsidRDefault="00207276" w:rsidP="00207276">
      <w:pPr>
        <w:tabs>
          <w:tab w:val="left" w:pos="851"/>
        </w:tabs>
        <w:ind w:left="851"/>
        <w:rPr>
          <w:sz w:val="24"/>
          <w:szCs w:val="24"/>
        </w:rPr>
      </w:pPr>
      <w:r w:rsidRPr="00207276">
        <w:rPr>
          <w:sz w:val="24"/>
          <w:szCs w:val="24"/>
          <w:u w:val="single"/>
        </w:rPr>
        <w:t>Angioødem</w:t>
      </w:r>
    </w:p>
    <w:p w14:paraId="494D4CE7" w14:textId="77777777" w:rsidR="00207276" w:rsidRPr="00207276" w:rsidRDefault="00207276" w:rsidP="00207276">
      <w:pPr>
        <w:tabs>
          <w:tab w:val="left" w:pos="851"/>
        </w:tabs>
        <w:ind w:left="851"/>
        <w:rPr>
          <w:sz w:val="24"/>
          <w:szCs w:val="24"/>
        </w:rPr>
      </w:pPr>
      <w:r w:rsidRPr="00207276">
        <w:rPr>
          <w:sz w:val="24"/>
          <w:szCs w:val="24"/>
        </w:rPr>
        <w:t>Der er forekommet angioødem hos patienter behandlet med sacubitril/valsartan. Ved forekomst af angioødem skal sacubitril/valsartan straks seponeres, og der skal iværksættes passende behandling og monitorering, indtil der er opnået komplet og vedvarende ophør af tegn og symptomer. Sacubitril/Valsartan "Krka" må ikke gives igen. I de tilfælde af verificeret angioødem, hvor hævelsen var begrænset til ansigt og læber, ophørte tilstanden normalt uden behandling, men anvendelse af antihistaminer lindrede symptomerne.</w:t>
      </w:r>
    </w:p>
    <w:p w14:paraId="358C0C6A" w14:textId="77777777" w:rsidR="00207276" w:rsidRPr="00207276" w:rsidRDefault="00207276" w:rsidP="00207276">
      <w:pPr>
        <w:tabs>
          <w:tab w:val="left" w:pos="851"/>
        </w:tabs>
        <w:ind w:left="851"/>
        <w:rPr>
          <w:sz w:val="24"/>
          <w:szCs w:val="24"/>
        </w:rPr>
      </w:pPr>
    </w:p>
    <w:p w14:paraId="58C517D2" w14:textId="77777777" w:rsidR="00207276" w:rsidRPr="00207276" w:rsidRDefault="00207276" w:rsidP="00207276">
      <w:pPr>
        <w:tabs>
          <w:tab w:val="left" w:pos="851"/>
        </w:tabs>
        <w:ind w:left="851"/>
        <w:rPr>
          <w:sz w:val="24"/>
          <w:szCs w:val="24"/>
        </w:rPr>
      </w:pPr>
      <w:r w:rsidRPr="00207276">
        <w:rPr>
          <w:sz w:val="24"/>
          <w:szCs w:val="24"/>
        </w:rPr>
        <w:t>Angioødem forbundet med larynxødem kan være fatalt. Hvor tunge, glottis eller larynx er omfattet med risiko for luftvejsobstruktion, skal der straks iværksættes passende behandling, f.eks. adrenalinopløsning 1 mg/1 ml (0,3</w:t>
      </w:r>
      <w:r w:rsidRPr="00207276">
        <w:rPr>
          <w:sz w:val="24"/>
          <w:szCs w:val="24"/>
        </w:rPr>
        <w:noBreakHyphen/>
        <w:t>0,5 ml) og/eller foranstaltninger nødvendige for at sikre frie luftveje.</w:t>
      </w:r>
    </w:p>
    <w:p w14:paraId="1C2FC0E9" w14:textId="77777777" w:rsidR="00207276" w:rsidRPr="00207276" w:rsidRDefault="00207276" w:rsidP="00207276">
      <w:pPr>
        <w:tabs>
          <w:tab w:val="left" w:pos="851"/>
        </w:tabs>
        <w:ind w:left="851"/>
        <w:rPr>
          <w:sz w:val="24"/>
          <w:szCs w:val="24"/>
        </w:rPr>
      </w:pPr>
    </w:p>
    <w:p w14:paraId="6F087A84" w14:textId="77777777" w:rsidR="00207276" w:rsidRPr="00207276" w:rsidRDefault="00207276" w:rsidP="00207276">
      <w:pPr>
        <w:tabs>
          <w:tab w:val="left" w:pos="851"/>
        </w:tabs>
        <w:ind w:left="851"/>
        <w:rPr>
          <w:sz w:val="24"/>
          <w:szCs w:val="24"/>
        </w:rPr>
      </w:pPr>
      <w:r w:rsidRPr="00207276">
        <w:rPr>
          <w:sz w:val="24"/>
          <w:szCs w:val="24"/>
        </w:rPr>
        <w:t>Der er ikke udført studier hos patienter med angioødem i anamnesen. Da de kan have en højere risiko for angioødem, skal der udvises forsigtighed, hvis sacubitril/valsartan anvendes til disse patienter.</w:t>
      </w:r>
    </w:p>
    <w:p w14:paraId="33510BEC" w14:textId="77777777" w:rsidR="00207276" w:rsidRPr="00207276" w:rsidRDefault="00207276" w:rsidP="00207276">
      <w:pPr>
        <w:tabs>
          <w:tab w:val="left" w:pos="851"/>
        </w:tabs>
        <w:ind w:left="851"/>
        <w:rPr>
          <w:sz w:val="24"/>
          <w:szCs w:val="24"/>
        </w:rPr>
      </w:pPr>
      <w:r w:rsidRPr="00207276">
        <w:rPr>
          <w:sz w:val="24"/>
          <w:szCs w:val="24"/>
        </w:rPr>
        <w:t>Sacubitril/valsartan er kontraindiceret hos patienter, som tidligere har oplevet angioødem relateret til ACE</w:t>
      </w:r>
      <w:r w:rsidRPr="00207276">
        <w:rPr>
          <w:sz w:val="24"/>
          <w:szCs w:val="24"/>
        </w:rPr>
        <w:noBreakHyphen/>
        <w:t>hæmmere, til behandling med ARB eller med hereditær eller idiopatisk angioødem (se pkt. 4.3).</w:t>
      </w:r>
    </w:p>
    <w:p w14:paraId="47431ADA" w14:textId="77777777" w:rsidR="00207276" w:rsidRPr="00207276" w:rsidRDefault="00207276" w:rsidP="00207276">
      <w:pPr>
        <w:tabs>
          <w:tab w:val="left" w:pos="851"/>
        </w:tabs>
        <w:ind w:left="851"/>
        <w:rPr>
          <w:sz w:val="24"/>
          <w:szCs w:val="24"/>
        </w:rPr>
      </w:pPr>
    </w:p>
    <w:p w14:paraId="7469E6EC" w14:textId="77777777" w:rsidR="00207276" w:rsidRPr="00207276" w:rsidRDefault="00207276" w:rsidP="00207276">
      <w:pPr>
        <w:tabs>
          <w:tab w:val="left" w:pos="851"/>
        </w:tabs>
        <w:ind w:left="851"/>
        <w:rPr>
          <w:sz w:val="24"/>
          <w:szCs w:val="24"/>
        </w:rPr>
      </w:pPr>
      <w:r w:rsidRPr="00207276">
        <w:rPr>
          <w:sz w:val="24"/>
          <w:szCs w:val="24"/>
        </w:rPr>
        <w:t>Patienter af afrikansk oprindelse har øget følsomhed for udvikling af angioødem (se pkt. 4.8).</w:t>
      </w:r>
    </w:p>
    <w:p w14:paraId="1DCCE1C0" w14:textId="77777777" w:rsidR="00207276" w:rsidRPr="00207276" w:rsidRDefault="00207276" w:rsidP="00207276">
      <w:pPr>
        <w:tabs>
          <w:tab w:val="left" w:pos="851"/>
        </w:tabs>
        <w:ind w:left="851"/>
        <w:rPr>
          <w:sz w:val="24"/>
          <w:szCs w:val="24"/>
        </w:rPr>
      </w:pPr>
    </w:p>
    <w:p w14:paraId="57FD3985" w14:textId="77777777" w:rsidR="00207276" w:rsidRPr="00207276" w:rsidRDefault="00207276" w:rsidP="00207276">
      <w:pPr>
        <w:tabs>
          <w:tab w:val="left" w:pos="851"/>
        </w:tabs>
        <w:ind w:left="851"/>
        <w:rPr>
          <w:sz w:val="24"/>
          <w:szCs w:val="24"/>
        </w:rPr>
      </w:pPr>
      <w:r w:rsidRPr="00207276">
        <w:rPr>
          <w:sz w:val="24"/>
          <w:szCs w:val="24"/>
        </w:rPr>
        <w:t xml:space="preserve">Der er indberettet intestinalt angioødem hos patienter i behandling med angiotensin II-receptorantagonister, herunder valsartan (se pkt. 4.8). Disse patienter havde mavesmerter, kvalme, opkastning og diarré. Symptomerne forsvandt efter seponering af angiotensin II-receptorantagonister. Hvis der diagnosticeres intestinalt angioødem, bør </w:t>
      </w:r>
      <w:r w:rsidRPr="00207276">
        <w:rPr>
          <w:sz w:val="24"/>
          <w:szCs w:val="24"/>
        </w:rPr>
        <w:lastRenderedPageBreak/>
        <w:t>sacubitril/valsartan seponeres, og der bør iværksættes passende monitorering, indtil symptomerne er forsvundet fuldstændigt.</w:t>
      </w:r>
    </w:p>
    <w:p w14:paraId="28949B0E" w14:textId="77777777" w:rsidR="00207276" w:rsidRPr="00207276" w:rsidRDefault="00207276" w:rsidP="00207276">
      <w:pPr>
        <w:tabs>
          <w:tab w:val="left" w:pos="851"/>
        </w:tabs>
        <w:ind w:left="851"/>
        <w:rPr>
          <w:sz w:val="24"/>
          <w:szCs w:val="24"/>
        </w:rPr>
      </w:pPr>
    </w:p>
    <w:p w14:paraId="680D259A" w14:textId="77777777" w:rsidR="00207276" w:rsidRPr="00207276" w:rsidRDefault="00207276" w:rsidP="00207276">
      <w:pPr>
        <w:tabs>
          <w:tab w:val="left" w:pos="851"/>
        </w:tabs>
        <w:ind w:left="851"/>
        <w:rPr>
          <w:sz w:val="24"/>
          <w:szCs w:val="24"/>
        </w:rPr>
      </w:pPr>
      <w:r w:rsidRPr="00207276">
        <w:rPr>
          <w:sz w:val="24"/>
          <w:szCs w:val="24"/>
          <w:u w:val="single"/>
        </w:rPr>
        <w:t>Patienter med renal arteriostenose</w:t>
      </w:r>
    </w:p>
    <w:p w14:paraId="5B6863A7" w14:textId="77777777" w:rsidR="00207276" w:rsidRPr="00207276" w:rsidRDefault="00207276" w:rsidP="00207276">
      <w:pPr>
        <w:tabs>
          <w:tab w:val="left" w:pos="851"/>
        </w:tabs>
        <w:ind w:left="851"/>
        <w:rPr>
          <w:sz w:val="24"/>
          <w:szCs w:val="24"/>
        </w:rPr>
      </w:pPr>
      <w:r w:rsidRPr="00207276">
        <w:rPr>
          <w:sz w:val="24"/>
          <w:szCs w:val="24"/>
        </w:rPr>
        <w:t>Sacubitril/valsartan kan øge mængden af serumkreatinin og urinstof i blodet hos patienter med bilateral eller unilateral renal arteriestenose. Der skal udvises forsigtighed hos patienter med renal arteriestenose, og det anbefales at monitorere nyrefunktionen.</w:t>
      </w:r>
    </w:p>
    <w:p w14:paraId="4EC3EE49" w14:textId="77777777" w:rsidR="00207276" w:rsidRPr="00207276" w:rsidRDefault="00207276" w:rsidP="00207276">
      <w:pPr>
        <w:tabs>
          <w:tab w:val="left" w:pos="851"/>
        </w:tabs>
        <w:ind w:left="851"/>
        <w:rPr>
          <w:sz w:val="24"/>
          <w:szCs w:val="24"/>
        </w:rPr>
      </w:pPr>
    </w:p>
    <w:p w14:paraId="4D994095" w14:textId="77777777" w:rsidR="00207276" w:rsidRPr="00207276" w:rsidRDefault="00207276" w:rsidP="00207276">
      <w:pPr>
        <w:tabs>
          <w:tab w:val="left" w:pos="851"/>
        </w:tabs>
        <w:ind w:left="851"/>
        <w:rPr>
          <w:sz w:val="24"/>
          <w:szCs w:val="24"/>
          <w:lang w:val="en-US"/>
        </w:rPr>
      </w:pPr>
      <w:r w:rsidRPr="00207276">
        <w:rPr>
          <w:sz w:val="24"/>
          <w:szCs w:val="24"/>
          <w:u w:val="single"/>
          <w:lang w:val="en-US"/>
        </w:rPr>
        <w:t>Patienter med New York Heart Association (NYHA) klasse IV</w:t>
      </w:r>
    </w:p>
    <w:p w14:paraId="0B4F7AB6" w14:textId="77777777" w:rsidR="00207276" w:rsidRPr="00207276" w:rsidRDefault="00207276" w:rsidP="00207276">
      <w:pPr>
        <w:tabs>
          <w:tab w:val="left" w:pos="851"/>
        </w:tabs>
        <w:ind w:left="851"/>
        <w:rPr>
          <w:sz w:val="24"/>
          <w:szCs w:val="24"/>
        </w:rPr>
      </w:pPr>
      <w:r w:rsidRPr="00207276">
        <w:rPr>
          <w:sz w:val="24"/>
          <w:szCs w:val="24"/>
        </w:rPr>
        <w:t>Der skal udvises forsigtighed ved påbegyndelse af behandling med sacubitril/valsartan hos patienter med NYHA klasse IV, da der er begrænset klinisk erfaring hos denne population.</w:t>
      </w:r>
    </w:p>
    <w:p w14:paraId="03233EC9" w14:textId="77777777" w:rsidR="00207276" w:rsidRPr="00207276" w:rsidRDefault="00207276" w:rsidP="00207276">
      <w:pPr>
        <w:tabs>
          <w:tab w:val="left" w:pos="851"/>
        </w:tabs>
        <w:ind w:left="851"/>
        <w:rPr>
          <w:sz w:val="24"/>
          <w:szCs w:val="24"/>
        </w:rPr>
      </w:pPr>
    </w:p>
    <w:p w14:paraId="7A2C4E01" w14:textId="77777777" w:rsidR="00207276" w:rsidRPr="00207276" w:rsidRDefault="00207276" w:rsidP="00207276">
      <w:pPr>
        <w:tabs>
          <w:tab w:val="left" w:pos="851"/>
        </w:tabs>
        <w:ind w:left="851"/>
        <w:rPr>
          <w:sz w:val="24"/>
          <w:szCs w:val="24"/>
        </w:rPr>
      </w:pPr>
      <w:r w:rsidRPr="00207276">
        <w:rPr>
          <w:sz w:val="24"/>
          <w:szCs w:val="24"/>
          <w:u w:val="single"/>
        </w:rPr>
        <w:t>B</w:t>
      </w:r>
      <w:r w:rsidRPr="00207276">
        <w:rPr>
          <w:sz w:val="24"/>
          <w:szCs w:val="24"/>
          <w:u w:val="single"/>
        </w:rPr>
        <w:noBreakHyphen/>
        <w:t>type natriuretisk peptid (BNP)</w:t>
      </w:r>
    </w:p>
    <w:p w14:paraId="10B963EB" w14:textId="77777777" w:rsidR="00207276" w:rsidRPr="00207276" w:rsidRDefault="00207276" w:rsidP="00207276">
      <w:pPr>
        <w:tabs>
          <w:tab w:val="left" w:pos="851"/>
        </w:tabs>
        <w:ind w:left="851"/>
        <w:rPr>
          <w:sz w:val="24"/>
          <w:szCs w:val="24"/>
        </w:rPr>
      </w:pPr>
      <w:r w:rsidRPr="00207276">
        <w:rPr>
          <w:sz w:val="24"/>
          <w:szCs w:val="24"/>
        </w:rPr>
        <w:t>BNP er ikke egnet som markør for hjertesvigt hos patienter behandlet med sacubitril/valsartan, da dette er et neprilysinsubstrat (se pkt. 5.1).</w:t>
      </w:r>
    </w:p>
    <w:p w14:paraId="333AF9FA" w14:textId="77777777" w:rsidR="00207276" w:rsidRPr="00207276" w:rsidRDefault="00207276" w:rsidP="00207276">
      <w:pPr>
        <w:tabs>
          <w:tab w:val="left" w:pos="851"/>
        </w:tabs>
        <w:ind w:left="851"/>
        <w:rPr>
          <w:sz w:val="24"/>
          <w:szCs w:val="24"/>
        </w:rPr>
      </w:pPr>
    </w:p>
    <w:p w14:paraId="7894A9DC" w14:textId="77777777" w:rsidR="00207276" w:rsidRPr="00207276" w:rsidRDefault="00207276" w:rsidP="00207276">
      <w:pPr>
        <w:tabs>
          <w:tab w:val="left" w:pos="851"/>
        </w:tabs>
        <w:ind w:left="851"/>
        <w:rPr>
          <w:sz w:val="24"/>
          <w:szCs w:val="24"/>
        </w:rPr>
      </w:pPr>
      <w:r w:rsidRPr="00207276">
        <w:rPr>
          <w:sz w:val="24"/>
          <w:szCs w:val="24"/>
          <w:u w:val="single"/>
        </w:rPr>
        <w:t>Patienter med nedsat leverfunktion</w:t>
      </w:r>
    </w:p>
    <w:p w14:paraId="7A45460B" w14:textId="77777777" w:rsidR="00207276" w:rsidRPr="00207276" w:rsidRDefault="00207276" w:rsidP="00207276">
      <w:pPr>
        <w:tabs>
          <w:tab w:val="left" w:pos="851"/>
        </w:tabs>
        <w:ind w:left="851"/>
        <w:rPr>
          <w:sz w:val="24"/>
          <w:szCs w:val="24"/>
        </w:rPr>
      </w:pPr>
      <w:r w:rsidRPr="00207276">
        <w:rPr>
          <w:sz w:val="24"/>
          <w:szCs w:val="24"/>
        </w:rPr>
        <w:t>Der er begrænset klinisk erfaring hos patienter med moderat nedsat leverfunktion (Child</w:t>
      </w:r>
      <w:r w:rsidRPr="00207276">
        <w:rPr>
          <w:sz w:val="24"/>
          <w:szCs w:val="24"/>
        </w:rPr>
        <w:noBreakHyphen/>
        <w:t>Pugh klasse B) eller med ASAT/ALAT-værdier mere end to gange det dobbelte af den øvre grænse for normalværdier. Eksponering kan være forøget og sikkerheden er ikke klarlagt hos disse patienter. Forsigtighed er derfor anbefalet ved anvendelse hos disse patienter (se pkt. 4.2 og 5.2). Sacubitril/valsartan er kontraindiceret hos patienter med svært nedsat leverfunktion, biliær cirrose og kolestase (Child</w:t>
      </w:r>
      <w:r w:rsidRPr="00207276">
        <w:rPr>
          <w:sz w:val="24"/>
          <w:szCs w:val="24"/>
        </w:rPr>
        <w:noBreakHyphen/>
        <w:t>Pugh klasse C) (se pkt. 4.3).</w:t>
      </w:r>
    </w:p>
    <w:p w14:paraId="4E9D0E34" w14:textId="77777777" w:rsidR="00207276" w:rsidRPr="00207276" w:rsidRDefault="00207276" w:rsidP="00207276">
      <w:pPr>
        <w:tabs>
          <w:tab w:val="left" w:pos="851"/>
        </w:tabs>
        <w:ind w:left="851"/>
        <w:rPr>
          <w:sz w:val="24"/>
          <w:szCs w:val="24"/>
        </w:rPr>
      </w:pPr>
    </w:p>
    <w:p w14:paraId="7A36C49E" w14:textId="77777777" w:rsidR="00207276" w:rsidRPr="00207276" w:rsidRDefault="00207276" w:rsidP="00207276">
      <w:pPr>
        <w:tabs>
          <w:tab w:val="left" w:pos="851"/>
        </w:tabs>
        <w:ind w:left="851"/>
        <w:rPr>
          <w:sz w:val="24"/>
          <w:szCs w:val="24"/>
        </w:rPr>
      </w:pPr>
      <w:r w:rsidRPr="00207276">
        <w:rPr>
          <w:sz w:val="24"/>
          <w:szCs w:val="24"/>
          <w:u w:val="single"/>
        </w:rPr>
        <w:t>Psykiske forstyrrelser</w:t>
      </w:r>
    </w:p>
    <w:p w14:paraId="2221D889" w14:textId="77777777" w:rsidR="00207276" w:rsidRPr="00207276" w:rsidRDefault="00207276" w:rsidP="00207276">
      <w:pPr>
        <w:tabs>
          <w:tab w:val="left" w:pos="851"/>
        </w:tabs>
        <w:ind w:left="851"/>
        <w:rPr>
          <w:sz w:val="24"/>
          <w:szCs w:val="24"/>
        </w:rPr>
      </w:pPr>
      <w:r w:rsidRPr="00207276">
        <w:rPr>
          <w:sz w:val="24"/>
          <w:szCs w:val="24"/>
        </w:rPr>
        <w:t>Psykiske hændelser, såsom hallucinationer, paranoia og søvnforstyrrelser, er i sammenhæng med psykotiske tilfælde blevet forbundet med anvendelse af sacubitril/valsartan. Hvis en patient oplever sådanne hændelser, bør seponering af behandlingen med sacubitril/valsartan overvejes.</w:t>
      </w:r>
    </w:p>
    <w:p w14:paraId="077CD26B" w14:textId="77777777" w:rsidR="00207276" w:rsidRPr="00207276" w:rsidRDefault="00207276" w:rsidP="00207276">
      <w:pPr>
        <w:tabs>
          <w:tab w:val="left" w:pos="851"/>
        </w:tabs>
        <w:ind w:left="851"/>
        <w:rPr>
          <w:sz w:val="24"/>
          <w:szCs w:val="24"/>
        </w:rPr>
      </w:pPr>
    </w:p>
    <w:p w14:paraId="5AA113C2" w14:textId="77777777" w:rsidR="00207276" w:rsidRPr="00207276" w:rsidRDefault="00207276" w:rsidP="00207276">
      <w:pPr>
        <w:tabs>
          <w:tab w:val="left" w:pos="851"/>
        </w:tabs>
        <w:ind w:left="851"/>
        <w:rPr>
          <w:sz w:val="24"/>
          <w:szCs w:val="24"/>
        </w:rPr>
      </w:pPr>
      <w:r w:rsidRPr="00207276">
        <w:rPr>
          <w:sz w:val="24"/>
          <w:szCs w:val="24"/>
          <w:u w:val="single"/>
        </w:rPr>
        <w:t>Natrium</w:t>
      </w:r>
    </w:p>
    <w:p w14:paraId="707FDEDA" w14:textId="77777777" w:rsidR="00207276" w:rsidRPr="00207276" w:rsidRDefault="00207276" w:rsidP="00207276">
      <w:pPr>
        <w:tabs>
          <w:tab w:val="left" w:pos="851"/>
        </w:tabs>
        <w:ind w:left="851"/>
        <w:rPr>
          <w:sz w:val="24"/>
          <w:szCs w:val="24"/>
        </w:rPr>
      </w:pPr>
      <w:r w:rsidRPr="00207276">
        <w:rPr>
          <w:sz w:val="24"/>
          <w:szCs w:val="24"/>
        </w:rPr>
        <w:t>Dette lægemiddel indeholder mindre end 1 mmol (23 mg) natrium pr. dosis, dvs. det er i det væsentlige natriumfrit.</w:t>
      </w:r>
    </w:p>
    <w:p w14:paraId="2DA5CAB2" w14:textId="77777777" w:rsidR="009260DE" w:rsidRPr="00C84483" w:rsidRDefault="009260DE" w:rsidP="009260DE">
      <w:pPr>
        <w:tabs>
          <w:tab w:val="left" w:pos="851"/>
        </w:tabs>
        <w:ind w:left="851"/>
        <w:rPr>
          <w:sz w:val="24"/>
          <w:szCs w:val="24"/>
        </w:rPr>
      </w:pPr>
    </w:p>
    <w:p w14:paraId="4C5DEAC0"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12EF9F8B" w14:textId="77777777" w:rsidR="00207276" w:rsidRPr="00207276" w:rsidRDefault="00207276" w:rsidP="00207276">
      <w:pPr>
        <w:tabs>
          <w:tab w:val="left" w:pos="851"/>
        </w:tabs>
        <w:ind w:left="851"/>
        <w:rPr>
          <w:sz w:val="24"/>
          <w:szCs w:val="24"/>
        </w:rPr>
      </w:pPr>
    </w:p>
    <w:p w14:paraId="0DC86593" w14:textId="77777777" w:rsidR="00207276" w:rsidRPr="00207276" w:rsidRDefault="00207276" w:rsidP="00207276">
      <w:pPr>
        <w:tabs>
          <w:tab w:val="left" w:pos="851"/>
        </w:tabs>
        <w:ind w:left="851"/>
        <w:rPr>
          <w:sz w:val="24"/>
          <w:szCs w:val="24"/>
        </w:rPr>
      </w:pPr>
      <w:r w:rsidRPr="00207276">
        <w:rPr>
          <w:sz w:val="24"/>
          <w:szCs w:val="24"/>
          <w:u w:val="single"/>
        </w:rPr>
        <w:t>Interaktioner, som fører til kontraindikation</w:t>
      </w:r>
    </w:p>
    <w:p w14:paraId="5BED7638" w14:textId="77777777" w:rsidR="00207276" w:rsidRPr="00207276" w:rsidRDefault="00207276" w:rsidP="00207276">
      <w:pPr>
        <w:tabs>
          <w:tab w:val="left" w:pos="851"/>
        </w:tabs>
        <w:ind w:left="851"/>
        <w:rPr>
          <w:sz w:val="24"/>
          <w:szCs w:val="24"/>
        </w:rPr>
      </w:pPr>
    </w:p>
    <w:p w14:paraId="3FDD1690" w14:textId="77777777" w:rsidR="00207276" w:rsidRPr="00207276" w:rsidRDefault="00207276" w:rsidP="00207276">
      <w:pPr>
        <w:tabs>
          <w:tab w:val="left" w:pos="851"/>
        </w:tabs>
        <w:ind w:left="851"/>
        <w:rPr>
          <w:i/>
          <w:sz w:val="24"/>
          <w:szCs w:val="24"/>
        </w:rPr>
      </w:pPr>
      <w:r w:rsidRPr="00207276">
        <w:rPr>
          <w:i/>
          <w:sz w:val="24"/>
          <w:szCs w:val="24"/>
        </w:rPr>
        <w:t>ACE</w:t>
      </w:r>
      <w:r w:rsidRPr="00207276">
        <w:rPr>
          <w:i/>
          <w:sz w:val="24"/>
          <w:szCs w:val="24"/>
        </w:rPr>
        <w:noBreakHyphen/>
        <w:t>hæmmere</w:t>
      </w:r>
    </w:p>
    <w:p w14:paraId="1FB77273" w14:textId="77777777" w:rsidR="00207276" w:rsidRPr="00207276" w:rsidRDefault="00207276" w:rsidP="00207276">
      <w:pPr>
        <w:tabs>
          <w:tab w:val="left" w:pos="851"/>
        </w:tabs>
        <w:ind w:left="851"/>
        <w:rPr>
          <w:sz w:val="24"/>
          <w:szCs w:val="24"/>
        </w:rPr>
      </w:pPr>
      <w:r w:rsidRPr="00207276">
        <w:rPr>
          <w:sz w:val="24"/>
          <w:szCs w:val="24"/>
        </w:rPr>
        <w:t>Anvendelse af sacubitril/valsartan sammen med ACE</w:t>
      </w:r>
      <w:r w:rsidRPr="00207276">
        <w:rPr>
          <w:sz w:val="24"/>
          <w:szCs w:val="24"/>
        </w:rPr>
        <w:noBreakHyphen/>
        <w:t>hæmmere er kontraindiceret, da samtidig hæmning af neprilysin (NEP) og ACE kan øge risikoen for angioødem. Sacubitril/valsartan må ikke påbegyndes før 36 timer efter indtagelse af den sidste dosis ACE</w:t>
      </w:r>
      <w:r w:rsidRPr="00207276">
        <w:rPr>
          <w:sz w:val="24"/>
          <w:szCs w:val="24"/>
        </w:rPr>
        <w:noBreakHyphen/>
        <w:t>hæmmer. Behandling med ACE</w:t>
      </w:r>
      <w:r w:rsidRPr="00207276">
        <w:rPr>
          <w:sz w:val="24"/>
          <w:szCs w:val="24"/>
        </w:rPr>
        <w:noBreakHyphen/>
        <w:t>hæmmer må ikke påbegyndes før 36 timer efter den sidste dosis sacubitril/valsartan (se pkt. 4.2 og 4.3).</w:t>
      </w:r>
    </w:p>
    <w:p w14:paraId="5BAE5AFA" w14:textId="77777777" w:rsidR="00207276" w:rsidRPr="00207276" w:rsidRDefault="00207276" w:rsidP="00207276">
      <w:pPr>
        <w:tabs>
          <w:tab w:val="left" w:pos="851"/>
        </w:tabs>
        <w:ind w:left="851"/>
        <w:rPr>
          <w:sz w:val="24"/>
          <w:szCs w:val="24"/>
        </w:rPr>
      </w:pPr>
    </w:p>
    <w:p w14:paraId="4AE5014F" w14:textId="77777777" w:rsidR="00207276" w:rsidRPr="00207276" w:rsidRDefault="00207276" w:rsidP="00207276">
      <w:pPr>
        <w:tabs>
          <w:tab w:val="left" w:pos="851"/>
        </w:tabs>
        <w:ind w:left="851"/>
        <w:rPr>
          <w:i/>
          <w:sz w:val="24"/>
          <w:szCs w:val="24"/>
        </w:rPr>
      </w:pPr>
      <w:r w:rsidRPr="00207276">
        <w:rPr>
          <w:i/>
          <w:sz w:val="24"/>
          <w:szCs w:val="24"/>
        </w:rPr>
        <w:t>Aliskiren</w:t>
      </w:r>
    </w:p>
    <w:p w14:paraId="4E702165" w14:textId="77777777" w:rsidR="00207276" w:rsidRPr="00207276" w:rsidRDefault="00207276" w:rsidP="00207276">
      <w:pPr>
        <w:tabs>
          <w:tab w:val="left" w:pos="851"/>
        </w:tabs>
        <w:ind w:left="851"/>
        <w:rPr>
          <w:sz w:val="24"/>
          <w:szCs w:val="24"/>
        </w:rPr>
      </w:pPr>
      <w:r w:rsidRPr="00207276">
        <w:rPr>
          <w:sz w:val="24"/>
          <w:szCs w:val="24"/>
        </w:rPr>
        <w:t>Anvendelse af sacubitril/valsartan sammen med lægemidler indeholdende aliskiren er kontraindiceret hos patienter med diabetes mellitus eller hos patienter med nedsat nyrefunktion (eGFR &lt; 60 ml/min/1,73 m</w:t>
      </w:r>
      <w:r w:rsidRPr="00207276">
        <w:rPr>
          <w:sz w:val="24"/>
          <w:szCs w:val="24"/>
          <w:vertAlign w:val="superscript"/>
        </w:rPr>
        <w:t>2</w:t>
      </w:r>
      <w:r w:rsidRPr="00207276">
        <w:rPr>
          <w:sz w:val="24"/>
          <w:szCs w:val="24"/>
        </w:rPr>
        <w:t xml:space="preserve">) (se pkt. 4.3). Kombination af sacubitril/valsartan med direkte reninhæmmere, såsom aliskiren, frarådes (se pkt. 4.4). Kombination af sacubitril/valsartan med aliskiren er muligvis forbundet med en højere </w:t>
      </w:r>
      <w:r w:rsidRPr="00207276">
        <w:rPr>
          <w:sz w:val="24"/>
          <w:szCs w:val="24"/>
        </w:rPr>
        <w:lastRenderedPageBreak/>
        <w:t>hyppighed af bivirkninger, såsom hypotension, hyperkaliæmi og nedsat nyrefunktion (herunder akut nyresvigt) (se pkt. 4.3 og 4.4).</w:t>
      </w:r>
    </w:p>
    <w:p w14:paraId="3EBDF689" w14:textId="77777777" w:rsidR="00207276" w:rsidRPr="00207276" w:rsidRDefault="00207276" w:rsidP="00207276">
      <w:pPr>
        <w:tabs>
          <w:tab w:val="left" w:pos="851"/>
        </w:tabs>
        <w:ind w:left="851"/>
        <w:rPr>
          <w:sz w:val="24"/>
          <w:szCs w:val="24"/>
        </w:rPr>
      </w:pPr>
    </w:p>
    <w:p w14:paraId="18A7AD41" w14:textId="77777777" w:rsidR="00207276" w:rsidRPr="00207276" w:rsidRDefault="00207276" w:rsidP="00207276">
      <w:pPr>
        <w:tabs>
          <w:tab w:val="left" w:pos="851"/>
        </w:tabs>
        <w:ind w:left="851"/>
        <w:rPr>
          <w:sz w:val="24"/>
          <w:szCs w:val="24"/>
        </w:rPr>
      </w:pPr>
      <w:r w:rsidRPr="00207276">
        <w:rPr>
          <w:sz w:val="24"/>
          <w:szCs w:val="24"/>
          <w:u w:val="single"/>
        </w:rPr>
        <w:t>Interaktioner, som medfører at samtidig anvendelse frarådes</w:t>
      </w:r>
    </w:p>
    <w:p w14:paraId="73AE5507" w14:textId="77777777" w:rsidR="00207276" w:rsidRPr="00207276" w:rsidRDefault="00207276" w:rsidP="00207276">
      <w:pPr>
        <w:tabs>
          <w:tab w:val="left" w:pos="851"/>
        </w:tabs>
        <w:ind w:left="851"/>
        <w:rPr>
          <w:sz w:val="24"/>
          <w:szCs w:val="24"/>
        </w:rPr>
      </w:pPr>
      <w:r w:rsidRPr="00207276">
        <w:rPr>
          <w:sz w:val="24"/>
          <w:szCs w:val="24"/>
        </w:rPr>
        <w:t>Da sacubitril/valsartan indeholder valsartan, bør det ikke anvendes sammen med et andet lægemiddel indeholdende en ARB (se pkt. 4.4).</w:t>
      </w:r>
    </w:p>
    <w:p w14:paraId="0200D326" w14:textId="77777777" w:rsidR="00207276" w:rsidRPr="00207276" w:rsidRDefault="00207276" w:rsidP="00207276">
      <w:pPr>
        <w:tabs>
          <w:tab w:val="left" w:pos="851"/>
        </w:tabs>
        <w:ind w:left="851"/>
        <w:rPr>
          <w:sz w:val="24"/>
          <w:szCs w:val="24"/>
        </w:rPr>
      </w:pPr>
    </w:p>
    <w:p w14:paraId="74B117F7" w14:textId="77777777" w:rsidR="00207276" w:rsidRPr="00207276" w:rsidRDefault="00207276" w:rsidP="00207276">
      <w:pPr>
        <w:tabs>
          <w:tab w:val="left" w:pos="851"/>
        </w:tabs>
        <w:ind w:left="851"/>
        <w:rPr>
          <w:sz w:val="24"/>
          <w:szCs w:val="24"/>
        </w:rPr>
      </w:pPr>
      <w:r w:rsidRPr="00207276">
        <w:rPr>
          <w:sz w:val="24"/>
          <w:szCs w:val="24"/>
          <w:u w:val="single"/>
        </w:rPr>
        <w:t>Interaktioner, der kræver forsigtighed</w:t>
      </w:r>
    </w:p>
    <w:p w14:paraId="48F163A8" w14:textId="77777777" w:rsidR="00207276" w:rsidRPr="00207276" w:rsidRDefault="00207276" w:rsidP="00207276">
      <w:pPr>
        <w:tabs>
          <w:tab w:val="left" w:pos="851"/>
        </w:tabs>
        <w:ind w:left="851"/>
        <w:rPr>
          <w:sz w:val="24"/>
          <w:szCs w:val="24"/>
        </w:rPr>
      </w:pPr>
    </w:p>
    <w:p w14:paraId="6F88F76D" w14:textId="77777777" w:rsidR="00207276" w:rsidRPr="00AB7572" w:rsidRDefault="00207276" w:rsidP="00207276">
      <w:pPr>
        <w:tabs>
          <w:tab w:val="left" w:pos="851"/>
        </w:tabs>
        <w:ind w:left="851"/>
        <w:rPr>
          <w:i/>
          <w:sz w:val="24"/>
          <w:szCs w:val="24"/>
        </w:rPr>
      </w:pPr>
      <w:r w:rsidRPr="00AB7572">
        <w:rPr>
          <w:i/>
          <w:sz w:val="24"/>
          <w:szCs w:val="24"/>
        </w:rPr>
        <w:t>OATP1B1</w:t>
      </w:r>
      <w:r w:rsidRPr="00AB7572">
        <w:rPr>
          <w:i/>
          <w:sz w:val="24"/>
          <w:szCs w:val="24"/>
        </w:rPr>
        <w:noBreakHyphen/>
        <w:t xml:space="preserve"> og OATP1B3</w:t>
      </w:r>
      <w:r w:rsidRPr="00AB7572">
        <w:rPr>
          <w:i/>
          <w:sz w:val="24"/>
          <w:szCs w:val="24"/>
        </w:rPr>
        <w:noBreakHyphen/>
        <w:t>substrater, f.eks. statiner</w:t>
      </w:r>
    </w:p>
    <w:p w14:paraId="7488F0CD" w14:textId="77777777" w:rsidR="00207276" w:rsidRPr="00207276" w:rsidRDefault="00207276" w:rsidP="00207276">
      <w:pPr>
        <w:tabs>
          <w:tab w:val="left" w:pos="851"/>
        </w:tabs>
        <w:ind w:left="851"/>
        <w:rPr>
          <w:sz w:val="24"/>
          <w:szCs w:val="24"/>
        </w:rPr>
      </w:pPr>
      <w:r w:rsidRPr="00207276">
        <w:rPr>
          <w:i/>
          <w:sz w:val="24"/>
          <w:szCs w:val="24"/>
        </w:rPr>
        <w:t xml:space="preserve">In vitro </w:t>
      </w:r>
      <w:r w:rsidRPr="00207276">
        <w:rPr>
          <w:sz w:val="24"/>
          <w:szCs w:val="24"/>
        </w:rPr>
        <w:t>data tyder på, at sacubitril hæmmer OATP1B1</w:t>
      </w:r>
      <w:r w:rsidRPr="00207276">
        <w:rPr>
          <w:sz w:val="24"/>
          <w:szCs w:val="24"/>
        </w:rPr>
        <w:noBreakHyphen/>
        <w:t xml:space="preserve"> og OATP1B3-transportører.</w:t>
      </w:r>
    </w:p>
    <w:p w14:paraId="448AF15E" w14:textId="77777777" w:rsidR="00207276" w:rsidRPr="00207276" w:rsidRDefault="00207276" w:rsidP="00207276">
      <w:pPr>
        <w:tabs>
          <w:tab w:val="left" w:pos="851"/>
        </w:tabs>
        <w:ind w:left="851"/>
        <w:rPr>
          <w:sz w:val="24"/>
          <w:szCs w:val="24"/>
        </w:rPr>
      </w:pPr>
      <w:r w:rsidRPr="00207276">
        <w:rPr>
          <w:sz w:val="24"/>
          <w:szCs w:val="24"/>
        </w:rPr>
        <w:t>Sacubitril/valsartan kan derfor øge den systemiske eksponering af OATP1B1</w:t>
      </w:r>
      <w:r w:rsidRPr="00207276">
        <w:rPr>
          <w:sz w:val="24"/>
          <w:szCs w:val="24"/>
        </w:rPr>
        <w:noBreakHyphen/>
        <w:t xml:space="preserve"> og OATP1B3-substrater såsom statiner.</w:t>
      </w:r>
    </w:p>
    <w:p w14:paraId="215A7798" w14:textId="77777777" w:rsidR="00207276" w:rsidRPr="00207276" w:rsidRDefault="00207276" w:rsidP="00207276">
      <w:pPr>
        <w:tabs>
          <w:tab w:val="left" w:pos="851"/>
        </w:tabs>
        <w:ind w:left="851"/>
        <w:rPr>
          <w:sz w:val="24"/>
          <w:szCs w:val="24"/>
        </w:rPr>
      </w:pPr>
      <w:r w:rsidRPr="00207276">
        <w:rPr>
          <w:sz w:val="24"/>
          <w:szCs w:val="24"/>
        </w:rPr>
        <w:t>Anvendelse sammen med sacubitril/valsartan øgede C</w:t>
      </w:r>
      <w:r w:rsidRPr="00207276">
        <w:rPr>
          <w:sz w:val="24"/>
          <w:szCs w:val="24"/>
          <w:vertAlign w:val="subscript"/>
        </w:rPr>
        <w:t>max</w:t>
      </w:r>
      <w:r w:rsidRPr="00207276">
        <w:rPr>
          <w:sz w:val="24"/>
          <w:szCs w:val="24"/>
        </w:rPr>
        <w:t xml:space="preserve"> af atorvastatin og dets metabolitter op til to gange og AUC op til 1,3 gange. Der skal udvises forsigtighed, når sacubitril/valsartan anvendes sammen med statiner. Der blev ikke observeret nogen klinisk relevant interaktion ved kombinationsbehandling med simvastatin og sacubitril/valsartan.</w:t>
      </w:r>
    </w:p>
    <w:p w14:paraId="26AAD0E5" w14:textId="77777777" w:rsidR="00207276" w:rsidRPr="00207276" w:rsidRDefault="00207276" w:rsidP="00207276">
      <w:pPr>
        <w:tabs>
          <w:tab w:val="left" w:pos="851"/>
        </w:tabs>
        <w:ind w:left="851"/>
        <w:rPr>
          <w:sz w:val="24"/>
          <w:szCs w:val="24"/>
        </w:rPr>
      </w:pPr>
    </w:p>
    <w:p w14:paraId="021CB065" w14:textId="77777777" w:rsidR="00207276" w:rsidRPr="00AB7572" w:rsidRDefault="00207276" w:rsidP="00207276">
      <w:pPr>
        <w:tabs>
          <w:tab w:val="left" w:pos="851"/>
        </w:tabs>
        <w:ind w:left="851"/>
        <w:rPr>
          <w:i/>
          <w:sz w:val="24"/>
          <w:szCs w:val="24"/>
        </w:rPr>
      </w:pPr>
      <w:r w:rsidRPr="00AB7572">
        <w:rPr>
          <w:i/>
          <w:sz w:val="24"/>
          <w:szCs w:val="24"/>
        </w:rPr>
        <w:t>PDE</w:t>
      </w:r>
      <w:r w:rsidRPr="00AB7572">
        <w:rPr>
          <w:i/>
          <w:sz w:val="24"/>
          <w:szCs w:val="24"/>
        </w:rPr>
        <w:noBreakHyphen/>
        <w:t>5-hæmmere herunder sildenafil</w:t>
      </w:r>
    </w:p>
    <w:p w14:paraId="21A7C5F2" w14:textId="77777777" w:rsidR="00207276" w:rsidRPr="00207276" w:rsidRDefault="00207276" w:rsidP="00207276">
      <w:pPr>
        <w:tabs>
          <w:tab w:val="left" w:pos="851"/>
        </w:tabs>
        <w:ind w:left="851"/>
        <w:rPr>
          <w:sz w:val="24"/>
          <w:szCs w:val="24"/>
        </w:rPr>
      </w:pPr>
      <w:r w:rsidRPr="00207276">
        <w:rPr>
          <w:sz w:val="24"/>
          <w:szCs w:val="24"/>
        </w:rPr>
        <w:t xml:space="preserve">Tillæg af en enkelt dosis sildenafil til sacubitril/valsartan ved </w:t>
      </w:r>
      <w:r w:rsidRPr="00207276">
        <w:rPr>
          <w:i/>
          <w:sz w:val="24"/>
          <w:szCs w:val="24"/>
        </w:rPr>
        <w:t xml:space="preserve">steady state </w:t>
      </w:r>
      <w:r w:rsidRPr="00207276">
        <w:rPr>
          <w:sz w:val="24"/>
          <w:szCs w:val="24"/>
        </w:rPr>
        <w:t>hos patienter med hypertension var forbundet med signifikant højere blodtrykssænkning sammenlignet med administration af sacubitril/valsartan alene. Der skal derfor udvises forsigtighed, når sildenafil eller anden PDE5-hæmmer initieres hos patienter behandlet med sacubitril/valsartan.</w:t>
      </w:r>
    </w:p>
    <w:p w14:paraId="3C6191AF" w14:textId="77777777" w:rsidR="00207276" w:rsidRPr="00207276" w:rsidRDefault="00207276" w:rsidP="00207276">
      <w:pPr>
        <w:tabs>
          <w:tab w:val="left" w:pos="851"/>
        </w:tabs>
        <w:ind w:left="851"/>
        <w:rPr>
          <w:sz w:val="24"/>
          <w:szCs w:val="24"/>
        </w:rPr>
      </w:pPr>
    </w:p>
    <w:p w14:paraId="061EBCF8" w14:textId="77777777" w:rsidR="00207276" w:rsidRPr="00AB7572" w:rsidRDefault="00207276" w:rsidP="00207276">
      <w:pPr>
        <w:tabs>
          <w:tab w:val="left" w:pos="851"/>
        </w:tabs>
        <w:ind w:left="851"/>
        <w:rPr>
          <w:i/>
          <w:sz w:val="24"/>
          <w:szCs w:val="24"/>
        </w:rPr>
      </w:pPr>
      <w:r w:rsidRPr="00AB7572">
        <w:rPr>
          <w:i/>
          <w:sz w:val="24"/>
          <w:szCs w:val="24"/>
        </w:rPr>
        <w:t>Kalium</w:t>
      </w:r>
    </w:p>
    <w:p w14:paraId="64443A20" w14:textId="77777777" w:rsidR="00207276" w:rsidRPr="00207276" w:rsidRDefault="00207276" w:rsidP="00207276">
      <w:pPr>
        <w:tabs>
          <w:tab w:val="left" w:pos="851"/>
        </w:tabs>
        <w:ind w:left="851"/>
        <w:rPr>
          <w:sz w:val="24"/>
          <w:szCs w:val="24"/>
        </w:rPr>
      </w:pPr>
      <w:r w:rsidRPr="00207276">
        <w:rPr>
          <w:sz w:val="24"/>
          <w:szCs w:val="24"/>
        </w:rPr>
        <w:t>Anvendelse sammen med kaliumbesparende diuretika (triamteren, amilorid), mineralokortikoid-antagonister (f.eks. spironolacton, eplerenon), kaliumtilskud, kaliumholdige salterstatninger eller andre stoffer (såsom heparin) kan føre til forhøjelse af serumkalium og forhøjelse af serumkreatinin. Det anbefales at monitorere serumkalium, hvis sacubitril/valsartan administreres sammen med disse stoffer (se pkt. 4.4).</w:t>
      </w:r>
    </w:p>
    <w:p w14:paraId="2876DB22" w14:textId="77777777" w:rsidR="00207276" w:rsidRPr="00207276" w:rsidRDefault="00207276" w:rsidP="00207276">
      <w:pPr>
        <w:tabs>
          <w:tab w:val="left" w:pos="851"/>
        </w:tabs>
        <w:ind w:left="851"/>
        <w:rPr>
          <w:sz w:val="24"/>
          <w:szCs w:val="24"/>
        </w:rPr>
      </w:pPr>
    </w:p>
    <w:p w14:paraId="72C16457" w14:textId="77777777" w:rsidR="00207276" w:rsidRPr="00AB7572" w:rsidRDefault="00207276" w:rsidP="00207276">
      <w:pPr>
        <w:tabs>
          <w:tab w:val="left" w:pos="851"/>
        </w:tabs>
        <w:ind w:left="851"/>
        <w:rPr>
          <w:i/>
          <w:sz w:val="24"/>
          <w:szCs w:val="24"/>
        </w:rPr>
      </w:pPr>
      <w:r w:rsidRPr="00AB7572">
        <w:rPr>
          <w:i/>
          <w:sz w:val="24"/>
          <w:szCs w:val="24"/>
        </w:rPr>
        <w:t>Non</w:t>
      </w:r>
      <w:r w:rsidRPr="00AB7572">
        <w:rPr>
          <w:i/>
          <w:sz w:val="24"/>
          <w:szCs w:val="24"/>
        </w:rPr>
        <w:noBreakHyphen/>
        <w:t>steroide antiinflammatoriske lægemidler (NSAID’er) herunder selektive cyclooxygenase</w:t>
      </w:r>
      <w:r w:rsidRPr="00AB7572">
        <w:rPr>
          <w:i/>
          <w:sz w:val="24"/>
          <w:szCs w:val="24"/>
        </w:rPr>
        <w:noBreakHyphen/>
        <w:t>2 (COX</w:t>
      </w:r>
      <w:r w:rsidRPr="00AB7572">
        <w:rPr>
          <w:i/>
          <w:sz w:val="24"/>
          <w:szCs w:val="24"/>
        </w:rPr>
        <w:noBreakHyphen/>
        <w:t>2)-hæmmere</w:t>
      </w:r>
    </w:p>
    <w:p w14:paraId="00335844" w14:textId="77777777" w:rsidR="00207276" w:rsidRPr="00207276" w:rsidRDefault="00207276" w:rsidP="00207276">
      <w:pPr>
        <w:tabs>
          <w:tab w:val="left" w:pos="851"/>
        </w:tabs>
        <w:ind w:left="851"/>
        <w:rPr>
          <w:sz w:val="24"/>
          <w:szCs w:val="24"/>
        </w:rPr>
      </w:pPr>
      <w:r w:rsidRPr="00207276">
        <w:rPr>
          <w:sz w:val="24"/>
          <w:szCs w:val="24"/>
        </w:rPr>
        <w:t>Anvendelse af sacubitril/valsartan sammen med NSAID’er kan hos ældre patienter, patienter med væskemangel (herunder dem, som er i diuretisk behandling) eller patienter med kompromitteret nyrefunktion medføre øget risiko for forværring af nyrefunktionen. Det anbefales derfor at monitorere nyrefunktionen ved initiering eller ved ændring af behandlingen hos patienter, der får sacubitril/valsartan og samtidig tager NSAID’er (se pkt. 4.4).</w:t>
      </w:r>
    </w:p>
    <w:p w14:paraId="4CCDE984" w14:textId="77777777" w:rsidR="00207276" w:rsidRPr="00207276" w:rsidRDefault="00207276" w:rsidP="00207276">
      <w:pPr>
        <w:tabs>
          <w:tab w:val="left" w:pos="851"/>
        </w:tabs>
        <w:ind w:left="851"/>
        <w:rPr>
          <w:i/>
          <w:sz w:val="24"/>
          <w:szCs w:val="24"/>
          <w:u w:val="single"/>
        </w:rPr>
      </w:pPr>
    </w:p>
    <w:p w14:paraId="12844B5E" w14:textId="77777777" w:rsidR="00207276" w:rsidRPr="00AB7572" w:rsidRDefault="00207276" w:rsidP="00207276">
      <w:pPr>
        <w:tabs>
          <w:tab w:val="left" w:pos="851"/>
        </w:tabs>
        <w:ind w:left="851"/>
        <w:rPr>
          <w:i/>
          <w:sz w:val="24"/>
          <w:szCs w:val="24"/>
        </w:rPr>
      </w:pPr>
      <w:r w:rsidRPr="00AB7572">
        <w:rPr>
          <w:i/>
          <w:sz w:val="24"/>
          <w:szCs w:val="24"/>
        </w:rPr>
        <w:t>Lithium</w:t>
      </w:r>
    </w:p>
    <w:p w14:paraId="784C11EA" w14:textId="77777777" w:rsidR="00207276" w:rsidRPr="00207276" w:rsidRDefault="00207276" w:rsidP="00207276">
      <w:pPr>
        <w:tabs>
          <w:tab w:val="left" w:pos="851"/>
        </w:tabs>
        <w:ind w:left="851"/>
        <w:rPr>
          <w:sz w:val="24"/>
          <w:szCs w:val="24"/>
        </w:rPr>
      </w:pPr>
      <w:r w:rsidRPr="00207276">
        <w:rPr>
          <w:sz w:val="24"/>
          <w:szCs w:val="24"/>
        </w:rPr>
        <w:t>Der er rapporteret reversibelt forhøjede serumkoncentrationer og toksicitet af lithium ved administration af lithium sammen med ACE</w:t>
      </w:r>
      <w:r w:rsidRPr="00207276">
        <w:rPr>
          <w:sz w:val="24"/>
          <w:szCs w:val="24"/>
        </w:rPr>
        <w:noBreakHyphen/>
        <w:t>hæmmere eller angiotensin II-receptorantagonister herunder sacubitril/valsartan. Denne kombination frarådes derfor. Hvis det vurderes, at kombinationen er nødvendig, anbefales omhyggelig monitorering af lithiumniveauet i blodet. Hvis der også gives et diuretikum, kan risikoen for lithiumtoksicitet være yderligere øget.</w:t>
      </w:r>
    </w:p>
    <w:p w14:paraId="195823C3" w14:textId="73B03D37" w:rsidR="00AB7572" w:rsidRDefault="00AB7572">
      <w:pPr>
        <w:rPr>
          <w:sz w:val="24"/>
          <w:szCs w:val="24"/>
        </w:rPr>
      </w:pPr>
      <w:r>
        <w:rPr>
          <w:sz w:val="24"/>
          <w:szCs w:val="24"/>
        </w:rPr>
        <w:br w:type="page"/>
      </w:r>
    </w:p>
    <w:p w14:paraId="4B2966E2" w14:textId="77777777" w:rsidR="00207276" w:rsidRPr="00207276" w:rsidRDefault="00207276" w:rsidP="00207276">
      <w:pPr>
        <w:tabs>
          <w:tab w:val="left" w:pos="851"/>
        </w:tabs>
        <w:ind w:left="851"/>
        <w:rPr>
          <w:sz w:val="24"/>
          <w:szCs w:val="24"/>
        </w:rPr>
      </w:pPr>
    </w:p>
    <w:p w14:paraId="6560BD17" w14:textId="77777777" w:rsidR="00207276" w:rsidRPr="00AB7572" w:rsidRDefault="00207276" w:rsidP="00207276">
      <w:pPr>
        <w:tabs>
          <w:tab w:val="left" w:pos="851"/>
        </w:tabs>
        <w:ind w:left="851"/>
        <w:rPr>
          <w:i/>
          <w:sz w:val="24"/>
          <w:szCs w:val="24"/>
        </w:rPr>
      </w:pPr>
      <w:r w:rsidRPr="00AB7572">
        <w:rPr>
          <w:i/>
          <w:sz w:val="24"/>
          <w:szCs w:val="24"/>
        </w:rPr>
        <w:t>Furosemid</w:t>
      </w:r>
    </w:p>
    <w:p w14:paraId="4B42FF9C" w14:textId="77777777" w:rsidR="00207276" w:rsidRPr="00207276" w:rsidRDefault="00207276" w:rsidP="00207276">
      <w:pPr>
        <w:tabs>
          <w:tab w:val="left" w:pos="851"/>
        </w:tabs>
        <w:ind w:left="851"/>
        <w:rPr>
          <w:sz w:val="24"/>
          <w:szCs w:val="24"/>
        </w:rPr>
      </w:pPr>
      <w:r w:rsidRPr="00207276">
        <w:rPr>
          <w:sz w:val="24"/>
          <w:szCs w:val="24"/>
        </w:rPr>
        <w:t>Samtidig administration af sacubitril/valsartan og furosemid har ingen indvirkning på sacubitrils/valsartans farmakokinetik, men reducerede C</w:t>
      </w:r>
      <w:r w:rsidRPr="00207276">
        <w:rPr>
          <w:sz w:val="24"/>
          <w:szCs w:val="24"/>
          <w:vertAlign w:val="subscript"/>
        </w:rPr>
        <w:t>max</w:t>
      </w:r>
      <w:r w:rsidRPr="00207276">
        <w:rPr>
          <w:sz w:val="24"/>
          <w:szCs w:val="24"/>
        </w:rPr>
        <w:t xml:space="preserve"> og AUC for furosemid med henholdsvis 50 % og 28 %. Mens der ikke var nogen relevant ændring i urinvolumen, var urinsekretionen af natrium reduceret imellem 4 og 24 timer efter samtidig administration. Den gennemsnitlige daglige dosis af furosemid var uændret fra </w:t>
      </w:r>
      <w:r w:rsidRPr="00207276">
        <w:rPr>
          <w:i/>
          <w:iCs/>
          <w:sz w:val="24"/>
          <w:szCs w:val="24"/>
        </w:rPr>
        <w:t>baseline</w:t>
      </w:r>
      <w:r w:rsidRPr="00207276">
        <w:rPr>
          <w:sz w:val="24"/>
          <w:szCs w:val="24"/>
        </w:rPr>
        <w:t xml:space="preserve"> til slutningen af PARADIGM</w:t>
      </w:r>
      <w:r w:rsidRPr="00207276">
        <w:rPr>
          <w:sz w:val="24"/>
          <w:szCs w:val="24"/>
        </w:rPr>
        <w:noBreakHyphen/>
        <w:t>HF-studiet hos patienter behandlet med sacubitril/valsartan.</w:t>
      </w:r>
    </w:p>
    <w:p w14:paraId="6454DEDC" w14:textId="77777777" w:rsidR="00207276" w:rsidRPr="00207276" w:rsidRDefault="00207276" w:rsidP="00207276">
      <w:pPr>
        <w:tabs>
          <w:tab w:val="left" w:pos="851"/>
        </w:tabs>
        <w:ind w:left="851"/>
        <w:rPr>
          <w:sz w:val="24"/>
          <w:szCs w:val="24"/>
        </w:rPr>
      </w:pPr>
    </w:p>
    <w:p w14:paraId="26F679F0" w14:textId="77777777" w:rsidR="00207276" w:rsidRPr="00AB7572" w:rsidRDefault="00207276" w:rsidP="00207276">
      <w:pPr>
        <w:tabs>
          <w:tab w:val="left" w:pos="851"/>
        </w:tabs>
        <w:ind w:left="851"/>
        <w:rPr>
          <w:i/>
          <w:sz w:val="24"/>
          <w:szCs w:val="24"/>
        </w:rPr>
      </w:pPr>
      <w:r w:rsidRPr="00AB7572">
        <w:rPr>
          <w:i/>
          <w:sz w:val="24"/>
          <w:szCs w:val="24"/>
        </w:rPr>
        <w:t>Nitrater, f.eks. nitroglycerin</w:t>
      </w:r>
    </w:p>
    <w:p w14:paraId="58B0A1C3" w14:textId="77777777" w:rsidR="00207276" w:rsidRPr="00207276" w:rsidRDefault="00207276" w:rsidP="00207276">
      <w:pPr>
        <w:tabs>
          <w:tab w:val="left" w:pos="851"/>
        </w:tabs>
        <w:ind w:left="851"/>
        <w:rPr>
          <w:sz w:val="24"/>
          <w:szCs w:val="24"/>
        </w:rPr>
      </w:pPr>
      <w:r w:rsidRPr="00207276">
        <w:rPr>
          <w:sz w:val="24"/>
          <w:szCs w:val="24"/>
        </w:rPr>
        <w:t>Der var ingen interaktion mellem sacubitril/valsartan og intravenøst administreret nitroglycerin med hensyn til blodtryksnedsættelse. Samtidig administration af nitroglycerin og sacubitril/valsartan var ledsaget af en behandlingsforskel i hjertefrekvensen på 5 slag/minut sammenlignet med administration af nitroglycerin alene. En lignende virkning på hjertefrekvensen kan forekomme, når sacubitril/valsartan anvendes sammen med nitrater i sublingual, oral eller transdermal form. Som udgangspunkt er dosisjustering ikke nødvendig.</w:t>
      </w:r>
    </w:p>
    <w:p w14:paraId="0B3A8AD0" w14:textId="77777777" w:rsidR="00207276" w:rsidRPr="00207276" w:rsidRDefault="00207276" w:rsidP="00207276">
      <w:pPr>
        <w:tabs>
          <w:tab w:val="left" w:pos="851"/>
        </w:tabs>
        <w:ind w:left="851"/>
        <w:rPr>
          <w:sz w:val="24"/>
          <w:szCs w:val="24"/>
        </w:rPr>
      </w:pPr>
    </w:p>
    <w:p w14:paraId="5FEC004A" w14:textId="77777777" w:rsidR="00207276" w:rsidRPr="00AB7572" w:rsidRDefault="00207276" w:rsidP="00207276">
      <w:pPr>
        <w:tabs>
          <w:tab w:val="left" w:pos="851"/>
        </w:tabs>
        <w:ind w:left="851"/>
        <w:rPr>
          <w:i/>
          <w:sz w:val="24"/>
          <w:szCs w:val="24"/>
        </w:rPr>
      </w:pPr>
      <w:r w:rsidRPr="00AB7572">
        <w:rPr>
          <w:i/>
          <w:sz w:val="24"/>
          <w:szCs w:val="24"/>
        </w:rPr>
        <w:t>OATP</w:t>
      </w:r>
      <w:r w:rsidRPr="00AB7572">
        <w:rPr>
          <w:i/>
          <w:sz w:val="24"/>
          <w:szCs w:val="24"/>
        </w:rPr>
        <w:noBreakHyphen/>
        <w:t xml:space="preserve"> og MRP2</w:t>
      </w:r>
      <w:r w:rsidRPr="00AB7572">
        <w:rPr>
          <w:i/>
          <w:sz w:val="24"/>
          <w:szCs w:val="24"/>
        </w:rPr>
        <w:noBreakHyphen/>
        <w:t>transportproteiner</w:t>
      </w:r>
    </w:p>
    <w:p w14:paraId="7BD3EF98" w14:textId="77777777" w:rsidR="00207276" w:rsidRPr="00207276" w:rsidRDefault="00207276" w:rsidP="00207276">
      <w:pPr>
        <w:tabs>
          <w:tab w:val="left" w:pos="851"/>
        </w:tabs>
        <w:ind w:left="851"/>
        <w:rPr>
          <w:sz w:val="24"/>
          <w:szCs w:val="24"/>
        </w:rPr>
      </w:pPr>
      <w:r w:rsidRPr="00207276">
        <w:rPr>
          <w:sz w:val="24"/>
          <w:szCs w:val="24"/>
        </w:rPr>
        <w:t>Den aktive metabolit af sacubitril (LBQ657) og valsartan er OATP1B1</w:t>
      </w:r>
      <w:r w:rsidRPr="00207276">
        <w:rPr>
          <w:sz w:val="24"/>
          <w:szCs w:val="24"/>
        </w:rPr>
        <w:noBreakHyphen/>
        <w:t>, OATP1B3</w:t>
      </w:r>
      <w:r w:rsidRPr="00207276">
        <w:rPr>
          <w:sz w:val="24"/>
          <w:szCs w:val="24"/>
        </w:rPr>
        <w:noBreakHyphen/>
        <w:t>, OAT1</w:t>
      </w:r>
      <w:r w:rsidRPr="00207276">
        <w:rPr>
          <w:sz w:val="24"/>
          <w:szCs w:val="24"/>
        </w:rPr>
        <w:noBreakHyphen/>
        <w:t xml:space="preserve"> og OAT3</w:t>
      </w:r>
      <w:r w:rsidRPr="00207276">
        <w:rPr>
          <w:sz w:val="24"/>
          <w:szCs w:val="24"/>
        </w:rPr>
        <w:noBreakHyphen/>
        <w:t>substrater; valsartan er også et MRP2</w:t>
      </w:r>
      <w:r w:rsidRPr="00207276">
        <w:rPr>
          <w:sz w:val="24"/>
          <w:szCs w:val="24"/>
        </w:rPr>
        <w:noBreakHyphen/>
        <w:t>substrat. Det er derfor muligt, at anvendelse af sacubitril/valsartan sammen med hæmmere af OATP1B1, OATP1B3 og OAT3 (f.eks. rifampicin, ciclosporin), OAT1 (f.eks. tenofovir, cidofovir) eller MRP2 (f.eks. ritonavir) kan øge den systemiske eksponering af LBQ657 eller valsartan. Der skal udvises passende forsigtighed, når samtidig behandling med sådanne lægemidler initieres eller afsluttes.</w:t>
      </w:r>
    </w:p>
    <w:p w14:paraId="0C9B9CD2" w14:textId="77777777" w:rsidR="00207276" w:rsidRPr="00207276" w:rsidRDefault="00207276" w:rsidP="00207276">
      <w:pPr>
        <w:tabs>
          <w:tab w:val="left" w:pos="851"/>
        </w:tabs>
        <w:ind w:left="851"/>
        <w:rPr>
          <w:sz w:val="24"/>
          <w:szCs w:val="24"/>
        </w:rPr>
      </w:pPr>
    </w:p>
    <w:p w14:paraId="48DBEED8" w14:textId="77777777" w:rsidR="00207276" w:rsidRPr="00AB7572" w:rsidRDefault="00207276" w:rsidP="00207276">
      <w:pPr>
        <w:tabs>
          <w:tab w:val="left" w:pos="851"/>
        </w:tabs>
        <w:ind w:left="851"/>
        <w:rPr>
          <w:i/>
          <w:sz w:val="24"/>
          <w:szCs w:val="24"/>
        </w:rPr>
      </w:pPr>
      <w:r w:rsidRPr="00AB7572">
        <w:rPr>
          <w:i/>
          <w:sz w:val="24"/>
          <w:szCs w:val="24"/>
        </w:rPr>
        <w:t>Metformin</w:t>
      </w:r>
    </w:p>
    <w:p w14:paraId="3866A40B" w14:textId="77777777" w:rsidR="00207276" w:rsidRPr="00207276" w:rsidRDefault="00207276" w:rsidP="00207276">
      <w:pPr>
        <w:tabs>
          <w:tab w:val="left" w:pos="851"/>
        </w:tabs>
        <w:ind w:left="851"/>
        <w:rPr>
          <w:sz w:val="24"/>
          <w:szCs w:val="24"/>
        </w:rPr>
      </w:pPr>
      <w:r w:rsidRPr="00207276">
        <w:rPr>
          <w:sz w:val="24"/>
          <w:szCs w:val="24"/>
        </w:rPr>
        <w:t>Samtidig administration af sacubitril/valsartan og metformin reducerede både C</w:t>
      </w:r>
      <w:r w:rsidRPr="00207276">
        <w:rPr>
          <w:sz w:val="24"/>
          <w:szCs w:val="24"/>
          <w:vertAlign w:val="subscript"/>
        </w:rPr>
        <w:t>max</w:t>
      </w:r>
      <w:r w:rsidRPr="00207276">
        <w:rPr>
          <w:sz w:val="24"/>
          <w:szCs w:val="24"/>
        </w:rPr>
        <w:t xml:space="preserve"> og AUC for metformin med 23 %. Den kliniske relevans af disse fund kendes ikke. Ved initiering af behandling med sacubitril/valsartan hos patienter, der får metformin, skal patientens kliniske status derfor vurderes.</w:t>
      </w:r>
    </w:p>
    <w:p w14:paraId="54B01016" w14:textId="77777777" w:rsidR="00207276" w:rsidRPr="00207276" w:rsidRDefault="00207276" w:rsidP="00207276">
      <w:pPr>
        <w:tabs>
          <w:tab w:val="left" w:pos="851"/>
        </w:tabs>
        <w:ind w:left="851"/>
        <w:rPr>
          <w:sz w:val="24"/>
          <w:szCs w:val="24"/>
        </w:rPr>
      </w:pPr>
    </w:p>
    <w:p w14:paraId="016610E2" w14:textId="77777777" w:rsidR="00207276" w:rsidRPr="006A73CD" w:rsidRDefault="00207276" w:rsidP="00207276">
      <w:pPr>
        <w:tabs>
          <w:tab w:val="left" w:pos="851"/>
        </w:tabs>
        <w:ind w:left="851"/>
        <w:rPr>
          <w:iCs/>
          <w:sz w:val="24"/>
          <w:szCs w:val="24"/>
          <w:u w:val="single"/>
        </w:rPr>
      </w:pPr>
      <w:r w:rsidRPr="006A73CD">
        <w:rPr>
          <w:iCs/>
          <w:sz w:val="24"/>
          <w:szCs w:val="24"/>
          <w:u w:val="single"/>
        </w:rPr>
        <w:t>Ingen signifikant interaktion</w:t>
      </w:r>
    </w:p>
    <w:p w14:paraId="43A26F5D" w14:textId="77777777" w:rsidR="00207276" w:rsidRPr="00207276" w:rsidRDefault="00207276" w:rsidP="00207276">
      <w:pPr>
        <w:tabs>
          <w:tab w:val="left" w:pos="851"/>
        </w:tabs>
        <w:ind w:left="851"/>
        <w:rPr>
          <w:sz w:val="24"/>
          <w:szCs w:val="24"/>
        </w:rPr>
      </w:pPr>
      <w:r w:rsidRPr="00207276">
        <w:rPr>
          <w:sz w:val="24"/>
          <w:szCs w:val="24"/>
        </w:rPr>
        <w:t>Der er ikke observeret klinisk relevant interaktion, når sacubitril/valsartan blev administreret sammen med digoxin, warfarin, hydrochlorthiazid, amlodipin, omeprazol, carvedilol, eller en kombination af levonorgestrel/ethinylestradiol.</w:t>
      </w:r>
    </w:p>
    <w:p w14:paraId="09B6BFE2" w14:textId="77777777" w:rsidR="009260DE" w:rsidRPr="00C84483" w:rsidRDefault="009260DE" w:rsidP="009260DE">
      <w:pPr>
        <w:tabs>
          <w:tab w:val="left" w:pos="851"/>
        </w:tabs>
        <w:ind w:left="851"/>
        <w:rPr>
          <w:sz w:val="24"/>
          <w:szCs w:val="24"/>
        </w:rPr>
      </w:pPr>
    </w:p>
    <w:p w14:paraId="42EBF434"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08F7C97B" w14:textId="77777777" w:rsidR="00850A5D" w:rsidRPr="00850A5D" w:rsidRDefault="00850A5D" w:rsidP="00850A5D">
      <w:pPr>
        <w:tabs>
          <w:tab w:val="left" w:pos="851"/>
        </w:tabs>
        <w:ind w:left="851"/>
        <w:rPr>
          <w:sz w:val="24"/>
          <w:szCs w:val="24"/>
          <w:u w:val="single"/>
        </w:rPr>
      </w:pPr>
    </w:p>
    <w:p w14:paraId="24F92836" w14:textId="77777777" w:rsidR="00850A5D" w:rsidRPr="00850A5D" w:rsidRDefault="00850A5D" w:rsidP="00850A5D">
      <w:pPr>
        <w:tabs>
          <w:tab w:val="left" w:pos="851"/>
        </w:tabs>
        <w:ind w:left="851"/>
        <w:rPr>
          <w:sz w:val="24"/>
          <w:szCs w:val="24"/>
        </w:rPr>
      </w:pPr>
      <w:r w:rsidRPr="00850A5D">
        <w:rPr>
          <w:sz w:val="24"/>
          <w:szCs w:val="24"/>
          <w:u w:val="single"/>
        </w:rPr>
        <w:t>Graviditet</w:t>
      </w:r>
    </w:p>
    <w:p w14:paraId="05885FC2" w14:textId="77777777" w:rsidR="00850A5D" w:rsidRPr="00850A5D" w:rsidRDefault="00850A5D" w:rsidP="00850A5D">
      <w:pPr>
        <w:tabs>
          <w:tab w:val="left" w:pos="851"/>
        </w:tabs>
        <w:ind w:left="851"/>
        <w:rPr>
          <w:sz w:val="24"/>
          <w:szCs w:val="24"/>
        </w:rPr>
      </w:pPr>
      <w:r w:rsidRPr="00850A5D">
        <w:rPr>
          <w:sz w:val="24"/>
          <w:szCs w:val="24"/>
        </w:rPr>
        <w:t>Sacubitril/valsartan frarådes i det første trimester af graviditet og er kontraindiceret i det andet og tredje trimester af graviditet (se pkt. 4.3).</w:t>
      </w:r>
    </w:p>
    <w:p w14:paraId="5BCE5B88" w14:textId="77777777" w:rsidR="00850A5D" w:rsidRPr="00850A5D" w:rsidRDefault="00850A5D" w:rsidP="00850A5D">
      <w:pPr>
        <w:tabs>
          <w:tab w:val="left" w:pos="851"/>
        </w:tabs>
        <w:ind w:left="851"/>
        <w:rPr>
          <w:sz w:val="24"/>
          <w:szCs w:val="24"/>
        </w:rPr>
      </w:pPr>
    </w:p>
    <w:p w14:paraId="169A6A3E" w14:textId="77777777" w:rsidR="00850A5D" w:rsidRPr="007E5409" w:rsidRDefault="00850A5D" w:rsidP="00850A5D">
      <w:pPr>
        <w:tabs>
          <w:tab w:val="left" w:pos="851"/>
        </w:tabs>
        <w:ind w:left="851"/>
        <w:rPr>
          <w:i/>
          <w:sz w:val="24"/>
          <w:szCs w:val="24"/>
        </w:rPr>
      </w:pPr>
      <w:r w:rsidRPr="007E5409">
        <w:rPr>
          <w:i/>
          <w:sz w:val="24"/>
          <w:szCs w:val="24"/>
        </w:rPr>
        <w:t>Valsartan</w:t>
      </w:r>
    </w:p>
    <w:p w14:paraId="3CEA8D56" w14:textId="77777777" w:rsidR="00850A5D" w:rsidRPr="00850A5D" w:rsidRDefault="00850A5D" w:rsidP="00850A5D">
      <w:pPr>
        <w:tabs>
          <w:tab w:val="left" w:pos="851"/>
        </w:tabs>
        <w:ind w:left="851"/>
        <w:rPr>
          <w:sz w:val="24"/>
          <w:szCs w:val="24"/>
        </w:rPr>
      </w:pPr>
      <w:r w:rsidRPr="00850A5D">
        <w:rPr>
          <w:sz w:val="24"/>
          <w:szCs w:val="24"/>
        </w:rPr>
        <w:t>Epidemiologisk data vedrørende risikoen for teratogenicitet efter eksponering for ACE</w:t>
      </w:r>
      <w:r w:rsidRPr="00850A5D">
        <w:rPr>
          <w:sz w:val="24"/>
          <w:szCs w:val="24"/>
        </w:rPr>
        <w:noBreakHyphen/>
        <w:t xml:space="preserve">hæmmere under graviditetens første trimester er ikke entydige. En let forhøjet risiko kan dog ikke udelukkes. Der er ingen kontrollerede epidemiologiske data angående risikoen ved brug af ARB, men lignende risici kan eksistere for denne gruppe af lægemidler. Medmindre fortsat behandling med ARB vurderes at være nødvendig, bør patienter, som planlægger at blive gravide, skiftes til en alternativ hypertensionsbehandling </w:t>
      </w:r>
      <w:r w:rsidRPr="00850A5D">
        <w:rPr>
          <w:sz w:val="24"/>
          <w:szCs w:val="24"/>
        </w:rPr>
        <w:lastRenderedPageBreak/>
        <w:t>med en dokumenteret sikkerhedsprofil til brug ved graviditet. Ved konstateret graviditet skal behandlingen med ARB afbrydes med det samme, og om nødvendigt skal en anden behandling påbegyndes. Eksponering for behandling med ARB under andet og tredje trimester er kendt for at medføre human føtotoksicitet (nedsat nyrefunktion, oligohydramnion, forsinket kranieossifikation) og neonatal toksicitet (nyresvigt, hypotension, hyperkaliæmi).</w:t>
      </w:r>
    </w:p>
    <w:p w14:paraId="0D3CFAA8" w14:textId="77777777" w:rsidR="00850A5D" w:rsidRPr="00850A5D" w:rsidRDefault="00850A5D" w:rsidP="00850A5D">
      <w:pPr>
        <w:tabs>
          <w:tab w:val="left" w:pos="851"/>
        </w:tabs>
        <w:ind w:left="851"/>
        <w:rPr>
          <w:sz w:val="24"/>
          <w:szCs w:val="24"/>
        </w:rPr>
      </w:pPr>
    </w:p>
    <w:p w14:paraId="7768AD69" w14:textId="77777777" w:rsidR="00850A5D" w:rsidRPr="00850A5D" w:rsidRDefault="00850A5D" w:rsidP="00850A5D">
      <w:pPr>
        <w:tabs>
          <w:tab w:val="left" w:pos="851"/>
        </w:tabs>
        <w:ind w:left="851"/>
        <w:rPr>
          <w:sz w:val="24"/>
          <w:szCs w:val="24"/>
        </w:rPr>
      </w:pPr>
      <w:r w:rsidRPr="00850A5D">
        <w:rPr>
          <w:sz w:val="24"/>
          <w:szCs w:val="24"/>
        </w:rPr>
        <w:t>Hvis eksponering for ARB er sket fra andet trimester af graviditeten, anbefales det at udføre ultralydsundersøgelse af nyrefunktion og kranie. Spædbørn, hvis mødre har taget ARB, bør observeres tæt for hypotension (se pkt. 4.3).</w:t>
      </w:r>
    </w:p>
    <w:p w14:paraId="05D17FB2" w14:textId="77777777" w:rsidR="00850A5D" w:rsidRPr="00850A5D" w:rsidRDefault="00850A5D" w:rsidP="00850A5D">
      <w:pPr>
        <w:tabs>
          <w:tab w:val="left" w:pos="851"/>
        </w:tabs>
        <w:ind w:left="851"/>
        <w:rPr>
          <w:sz w:val="24"/>
          <w:szCs w:val="24"/>
        </w:rPr>
      </w:pPr>
    </w:p>
    <w:p w14:paraId="511C8E87" w14:textId="77777777" w:rsidR="00850A5D" w:rsidRPr="007E5409" w:rsidRDefault="00850A5D" w:rsidP="00850A5D">
      <w:pPr>
        <w:tabs>
          <w:tab w:val="left" w:pos="851"/>
        </w:tabs>
        <w:ind w:left="851"/>
        <w:rPr>
          <w:i/>
          <w:sz w:val="24"/>
          <w:szCs w:val="24"/>
        </w:rPr>
      </w:pPr>
      <w:r w:rsidRPr="007E5409">
        <w:rPr>
          <w:i/>
          <w:sz w:val="24"/>
          <w:szCs w:val="24"/>
        </w:rPr>
        <w:t>Sacubitril</w:t>
      </w:r>
    </w:p>
    <w:p w14:paraId="4F94BA18" w14:textId="77777777" w:rsidR="00850A5D" w:rsidRPr="00850A5D" w:rsidRDefault="00850A5D" w:rsidP="00850A5D">
      <w:pPr>
        <w:tabs>
          <w:tab w:val="left" w:pos="851"/>
        </w:tabs>
        <w:ind w:left="851"/>
        <w:rPr>
          <w:sz w:val="24"/>
          <w:szCs w:val="24"/>
        </w:rPr>
      </w:pPr>
      <w:r w:rsidRPr="00850A5D">
        <w:rPr>
          <w:sz w:val="24"/>
          <w:szCs w:val="24"/>
        </w:rPr>
        <w:t>Der er ingen data vedrørende anvendelse af sacubitril hos gravide kvinder. Dyrestudier har vist reproduktionstoksicitet (se pkt. 5.3).</w:t>
      </w:r>
    </w:p>
    <w:p w14:paraId="17B3F786" w14:textId="77777777" w:rsidR="00850A5D" w:rsidRPr="00850A5D" w:rsidRDefault="00850A5D" w:rsidP="00850A5D">
      <w:pPr>
        <w:tabs>
          <w:tab w:val="left" w:pos="851"/>
        </w:tabs>
        <w:ind w:left="851"/>
        <w:rPr>
          <w:sz w:val="24"/>
          <w:szCs w:val="24"/>
        </w:rPr>
      </w:pPr>
    </w:p>
    <w:p w14:paraId="6E2B8A1F" w14:textId="77777777" w:rsidR="00850A5D" w:rsidRPr="007E5409" w:rsidRDefault="00850A5D" w:rsidP="00850A5D">
      <w:pPr>
        <w:tabs>
          <w:tab w:val="left" w:pos="851"/>
        </w:tabs>
        <w:ind w:left="851"/>
        <w:rPr>
          <w:i/>
          <w:sz w:val="24"/>
          <w:szCs w:val="24"/>
        </w:rPr>
      </w:pPr>
      <w:r w:rsidRPr="007E5409">
        <w:rPr>
          <w:i/>
          <w:sz w:val="24"/>
          <w:szCs w:val="24"/>
        </w:rPr>
        <w:t>Sacubitril/valsartan</w:t>
      </w:r>
    </w:p>
    <w:p w14:paraId="175EBB2E" w14:textId="77777777" w:rsidR="00850A5D" w:rsidRPr="00850A5D" w:rsidRDefault="00850A5D" w:rsidP="00850A5D">
      <w:pPr>
        <w:tabs>
          <w:tab w:val="left" w:pos="851"/>
        </w:tabs>
        <w:ind w:left="851"/>
        <w:rPr>
          <w:sz w:val="24"/>
          <w:szCs w:val="24"/>
        </w:rPr>
      </w:pPr>
      <w:r w:rsidRPr="00850A5D">
        <w:rPr>
          <w:sz w:val="24"/>
          <w:szCs w:val="24"/>
        </w:rPr>
        <w:t>Der er ingen data vedrørende anvendelse af sacubitril/valsartan hos gravide kvinder. Dyrestuder med sacubitril/valsartan har vist reproduktionstoksicitet (se pkt. 5.3).</w:t>
      </w:r>
    </w:p>
    <w:p w14:paraId="283F8730" w14:textId="77777777" w:rsidR="00850A5D" w:rsidRPr="00850A5D" w:rsidRDefault="00850A5D" w:rsidP="00850A5D">
      <w:pPr>
        <w:tabs>
          <w:tab w:val="left" w:pos="851"/>
        </w:tabs>
        <w:ind w:left="851"/>
        <w:rPr>
          <w:sz w:val="24"/>
          <w:szCs w:val="24"/>
        </w:rPr>
      </w:pPr>
    </w:p>
    <w:p w14:paraId="28320E1C" w14:textId="77777777" w:rsidR="00850A5D" w:rsidRPr="00850A5D" w:rsidRDefault="00850A5D" w:rsidP="00850A5D">
      <w:pPr>
        <w:tabs>
          <w:tab w:val="left" w:pos="851"/>
        </w:tabs>
        <w:ind w:left="851"/>
        <w:rPr>
          <w:sz w:val="24"/>
          <w:szCs w:val="24"/>
        </w:rPr>
      </w:pPr>
      <w:r w:rsidRPr="00850A5D">
        <w:rPr>
          <w:sz w:val="24"/>
          <w:szCs w:val="24"/>
          <w:u w:val="single"/>
        </w:rPr>
        <w:t>Amning</w:t>
      </w:r>
    </w:p>
    <w:p w14:paraId="23542190" w14:textId="77777777" w:rsidR="00850A5D" w:rsidRPr="00850A5D" w:rsidRDefault="00850A5D" w:rsidP="00850A5D">
      <w:pPr>
        <w:tabs>
          <w:tab w:val="left" w:pos="851"/>
        </w:tabs>
        <w:ind w:left="851"/>
        <w:rPr>
          <w:sz w:val="24"/>
          <w:szCs w:val="24"/>
        </w:rPr>
      </w:pPr>
      <w:r w:rsidRPr="00850A5D">
        <w:rPr>
          <w:sz w:val="24"/>
          <w:szCs w:val="24"/>
        </w:rPr>
        <w:t>Begrænsede data viser, at sacubitril og dets aktive metabolit LBQ657 udskilles i human mælk i meget små mængder med en estimeret relativ dosis til spædbørn på 0,01 % for sacubitril og 0,46 % for den aktive metabolit LBQ657 når administreret til ammende kvinder ved en dosis på 24 mg/26 mg sacubitril/valsartan to gange dagligt. I de samme data var valsartan under detektionsgrænsen. Der foreligger utilstrækkelige data for virkningen af sacubitril/valsartan på det ammede barn. På grund af den potentielle risiko for bivirkninger hos de ammede nyfødte/spædbørn, anbefales Sacubitril/Valsartan "Krka" ikke til ammende kvinder.</w:t>
      </w:r>
    </w:p>
    <w:p w14:paraId="6D985F89" w14:textId="77777777" w:rsidR="00850A5D" w:rsidRPr="00850A5D" w:rsidRDefault="00850A5D" w:rsidP="00850A5D">
      <w:pPr>
        <w:tabs>
          <w:tab w:val="left" w:pos="851"/>
        </w:tabs>
        <w:ind w:left="851"/>
        <w:rPr>
          <w:sz w:val="24"/>
          <w:szCs w:val="24"/>
        </w:rPr>
      </w:pPr>
    </w:p>
    <w:p w14:paraId="0995FCE4" w14:textId="77777777" w:rsidR="00850A5D" w:rsidRPr="00850A5D" w:rsidRDefault="00850A5D" w:rsidP="00850A5D">
      <w:pPr>
        <w:tabs>
          <w:tab w:val="left" w:pos="851"/>
        </w:tabs>
        <w:ind w:left="851"/>
        <w:rPr>
          <w:sz w:val="24"/>
          <w:szCs w:val="24"/>
        </w:rPr>
      </w:pPr>
      <w:r w:rsidRPr="00850A5D">
        <w:rPr>
          <w:sz w:val="24"/>
          <w:szCs w:val="24"/>
          <w:u w:val="single"/>
        </w:rPr>
        <w:t>Fertilitet</w:t>
      </w:r>
    </w:p>
    <w:p w14:paraId="5A135C84" w14:textId="77777777" w:rsidR="00850A5D" w:rsidRPr="00850A5D" w:rsidRDefault="00850A5D" w:rsidP="00850A5D">
      <w:pPr>
        <w:tabs>
          <w:tab w:val="left" w:pos="851"/>
        </w:tabs>
        <w:ind w:left="851"/>
        <w:rPr>
          <w:sz w:val="24"/>
          <w:szCs w:val="24"/>
        </w:rPr>
      </w:pPr>
      <w:r w:rsidRPr="00850A5D">
        <w:rPr>
          <w:sz w:val="24"/>
          <w:szCs w:val="24"/>
        </w:rPr>
        <w:t>Der foreligger ingen data om virkningen af sacubitril/valsartan på human fertilitet. Studier hos han</w:t>
      </w:r>
      <w:r w:rsidRPr="00850A5D">
        <w:rPr>
          <w:sz w:val="24"/>
          <w:szCs w:val="24"/>
        </w:rPr>
        <w:noBreakHyphen/>
        <w:t xml:space="preserve"> og hunrotter viste ikke skadelige virkninger på fertilitet (se pkt. 5.3).</w:t>
      </w:r>
    </w:p>
    <w:p w14:paraId="4BB4C7A0" w14:textId="77777777" w:rsidR="009260DE" w:rsidRPr="00C84483" w:rsidRDefault="009260DE" w:rsidP="009260DE">
      <w:pPr>
        <w:tabs>
          <w:tab w:val="left" w:pos="851"/>
        </w:tabs>
        <w:ind w:left="851"/>
        <w:rPr>
          <w:sz w:val="24"/>
          <w:szCs w:val="24"/>
        </w:rPr>
      </w:pPr>
    </w:p>
    <w:p w14:paraId="715B1179"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008EF31F" w14:textId="77777777" w:rsidR="00085259" w:rsidRDefault="00085259" w:rsidP="00085259">
      <w:pPr>
        <w:tabs>
          <w:tab w:val="left" w:pos="851"/>
        </w:tabs>
        <w:ind w:left="851"/>
        <w:rPr>
          <w:sz w:val="24"/>
          <w:szCs w:val="24"/>
        </w:rPr>
      </w:pPr>
      <w:r>
        <w:rPr>
          <w:sz w:val="24"/>
          <w:szCs w:val="24"/>
        </w:rPr>
        <w:t>Ikke mærkning.</w:t>
      </w:r>
    </w:p>
    <w:p w14:paraId="245EF3E0" w14:textId="15873F2A" w:rsidR="00085259" w:rsidRPr="00085259" w:rsidRDefault="00085259" w:rsidP="00085259">
      <w:pPr>
        <w:tabs>
          <w:tab w:val="left" w:pos="851"/>
        </w:tabs>
        <w:ind w:left="851"/>
        <w:rPr>
          <w:sz w:val="24"/>
          <w:szCs w:val="24"/>
        </w:rPr>
      </w:pPr>
      <w:r w:rsidRPr="00085259">
        <w:rPr>
          <w:sz w:val="24"/>
          <w:szCs w:val="24"/>
        </w:rPr>
        <w:t>Sacubitril/Valsartan "Krka" påvirker i mindre grad evnen til at føre motorkøretøj og betjene maskiner. Når der føres motorkøretøj eller betjenes maskiner, skal der tages hensyn til, at der lejlighedsvis kan opstå svimmelhed eller træthed.</w:t>
      </w:r>
    </w:p>
    <w:p w14:paraId="0002C3A4" w14:textId="77777777" w:rsidR="009260DE" w:rsidRPr="00C84483" w:rsidRDefault="009260DE" w:rsidP="009260DE">
      <w:pPr>
        <w:tabs>
          <w:tab w:val="left" w:pos="851"/>
        </w:tabs>
        <w:ind w:left="851"/>
        <w:rPr>
          <w:sz w:val="24"/>
          <w:szCs w:val="24"/>
        </w:rPr>
      </w:pPr>
    </w:p>
    <w:p w14:paraId="051829AC"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05273373" w14:textId="77777777" w:rsidR="006E4AC9" w:rsidRDefault="006E4AC9" w:rsidP="006E4AC9">
      <w:pPr>
        <w:tabs>
          <w:tab w:val="left" w:pos="851"/>
        </w:tabs>
        <w:ind w:left="851"/>
        <w:rPr>
          <w:sz w:val="24"/>
          <w:szCs w:val="24"/>
          <w:u w:val="single"/>
        </w:rPr>
      </w:pPr>
    </w:p>
    <w:p w14:paraId="6CCD2863" w14:textId="3099538E" w:rsidR="006E4AC9" w:rsidRPr="006E4AC9" w:rsidRDefault="006E4AC9" w:rsidP="006E4AC9">
      <w:pPr>
        <w:tabs>
          <w:tab w:val="left" w:pos="851"/>
        </w:tabs>
        <w:ind w:left="851"/>
        <w:rPr>
          <w:sz w:val="24"/>
          <w:szCs w:val="24"/>
          <w:u w:val="single"/>
        </w:rPr>
      </w:pPr>
      <w:r w:rsidRPr="006E4AC9">
        <w:rPr>
          <w:sz w:val="24"/>
          <w:szCs w:val="24"/>
          <w:u w:val="single"/>
        </w:rPr>
        <w:t>Resumé af sikkerhedsprofilen</w:t>
      </w:r>
    </w:p>
    <w:p w14:paraId="5193492A" w14:textId="77777777" w:rsidR="006E4AC9" w:rsidRPr="006E4AC9" w:rsidRDefault="006E4AC9" w:rsidP="006E4AC9">
      <w:pPr>
        <w:tabs>
          <w:tab w:val="left" w:pos="851"/>
        </w:tabs>
        <w:ind w:left="851"/>
        <w:rPr>
          <w:sz w:val="24"/>
          <w:szCs w:val="24"/>
        </w:rPr>
      </w:pPr>
      <w:r w:rsidRPr="006E4AC9">
        <w:rPr>
          <w:sz w:val="24"/>
          <w:szCs w:val="24"/>
        </w:rPr>
        <w:t>De mest almindeligt rapporterede bivirkninger hos voksne ved behandling med sacubitril/valsartan var hypotension (17,6 %), hyperkaliæmi (11,6 %) og nedsat nyrefunktion (10,1 %) (se pkt. 4.4). Angioødem blev rapporteret hos patienter behandlet med sacubitril/valsartan (0,5 %) (se beskrivelse af udvalgte bivirkninger).</w:t>
      </w:r>
    </w:p>
    <w:p w14:paraId="1A6AA587" w14:textId="77777777" w:rsidR="006E4AC9" w:rsidRPr="006E4AC9" w:rsidRDefault="006E4AC9" w:rsidP="006E4AC9">
      <w:pPr>
        <w:tabs>
          <w:tab w:val="left" w:pos="851"/>
        </w:tabs>
        <w:ind w:left="851"/>
        <w:rPr>
          <w:sz w:val="24"/>
          <w:szCs w:val="24"/>
        </w:rPr>
      </w:pPr>
    </w:p>
    <w:p w14:paraId="085CFAA5" w14:textId="77777777" w:rsidR="006E4AC9" w:rsidRPr="006E4AC9" w:rsidRDefault="006E4AC9" w:rsidP="006E4AC9">
      <w:pPr>
        <w:tabs>
          <w:tab w:val="left" w:pos="851"/>
        </w:tabs>
        <w:ind w:left="851"/>
        <w:rPr>
          <w:sz w:val="24"/>
          <w:szCs w:val="24"/>
        </w:rPr>
      </w:pPr>
      <w:r w:rsidRPr="006E4AC9">
        <w:rPr>
          <w:sz w:val="24"/>
          <w:szCs w:val="24"/>
          <w:u w:val="single"/>
        </w:rPr>
        <w:t>Liste over bivirkninger i tabelform</w:t>
      </w:r>
    </w:p>
    <w:p w14:paraId="7208542B" w14:textId="77777777" w:rsidR="006E4AC9" w:rsidRPr="006E4AC9" w:rsidRDefault="006E4AC9" w:rsidP="006E4AC9">
      <w:pPr>
        <w:tabs>
          <w:tab w:val="left" w:pos="851"/>
        </w:tabs>
        <w:ind w:left="851"/>
        <w:rPr>
          <w:sz w:val="24"/>
          <w:szCs w:val="24"/>
        </w:rPr>
      </w:pPr>
      <w:r w:rsidRPr="006E4AC9">
        <w:rPr>
          <w:sz w:val="24"/>
          <w:szCs w:val="24"/>
        </w:rPr>
        <w:t>Bivirkningerne er opstillet efter systemorganklasse og derefter efter hyppighed med de hyppigst forekomne først baseret på følgende konvention:</w:t>
      </w:r>
    </w:p>
    <w:p w14:paraId="4491F9B8" w14:textId="77777777" w:rsidR="006E4AC9" w:rsidRPr="006E4AC9" w:rsidRDefault="006E4AC9" w:rsidP="006E4AC9">
      <w:pPr>
        <w:numPr>
          <w:ilvl w:val="0"/>
          <w:numId w:val="7"/>
        </w:numPr>
        <w:tabs>
          <w:tab w:val="left" w:pos="851"/>
        </w:tabs>
        <w:ind w:left="1134" w:hanging="283"/>
        <w:rPr>
          <w:sz w:val="24"/>
          <w:szCs w:val="24"/>
        </w:rPr>
      </w:pPr>
      <w:r w:rsidRPr="006E4AC9">
        <w:rPr>
          <w:sz w:val="24"/>
          <w:szCs w:val="24"/>
        </w:rPr>
        <w:t>Meget almindelig (≥ 1/10)</w:t>
      </w:r>
    </w:p>
    <w:p w14:paraId="2F25EAAD" w14:textId="77777777" w:rsidR="006E4AC9" w:rsidRPr="006E4AC9" w:rsidRDefault="006E4AC9" w:rsidP="006E4AC9">
      <w:pPr>
        <w:numPr>
          <w:ilvl w:val="0"/>
          <w:numId w:val="7"/>
        </w:numPr>
        <w:tabs>
          <w:tab w:val="left" w:pos="851"/>
        </w:tabs>
        <w:ind w:left="1134" w:hanging="283"/>
        <w:rPr>
          <w:sz w:val="24"/>
          <w:szCs w:val="24"/>
        </w:rPr>
      </w:pPr>
      <w:r w:rsidRPr="006E4AC9">
        <w:rPr>
          <w:sz w:val="24"/>
          <w:szCs w:val="24"/>
        </w:rPr>
        <w:lastRenderedPageBreak/>
        <w:t>Almindelig (≥ 1/100 til &lt; 1/10)</w:t>
      </w:r>
    </w:p>
    <w:p w14:paraId="5CA8B8BA" w14:textId="77777777" w:rsidR="006E4AC9" w:rsidRPr="006E4AC9" w:rsidRDefault="006E4AC9" w:rsidP="006E4AC9">
      <w:pPr>
        <w:numPr>
          <w:ilvl w:val="0"/>
          <w:numId w:val="7"/>
        </w:numPr>
        <w:tabs>
          <w:tab w:val="left" w:pos="851"/>
        </w:tabs>
        <w:ind w:left="1134" w:hanging="283"/>
        <w:rPr>
          <w:sz w:val="24"/>
          <w:szCs w:val="24"/>
        </w:rPr>
      </w:pPr>
      <w:r w:rsidRPr="006E4AC9">
        <w:rPr>
          <w:sz w:val="24"/>
          <w:szCs w:val="24"/>
        </w:rPr>
        <w:t>Ikke almindelig (≥ 1/1.000 til &lt; 1/100)</w:t>
      </w:r>
    </w:p>
    <w:p w14:paraId="4FC39528" w14:textId="77777777" w:rsidR="006E4AC9" w:rsidRPr="006E4AC9" w:rsidRDefault="006E4AC9" w:rsidP="006E4AC9">
      <w:pPr>
        <w:numPr>
          <w:ilvl w:val="0"/>
          <w:numId w:val="7"/>
        </w:numPr>
        <w:tabs>
          <w:tab w:val="left" w:pos="851"/>
        </w:tabs>
        <w:ind w:left="1134" w:hanging="283"/>
        <w:rPr>
          <w:sz w:val="24"/>
          <w:szCs w:val="24"/>
        </w:rPr>
      </w:pPr>
      <w:r w:rsidRPr="006E4AC9">
        <w:rPr>
          <w:sz w:val="24"/>
          <w:szCs w:val="24"/>
        </w:rPr>
        <w:t>Sjælden (≥ 1/10.000 til &lt; 1/1.000)</w:t>
      </w:r>
    </w:p>
    <w:p w14:paraId="1D3DF45A" w14:textId="77777777" w:rsidR="006E4AC9" w:rsidRPr="006E4AC9" w:rsidRDefault="006E4AC9" w:rsidP="006E4AC9">
      <w:pPr>
        <w:numPr>
          <w:ilvl w:val="0"/>
          <w:numId w:val="7"/>
        </w:numPr>
        <w:tabs>
          <w:tab w:val="left" w:pos="851"/>
        </w:tabs>
        <w:ind w:left="1134" w:hanging="283"/>
        <w:rPr>
          <w:sz w:val="24"/>
          <w:szCs w:val="24"/>
        </w:rPr>
      </w:pPr>
      <w:r w:rsidRPr="006E4AC9">
        <w:rPr>
          <w:sz w:val="24"/>
          <w:szCs w:val="24"/>
        </w:rPr>
        <w:t>Meget sjælden (&lt; 1/10.000)</w:t>
      </w:r>
    </w:p>
    <w:p w14:paraId="6CD3EBD9" w14:textId="77777777" w:rsidR="006E4AC9" w:rsidRPr="006E4AC9" w:rsidRDefault="006E4AC9" w:rsidP="006E4AC9">
      <w:pPr>
        <w:numPr>
          <w:ilvl w:val="0"/>
          <w:numId w:val="7"/>
        </w:numPr>
        <w:tabs>
          <w:tab w:val="left" w:pos="851"/>
        </w:tabs>
        <w:ind w:left="1134" w:hanging="283"/>
        <w:rPr>
          <w:sz w:val="24"/>
          <w:szCs w:val="24"/>
        </w:rPr>
      </w:pPr>
      <w:r w:rsidRPr="006E4AC9">
        <w:rPr>
          <w:sz w:val="24"/>
          <w:szCs w:val="24"/>
        </w:rPr>
        <w:t>Ikke kendt (hyppigheden kan ikke estimeres ud fra forhåndenværende data).</w:t>
      </w:r>
    </w:p>
    <w:p w14:paraId="190BC4CB" w14:textId="77777777" w:rsidR="006E4AC9" w:rsidRPr="006E4AC9" w:rsidRDefault="006E4AC9" w:rsidP="006E4AC9">
      <w:pPr>
        <w:tabs>
          <w:tab w:val="left" w:pos="851"/>
        </w:tabs>
        <w:ind w:left="851"/>
        <w:rPr>
          <w:sz w:val="24"/>
          <w:szCs w:val="24"/>
        </w:rPr>
      </w:pPr>
      <w:r w:rsidRPr="006E4AC9">
        <w:rPr>
          <w:sz w:val="24"/>
          <w:szCs w:val="24"/>
        </w:rPr>
        <w:t>Inden for hver hyppighedsgruppe er bivirkningerne opstillet efter, hvor alvorlige de er. De alvorligste bivirkninger er anført først.</w:t>
      </w:r>
    </w:p>
    <w:p w14:paraId="73895504" w14:textId="77777777" w:rsidR="006E4AC9" w:rsidRPr="006E4AC9" w:rsidRDefault="006E4AC9" w:rsidP="006E4AC9">
      <w:pPr>
        <w:tabs>
          <w:tab w:val="left" w:pos="851"/>
        </w:tabs>
        <w:ind w:left="851"/>
        <w:rPr>
          <w:sz w:val="24"/>
          <w:szCs w:val="24"/>
        </w:rPr>
      </w:pPr>
    </w:p>
    <w:p w14:paraId="768F8046" w14:textId="6A0A79B0" w:rsidR="006E4AC9" w:rsidRDefault="006E4AC9" w:rsidP="006E4AC9">
      <w:pPr>
        <w:tabs>
          <w:tab w:val="left" w:pos="851"/>
        </w:tabs>
        <w:ind w:left="851"/>
        <w:rPr>
          <w:b/>
          <w:bCs/>
          <w:sz w:val="24"/>
          <w:szCs w:val="24"/>
        </w:rPr>
      </w:pPr>
      <w:r w:rsidRPr="006E4AC9">
        <w:rPr>
          <w:b/>
          <w:bCs/>
          <w:sz w:val="24"/>
          <w:szCs w:val="24"/>
        </w:rPr>
        <w:t>Tabel 2</w:t>
      </w:r>
      <w:r w:rsidRPr="006E4AC9">
        <w:rPr>
          <w:b/>
          <w:bCs/>
          <w:sz w:val="24"/>
          <w:szCs w:val="24"/>
        </w:rPr>
        <w:tab/>
      </w:r>
      <w:r w:rsidRPr="006E4AC9">
        <w:rPr>
          <w:b/>
          <w:bCs/>
          <w:sz w:val="24"/>
          <w:szCs w:val="24"/>
        </w:rPr>
        <w:tab/>
        <w:t>Liste over bivirkninger</w:t>
      </w:r>
    </w:p>
    <w:p w14:paraId="2EEB4C3A" w14:textId="77777777" w:rsidR="006E4AC9" w:rsidRPr="006E4AC9" w:rsidRDefault="006E4AC9" w:rsidP="006E4AC9">
      <w:pPr>
        <w:tabs>
          <w:tab w:val="left" w:pos="851"/>
        </w:tabs>
        <w:ind w:left="851"/>
        <w:rPr>
          <w:b/>
          <w:bCs/>
          <w:sz w:val="24"/>
          <w:szCs w:val="24"/>
        </w:rPr>
      </w:pPr>
    </w:p>
    <w:tbl>
      <w:tblPr>
        <w:tblW w:w="893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2835"/>
        <w:gridCol w:w="2410"/>
      </w:tblGrid>
      <w:tr w:rsidR="006E4AC9" w14:paraId="6FC32E84" w14:textId="77777777" w:rsidTr="006E4AC9">
        <w:trPr>
          <w:trHeight w:val="315"/>
        </w:trPr>
        <w:tc>
          <w:tcPr>
            <w:tcW w:w="3686" w:type="dxa"/>
            <w:tcBorders>
              <w:top w:val="single" w:sz="4" w:space="0" w:color="000000"/>
              <w:left w:val="single" w:sz="4" w:space="0" w:color="000000"/>
              <w:bottom w:val="single" w:sz="4" w:space="0" w:color="000000"/>
              <w:right w:val="single" w:sz="4" w:space="0" w:color="000000"/>
            </w:tcBorders>
            <w:hideMark/>
          </w:tcPr>
          <w:p w14:paraId="2756EBC2" w14:textId="77777777" w:rsidR="006E4AC9" w:rsidRDefault="006E4AC9">
            <w:pPr>
              <w:spacing w:line="276" w:lineRule="auto"/>
              <w:rPr>
                <w:b/>
                <w:kern w:val="2"/>
                <w:sz w:val="22"/>
                <w:lang w:val="sv-SE"/>
                <w14:ligatures w14:val="standardContextual"/>
              </w:rPr>
            </w:pPr>
            <w:r>
              <w:rPr>
                <w:b/>
                <w:kern w:val="2"/>
                <w:lang w:val="sv-SE"/>
                <w14:ligatures w14:val="standardContextual"/>
              </w:rPr>
              <w:t>Systemorganklasse</w:t>
            </w:r>
          </w:p>
        </w:tc>
        <w:tc>
          <w:tcPr>
            <w:tcW w:w="2835" w:type="dxa"/>
            <w:tcBorders>
              <w:top w:val="single" w:sz="4" w:space="0" w:color="000000"/>
              <w:left w:val="single" w:sz="4" w:space="0" w:color="000000"/>
              <w:bottom w:val="single" w:sz="4" w:space="0" w:color="000000"/>
              <w:right w:val="single" w:sz="4" w:space="0" w:color="000000"/>
            </w:tcBorders>
            <w:hideMark/>
          </w:tcPr>
          <w:p w14:paraId="4C9F488B" w14:textId="77777777" w:rsidR="006E4AC9" w:rsidRDefault="006E4AC9">
            <w:pPr>
              <w:spacing w:line="276" w:lineRule="auto"/>
              <w:rPr>
                <w:b/>
                <w:kern w:val="2"/>
                <w:lang w:val="sv-SE"/>
                <w14:ligatures w14:val="standardContextual"/>
              </w:rPr>
            </w:pPr>
            <w:r>
              <w:rPr>
                <w:b/>
                <w:kern w:val="2"/>
                <w:lang w:val="sv-SE"/>
                <w14:ligatures w14:val="standardContextual"/>
              </w:rPr>
              <w:t>Foretrukken term</w:t>
            </w:r>
          </w:p>
        </w:tc>
        <w:tc>
          <w:tcPr>
            <w:tcW w:w="2410" w:type="dxa"/>
            <w:tcBorders>
              <w:top w:val="single" w:sz="4" w:space="0" w:color="000000"/>
              <w:left w:val="single" w:sz="4" w:space="0" w:color="000000"/>
              <w:bottom w:val="single" w:sz="4" w:space="0" w:color="000000"/>
              <w:right w:val="single" w:sz="4" w:space="0" w:color="000000"/>
            </w:tcBorders>
            <w:hideMark/>
          </w:tcPr>
          <w:p w14:paraId="15AED8E3" w14:textId="77777777" w:rsidR="006E4AC9" w:rsidRDefault="006E4AC9">
            <w:pPr>
              <w:spacing w:line="276" w:lineRule="auto"/>
              <w:rPr>
                <w:b/>
                <w:kern w:val="2"/>
                <w:lang w:val="sv-SE"/>
                <w14:ligatures w14:val="standardContextual"/>
              </w:rPr>
            </w:pPr>
            <w:r>
              <w:rPr>
                <w:b/>
                <w:kern w:val="2"/>
                <w:lang w:val="sv-SE"/>
                <w14:ligatures w14:val="standardContextual"/>
              </w:rPr>
              <w:t>Hyppighed</w:t>
            </w:r>
          </w:p>
        </w:tc>
      </w:tr>
      <w:tr w:rsidR="006E4AC9" w14:paraId="65EED77B" w14:textId="77777777" w:rsidTr="006E4AC9">
        <w:trPr>
          <w:trHeight w:val="252"/>
        </w:trPr>
        <w:tc>
          <w:tcPr>
            <w:tcW w:w="3686" w:type="dxa"/>
            <w:tcBorders>
              <w:top w:val="single" w:sz="4" w:space="0" w:color="000000"/>
              <w:left w:val="single" w:sz="4" w:space="0" w:color="000000"/>
              <w:bottom w:val="single" w:sz="4" w:space="0" w:color="000000"/>
              <w:right w:val="single" w:sz="4" w:space="0" w:color="000000"/>
            </w:tcBorders>
            <w:hideMark/>
          </w:tcPr>
          <w:p w14:paraId="2DDC64AE" w14:textId="77777777" w:rsidR="006E4AC9" w:rsidRDefault="006E4AC9">
            <w:pPr>
              <w:spacing w:line="276" w:lineRule="auto"/>
              <w:rPr>
                <w:bCs/>
                <w:kern w:val="2"/>
                <w:lang w:val="sv-SE"/>
                <w14:ligatures w14:val="standardContextual"/>
              </w:rPr>
            </w:pPr>
            <w:r>
              <w:rPr>
                <w:bCs/>
                <w:kern w:val="2"/>
                <w:lang w:val="sv-SE"/>
                <w14:ligatures w14:val="standardContextual"/>
              </w:rPr>
              <w:t>Blod og lymfesystem</w:t>
            </w:r>
          </w:p>
        </w:tc>
        <w:tc>
          <w:tcPr>
            <w:tcW w:w="2835" w:type="dxa"/>
            <w:tcBorders>
              <w:top w:val="single" w:sz="4" w:space="0" w:color="000000"/>
              <w:left w:val="single" w:sz="4" w:space="0" w:color="000000"/>
              <w:bottom w:val="single" w:sz="4" w:space="0" w:color="000000"/>
              <w:right w:val="single" w:sz="4" w:space="0" w:color="000000"/>
            </w:tcBorders>
            <w:hideMark/>
          </w:tcPr>
          <w:p w14:paraId="7B0F423F" w14:textId="77777777" w:rsidR="006E4AC9" w:rsidRDefault="006E4AC9">
            <w:pPr>
              <w:spacing w:line="276" w:lineRule="auto"/>
              <w:rPr>
                <w:kern w:val="2"/>
                <w:lang w:val="sv-SE"/>
                <w14:ligatures w14:val="standardContextual"/>
              </w:rPr>
            </w:pPr>
            <w:r>
              <w:rPr>
                <w:kern w:val="2"/>
                <w:lang w:val="sv-SE"/>
                <w14:ligatures w14:val="standardContextual"/>
              </w:rPr>
              <w:t>Anæmi</w:t>
            </w:r>
          </w:p>
        </w:tc>
        <w:tc>
          <w:tcPr>
            <w:tcW w:w="2410" w:type="dxa"/>
            <w:tcBorders>
              <w:top w:val="single" w:sz="4" w:space="0" w:color="000000"/>
              <w:left w:val="single" w:sz="4" w:space="0" w:color="000000"/>
              <w:bottom w:val="single" w:sz="4" w:space="0" w:color="000000"/>
              <w:right w:val="single" w:sz="4" w:space="0" w:color="000000"/>
            </w:tcBorders>
            <w:hideMark/>
          </w:tcPr>
          <w:p w14:paraId="136D5F54" w14:textId="77777777" w:rsidR="006E4AC9" w:rsidRDefault="006E4AC9">
            <w:pPr>
              <w:spacing w:line="276" w:lineRule="auto"/>
              <w:rPr>
                <w:kern w:val="2"/>
                <w:lang w:val="sv-SE"/>
                <w14:ligatures w14:val="standardContextual"/>
              </w:rPr>
            </w:pPr>
            <w:r>
              <w:rPr>
                <w:kern w:val="2"/>
                <w:lang w:val="sv-SE"/>
                <w14:ligatures w14:val="standardContextual"/>
              </w:rPr>
              <w:t>Almindelig</w:t>
            </w:r>
          </w:p>
        </w:tc>
      </w:tr>
      <w:tr w:rsidR="006E4AC9" w14:paraId="7B79A3B9" w14:textId="77777777" w:rsidTr="006E4AC9">
        <w:trPr>
          <w:trHeight w:val="252"/>
        </w:trPr>
        <w:tc>
          <w:tcPr>
            <w:tcW w:w="3686" w:type="dxa"/>
            <w:tcBorders>
              <w:top w:val="single" w:sz="4" w:space="0" w:color="000000"/>
              <w:left w:val="single" w:sz="4" w:space="0" w:color="000000"/>
              <w:bottom w:val="single" w:sz="4" w:space="0" w:color="000000"/>
              <w:right w:val="single" w:sz="4" w:space="0" w:color="000000"/>
            </w:tcBorders>
            <w:hideMark/>
          </w:tcPr>
          <w:p w14:paraId="16CD6BD8" w14:textId="77777777" w:rsidR="006E4AC9" w:rsidRDefault="006E4AC9">
            <w:pPr>
              <w:spacing w:line="276" w:lineRule="auto"/>
              <w:rPr>
                <w:bCs/>
                <w:kern w:val="2"/>
                <w:lang w:val="sv-SE"/>
                <w14:ligatures w14:val="standardContextual"/>
              </w:rPr>
            </w:pPr>
            <w:r>
              <w:rPr>
                <w:bCs/>
                <w:kern w:val="2"/>
                <w:lang w:val="sv-SE"/>
                <w14:ligatures w14:val="standardContextual"/>
              </w:rPr>
              <w:t>Immunsystemet</w:t>
            </w:r>
          </w:p>
        </w:tc>
        <w:tc>
          <w:tcPr>
            <w:tcW w:w="2835" w:type="dxa"/>
            <w:tcBorders>
              <w:top w:val="single" w:sz="4" w:space="0" w:color="000000"/>
              <w:left w:val="single" w:sz="4" w:space="0" w:color="000000"/>
              <w:bottom w:val="single" w:sz="4" w:space="0" w:color="000000"/>
              <w:right w:val="single" w:sz="4" w:space="0" w:color="000000"/>
            </w:tcBorders>
            <w:hideMark/>
          </w:tcPr>
          <w:p w14:paraId="61AEEEFF" w14:textId="77777777" w:rsidR="006E4AC9" w:rsidRDefault="006E4AC9">
            <w:pPr>
              <w:spacing w:line="276" w:lineRule="auto"/>
              <w:rPr>
                <w:kern w:val="2"/>
                <w:lang w:val="sv-SE"/>
                <w14:ligatures w14:val="standardContextual"/>
              </w:rPr>
            </w:pPr>
            <w:r>
              <w:rPr>
                <w:kern w:val="2"/>
                <w:lang w:val="sv-SE"/>
                <w14:ligatures w14:val="standardContextual"/>
              </w:rPr>
              <w:t>Overfølsomhed</w:t>
            </w:r>
          </w:p>
        </w:tc>
        <w:tc>
          <w:tcPr>
            <w:tcW w:w="2410" w:type="dxa"/>
            <w:tcBorders>
              <w:top w:val="single" w:sz="4" w:space="0" w:color="000000"/>
              <w:left w:val="single" w:sz="4" w:space="0" w:color="000000"/>
              <w:bottom w:val="single" w:sz="4" w:space="0" w:color="000000"/>
              <w:right w:val="single" w:sz="4" w:space="0" w:color="000000"/>
            </w:tcBorders>
            <w:hideMark/>
          </w:tcPr>
          <w:p w14:paraId="0F1388F4" w14:textId="77777777" w:rsidR="006E4AC9" w:rsidRDefault="006E4AC9">
            <w:pPr>
              <w:spacing w:line="276" w:lineRule="auto"/>
              <w:rPr>
                <w:kern w:val="2"/>
                <w:lang w:val="sv-SE"/>
                <w14:ligatures w14:val="standardContextual"/>
              </w:rPr>
            </w:pPr>
            <w:r>
              <w:rPr>
                <w:kern w:val="2"/>
                <w:lang w:val="sv-SE"/>
                <w14:ligatures w14:val="standardContextual"/>
              </w:rPr>
              <w:t>Ikke almindelig</w:t>
            </w:r>
          </w:p>
        </w:tc>
      </w:tr>
      <w:tr w:rsidR="006E4AC9" w14:paraId="3BD87FA5" w14:textId="77777777" w:rsidTr="006E4AC9">
        <w:trPr>
          <w:trHeight w:val="254"/>
        </w:trPr>
        <w:tc>
          <w:tcPr>
            <w:tcW w:w="3686" w:type="dxa"/>
            <w:vMerge w:val="restart"/>
            <w:tcBorders>
              <w:top w:val="single" w:sz="4" w:space="0" w:color="000000"/>
              <w:left w:val="single" w:sz="4" w:space="0" w:color="000000"/>
              <w:bottom w:val="single" w:sz="4" w:space="0" w:color="000000"/>
              <w:right w:val="single" w:sz="4" w:space="0" w:color="000000"/>
            </w:tcBorders>
            <w:hideMark/>
          </w:tcPr>
          <w:p w14:paraId="048ADB0F" w14:textId="77777777" w:rsidR="006E4AC9" w:rsidRDefault="006E4AC9">
            <w:pPr>
              <w:spacing w:line="276" w:lineRule="auto"/>
              <w:rPr>
                <w:bCs/>
                <w:kern w:val="2"/>
                <w:lang w:val="sv-SE"/>
                <w14:ligatures w14:val="standardContextual"/>
              </w:rPr>
            </w:pPr>
            <w:r>
              <w:rPr>
                <w:bCs/>
                <w:kern w:val="2"/>
                <w:lang w:val="sv-SE"/>
                <w14:ligatures w14:val="standardContextual"/>
              </w:rPr>
              <w:t>Metabolisme og ernæring</w:t>
            </w:r>
          </w:p>
        </w:tc>
        <w:tc>
          <w:tcPr>
            <w:tcW w:w="2835" w:type="dxa"/>
            <w:tcBorders>
              <w:top w:val="single" w:sz="4" w:space="0" w:color="000000"/>
              <w:left w:val="single" w:sz="4" w:space="0" w:color="000000"/>
              <w:bottom w:val="single" w:sz="4" w:space="0" w:color="000000"/>
              <w:right w:val="single" w:sz="4" w:space="0" w:color="000000"/>
            </w:tcBorders>
            <w:hideMark/>
          </w:tcPr>
          <w:p w14:paraId="5E0282D3" w14:textId="77777777" w:rsidR="006E4AC9" w:rsidRDefault="006E4AC9">
            <w:pPr>
              <w:spacing w:line="276" w:lineRule="auto"/>
              <w:rPr>
                <w:kern w:val="2"/>
                <w:lang w:val="sv-SE"/>
                <w14:ligatures w14:val="standardContextual"/>
              </w:rPr>
            </w:pPr>
            <w:r>
              <w:rPr>
                <w:kern w:val="2"/>
                <w:lang w:val="sv-SE"/>
                <w14:ligatures w14:val="standardContextual"/>
              </w:rPr>
              <w:t>Hyperkaliæmi*</w:t>
            </w:r>
          </w:p>
        </w:tc>
        <w:tc>
          <w:tcPr>
            <w:tcW w:w="2410" w:type="dxa"/>
            <w:tcBorders>
              <w:top w:val="single" w:sz="4" w:space="0" w:color="000000"/>
              <w:left w:val="single" w:sz="4" w:space="0" w:color="000000"/>
              <w:bottom w:val="single" w:sz="4" w:space="0" w:color="000000"/>
              <w:right w:val="single" w:sz="4" w:space="0" w:color="000000"/>
            </w:tcBorders>
            <w:hideMark/>
          </w:tcPr>
          <w:p w14:paraId="2161B138" w14:textId="77777777" w:rsidR="006E4AC9" w:rsidRDefault="006E4AC9">
            <w:pPr>
              <w:spacing w:line="276" w:lineRule="auto"/>
              <w:rPr>
                <w:kern w:val="2"/>
                <w:lang w:val="sv-SE"/>
                <w14:ligatures w14:val="standardContextual"/>
              </w:rPr>
            </w:pPr>
            <w:r>
              <w:rPr>
                <w:kern w:val="2"/>
                <w:lang w:val="sv-SE"/>
                <w14:ligatures w14:val="standardContextual"/>
              </w:rPr>
              <w:t>Meget almindelig</w:t>
            </w:r>
          </w:p>
        </w:tc>
      </w:tr>
      <w:tr w:rsidR="006E4AC9" w14:paraId="04BF2A1E" w14:textId="77777777" w:rsidTr="006E4AC9">
        <w:trPr>
          <w:trHeight w:val="252"/>
        </w:trPr>
        <w:tc>
          <w:tcPr>
            <w:tcW w:w="3686" w:type="dxa"/>
            <w:vMerge/>
            <w:tcBorders>
              <w:top w:val="single" w:sz="4" w:space="0" w:color="000000"/>
              <w:left w:val="single" w:sz="4" w:space="0" w:color="000000"/>
              <w:bottom w:val="single" w:sz="4" w:space="0" w:color="000000"/>
              <w:right w:val="single" w:sz="4" w:space="0" w:color="000000"/>
            </w:tcBorders>
            <w:vAlign w:val="center"/>
            <w:hideMark/>
          </w:tcPr>
          <w:p w14:paraId="7BA5AFA9" w14:textId="77777777" w:rsidR="006E4AC9" w:rsidRDefault="006E4AC9">
            <w:pPr>
              <w:spacing w:line="276" w:lineRule="auto"/>
              <w:rPr>
                <w:bCs/>
                <w:kern w:val="2"/>
                <w:sz w:val="22"/>
                <w:lang w:val="sv-SE"/>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hideMark/>
          </w:tcPr>
          <w:p w14:paraId="1E50D49E" w14:textId="77777777" w:rsidR="006E4AC9" w:rsidRDefault="006E4AC9">
            <w:pPr>
              <w:spacing w:line="276" w:lineRule="auto"/>
              <w:rPr>
                <w:kern w:val="2"/>
                <w:lang w:val="sv-SE"/>
                <w14:ligatures w14:val="standardContextual"/>
              </w:rPr>
            </w:pPr>
            <w:r>
              <w:rPr>
                <w:kern w:val="2"/>
                <w:lang w:val="sv-SE"/>
                <w14:ligatures w14:val="standardContextual"/>
              </w:rPr>
              <w:t>Hypokaliæmi</w:t>
            </w:r>
          </w:p>
        </w:tc>
        <w:tc>
          <w:tcPr>
            <w:tcW w:w="2410" w:type="dxa"/>
            <w:tcBorders>
              <w:top w:val="single" w:sz="4" w:space="0" w:color="000000"/>
              <w:left w:val="single" w:sz="4" w:space="0" w:color="000000"/>
              <w:bottom w:val="single" w:sz="4" w:space="0" w:color="000000"/>
              <w:right w:val="single" w:sz="4" w:space="0" w:color="000000"/>
            </w:tcBorders>
            <w:hideMark/>
          </w:tcPr>
          <w:p w14:paraId="1DF96C5F" w14:textId="77777777" w:rsidR="006E4AC9" w:rsidRDefault="006E4AC9">
            <w:pPr>
              <w:spacing w:line="276" w:lineRule="auto"/>
              <w:rPr>
                <w:kern w:val="2"/>
                <w:lang w:val="sv-SE"/>
                <w14:ligatures w14:val="standardContextual"/>
              </w:rPr>
            </w:pPr>
            <w:r>
              <w:rPr>
                <w:kern w:val="2"/>
                <w:lang w:val="sv-SE"/>
                <w14:ligatures w14:val="standardContextual"/>
              </w:rPr>
              <w:t>Almindelig</w:t>
            </w:r>
          </w:p>
        </w:tc>
      </w:tr>
      <w:tr w:rsidR="006E4AC9" w14:paraId="7B84FB05" w14:textId="77777777" w:rsidTr="006E4AC9">
        <w:trPr>
          <w:trHeight w:val="252"/>
        </w:trPr>
        <w:tc>
          <w:tcPr>
            <w:tcW w:w="3686" w:type="dxa"/>
            <w:vMerge/>
            <w:tcBorders>
              <w:top w:val="single" w:sz="4" w:space="0" w:color="000000"/>
              <w:left w:val="single" w:sz="4" w:space="0" w:color="000000"/>
              <w:bottom w:val="single" w:sz="4" w:space="0" w:color="000000"/>
              <w:right w:val="single" w:sz="4" w:space="0" w:color="000000"/>
            </w:tcBorders>
            <w:vAlign w:val="center"/>
            <w:hideMark/>
          </w:tcPr>
          <w:p w14:paraId="34BF7DD1" w14:textId="77777777" w:rsidR="006E4AC9" w:rsidRDefault="006E4AC9">
            <w:pPr>
              <w:spacing w:line="276" w:lineRule="auto"/>
              <w:rPr>
                <w:bCs/>
                <w:kern w:val="2"/>
                <w:sz w:val="22"/>
                <w:lang w:val="sv-SE"/>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hideMark/>
          </w:tcPr>
          <w:p w14:paraId="314A8841" w14:textId="77777777" w:rsidR="006E4AC9" w:rsidRDefault="006E4AC9">
            <w:pPr>
              <w:spacing w:line="276" w:lineRule="auto"/>
              <w:rPr>
                <w:kern w:val="2"/>
                <w:lang w:val="sv-SE"/>
                <w14:ligatures w14:val="standardContextual"/>
              </w:rPr>
            </w:pPr>
            <w:r>
              <w:rPr>
                <w:kern w:val="2"/>
                <w:lang w:val="sv-SE"/>
                <w14:ligatures w14:val="standardContextual"/>
              </w:rPr>
              <w:t>Hypoglykæmi</w:t>
            </w:r>
          </w:p>
        </w:tc>
        <w:tc>
          <w:tcPr>
            <w:tcW w:w="2410" w:type="dxa"/>
            <w:tcBorders>
              <w:top w:val="single" w:sz="4" w:space="0" w:color="000000"/>
              <w:left w:val="single" w:sz="4" w:space="0" w:color="000000"/>
              <w:bottom w:val="single" w:sz="4" w:space="0" w:color="000000"/>
              <w:right w:val="single" w:sz="4" w:space="0" w:color="000000"/>
            </w:tcBorders>
            <w:hideMark/>
          </w:tcPr>
          <w:p w14:paraId="1359EA7A" w14:textId="77777777" w:rsidR="006E4AC9" w:rsidRDefault="006E4AC9">
            <w:pPr>
              <w:spacing w:line="276" w:lineRule="auto"/>
              <w:rPr>
                <w:kern w:val="2"/>
                <w:lang w:val="sv-SE"/>
                <w14:ligatures w14:val="standardContextual"/>
              </w:rPr>
            </w:pPr>
            <w:r>
              <w:rPr>
                <w:kern w:val="2"/>
                <w:lang w:val="sv-SE"/>
                <w14:ligatures w14:val="standardContextual"/>
              </w:rPr>
              <w:t>Almindelig</w:t>
            </w:r>
          </w:p>
        </w:tc>
      </w:tr>
      <w:tr w:rsidR="006E4AC9" w14:paraId="328BDF7C" w14:textId="77777777" w:rsidTr="006E4AC9">
        <w:trPr>
          <w:trHeight w:val="252"/>
        </w:trPr>
        <w:tc>
          <w:tcPr>
            <w:tcW w:w="3686" w:type="dxa"/>
            <w:vMerge/>
            <w:tcBorders>
              <w:top w:val="single" w:sz="4" w:space="0" w:color="000000"/>
              <w:left w:val="single" w:sz="4" w:space="0" w:color="000000"/>
              <w:bottom w:val="single" w:sz="4" w:space="0" w:color="000000"/>
              <w:right w:val="single" w:sz="4" w:space="0" w:color="000000"/>
            </w:tcBorders>
            <w:vAlign w:val="center"/>
            <w:hideMark/>
          </w:tcPr>
          <w:p w14:paraId="379EF191" w14:textId="77777777" w:rsidR="006E4AC9" w:rsidRDefault="006E4AC9">
            <w:pPr>
              <w:spacing w:line="276" w:lineRule="auto"/>
              <w:rPr>
                <w:bCs/>
                <w:kern w:val="2"/>
                <w:sz w:val="22"/>
                <w:lang w:val="sv-SE"/>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hideMark/>
          </w:tcPr>
          <w:p w14:paraId="67A6202A" w14:textId="77777777" w:rsidR="006E4AC9" w:rsidRDefault="006E4AC9">
            <w:pPr>
              <w:spacing w:line="276" w:lineRule="auto"/>
              <w:rPr>
                <w:kern w:val="2"/>
                <w:lang w:val="sv-SE"/>
                <w14:ligatures w14:val="standardContextual"/>
              </w:rPr>
            </w:pPr>
            <w:r>
              <w:rPr>
                <w:kern w:val="2"/>
                <w:lang w:val="sv-SE"/>
                <w14:ligatures w14:val="standardContextual"/>
              </w:rPr>
              <w:t>Hyponatriæmi</w:t>
            </w:r>
          </w:p>
        </w:tc>
        <w:tc>
          <w:tcPr>
            <w:tcW w:w="2410" w:type="dxa"/>
            <w:tcBorders>
              <w:top w:val="single" w:sz="4" w:space="0" w:color="000000"/>
              <w:left w:val="single" w:sz="4" w:space="0" w:color="000000"/>
              <w:bottom w:val="single" w:sz="4" w:space="0" w:color="000000"/>
              <w:right w:val="single" w:sz="4" w:space="0" w:color="000000"/>
            </w:tcBorders>
            <w:hideMark/>
          </w:tcPr>
          <w:p w14:paraId="6B2CD8F3" w14:textId="77777777" w:rsidR="006E4AC9" w:rsidRDefault="006E4AC9">
            <w:pPr>
              <w:spacing w:line="276" w:lineRule="auto"/>
              <w:rPr>
                <w:kern w:val="2"/>
                <w:lang w:val="sv-SE"/>
                <w14:ligatures w14:val="standardContextual"/>
              </w:rPr>
            </w:pPr>
            <w:r>
              <w:rPr>
                <w:kern w:val="2"/>
                <w:lang w:val="sv-SE"/>
                <w14:ligatures w14:val="standardContextual"/>
              </w:rPr>
              <w:t>Ikke almindelig</w:t>
            </w:r>
          </w:p>
        </w:tc>
      </w:tr>
      <w:tr w:rsidR="006E4AC9" w14:paraId="3BB25BA2" w14:textId="77777777" w:rsidTr="006E4AC9">
        <w:trPr>
          <w:trHeight w:val="252"/>
        </w:trPr>
        <w:tc>
          <w:tcPr>
            <w:tcW w:w="3686" w:type="dxa"/>
            <w:vMerge w:val="restart"/>
            <w:tcBorders>
              <w:top w:val="single" w:sz="4" w:space="0" w:color="000000"/>
              <w:left w:val="single" w:sz="4" w:space="0" w:color="000000"/>
              <w:bottom w:val="single" w:sz="4" w:space="0" w:color="000000"/>
              <w:right w:val="single" w:sz="4" w:space="0" w:color="000000"/>
            </w:tcBorders>
            <w:hideMark/>
          </w:tcPr>
          <w:p w14:paraId="3B095F9B" w14:textId="77777777" w:rsidR="006E4AC9" w:rsidRDefault="006E4AC9">
            <w:pPr>
              <w:spacing w:line="276" w:lineRule="auto"/>
              <w:rPr>
                <w:bCs/>
                <w:kern w:val="2"/>
                <w:lang w:val="sv-SE"/>
                <w14:ligatures w14:val="standardContextual"/>
              </w:rPr>
            </w:pPr>
            <w:r>
              <w:rPr>
                <w:bCs/>
                <w:kern w:val="2"/>
                <w:lang w:val="sv-SE"/>
                <w14:ligatures w14:val="standardContextual"/>
              </w:rPr>
              <w:t>Psykiske forstyrrelser</w:t>
            </w:r>
          </w:p>
        </w:tc>
        <w:tc>
          <w:tcPr>
            <w:tcW w:w="2835" w:type="dxa"/>
            <w:tcBorders>
              <w:top w:val="single" w:sz="4" w:space="0" w:color="000000"/>
              <w:left w:val="single" w:sz="4" w:space="0" w:color="000000"/>
              <w:bottom w:val="single" w:sz="4" w:space="0" w:color="000000"/>
              <w:right w:val="single" w:sz="4" w:space="0" w:color="000000"/>
            </w:tcBorders>
            <w:hideMark/>
          </w:tcPr>
          <w:p w14:paraId="71A582B1" w14:textId="77777777" w:rsidR="006E4AC9" w:rsidRDefault="006E4AC9">
            <w:pPr>
              <w:spacing w:line="276" w:lineRule="auto"/>
              <w:rPr>
                <w:kern w:val="2"/>
                <w:lang w:val="sv-SE"/>
                <w14:ligatures w14:val="standardContextual"/>
              </w:rPr>
            </w:pPr>
            <w:r>
              <w:rPr>
                <w:kern w:val="2"/>
                <w:lang w:val="sv-SE"/>
                <w14:ligatures w14:val="standardContextual"/>
              </w:rPr>
              <w:t>Hallucinationer**</w:t>
            </w:r>
          </w:p>
        </w:tc>
        <w:tc>
          <w:tcPr>
            <w:tcW w:w="2410" w:type="dxa"/>
            <w:tcBorders>
              <w:top w:val="single" w:sz="4" w:space="0" w:color="000000"/>
              <w:left w:val="single" w:sz="4" w:space="0" w:color="000000"/>
              <w:bottom w:val="single" w:sz="4" w:space="0" w:color="000000"/>
              <w:right w:val="single" w:sz="4" w:space="0" w:color="000000"/>
            </w:tcBorders>
            <w:hideMark/>
          </w:tcPr>
          <w:p w14:paraId="7593A1C8" w14:textId="77777777" w:rsidR="006E4AC9" w:rsidRDefault="006E4AC9">
            <w:pPr>
              <w:spacing w:line="276" w:lineRule="auto"/>
              <w:rPr>
                <w:kern w:val="2"/>
                <w:lang w:val="sv-SE"/>
                <w14:ligatures w14:val="standardContextual"/>
              </w:rPr>
            </w:pPr>
            <w:r>
              <w:rPr>
                <w:kern w:val="2"/>
                <w:lang w:val="sv-SE"/>
                <w14:ligatures w14:val="standardContextual"/>
              </w:rPr>
              <w:t>Sjælden</w:t>
            </w:r>
          </w:p>
        </w:tc>
      </w:tr>
      <w:tr w:rsidR="006E4AC9" w14:paraId="6757E86F" w14:textId="77777777" w:rsidTr="006E4AC9">
        <w:trPr>
          <w:trHeight w:val="252"/>
        </w:trPr>
        <w:tc>
          <w:tcPr>
            <w:tcW w:w="3686" w:type="dxa"/>
            <w:vMerge/>
            <w:tcBorders>
              <w:top w:val="single" w:sz="4" w:space="0" w:color="000000"/>
              <w:left w:val="single" w:sz="4" w:space="0" w:color="000000"/>
              <w:bottom w:val="single" w:sz="4" w:space="0" w:color="000000"/>
              <w:right w:val="single" w:sz="4" w:space="0" w:color="000000"/>
            </w:tcBorders>
            <w:vAlign w:val="center"/>
            <w:hideMark/>
          </w:tcPr>
          <w:p w14:paraId="447237EF" w14:textId="77777777" w:rsidR="006E4AC9" w:rsidRDefault="006E4AC9">
            <w:pPr>
              <w:spacing w:line="276" w:lineRule="auto"/>
              <w:rPr>
                <w:bCs/>
                <w:kern w:val="2"/>
                <w:sz w:val="22"/>
                <w:lang w:val="sv-SE"/>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hideMark/>
          </w:tcPr>
          <w:p w14:paraId="6CD89CBF" w14:textId="77777777" w:rsidR="006E4AC9" w:rsidRDefault="006E4AC9">
            <w:pPr>
              <w:spacing w:line="276" w:lineRule="auto"/>
              <w:rPr>
                <w:kern w:val="2"/>
                <w:lang w:val="sv-SE"/>
                <w14:ligatures w14:val="standardContextual"/>
              </w:rPr>
            </w:pPr>
            <w:r>
              <w:rPr>
                <w:kern w:val="2"/>
                <w:lang w:val="sv-SE"/>
                <w14:ligatures w14:val="standardContextual"/>
              </w:rPr>
              <w:t>Søvnforstyrrelser</w:t>
            </w:r>
          </w:p>
        </w:tc>
        <w:tc>
          <w:tcPr>
            <w:tcW w:w="2410" w:type="dxa"/>
            <w:tcBorders>
              <w:top w:val="single" w:sz="4" w:space="0" w:color="000000"/>
              <w:left w:val="single" w:sz="4" w:space="0" w:color="000000"/>
              <w:bottom w:val="single" w:sz="4" w:space="0" w:color="000000"/>
              <w:right w:val="single" w:sz="4" w:space="0" w:color="000000"/>
            </w:tcBorders>
            <w:hideMark/>
          </w:tcPr>
          <w:p w14:paraId="4D022BD2" w14:textId="77777777" w:rsidR="006E4AC9" w:rsidRDefault="006E4AC9">
            <w:pPr>
              <w:spacing w:line="276" w:lineRule="auto"/>
              <w:rPr>
                <w:kern w:val="2"/>
                <w:lang w:val="sv-SE"/>
                <w14:ligatures w14:val="standardContextual"/>
              </w:rPr>
            </w:pPr>
            <w:r>
              <w:rPr>
                <w:kern w:val="2"/>
                <w:lang w:val="sv-SE"/>
                <w14:ligatures w14:val="standardContextual"/>
              </w:rPr>
              <w:t>Sjælden</w:t>
            </w:r>
          </w:p>
        </w:tc>
      </w:tr>
      <w:tr w:rsidR="006E4AC9" w14:paraId="2CE2DAD6" w14:textId="77777777" w:rsidTr="006E4AC9">
        <w:trPr>
          <w:trHeight w:val="252"/>
        </w:trPr>
        <w:tc>
          <w:tcPr>
            <w:tcW w:w="3686" w:type="dxa"/>
            <w:vMerge/>
            <w:tcBorders>
              <w:top w:val="single" w:sz="4" w:space="0" w:color="000000"/>
              <w:left w:val="single" w:sz="4" w:space="0" w:color="000000"/>
              <w:bottom w:val="single" w:sz="4" w:space="0" w:color="000000"/>
              <w:right w:val="single" w:sz="4" w:space="0" w:color="000000"/>
            </w:tcBorders>
            <w:vAlign w:val="center"/>
            <w:hideMark/>
          </w:tcPr>
          <w:p w14:paraId="327CDFAA" w14:textId="77777777" w:rsidR="006E4AC9" w:rsidRDefault="006E4AC9">
            <w:pPr>
              <w:spacing w:line="276" w:lineRule="auto"/>
              <w:rPr>
                <w:bCs/>
                <w:kern w:val="2"/>
                <w:sz w:val="22"/>
                <w:lang w:val="sv-SE"/>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hideMark/>
          </w:tcPr>
          <w:p w14:paraId="7B9D4177" w14:textId="77777777" w:rsidR="006E4AC9" w:rsidRDefault="006E4AC9">
            <w:pPr>
              <w:spacing w:line="276" w:lineRule="auto"/>
              <w:rPr>
                <w:kern w:val="2"/>
                <w:lang w:val="sv-SE"/>
                <w14:ligatures w14:val="standardContextual"/>
              </w:rPr>
            </w:pPr>
            <w:r>
              <w:rPr>
                <w:kern w:val="2"/>
                <w:lang w:val="sv-SE"/>
                <w14:ligatures w14:val="standardContextual"/>
              </w:rPr>
              <w:t>Paranoia</w:t>
            </w:r>
          </w:p>
        </w:tc>
        <w:tc>
          <w:tcPr>
            <w:tcW w:w="2410" w:type="dxa"/>
            <w:tcBorders>
              <w:top w:val="single" w:sz="4" w:space="0" w:color="000000"/>
              <w:left w:val="single" w:sz="4" w:space="0" w:color="000000"/>
              <w:bottom w:val="single" w:sz="4" w:space="0" w:color="000000"/>
              <w:right w:val="single" w:sz="4" w:space="0" w:color="000000"/>
            </w:tcBorders>
            <w:hideMark/>
          </w:tcPr>
          <w:p w14:paraId="5AE561B9" w14:textId="77777777" w:rsidR="006E4AC9" w:rsidRDefault="006E4AC9">
            <w:pPr>
              <w:spacing w:line="276" w:lineRule="auto"/>
              <w:rPr>
                <w:kern w:val="2"/>
                <w:lang w:val="sv-SE"/>
                <w14:ligatures w14:val="standardContextual"/>
              </w:rPr>
            </w:pPr>
            <w:r>
              <w:rPr>
                <w:kern w:val="2"/>
                <w:lang w:val="sv-SE"/>
                <w14:ligatures w14:val="standardContextual"/>
              </w:rPr>
              <w:t>Meget sjælden</w:t>
            </w:r>
          </w:p>
        </w:tc>
      </w:tr>
      <w:tr w:rsidR="006E4AC9" w14:paraId="692E21A1" w14:textId="77777777" w:rsidTr="006E4AC9">
        <w:trPr>
          <w:trHeight w:val="254"/>
        </w:trPr>
        <w:tc>
          <w:tcPr>
            <w:tcW w:w="3686" w:type="dxa"/>
            <w:vMerge w:val="restart"/>
            <w:tcBorders>
              <w:top w:val="single" w:sz="4" w:space="0" w:color="000000"/>
              <w:left w:val="single" w:sz="4" w:space="0" w:color="000000"/>
              <w:bottom w:val="single" w:sz="4" w:space="0" w:color="000000"/>
              <w:right w:val="single" w:sz="4" w:space="0" w:color="000000"/>
            </w:tcBorders>
            <w:hideMark/>
          </w:tcPr>
          <w:p w14:paraId="15F21B69" w14:textId="77777777" w:rsidR="006E4AC9" w:rsidRDefault="006E4AC9">
            <w:pPr>
              <w:spacing w:line="276" w:lineRule="auto"/>
              <w:rPr>
                <w:bCs/>
                <w:kern w:val="2"/>
                <w:lang w:val="sv-SE"/>
                <w14:ligatures w14:val="standardContextual"/>
              </w:rPr>
            </w:pPr>
            <w:r>
              <w:rPr>
                <w:bCs/>
                <w:kern w:val="2"/>
                <w:lang w:val="sv-SE"/>
                <w14:ligatures w14:val="standardContextual"/>
              </w:rPr>
              <w:t>Nervesystemet</w:t>
            </w:r>
          </w:p>
        </w:tc>
        <w:tc>
          <w:tcPr>
            <w:tcW w:w="2835" w:type="dxa"/>
            <w:tcBorders>
              <w:top w:val="single" w:sz="4" w:space="0" w:color="000000"/>
              <w:left w:val="single" w:sz="4" w:space="0" w:color="000000"/>
              <w:bottom w:val="single" w:sz="4" w:space="0" w:color="000000"/>
              <w:right w:val="single" w:sz="4" w:space="0" w:color="000000"/>
            </w:tcBorders>
            <w:hideMark/>
          </w:tcPr>
          <w:p w14:paraId="0412528E" w14:textId="77777777" w:rsidR="006E4AC9" w:rsidRDefault="006E4AC9">
            <w:pPr>
              <w:spacing w:line="276" w:lineRule="auto"/>
              <w:rPr>
                <w:kern w:val="2"/>
                <w:lang w:val="sv-SE"/>
                <w14:ligatures w14:val="standardContextual"/>
              </w:rPr>
            </w:pPr>
            <w:r>
              <w:rPr>
                <w:kern w:val="2"/>
                <w:lang w:val="sv-SE"/>
                <w14:ligatures w14:val="standardContextual"/>
              </w:rPr>
              <w:t>Svimmelhed</w:t>
            </w:r>
          </w:p>
        </w:tc>
        <w:tc>
          <w:tcPr>
            <w:tcW w:w="2410" w:type="dxa"/>
            <w:tcBorders>
              <w:top w:val="single" w:sz="4" w:space="0" w:color="000000"/>
              <w:left w:val="single" w:sz="4" w:space="0" w:color="000000"/>
              <w:bottom w:val="single" w:sz="4" w:space="0" w:color="000000"/>
              <w:right w:val="single" w:sz="4" w:space="0" w:color="000000"/>
            </w:tcBorders>
            <w:hideMark/>
          </w:tcPr>
          <w:p w14:paraId="4DF5C908" w14:textId="77777777" w:rsidR="006E4AC9" w:rsidRDefault="006E4AC9">
            <w:pPr>
              <w:spacing w:line="276" w:lineRule="auto"/>
              <w:rPr>
                <w:kern w:val="2"/>
                <w:lang w:val="sv-SE"/>
                <w14:ligatures w14:val="standardContextual"/>
              </w:rPr>
            </w:pPr>
            <w:r>
              <w:rPr>
                <w:kern w:val="2"/>
                <w:lang w:val="sv-SE"/>
                <w14:ligatures w14:val="standardContextual"/>
              </w:rPr>
              <w:t>Almindelig</w:t>
            </w:r>
          </w:p>
        </w:tc>
      </w:tr>
      <w:tr w:rsidR="006E4AC9" w14:paraId="04A6FEDD" w14:textId="77777777" w:rsidTr="006E4AC9">
        <w:trPr>
          <w:trHeight w:val="252"/>
        </w:trPr>
        <w:tc>
          <w:tcPr>
            <w:tcW w:w="3686" w:type="dxa"/>
            <w:vMerge/>
            <w:tcBorders>
              <w:top w:val="single" w:sz="4" w:space="0" w:color="000000"/>
              <w:left w:val="single" w:sz="4" w:space="0" w:color="000000"/>
              <w:bottom w:val="single" w:sz="4" w:space="0" w:color="000000"/>
              <w:right w:val="single" w:sz="4" w:space="0" w:color="000000"/>
            </w:tcBorders>
            <w:vAlign w:val="center"/>
            <w:hideMark/>
          </w:tcPr>
          <w:p w14:paraId="29CD02A5" w14:textId="77777777" w:rsidR="006E4AC9" w:rsidRDefault="006E4AC9">
            <w:pPr>
              <w:spacing w:line="276" w:lineRule="auto"/>
              <w:rPr>
                <w:bCs/>
                <w:kern w:val="2"/>
                <w:sz w:val="22"/>
                <w:lang w:val="sv-SE"/>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hideMark/>
          </w:tcPr>
          <w:p w14:paraId="38EB2FA9" w14:textId="77777777" w:rsidR="006E4AC9" w:rsidRDefault="006E4AC9">
            <w:pPr>
              <w:spacing w:line="276" w:lineRule="auto"/>
              <w:rPr>
                <w:kern w:val="2"/>
                <w:lang w:val="sv-SE"/>
                <w14:ligatures w14:val="standardContextual"/>
              </w:rPr>
            </w:pPr>
            <w:r>
              <w:rPr>
                <w:kern w:val="2"/>
                <w:lang w:val="sv-SE"/>
                <w14:ligatures w14:val="standardContextual"/>
              </w:rPr>
              <w:t>Hovedpine</w:t>
            </w:r>
          </w:p>
        </w:tc>
        <w:tc>
          <w:tcPr>
            <w:tcW w:w="2410" w:type="dxa"/>
            <w:tcBorders>
              <w:top w:val="single" w:sz="4" w:space="0" w:color="000000"/>
              <w:left w:val="single" w:sz="4" w:space="0" w:color="000000"/>
              <w:bottom w:val="single" w:sz="4" w:space="0" w:color="000000"/>
              <w:right w:val="single" w:sz="4" w:space="0" w:color="000000"/>
            </w:tcBorders>
            <w:hideMark/>
          </w:tcPr>
          <w:p w14:paraId="31903751" w14:textId="77777777" w:rsidR="006E4AC9" w:rsidRDefault="006E4AC9">
            <w:pPr>
              <w:spacing w:line="276" w:lineRule="auto"/>
              <w:rPr>
                <w:kern w:val="2"/>
                <w:lang w:val="sv-SE"/>
                <w14:ligatures w14:val="standardContextual"/>
              </w:rPr>
            </w:pPr>
            <w:r>
              <w:rPr>
                <w:kern w:val="2"/>
                <w:lang w:val="sv-SE"/>
                <w14:ligatures w14:val="standardContextual"/>
              </w:rPr>
              <w:t>Almindelig</w:t>
            </w:r>
          </w:p>
        </w:tc>
      </w:tr>
      <w:tr w:rsidR="006E4AC9" w14:paraId="6C5262AF" w14:textId="77777777" w:rsidTr="006E4AC9">
        <w:trPr>
          <w:trHeight w:val="252"/>
        </w:trPr>
        <w:tc>
          <w:tcPr>
            <w:tcW w:w="3686" w:type="dxa"/>
            <w:vMerge/>
            <w:tcBorders>
              <w:top w:val="single" w:sz="4" w:space="0" w:color="000000"/>
              <w:left w:val="single" w:sz="4" w:space="0" w:color="000000"/>
              <w:bottom w:val="single" w:sz="4" w:space="0" w:color="000000"/>
              <w:right w:val="single" w:sz="4" w:space="0" w:color="000000"/>
            </w:tcBorders>
            <w:vAlign w:val="center"/>
            <w:hideMark/>
          </w:tcPr>
          <w:p w14:paraId="158C0EFF" w14:textId="77777777" w:rsidR="006E4AC9" w:rsidRDefault="006E4AC9">
            <w:pPr>
              <w:spacing w:line="276" w:lineRule="auto"/>
              <w:rPr>
                <w:bCs/>
                <w:kern w:val="2"/>
                <w:sz w:val="22"/>
                <w:lang w:val="sv-SE"/>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hideMark/>
          </w:tcPr>
          <w:p w14:paraId="392814A5" w14:textId="77777777" w:rsidR="006E4AC9" w:rsidRDefault="006E4AC9">
            <w:pPr>
              <w:spacing w:line="276" w:lineRule="auto"/>
              <w:rPr>
                <w:kern w:val="2"/>
                <w:lang w:val="sv-SE"/>
                <w14:ligatures w14:val="standardContextual"/>
              </w:rPr>
            </w:pPr>
            <w:r>
              <w:rPr>
                <w:kern w:val="2"/>
                <w:lang w:val="sv-SE"/>
                <w14:ligatures w14:val="standardContextual"/>
              </w:rPr>
              <w:t>Synkope</w:t>
            </w:r>
          </w:p>
        </w:tc>
        <w:tc>
          <w:tcPr>
            <w:tcW w:w="2410" w:type="dxa"/>
            <w:tcBorders>
              <w:top w:val="single" w:sz="4" w:space="0" w:color="000000"/>
              <w:left w:val="single" w:sz="4" w:space="0" w:color="000000"/>
              <w:bottom w:val="single" w:sz="4" w:space="0" w:color="000000"/>
              <w:right w:val="single" w:sz="4" w:space="0" w:color="000000"/>
            </w:tcBorders>
            <w:hideMark/>
          </w:tcPr>
          <w:p w14:paraId="51ACC6C5" w14:textId="77777777" w:rsidR="006E4AC9" w:rsidRDefault="006E4AC9">
            <w:pPr>
              <w:spacing w:line="276" w:lineRule="auto"/>
              <w:rPr>
                <w:kern w:val="2"/>
                <w:lang w:val="sv-SE"/>
                <w14:ligatures w14:val="standardContextual"/>
              </w:rPr>
            </w:pPr>
            <w:r>
              <w:rPr>
                <w:kern w:val="2"/>
                <w:lang w:val="sv-SE"/>
                <w14:ligatures w14:val="standardContextual"/>
              </w:rPr>
              <w:t>Almindelig</w:t>
            </w:r>
          </w:p>
        </w:tc>
      </w:tr>
      <w:tr w:rsidR="006E4AC9" w14:paraId="04A6192F" w14:textId="77777777" w:rsidTr="006E4AC9">
        <w:trPr>
          <w:trHeight w:val="252"/>
        </w:trPr>
        <w:tc>
          <w:tcPr>
            <w:tcW w:w="3686" w:type="dxa"/>
            <w:vMerge/>
            <w:tcBorders>
              <w:top w:val="single" w:sz="4" w:space="0" w:color="000000"/>
              <w:left w:val="single" w:sz="4" w:space="0" w:color="000000"/>
              <w:bottom w:val="single" w:sz="4" w:space="0" w:color="000000"/>
              <w:right w:val="single" w:sz="4" w:space="0" w:color="000000"/>
            </w:tcBorders>
            <w:vAlign w:val="center"/>
            <w:hideMark/>
          </w:tcPr>
          <w:p w14:paraId="2FA0BBBA" w14:textId="77777777" w:rsidR="006E4AC9" w:rsidRDefault="006E4AC9">
            <w:pPr>
              <w:spacing w:line="276" w:lineRule="auto"/>
              <w:rPr>
                <w:bCs/>
                <w:kern w:val="2"/>
                <w:sz w:val="22"/>
                <w:lang w:val="sv-SE"/>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hideMark/>
          </w:tcPr>
          <w:p w14:paraId="444E94A1" w14:textId="77777777" w:rsidR="006E4AC9" w:rsidRDefault="006E4AC9">
            <w:pPr>
              <w:spacing w:line="276" w:lineRule="auto"/>
              <w:rPr>
                <w:kern w:val="2"/>
                <w:lang w:val="sv-SE"/>
                <w14:ligatures w14:val="standardContextual"/>
              </w:rPr>
            </w:pPr>
            <w:r>
              <w:rPr>
                <w:kern w:val="2"/>
                <w:lang w:val="sv-SE"/>
                <w14:ligatures w14:val="standardContextual"/>
              </w:rPr>
              <w:t>Postural svimmelhed</w:t>
            </w:r>
          </w:p>
        </w:tc>
        <w:tc>
          <w:tcPr>
            <w:tcW w:w="2410" w:type="dxa"/>
            <w:tcBorders>
              <w:top w:val="single" w:sz="4" w:space="0" w:color="000000"/>
              <w:left w:val="single" w:sz="4" w:space="0" w:color="000000"/>
              <w:bottom w:val="single" w:sz="4" w:space="0" w:color="000000"/>
              <w:right w:val="single" w:sz="4" w:space="0" w:color="000000"/>
            </w:tcBorders>
            <w:hideMark/>
          </w:tcPr>
          <w:p w14:paraId="15A8B7F6" w14:textId="77777777" w:rsidR="006E4AC9" w:rsidRDefault="006E4AC9">
            <w:pPr>
              <w:spacing w:line="276" w:lineRule="auto"/>
              <w:rPr>
                <w:kern w:val="2"/>
                <w:lang w:val="sv-SE"/>
                <w14:ligatures w14:val="standardContextual"/>
              </w:rPr>
            </w:pPr>
            <w:r>
              <w:rPr>
                <w:kern w:val="2"/>
                <w:lang w:val="sv-SE"/>
                <w14:ligatures w14:val="standardContextual"/>
              </w:rPr>
              <w:t>Ikke almindelig</w:t>
            </w:r>
          </w:p>
        </w:tc>
      </w:tr>
      <w:tr w:rsidR="006E4AC9" w14:paraId="7D808197" w14:textId="77777777" w:rsidTr="006E4AC9">
        <w:trPr>
          <w:trHeight w:val="252"/>
        </w:trPr>
        <w:tc>
          <w:tcPr>
            <w:tcW w:w="3686" w:type="dxa"/>
            <w:vMerge/>
            <w:tcBorders>
              <w:top w:val="single" w:sz="4" w:space="0" w:color="000000"/>
              <w:left w:val="single" w:sz="4" w:space="0" w:color="000000"/>
              <w:bottom w:val="single" w:sz="4" w:space="0" w:color="000000"/>
              <w:right w:val="single" w:sz="4" w:space="0" w:color="000000"/>
            </w:tcBorders>
            <w:vAlign w:val="center"/>
            <w:hideMark/>
          </w:tcPr>
          <w:p w14:paraId="7320D81E" w14:textId="77777777" w:rsidR="006E4AC9" w:rsidRDefault="006E4AC9">
            <w:pPr>
              <w:spacing w:line="276" w:lineRule="auto"/>
              <w:rPr>
                <w:bCs/>
                <w:kern w:val="2"/>
                <w:sz w:val="22"/>
                <w:lang w:val="sv-SE"/>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hideMark/>
          </w:tcPr>
          <w:p w14:paraId="4E0FF201" w14:textId="77777777" w:rsidR="006E4AC9" w:rsidRDefault="006E4AC9">
            <w:pPr>
              <w:spacing w:line="276" w:lineRule="auto"/>
              <w:rPr>
                <w:kern w:val="2"/>
                <w:lang w:val="sv-SE"/>
                <w14:ligatures w14:val="standardContextual"/>
              </w:rPr>
            </w:pPr>
            <w:r>
              <w:rPr>
                <w:kern w:val="2"/>
                <w:lang w:val="sv-SE"/>
                <w14:ligatures w14:val="standardContextual"/>
              </w:rPr>
              <w:t>Myoklonus</w:t>
            </w:r>
          </w:p>
        </w:tc>
        <w:tc>
          <w:tcPr>
            <w:tcW w:w="2410" w:type="dxa"/>
            <w:tcBorders>
              <w:top w:val="single" w:sz="4" w:space="0" w:color="000000"/>
              <w:left w:val="single" w:sz="4" w:space="0" w:color="000000"/>
              <w:bottom w:val="single" w:sz="4" w:space="0" w:color="000000"/>
              <w:right w:val="single" w:sz="4" w:space="0" w:color="000000"/>
            </w:tcBorders>
            <w:hideMark/>
          </w:tcPr>
          <w:p w14:paraId="54C3FAFC" w14:textId="77777777" w:rsidR="006E4AC9" w:rsidRDefault="006E4AC9">
            <w:pPr>
              <w:spacing w:line="276" w:lineRule="auto"/>
              <w:rPr>
                <w:kern w:val="2"/>
                <w:lang w:val="sv-SE"/>
                <w14:ligatures w14:val="standardContextual"/>
              </w:rPr>
            </w:pPr>
            <w:r>
              <w:rPr>
                <w:kern w:val="2"/>
                <w:lang w:val="sv-SE"/>
                <w14:ligatures w14:val="standardContextual"/>
              </w:rPr>
              <w:t>Ikke kendt</w:t>
            </w:r>
          </w:p>
        </w:tc>
      </w:tr>
      <w:tr w:rsidR="006E4AC9" w14:paraId="61D2EC14" w14:textId="77777777" w:rsidTr="006E4AC9">
        <w:trPr>
          <w:trHeight w:val="253"/>
        </w:trPr>
        <w:tc>
          <w:tcPr>
            <w:tcW w:w="3686" w:type="dxa"/>
            <w:tcBorders>
              <w:top w:val="single" w:sz="4" w:space="0" w:color="000000"/>
              <w:left w:val="single" w:sz="4" w:space="0" w:color="000000"/>
              <w:bottom w:val="single" w:sz="4" w:space="0" w:color="000000"/>
              <w:right w:val="single" w:sz="4" w:space="0" w:color="000000"/>
            </w:tcBorders>
            <w:hideMark/>
          </w:tcPr>
          <w:p w14:paraId="45F87B36" w14:textId="77777777" w:rsidR="006E4AC9" w:rsidRDefault="006E4AC9">
            <w:pPr>
              <w:spacing w:line="276" w:lineRule="auto"/>
              <w:rPr>
                <w:bCs/>
                <w:kern w:val="2"/>
                <w:lang w:val="sv-SE"/>
                <w14:ligatures w14:val="standardContextual"/>
              </w:rPr>
            </w:pPr>
            <w:r>
              <w:rPr>
                <w:bCs/>
                <w:kern w:val="2"/>
                <w:lang w:val="sv-SE"/>
                <w14:ligatures w14:val="standardContextual"/>
              </w:rPr>
              <w:t>Øre og labyrint</w:t>
            </w:r>
          </w:p>
        </w:tc>
        <w:tc>
          <w:tcPr>
            <w:tcW w:w="2835" w:type="dxa"/>
            <w:tcBorders>
              <w:top w:val="single" w:sz="4" w:space="0" w:color="000000"/>
              <w:left w:val="single" w:sz="4" w:space="0" w:color="000000"/>
              <w:bottom w:val="single" w:sz="4" w:space="0" w:color="000000"/>
              <w:right w:val="single" w:sz="4" w:space="0" w:color="000000"/>
            </w:tcBorders>
            <w:hideMark/>
          </w:tcPr>
          <w:p w14:paraId="689B9C1C" w14:textId="77777777" w:rsidR="006E4AC9" w:rsidRDefault="006E4AC9">
            <w:pPr>
              <w:spacing w:line="276" w:lineRule="auto"/>
              <w:rPr>
                <w:kern w:val="2"/>
                <w:lang w:val="sv-SE"/>
                <w14:ligatures w14:val="standardContextual"/>
              </w:rPr>
            </w:pPr>
            <w:r>
              <w:rPr>
                <w:kern w:val="2"/>
                <w:lang w:val="sv-SE"/>
                <w14:ligatures w14:val="standardContextual"/>
              </w:rPr>
              <w:t>Vertigo</w:t>
            </w:r>
          </w:p>
        </w:tc>
        <w:tc>
          <w:tcPr>
            <w:tcW w:w="2410" w:type="dxa"/>
            <w:tcBorders>
              <w:top w:val="single" w:sz="4" w:space="0" w:color="000000"/>
              <w:left w:val="single" w:sz="4" w:space="0" w:color="000000"/>
              <w:bottom w:val="single" w:sz="4" w:space="0" w:color="000000"/>
              <w:right w:val="single" w:sz="4" w:space="0" w:color="000000"/>
            </w:tcBorders>
            <w:hideMark/>
          </w:tcPr>
          <w:p w14:paraId="34C0C1AD" w14:textId="77777777" w:rsidR="006E4AC9" w:rsidRDefault="006E4AC9">
            <w:pPr>
              <w:spacing w:line="276" w:lineRule="auto"/>
              <w:rPr>
                <w:kern w:val="2"/>
                <w:lang w:val="sv-SE"/>
                <w14:ligatures w14:val="standardContextual"/>
              </w:rPr>
            </w:pPr>
            <w:r>
              <w:rPr>
                <w:kern w:val="2"/>
                <w:lang w:val="sv-SE"/>
                <w14:ligatures w14:val="standardContextual"/>
              </w:rPr>
              <w:t>Almindelig</w:t>
            </w:r>
          </w:p>
        </w:tc>
      </w:tr>
      <w:tr w:rsidR="006E4AC9" w14:paraId="0B7D1A96" w14:textId="77777777" w:rsidTr="006E4AC9">
        <w:trPr>
          <w:trHeight w:val="293"/>
        </w:trPr>
        <w:tc>
          <w:tcPr>
            <w:tcW w:w="3686" w:type="dxa"/>
            <w:vMerge w:val="restart"/>
            <w:tcBorders>
              <w:top w:val="single" w:sz="4" w:space="0" w:color="000000"/>
              <w:left w:val="single" w:sz="4" w:space="0" w:color="000000"/>
              <w:bottom w:val="single" w:sz="4" w:space="0" w:color="000000"/>
              <w:right w:val="single" w:sz="4" w:space="0" w:color="000000"/>
            </w:tcBorders>
            <w:hideMark/>
          </w:tcPr>
          <w:p w14:paraId="73B79A1F" w14:textId="77777777" w:rsidR="006E4AC9" w:rsidRDefault="006E4AC9">
            <w:pPr>
              <w:spacing w:line="276" w:lineRule="auto"/>
              <w:rPr>
                <w:bCs/>
                <w:kern w:val="2"/>
                <w:lang w:val="sv-SE"/>
                <w14:ligatures w14:val="standardContextual"/>
              </w:rPr>
            </w:pPr>
            <w:r>
              <w:rPr>
                <w:bCs/>
                <w:kern w:val="2"/>
                <w:lang w:val="sv-SE"/>
                <w14:ligatures w14:val="standardContextual"/>
              </w:rPr>
              <w:t>Vaskulære sygdomme</w:t>
            </w:r>
          </w:p>
        </w:tc>
        <w:tc>
          <w:tcPr>
            <w:tcW w:w="2835" w:type="dxa"/>
            <w:tcBorders>
              <w:top w:val="single" w:sz="4" w:space="0" w:color="000000"/>
              <w:left w:val="single" w:sz="4" w:space="0" w:color="000000"/>
              <w:bottom w:val="single" w:sz="4" w:space="0" w:color="000000"/>
              <w:right w:val="single" w:sz="4" w:space="0" w:color="000000"/>
            </w:tcBorders>
            <w:hideMark/>
          </w:tcPr>
          <w:p w14:paraId="65A095D0" w14:textId="77777777" w:rsidR="006E4AC9" w:rsidRDefault="006E4AC9">
            <w:pPr>
              <w:spacing w:line="276" w:lineRule="auto"/>
              <w:rPr>
                <w:kern w:val="2"/>
                <w:lang w:val="sv-SE"/>
                <w14:ligatures w14:val="standardContextual"/>
              </w:rPr>
            </w:pPr>
            <w:r>
              <w:rPr>
                <w:kern w:val="2"/>
                <w:lang w:val="sv-SE"/>
                <w14:ligatures w14:val="standardContextual"/>
              </w:rPr>
              <w:t>Hypotension*</w:t>
            </w:r>
          </w:p>
        </w:tc>
        <w:tc>
          <w:tcPr>
            <w:tcW w:w="2410" w:type="dxa"/>
            <w:tcBorders>
              <w:top w:val="single" w:sz="4" w:space="0" w:color="000000"/>
              <w:left w:val="single" w:sz="4" w:space="0" w:color="000000"/>
              <w:bottom w:val="single" w:sz="4" w:space="0" w:color="000000"/>
              <w:right w:val="single" w:sz="4" w:space="0" w:color="000000"/>
            </w:tcBorders>
            <w:hideMark/>
          </w:tcPr>
          <w:p w14:paraId="5CA044D2" w14:textId="77777777" w:rsidR="006E4AC9" w:rsidRDefault="006E4AC9">
            <w:pPr>
              <w:spacing w:line="276" w:lineRule="auto"/>
              <w:rPr>
                <w:kern w:val="2"/>
                <w:lang w:val="sv-SE"/>
                <w14:ligatures w14:val="standardContextual"/>
              </w:rPr>
            </w:pPr>
            <w:r>
              <w:rPr>
                <w:kern w:val="2"/>
                <w:lang w:val="sv-SE"/>
                <w14:ligatures w14:val="standardContextual"/>
              </w:rPr>
              <w:t>Meget almindelig</w:t>
            </w:r>
          </w:p>
        </w:tc>
      </w:tr>
      <w:tr w:rsidR="006E4AC9" w14:paraId="4D034273" w14:textId="77777777" w:rsidTr="006E4AC9">
        <w:trPr>
          <w:trHeight w:val="252"/>
        </w:trPr>
        <w:tc>
          <w:tcPr>
            <w:tcW w:w="3686" w:type="dxa"/>
            <w:vMerge/>
            <w:tcBorders>
              <w:top w:val="single" w:sz="4" w:space="0" w:color="000000"/>
              <w:left w:val="single" w:sz="4" w:space="0" w:color="000000"/>
              <w:bottom w:val="single" w:sz="4" w:space="0" w:color="000000"/>
              <w:right w:val="single" w:sz="4" w:space="0" w:color="000000"/>
            </w:tcBorders>
            <w:vAlign w:val="center"/>
            <w:hideMark/>
          </w:tcPr>
          <w:p w14:paraId="5971AE5A" w14:textId="77777777" w:rsidR="006E4AC9" w:rsidRDefault="006E4AC9">
            <w:pPr>
              <w:spacing w:line="276" w:lineRule="auto"/>
              <w:rPr>
                <w:bCs/>
                <w:kern w:val="2"/>
                <w:sz w:val="22"/>
                <w:lang w:val="sv-SE"/>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hideMark/>
          </w:tcPr>
          <w:p w14:paraId="793AA5EF" w14:textId="77777777" w:rsidR="006E4AC9" w:rsidRDefault="006E4AC9">
            <w:pPr>
              <w:spacing w:line="276" w:lineRule="auto"/>
              <w:rPr>
                <w:kern w:val="2"/>
                <w:lang w:val="sv-SE"/>
                <w14:ligatures w14:val="standardContextual"/>
              </w:rPr>
            </w:pPr>
            <w:r>
              <w:rPr>
                <w:kern w:val="2"/>
                <w:lang w:val="sv-SE"/>
                <w14:ligatures w14:val="standardContextual"/>
              </w:rPr>
              <w:t>Ortostatisk hypotension</w:t>
            </w:r>
          </w:p>
        </w:tc>
        <w:tc>
          <w:tcPr>
            <w:tcW w:w="2410" w:type="dxa"/>
            <w:tcBorders>
              <w:top w:val="single" w:sz="4" w:space="0" w:color="000000"/>
              <w:left w:val="single" w:sz="4" w:space="0" w:color="000000"/>
              <w:bottom w:val="single" w:sz="4" w:space="0" w:color="000000"/>
              <w:right w:val="single" w:sz="4" w:space="0" w:color="000000"/>
            </w:tcBorders>
            <w:hideMark/>
          </w:tcPr>
          <w:p w14:paraId="59FCA999" w14:textId="77777777" w:rsidR="006E4AC9" w:rsidRDefault="006E4AC9">
            <w:pPr>
              <w:spacing w:line="276" w:lineRule="auto"/>
              <w:rPr>
                <w:kern w:val="2"/>
                <w:lang w:val="sv-SE"/>
                <w14:ligatures w14:val="standardContextual"/>
              </w:rPr>
            </w:pPr>
            <w:r>
              <w:rPr>
                <w:kern w:val="2"/>
                <w:lang w:val="sv-SE"/>
                <w14:ligatures w14:val="standardContextual"/>
              </w:rPr>
              <w:t>Almindelig</w:t>
            </w:r>
          </w:p>
        </w:tc>
      </w:tr>
      <w:tr w:rsidR="006E4AC9" w14:paraId="47025D5B" w14:textId="77777777" w:rsidTr="006E4AC9">
        <w:trPr>
          <w:trHeight w:val="252"/>
        </w:trPr>
        <w:tc>
          <w:tcPr>
            <w:tcW w:w="3686" w:type="dxa"/>
            <w:tcBorders>
              <w:top w:val="single" w:sz="4" w:space="0" w:color="000000"/>
              <w:left w:val="single" w:sz="4" w:space="0" w:color="000000"/>
              <w:bottom w:val="single" w:sz="4" w:space="0" w:color="000000"/>
              <w:right w:val="single" w:sz="4" w:space="0" w:color="000000"/>
            </w:tcBorders>
            <w:hideMark/>
          </w:tcPr>
          <w:p w14:paraId="111916E3" w14:textId="77777777" w:rsidR="006E4AC9" w:rsidRDefault="006E4AC9">
            <w:pPr>
              <w:spacing w:line="276" w:lineRule="auto"/>
              <w:rPr>
                <w:bCs/>
                <w:kern w:val="2"/>
                <w:lang w:val="sv-SE"/>
                <w14:ligatures w14:val="standardContextual"/>
              </w:rPr>
            </w:pPr>
            <w:r>
              <w:rPr>
                <w:bCs/>
                <w:kern w:val="2"/>
                <w:lang w:val="sv-SE"/>
                <w14:ligatures w14:val="standardContextual"/>
              </w:rPr>
              <w:t>Luftveje, thorax og mediastinum</w:t>
            </w:r>
          </w:p>
        </w:tc>
        <w:tc>
          <w:tcPr>
            <w:tcW w:w="2835" w:type="dxa"/>
            <w:tcBorders>
              <w:top w:val="single" w:sz="4" w:space="0" w:color="000000"/>
              <w:left w:val="single" w:sz="4" w:space="0" w:color="000000"/>
              <w:bottom w:val="single" w:sz="4" w:space="0" w:color="000000"/>
              <w:right w:val="single" w:sz="4" w:space="0" w:color="000000"/>
            </w:tcBorders>
            <w:hideMark/>
          </w:tcPr>
          <w:p w14:paraId="0A8FC587" w14:textId="77777777" w:rsidR="006E4AC9" w:rsidRDefault="006E4AC9">
            <w:pPr>
              <w:spacing w:line="276" w:lineRule="auto"/>
              <w:rPr>
                <w:kern w:val="2"/>
                <w:lang w:val="sv-SE"/>
                <w14:ligatures w14:val="standardContextual"/>
              </w:rPr>
            </w:pPr>
            <w:r>
              <w:rPr>
                <w:kern w:val="2"/>
                <w:lang w:val="sv-SE"/>
                <w14:ligatures w14:val="standardContextual"/>
              </w:rPr>
              <w:t>Hoste</w:t>
            </w:r>
          </w:p>
        </w:tc>
        <w:tc>
          <w:tcPr>
            <w:tcW w:w="2410" w:type="dxa"/>
            <w:tcBorders>
              <w:top w:val="single" w:sz="4" w:space="0" w:color="000000"/>
              <w:left w:val="single" w:sz="4" w:space="0" w:color="000000"/>
              <w:bottom w:val="single" w:sz="4" w:space="0" w:color="000000"/>
              <w:right w:val="single" w:sz="4" w:space="0" w:color="000000"/>
            </w:tcBorders>
            <w:hideMark/>
          </w:tcPr>
          <w:p w14:paraId="48999553" w14:textId="77777777" w:rsidR="006E4AC9" w:rsidRDefault="006E4AC9">
            <w:pPr>
              <w:spacing w:line="276" w:lineRule="auto"/>
              <w:rPr>
                <w:kern w:val="2"/>
                <w:lang w:val="sv-SE"/>
                <w14:ligatures w14:val="standardContextual"/>
              </w:rPr>
            </w:pPr>
            <w:r>
              <w:rPr>
                <w:kern w:val="2"/>
                <w:lang w:val="sv-SE"/>
                <w14:ligatures w14:val="standardContextual"/>
              </w:rPr>
              <w:t>Almindelig</w:t>
            </w:r>
          </w:p>
        </w:tc>
      </w:tr>
      <w:tr w:rsidR="006E4AC9" w14:paraId="0AC0BCE9" w14:textId="77777777" w:rsidTr="006E4AC9">
        <w:trPr>
          <w:trHeight w:val="252"/>
        </w:trPr>
        <w:tc>
          <w:tcPr>
            <w:tcW w:w="3686" w:type="dxa"/>
            <w:vMerge w:val="restart"/>
            <w:tcBorders>
              <w:top w:val="single" w:sz="4" w:space="0" w:color="000000"/>
              <w:left w:val="single" w:sz="4" w:space="0" w:color="000000"/>
              <w:bottom w:val="single" w:sz="4" w:space="0" w:color="000000"/>
              <w:right w:val="single" w:sz="4" w:space="0" w:color="000000"/>
            </w:tcBorders>
            <w:hideMark/>
          </w:tcPr>
          <w:p w14:paraId="40C43B7C" w14:textId="77777777" w:rsidR="006E4AC9" w:rsidRDefault="006E4AC9">
            <w:pPr>
              <w:spacing w:line="276" w:lineRule="auto"/>
              <w:rPr>
                <w:bCs/>
                <w:kern w:val="2"/>
                <w:lang w:val="sv-SE"/>
                <w14:ligatures w14:val="standardContextual"/>
              </w:rPr>
            </w:pPr>
            <w:r>
              <w:rPr>
                <w:bCs/>
                <w:kern w:val="2"/>
                <w:lang w:val="sv-SE"/>
                <w14:ligatures w14:val="standardContextual"/>
              </w:rPr>
              <w:t>Mave-tarm-kanalen</w:t>
            </w:r>
          </w:p>
        </w:tc>
        <w:tc>
          <w:tcPr>
            <w:tcW w:w="2835" w:type="dxa"/>
            <w:tcBorders>
              <w:top w:val="single" w:sz="4" w:space="0" w:color="000000"/>
              <w:left w:val="single" w:sz="4" w:space="0" w:color="000000"/>
              <w:bottom w:val="single" w:sz="4" w:space="0" w:color="000000"/>
              <w:right w:val="single" w:sz="4" w:space="0" w:color="000000"/>
            </w:tcBorders>
            <w:hideMark/>
          </w:tcPr>
          <w:p w14:paraId="432ACC34" w14:textId="77777777" w:rsidR="006E4AC9" w:rsidRDefault="006E4AC9">
            <w:pPr>
              <w:spacing w:line="276" w:lineRule="auto"/>
              <w:rPr>
                <w:kern w:val="2"/>
                <w:lang w:val="sv-SE"/>
                <w14:ligatures w14:val="standardContextual"/>
              </w:rPr>
            </w:pPr>
            <w:r>
              <w:rPr>
                <w:kern w:val="2"/>
                <w:lang w:val="sv-SE"/>
                <w14:ligatures w14:val="standardContextual"/>
              </w:rPr>
              <w:t>Diarré</w:t>
            </w:r>
          </w:p>
        </w:tc>
        <w:tc>
          <w:tcPr>
            <w:tcW w:w="2410" w:type="dxa"/>
            <w:tcBorders>
              <w:top w:val="single" w:sz="4" w:space="0" w:color="000000"/>
              <w:left w:val="single" w:sz="4" w:space="0" w:color="000000"/>
              <w:bottom w:val="single" w:sz="4" w:space="0" w:color="000000"/>
              <w:right w:val="single" w:sz="4" w:space="0" w:color="000000"/>
            </w:tcBorders>
            <w:hideMark/>
          </w:tcPr>
          <w:p w14:paraId="5BE8BDA8" w14:textId="77777777" w:rsidR="006E4AC9" w:rsidRDefault="006E4AC9">
            <w:pPr>
              <w:spacing w:line="276" w:lineRule="auto"/>
              <w:rPr>
                <w:kern w:val="2"/>
                <w:lang w:val="sv-SE"/>
                <w14:ligatures w14:val="standardContextual"/>
              </w:rPr>
            </w:pPr>
            <w:r>
              <w:rPr>
                <w:kern w:val="2"/>
                <w:lang w:val="sv-SE"/>
                <w14:ligatures w14:val="standardContextual"/>
              </w:rPr>
              <w:t>Almindelig</w:t>
            </w:r>
          </w:p>
        </w:tc>
      </w:tr>
      <w:tr w:rsidR="006E4AC9" w14:paraId="4318FEF6" w14:textId="77777777" w:rsidTr="006E4AC9">
        <w:trPr>
          <w:trHeight w:val="252"/>
        </w:trPr>
        <w:tc>
          <w:tcPr>
            <w:tcW w:w="3686" w:type="dxa"/>
            <w:vMerge/>
            <w:tcBorders>
              <w:top w:val="single" w:sz="4" w:space="0" w:color="000000"/>
              <w:left w:val="single" w:sz="4" w:space="0" w:color="000000"/>
              <w:bottom w:val="single" w:sz="4" w:space="0" w:color="000000"/>
              <w:right w:val="single" w:sz="4" w:space="0" w:color="000000"/>
            </w:tcBorders>
            <w:vAlign w:val="center"/>
            <w:hideMark/>
          </w:tcPr>
          <w:p w14:paraId="1F1BF92F" w14:textId="77777777" w:rsidR="006E4AC9" w:rsidRDefault="006E4AC9">
            <w:pPr>
              <w:spacing w:line="276" w:lineRule="auto"/>
              <w:rPr>
                <w:bCs/>
                <w:kern w:val="2"/>
                <w:sz w:val="22"/>
                <w:lang w:val="sv-SE"/>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hideMark/>
          </w:tcPr>
          <w:p w14:paraId="0F333EF1" w14:textId="77777777" w:rsidR="006E4AC9" w:rsidRDefault="006E4AC9">
            <w:pPr>
              <w:spacing w:line="276" w:lineRule="auto"/>
              <w:rPr>
                <w:kern w:val="2"/>
                <w:lang w:val="sv-SE"/>
                <w14:ligatures w14:val="standardContextual"/>
              </w:rPr>
            </w:pPr>
            <w:r>
              <w:rPr>
                <w:kern w:val="2"/>
                <w:lang w:val="sv-SE"/>
                <w14:ligatures w14:val="standardContextual"/>
              </w:rPr>
              <w:t>Kvalme</w:t>
            </w:r>
          </w:p>
        </w:tc>
        <w:tc>
          <w:tcPr>
            <w:tcW w:w="2410" w:type="dxa"/>
            <w:tcBorders>
              <w:top w:val="single" w:sz="4" w:space="0" w:color="000000"/>
              <w:left w:val="single" w:sz="4" w:space="0" w:color="000000"/>
              <w:bottom w:val="single" w:sz="4" w:space="0" w:color="000000"/>
              <w:right w:val="single" w:sz="4" w:space="0" w:color="000000"/>
            </w:tcBorders>
            <w:hideMark/>
          </w:tcPr>
          <w:p w14:paraId="3C02663D" w14:textId="77777777" w:rsidR="006E4AC9" w:rsidRDefault="006E4AC9">
            <w:pPr>
              <w:spacing w:line="276" w:lineRule="auto"/>
              <w:rPr>
                <w:kern w:val="2"/>
                <w:lang w:val="sv-SE"/>
                <w14:ligatures w14:val="standardContextual"/>
              </w:rPr>
            </w:pPr>
            <w:r>
              <w:rPr>
                <w:kern w:val="2"/>
                <w:lang w:val="sv-SE"/>
                <w14:ligatures w14:val="standardContextual"/>
              </w:rPr>
              <w:t>Almindelig</w:t>
            </w:r>
          </w:p>
        </w:tc>
      </w:tr>
      <w:tr w:rsidR="006E4AC9" w14:paraId="7A48B87E" w14:textId="77777777" w:rsidTr="006E4AC9">
        <w:trPr>
          <w:trHeight w:val="254"/>
        </w:trPr>
        <w:tc>
          <w:tcPr>
            <w:tcW w:w="3686" w:type="dxa"/>
            <w:vMerge/>
            <w:tcBorders>
              <w:top w:val="single" w:sz="4" w:space="0" w:color="000000"/>
              <w:left w:val="single" w:sz="4" w:space="0" w:color="000000"/>
              <w:bottom w:val="single" w:sz="4" w:space="0" w:color="000000"/>
              <w:right w:val="single" w:sz="4" w:space="0" w:color="000000"/>
            </w:tcBorders>
            <w:vAlign w:val="center"/>
            <w:hideMark/>
          </w:tcPr>
          <w:p w14:paraId="30FA042D" w14:textId="77777777" w:rsidR="006E4AC9" w:rsidRDefault="006E4AC9">
            <w:pPr>
              <w:spacing w:line="276" w:lineRule="auto"/>
              <w:rPr>
                <w:bCs/>
                <w:kern w:val="2"/>
                <w:sz w:val="22"/>
                <w:lang w:val="sv-SE"/>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hideMark/>
          </w:tcPr>
          <w:p w14:paraId="027EFFE7" w14:textId="77777777" w:rsidR="006E4AC9" w:rsidRDefault="006E4AC9">
            <w:pPr>
              <w:spacing w:line="276" w:lineRule="auto"/>
              <w:rPr>
                <w:kern w:val="2"/>
                <w:lang w:val="sv-SE"/>
                <w14:ligatures w14:val="standardContextual"/>
              </w:rPr>
            </w:pPr>
            <w:r>
              <w:rPr>
                <w:kern w:val="2"/>
                <w:lang w:val="sv-SE"/>
                <w14:ligatures w14:val="standardContextual"/>
              </w:rPr>
              <w:t>Gastritis</w:t>
            </w:r>
          </w:p>
        </w:tc>
        <w:tc>
          <w:tcPr>
            <w:tcW w:w="2410" w:type="dxa"/>
            <w:tcBorders>
              <w:top w:val="single" w:sz="4" w:space="0" w:color="000000"/>
              <w:left w:val="single" w:sz="4" w:space="0" w:color="000000"/>
              <w:bottom w:val="single" w:sz="4" w:space="0" w:color="000000"/>
              <w:right w:val="single" w:sz="4" w:space="0" w:color="000000"/>
            </w:tcBorders>
            <w:hideMark/>
          </w:tcPr>
          <w:p w14:paraId="5D2BF451" w14:textId="77777777" w:rsidR="006E4AC9" w:rsidRDefault="006E4AC9">
            <w:pPr>
              <w:spacing w:line="276" w:lineRule="auto"/>
              <w:rPr>
                <w:kern w:val="2"/>
                <w:lang w:val="sv-SE"/>
                <w14:ligatures w14:val="standardContextual"/>
              </w:rPr>
            </w:pPr>
            <w:r>
              <w:rPr>
                <w:kern w:val="2"/>
                <w:lang w:val="sv-SE"/>
                <w14:ligatures w14:val="standardContextual"/>
              </w:rPr>
              <w:t>Almindelig</w:t>
            </w:r>
          </w:p>
        </w:tc>
      </w:tr>
      <w:tr w:rsidR="006E4AC9" w14:paraId="4291B7BE" w14:textId="77777777" w:rsidTr="006E4AC9">
        <w:trPr>
          <w:trHeight w:val="252"/>
        </w:trPr>
        <w:tc>
          <w:tcPr>
            <w:tcW w:w="3686" w:type="dxa"/>
            <w:vMerge/>
            <w:tcBorders>
              <w:top w:val="single" w:sz="4" w:space="0" w:color="000000"/>
              <w:left w:val="single" w:sz="4" w:space="0" w:color="000000"/>
              <w:bottom w:val="single" w:sz="4" w:space="0" w:color="000000"/>
              <w:right w:val="single" w:sz="4" w:space="0" w:color="000000"/>
            </w:tcBorders>
            <w:vAlign w:val="center"/>
            <w:hideMark/>
          </w:tcPr>
          <w:p w14:paraId="52DAAE49" w14:textId="77777777" w:rsidR="006E4AC9" w:rsidRDefault="006E4AC9">
            <w:pPr>
              <w:spacing w:line="276" w:lineRule="auto"/>
              <w:rPr>
                <w:bCs/>
                <w:kern w:val="2"/>
                <w:sz w:val="22"/>
                <w:lang w:val="sv-SE"/>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hideMark/>
          </w:tcPr>
          <w:p w14:paraId="2A5D11BE" w14:textId="77777777" w:rsidR="006E4AC9" w:rsidRDefault="006E4AC9">
            <w:pPr>
              <w:spacing w:line="276" w:lineRule="auto"/>
              <w:rPr>
                <w:kern w:val="2"/>
                <w:lang w:val="sv-SE"/>
                <w14:ligatures w14:val="standardContextual"/>
              </w:rPr>
            </w:pPr>
            <w:r>
              <w:rPr>
                <w:kern w:val="2"/>
                <w:lang w:val="sv-SE"/>
                <w14:ligatures w14:val="standardContextual"/>
              </w:rPr>
              <w:t>Intestinalt angioødem</w:t>
            </w:r>
          </w:p>
        </w:tc>
        <w:tc>
          <w:tcPr>
            <w:tcW w:w="2410" w:type="dxa"/>
            <w:tcBorders>
              <w:top w:val="single" w:sz="4" w:space="0" w:color="000000"/>
              <w:left w:val="single" w:sz="4" w:space="0" w:color="000000"/>
              <w:bottom w:val="single" w:sz="4" w:space="0" w:color="000000"/>
              <w:right w:val="single" w:sz="4" w:space="0" w:color="000000"/>
            </w:tcBorders>
            <w:hideMark/>
          </w:tcPr>
          <w:p w14:paraId="4F7E7D17" w14:textId="77777777" w:rsidR="006E4AC9" w:rsidRDefault="006E4AC9">
            <w:pPr>
              <w:spacing w:line="276" w:lineRule="auto"/>
              <w:rPr>
                <w:kern w:val="2"/>
                <w:lang w:val="sv-SE"/>
                <w14:ligatures w14:val="standardContextual"/>
              </w:rPr>
            </w:pPr>
            <w:r>
              <w:rPr>
                <w:kern w:val="2"/>
                <w:lang w:val="sv-SE"/>
                <w14:ligatures w14:val="standardContextual"/>
              </w:rPr>
              <w:t>Meget sjælden</w:t>
            </w:r>
          </w:p>
        </w:tc>
      </w:tr>
      <w:tr w:rsidR="006E4AC9" w14:paraId="69CFD502" w14:textId="77777777" w:rsidTr="006E4AC9">
        <w:trPr>
          <w:trHeight w:val="252"/>
        </w:trPr>
        <w:tc>
          <w:tcPr>
            <w:tcW w:w="3686" w:type="dxa"/>
            <w:vMerge w:val="restart"/>
            <w:tcBorders>
              <w:top w:val="single" w:sz="4" w:space="0" w:color="000000"/>
              <w:left w:val="single" w:sz="4" w:space="0" w:color="000000"/>
              <w:bottom w:val="single" w:sz="4" w:space="0" w:color="000000"/>
              <w:right w:val="single" w:sz="4" w:space="0" w:color="000000"/>
            </w:tcBorders>
            <w:hideMark/>
          </w:tcPr>
          <w:p w14:paraId="6B42CC70" w14:textId="77777777" w:rsidR="006E4AC9" w:rsidRDefault="006E4AC9">
            <w:pPr>
              <w:spacing w:line="276" w:lineRule="auto"/>
              <w:rPr>
                <w:bCs/>
                <w:kern w:val="2"/>
                <w:lang w:val="sv-SE"/>
                <w14:ligatures w14:val="standardContextual"/>
              </w:rPr>
            </w:pPr>
            <w:r>
              <w:rPr>
                <w:bCs/>
                <w:kern w:val="2"/>
                <w:lang w:val="sv-SE"/>
                <w14:ligatures w14:val="standardContextual"/>
              </w:rPr>
              <w:t>Hud og subkutane væv</w:t>
            </w:r>
          </w:p>
        </w:tc>
        <w:tc>
          <w:tcPr>
            <w:tcW w:w="2835" w:type="dxa"/>
            <w:tcBorders>
              <w:top w:val="single" w:sz="4" w:space="0" w:color="000000"/>
              <w:left w:val="single" w:sz="4" w:space="0" w:color="000000"/>
              <w:bottom w:val="single" w:sz="4" w:space="0" w:color="000000"/>
              <w:right w:val="single" w:sz="4" w:space="0" w:color="000000"/>
            </w:tcBorders>
            <w:hideMark/>
          </w:tcPr>
          <w:p w14:paraId="7CA9CB69" w14:textId="77777777" w:rsidR="006E4AC9" w:rsidRDefault="006E4AC9">
            <w:pPr>
              <w:spacing w:line="276" w:lineRule="auto"/>
              <w:rPr>
                <w:kern w:val="2"/>
                <w:lang w:val="sv-SE"/>
                <w14:ligatures w14:val="standardContextual"/>
              </w:rPr>
            </w:pPr>
            <w:r>
              <w:rPr>
                <w:kern w:val="2"/>
                <w:lang w:val="sv-SE"/>
                <w14:ligatures w14:val="standardContextual"/>
              </w:rPr>
              <w:t>Pruritus</w:t>
            </w:r>
          </w:p>
        </w:tc>
        <w:tc>
          <w:tcPr>
            <w:tcW w:w="2410" w:type="dxa"/>
            <w:tcBorders>
              <w:top w:val="single" w:sz="4" w:space="0" w:color="000000"/>
              <w:left w:val="single" w:sz="4" w:space="0" w:color="000000"/>
              <w:bottom w:val="single" w:sz="4" w:space="0" w:color="000000"/>
              <w:right w:val="single" w:sz="4" w:space="0" w:color="000000"/>
            </w:tcBorders>
            <w:hideMark/>
          </w:tcPr>
          <w:p w14:paraId="18ED7C8C" w14:textId="77777777" w:rsidR="006E4AC9" w:rsidRDefault="006E4AC9">
            <w:pPr>
              <w:spacing w:line="276" w:lineRule="auto"/>
              <w:rPr>
                <w:kern w:val="2"/>
                <w:lang w:val="sv-SE"/>
                <w14:ligatures w14:val="standardContextual"/>
              </w:rPr>
            </w:pPr>
            <w:r>
              <w:rPr>
                <w:kern w:val="2"/>
                <w:lang w:val="sv-SE"/>
                <w14:ligatures w14:val="standardContextual"/>
              </w:rPr>
              <w:t>Ikke almindelig</w:t>
            </w:r>
          </w:p>
        </w:tc>
      </w:tr>
      <w:tr w:rsidR="006E4AC9" w14:paraId="544F8845" w14:textId="77777777" w:rsidTr="006E4AC9">
        <w:trPr>
          <w:trHeight w:val="252"/>
        </w:trPr>
        <w:tc>
          <w:tcPr>
            <w:tcW w:w="3686" w:type="dxa"/>
            <w:vMerge/>
            <w:tcBorders>
              <w:top w:val="single" w:sz="4" w:space="0" w:color="000000"/>
              <w:left w:val="single" w:sz="4" w:space="0" w:color="000000"/>
              <w:bottom w:val="single" w:sz="4" w:space="0" w:color="000000"/>
              <w:right w:val="single" w:sz="4" w:space="0" w:color="000000"/>
            </w:tcBorders>
            <w:vAlign w:val="center"/>
            <w:hideMark/>
          </w:tcPr>
          <w:p w14:paraId="652B98DF" w14:textId="77777777" w:rsidR="006E4AC9" w:rsidRDefault="006E4AC9">
            <w:pPr>
              <w:spacing w:line="276" w:lineRule="auto"/>
              <w:rPr>
                <w:bCs/>
                <w:kern w:val="2"/>
                <w:sz w:val="22"/>
                <w:lang w:val="sv-SE"/>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hideMark/>
          </w:tcPr>
          <w:p w14:paraId="54949979" w14:textId="77777777" w:rsidR="006E4AC9" w:rsidRDefault="006E4AC9">
            <w:pPr>
              <w:spacing w:line="276" w:lineRule="auto"/>
              <w:rPr>
                <w:kern w:val="2"/>
                <w:lang w:val="sv-SE"/>
                <w14:ligatures w14:val="standardContextual"/>
              </w:rPr>
            </w:pPr>
            <w:r>
              <w:rPr>
                <w:kern w:val="2"/>
                <w:lang w:val="sv-SE"/>
                <w14:ligatures w14:val="standardContextual"/>
              </w:rPr>
              <w:t>Udslæt</w:t>
            </w:r>
          </w:p>
        </w:tc>
        <w:tc>
          <w:tcPr>
            <w:tcW w:w="2410" w:type="dxa"/>
            <w:tcBorders>
              <w:top w:val="single" w:sz="4" w:space="0" w:color="000000"/>
              <w:left w:val="single" w:sz="4" w:space="0" w:color="000000"/>
              <w:bottom w:val="single" w:sz="4" w:space="0" w:color="000000"/>
              <w:right w:val="single" w:sz="4" w:space="0" w:color="000000"/>
            </w:tcBorders>
            <w:hideMark/>
          </w:tcPr>
          <w:p w14:paraId="63D09776" w14:textId="77777777" w:rsidR="006E4AC9" w:rsidRDefault="006E4AC9">
            <w:pPr>
              <w:spacing w:line="276" w:lineRule="auto"/>
              <w:rPr>
                <w:kern w:val="2"/>
                <w:lang w:val="sv-SE"/>
                <w14:ligatures w14:val="standardContextual"/>
              </w:rPr>
            </w:pPr>
            <w:r>
              <w:rPr>
                <w:kern w:val="2"/>
                <w:lang w:val="sv-SE"/>
                <w14:ligatures w14:val="standardContextual"/>
              </w:rPr>
              <w:t>Ikke almindelig</w:t>
            </w:r>
          </w:p>
        </w:tc>
      </w:tr>
      <w:tr w:rsidR="006E4AC9" w14:paraId="51FD1489" w14:textId="77777777" w:rsidTr="006E4AC9">
        <w:trPr>
          <w:trHeight w:val="252"/>
        </w:trPr>
        <w:tc>
          <w:tcPr>
            <w:tcW w:w="3686" w:type="dxa"/>
            <w:vMerge/>
            <w:tcBorders>
              <w:top w:val="single" w:sz="4" w:space="0" w:color="000000"/>
              <w:left w:val="single" w:sz="4" w:space="0" w:color="000000"/>
              <w:bottom w:val="single" w:sz="4" w:space="0" w:color="000000"/>
              <w:right w:val="single" w:sz="4" w:space="0" w:color="000000"/>
            </w:tcBorders>
            <w:vAlign w:val="center"/>
            <w:hideMark/>
          </w:tcPr>
          <w:p w14:paraId="0A2BA951" w14:textId="77777777" w:rsidR="006E4AC9" w:rsidRDefault="006E4AC9">
            <w:pPr>
              <w:spacing w:line="276" w:lineRule="auto"/>
              <w:rPr>
                <w:bCs/>
                <w:kern w:val="2"/>
                <w:sz w:val="22"/>
                <w:lang w:val="sv-SE"/>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hideMark/>
          </w:tcPr>
          <w:p w14:paraId="480B51A1" w14:textId="77777777" w:rsidR="006E4AC9" w:rsidRDefault="006E4AC9">
            <w:pPr>
              <w:spacing w:line="276" w:lineRule="auto"/>
              <w:rPr>
                <w:kern w:val="2"/>
                <w:lang w:val="sv-SE"/>
                <w14:ligatures w14:val="standardContextual"/>
              </w:rPr>
            </w:pPr>
            <w:r>
              <w:rPr>
                <w:kern w:val="2"/>
                <w:lang w:val="sv-SE"/>
                <w14:ligatures w14:val="standardContextual"/>
              </w:rPr>
              <w:t>Angioødem*</w:t>
            </w:r>
          </w:p>
        </w:tc>
        <w:tc>
          <w:tcPr>
            <w:tcW w:w="2410" w:type="dxa"/>
            <w:tcBorders>
              <w:top w:val="single" w:sz="4" w:space="0" w:color="000000"/>
              <w:left w:val="single" w:sz="4" w:space="0" w:color="000000"/>
              <w:bottom w:val="single" w:sz="4" w:space="0" w:color="000000"/>
              <w:right w:val="single" w:sz="4" w:space="0" w:color="000000"/>
            </w:tcBorders>
            <w:hideMark/>
          </w:tcPr>
          <w:p w14:paraId="75477915" w14:textId="77777777" w:rsidR="006E4AC9" w:rsidRDefault="006E4AC9">
            <w:pPr>
              <w:spacing w:line="276" w:lineRule="auto"/>
              <w:rPr>
                <w:kern w:val="2"/>
                <w:lang w:val="sv-SE"/>
                <w14:ligatures w14:val="standardContextual"/>
              </w:rPr>
            </w:pPr>
            <w:r>
              <w:rPr>
                <w:kern w:val="2"/>
                <w:lang w:val="sv-SE"/>
                <w14:ligatures w14:val="standardContextual"/>
              </w:rPr>
              <w:t>Ikke almindelig</w:t>
            </w:r>
          </w:p>
        </w:tc>
      </w:tr>
      <w:tr w:rsidR="006E4AC9" w14:paraId="796E4E8A" w14:textId="77777777" w:rsidTr="006E4AC9">
        <w:trPr>
          <w:trHeight w:val="252"/>
        </w:trPr>
        <w:tc>
          <w:tcPr>
            <w:tcW w:w="3686" w:type="dxa"/>
            <w:vMerge w:val="restart"/>
            <w:tcBorders>
              <w:top w:val="single" w:sz="4" w:space="0" w:color="000000"/>
              <w:left w:val="single" w:sz="4" w:space="0" w:color="000000"/>
              <w:bottom w:val="single" w:sz="4" w:space="0" w:color="000000"/>
              <w:right w:val="single" w:sz="4" w:space="0" w:color="000000"/>
            </w:tcBorders>
            <w:hideMark/>
          </w:tcPr>
          <w:p w14:paraId="7509B9FC" w14:textId="77777777" w:rsidR="006E4AC9" w:rsidRDefault="006E4AC9">
            <w:pPr>
              <w:spacing w:line="276" w:lineRule="auto"/>
              <w:rPr>
                <w:bCs/>
                <w:kern w:val="2"/>
                <w:lang w:val="sv-SE"/>
                <w14:ligatures w14:val="standardContextual"/>
              </w:rPr>
            </w:pPr>
            <w:r>
              <w:rPr>
                <w:bCs/>
                <w:kern w:val="2"/>
                <w:lang w:val="sv-SE"/>
                <w14:ligatures w14:val="standardContextual"/>
              </w:rPr>
              <w:t>Nyrer og urinveje</w:t>
            </w:r>
          </w:p>
        </w:tc>
        <w:tc>
          <w:tcPr>
            <w:tcW w:w="2835" w:type="dxa"/>
            <w:tcBorders>
              <w:top w:val="single" w:sz="4" w:space="0" w:color="000000"/>
              <w:left w:val="single" w:sz="4" w:space="0" w:color="000000"/>
              <w:bottom w:val="single" w:sz="4" w:space="0" w:color="000000"/>
              <w:right w:val="single" w:sz="4" w:space="0" w:color="000000"/>
            </w:tcBorders>
            <w:hideMark/>
          </w:tcPr>
          <w:p w14:paraId="1131002C" w14:textId="77777777" w:rsidR="006E4AC9" w:rsidRDefault="006E4AC9">
            <w:pPr>
              <w:spacing w:line="276" w:lineRule="auto"/>
              <w:rPr>
                <w:kern w:val="2"/>
                <w:lang w:val="sv-SE"/>
                <w14:ligatures w14:val="standardContextual"/>
              </w:rPr>
            </w:pPr>
            <w:r>
              <w:rPr>
                <w:kern w:val="2"/>
                <w:lang w:val="sv-SE"/>
                <w14:ligatures w14:val="standardContextual"/>
              </w:rPr>
              <w:t>Nedsat nyrefunktion*</w:t>
            </w:r>
          </w:p>
        </w:tc>
        <w:tc>
          <w:tcPr>
            <w:tcW w:w="2410" w:type="dxa"/>
            <w:tcBorders>
              <w:top w:val="single" w:sz="4" w:space="0" w:color="000000"/>
              <w:left w:val="single" w:sz="4" w:space="0" w:color="000000"/>
              <w:bottom w:val="single" w:sz="4" w:space="0" w:color="000000"/>
              <w:right w:val="single" w:sz="4" w:space="0" w:color="000000"/>
            </w:tcBorders>
            <w:hideMark/>
          </w:tcPr>
          <w:p w14:paraId="1FE042C5" w14:textId="77777777" w:rsidR="006E4AC9" w:rsidRDefault="006E4AC9">
            <w:pPr>
              <w:spacing w:line="276" w:lineRule="auto"/>
              <w:rPr>
                <w:kern w:val="2"/>
                <w:lang w:val="sv-SE"/>
                <w14:ligatures w14:val="standardContextual"/>
              </w:rPr>
            </w:pPr>
            <w:r>
              <w:rPr>
                <w:kern w:val="2"/>
                <w:lang w:val="sv-SE"/>
                <w14:ligatures w14:val="standardContextual"/>
              </w:rPr>
              <w:t>Meget almindelig</w:t>
            </w:r>
          </w:p>
        </w:tc>
      </w:tr>
      <w:tr w:rsidR="006E4AC9" w14:paraId="779091FD" w14:textId="77777777" w:rsidTr="006E4AC9">
        <w:trPr>
          <w:trHeight w:val="505"/>
        </w:trPr>
        <w:tc>
          <w:tcPr>
            <w:tcW w:w="3686" w:type="dxa"/>
            <w:vMerge/>
            <w:tcBorders>
              <w:top w:val="single" w:sz="4" w:space="0" w:color="000000"/>
              <w:left w:val="single" w:sz="4" w:space="0" w:color="000000"/>
              <w:bottom w:val="single" w:sz="4" w:space="0" w:color="000000"/>
              <w:right w:val="single" w:sz="4" w:space="0" w:color="000000"/>
            </w:tcBorders>
            <w:vAlign w:val="center"/>
            <w:hideMark/>
          </w:tcPr>
          <w:p w14:paraId="17C7EF35" w14:textId="77777777" w:rsidR="006E4AC9" w:rsidRDefault="006E4AC9">
            <w:pPr>
              <w:spacing w:line="276" w:lineRule="auto"/>
              <w:rPr>
                <w:bCs/>
                <w:kern w:val="2"/>
                <w:sz w:val="22"/>
                <w:lang w:val="sv-SE"/>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hideMark/>
          </w:tcPr>
          <w:p w14:paraId="6C308D75" w14:textId="77777777" w:rsidR="006E4AC9" w:rsidRDefault="006E4AC9">
            <w:pPr>
              <w:spacing w:line="276" w:lineRule="auto"/>
              <w:rPr>
                <w:kern w:val="2"/>
                <w:lang w:val="sv-SE"/>
                <w14:ligatures w14:val="standardContextual"/>
              </w:rPr>
            </w:pPr>
            <w:r>
              <w:rPr>
                <w:kern w:val="2"/>
                <w:lang w:val="sv-SE"/>
                <w14:ligatures w14:val="standardContextual"/>
              </w:rPr>
              <w:t>Nyresvigt (nyresvigt, akut nyresvigt)</w:t>
            </w:r>
          </w:p>
        </w:tc>
        <w:tc>
          <w:tcPr>
            <w:tcW w:w="2410" w:type="dxa"/>
            <w:tcBorders>
              <w:top w:val="single" w:sz="4" w:space="0" w:color="000000"/>
              <w:left w:val="single" w:sz="4" w:space="0" w:color="000000"/>
              <w:bottom w:val="single" w:sz="4" w:space="0" w:color="000000"/>
              <w:right w:val="single" w:sz="4" w:space="0" w:color="000000"/>
            </w:tcBorders>
            <w:hideMark/>
          </w:tcPr>
          <w:p w14:paraId="1DAFAD1A" w14:textId="77777777" w:rsidR="006E4AC9" w:rsidRDefault="006E4AC9">
            <w:pPr>
              <w:spacing w:line="276" w:lineRule="auto"/>
              <w:rPr>
                <w:kern w:val="2"/>
                <w:lang w:val="sv-SE"/>
                <w14:ligatures w14:val="standardContextual"/>
              </w:rPr>
            </w:pPr>
            <w:r>
              <w:rPr>
                <w:kern w:val="2"/>
                <w:lang w:val="sv-SE"/>
                <w14:ligatures w14:val="standardContextual"/>
              </w:rPr>
              <w:t>Almindelig</w:t>
            </w:r>
          </w:p>
        </w:tc>
      </w:tr>
      <w:tr w:rsidR="006E4AC9" w14:paraId="200C3878" w14:textId="77777777" w:rsidTr="006E4AC9">
        <w:trPr>
          <w:trHeight w:val="252"/>
        </w:trPr>
        <w:tc>
          <w:tcPr>
            <w:tcW w:w="3686" w:type="dxa"/>
            <w:vMerge w:val="restart"/>
            <w:tcBorders>
              <w:top w:val="single" w:sz="4" w:space="0" w:color="000000"/>
              <w:left w:val="single" w:sz="4" w:space="0" w:color="000000"/>
              <w:bottom w:val="single" w:sz="4" w:space="0" w:color="000000"/>
              <w:right w:val="single" w:sz="4" w:space="0" w:color="000000"/>
            </w:tcBorders>
            <w:hideMark/>
          </w:tcPr>
          <w:p w14:paraId="003D850F" w14:textId="77777777" w:rsidR="006E4AC9" w:rsidRDefault="006E4AC9">
            <w:pPr>
              <w:spacing w:line="276" w:lineRule="auto"/>
              <w:rPr>
                <w:bCs/>
                <w:kern w:val="2"/>
                <w:lang w:val="sv-SE"/>
                <w14:ligatures w14:val="standardContextual"/>
              </w:rPr>
            </w:pPr>
            <w:r>
              <w:rPr>
                <w:bCs/>
                <w:kern w:val="2"/>
                <w:lang w:val="sv-SE"/>
                <w14:ligatures w14:val="standardContextual"/>
              </w:rPr>
              <w:t>Almene symptomer og reaktioner på administrationsstedet</w:t>
            </w:r>
          </w:p>
        </w:tc>
        <w:tc>
          <w:tcPr>
            <w:tcW w:w="2835" w:type="dxa"/>
            <w:tcBorders>
              <w:top w:val="single" w:sz="4" w:space="0" w:color="000000"/>
              <w:left w:val="single" w:sz="4" w:space="0" w:color="000000"/>
              <w:bottom w:val="single" w:sz="4" w:space="0" w:color="000000"/>
              <w:right w:val="single" w:sz="4" w:space="0" w:color="000000"/>
            </w:tcBorders>
            <w:hideMark/>
          </w:tcPr>
          <w:p w14:paraId="53264486" w14:textId="77777777" w:rsidR="006E4AC9" w:rsidRDefault="006E4AC9">
            <w:pPr>
              <w:spacing w:line="276" w:lineRule="auto"/>
              <w:rPr>
                <w:kern w:val="2"/>
                <w:lang w:val="sv-SE"/>
                <w14:ligatures w14:val="standardContextual"/>
              </w:rPr>
            </w:pPr>
            <w:r>
              <w:rPr>
                <w:kern w:val="2"/>
                <w:lang w:val="sv-SE"/>
                <w14:ligatures w14:val="standardContextual"/>
              </w:rPr>
              <w:t>Træthed</w:t>
            </w:r>
          </w:p>
        </w:tc>
        <w:tc>
          <w:tcPr>
            <w:tcW w:w="2410" w:type="dxa"/>
            <w:tcBorders>
              <w:top w:val="single" w:sz="4" w:space="0" w:color="000000"/>
              <w:left w:val="single" w:sz="4" w:space="0" w:color="000000"/>
              <w:bottom w:val="single" w:sz="4" w:space="0" w:color="000000"/>
              <w:right w:val="single" w:sz="4" w:space="0" w:color="000000"/>
            </w:tcBorders>
            <w:hideMark/>
          </w:tcPr>
          <w:p w14:paraId="7E1FABBC" w14:textId="77777777" w:rsidR="006E4AC9" w:rsidRDefault="006E4AC9">
            <w:pPr>
              <w:spacing w:line="276" w:lineRule="auto"/>
              <w:rPr>
                <w:kern w:val="2"/>
                <w:lang w:val="sv-SE"/>
                <w14:ligatures w14:val="standardContextual"/>
              </w:rPr>
            </w:pPr>
            <w:r>
              <w:rPr>
                <w:kern w:val="2"/>
                <w:lang w:val="sv-SE"/>
                <w14:ligatures w14:val="standardContextual"/>
              </w:rPr>
              <w:t>Almindelig</w:t>
            </w:r>
          </w:p>
        </w:tc>
      </w:tr>
      <w:tr w:rsidR="006E4AC9" w14:paraId="5C7512C0" w14:textId="77777777" w:rsidTr="006E4AC9">
        <w:trPr>
          <w:trHeight w:val="253"/>
        </w:trPr>
        <w:tc>
          <w:tcPr>
            <w:tcW w:w="3686" w:type="dxa"/>
            <w:vMerge/>
            <w:tcBorders>
              <w:top w:val="single" w:sz="4" w:space="0" w:color="000000"/>
              <w:left w:val="single" w:sz="4" w:space="0" w:color="000000"/>
              <w:bottom w:val="single" w:sz="4" w:space="0" w:color="000000"/>
              <w:right w:val="single" w:sz="4" w:space="0" w:color="000000"/>
            </w:tcBorders>
            <w:vAlign w:val="center"/>
            <w:hideMark/>
          </w:tcPr>
          <w:p w14:paraId="0FDF2019" w14:textId="77777777" w:rsidR="006E4AC9" w:rsidRDefault="006E4AC9">
            <w:pPr>
              <w:spacing w:line="276" w:lineRule="auto"/>
              <w:rPr>
                <w:bCs/>
                <w:kern w:val="2"/>
                <w:sz w:val="22"/>
                <w:lang w:val="sv-SE"/>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hideMark/>
          </w:tcPr>
          <w:p w14:paraId="7DDF2403" w14:textId="77777777" w:rsidR="006E4AC9" w:rsidRDefault="006E4AC9">
            <w:pPr>
              <w:spacing w:line="276" w:lineRule="auto"/>
              <w:rPr>
                <w:kern w:val="2"/>
                <w:lang w:val="sv-SE"/>
                <w14:ligatures w14:val="standardContextual"/>
              </w:rPr>
            </w:pPr>
            <w:r>
              <w:rPr>
                <w:kern w:val="2"/>
                <w:lang w:val="sv-SE"/>
                <w14:ligatures w14:val="standardContextual"/>
              </w:rPr>
              <w:t>Asteni</w:t>
            </w:r>
          </w:p>
        </w:tc>
        <w:tc>
          <w:tcPr>
            <w:tcW w:w="2410" w:type="dxa"/>
            <w:tcBorders>
              <w:top w:val="single" w:sz="4" w:space="0" w:color="000000"/>
              <w:left w:val="single" w:sz="4" w:space="0" w:color="000000"/>
              <w:bottom w:val="single" w:sz="4" w:space="0" w:color="000000"/>
              <w:right w:val="single" w:sz="4" w:space="0" w:color="000000"/>
            </w:tcBorders>
            <w:hideMark/>
          </w:tcPr>
          <w:p w14:paraId="74758B7C" w14:textId="77777777" w:rsidR="006E4AC9" w:rsidRDefault="006E4AC9">
            <w:pPr>
              <w:spacing w:line="276" w:lineRule="auto"/>
              <w:rPr>
                <w:kern w:val="2"/>
                <w:lang w:val="sv-SE"/>
                <w14:ligatures w14:val="standardContextual"/>
              </w:rPr>
            </w:pPr>
            <w:r>
              <w:rPr>
                <w:kern w:val="2"/>
                <w:lang w:val="sv-SE"/>
                <w14:ligatures w14:val="standardContextual"/>
              </w:rPr>
              <w:t>Almindelig</w:t>
            </w:r>
          </w:p>
        </w:tc>
      </w:tr>
    </w:tbl>
    <w:p w14:paraId="7A4F79D5" w14:textId="77777777" w:rsidR="006E4AC9" w:rsidRPr="006E4AC9" w:rsidRDefault="006E4AC9" w:rsidP="006E4AC9">
      <w:pPr>
        <w:tabs>
          <w:tab w:val="left" w:pos="851"/>
        </w:tabs>
        <w:ind w:left="851"/>
        <w:rPr>
          <w:sz w:val="20"/>
        </w:rPr>
      </w:pPr>
      <w:r w:rsidRPr="006E4AC9">
        <w:rPr>
          <w:sz w:val="20"/>
        </w:rPr>
        <w:t>*Se beskrivelse af udvalgte bivirkninger.</w:t>
      </w:r>
    </w:p>
    <w:p w14:paraId="5601E620" w14:textId="77777777" w:rsidR="006E4AC9" w:rsidRPr="006E4AC9" w:rsidRDefault="006E4AC9" w:rsidP="006E4AC9">
      <w:pPr>
        <w:tabs>
          <w:tab w:val="left" w:pos="851"/>
        </w:tabs>
        <w:ind w:left="851"/>
        <w:rPr>
          <w:sz w:val="20"/>
        </w:rPr>
      </w:pPr>
      <w:r w:rsidRPr="006E4AC9">
        <w:rPr>
          <w:sz w:val="20"/>
        </w:rPr>
        <w:t>**Herunder auditive og visuelle hallucinationer.</w:t>
      </w:r>
    </w:p>
    <w:p w14:paraId="1B08A6C1" w14:textId="6429F1A0" w:rsidR="006E4AC9" w:rsidRDefault="006E4AC9">
      <w:pPr>
        <w:rPr>
          <w:sz w:val="24"/>
          <w:szCs w:val="24"/>
        </w:rPr>
      </w:pPr>
      <w:r>
        <w:rPr>
          <w:sz w:val="24"/>
          <w:szCs w:val="24"/>
        </w:rPr>
        <w:br w:type="page"/>
      </w:r>
    </w:p>
    <w:p w14:paraId="3827762C" w14:textId="77777777" w:rsidR="009260DE" w:rsidRDefault="009260DE" w:rsidP="00A10294">
      <w:pPr>
        <w:tabs>
          <w:tab w:val="left" w:pos="851"/>
        </w:tabs>
        <w:ind w:left="851"/>
        <w:rPr>
          <w:sz w:val="24"/>
          <w:szCs w:val="24"/>
        </w:rPr>
      </w:pPr>
    </w:p>
    <w:p w14:paraId="0A3FC2CD" w14:textId="77777777" w:rsidR="006E4AC9" w:rsidRPr="006E4AC9" w:rsidRDefault="006E4AC9" w:rsidP="006E4AC9">
      <w:pPr>
        <w:tabs>
          <w:tab w:val="left" w:pos="851"/>
        </w:tabs>
        <w:ind w:left="851"/>
        <w:rPr>
          <w:sz w:val="24"/>
          <w:szCs w:val="24"/>
        </w:rPr>
      </w:pPr>
      <w:r w:rsidRPr="006E4AC9">
        <w:rPr>
          <w:sz w:val="24"/>
          <w:szCs w:val="24"/>
          <w:u w:val="single"/>
        </w:rPr>
        <w:t>Beskrivelse af udvalgte bivirkninger</w:t>
      </w:r>
    </w:p>
    <w:p w14:paraId="4B20EE6A" w14:textId="77777777" w:rsidR="006E4AC9" w:rsidRPr="006E4AC9" w:rsidRDefault="006E4AC9" w:rsidP="006E4AC9">
      <w:pPr>
        <w:tabs>
          <w:tab w:val="left" w:pos="851"/>
        </w:tabs>
        <w:ind w:left="851"/>
        <w:rPr>
          <w:i/>
          <w:sz w:val="24"/>
          <w:szCs w:val="24"/>
          <w:u w:val="single"/>
        </w:rPr>
      </w:pPr>
    </w:p>
    <w:p w14:paraId="49673E56" w14:textId="77777777" w:rsidR="006E4AC9" w:rsidRPr="006E4AC9" w:rsidRDefault="006E4AC9" w:rsidP="006E4AC9">
      <w:pPr>
        <w:tabs>
          <w:tab w:val="left" w:pos="851"/>
        </w:tabs>
        <w:ind w:left="851"/>
        <w:rPr>
          <w:i/>
          <w:sz w:val="24"/>
          <w:szCs w:val="24"/>
        </w:rPr>
      </w:pPr>
      <w:r w:rsidRPr="006E4AC9">
        <w:rPr>
          <w:i/>
          <w:sz w:val="24"/>
          <w:szCs w:val="24"/>
        </w:rPr>
        <w:t>Angioødem</w:t>
      </w:r>
    </w:p>
    <w:p w14:paraId="18CF3D50" w14:textId="77777777" w:rsidR="006E4AC9" w:rsidRPr="006E4AC9" w:rsidRDefault="006E4AC9" w:rsidP="006E4AC9">
      <w:pPr>
        <w:tabs>
          <w:tab w:val="left" w:pos="851"/>
        </w:tabs>
        <w:ind w:left="851"/>
        <w:rPr>
          <w:sz w:val="24"/>
          <w:szCs w:val="24"/>
        </w:rPr>
      </w:pPr>
      <w:r w:rsidRPr="006E4AC9">
        <w:rPr>
          <w:sz w:val="24"/>
          <w:szCs w:val="24"/>
        </w:rPr>
        <w:t>Der er forekommet angioødem hos patienter behandlet med sacubitril/valsartan. I PARADIGM</w:t>
      </w:r>
      <w:r w:rsidRPr="006E4AC9">
        <w:rPr>
          <w:sz w:val="24"/>
          <w:szCs w:val="24"/>
        </w:rPr>
        <w:noBreakHyphen/>
        <w:t>HF blev angioødem rapporteret hos 0,5 % af patienter behandlet med sacubitril/valsartan sammenlignet med 0,2 % hos patienter behandlet med enalapril. Incidensen af angioødem var højere hos patienter af afrikansk oprindelse behandlet med sacubitril/valsartan (2,4 %) og enalapril (0,5 %) (se pkt. 4.4).</w:t>
      </w:r>
    </w:p>
    <w:p w14:paraId="616FF842" w14:textId="77777777" w:rsidR="006E4AC9" w:rsidRPr="006E4AC9" w:rsidRDefault="006E4AC9" w:rsidP="006E4AC9">
      <w:pPr>
        <w:tabs>
          <w:tab w:val="left" w:pos="851"/>
        </w:tabs>
        <w:ind w:left="851"/>
        <w:rPr>
          <w:sz w:val="24"/>
          <w:szCs w:val="24"/>
        </w:rPr>
      </w:pPr>
    </w:p>
    <w:p w14:paraId="1F93DFC9" w14:textId="77777777" w:rsidR="006E4AC9" w:rsidRPr="006E4AC9" w:rsidRDefault="006E4AC9" w:rsidP="006E4AC9">
      <w:pPr>
        <w:tabs>
          <w:tab w:val="left" w:pos="851"/>
        </w:tabs>
        <w:ind w:left="851"/>
        <w:rPr>
          <w:i/>
          <w:sz w:val="24"/>
          <w:szCs w:val="24"/>
        </w:rPr>
      </w:pPr>
      <w:r w:rsidRPr="006E4AC9">
        <w:rPr>
          <w:i/>
          <w:sz w:val="24"/>
          <w:szCs w:val="24"/>
        </w:rPr>
        <w:t>Hyperkaliæmi og serumkalium</w:t>
      </w:r>
    </w:p>
    <w:p w14:paraId="06FCD367" w14:textId="77777777" w:rsidR="006E4AC9" w:rsidRPr="006E4AC9" w:rsidRDefault="006E4AC9" w:rsidP="006E4AC9">
      <w:pPr>
        <w:tabs>
          <w:tab w:val="left" w:pos="851"/>
        </w:tabs>
        <w:ind w:left="851"/>
        <w:rPr>
          <w:sz w:val="24"/>
          <w:szCs w:val="24"/>
        </w:rPr>
      </w:pPr>
      <w:r w:rsidRPr="006E4AC9">
        <w:rPr>
          <w:sz w:val="24"/>
          <w:szCs w:val="24"/>
        </w:rPr>
        <w:t>I PARADIGM</w:t>
      </w:r>
      <w:r w:rsidRPr="006E4AC9">
        <w:rPr>
          <w:sz w:val="24"/>
          <w:szCs w:val="24"/>
        </w:rPr>
        <w:noBreakHyphen/>
        <w:t>HF forekom hyperkaliæmi og serumkaliumkoncentrationer på &gt; 5,4 mmol/l hos henholdsvis 11,6 % og 19,7 % af patienter behandlet med sacubitril/valsartan og henholdsvis 14,0 % og 21,1 % af patienter behandlet med enalapril.</w:t>
      </w:r>
    </w:p>
    <w:p w14:paraId="2C46BE6E" w14:textId="77777777" w:rsidR="006E4AC9" w:rsidRPr="006E4AC9" w:rsidRDefault="006E4AC9" w:rsidP="006E4AC9">
      <w:pPr>
        <w:tabs>
          <w:tab w:val="left" w:pos="851"/>
        </w:tabs>
        <w:ind w:left="851"/>
        <w:rPr>
          <w:sz w:val="24"/>
          <w:szCs w:val="24"/>
        </w:rPr>
      </w:pPr>
    </w:p>
    <w:p w14:paraId="31045BA7" w14:textId="77777777" w:rsidR="006E4AC9" w:rsidRPr="006E4AC9" w:rsidRDefault="006E4AC9" w:rsidP="006E4AC9">
      <w:pPr>
        <w:tabs>
          <w:tab w:val="left" w:pos="851"/>
        </w:tabs>
        <w:ind w:left="851"/>
        <w:rPr>
          <w:i/>
          <w:sz w:val="24"/>
          <w:szCs w:val="24"/>
        </w:rPr>
      </w:pPr>
      <w:r w:rsidRPr="006E4AC9">
        <w:rPr>
          <w:i/>
          <w:sz w:val="24"/>
          <w:szCs w:val="24"/>
        </w:rPr>
        <w:t>Blodtryk</w:t>
      </w:r>
    </w:p>
    <w:p w14:paraId="0F3CD968" w14:textId="77777777" w:rsidR="006E4AC9" w:rsidRPr="006E4AC9" w:rsidRDefault="006E4AC9" w:rsidP="006E4AC9">
      <w:pPr>
        <w:tabs>
          <w:tab w:val="left" w:pos="851"/>
        </w:tabs>
        <w:ind w:left="851"/>
        <w:rPr>
          <w:sz w:val="24"/>
          <w:szCs w:val="24"/>
        </w:rPr>
      </w:pPr>
      <w:r w:rsidRPr="006E4AC9">
        <w:rPr>
          <w:sz w:val="24"/>
          <w:szCs w:val="24"/>
        </w:rPr>
        <w:t>I PARADIGM</w:t>
      </w:r>
      <w:r w:rsidRPr="006E4AC9">
        <w:rPr>
          <w:sz w:val="24"/>
          <w:szCs w:val="24"/>
        </w:rPr>
        <w:noBreakHyphen/>
        <w:t xml:space="preserve">HF forekom hypotension og klinisk relevant lavt systolisk blodtryk (&lt; 90 mmHg og reduktion fra </w:t>
      </w:r>
      <w:r w:rsidRPr="006E4AC9">
        <w:rPr>
          <w:i/>
          <w:sz w:val="24"/>
          <w:szCs w:val="24"/>
        </w:rPr>
        <w:t xml:space="preserve">baseline </w:t>
      </w:r>
      <w:r w:rsidRPr="006E4AC9">
        <w:rPr>
          <w:sz w:val="24"/>
          <w:szCs w:val="24"/>
        </w:rPr>
        <w:t>på &gt; 20 mmHg) hos henholdsvis 17,6 % og 4,76 % af patienter behandlet med sacubitril/valsartan sammenlignet med henholdsvis 11,9 % og 2,67 % af patienter behandlet med enalapril.</w:t>
      </w:r>
    </w:p>
    <w:p w14:paraId="2C6D260D" w14:textId="77777777" w:rsidR="006E4AC9" w:rsidRPr="006E4AC9" w:rsidRDefault="006E4AC9" w:rsidP="006E4AC9">
      <w:pPr>
        <w:tabs>
          <w:tab w:val="left" w:pos="851"/>
        </w:tabs>
        <w:ind w:left="851"/>
        <w:rPr>
          <w:sz w:val="24"/>
          <w:szCs w:val="24"/>
        </w:rPr>
      </w:pPr>
    </w:p>
    <w:p w14:paraId="72598E32" w14:textId="77777777" w:rsidR="006E4AC9" w:rsidRPr="006E4AC9" w:rsidRDefault="006E4AC9" w:rsidP="006E4AC9">
      <w:pPr>
        <w:tabs>
          <w:tab w:val="left" w:pos="851"/>
        </w:tabs>
        <w:ind w:left="851"/>
        <w:rPr>
          <w:i/>
          <w:sz w:val="24"/>
          <w:szCs w:val="24"/>
        </w:rPr>
      </w:pPr>
      <w:r w:rsidRPr="006E4AC9">
        <w:rPr>
          <w:i/>
          <w:sz w:val="24"/>
          <w:szCs w:val="24"/>
        </w:rPr>
        <w:t>Nedsat nyrefunktion</w:t>
      </w:r>
    </w:p>
    <w:p w14:paraId="70B10D52" w14:textId="77777777" w:rsidR="006E4AC9" w:rsidRPr="006E4AC9" w:rsidRDefault="006E4AC9" w:rsidP="006E4AC9">
      <w:pPr>
        <w:tabs>
          <w:tab w:val="left" w:pos="851"/>
        </w:tabs>
        <w:ind w:left="851"/>
        <w:rPr>
          <w:sz w:val="24"/>
          <w:szCs w:val="24"/>
        </w:rPr>
      </w:pPr>
      <w:r w:rsidRPr="006E4AC9">
        <w:rPr>
          <w:sz w:val="24"/>
          <w:szCs w:val="24"/>
        </w:rPr>
        <w:t>I PARADIGM</w:t>
      </w:r>
      <w:r w:rsidRPr="006E4AC9">
        <w:rPr>
          <w:sz w:val="24"/>
          <w:szCs w:val="24"/>
        </w:rPr>
        <w:noBreakHyphen/>
        <w:t>HF forekom nedsat nyrefunktion hos 10,1 % af patienter behandlet med sacubitril/valsartan og hos 11,5 % af patienter behandlet med enalapril.</w:t>
      </w:r>
    </w:p>
    <w:p w14:paraId="5358F80D" w14:textId="77777777" w:rsidR="006E4AC9" w:rsidRPr="006E4AC9" w:rsidRDefault="006E4AC9" w:rsidP="006E4AC9">
      <w:pPr>
        <w:tabs>
          <w:tab w:val="left" w:pos="851"/>
        </w:tabs>
        <w:ind w:left="851"/>
        <w:rPr>
          <w:sz w:val="24"/>
          <w:szCs w:val="24"/>
        </w:rPr>
      </w:pPr>
    </w:p>
    <w:p w14:paraId="1730EEE8" w14:textId="77777777" w:rsidR="006E4AC9" w:rsidRPr="006E4AC9" w:rsidRDefault="006E4AC9" w:rsidP="006E4AC9">
      <w:pPr>
        <w:tabs>
          <w:tab w:val="left" w:pos="851"/>
        </w:tabs>
        <w:ind w:left="851"/>
        <w:rPr>
          <w:sz w:val="24"/>
          <w:szCs w:val="24"/>
        </w:rPr>
      </w:pPr>
      <w:r w:rsidRPr="006E4AC9">
        <w:rPr>
          <w:sz w:val="24"/>
          <w:szCs w:val="24"/>
          <w:u w:val="single"/>
        </w:rPr>
        <w:t>Pædiatrisk population</w:t>
      </w:r>
    </w:p>
    <w:p w14:paraId="4B49E823" w14:textId="77777777" w:rsidR="006E4AC9" w:rsidRPr="006E4AC9" w:rsidRDefault="006E4AC9" w:rsidP="006E4AC9">
      <w:pPr>
        <w:tabs>
          <w:tab w:val="left" w:pos="851"/>
        </w:tabs>
        <w:ind w:left="851"/>
        <w:rPr>
          <w:sz w:val="24"/>
          <w:szCs w:val="24"/>
        </w:rPr>
      </w:pPr>
      <w:r w:rsidRPr="006E4AC9">
        <w:rPr>
          <w:sz w:val="24"/>
          <w:szCs w:val="24"/>
        </w:rPr>
        <w:t>I PANORAMA</w:t>
      </w:r>
      <w:r w:rsidRPr="006E4AC9">
        <w:rPr>
          <w:sz w:val="24"/>
          <w:szCs w:val="24"/>
        </w:rPr>
        <w:noBreakHyphen/>
        <w:t>HF-studiet blev sikkerheden af sacubitril/valsartan vurderet i et randomiseret, aktivt-kontrolleret 52</w:t>
      </w:r>
      <w:r w:rsidRPr="006E4AC9">
        <w:rPr>
          <w:sz w:val="24"/>
          <w:szCs w:val="24"/>
        </w:rPr>
        <w:noBreakHyphen/>
        <w:t>ugers studie med 375 pædiatriske patienter med hjertesvigt (HF) i alderen 1 måned til &lt; 18 år sammenlignet med enalapril. De 215 patienter, der overgik til det langvarige åbne forlængelsesstudie (PANORAMA</w:t>
      </w:r>
      <w:r w:rsidRPr="006E4AC9">
        <w:rPr>
          <w:sz w:val="24"/>
          <w:szCs w:val="24"/>
        </w:rPr>
        <w:noBreakHyphen/>
        <w:t>HF OLE) blev behandlet i 2,5 år (median) og op til 4,5 år. Den observerede sikkerhedsprofil i begge studier var svarende til den, der observeres hos voksne patienter. Der er begrænsede sikkerhedsdata om patienter i alderen 1 måned til &lt; 1 år.</w:t>
      </w:r>
    </w:p>
    <w:p w14:paraId="6D5B66D8" w14:textId="77777777" w:rsidR="006E4AC9" w:rsidRPr="006E4AC9" w:rsidRDefault="006E4AC9" w:rsidP="006E4AC9">
      <w:pPr>
        <w:tabs>
          <w:tab w:val="left" w:pos="851"/>
        </w:tabs>
        <w:ind w:left="851"/>
        <w:rPr>
          <w:sz w:val="24"/>
          <w:szCs w:val="24"/>
        </w:rPr>
      </w:pPr>
    </w:p>
    <w:p w14:paraId="66856E64" w14:textId="77777777" w:rsidR="006E4AC9" w:rsidRPr="006E4AC9" w:rsidRDefault="006E4AC9" w:rsidP="006E4AC9">
      <w:pPr>
        <w:tabs>
          <w:tab w:val="left" w:pos="851"/>
        </w:tabs>
        <w:ind w:left="851"/>
        <w:rPr>
          <w:sz w:val="24"/>
          <w:szCs w:val="24"/>
        </w:rPr>
      </w:pPr>
      <w:r w:rsidRPr="006E4AC9">
        <w:rPr>
          <w:sz w:val="24"/>
          <w:szCs w:val="24"/>
        </w:rPr>
        <w:t>Der er begrænsede sikkerhedsdata om pædiatriske patienter med moderat nedsat leverfunktion eller moderat til svært nedsat nyrefunktion.</w:t>
      </w:r>
    </w:p>
    <w:p w14:paraId="27E8F155" w14:textId="77777777" w:rsidR="006E4AC9" w:rsidRPr="006E4AC9" w:rsidRDefault="006E4AC9" w:rsidP="006E4AC9">
      <w:pPr>
        <w:tabs>
          <w:tab w:val="left" w:pos="851"/>
        </w:tabs>
        <w:ind w:left="851"/>
        <w:rPr>
          <w:sz w:val="24"/>
          <w:szCs w:val="24"/>
        </w:rPr>
      </w:pPr>
    </w:p>
    <w:p w14:paraId="2E7F1F26" w14:textId="77777777" w:rsidR="006E4AC9" w:rsidRPr="006E4AC9" w:rsidRDefault="006E4AC9" w:rsidP="006E4AC9">
      <w:pPr>
        <w:tabs>
          <w:tab w:val="left" w:pos="851"/>
        </w:tabs>
        <w:ind w:left="851"/>
        <w:rPr>
          <w:sz w:val="24"/>
          <w:szCs w:val="24"/>
          <w:u w:val="single"/>
        </w:rPr>
      </w:pPr>
      <w:r w:rsidRPr="006E4AC9">
        <w:rPr>
          <w:sz w:val="24"/>
          <w:szCs w:val="24"/>
          <w:u w:val="single"/>
        </w:rPr>
        <w:t>Indberetning af formodede bivirkninger</w:t>
      </w:r>
    </w:p>
    <w:p w14:paraId="5DDAC367" w14:textId="77777777" w:rsidR="006E4AC9" w:rsidRPr="006E4AC9" w:rsidRDefault="006E4AC9" w:rsidP="006E4AC9">
      <w:pPr>
        <w:tabs>
          <w:tab w:val="left" w:pos="851"/>
        </w:tabs>
        <w:ind w:left="851"/>
        <w:rPr>
          <w:sz w:val="24"/>
          <w:szCs w:val="24"/>
        </w:rPr>
      </w:pPr>
      <w:r w:rsidRPr="006E4AC9">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2C873503" w14:textId="77777777" w:rsidR="006E4AC9" w:rsidRPr="006E4AC9" w:rsidRDefault="006E4AC9" w:rsidP="006E4AC9">
      <w:pPr>
        <w:tabs>
          <w:tab w:val="left" w:pos="851"/>
        </w:tabs>
        <w:ind w:left="851"/>
        <w:rPr>
          <w:sz w:val="24"/>
          <w:szCs w:val="24"/>
        </w:rPr>
      </w:pPr>
    </w:p>
    <w:p w14:paraId="5A0991D3" w14:textId="77777777" w:rsidR="006E4AC9" w:rsidRPr="006E4AC9" w:rsidRDefault="006E4AC9" w:rsidP="006E4AC9">
      <w:pPr>
        <w:tabs>
          <w:tab w:val="left" w:pos="851"/>
        </w:tabs>
        <w:ind w:left="851"/>
        <w:rPr>
          <w:sz w:val="24"/>
          <w:szCs w:val="24"/>
        </w:rPr>
      </w:pPr>
      <w:r w:rsidRPr="006E4AC9">
        <w:rPr>
          <w:sz w:val="24"/>
          <w:szCs w:val="24"/>
        </w:rPr>
        <w:t>Lægemiddelstyrelsen</w:t>
      </w:r>
    </w:p>
    <w:p w14:paraId="3C2C2E69" w14:textId="77777777" w:rsidR="006E4AC9" w:rsidRPr="006E4AC9" w:rsidRDefault="006E4AC9" w:rsidP="006E4AC9">
      <w:pPr>
        <w:tabs>
          <w:tab w:val="left" w:pos="851"/>
        </w:tabs>
        <w:ind w:left="851"/>
        <w:rPr>
          <w:sz w:val="24"/>
          <w:szCs w:val="24"/>
        </w:rPr>
      </w:pPr>
      <w:r w:rsidRPr="006E4AC9">
        <w:rPr>
          <w:sz w:val="24"/>
          <w:szCs w:val="24"/>
        </w:rPr>
        <w:t>Axel Heides Gade 1</w:t>
      </w:r>
    </w:p>
    <w:p w14:paraId="05FD350F" w14:textId="77777777" w:rsidR="006E4AC9" w:rsidRPr="006E4AC9" w:rsidRDefault="006E4AC9" w:rsidP="006E4AC9">
      <w:pPr>
        <w:tabs>
          <w:tab w:val="left" w:pos="851"/>
        </w:tabs>
        <w:ind w:left="851"/>
        <w:rPr>
          <w:sz w:val="24"/>
          <w:szCs w:val="24"/>
        </w:rPr>
      </w:pPr>
      <w:r w:rsidRPr="006E4AC9">
        <w:rPr>
          <w:sz w:val="24"/>
          <w:szCs w:val="24"/>
        </w:rPr>
        <w:t>DK-2300 København S</w:t>
      </w:r>
    </w:p>
    <w:p w14:paraId="5DE93BCA" w14:textId="0142364E" w:rsidR="006E4AC9" w:rsidRPr="006E4AC9" w:rsidRDefault="006E4AC9" w:rsidP="006E4AC9">
      <w:pPr>
        <w:tabs>
          <w:tab w:val="left" w:pos="851"/>
        </w:tabs>
        <w:ind w:left="851"/>
        <w:rPr>
          <w:sz w:val="24"/>
          <w:szCs w:val="24"/>
        </w:rPr>
      </w:pPr>
      <w:r w:rsidRPr="006E4AC9">
        <w:rPr>
          <w:sz w:val="24"/>
          <w:szCs w:val="24"/>
        </w:rPr>
        <w:t>Websted: www.meldenbivirkning.dk</w:t>
      </w:r>
    </w:p>
    <w:p w14:paraId="5FBEBB5E" w14:textId="77777777" w:rsidR="006E4AC9" w:rsidRPr="00A10294" w:rsidRDefault="006E4AC9" w:rsidP="00A10294">
      <w:pPr>
        <w:tabs>
          <w:tab w:val="left" w:pos="851"/>
        </w:tabs>
        <w:ind w:left="851"/>
        <w:rPr>
          <w:sz w:val="24"/>
          <w:szCs w:val="24"/>
        </w:rPr>
      </w:pPr>
    </w:p>
    <w:p w14:paraId="35F2056D"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39BE48CC" w14:textId="77777777" w:rsidR="00B95F47" w:rsidRPr="00B95F47" w:rsidRDefault="00B95F47" w:rsidP="00B95F47">
      <w:pPr>
        <w:tabs>
          <w:tab w:val="left" w:pos="851"/>
        </w:tabs>
        <w:ind w:left="851"/>
        <w:rPr>
          <w:sz w:val="24"/>
          <w:szCs w:val="24"/>
        </w:rPr>
      </w:pPr>
      <w:r w:rsidRPr="00B95F47">
        <w:rPr>
          <w:sz w:val="24"/>
          <w:szCs w:val="24"/>
        </w:rPr>
        <w:t xml:space="preserve">Der foreligger begrænsede data vedrørende overdosering hos mennesker. En enkelt dosis på 583 mg sacubitril/617 mg valsartan og gentagne doser på 437 mg sacubitril/463 mg </w:t>
      </w:r>
      <w:r w:rsidRPr="00B95F47">
        <w:rPr>
          <w:sz w:val="24"/>
          <w:szCs w:val="24"/>
        </w:rPr>
        <w:lastRenderedPageBreak/>
        <w:t>valsartan (14 dage) blev undersøgt hos voksne frivillige forsøgspersoner og var veltolererede.</w:t>
      </w:r>
    </w:p>
    <w:p w14:paraId="53FB9632" w14:textId="77777777" w:rsidR="00B95F47" w:rsidRPr="00B95F47" w:rsidRDefault="00B95F47" w:rsidP="00B95F47">
      <w:pPr>
        <w:tabs>
          <w:tab w:val="left" w:pos="851"/>
        </w:tabs>
        <w:ind w:left="851"/>
        <w:rPr>
          <w:sz w:val="24"/>
          <w:szCs w:val="24"/>
        </w:rPr>
      </w:pPr>
    </w:p>
    <w:p w14:paraId="75BDDF11" w14:textId="77777777" w:rsidR="00B95F47" w:rsidRPr="00B95F47" w:rsidRDefault="00B95F47" w:rsidP="00B95F47">
      <w:pPr>
        <w:tabs>
          <w:tab w:val="left" w:pos="851"/>
        </w:tabs>
        <w:ind w:left="851"/>
        <w:rPr>
          <w:sz w:val="24"/>
          <w:szCs w:val="24"/>
          <w:u w:val="single"/>
        </w:rPr>
      </w:pPr>
      <w:r w:rsidRPr="00B95F47">
        <w:rPr>
          <w:sz w:val="24"/>
          <w:szCs w:val="24"/>
          <w:u w:val="single"/>
        </w:rPr>
        <w:t>Symptomer</w:t>
      </w:r>
    </w:p>
    <w:p w14:paraId="10238664" w14:textId="77777777" w:rsidR="00B95F47" w:rsidRPr="00B95F47" w:rsidRDefault="00B95F47" w:rsidP="00B95F47">
      <w:pPr>
        <w:tabs>
          <w:tab w:val="left" w:pos="851"/>
        </w:tabs>
        <w:ind w:left="851"/>
        <w:rPr>
          <w:sz w:val="24"/>
          <w:szCs w:val="24"/>
        </w:rPr>
      </w:pPr>
      <w:r w:rsidRPr="00B95F47">
        <w:rPr>
          <w:sz w:val="24"/>
          <w:szCs w:val="24"/>
        </w:rPr>
        <w:t>Det mest sandsynlige symptom på overdosering er hypotension på grund af sacubitril/valsartan blodtrykssænkende virkning. Der bør iværksættes symptomatisk behandling.</w:t>
      </w:r>
    </w:p>
    <w:p w14:paraId="3DE75D81" w14:textId="77777777" w:rsidR="00B95F47" w:rsidRPr="00B95F47" w:rsidRDefault="00B95F47" w:rsidP="00B95F47">
      <w:pPr>
        <w:tabs>
          <w:tab w:val="left" w:pos="851"/>
        </w:tabs>
        <w:ind w:left="851"/>
        <w:rPr>
          <w:sz w:val="24"/>
          <w:szCs w:val="24"/>
        </w:rPr>
      </w:pPr>
    </w:p>
    <w:p w14:paraId="6FFAFA06" w14:textId="77777777" w:rsidR="00B95F47" w:rsidRPr="00B95F47" w:rsidRDefault="00B95F47" w:rsidP="00B95F47">
      <w:pPr>
        <w:tabs>
          <w:tab w:val="left" w:pos="851"/>
        </w:tabs>
        <w:ind w:left="851"/>
        <w:rPr>
          <w:sz w:val="24"/>
          <w:szCs w:val="24"/>
          <w:u w:val="single"/>
        </w:rPr>
      </w:pPr>
      <w:r w:rsidRPr="00B95F47">
        <w:rPr>
          <w:sz w:val="24"/>
          <w:szCs w:val="24"/>
          <w:u w:val="single"/>
        </w:rPr>
        <w:t>Behandling</w:t>
      </w:r>
    </w:p>
    <w:p w14:paraId="0A56A20F" w14:textId="77777777" w:rsidR="00B95F47" w:rsidRPr="00B95F47" w:rsidRDefault="00B95F47" w:rsidP="00B95F47">
      <w:pPr>
        <w:tabs>
          <w:tab w:val="left" w:pos="851"/>
        </w:tabs>
        <w:ind w:left="851"/>
        <w:rPr>
          <w:sz w:val="24"/>
          <w:szCs w:val="24"/>
        </w:rPr>
      </w:pPr>
      <w:r w:rsidRPr="00B95F47">
        <w:rPr>
          <w:sz w:val="24"/>
          <w:szCs w:val="24"/>
        </w:rPr>
        <w:t>På grund af høj proteinbinding er det usandsynligt, at lægemidlet kan fjernes ved hæmodialyse (se pkt. 5.2).</w:t>
      </w:r>
    </w:p>
    <w:p w14:paraId="0D198DE2" w14:textId="77777777" w:rsidR="009260DE" w:rsidRPr="00C84483" w:rsidRDefault="009260DE" w:rsidP="009260DE">
      <w:pPr>
        <w:tabs>
          <w:tab w:val="left" w:pos="851"/>
        </w:tabs>
        <w:ind w:left="851"/>
        <w:rPr>
          <w:sz w:val="24"/>
          <w:szCs w:val="24"/>
        </w:rPr>
      </w:pPr>
    </w:p>
    <w:p w14:paraId="2864C4E2"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3CE1EB44" w14:textId="27691B65" w:rsidR="009260DE" w:rsidRPr="00C84483" w:rsidRDefault="00B95F47" w:rsidP="009260DE">
      <w:pPr>
        <w:tabs>
          <w:tab w:val="left" w:pos="851"/>
        </w:tabs>
        <w:ind w:left="851"/>
        <w:rPr>
          <w:sz w:val="24"/>
          <w:szCs w:val="24"/>
        </w:rPr>
      </w:pPr>
      <w:r>
        <w:rPr>
          <w:sz w:val="24"/>
          <w:szCs w:val="24"/>
        </w:rPr>
        <w:t>B</w:t>
      </w:r>
    </w:p>
    <w:p w14:paraId="420B6F63" w14:textId="77777777" w:rsidR="009260DE" w:rsidRPr="00C84483" w:rsidRDefault="009260DE" w:rsidP="009260DE">
      <w:pPr>
        <w:tabs>
          <w:tab w:val="left" w:pos="851"/>
        </w:tabs>
        <w:ind w:left="851"/>
        <w:rPr>
          <w:sz w:val="24"/>
          <w:szCs w:val="24"/>
        </w:rPr>
      </w:pPr>
    </w:p>
    <w:p w14:paraId="4BBD0115" w14:textId="77777777" w:rsidR="009260DE" w:rsidRPr="00C84483" w:rsidRDefault="009260DE" w:rsidP="009260DE">
      <w:pPr>
        <w:tabs>
          <w:tab w:val="left" w:pos="851"/>
        </w:tabs>
        <w:ind w:left="851"/>
        <w:rPr>
          <w:sz w:val="24"/>
          <w:szCs w:val="24"/>
        </w:rPr>
      </w:pPr>
    </w:p>
    <w:p w14:paraId="2CDF4D7C"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0DAC5322" w14:textId="77777777" w:rsidR="009260DE" w:rsidRPr="00C84483" w:rsidRDefault="009260DE" w:rsidP="009260DE">
      <w:pPr>
        <w:tabs>
          <w:tab w:val="left" w:pos="851"/>
        </w:tabs>
        <w:ind w:left="851"/>
        <w:rPr>
          <w:sz w:val="24"/>
          <w:szCs w:val="24"/>
        </w:rPr>
      </w:pPr>
    </w:p>
    <w:p w14:paraId="26FE04F6"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058D947E" w14:textId="77777777" w:rsidR="008E6363" w:rsidRPr="008E6363" w:rsidRDefault="008E6363" w:rsidP="008E6363">
      <w:pPr>
        <w:ind w:left="851"/>
        <w:rPr>
          <w:sz w:val="24"/>
          <w:szCs w:val="24"/>
        </w:rPr>
      </w:pPr>
      <w:r w:rsidRPr="008E6363">
        <w:rPr>
          <w:sz w:val="24"/>
          <w:szCs w:val="24"/>
        </w:rPr>
        <w:t>Farmakoterapeutisk klassifikation: Midler med virkning på renin-angiotensin-systemet, angiotensin II-receptor blokkere (ARBs), andre kombinationer, ATC-kode: C09DX04.</w:t>
      </w:r>
    </w:p>
    <w:p w14:paraId="238667DD" w14:textId="77777777" w:rsidR="008E6363" w:rsidRPr="008E6363" w:rsidRDefault="008E6363" w:rsidP="008E6363">
      <w:pPr>
        <w:ind w:left="851"/>
        <w:rPr>
          <w:sz w:val="24"/>
          <w:szCs w:val="24"/>
        </w:rPr>
      </w:pPr>
    </w:p>
    <w:p w14:paraId="764B44B3" w14:textId="77777777" w:rsidR="008E6363" w:rsidRPr="008E6363" w:rsidRDefault="008E6363" w:rsidP="008E6363">
      <w:pPr>
        <w:ind w:left="851"/>
        <w:rPr>
          <w:sz w:val="24"/>
          <w:szCs w:val="24"/>
        </w:rPr>
      </w:pPr>
      <w:r w:rsidRPr="008E6363">
        <w:rPr>
          <w:sz w:val="24"/>
          <w:szCs w:val="24"/>
          <w:u w:val="single"/>
        </w:rPr>
        <w:t>Virkningsmekanisme</w:t>
      </w:r>
    </w:p>
    <w:p w14:paraId="409788CE" w14:textId="77777777" w:rsidR="008E6363" w:rsidRPr="008E6363" w:rsidRDefault="008E6363" w:rsidP="008E6363">
      <w:pPr>
        <w:ind w:left="851"/>
        <w:rPr>
          <w:sz w:val="24"/>
          <w:szCs w:val="24"/>
        </w:rPr>
      </w:pPr>
      <w:r w:rsidRPr="008E6363">
        <w:rPr>
          <w:sz w:val="24"/>
          <w:szCs w:val="24"/>
        </w:rPr>
        <w:t>Sacubitril/valsartan udøver virkningsmekanismen af en angiotensinreceptor-neprilysinhæmmer idet LBQ657, som er den aktive metabolit af prodruget sacubitril, hæmmer neprilysin (neutral endopeptidase; NEP) samtidig med, at valsartan blokerer angiotensin II type</w:t>
      </w:r>
      <w:r w:rsidRPr="008E6363">
        <w:rPr>
          <w:sz w:val="24"/>
          <w:szCs w:val="24"/>
        </w:rPr>
        <w:noBreakHyphen/>
        <w:t>1 (AT1)-receptoren. Sacubitrils/valsartans komplementære kardiovaskulære fordele hos patienter med hjertesvigt forklares med, at peptider, som nedbrydes af neprilysin, såsom natriuretiske peptider (NP), øges ved hjælp af LBQ657 samtidigt med, at de virkninger, som forårsages af angiotensin II, hæmmes ved hjælp af valsartan. NP’er udøver deres virkning ved at aktivere membranbundne guanylylcyclase-koblede receptorer, hvilket fører til øgede koncentrationer af den sekundære messenger cyklisk guanosinmonophosphat (cGMP), hvilket kan resultere i vasodilatation, natriurese og diurese, øget glomerulær filtrationshastighed og renal blodgennemstrømning, hæmning af renin</w:t>
      </w:r>
      <w:r w:rsidRPr="008E6363">
        <w:rPr>
          <w:sz w:val="24"/>
          <w:szCs w:val="24"/>
        </w:rPr>
        <w:noBreakHyphen/>
        <w:t xml:space="preserve"> og aldosteronfrigivelse, reduktion af sympatisk aktivitet og anti</w:t>
      </w:r>
      <w:r w:rsidRPr="008E6363">
        <w:rPr>
          <w:sz w:val="24"/>
          <w:szCs w:val="24"/>
        </w:rPr>
        <w:noBreakHyphen/>
        <w:t>hypertrofisk og anti</w:t>
      </w:r>
      <w:r w:rsidRPr="008E6363">
        <w:rPr>
          <w:sz w:val="24"/>
          <w:szCs w:val="24"/>
        </w:rPr>
        <w:noBreakHyphen/>
        <w:t>fibrotisk virkning fremmes.</w:t>
      </w:r>
    </w:p>
    <w:p w14:paraId="10681165" w14:textId="77777777" w:rsidR="008E6363" w:rsidRPr="008E6363" w:rsidRDefault="008E6363" w:rsidP="008E6363">
      <w:pPr>
        <w:ind w:left="851"/>
        <w:rPr>
          <w:sz w:val="24"/>
          <w:szCs w:val="24"/>
        </w:rPr>
      </w:pPr>
    </w:p>
    <w:p w14:paraId="036FF8E8" w14:textId="77777777" w:rsidR="008E6363" w:rsidRPr="008E6363" w:rsidRDefault="008E6363" w:rsidP="008E6363">
      <w:pPr>
        <w:ind w:left="851"/>
        <w:rPr>
          <w:sz w:val="24"/>
          <w:szCs w:val="24"/>
        </w:rPr>
      </w:pPr>
      <w:r w:rsidRPr="008E6363">
        <w:rPr>
          <w:sz w:val="24"/>
          <w:szCs w:val="24"/>
        </w:rPr>
        <w:t>Valsartan hæmmer angiotensin IIs skadelige virkninger på hjerte</w:t>
      </w:r>
      <w:r w:rsidRPr="008E6363">
        <w:rPr>
          <w:sz w:val="24"/>
          <w:szCs w:val="24"/>
        </w:rPr>
        <w:noBreakHyphen/>
        <w:t>kar og nyrer ved en selektiv blokering af AT1</w:t>
      </w:r>
      <w:r w:rsidRPr="008E6363">
        <w:rPr>
          <w:sz w:val="24"/>
          <w:szCs w:val="24"/>
        </w:rPr>
        <w:noBreakHyphen/>
        <w:t>receptoren og ved også at hæmme angiotensin II-afhængig aldosteronfrigivelse. Dette forhindrer vedvarende aktivering af renin-angiotensin-aldosteronsystemet, som ville forårsage vasokonstriktion, renal natrium</w:t>
      </w:r>
      <w:r w:rsidRPr="008E6363">
        <w:rPr>
          <w:sz w:val="24"/>
          <w:szCs w:val="24"/>
        </w:rPr>
        <w:noBreakHyphen/>
        <w:t xml:space="preserve"> og væskeretention, aktivering af cellevækst og proliferation med deraf følgende mangelfuld kardiovaskulær remodellering.</w:t>
      </w:r>
    </w:p>
    <w:p w14:paraId="79AC8C02" w14:textId="77777777" w:rsidR="008E6363" w:rsidRPr="008E6363" w:rsidRDefault="008E6363" w:rsidP="008E6363">
      <w:pPr>
        <w:ind w:left="851"/>
        <w:rPr>
          <w:sz w:val="24"/>
          <w:szCs w:val="24"/>
        </w:rPr>
      </w:pPr>
    </w:p>
    <w:p w14:paraId="6B841D9D" w14:textId="77777777" w:rsidR="008E6363" w:rsidRPr="008E6363" w:rsidRDefault="008E6363" w:rsidP="008E6363">
      <w:pPr>
        <w:ind w:left="851"/>
        <w:rPr>
          <w:sz w:val="24"/>
          <w:szCs w:val="24"/>
        </w:rPr>
      </w:pPr>
      <w:r w:rsidRPr="008E6363">
        <w:rPr>
          <w:sz w:val="24"/>
          <w:szCs w:val="24"/>
          <w:u w:val="single"/>
        </w:rPr>
        <w:t>Farmakodynamisk virkning</w:t>
      </w:r>
    </w:p>
    <w:p w14:paraId="4670F7A9" w14:textId="77777777" w:rsidR="008E6363" w:rsidRPr="008E6363" w:rsidRDefault="008E6363" w:rsidP="008E6363">
      <w:pPr>
        <w:ind w:left="851"/>
        <w:rPr>
          <w:sz w:val="24"/>
          <w:szCs w:val="24"/>
        </w:rPr>
      </w:pPr>
      <w:r w:rsidRPr="008E6363">
        <w:rPr>
          <w:sz w:val="24"/>
          <w:szCs w:val="24"/>
        </w:rPr>
        <w:t>De farmakodynamiske virkninger af sacubitril/valsartan blev evalueret efter administration af en enkeltdosis og gentagne doser hos raske forsøgspersoner og patienter med hjertesvigt, og stemmer overens med samtidig neprilysinhæmning og RAAS</w:t>
      </w:r>
      <w:r w:rsidRPr="008E6363">
        <w:rPr>
          <w:sz w:val="24"/>
          <w:szCs w:val="24"/>
        </w:rPr>
        <w:noBreakHyphen/>
        <w:t>blokade. I et 7</w:t>
      </w:r>
      <w:r w:rsidRPr="008E6363">
        <w:rPr>
          <w:sz w:val="24"/>
          <w:szCs w:val="24"/>
        </w:rPr>
        <w:noBreakHyphen/>
        <w:t>dages valsartan-kontrolleret studie hos patienter med nedsat uddrivningsfraktion (HFrEF), resulterede administration af sacubitril/valsartan i en initial øgning i natriurese, øget urin cGMP og sænkede plasmakoncentrationer af MR</w:t>
      </w:r>
      <w:r w:rsidRPr="008E6363">
        <w:rPr>
          <w:sz w:val="24"/>
          <w:szCs w:val="24"/>
        </w:rPr>
        <w:noBreakHyphen/>
        <w:t>proANP (</w:t>
      </w:r>
      <w:r w:rsidRPr="008E6363">
        <w:rPr>
          <w:i/>
          <w:iCs/>
          <w:sz w:val="24"/>
          <w:szCs w:val="24"/>
        </w:rPr>
        <w:t xml:space="preserve">mid-regional pro-atrial </w:t>
      </w:r>
      <w:r w:rsidRPr="008E6363">
        <w:rPr>
          <w:i/>
          <w:iCs/>
          <w:sz w:val="24"/>
          <w:szCs w:val="24"/>
        </w:rPr>
        <w:lastRenderedPageBreak/>
        <w:t>natriuretic peptide</w:t>
      </w:r>
      <w:r w:rsidRPr="008E6363">
        <w:rPr>
          <w:sz w:val="24"/>
          <w:szCs w:val="24"/>
        </w:rPr>
        <w:t>) og NT</w:t>
      </w:r>
      <w:r w:rsidRPr="008E6363">
        <w:rPr>
          <w:sz w:val="24"/>
          <w:szCs w:val="24"/>
        </w:rPr>
        <w:noBreakHyphen/>
        <w:t>proBNP (</w:t>
      </w:r>
      <w:r w:rsidRPr="008E6363">
        <w:rPr>
          <w:i/>
          <w:iCs/>
          <w:sz w:val="24"/>
          <w:szCs w:val="24"/>
        </w:rPr>
        <w:t>N</w:t>
      </w:r>
      <w:r w:rsidRPr="008E6363">
        <w:rPr>
          <w:i/>
          <w:iCs/>
          <w:sz w:val="24"/>
          <w:szCs w:val="24"/>
        </w:rPr>
        <w:noBreakHyphen/>
        <w:t>terminal prohormone brain natriuretic peptide</w:t>
      </w:r>
      <w:r w:rsidRPr="008E6363">
        <w:rPr>
          <w:sz w:val="24"/>
          <w:szCs w:val="24"/>
        </w:rPr>
        <w:t>) sammenlignet med valsartan. I et 21</w:t>
      </w:r>
      <w:r w:rsidRPr="008E6363">
        <w:rPr>
          <w:sz w:val="24"/>
          <w:szCs w:val="24"/>
        </w:rPr>
        <w:noBreakHyphen/>
        <w:t>dages studie hos HFrEF</w:t>
      </w:r>
      <w:r w:rsidRPr="008E6363">
        <w:rPr>
          <w:sz w:val="24"/>
          <w:szCs w:val="24"/>
        </w:rPr>
        <w:noBreakHyphen/>
        <w:t>patienter øgede sacubitril/valsartan urin ANP og cGMP, og plasma cGMP, og mindskede plasma NT</w:t>
      </w:r>
      <w:r w:rsidRPr="008E6363">
        <w:rPr>
          <w:sz w:val="24"/>
          <w:szCs w:val="24"/>
        </w:rPr>
        <w:noBreakHyphen/>
        <w:t>proBNP, aldosteron og endothelin</w:t>
      </w:r>
      <w:r w:rsidRPr="008E6363">
        <w:rPr>
          <w:sz w:val="24"/>
          <w:szCs w:val="24"/>
        </w:rPr>
        <w:noBreakHyphen/>
        <w:t xml:space="preserve">1 sammenlignet med </w:t>
      </w:r>
      <w:r w:rsidRPr="008E6363">
        <w:rPr>
          <w:i/>
          <w:iCs/>
          <w:sz w:val="24"/>
          <w:szCs w:val="24"/>
        </w:rPr>
        <w:t>baseline</w:t>
      </w:r>
      <w:r w:rsidRPr="008E6363">
        <w:rPr>
          <w:sz w:val="24"/>
          <w:szCs w:val="24"/>
        </w:rPr>
        <w:t>. AT1</w:t>
      </w:r>
      <w:r w:rsidRPr="008E6363">
        <w:rPr>
          <w:sz w:val="24"/>
          <w:szCs w:val="24"/>
        </w:rPr>
        <w:noBreakHyphen/>
        <w:t>receptoren blev også blokeret, vist ved øget plasmareninaktivitet og øgede plasmareninkoncentrationer. I PARADIGM</w:t>
      </w:r>
      <w:r w:rsidRPr="008E6363">
        <w:rPr>
          <w:sz w:val="24"/>
          <w:szCs w:val="24"/>
        </w:rPr>
        <w:noBreakHyphen/>
        <w:t>HF-studiet mindskede sacubitril/valsartan plasma NT</w:t>
      </w:r>
      <w:r w:rsidRPr="008E6363">
        <w:rPr>
          <w:sz w:val="24"/>
          <w:szCs w:val="24"/>
        </w:rPr>
        <w:noBreakHyphen/>
        <w:t>proBNP og øgede plasma BNP og urin cGMP sammenlignet med enalapril. I PANORAMA</w:t>
      </w:r>
      <w:r w:rsidRPr="008E6363">
        <w:rPr>
          <w:sz w:val="24"/>
          <w:szCs w:val="24"/>
        </w:rPr>
        <w:noBreakHyphen/>
        <w:t>HF-studiet blev der observeret en reduktion i NT</w:t>
      </w:r>
      <w:r w:rsidRPr="008E6363">
        <w:rPr>
          <w:sz w:val="24"/>
          <w:szCs w:val="24"/>
        </w:rPr>
        <w:noBreakHyphen/>
        <w:t xml:space="preserve">proBNP ved uge 4 og 12 for sacubitril/valsartan (40,2 % og 49,8 %) og enalapril (18,0 % og 44,9 %) sammenlignet med </w:t>
      </w:r>
      <w:r w:rsidRPr="008E6363">
        <w:rPr>
          <w:i/>
          <w:sz w:val="24"/>
          <w:szCs w:val="24"/>
        </w:rPr>
        <w:t>baseline</w:t>
      </w:r>
      <w:r w:rsidRPr="008E6363">
        <w:rPr>
          <w:sz w:val="24"/>
          <w:szCs w:val="24"/>
        </w:rPr>
        <w:t>. NT</w:t>
      </w:r>
      <w:r w:rsidRPr="008E6363">
        <w:rPr>
          <w:sz w:val="24"/>
          <w:szCs w:val="24"/>
        </w:rPr>
        <w:noBreakHyphen/>
        <w:t xml:space="preserve">proBNP-niveauerne fortsatte med at falde gennem hele studiets varighed, med en reduktion på 65,1 % for sacubitril/valsartan og 61,6 % for enalapril ved uge 52 sammenlignet med </w:t>
      </w:r>
      <w:r w:rsidRPr="008E6363">
        <w:rPr>
          <w:i/>
          <w:sz w:val="24"/>
          <w:szCs w:val="24"/>
        </w:rPr>
        <w:t>baseline</w:t>
      </w:r>
      <w:r w:rsidRPr="008E6363">
        <w:rPr>
          <w:sz w:val="24"/>
          <w:szCs w:val="24"/>
        </w:rPr>
        <w:t>. BNP er ikke egnet som biomarkør for hjertesvigt hos patienter i behandling med sacubitril/valsartan, da BNP er et neprilysinsubstrat (se pkt. 4.4). NT</w:t>
      </w:r>
      <w:r w:rsidRPr="008E6363">
        <w:rPr>
          <w:sz w:val="24"/>
          <w:szCs w:val="24"/>
        </w:rPr>
        <w:noBreakHyphen/>
        <w:t>proBNP er ikke et neprilysinsubstrat og er derfor bedre egnet som biomarkør.</w:t>
      </w:r>
    </w:p>
    <w:p w14:paraId="76D9F053" w14:textId="77777777" w:rsidR="008E6363" w:rsidRPr="008E6363" w:rsidRDefault="008E6363" w:rsidP="008E6363">
      <w:pPr>
        <w:ind w:left="851"/>
        <w:rPr>
          <w:sz w:val="24"/>
          <w:szCs w:val="24"/>
        </w:rPr>
      </w:pPr>
    </w:p>
    <w:p w14:paraId="21E58981" w14:textId="77777777" w:rsidR="008E6363" w:rsidRPr="008E6363" w:rsidRDefault="008E6363" w:rsidP="008E6363">
      <w:pPr>
        <w:ind w:left="851"/>
        <w:rPr>
          <w:sz w:val="24"/>
          <w:szCs w:val="24"/>
        </w:rPr>
      </w:pPr>
      <w:r w:rsidRPr="008E6363">
        <w:rPr>
          <w:sz w:val="24"/>
          <w:szCs w:val="24"/>
        </w:rPr>
        <w:t>I et grundigt QT</w:t>
      </w:r>
      <w:r w:rsidRPr="008E6363">
        <w:rPr>
          <w:sz w:val="24"/>
          <w:szCs w:val="24"/>
          <w:vertAlign w:val="subscript"/>
        </w:rPr>
        <w:t>c</w:t>
      </w:r>
      <w:r w:rsidRPr="008E6363">
        <w:rPr>
          <w:sz w:val="24"/>
          <w:szCs w:val="24"/>
        </w:rPr>
        <w:noBreakHyphen/>
        <w:t>studie hos raske, frivillige mænd havde enkeltdoser af sacubitril/valsartan 194 mg sacubitril/206 mg valsartan og 583 mg sacubitril/617 mg valsartan ingen virkning på hjertets repolarisation.</w:t>
      </w:r>
    </w:p>
    <w:p w14:paraId="7DD8DC52" w14:textId="77777777" w:rsidR="008E6363" w:rsidRPr="008E6363" w:rsidRDefault="008E6363" w:rsidP="008E6363">
      <w:pPr>
        <w:ind w:left="851"/>
        <w:rPr>
          <w:sz w:val="24"/>
          <w:szCs w:val="24"/>
        </w:rPr>
      </w:pPr>
    </w:p>
    <w:p w14:paraId="03893A6B" w14:textId="77777777" w:rsidR="008E6363" w:rsidRPr="008E6363" w:rsidRDefault="008E6363" w:rsidP="008E6363">
      <w:pPr>
        <w:ind w:left="851"/>
        <w:rPr>
          <w:sz w:val="24"/>
          <w:szCs w:val="24"/>
        </w:rPr>
      </w:pPr>
      <w:r w:rsidRPr="008E6363">
        <w:rPr>
          <w:sz w:val="24"/>
          <w:szCs w:val="24"/>
        </w:rPr>
        <w:t>Neprilysin er et af mange enzymer, som er involveret i udskillelsen af amyloid</w:t>
      </w:r>
      <w:r w:rsidRPr="008E6363">
        <w:rPr>
          <w:sz w:val="24"/>
          <w:szCs w:val="24"/>
        </w:rPr>
        <w:noBreakHyphen/>
        <w:t>β (Aβ) fra hjerne og cerebrospinalvæske (CSF). Administration af sacubitril/valsartan 194 mg sacubitril/206 mg valsartan én gang dagligt i 2 uger til raske forsøgspersoner var forbundet med en øgning i CSF Aβ1</w:t>
      </w:r>
      <w:r w:rsidRPr="008E6363">
        <w:rPr>
          <w:sz w:val="24"/>
          <w:szCs w:val="24"/>
        </w:rPr>
        <w:noBreakHyphen/>
        <w:t>38 sammenlignet med placebo, der var ingen ændringer i koncentrationerne af CSF Aβ1</w:t>
      </w:r>
      <w:r w:rsidRPr="008E6363">
        <w:rPr>
          <w:sz w:val="24"/>
          <w:szCs w:val="24"/>
        </w:rPr>
        <w:noBreakHyphen/>
        <w:t>40 og 1-42. Den kliniske relevans af dette fund er ukendt (se pkt. 5.3).</w:t>
      </w:r>
    </w:p>
    <w:p w14:paraId="4292BB77" w14:textId="77777777" w:rsidR="008E6363" w:rsidRPr="008E6363" w:rsidRDefault="008E6363" w:rsidP="008E6363">
      <w:pPr>
        <w:ind w:left="851"/>
        <w:rPr>
          <w:sz w:val="24"/>
          <w:szCs w:val="24"/>
        </w:rPr>
      </w:pPr>
    </w:p>
    <w:p w14:paraId="122E9E99" w14:textId="77777777" w:rsidR="008E6363" w:rsidRPr="008E6363" w:rsidRDefault="008E6363" w:rsidP="008E6363">
      <w:pPr>
        <w:ind w:left="851"/>
        <w:rPr>
          <w:sz w:val="24"/>
          <w:szCs w:val="24"/>
        </w:rPr>
      </w:pPr>
      <w:r w:rsidRPr="008E6363">
        <w:rPr>
          <w:sz w:val="24"/>
          <w:szCs w:val="24"/>
          <w:u w:val="single"/>
        </w:rPr>
        <w:t>Klinisk virkning og sikkerhed</w:t>
      </w:r>
    </w:p>
    <w:p w14:paraId="2187094F" w14:textId="77777777" w:rsidR="008E6363" w:rsidRPr="008E6363" w:rsidRDefault="008E6363" w:rsidP="008E6363">
      <w:pPr>
        <w:ind w:left="851"/>
        <w:rPr>
          <w:sz w:val="24"/>
          <w:szCs w:val="24"/>
        </w:rPr>
      </w:pPr>
      <w:r w:rsidRPr="008E6363">
        <w:rPr>
          <w:sz w:val="24"/>
          <w:szCs w:val="24"/>
        </w:rPr>
        <w:t>Styrkerne på 24 mg/26 mg, 49 mg/51 mg og 97 mg/103 mg henviser i nogle publikationer til 50, 100 eller 200 mg.</w:t>
      </w:r>
    </w:p>
    <w:p w14:paraId="547CD83E" w14:textId="77777777" w:rsidR="008E6363" w:rsidRPr="008E6363" w:rsidRDefault="008E6363" w:rsidP="008E6363">
      <w:pPr>
        <w:ind w:left="851"/>
        <w:rPr>
          <w:sz w:val="24"/>
          <w:szCs w:val="24"/>
        </w:rPr>
      </w:pPr>
    </w:p>
    <w:p w14:paraId="5480935F" w14:textId="77777777" w:rsidR="008E6363" w:rsidRPr="008E6363" w:rsidRDefault="008E6363" w:rsidP="008E6363">
      <w:pPr>
        <w:ind w:left="851"/>
        <w:rPr>
          <w:i/>
          <w:sz w:val="24"/>
          <w:szCs w:val="24"/>
        </w:rPr>
      </w:pPr>
      <w:r w:rsidRPr="008E6363">
        <w:rPr>
          <w:i/>
          <w:sz w:val="24"/>
          <w:szCs w:val="24"/>
          <w:u w:val="single"/>
        </w:rPr>
        <w:t>PARADIGM</w:t>
      </w:r>
      <w:r w:rsidRPr="008E6363">
        <w:rPr>
          <w:i/>
          <w:sz w:val="24"/>
          <w:szCs w:val="24"/>
          <w:u w:val="single"/>
        </w:rPr>
        <w:noBreakHyphen/>
        <w:t>HF</w:t>
      </w:r>
    </w:p>
    <w:p w14:paraId="63A27CF9" w14:textId="77777777" w:rsidR="008E6363" w:rsidRPr="008E6363" w:rsidRDefault="008E6363" w:rsidP="008E6363">
      <w:pPr>
        <w:ind w:left="851"/>
        <w:rPr>
          <w:sz w:val="24"/>
          <w:szCs w:val="24"/>
        </w:rPr>
      </w:pPr>
      <w:r w:rsidRPr="008E6363">
        <w:rPr>
          <w:sz w:val="24"/>
          <w:szCs w:val="24"/>
        </w:rPr>
        <w:t>Det pivotale fase III-studie, PARADIGM</w:t>
      </w:r>
      <w:r w:rsidRPr="008E6363">
        <w:rPr>
          <w:sz w:val="24"/>
          <w:szCs w:val="24"/>
        </w:rPr>
        <w:noBreakHyphen/>
        <w:t>HF, var et multinationalt, randomiseret, dobbeltblindet studie hos 8.442 patienter, hvori sacubitril/valsartan blev sammenlignet med enalapril, begge blev givet til voksne patienter med kronisk hjertesvigt NYHA klasse II</w:t>
      </w:r>
      <w:r w:rsidRPr="008E6363">
        <w:rPr>
          <w:sz w:val="24"/>
          <w:szCs w:val="24"/>
        </w:rPr>
        <w:noBreakHyphen/>
        <w:t>IV og nedsat uddrivningsfraktion (venstre ventrikel ejektionsfraktion [LVEF] ≤ 40 %, som senere blev ændret til ≤ 35 %) i tillæg til anden behandling for hjertesvigt. Det primære endepunkt var en kombination af kardiovaskulær (CV) død eller hospitalsindlæggelse på grund af hjertesvigt (HF). Patienter med SBT &lt; 100 mmHg, svært nedsat nyrefunktion (eGFR &lt; 30 ml/min/1,73 m</w:t>
      </w:r>
      <w:r w:rsidRPr="008E6363">
        <w:rPr>
          <w:sz w:val="24"/>
          <w:szCs w:val="24"/>
          <w:vertAlign w:val="superscript"/>
        </w:rPr>
        <w:t>2</w:t>
      </w:r>
      <w:r w:rsidRPr="008E6363">
        <w:rPr>
          <w:sz w:val="24"/>
          <w:szCs w:val="24"/>
        </w:rPr>
        <w:t>) og svært nedsat leverfunktion blev ekskluderet ved screening og er derfor ikke studeret prospektivt.</w:t>
      </w:r>
    </w:p>
    <w:p w14:paraId="6BA15803" w14:textId="77777777" w:rsidR="008E6363" w:rsidRPr="008E6363" w:rsidRDefault="008E6363" w:rsidP="008E6363">
      <w:pPr>
        <w:ind w:left="851"/>
        <w:rPr>
          <w:sz w:val="24"/>
          <w:szCs w:val="24"/>
        </w:rPr>
      </w:pPr>
    </w:p>
    <w:p w14:paraId="27BA5916" w14:textId="77777777" w:rsidR="008E6363" w:rsidRPr="008E6363" w:rsidRDefault="008E6363" w:rsidP="008E6363">
      <w:pPr>
        <w:ind w:left="851"/>
        <w:rPr>
          <w:sz w:val="24"/>
          <w:szCs w:val="24"/>
        </w:rPr>
      </w:pPr>
      <w:r w:rsidRPr="008E6363">
        <w:rPr>
          <w:sz w:val="24"/>
          <w:szCs w:val="24"/>
        </w:rPr>
        <w:t>Forud for deltagelse i studiet var patienterne velbehandlede på standardbehandling, som inkluderede ACE</w:t>
      </w:r>
      <w:r w:rsidRPr="008E6363">
        <w:rPr>
          <w:sz w:val="24"/>
          <w:szCs w:val="24"/>
        </w:rPr>
        <w:noBreakHyphen/>
        <w:t>hæmmere/ARB’er (&gt; 99 %), betablokkere (94 %), mineralokortikoid-antagonister (58 %) og diuretika (82 %). Den gennemsnitlige opfølgningsperiode var 27 måneder, og patienterne blev behandlet i op til 4,3 år.</w:t>
      </w:r>
    </w:p>
    <w:p w14:paraId="32F86D58" w14:textId="77777777" w:rsidR="008E6363" w:rsidRPr="008E6363" w:rsidRDefault="008E6363" w:rsidP="008E6363">
      <w:pPr>
        <w:ind w:left="851"/>
        <w:rPr>
          <w:sz w:val="24"/>
          <w:szCs w:val="24"/>
        </w:rPr>
      </w:pPr>
    </w:p>
    <w:p w14:paraId="7F87A653" w14:textId="77777777" w:rsidR="008E6363" w:rsidRPr="008E6363" w:rsidRDefault="008E6363" w:rsidP="008E6363">
      <w:pPr>
        <w:ind w:left="851"/>
        <w:rPr>
          <w:sz w:val="24"/>
          <w:szCs w:val="24"/>
        </w:rPr>
      </w:pPr>
      <w:r w:rsidRPr="008E6363">
        <w:rPr>
          <w:sz w:val="24"/>
          <w:szCs w:val="24"/>
        </w:rPr>
        <w:t>Patienterne skulle afbryde deres eksisterende ACE</w:t>
      </w:r>
      <w:r w:rsidRPr="008E6363">
        <w:rPr>
          <w:sz w:val="24"/>
          <w:szCs w:val="24"/>
        </w:rPr>
        <w:noBreakHyphen/>
        <w:t>hæmmer</w:t>
      </w:r>
      <w:r w:rsidRPr="008E6363">
        <w:rPr>
          <w:sz w:val="24"/>
          <w:szCs w:val="24"/>
        </w:rPr>
        <w:noBreakHyphen/>
        <w:t xml:space="preserve"> eller ARB</w:t>
      </w:r>
      <w:r w:rsidRPr="008E6363">
        <w:rPr>
          <w:sz w:val="24"/>
          <w:szCs w:val="24"/>
        </w:rPr>
        <w:noBreakHyphen/>
        <w:t xml:space="preserve">behandling og indgå i en sekventiel enkeltblindet </w:t>
      </w:r>
      <w:r w:rsidRPr="008E6363">
        <w:rPr>
          <w:i/>
          <w:iCs/>
          <w:sz w:val="24"/>
          <w:szCs w:val="24"/>
        </w:rPr>
        <w:t>run</w:t>
      </w:r>
      <w:r w:rsidRPr="008E6363">
        <w:rPr>
          <w:i/>
          <w:iCs/>
          <w:sz w:val="24"/>
          <w:szCs w:val="24"/>
        </w:rPr>
        <w:noBreakHyphen/>
        <w:t>in</w:t>
      </w:r>
      <w:r w:rsidRPr="008E6363">
        <w:rPr>
          <w:sz w:val="24"/>
          <w:szCs w:val="24"/>
        </w:rPr>
        <w:t xml:space="preserve"> periode, i hvilken de blev behandlet med 10 mg enalapril to gange dagligt efterfulgt af enkeltblindet behandling med sacubitril/valsartan 100 mg to gange dagligt stigende til 200 mg to gange dagligt (se pkt. 4.8 angående seponeringer i denne periode). De blev derefter randomiseret til den dobbeltblindede </w:t>
      </w:r>
      <w:r w:rsidRPr="008E6363">
        <w:rPr>
          <w:sz w:val="24"/>
          <w:szCs w:val="24"/>
        </w:rPr>
        <w:lastRenderedPageBreak/>
        <w:t>studieperiode, i hvilken de fik enten 200 mg sacubitril/valsartan to gange dagligt eller 10 mg enalapril to gange dagligt [sacubitril/valsartan (n = 4.209); enalapril (n = 4.233)].</w:t>
      </w:r>
    </w:p>
    <w:p w14:paraId="1204CACC" w14:textId="77777777" w:rsidR="008E6363" w:rsidRPr="008E6363" w:rsidRDefault="008E6363" w:rsidP="008E6363">
      <w:pPr>
        <w:ind w:left="851"/>
        <w:rPr>
          <w:sz w:val="24"/>
          <w:szCs w:val="24"/>
        </w:rPr>
      </w:pPr>
    </w:p>
    <w:p w14:paraId="5CE4A556" w14:textId="77777777" w:rsidR="008E6363" w:rsidRPr="008E6363" w:rsidRDefault="008E6363" w:rsidP="008E6363">
      <w:pPr>
        <w:ind w:left="851"/>
        <w:rPr>
          <w:sz w:val="24"/>
          <w:szCs w:val="24"/>
        </w:rPr>
      </w:pPr>
      <w:r w:rsidRPr="008E6363">
        <w:rPr>
          <w:sz w:val="24"/>
          <w:szCs w:val="24"/>
        </w:rPr>
        <w:t xml:space="preserve">Studiepopulationens gennemsnitsalder var 64 år, og 19 % var 75 år eller ældre. På randomiseringstidspunktet var 70 % af patienterne i NYHA klasse II, 24 % var i klasse III, og 0,7 % var i klasse IV. Den gennemsnitlige LVEF var 29 %, og der var 963 (11,4 %) patienter med LVEF &gt; 35 % og ≤ 40 % ved </w:t>
      </w:r>
      <w:r w:rsidRPr="008E6363">
        <w:rPr>
          <w:i/>
          <w:sz w:val="24"/>
          <w:szCs w:val="24"/>
        </w:rPr>
        <w:t>baseline</w:t>
      </w:r>
      <w:r w:rsidRPr="008E6363">
        <w:rPr>
          <w:sz w:val="24"/>
          <w:szCs w:val="24"/>
        </w:rPr>
        <w:t>.</w:t>
      </w:r>
    </w:p>
    <w:p w14:paraId="4AA7BB0B" w14:textId="77777777" w:rsidR="008E6363" w:rsidRPr="008E6363" w:rsidRDefault="008E6363" w:rsidP="008E6363">
      <w:pPr>
        <w:ind w:left="851"/>
        <w:rPr>
          <w:sz w:val="24"/>
          <w:szCs w:val="24"/>
        </w:rPr>
      </w:pPr>
      <w:r w:rsidRPr="008E6363">
        <w:rPr>
          <w:sz w:val="24"/>
          <w:szCs w:val="24"/>
        </w:rPr>
        <w:t>I sacubitril/valsartan-gruppen var 76 % af patienterne stadigvæk på måldosis 200 mg to gange dagligt ved afslutningen af studiet (gennemsnitlig daglig dosis på 375 mg). I enalapril-gruppen var 75 % af patienterne stadigvæk på måldosis 10 mg to gange dagligt ved afslutningen af studiet (gennemsnitlig daglig dosis på 18,9 mg).</w:t>
      </w:r>
    </w:p>
    <w:p w14:paraId="1FBF76EE" w14:textId="77777777" w:rsidR="008E6363" w:rsidRPr="008E6363" w:rsidRDefault="008E6363" w:rsidP="008E6363">
      <w:pPr>
        <w:ind w:left="851"/>
        <w:rPr>
          <w:sz w:val="24"/>
          <w:szCs w:val="24"/>
        </w:rPr>
      </w:pPr>
    </w:p>
    <w:p w14:paraId="0F424B73" w14:textId="77777777" w:rsidR="008E6363" w:rsidRPr="008E6363" w:rsidRDefault="008E6363" w:rsidP="008E6363">
      <w:pPr>
        <w:ind w:left="851"/>
        <w:rPr>
          <w:sz w:val="24"/>
          <w:szCs w:val="24"/>
        </w:rPr>
      </w:pPr>
      <w:r w:rsidRPr="008E6363">
        <w:rPr>
          <w:sz w:val="24"/>
          <w:szCs w:val="24"/>
        </w:rPr>
        <w:t xml:space="preserve">Sacubitril/valsartan viste overlegenhed over for enalapril, idet risiko for kardiovaskulær død eller hospitalsindlæggelse på grund af hjertesvigt blev mindsket til 21,8 % sammenlignet med 26,5 % hos de enalapril-behandlede patienter. Den absolutte risikoreduktion var 4,7 % for samlet CV død eller hospitalsindlæggelse på grund af HF, 3,1 % for CV død alene og 2,8 % for første hospitalisering på grund af HF alene. Den relative risikoreduktion var 20 % </w:t>
      </w:r>
      <w:r w:rsidRPr="008E6363">
        <w:rPr>
          <w:i/>
          <w:sz w:val="24"/>
          <w:szCs w:val="24"/>
        </w:rPr>
        <w:t xml:space="preserve">versus </w:t>
      </w:r>
      <w:r w:rsidRPr="008E6363">
        <w:rPr>
          <w:sz w:val="24"/>
          <w:szCs w:val="24"/>
        </w:rPr>
        <w:t>enalapril (se tabel 3). Denne virkning sås tidligt og varede ved gennem hele studieperioden (se figur 1). Begge komponenter havde indflydelse på risikoreduktionen. Pludselig død udgjorde 45 % af de kardiovaskulære dødsfald og blev reduceret med 20 % hos sacubitril/valsartan-behandlede patienter sammenlignet med enalapril-behandlede patienter (</w:t>
      </w:r>
      <w:r w:rsidRPr="008E6363">
        <w:rPr>
          <w:i/>
          <w:iCs/>
          <w:sz w:val="24"/>
          <w:szCs w:val="24"/>
        </w:rPr>
        <w:t>hazard ratio</w:t>
      </w:r>
      <w:r w:rsidRPr="008E6363">
        <w:rPr>
          <w:sz w:val="24"/>
          <w:szCs w:val="24"/>
        </w:rPr>
        <w:t xml:space="preserve"> [HR] 0,80, p = 0,0082). Pumpesvigt udgjorde 26 % af de kardiovaskulære dødsfald og blev reduceret med 21 % hos sacubitril/valsartan-behandlede patienter sammenlignet med enalapril-behandlede patienter (HR 0,79, p = 0,0338).</w:t>
      </w:r>
    </w:p>
    <w:p w14:paraId="7D553D16" w14:textId="77777777" w:rsidR="008E6363" w:rsidRPr="008E6363" w:rsidRDefault="008E6363" w:rsidP="008E6363">
      <w:pPr>
        <w:ind w:left="851"/>
        <w:rPr>
          <w:sz w:val="24"/>
          <w:szCs w:val="24"/>
        </w:rPr>
      </w:pPr>
    </w:p>
    <w:p w14:paraId="4A156BAE" w14:textId="77777777" w:rsidR="008E6363" w:rsidRPr="008E6363" w:rsidRDefault="008E6363" w:rsidP="008E6363">
      <w:pPr>
        <w:ind w:left="851"/>
        <w:rPr>
          <w:sz w:val="24"/>
          <w:szCs w:val="24"/>
        </w:rPr>
      </w:pPr>
      <w:r w:rsidRPr="008E6363">
        <w:rPr>
          <w:sz w:val="24"/>
          <w:szCs w:val="24"/>
        </w:rPr>
        <w:t>Risikoreduktionen var konstant på tværs af undergrupper herunder: køn, alder, race, geografi, NYHA klasse (II/III), uddrivningsfraktion, nyrefunktion, tidligere diabetes eller hypertension, tidligere behandling for hjertesvigt og hjerteflimmer.</w:t>
      </w:r>
    </w:p>
    <w:p w14:paraId="32D0C143" w14:textId="77777777" w:rsidR="008E6363" w:rsidRPr="008E6363" w:rsidRDefault="008E6363" w:rsidP="008E6363">
      <w:pPr>
        <w:ind w:left="851"/>
        <w:rPr>
          <w:sz w:val="24"/>
          <w:szCs w:val="24"/>
        </w:rPr>
      </w:pPr>
    </w:p>
    <w:p w14:paraId="0D92F305" w14:textId="77777777" w:rsidR="008E6363" w:rsidRPr="008E6363" w:rsidRDefault="008E6363" w:rsidP="008E6363">
      <w:pPr>
        <w:ind w:left="851"/>
        <w:rPr>
          <w:sz w:val="24"/>
          <w:szCs w:val="24"/>
        </w:rPr>
      </w:pPr>
      <w:r w:rsidRPr="008E6363">
        <w:rPr>
          <w:sz w:val="24"/>
          <w:szCs w:val="24"/>
        </w:rPr>
        <w:t>Sacubitril/valsartan forbedrede overlevelse med en signifikant reduktion i generel dødelighed på 2,8 % (sacubitril/valsartan, 17 %, enalapril, 19,8 %). Den relative risikoreduktion var 16 % sammenlignet med enalapril (se tabel 3).</w:t>
      </w:r>
    </w:p>
    <w:p w14:paraId="5981CBD3" w14:textId="77777777" w:rsidR="008E6363" w:rsidRPr="008E6363" w:rsidRDefault="008E6363" w:rsidP="008E6363">
      <w:pPr>
        <w:ind w:left="851"/>
        <w:rPr>
          <w:sz w:val="24"/>
          <w:szCs w:val="24"/>
        </w:rPr>
      </w:pPr>
    </w:p>
    <w:p w14:paraId="637542A7" w14:textId="77777777" w:rsidR="008E6363" w:rsidRDefault="008E6363" w:rsidP="008E6363">
      <w:pPr>
        <w:ind w:left="993" w:hanging="993"/>
        <w:rPr>
          <w:b/>
          <w:bCs/>
        </w:rPr>
      </w:pPr>
      <w:r>
        <w:rPr>
          <w:b/>
          <w:bCs/>
        </w:rPr>
        <w:t>Tabel 3</w:t>
      </w:r>
      <w:r>
        <w:rPr>
          <w:b/>
          <w:bCs/>
        </w:rPr>
        <w:tab/>
        <w:t>Behandlingseffekt for det primære sammensatte endepunkt, dets komponenter og generel dødelighed over en gennemsnitlig opfølgningstid på 27 måneder</w:t>
      </w:r>
    </w:p>
    <w:p w14:paraId="248AFB2D" w14:textId="77777777" w:rsidR="008E6363" w:rsidRDefault="008E6363" w:rsidP="008E6363"/>
    <w:tbl>
      <w:tblPr>
        <w:tblW w:w="94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5"/>
        <w:gridCol w:w="1417"/>
        <w:gridCol w:w="1418"/>
        <w:gridCol w:w="1841"/>
        <w:gridCol w:w="1276"/>
        <w:gridCol w:w="1418"/>
      </w:tblGrid>
      <w:tr w:rsidR="008E6363" w14:paraId="6A6D229B" w14:textId="77777777" w:rsidTr="008E6363">
        <w:trPr>
          <w:trHeight w:val="1011"/>
        </w:trPr>
        <w:tc>
          <w:tcPr>
            <w:tcW w:w="2127" w:type="dxa"/>
            <w:tcBorders>
              <w:top w:val="single" w:sz="4" w:space="0" w:color="000000"/>
              <w:left w:val="single" w:sz="4" w:space="0" w:color="000000"/>
              <w:bottom w:val="single" w:sz="4" w:space="0" w:color="000000"/>
              <w:right w:val="single" w:sz="4" w:space="0" w:color="000000"/>
            </w:tcBorders>
          </w:tcPr>
          <w:p w14:paraId="02D2C684" w14:textId="77777777" w:rsidR="008E6363" w:rsidRDefault="008E6363">
            <w:pPr>
              <w:spacing w:line="276" w:lineRule="auto"/>
              <w:rPr>
                <w:kern w:val="2"/>
                <w:lang w:val="sv-SE"/>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6B166F45" w14:textId="77777777" w:rsidR="008E6363" w:rsidRDefault="008E6363">
            <w:pPr>
              <w:spacing w:line="276" w:lineRule="auto"/>
              <w:rPr>
                <w:b/>
                <w:kern w:val="2"/>
                <w:lang w:val="sv-SE"/>
                <w14:ligatures w14:val="standardContextual"/>
              </w:rPr>
            </w:pPr>
            <w:r>
              <w:rPr>
                <w:b/>
                <w:kern w:val="2"/>
                <w:lang w:val="sv-SE"/>
                <w14:ligatures w14:val="standardContextual"/>
              </w:rPr>
              <w:t>Sacubitril/</w:t>
            </w:r>
          </w:p>
          <w:p w14:paraId="56B7A88C" w14:textId="77777777" w:rsidR="008E6363" w:rsidRDefault="008E6363">
            <w:pPr>
              <w:spacing w:line="276" w:lineRule="auto"/>
              <w:rPr>
                <w:b/>
                <w:kern w:val="2"/>
                <w:lang w:val="sv-SE"/>
                <w14:ligatures w14:val="standardContextual"/>
              </w:rPr>
            </w:pPr>
            <w:r>
              <w:rPr>
                <w:b/>
                <w:kern w:val="2"/>
                <w:lang w:val="sv-SE"/>
                <w14:ligatures w14:val="standardContextual"/>
              </w:rPr>
              <w:t>valsartan</w:t>
            </w:r>
          </w:p>
          <w:p w14:paraId="5EC9E4CA" w14:textId="77777777" w:rsidR="008E6363" w:rsidRDefault="008E6363">
            <w:pPr>
              <w:spacing w:line="276" w:lineRule="auto"/>
              <w:rPr>
                <w:b/>
                <w:kern w:val="2"/>
                <w:lang w:val="sv-SE"/>
                <w14:ligatures w14:val="standardContextual"/>
              </w:rPr>
            </w:pPr>
            <w:r>
              <w:rPr>
                <w:b/>
                <w:kern w:val="2"/>
                <w:lang w:val="sv-SE"/>
                <w14:ligatures w14:val="standardContextual"/>
              </w:rPr>
              <w:t>N = 4.187</w:t>
            </w:r>
            <w:r>
              <w:rPr>
                <w:b/>
                <w:kern w:val="2"/>
                <w:vertAlign w:val="superscript"/>
                <w:lang w:val="sv-SE"/>
                <w14:ligatures w14:val="standardContextual"/>
              </w:rPr>
              <w:t>♯</w:t>
            </w:r>
          </w:p>
          <w:p w14:paraId="025B02BC" w14:textId="77777777" w:rsidR="008E6363" w:rsidRDefault="008E6363">
            <w:pPr>
              <w:spacing w:line="276" w:lineRule="auto"/>
              <w:rPr>
                <w:b/>
                <w:kern w:val="2"/>
                <w:lang w:val="sv-SE"/>
                <w14:ligatures w14:val="standardContextual"/>
              </w:rPr>
            </w:pPr>
            <w:r>
              <w:rPr>
                <w:b/>
                <w:kern w:val="2"/>
                <w:lang w:val="sv-SE"/>
                <w14:ligatures w14:val="standardContextual"/>
              </w:rPr>
              <w:t>n (%)</w:t>
            </w:r>
          </w:p>
        </w:tc>
        <w:tc>
          <w:tcPr>
            <w:tcW w:w="1418" w:type="dxa"/>
            <w:tcBorders>
              <w:top w:val="single" w:sz="4" w:space="0" w:color="000000"/>
              <w:left w:val="single" w:sz="4" w:space="0" w:color="000000"/>
              <w:bottom w:val="single" w:sz="4" w:space="0" w:color="000000"/>
              <w:right w:val="single" w:sz="4" w:space="0" w:color="000000"/>
            </w:tcBorders>
            <w:hideMark/>
          </w:tcPr>
          <w:p w14:paraId="7884A89B" w14:textId="77777777" w:rsidR="008E6363" w:rsidRDefault="008E6363">
            <w:pPr>
              <w:spacing w:line="276" w:lineRule="auto"/>
              <w:rPr>
                <w:b/>
                <w:kern w:val="2"/>
                <w:lang w:val="sv-SE"/>
                <w14:ligatures w14:val="standardContextual"/>
              </w:rPr>
            </w:pPr>
            <w:r>
              <w:rPr>
                <w:b/>
                <w:kern w:val="2"/>
                <w:lang w:val="sv-SE"/>
                <w14:ligatures w14:val="standardContextual"/>
              </w:rPr>
              <w:t>Enalapril</w:t>
            </w:r>
          </w:p>
          <w:p w14:paraId="14453900" w14:textId="77777777" w:rsidR="008E6363" w:rsidRDefault="008E6363">
            <w:pPr>
              <w:spacing w:line="276" w:lineRule="auto"/>
              <w:rPr>
                <w:b/>
                <w:kern w:val="2"/>
                <w:lang w:val="sv-SE"/>
                <w14:ligatures w14:val="standardContextual"/>
              </w:rPr>
            </w:pPr>
            <w:r>
              <w:rPr>
                <w:b/>
                <w:kern w:val="2"/>
                <w:lang w:val="sv-SE"/>
                <w14:ligatures w14:val="standardContextual"/>
              </w:rPr>
              <w:t>N = 4.212</w:t>
            </w:r>
            <w:r>
              <w:rPr>
                <w:b/>
                <w:kern w:val="2"/>
                <w:vertAlign w:val="superscript"/>
                <w:lang w:val="sv-SE"/>
                <w14:ligatures w14:val="standardContextual"/>
              </w:rPr>
              <w:t>♯</w:t>
            </w:r>
          </w:p>
          <w:p w14:paraId="3EA874C4" w14:textId="77777777" w:rsidR="008E6363" w:rsidRDefault="008E6363">
            <w:pPr>
              <w:spacing w:line="276" w:lineRule="auto"/>
              <w:rPr>
                <w:b/>
                <w:kern w:val="2"/>
                <w:lang w:val="sv-SE"/>
                <w14:ligatures w14:val="standardContextual"/>
              </w:rPr>
            </w:pPr>
            <w:r>
              <w:rPr>
                <w:b/>
                <w:kern w:val="2"/>
                <w:lang w:val="sv-SE"/>
                <w14:ligatures w14:val="standardContextual"/>
              </w:rPr>
              <w:t>n (%)</w:t>
            </w:r>
          </w:p>
        </w:tc>
        <w:tc>
          <w:tcPr>
            <w:tcW w:w="1842" w:type="dxa"/>
            <w:tcBorders>
              <w:top w:val="single" w:sz="4" w:space="0" w:color="000000"/>
              <w:left w:val="single" w:sz="4" w:space="0" w:color="000000"/>
              <w:bottom w:val="single" w:sz="4" w:space="0" w:color="000000"/>
              <w:right w:val="single" w:sz="4" w:space="0" w:color="000000"/>
            </w:tcBorders>
            <w:hideMark/>
          </w:tcPr>
          <w:p w14:paraId="5F944CC8" w14:textId="77777777" w:rsidR="008E6363" w:rsidRDefault="008E6363">
            <w:pPr>
              <w:spacing w:line="276" w:lineRule="auto"/>
              <w:rPr>
                <w:b/>
                <w:kern w:val="2"/>
                <w:lang w:val="sv-SE"/>
                <w14:ligatures w14:val="standardContextual"/>
              </w:rPr>
            </w:pPr>
            <w:r>
              <w:rPr>
                <w:b/>
                <w:i/>
                <w:iCs/>
                <w:kern w:val="2"/>
                <w:lang w:val="sv-SE"/>
                <w14:ligatures w14:val="standardContextual"/>
              </w:rPr>
              <w:t>Hazard ratio</w:t>
            </w:r>
          </w:p>
          <w:p w14:paraId="57527CBB" w14:textId="77777777" w:rsidR="008E6363" w:rsidRDefault="008E6363">
            <w:pPr>
              <w:spacing w:line="276" w:lineRule="auto"/>
              <w:rPr>
                <w:b/>
                <w:kern w:val="2"/>
                <w:lang w:val="sv-SE"/>
                <w14:ligatures w14:val="standardContextual"/>
              </w:rPr>
            </w:pPr>
            <w:r>
              <w:rPr>
                <w:b/>
                <w:kern w:val="2"/>
                <w:lang w:val="sv-SE"/>
                <w14:ligatures w14:val="standardContextual"/>
              </w:rPr>
              <w:t>(95 % CI)</w:t>
            </w:r>
          </w:p>
        </w:tc>
        <w:tc>
          <w:tcPr>
            <w:tcW w:w="1276" w:type="dxa"/>
            <w:tcBorders>
              <w:top w:val="single" w:sz="4" w:space="0" w:color="000000"/>
              <w:left w:val="single" w:sz="4" w:space="0" w:color="000000"/>
              <w:bottom w:val="single" w:sz="4" w:space="0" w:color="000000"/>
              <w:right w:val="single" w:sz="4" w:space="0" w:color="000000"/>
            </w:tcBorders>
            <w:hideMark/>
          </w:tcPr>
          <w:p w14:paraId="1287F73D" w14:textId="77777777" w:rsidR="008E6363" w:rsidRDefault="008E6363">
            <w:pPr>
              <w:spacing w:line="276" w:lineRule="auto"/>
              <w:rPr>
                <w:b/>
                <w:kern w:val="2"/>
                <w:lang w:val="sv-SE"/>
                <w14:ligatures w14:val="standardContextual"/>
              </w:rPr>
            </w:pPr>
            <w:r>
              <w:rPr>
                <w:b/>
                <w:kern w:val="2"/>
                <w:lang w:val="sv-SE"/>
                <w14:ligatures w14:val="standardContextual"/>
              </w:rPr>
              <w:t>Relativ risiko-reduktion</w:t>
            </w:r>
          </w:p>
        </w:tc>
        <w:tc>
          <w:tcPr>
            <w:tcW w:w="1418" w:type="dxa"/>
            <w:tcBorders>
              <w:top w:val="single" w:sz="4" w:space="0" w:color="000000"/>
              <w:left w:val="single" w:sz="4" w:space="0" w:color="000000"/>
              <w:bottom w:val="single" w:sz="4" w:space="0" w:color="000000"/>
              <w:right w:val="single" w:sz="4" w:space="0" w:color="000000"/>
            </w:tcBorders>
            <w:hideMark/>
          </w:tcPr>
          <w:p w14:paraId="0524A8D2" w14:textId="77777777" w:rsidR="008E6363" w:rsidRDefault="008E6363">
            <w:pPr>
              <w:spacing w:line="276" w:lineRule="auto"/>
              <w:rPr>
                <w:b/>
                <w:kern w:val="2"/>
                <w:lang w:val="sv-SE"/>
                <w14:ligatures w14:val="standardContextual"/>
              </w:rPr>
            </w:pPr>
            <w:r>
              <w:rPr>
                <w:b/>
                <w:kern w:val="2"/>
                <w:lang w:val="sv-SE"/>
                <w14:ligatures w14:val="standardContextual"/>
              </w:rPr>
              <w:t>p-værdi***</w:t>
            </w:r>
          </w:p>
        </w:tc>
      </w:tr>
      <w:tr w:rsidR="008E6363" w14:paraId="68D93917" w14:textId="77777777" w:rsidTr="008E6363">
        <w:trPr>
          <w:trHeight w:val="1265"/>
        </w:trPr>
        <w:tc>
          <w:tcPr>
            <w:tcW w:w="2127" w:type="dxa"/>
            <w:tcBorders>
              <w:top w:val="single" w:sz="4" w:space="0" w:color="000000"/>
              <w:left w:val="single" w:sz="4" w:space="0" w:color="000000"/>
              <w:bottom w:val="single" w:sz="4" w:space="0" w:color="000000"/>
              <w:right w:val="single" w:sz="4" w:space="0" w:color="000000"/>
            </w:tcBorders>
            <w:hideMark/>
          </w:tcPr>
          <w:p w14:paraId="77D5757D" w14:textId="77777777" w:rsidR="008E6363" w:rsidRDefault="008E6363">
            <w:pPr>
              <w:spacing w:line="276" w:lineRule="auto"/>
              <w:rPr>
                <w:kern w:val="2"/>
                <w:lang w:val="sv-SE"/>
                <w14:ligatures w14:val="standardContextual"/>
              </w:rPr>
            </w:pPr>
            <w:r>
              <w:rPr>
                <w:kern w:val="2"/>
                <w:lang w:val="sv-SE"/>
                <w14:ligatures w14:val="standardContextual"/>
              </w:rPr>
              <w:t>Primært samlet endepunkt for CV død og hospitalsindlæggelse ved hjertesvigt*</w:t>
            </w:r>
          </w:p>
        </w:tc>
        <w:tc>
          <w:tcPr>
            <w:tcW w:w="1417" w:type="dxa"/>
            <w:tcBorders>
              <w:top w:val="single" w:sz="4" w:space="0" w:color="000000"/>
              <w:left w:val="single" w:sz="4" w:space="0" w:color="000000"/>
              <w:bottom w:val="single" w:sz="4" w:space="0" w:color="000000"/>
              <w:right w:val="single" w:sz="4" w:space="0" w:color="000000"/>
            </w:tcBorders>
            <w:hideMark/>
          </w:tcPr>
          <w:p w14:paraId="53092CCD" w14:textId="77777777" w:rsidR="008E6363" w:rsidRDefault="008E6363">
            <w:pPr>
              <w:spacing w:line="276" w:lineRule="auto"/>
              <w:rPr>
                <w:kern w:val="2"/>
                <w:lang w:val="sv-SE"/>
                <w14:ligatures w14:val="standardContextual"/>
              </w:rPr>
            </w:pPr>
            <w:r>
              <w:rPr>
                <w:kern w:val="2"/>
                <w:lang w:val="sv-SE"/>
                <w14:ligatures w14:val="standardContextual"/>
              </w:rPr>
              <w:t>914 (21,83)</w:t>
            </w:r>
          </w:p>
        </w:tc>
        <w:tc>
          <w:tcPr>
            <w:tcW w:w="1418" w:type="dxa"/>
            <w:tcBorders>
              <w:top w:val="single" w:sz="4" w:space="0" w:color="000000"/>
              <w:left w:val="single" w:sz="4" w:space="0" w:color="000000"/>
              <w:bottom w:val="single" w:sz="4" w:space="0" w:color="000000"/>
              <w:right w:val="single" w:sz="4" w:space="0" w:color="000000"/>
            </w:tcBorders>
            <w:hideMark/>
          </w:tcPr>
          <w:p w14:paraId="22089FFF" w14:textId="77777777" w:rsidR="008E6363" w:rsidRDefault="008E6363">
            <w:pPr>
              <w:spacing w:line="276" w:lineRule="auto"/>
              <w:rPr>
                <w:kern w:val="2"/>
                <w:lang w:val="sv-SE"/>
                <w14:ligatures w14:val="standardContextual"/>
              </w:rPr>
            </w:pPr>
            <w:r>
              <w:rPr>
                <w:kern w:val="2"/>
                <w:lang w:val="sv-SE"/>
                <w14:ligatures w14:val="standardContextual"/>
              </w:rPr>
              <w:t>1.117 (26,52)</w:t>
            </w:r>
          </w:p>
        </w:tc>
        <w:tc>
          <w:tcPr>
            <w:tcW w:w="1842" w:type="dxa"/>
            <w:tcBorders>
              <w:top w:val="single" w:sz="4" w:space="0" w:color="000000"/>
              <w:left w:val="single" w:sz="4" w:space="0" w:color="000000"/>
              <w:bottom w:val="single" w:sz="4" w:space="0" w:color="000000"/>
              <w:right w:val="single" w:sz="4" w:space="0" w:color="000000"/>
            </w:tcBorders>
            <w:hideMark/>
          </w:tcPr>
          <w:p w14:paraId="3FEEC637" w14:textId="77777777" w:rsidR="008E6363" w:rsidRDefault="008E6363">
            <w:pPr>
              <w:widowControl w:val="0"/>
              <w:tabs>
                <w:tab w:val="left" w:pos="567"/>
              </w:tabs>
              <w:spacing w:line="276" w:lineRule="auto"/>
              <w:rPr>
                <w:kern w:val="2"/>
                <w:lang w:val="sv-SE"/>
                <w14:ligatures w14:val="standardContextual"/>
              </w:rPr>
            </w:pPr>
            <w:r>
              <w:rPr>
                <w:kern w:val="2"/>
                <w:lang w:val="sv-SE"/>
                <w14:ligatures w14:val="standardContextual"/>
              </w:rPr>
              <w:t>0,80 (0,73; 0,87)</w:t>
            </w:r>
          </w:p>
        </w:tc>
        <w:tc>
          <w:tcPr>
            <w:tcW w:w="1276" w:type="dxa"/>
            <w:tcBorders>
              <w:top w:val="single" w:sz="4" w:space="0" w:color="000000"/>
              <w:left w:val="single" w:sz="4" w:space="0" w:color="000000"/>
              <w:bottom w:val="single" w:sz="4" w:space="0" w:color="000000"/>
              <w:right w:val="single" w:sz="4" w:space="0" w:color="000000"/>
            </w:tcBorders>
            <w:hideMark/>
          </w:tcPr>
          <w:p w14:paraId="4636F7E2" w14:textId="77777777" w:rsidR="008E6363" w:rsidRDefault="008E6363">
            <w:pPr>
              <w:spacing w:line="276" w:lineRule="auto"/>
              <w:rPr>
                <w:kern w:val="2"/>
                <w:lang w:val="sv-SE"/>
                <w14:ligatures w14:val="standardContextual"/>
              </w:rPr>
            </w:pPr>
            <w:r>
              <w:rPr>
                <w:kern w:val="2"/>
                <w:lang w:val="sv-SE"/>
                <w14:ligatures w14:val="standardContextual"/>
              </w:rPr>
              <w:t>20 %</w:t>
            </w:r>
          </w:p>
        </w:tc>
        <w:tc>
          <w:tcPr>
            <w:tcW w:w="1418" w:type="dxa"/>
            <w:tcBorders>
              <w:top w:val="single" w:sz="4" w:space="0" w:color="000000"/>
              <w:left w:val="single" w:sz="4" w:space="0" w:color="000000"/>
              <w:bottom w:val="single" w:sz="4" w:space="0" w:color="000000"/>
              <w:right w:val="single" w:sz="4" w:space="0" w:color="000000"/>
            </w:tcBorders>
            <w:hideMark/>
          </w:tcPr>
          <w:p w14:paraId="45D07304" w14:textId="77777777" w:rsidR="008E6363" w:rsidRDefault="008E6363">
            <w:pPr>
              <w:spacing w:line="276" w:lineRule="auto"/>
              <w:rPr>
                <w:kern w:val="2"/>
                <w:lang w:val="sv-SE"/>
                <w14:ligatures w14:val="standardContextual"/>
              </w:rPr>
            </w:pPr>
            <w:r>
              <w:rPr>
                <w:kern w:val="2"/>
                <w:lang w:val="sv-SE"/>
                <w14:ligatures w14:val="standardContextual"/>
              </w:rPr>
              <w:t>0,0000002</w:t>
            </w:r>
          </w:p>
        </w:tc>
      </w:tr>
      <w:tr w:rsidR="008E6363" w14:paraId="18FB1283" w14:textId="77777777" w:rsidTr="008E6363">
        <w:trPr>
          <w:trHeight w:val="252"/>
        </w:trPr>
        <w:tc>
          <w:tcPr>
            <w:tcW w:w="9498" w:type="dxa"/>
            <w:gridSpan w:val="6"/>
            <w:tcBorders>
              <w:top w:val="single" w:sz="4" w:space="0" w:color="000000"/>
              <w:left w:val="single" w:sz="4" w:space="0" w:color="000000"/>
              <w:bottom w:val="single" w:sz="4" w:space="0" w:color="000000"/>
              <w:right w:val="single" w:sz="4" w:space="0" w:color="000000"/>
            </w:tcBorders>
            <w:hideMark/>
          </w:tcPr>
          <w:p w14:paraId="707022FC" w14:textId="77777777" w:rsidR="008E6363" w:rsidRDefault="008E6363">
            <w:pPr>
              <w:spacing w:line="276" w:lineRule="auto"/>
              <w:rPr>
                <w:b/>
                <w:kern w:val="2"/>
                <w:lang w:val="sv-SE"/>
                <w14:ligatures w14:val="standardContextual"/>
              </w:rPr>
            </w:pPr>
            <w:r>
              <w:rPr>
                <w:b/>
                <w:kern w:val="2"/>
                <w:lang w:val="sv-SE"/>
                <w14:ligatures w14:val="standardContextual"/>
              </w:rPr>
              <w:t>Individuelle komponenter af det primære endepunkt</w:t>
            </w:r>
          </w:p>
        </w:tc>
      </w:tr>
      <w:tr w:rsidR="008E6363" w14:paraId="049D4BD9" w14:textId="77777777" w:rsidTr="008E6363">
        <w:trPr>
          <w:trHeight w:val="252"/>
        </w:trPr>
        <w:tc>
          <w:tcPr>
            <w:tcW w:w="2127" w:type="dxa"/>
            <w:tcBorders>
              <w:top w:val="single" w:sz="4" w:space="0" w:color="000000"/>
              <w:left w:val="single" w:sz="4" w:space="0" w:color="000000"/>
              <w:bottom w:val="single" w:sz="4" w:space="0" w:color="000000"/>
              <w:right w:val="single" w:sz="4" w:space="0" w:color="000000"/>
            </w:tcBorders>
            <w:hideMark/>
          </w:tcPr>
          <w:p w14:paraId="7301F3E5" w14:textId="77777777" w:rsidR="008E6363" w:rsidRDefault="008E6363">
            <w:pPr>
              <w:spacing w:line="276" w:lineRule="auto"/>
              <w:rPr>
                <w:kern w:val="2"/>
                <w:lang w:val="sv-SE"/>
                <w14:ligatures w14:val="standardContextual"/>
              </w:rPr>
            </w:pPr>
            <w:r>
              <w:rPr>
                <w:kern w:val="2"/>
                <w:lang w:val="sv-SE"/>
                <w14:ligatures w14:val="standardContextual"/>
              </w:rPr>
              <w:t>CV død**</w:t>
            </w:r>
          </w:p>
        </w:tc>
        <w:tc>
          <w:tcPr>
            <w:tcW w:w="1417" w:type="dxa"/>
            <w:tcBorders>
              <w:top w:val="single" w:sz="4" w:space="0" w:color="000000"/>
              <w:left w:val="single" w:sz="4" w:space="0" w:color="000000"/>
              <w:bottom w:val="single" w:sz="4" w:space="0" w:color="000000"/>
              <w:right w:val="single" w:sz="4" w:space="0" w:color="000000"/>
            </w:tcBorders>
            <w:hideMark/>
          </w:tcPr>
          <w:p w14:paraId="2CF67CE6" w14:textId="77777777" w:rsidR="008E6363" w:rsidRDefault="008E6363">
            <w:pPr>
              <w:spacing w:line="276" w:lineRule="auto"/>
              <w:rPr>
                <w:kern w:val="2"/>
                <w:lang w:val="sv-SE"/>
                <w14:ligatures w14:val="standardContextual"/>
              </w:rPr>
            </w:pPr>
            <w:r>
              <w:rPr>
                <w:kern w:val="2"/>
                <w:lang w:val="sv-SE"/>
                <w14:ligatures w14:val="standardContextual"/>
              </w:rPr>
              <w:t>558 (13,33)</w:t>
            </w:r>
          </w:p>
        </w:tc>
        <w:tc>
          <w:tcPr>
            <w:tcW w:w="1418" w:type="dxa"/>
            <w:tcBorders>
              <w:top w:val="single" w:sz="4" w:space="0" w:color="000000"/>
              <w:left w:val="single" w:sz="4" w:space="0" w:color="000000"/>
              <w:bottom w:val="single" w:sz="4" w:space="0" w:color="000000"/>
              <w:right w:val="single" w:sz="4" w:space="0" w:color="000000"/>
            </w:tcBorders>
            <w:hideMark/>
          </w:tcPr>
          <w:p w14:paraId="07223BD4" w14:textId="77777777" w:rsidR="008E6363" w:rsidRDefault="008E6363">
            <w:pPr>
              <w:spacing w:line="276" w:lineRule="auto"/>
              <w:rPr>
                <w:kern w:val="2"/>
                <w:lang w:val="sv-SE"/>
                <w14:ligatures w14:val="standardContextual"/>
              </w:rPr>
            </w:pPr>
            <w:r>
              <w:rPr>
                <w:kern w:val="2"/>
                <w:lang w:val="sv-SE"/>
                <w14:ligatures w14:val="standardContextual"/>
              </w:rPr>
              <w:t>693 (16,45)</w:t>
            </w:r>
          </w:p>
        </w:tc>
        <w:tc>
          <w:tcPr>
            <w:tcW w:w="1842" w:type="dxa"/>
            <w:tcBorders>
              <w:top w:val="single" w:sz="4" w:space="0" w:color="000000"/>
              <w:left w:val="single" w:sz="4" w:space="0" w:color="000000"/>
              <w:bottom w:val="single" w:sz="4" w:space="0" w:color="000000"/>
              <w:right w:val="single" w:sz="4" w:space="0" w:color="000000"/>
            </w:tcBorders>
            <w:hideMark/>
          </w:tcPr>
          <w:p w14:paraId="475DF74D" w14:textId="77777777" w:rsidR="008E6363" w:rsidRDefault="008E6363">
            <w:pPr>
              <w:spacing w:line="276" w:lineRule="auto"/>
              <w:rPr>
                <w:kern w:val="2"/>
                <w:lang w:val="sv-SE"/>
                <w14:ligatures w14:val="standardContextual"/>
              </w:rPr>
            </w:pPr>
            <w:r>
              <w:rPr>
                <w:kern w:val="2"/>
                <w:lang w:val="sv-SE"/>
                <w14:ligatures w14:val="standardContextual"/>
              </w:rPr>
              <w:t>0,80 (0,71; 0,89)</w:t>
            </w:r>
          </w:p>
        </w:tc>
        <w:tc>
          <w:tcPr>
            <w:tcW w:w="1276" w:type="dxa"/>
            <w:tcBorders>
              <w:top w:val="single" w:sz="4" w:space="0" w:color="000000"/>
              <w:left w:val="single" w:sz="4" w:space="0" w:color="000000"/>
              <w:bottom w:val="single" w:sz="4" w:space="0" w:color="000000"/>
              <w:right w:val="single" w:sz="4" w:space="0" w:color="000000"/>
            </w:tcBorders>
            <w:hideMark/>
          </w:tcPr>
          <w:p w14:paraId="7AE52327" w14:textId="77777777" w:rsidR="008E6363" w:rsidRDefault="008E6363">
            <w:pPr>
              <w:spacing w:line="276" w:lineRule="auto"/>
              <w:rPr>
                <w:kern w:val="2"/>
                <w:lang w:val="sv-SE"/>
                <w14:ligatures w14:val="standardContextual"/>
              </w:rPr>
            </w:pPr>
            <w:r>
              <w:rPr>
                <w:kern w:val="2"/>
                <w:lang w:val="sv-SE"/>
                <w14:ligatures w14:val="standardContextual"/>
              </w:rPr>
              <w:t>20 %</w:t>
            </w:r>
          </w:p>
        </w:tc>
        <w:tc>
          <w:tcPr>
            <w:tcW w:w="1418" w:type="dxa"/>
            <w:tcBorders>
              <w:top w:val="single" w:sz="4" w:space="0" w:color="000000"/>
              <w:left w:val="single" w:sz="4" w:space="0" w:color="000000"/>
              <w:bottom w:val="single" w:sz="4" w:space="0" w:color="000000"/>
              <w:right w:val="single" w:sz="4" w:space="0" w:color="000000"/>
            </w:tcBorders>
            <w:hideMark/>
          </w:tcPr>
          <w:p w14:paraId="43829BBC" w14:textId="77777777" w:rsidR="008E6363" w:rsidRDefault="008E6363">
            <w:pPr>
              <w:spacing w:line="276" w:lineRule="auto"/>
              <w:rPr>
                <w:kern w:val="2"/>
                <w:lang w:val="sv-SE"/>
                <w14:ligatures w14:val="standardContextual"/>
              </w:rPr>
            </w:pPr>
            <w:r>
              <w:rPr>
                <w:kern w:val="2"/>
                <w:lang w:val="sv-SE"/>
                <w14:ligatures w14:val="standardContextual"/>
              </w:rPr>
              <w:t>0,00004</w:t>
            </w:r>
          </w:p>
        </w:tc>
      </w:tr>
      <w:tr w:rsidR="008E6363" w14:paraId="190BF38E" w14:textId="77777777" w:rsidTr="008E6363">
        <w:trPr>
          <w:trHeight w:val="759"/>
        </w:trPr>
        <w:tc>
          <w:tcPr>
            <w:tcW w:w="2127" w:type="dxa"/>
            <w:tcBorders>
              <w:top w:val="single" w:sz="4" w:space="0" w:color="000000"/>
              <w:left w:val="single" w:sz="4" w:space="0" w:color="000000"/>
              <w:bottom w:val="single" w:sz="4" w:space="0" w:color="000000"/>
              <w:right w:val="single" w:sz="4" w:space="0" w:color="000000"/>
            </w:tcBorders>
            <w:hideMark/>
          </w:tcPr>
          <w:p w14:paraId="2173816D" w14:textId="77777777" w:rsidR="008E6363" w:rsidRDefault="008E6363">
            <w:pPr>
              <w:spacing w:line="276" w:lineRule="auto"/>
              <w:rPr>
                <w:kern w:val="2"/>
                <w:lang w:val="sv-SE"/>
                <w14:ligatures w14:val="standardContextual"/>
              </w:rPr>
            </w:pPr>
            <w:r>
              <w:rPr>
                <w:kern w:val="2"/>
                <w:lang w:val="sv-SE"/>
                <w14:ligatures w14:val="standardContextual"/>
              </w:rPr>
              <w:lastRenderedPageBreak/>
              <w:t>Første hospitalsindlæggelse ved hjertesvigt</w:t>
            </w:r>
          </w:p>
        </w:tc>
        <w:tc>
          <w:tcPr>
            <w:tcW w:w="1417" w:type="dxa"/>
            <w:tcBorders>
              <w:top w:val="single" w:sz="4" w:space="0" w:color="000000"/>
              <w:left w:val="single" w:sz="4" w:space="0" w:color="000000"/>
              <w:bottom w:val="single" w:sz="4" w:space="0" w:color="000000"/>
              <w:right w:val="single" w:sz="4" w:space="0" w:color="000000"/>
            </w:tcBorders>
            <w:hideMark/>
          </w:tcPr>
          <w:p w14:paraId="6738F1E9" w14:textId="77777777" w:rsidR="008E6363" w:rsidRDefault="008E6363">
            <w:pPr>
              <w:spacing w:line="276" w:lineRule="auto"/>
              <w:rPr>
                <w:kern w:val="2"/>
                <w:lang w:val="sv-SE"/>
                <w14:ligatures w14:val="standardContextual"/>
              </w:rPr>
            </w:pPr>
            <w:r>
              <w:rPr>
                <w:kern w:val="2"/>
                <w:lang w:val="sv-SE"/>
                <w14:ligatures w14:val="standardContextual"/>
              </w:rPr>
              <w:t>537 (12,83)</w:t>
            </w:r>
          </w:p>
        </w:tc>
        <w:tc>
          <w:tcPr>
            <w:tcW w:w="1418" w:type="dxa"/>
            <w:tcBorders>
              <w:top w:val="single" w:sz="4" w:space="0" w:color="000000"/>
              <w:left w:val="single" w:sz="4" w:space="0" w:color="000000"/>
              <w:bottom w:val="single" w:sz="4" w:space="0" w:color="000000"/>
              <w:right w:val="single" w:sz="4" w:space="0" w:color="000000"/>
            </w:tcBorders>
            <w:hideMark/>
          </w:tcPr>
          <w:p w14:paraId="0EA56425" w14:textId="77777777" w:rsidR="008E6363" w:rsidRDefault="008E6363">
            <w:pPr>
              <w:spacing w:line="276" w:lineRule="auto"/>
              <w:rPr>
                <w:kern w:val="2"/>
                <w:lang w:val="sv-SE"/>
                <w14:ligatures w14:val="standardContextual"/>
              </w:rPr>
            </w:pPr>
            <w:r>
              <w:rPr>
                <w:kern w:val="2"/>
                <w:lang w:val="sv-SE"/>
                <w14:ligatures w14:val="standardContextual"/>
              </w:rPr>
              <w:t>658 (15,62)</w:t>
            </w:r>
          </w:p>
        </w:tc>
        <w:tc>
          <w:tcPr>
            <w:tcW w:w="1842" w:type="dxa"/>
            <w:tcBorders>
              <w:top w:val="single" w:sz="4" w:space="0" w:color="000000"/>
              <w:left w:val="single" w:sz="4" w:space="0" w:color="000000"/>
              <w:bottom w:val="single" w:sz="4" w:space="0" w:color="000000"/>
              <w:right w:val="single" w:sz="4" w:space="0" w:color="000000"/>
            </w:tcBorders>
            <w:hideMark/>
          </w:tcPr>
          <w:p w14:paraId="79FF9383" w14:textId="77777777" w:rsidR="008E6363" w:rsidRDefault="008E6363">
            <w:pPr>
              <w:spacing w:line="276" w:lineRule="auto"/>
              <w:rPr>
                <w:kern w:val="2"/>
                <w:lang w:val="sv-SE"/>
                <w14:ligatures w14:val="standardContextual"/>
              </w:rPr>
            </w:pPr>
            <w:r>
              <w:rPr>
                <w:kern w:val="2"/>
                <w:lang w:val="sv-SE"/>
                <w14:ligatures w14:val="standardContextual"/>
              </w:rPr>
              <w:t>0,79 (0,71; 0,89)</w:t>
            </w:r>
          </w:p>
        </w:tc>
        <w:tc>
          <w:tcPr>
            <w:tcW w:w="1276" w:type="dxa"/>
            <w:tcBorders>
              <w:top w:val="single" w:sz="4" w:space="0" w:color="000000"/>
              <w:left w:val="single" w:sz="4" w:space="0" w:color="000000"/>
              <w:bottom w:val="single" w:sz="4" w:space="0" w:color="000000"/>
              <w:right w:val="single" w:sz="4" w:space="0" w:color="000000"/>
            </w:tcBorders>
            <w:hideMark/>
          </w:tcPr>
          <w:p w14:paraId="5CCB1202" w14:textId="77777777" w:rsidR="008E6363" w:rsidRDefault="008E6363">
            <w:pPr>
              <w:spacing w:line="276" w:lineRule="auto"/>
              <w:rPr>
                <w:kern w:val="2"/>
                <w:lang w:val="sv-SE"/>
                <w14:ligatures w14:val="standardContextual"/>
              </w:rPr>
            </w:pPr>
            <w:r>
              <w:rPr>
                <w:kern w:val="2"/>
                <w:lang w:val="sv-SE"/>
                <w14:ligatures w14:val="standardContextual"/>
              </w:rPr>
              <w:t>21 %</w:t>
            </w:r>
          </w:p>
        </w:tc>
        <w:tc>
          <w:tcPr>
            <w:tcW w:w="1418" w:type="dxa"/>
            <w:tcBorders>
              <w:top w:val="single" w:sz="4" w:space="0" w:color="000000"/>
              <w:left w:val="single" w:sz="4" w:space="0" w:color="000000"/>
              <w:bottom w:val="single" w:sz="4" w:space="0" w:color="000000"/>
              <w:right w:val="single" w:sz="4" w:space="0" w:color="000000"/>
            </w:tcBorders>
            <w:hideMark/>
          </w:tcPr>
          <w:p w14:paraId="757EB5A8" w14:textId="77777777" w:rsidR="008E6363" w:rsidRDefault="008E6363">
            <w:pPr>
              <w:spacing w:line="276" w:lineRule="auto"/>
              <w:rPr>
                <w:kern w:val="2"/>
                <w:lang w:val="sv-SE"/>
                <w14:ligatures w14:val="standardContextual"/>
              </w:rPr>
            </w:pPr>
            <w:r>
              <w:rPr>
                <w:kern w:val="2"/>
                <w:lang w:val="sv-SE"/>
                <w14:ligatures w14:val="standardContextual"/>
              </w:rPr>
              <w:t>0,00004</w:t>
            </w:r>
          </w:p>
        </w:tc>
      </w:tr>
      <w:tr w:rsidR="008E6363" w14:paraId="4F6603F6" w14:textId="77777777" w:rsidTr="008E6363">
        <w:trPr>
          <w:trHeight w:val="249"/>
        </w:trPr>
        <w:tc>
          <w:tcPr>
            <w:tcW w:w="9498" w:type="dxa"/>
            <w:gridSpan w:val="6"/>
            <w:tcBorders>
              <w:top w:val="single" w:sz="4" w:space="0" w:color="000000"/>
              <w:left w:val="single" w:sz="4" w:space="0" w:color="000000"/>
              <w:bottom w:val="single" w:sz="4" w:space="0" w:color="000000"/>
              <w:right w:val="single" w:sz="4" w:space="0" w:color="000000"/>
            </w:tcBorders>
            <w:hideMark/>
          </w:tcPr>
          <w:p w14:paraId="7A8B5C6F" w14:textId="77777777" w:rsidR="008E6363" w:rsidRDefault="008E6363">
            <w:pPr>
              <w:spacing w:line="276" w:lineRule="auto"/>
              <w:rPr>
                <w:b/>
                <w:kern w:val="2"/>
                <w:lang w:val="sv-SE"/>
                <w14:ligatures w14:val="standardContextual"/>
              </w:rPr>
            </w:pPr>
            <w:r>
              <w:rPr>
                <w:b/>
                <w:kern w:val="2"/>
                <w:lang w:val="sv-SE"/>
                <w14:ligatures w14:val="standardContextual"/>
              </w:rPr>
              <w:t>Sekundært endepunkt</w:t>
            </w:r>
          </w:p>
        </w:tc>
      </w:tr>
      <w:tr w:rsidR="008E6363" w14:paraId="5CD249A1" w14:textId="77777777" w:rsidTr="008E6363">
        <w:trPr>
          <w:trHeight w:val="254"/>
        </w:trPr>
        <w:tc>
          <w:tcPr>
            <w:tcW w:w="2127" w:type="dxa"/>
            <w:tcBorders>
              <w:top w:val="single" w:sz="4" w:space="0" w:color="000000"/>
              <w:left w:val="single" w:sz="4" w:space="0" w:color="000000"/>
              <w:bottom w:val="single" w:sz="4" w:space="0" w:color="000000"/>
              <w:right w:val="single" w:sz="4" w:space="0" w:color="000000"/>
            </w:tcBorders>
            <w:hideMark/>
          </w:tcPr>
          <w:p w14:paraId="17B2D51A" w14:textId="77777777" w:rsidR="008E6363" w:rsidRDefault="008E6363">
            <w:pPr>
              <w:spacing w:line="276" w:lineRule="auto"/>
              <w:rPr>
                <w:kern w:val="2"/>
                <w:lang w:val="sv-SE"/>
                <w14:ligatures w14:val="standardContextual"/>
              </w:rPr>
            </w:pPr>
            <w:r>
              <w:rPr>
                <w:kern w:val="2"/>
                <w:lang w:val="sv-SE"/>
                <w14:ligatures w14:val="standardContextual"/>
              </w:rPr>
              <w:t>Total dødelighed</w:t>
            </w:r>
          </w:p>
        </w:tc>
        <w:tc>
          <w:tcPr>
            <w:tcW w:w="1417" w:type="dxa"/>
            <w:tcBorders>
              <w:top w:val="single" w:sz="4" w:space="0" w:color="000000"/>
              <w:left w:val="single" w:sz="4" w:space="0" w:color="000000"/>
              <w:bottom w:val="single" w:sz="4" w:space="0" w:color="000000"/>
              <w:right w:val="single" w:sz="4" w:space="0" w:color="000000"/>
            </w:tcBorders>
            <w:hideMark/>
          </w:tcPr>
          <w:p w14:paraId="42A60D07" w14:textId="77777777" w:rsidR="008E6363" w:rsidRDefault="008E6363">
            <w:pPr>
              <w:spacing w:line="276" w:lineRule="auto"/>
              <w:rPr>
                <w:kern w:val="2"/>
                <w:lang w:val="sv-SE"/>
                <w14:ligatures w14:val="standardContextual"/>
              </w:rPr>
            </w:pPr>
            <w:r>
              <w:rPr>
                <w:kern w:val="2"/>
                <w:lang w:val="sv-SE"/>
                <w14:ligatures w14:val="standardContextual"/>
              </w:rPr>
              <w:t>711 (16,98)</w:t>
            </w:r>
          </w:p>
        </w:tc>
        <w:tc>
          <w:tcPr>
            <w:tcW w:w="1418" w:type="dxa"/>
            <w:tcBorders>
              <w:top w:val="single" w:sz="4" w:space="0" w:color="000000"/>
              <w:left w:val="single" w:sz="4" w:space="0" w:color="000000"/>
              <w:bottom w:val="single" w:sz="4" w:space="0" w:color="000000"/>
              <w:right w:val="single" w:sz="4" w:space="0" w:color="000000"/>
            </w:tcBorders>
            <w:hideMark/>
          </w:tcPr>
          <w:p w14:paraId="774EA36D" w14:textId="77777777" w:rsidR="008E6363" w:rsidRDefault="008E6363">
            <w:pPr>
              <w:spacing w:line="276" w:lineRule="auto"/>
              <w:rPr>
                <w:kern w:val="2"/>
                <w:lang w:val="sv-SE"/>
                <w14:ligatures w14:val="standardContextual"/>
              </w:rPr>
            </w:pPr>
            <w:r>
              <w:rPr>
                <w:kern w:val="2"/>
                <w:lang w:val="sv-SE"/>
                <w14:ligatures w14:val="standardContextual"/>
              </w:rPr>
              <w:t>835 (19,82)</w:t>
            </w:r>
          </w:p>
        </w:tc>
        <w:tc>
          <w:tcPr>
            <w:tcW w:w="1842" w:type="dxa"/>
            <w:tcBorders>
              <w:top w:val="single" w:sz="4" w:space="0" w:color="000000"/>
              <w:left w:val="single" w:sz="4" w:space="0" w:color="000000"/>
              <w:bottom w:val="single" w:sz="4" w:space="0" w:color="000000"/>
              <w:right w:val="single" w:sz="4" w:space="0" w:color="000000"/>
            </w:tcBorders>
            <w:hideMark/>
          </w:tcPr>
          <w:p w14:paraId="1EE07D4B" w14:textId="77777777" w:rsidR="008E6363" w:rsidRDefault="008E6363">
            <w:pPr>
              <w:spacing w:line="276" w:lineRule="auto"/>
              <w:rPr>
                <w:kern w:val="2"/>
                <w:lang w:val="sv-SE"/>
                <w14:ligatures w14:val="standardContextual"/>
              </w:rPr>
            </w:pPr>
            <w:r>
              <w:rPr>
                <w:kern w:val="2"/>
                <w:lang w:val="sv-SE"/>
                <w14:ligatures w14:val="standardContextual"/>
              </w:rPr>
              <w:t>0,84 (0,76; 0,93)</w:t>
            </w:r>
          </w:p>
        </w:tc>
        <w:tc>
          <w:tcPr>
            <w:tcW w:w="1276" w:type="dxa"/>
            <w:tcBorders>
              <w:top w:val="single" w:sz="4" w:space="0" w:color="000000"/>
              <w:left w:val="single" w:sz="4" w:space="0" w:color="000000"/>
              <w:bottom w:val="single" w:sz="4" w:space="0" w:color="000000"/>
              <w:right w:val="single" w:sz="4" w:space="0" w:color="000000"/>
            </w:tcBorders>
            <w:hideMark/>
          </w:tcPr>
          <w:p w14:paraId="253360EB" w14:textId="77777777" w:rsidR="008E6363" w:rsidRDefault="008E6363">
            <w:pPr>
              <w:spacing w:line="276" w:lineRule="auto"/>
              <w:rPr>
                <w:kern w:val="2"/>
                <w:lang w:val="sv-SE"/>
                <w14:ligatures w14:val="standardContextual"/>
              </w:rPr>
            </w:pPr>
            <w:r>
              <w:rPr>
                <w:kern w:val="2"/>
                <w:lang w:val="sv-SE"/>
                <w14:ligatures w14:val="standardContextual"/>
              </w:rPr>
              <w:t>16 %</w:t>
            </w:r>
          </w:p>
        </w:tc>
        <w:tc>
          <w:tcPr>
            <w:tcW w:w="1418" w:type="dxa"/>
            <w:tcBorders>
              <w:top w:val="single" w:sz="4" w:space="0" w:color="000000"/>
              <w:left w:val="single" w:sz="4" w:space="0" w:color="000000"/>
              <w:bottom w:val="single" w:sz="4" w:space="0" w:color="000000"/>
              <w:right w:val="single" w:sz="4" w:space="0" w:color="000000"/>
            </w:tcBorders>
            <w:hideMark/>
          </w:tcPr>
          <w:p w14:paraId="3F19D377" w14:textId="77777777" w:rsidR="008E6363" w:rsidRDefault="008E6363">
            <w:pPr>
              <w:spacing w:line="276" w:lineRule="auto"/>
              <w:rPr>
                <w:kern w:val="2"/>
                <w:lang w:val="sv-SE"/>
                <w14:ligatures w14:val="standardContextual"/>
              </w:rPr>
            </w:pPr>
            <w:r>
              <w:rPr>
                <w:kern w:val="2"/>
                <w:lang w:val="sv-SE"/>
                <w14:ligatures w14:val="standardContextual"/>
              </w:rPr>
              <w:t>0,0005</w:t>
            </w:r>
          </w:p>
        </w:tc>
      </w:tr>
    </w:tbl>
    <w:p w14:paraId="0A5F97AF" w14:textId="77777777" w:rsidR="008E6363" w:rsidRDefault="008E6363" w:rsidP="008E6363">
      <w:pPr>
        <w:rPr>
          <w:sz w:val="20"/>
        </w:rPr>
      </w:pPr>
      <w:r>
        <w:rPr>
          <w:sz w:val="20"/>
        </w:rPr>
        <w:t>*Det primære endepunkt blev defineret som tid til første hændelse af CV død eller hospitalsindlæggelse på grund af HF.</w:t>
      </w:r>
    </w:p>
    <w:p w14:paraId="104AC129" w14:textId="77777777" w:rsidR="008E6363" w:rsidRDefault="008E6363" w:rsidP="008E6363">
      <w:pPr>
        <w:rPr>
          <w:sz w:val="20"/>
        </w:rPr>
      </w:pPr>
      <w:r>
        <w:rPr>
          <w:sz w:val="20"/>
        </w:rPr>
        <w:t xml:space="preserve">**CV død inkluderede alle patienter som døde op til </w:t>
      </w:r>
      <w:r>
        <w:rPr>
          <w:i/>
          <w:iCs/>
          <w:sz w:val="20"/>
        </w:rPr>
        <w:t>cut-off</w:t>
      </w:r>
      <w:r>
        <w:rPr>
          <w:sz w:val="20"/>
        </w:rPr>
        <w:t>-dato uafhængigt af tidligere hospitalsindlæggelse.</w:t>
      </w:r>
    </w:p>
    <w:p w14:paraId="1EE0F84B" w14:textId="77777777" w:rsidR="008E6363" w:rsidRDefault="008E6363" w:rsidP="008E6363">
      <w:pPr>
        <w:rPr>
          <w:sz w:val="20"/>
        </w:rPr>
      </w:pPr>
      <w:r>
        <w:rPr>
          <w:sz w:val="20"/>
        </w:rPr>
        <w:t>***Ensidet p-værdi</w:t>
      </w:r>
    </w:p>
    <w:p w14:paraId="37A22A24" w14:textId="77777777" w:rsidR="008E6363" w:rsidRDefault="008E6363" w:rsidP="008E6363">
      <w:pPr>
        <w:rPr>
          <w:sz w:val="20"/>
        </w:rPr>
      </w:pPr>
      <w:r>
        <w:rPr>
          <w:sz w:val="20"/>
        </w:rPr>
        <w:t>#Fuldt analysesæt</w:t>
      </w:r>
    </w:p>
    <w:p w14:paraId="63377933" w14:textId="77777777" w:rsidR="008E6363" w:rsidRDefault="008E6363" w:rsidP="008E6363">
      <w:pPr>
        <w:rPr>
          <w:sz w:val="22"/>
        </w:rPr>
      </w:pPr>
    </w:p>
    <w:p w14:paraId="6231765D" w14:textId="77777777" w:rsidR="008E6363" w:rsidRDefault="008E6363" w:rsidP="008E6363">
      <w:pPr>
        <w:ind w:left="993" w:hanging="993"/>
        <w:rPr>
          <w:b/>
          <w:bCs/>
        </w:rPr>
      </w:pPr>
      <w:r>
        <w:rPr>
          <w:b/>
          <w:bCs/>
        </w:rPr>
        <w:t>Figur 1</w:t>
      </w:r>
      <w:r>
        <w:rPr>
          <w:b/>
          <w:bCs/>
        </w:rPr>
        <w:tab/>
        <w:t>Kaplan-Meier kurver for det primære samlede endepunkt og komponenten CV død</w:t>
      </w:r>
    </w:p>
    <w:p w14:paraId="1E96A9A6" w14:textId="77777777" w:rsidR="008E6363" w:rsidRDefault="008E6363" w:rsidP="008E6363"/>
    <w:p w14:paraId="14F7134F" w14:textId="6C1D57B5" w:rsidR="008E6363" w:rsidRDefault="008E6363" w:rsidP="008E6363">
      <w:r>
        <w:rPr>
          <w:noProof/>
        </w:rPr>
        <w:drawing>
          <wp:inline distT="0" distB="0" distL="0" distR="0" wp14:anchorId="1F3ACE46" wp14:editId="7A60BC1B">
            <wp:extent cx="5753100" cy="182880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828800"/>
                    </a:xfrm>
                    <a:prstGeom prst="rect">
                      <a:avLst/>
                    </a:prstGeom>
                    <a:noFill/>
                    <a:ln>
                      <a:noFill/>
                    </a:ln>
                  </pic:spPr>
                </pic:pic>
              </a:graphicData>
            </a:graphic>
          </wp:inline>
        </w:drawing>
      </w:r>
    </w:p>
    <w:p w14:paraId="65AC748B" w14:textId="77777777" w:rsidR="008E6363" w:rsidRDefault="008E6363" w:rsidP="008E6363"/>
    <w:p w14:paraId="23FFF734" w14:textId="77777777" w:rsidR="008E6363" w:rsidRDefault="008E6363" w:rsidP="008E6363">
      <w:pPr>
        <w:ind w:left="851"/>
        <w:rPr>
          <w:i/>
        </w:rPr>
      </w:pPr>
      <w:r>
        <w:rPr>
          <w:i/>
          <w:u w:val="single"/>
        </w:rPr>
        <w:t>TITRATION</w:t>
      </w:r>
    </w:p>
    <w:p w14:paraId="2DBB3F4A" w14:textId="77777777" w:rsidR="008E6363" w:rsidRDefault="008E6363" w:rsidP="008E6363">
      <w:pPr>
        <w:ind w:left="851"/>
      </w:pPr>
      <w:r>
        <w:t>TITRATION var et 12</w:t>
      </w:r>
      <w:r>
        <w:noBreakHyphen/>
        <w:t>ugers sikkerheds</w:t>
      </w:r>
      <w:r>
        <w:noBreakHyphen/>
        <w:t xml:space="preserve"> og tolerabilitetsstudie hos 538 patienter med kronisk hjertesvigt (NYHA klasse II</w:t>
      </w:r>
      <w:r>
        <w:noBreakHyphen/>
        <w:t>IV) og systolisk dysfunktion (venstre ventrikel ejektionsfraktion ≤ 35 %), som ikke tidligere havde fået ACE</w:t>
      </w:r>
      <w:r>
        <w:noBreakHyphen/>
        <w:t>hæmmer eller ARB</w:t>
      </w:r>
      <w:r>
        <w:noBreakHyphen/>
        <w:t>behandling, eller som var på varierende doser af ACE</w:t>
      </w:r>
      <w:r>
        <w:noBreakHyphen/>
        <w:t>hæmmere eller ARB’er før studiestart. Patienterne fik en startdosis på 50 mg sacubitril/valsartan to gange dagligt, og blev titreret op til 100 mg to gange dagligt, derefter til måldosis på 200 mg to gange dagligt med enten et 3</w:t>
      </w:r>
      <w:r>
        <w:noBreakHyphen/>
        <w:t>ugers eller 6 ugers regime.</w:t>
      </w:r>
    </w:p>
    <w:p w14:paraId="0377B29C" w14:textId="77777777" w:rsidR="008E6363" w:rsidRDefault="008E6363" w:rsidP="008E6363">
      <w:pPr>
        <w:ind w:left="851"/>
      </w:pPr>
    </w:p>
    <w:p w14:paraId="220BAB0B" w14:textId="77777777" w:rsidR="008E6363" w:rsidRDefault="008E6363" w:rsidP="008E6363">
      <w:pPr>
        <w:ind w:left="851"/>
      </w:pPr>
      <w:r>
        <w:t>Flere patienter, som ikke tidligere havde været behandlet med ACE</w:t>
      </w:r>
      <w:r>
        <w:noBreakHyphen/>
        <w:t xml:space="preserve">hæmmer eller ARB, eller som var på lavdosisbehandling (svarende til &lt; 10 mg enalapril/dag), kunne opnå og vedligeholde 200 mg sacubitril/valsartan ved optitrering over 6 uger (84,8 %) </w:t>
      </w:r>
      <w:r>
        <w:rPr>
          <w:i/>
        </w:rPr>
        <w:t xml:space="preserve">versus </w:t>
      </w:r>
      <w:r>
        <w:t>3 uger (73,6 %). Samlet nåede 76 % af patienterne op på sacubitrils/valsartans måldosis 200 mg to gange dagligt og kunne vedligeholde den uden afbrydelse eller nedtitrering i studieperioden på 12 uger.</w:t>
      </w:r>
    </w:p>
    <w:p w14:paraId="34AD8A75" w14:textId="77777777" w:rsidR="008E6363" w:rsidRDefault="008E6363" w:rsidP="008E6363">
      <w:pPr>
        <w:ind w:left="851"/>
      </w:pPr>
    </w:p>
    <w:p w14:paraId="00A56C98" w14:textId="77777777" w:rsidR="008E6363" w:rsidRDefault="008E6363" w:rsidP="008E6363">
      <w:pPr>
        <w:ind w:left="851"/>
        <w:rPr>
          <w:u w:val="single"/>
        </w:rPr>
      </w:pPr>
      <w:r>
        <w:rPr>
          <w:u w:val="single"/>
        </w:rPr>
        <w:t>Pædiatrisk population</w:t>
      </w:r>
    </w:p>
    <w:p w14:paraId="6543BEA3" w14:textId="77777777" w:rsidR="008E6363" w:rsidRDefault="008E6363" w:rsidP="008E6363">
      <w:pPr>
        <w:ind w:left="851"/>
      </w:pPr>
    </w:p>
    <w:p w14:paraId="72F54EA0" w14:textId="77777777" w:rsidR="008E6363" w:rsidRDefault="008E6363" w:rsidP="008E6363">
      <w:pPr>
        <w:ind w:left="851"/>
        <w:rPr>
          <w:i/>
        </w:rPr>
      </w:pPr>
      <w:r>
        <w:rPr>
          <w:i/>
          <w:u w:val="single"/>
        </w:rPr>
        <w:t>PANORAMA</w:t>
      </w:r>
      <w:r>
        <w:rPr>
          <w:i/>
          <w:u w:val="single"/>
        </w:rPr>
        <w:noBreakHyphen/>
        <w:t>HF</w:t>
      </w:r>
    </w:p>
    <w:p w14:paraId="47D64C81" w14:textId="77777777" w:rsidR="008E6363" w:rsidRDefault="008E6363" w:rsidP="008E6363">
      <w:pPr>
        <w:ind w:left="851"/>
      </w:pPr>
      <w:r>
        <w:t>PANORAMA</w:t>
      </w:r>
      <w:r>
        <w:noBreakHyphen/>
        <w:t>HF, et fase 3-studie, var et multinationalt, randomiseret, dobbeltblindet studie, som sammenlignede sacubitril/valsartan og enalapril hos 375 pædiatriske patienter i alderen 1 måned til &lt; 18 år med hjertesvigt som følge af systemisk systolisk dysfunktion af venstre ventrikel (LVEF ≤ 45 % eller en forkortningsfraktion ≤ 22,5 %). Det primære formål var at fastlægge, hvorvidt sacubitril/valsartan var overlegent i forhold til enalapril hos pædiatriske HF</w:t>
      </w:r>
      <w:r>
        <w:noBreakHyphen/>
        <w:t>patienter over en behandlingsperiode på 52 uger baseret på et globalt rangeret endepunkt. Det primære globale rangerede endepunkt blev udledt ved at rangere patienterne (værste til bedste udfald) på baggrund af kliniske hændelser, såsom dødsfald, initiering af mekanisk livsbevarende udstyr, opføring på venteliste til akut hjertetransplantation, forværret hjertesvigt, målinger af funktionel kapacitet (NYHA/ROSS-scorer) og patientrapporterede HF</w:t>
      </w:r>
      <w:r>
        <w:noBreakHyphen/>
        <w:t>symptomer (</w:t>
      </w:r>
      <w:r>
        <w:rPr>
          <w:i/>
        </w:rPr>
        <w:t xml:space="preserve">Patient Global Impression Scale </w:t>
      </w:r>
      <w:r>
        <w:t xml:space="preserve">[PGIS]). Patienter med systemiske højre ventrikler eller </w:t>
      </w:r>
      <w:r>
        <w:lastRenderedPageBreak/>
        <w:t>enkelte ventrikler og patienter med restriktiv eller hypertrofisk kardiomyopati blev ekskluderet fra studiet. Den tilsigtede vedligeholdelsesdosis af sacubitril/valsartan var 2,3 mg/kg to gange dagligt hos pædiatriske patienter i alderen 1 måned til &lt; 1 år og 3,1 mg/kg to gange dagligt hos patienter i alderen 1 år til &lt; 18 år, med en maksimal dosis på 200 mg to gange dagligt. Den tilsigtede vedligeholdelsesdosis af enalapril var 0,15 mg/kg to gange dagligt hos pædiatriske patienter i alderen 1 måned til &lt; 1 år og 0,2 mg/kg to gange dagligt hos patienter i alderen 1 år til &lt; 18 år, med en maksimal dosis på 10 mg to gange dagligt.</w:t>
      </w:r>
    </w:p>
    <w:p w14:paraId="0341DECA" w14:textId="77777777" w:rsidR="008E6363" w:rsidRDefault="008E6363" w:rsidP="008E6363">
      <w:pPr>
        <w:ind w:left="851"/>
      </w:pPr>
    </w:p>
    <w:p w14:paraId="110C8A68" w14:textId="77777777" w:rsidR="008E6363" w:rsidRDefault="008E6363" w:rsidP="008E6363">
      <w:pPr>
        <w:ind w:left="851"/>
      </w:pPr>
      <w:r>
        <w:t xml:space="preserve">I studiet var 9 patienter i alderen 1 måned til &lt; 1 år, 61 patienter var i alderen 1 år til &lt; 2 år, 85 patienter var i alderen 2 år til &lt; 6 år og 220 patienter var i alderen 6 år til &lt; 18 år. Ved </w:t>
      </w:r>
      <w:r>
        <w:rPr>
          <w:i/>
        </w:rPr>
        <w:t xml:space="preserve">baseline </w:t>
      </w:r>
      <w:r>
        <w:t>var 15,7 % af patienterne i NYHA/ROSS klasse I, 69,3 % var i klasse II, 14,4 % var i klasse III, og 0,5 % var i klasse IV. Den gennemsnitlige LVEF var 32 %. De mest almindelige underliggende årsager til hjertesvigt var relaterede til kardiomyopati (63,5 %). Forud for deltagelse i studiet blev patienterne oftest behandlet med ACE</w:t>
      </w:r>
      <w:r>
        <w:noBreakHyphen/>
        <w:t>hæmmere/ARB’er (93 %), betablokkere (70 %), aldosteronantagonister (70 %) og diuretika (84 %).</w:t>
      </w:r>
    </w:p>
    <w:p w14:paraId="292672E7" w14:textId="77777777" w:rsidR="008E6363" w:rsidRDefault="008E6363" w:rsidP="008E6363">
      <w:pPr>
        <w:ind w:left="851"/>
      </w:pPr>
    </w:p>
    <w:p w14:paraId="4312DE76" w14:textId="77777777" w:rsidR="008E6363" w:rsidRDefault="008E6363" w:rsidP="008E6363">
      <w:pPr>
        <w:ind w:left="851"/>
      </w:pPr>
      <w:r>
        <w:t xml:space="preserve">Det primære globale rangerede endepunkt, </w:t>
      </w:r>
      <w:r>
        <w:rPr>
          <w:i/>
        </w:rPr>
        <w:t xml:space="preserve">Mann-Whitney Odds </w:t>
      </w:r>
      <w:r>
        <w:t>var 0,907 (95 % CI 0,72; 1,14), numerisk til fordel for sacubitril/valsartan (se tabel 4). Sacubitril/valsartan og enalapril viste sammenlignelige kliniske relevante forbedringer i de sekundære endepunkter for NYHA/ROSS-klasser og ændring i PGIS</w:t>
      </w:r>
      <w:r>
        <w:noBreakHyphen/>
        <w:t xml:space="preserve">score sammenlignet med </w:t>
      </w:r>
      <w:r>
        <w:rPr>
          <w:i/>
        </w:rPr>
        <w:t>baseline</w:t>
      </w:r>
      <w:r>
        <w:t xml:space="preserve">. Ved uge 52 var ændringerne i NYHA/ROSS-funktionelklasse i forhold til </w:t>
      </w:r>
      <w:r>
        <w:rPr>
          <w:i/>
        </w:rPr>
        <w:t xml:space="preserve">baseline </w:t>
      </w:r>
      <w:r>
        <w:t>forbedret hos 37,7 % og 34,0 %, uændret hos 50,6 % og 56,6 % samt forværret hos 11,7 % og 9,4 % af patienterne for henholdsvis sacubitril/valsartan og enalapril. Tilsvarende var ændringerne i PGIS</w:t>
      </w:r>
      <w:r>
        <w:noBreakHyphen/>
        <w:t xml:space="preserve">score i forhold til </w:t>
      </w:r>
      <w:r>
        <w:rPr>
          <w:i/>
        </w:rPr>
        <w:t xml:space="preserve">baseline </w:t>
      </w:r>
      <w:r>
        <w:t>forbedret hos 35,5 % og 34,8 %, uændret hos 48,0 % og 47,5 % samt forværret hos 16,5 % og 17,7 % af patienterne for henholdsvis sacubitril/valsartan og enalapril. NT</w:t>
      </w:r>
      <w:r>
        <w:noBreakHyphen/>
        <w:t xml:space="preserve">proBNP blev væsentligt reduceret i forhold til </w:t>
      </w:r>
      <w:r>
        <w:rPr>
          <w:i/>
          <w:iCs/>
        </w:rPr>
        <w:t>baseline</w:t>
      </w:r>
      <w:r>
        <w:t xml:space="preserve"> i begge behandlingsgrupper. Størrelsen af reduktionen af NT</w:t>
      </w:r>
      <w:r>
        <w:noBreakHyphen/>
        <w:t>proBNP med sacubitril/valsartan var sammenlignelig med den, der blev observeret hos voksne patienter med hjertesvigt i PARADIGM</w:t>
      </w:r>
      <w:r>
        <w:noBreakHyphen/>
        <w:t>HF. På grund af sacubitril/valsartan forbedrede udfald og reducerede NT</w:t>
      </w:r>
      <w:r>
        <w:noBreakHyphen/>
        <w:t>proBNP i PARADIGM</w:t>
      </w:r>
      <w:r>
        <w:noBreakHyphen/>
        <w:t>HF, blev reduktionerne i NT</w:t>
      </w:r>
      <w:r>
        <w:noBreakHyphen/>
        <w:t xml:space="preserve">proBNP sammen med de symptomatiske og funktionelle forbedringer i forhold til </w:t>
      </w:r>
      <w:r>
        <w:rPr>
          <w:i/>
        </w:rPr>
        <w:t>baseline</w:t>
      </w:r>
      <w:r>
        <w:t>, der blev set i PANORAMA</w:t>
      </w:r>
      <w:r>
        <w:noBreakHyphen/>
        <w:t>HF, anset for at være et rimeligt grundlag for at konkludere, at der var kliniske fordele hos pædiatriske patienter med hjertesvigt. Der var for få patienter under 1 år til at evaluere virkningen af sacubitril/valsartan hos denne aldersgruppe.</w:t>
      </w:r>
    </w:p>
    <w:p w14:paraId="45ED26D7" w14:textId="77777777" w:rsidR="008E6363" w:rsidRDefault="008E6363" w:rsidP="008E6363">
      <w:pPr>
        <w:ind w:left="851"/>
      </w:pPr>
    </w:p>
    <w:p w14:paraId="35F7D502" w14:textId="77777777" w:rsidR="008E6363" w:rsidRDefault="008E6363" w:rsidP="008E6363">
      <w:pPr>
        <w:keepNext/>
        <w:ind w:left="993" w:hanging="993"/>
        <w:rPr>
          <w:b/>
          <w:bCs/>
        </w:rPr>
      </w:pPr>
      <w:r>
        <w:rPr>
          <w:b/>
          <w:bCs/>
        </w:rPr>
        <w:t>Tabel 4</w:t>
      </w:r>
      <w:r>
        <w:rPr>
          <w:b/>
          <w:bCs/>
        </w:rPr>
        <w:tab/>
        <w:t>Behandlingseffekt for det primære globale rangerede endepunkt i PANORAMA</w:t>
      </w:r>
      <w:r>
        <w:rPr>
          <w:b/>
          <w:bCs/>
        </w:rPr>
        <w:noBreakHyphen/>
        <w:t>HF</w:t>
      </w:r>
    </w:p>
    <w:p w14:paraId="7FB36B77" w14:textId="77777777" w:rsidR="008E6363" w:rsidRDefault="008E6363" w:rsidP="008E6363">
      <w:pPr>
        <w:keepNext/>
      </w:pPr>
    </w:p>
    <w:tbl>
      <w:tblPr>
        <w:tblW w:w="92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550"/>
        <w:gridCol w:w="2551"/>
        <w:gridCol w:w="1983"/>
      </w:tblGrid>
      <w:tr w:rsidR="008E6363" w14:paraId="1070000C" w14:textId="77777777" w:rsidTr="008E6363">
        <w:trPr>
          <w:trHeight w:val="506"/>
        </w:trPr>
        <w:tc>
          <w:tcPr>
            <w:tcW w:w="2127" w:type="dxa"/>
            <w:tcBorders>
              <w:top w:val="single" w:sz="4" w:space="0" w:color="000000"/>
              <w:left w:val="single" w:sz="4" w:space="0" w:color="000000"/>
              <w:bottom w:val="single" w:sz="4" w:space="0" w:color="000000"/>
              <w:right w:val="single" w:sz="4" w:space="0" w:color="000000"/>
            </w:tcBorders>
          </w:tcPr>
          <w:p w14:paraId="212EA7D9" w14:textId="77777777" w:rsidR="008E6363" w:rsidRDefault="008E6363">
            <w:pPr>
              <w:keepNext/>
              <w:spacing w:line="276" w:lineRule="auto"/>
              <w:rPr>
                <w:kern w:val="2"/>
                <w:lang w:val="sv-SE"/>
                <w14:ligatures w14:val="standardContextual"/>
              </w:rPr>
            </w:pPr>
          </w:p>
        </w:tc>
        <w:tc>
          <w:tcPr>
            <w:tcW w:w="2551" w:type="dxa"/>
            <w:tcBorders>
              <w:top w:val="single" w:sz="4" w:space="0" w:color="000000"/>
              <w:left w:val="single" w:sz="4" w:space="0" w:color="000000"/>
              <w:bottom w:val="single" w:sz="4" w:space="0" w:color="000000"/>
              <w:right w:val="single" w:sz="4" w:space="0" w:color="000000"/>
            </w:tcBorders>
            <w:hideMark/>
          </w:tcPr>
          <w:p w14:paraId="15E9EDCD" w14:textId="77777777" w:rsidR="008E6363" w:rsidRDefault="008E6363">
            <w:pPr>
              <w:keepNext/>
              <w:spacing w:line="276" w:lineRule="auto"/>
              <w:rPr>
                <w:b/>
                <w:kern w:val="2"/>
                <w:lang w:val="sv-SE"/>
                <w14:ligatures w14:val="standardContextual"/>
              </w:rPr>
            </w:pPr>
            <w:r>
              <w:rPr>
                <w:b/>
                <w:kern w:val="2"/>
                <w:lang w:val="sv-SE"/>
                <w14:ligatures w14:val="standardContextual"/>
              </w:rPr>
              <w:t>Sacubitril/valsartan</w:t>
            </w:r>
          </w:p>
          <w:p w14:paraId="4A548D44" w14:textId="77777777" w:rsidR="008E6363" w:rsidRDefault="008E6363">
            <w:pPr>
              <w:keepNext/>
              <w:spacing w:line="276" w:lineRule="auto"/>
              <w:rPr>
                <w:b/>
                <w:kern w:val="2"/>
                <w:lang w:val="sv-SE"/>
                <w14:ligatures w14:val="standardContextual"/>
              </w:rPr>
            </w:pPr>
            <w:r>
              <w:rPr>
                <w:b/>
                <w:kern w:val="2"/>
                <w:lang w:val="sv-SE"/>
                <w14:ligatures w14:val="standardContextual"/>
              </w:rPr>
              <w:t>N = 187</w:t>
            </w:r>
          </w:p>
        </w:tc>
        <w:tc>
          <w:tcPr>
            <w:tcW w:w="2552" w:type="dxa"/>
            <w:tcBorders>
              <w:top w:val="single" w:sz="4" w:space="0" w:color="000000"/>
              <w:left w:val="single" w:sz="4" w:space="0" w:color="000000"/>
              <w:bottom w:val="single" w:sz="4" w:space="0" w:color="000000"/>
              <w:right w:val="single" w:sz="4" w:space="0" w:color="000000"/>
            </w:tcBorders>
            <w:hideMark/>
          </w:tcPr>
          <w:p w14:paraId="28BC4199" w14:textId="77777777" w:rsidR="008E6363" w:rsidRDefault="008E6363">
            <w:pPr>
              <w:keepNext/>
              <w:spacing w:line="276" w:lineRule="auto"/>
              <w:rPr>
                <w:b/>
                <w:kern w:val="2"/>
                <w:lang w:val="sv-SE"/>
                <w14:ligatures w14:val="standardContextual"/>
              </w:rPr>
            </w:pPr>
            <w:r>
              <w:rPr>
                <w:b/>
                <w:kern w:val="2"/>
                <w:lang w:val="sv-SE"/>
                <w14:ligatures w14:val="standardContextual"/>
              </w:rPr>
              <w:t>Enalapril</w:t>
            </w:r>
          </w:p>
          <w:p w14:paraId="592D4087" w14:textId="77777777" w:rsidR="008E6363" w:rsidRDefault="008E6363">
            <w:pPr>
              <w:keepNext/>
              <w:spacing w:line="276" w:lineRule="auto"/>
              <w:rPr>
                <w:b/>
                <w:kern w:val="2"/>
                <w:lang w:val="sv-SE"/>
                <w14:ligatures w14:val="standardContextual"/>
              </w:rPr>
            </w:pPr>
            <w:r>
              <w:rPr>
                <w:b/>
                <w:kern w:val="2"/>
                <w:lang w:val="sv-SE"/>
                <w14:ligatures w14:val="standardContextual"/>
              </w:rPr>
              <w:t>N = 188</w:t>
            </w:r>
          </w:p>
        </w:tc>
        <w:tc>
          <w:tcPr>
            <w:tcW w:w="1984" w:type="dxa"/>
            <w:tcBorders>
              <w:top w:val="single" w:sz="4" w:space="0" w:color="000000"/>
              <w:left w:val="single" w:sz="4" w:space="0" w:color="000000"/>
              <w:bottom w:val="single" w:sz="4" w:space="0" w:color="000000"/>
              <w:right w:val="single" w:sz="4" w:space="0" w:color="000000"/>
            </w:tcBorders>
            <w:hideMark/>
          </w:tcPr>
          <w:p w14:paraId="381172DB" w14:textId="77777777" w:rsidR="008E6363" w:rsidRDefault="008E6363">
            <w:pPr>
              <w:keepNext/>
              <w:spacing w:line="276" w:lineRule="auto"/>
              <w:rPr>
                <w:b/>
                <w:kern w:val="2"/>
                <w:lang w:val="sv-SE"/>
                <w14:ligatures w14:val="standardContextual"/>
              </w:rPr>
            </w:pPr>
            <w:r>
              <w:rPr>
                <w:b/>
                <w:kern w:val="2"/>
                <w:lang w:val="sv-SE"/>
                <w14:ligatures w14:val="standardContextual"/>
              </w:rPr>
              <w:t>Behandlingseffekt</w:t>
            </w:r>
          </w:p>
        </w:tc>
      </w:tr>
      <w:tr w:rsidR="008E6363" w14:paraId="3C523040" w14:textId="77777777" w:rsidTr="008E6363">
        <w:trPr>
          <w:trHeight w:val="504"/>
        </w:trPr>
        <w:tc>
          <w:tcPr>
            <w:tcW w:w="2127" w:type="dxa"/>
            <w:vMerge w:val="restart"/>
            <w:tcBorders>
              <w:top w:val="single" w:sz="4" w:space="0" w:color="000000"/>
              <w:left w:val="single" w:sz="8" w:space="0" w:color="000000"/>
              <w:bottom w:val="single" w:sz="8" w:space="0" w:color="000000"/>
              <w:right w:val="single" w:sz="8" w:space="0" w:color="000000"/>
            </w:tcBorders>
            <w:hideMark/>
          </w:tcPr>
          <w:p w14:paraId="33BE8096" w14:textId="77777777" w:rsidR="008E6363" w:rsidRDefault="008E6363">
            <w:pPr>
              <w:keepNext/>
              <w:spacing w:line="276" w:lineRule="auto"/>
              <w:rPr>
                <w:bCs/>
                <w:kern w:val="2"/>
                <w:lang w:val="sv-SE"/>
                <w14:ligatures w14:val="standardContextual"/>
              </w:rPr>
            </w:pPr>
            <w:r>
              <w:rPr>
                <w:bCs/>
                <w:kern w:val="2"/>
                <w:lang w:val="sv-SE"/>
                <w14:ligatures w14:val="standardContextual"/>
              </w:rPr>
              <w:t>Primært globalt rangeret endepunkt</w:t>
            </w:r>
          </w:p>
        </w:tc>
        <w:tc>
          <w:tcPr>
            <w:tcW w:w="2551" w:type="dxa"/>
            <w:tcBorders>
              <w:top w:val="single" w:sz="4" w:space="0" w:color="000000"/>
              <w:left w:val="single" w:sz="8" w:space="0" w:color="000000"/>
              <w:bottom w:val="single" w:sz="8" w:space="0" w:color="000000"/>
              <w:right w:val="single" w:sz="8" w:space="0" w:color="000000"/>
            </w:tcBorders>
            <w:hideMark/>
          </w:tcPr>
          <w:p w14:paraId="2E57C51F" w14:textId="77777777" w:rsidR="008E6363" w:rsidRDefault="008E6363">
            <w:pPr>
              <w:keepNext/>
              <w:spacing w:line="276" w:lineRule="auto"/>
              <w:rPr>
                <w:kern w:val="2"/>
                <w:lang w:val="sv-SE"/>
                <w14:ligatures w14:val="standardContextual"/>
              </w:rPr>
            </w:pPr>
            <w:r>
              <w:rPr>
                <w:kern w:val="2"/>
                <w:lang w:val="sv-SE"/>
                <w14:ligatures w14:val="standardContextual"/>
              </w:rPr>
              <w:t>Sandsynlighed for fordelagtigt resultat (%)*</w:t>
            </w:r>
          </w:p>
        </w:tc>
        <w:tc>
          <w:tcPr>
            <w:tcW w:w="2552" w:type="dxa"/>
            <w:tcBorders>
              <w:top w:val="single" w:sz="4" w:space="0" w:color="000000"/>
              <w:left w:val="single" w:sz="8" w:space="0" w:color="000000"/>
              <w:bottom w:val="single" w:sz="8" w:space="0" w:color="000000"/>
              <w:right w:val="single" w:sz="8" w:space="0" w:color="000000"/>
            </w:tcBorders>
            <w:hideMark/>
          </w:tcPr>
          <w:p w14:paraId="78320CCD" w14:textId="77777777" w:rsidR="008E6363" w:rsidRDefault="008E6363">
            <w:pPr>
              <w:keepNext/>
              <w:spacing w:line="276" w:lineRule="auto"/>
              <w:rPr>
                <w:kern w:val="2"/>
                <w:lang w:val="sv-SE"/>
                <w14:ligatures w14:val="standardContextual"/>
              </w:rPr>
            </w:pPr>
            <w:r>
              <w:rPr>
                <w:kern w:val="2"/>
                <w:lang w:val="sv-SE"/>
                <w14:ligatures w14:val="standardContextual"/>
              </w:rPr>
              <w:t>Sandsynlighed for fordelagtigt resultat (%)*</w:t>
            </w:r>
          </w:p>
        </w:tc>
        <w:tc>
          <w:tcPr>
            <w:tcW w:w="1984" w:type="dxa"/>
            <w:tcBorders>
              <w:top w:val="single" w:sz="4" w:space="0" w:color="000000"/>
              <w:left w:val="single" w:sz="8" w:space="0" w:color="000000"/>
              <w:bottom w:val="single" w:sz="8" w:space="0" w:color="000000"/>
              <w:right w:val="single" w:sz="8" w:space="0" w:color="000000"/>
            </w:tcBorders>
            <w:hideMark/>
          </w:tcPr>
          <w:p w14:paraId="33220CCF" w14:textId="77777777" w:rsidR="008E6363" w:rsidRDefault="008E6363">
            <w:pPr>
              <w:keepNext/>
              <w:spacing w:line="276" w:lineRule="auto"/>
              <w:rPr>
                <w:kern w:val="2"/>
                <w:lang w:val="sv-SE"/>
                <w14:ligatures w14:val="standardContextual"/>
              </w:rPr>
            </w:pPr>
            <w:r>
              <w:rPr>
                <w:kern w:val="2"/>
                <w:lang w:val="sv-SE"/>
                <w14:ligatures w14:val="standardContextual"/>
              </w:rPr>
              <w:t>Odds** (95 % CI)</w:t>
            </w:r>
          </w:p>
        </w:tc>
      </w:tr>
      <w:tr w:rsidR="008E6363" w14:paraId="0A1E52BD" w14:textId="77777777" w:rsidTr="008E6363">
        <w:trPr>
          <w:trHeight w:val="249"/>
        </w:trPr>
        <w:tc>
          <w:tcPr>
            <w:tcW w:w="2127" w:type="dxa"/>
            <w:vMerge/>
            <w:tcBorders>
              <w:top w:val="single" w:sz="4" w:space="0" w:color="000000"/>
              <w:left w:val="single" w:sz="8" w:space="0" w:color="000000"/>
              <w:bottom w:val="single" w:sz="8" w:space="0" w:color="000000"/>
              <w:right w:val="single" w:sz="8" w:space="0" w:color="000000"/>
            </w:tcBorders>
            <w:vAlign w:val="center"/>
            <w:hideMark/>
          </w:tcPr>
          <w:p w14:paraId="3811D2EE" w14:textId="77777777" w:rsidR="008E6363" w:rsidRDefault="008E6363">
            <w:pPr>
              <w:spacing w:line="276" w:lineRule="auto"/>
              <w:rPr>
                <w:bCs/>
                <w:kern w:val="2"/>
                <w:sz w:val="22"/>
                <w:lang w:val="sv-SE"/>
                <w14:ligatures w14:val="standardContextual"/>
              </w:rPr>
            </w:pPr>
          </w:p>
        </w:tc>
        <w:tc>
          <w:tcPr>
            <w:tcW w:w="2551" w:type="dxa"/>
            <w:tcBorders>
              <w:top w:val="single" w:sz="8" w:space="0" w:color="000000"/>
              <w:left w:val="single" w:sz="8" w:space="0" w:color="000000"/>
              <w:bottom w:val="single" w:sz="8" w:space="0" w:color="000000"/>
              <w:right w:val="single" w:sz="8" w:space="0" w:color="000000"/>
            </w:tcBorders>
            <w:hideMark/>
          </w:tcPr>
          <w:p w14:paraId="1ED5B979" w14:textId="77777777" w:rsidR="008E6363" w:rsidRDefault="008E6363">
            <w:pPr>
              <w:keepNext/>
              <w:spacing w:line="276" w:lineRule="auto"/>
              <w:rPr>
                <w:kern w:val="2"/>
                <w:lang w:val="sv-SE"/>
                <w14:ligatures w14:val="standardContextual"/>
              </w:rPr>
            </w:pPr>
            <w:r>
              <w:rPr>
                <w:kern w:val="2"/>
                <w:lang w:val="sv-SE"/>
                <w14:ligatures w14:val="standardContextual"/>
              </w:rPr>
              <w:t>52,4</w:t>
            </w:r>
          </w:p>
        </w:tc>
        <w:tc>
          <w:tcPr>
            <w:tcW w:w="2552" w:type="dxa"/>
            <w:tcBorders>
              <w:top w:val="single" w:sz="8" w:space="0" w:color="000000"/>
              <w:left w:val="single" w:sz="8" w:space="0" w:color="000000"/>
              <w:bottom w:val="single" w:sz="8" w:space="0" w:color="000000"/>
              <w:right w:val="single" w:sz="8" w:space="0" w:color="000000"/>
            </w:tcBorders>
            <w:hideMark/>
          </w:tcPr>
          <w:p w14:paraId="0839159A" w14:textId="77777777" w:rsidR="008E6363" w:rsidRDefault="008E6363">
            <w:pPr>
              <w:keepNext/>
              <w:spacing w:line="276" w:lineRule="auto"/>
              <w:rPr>
                <w:kern w:val="2"/>
                <w:lang w:val="sv-SE"/>
                <w14:ligatures w14:val="standardContextual"/>
              </w:rPr>
            </w:pPr>
            <w:r>
              <w:rPr>
                <w:kern w:val="2"/>
                <w:lang w:val="sv-SE"/>
                <w14:ligatures w14:val="standardContextual"/>
              </w:rPr>
              <w:t>47,6</w:t>
            </w:r>
          </w:p>
        </w:tc>
        <w:tc>
          <w:tcPr>
            <w:tcW w:w="1984" w:type="dxa"/>
            <w:tcBorders>
              <w:top w:val="single" w:sz="8" w:space="0" w:color="000000"/>
              <w:left w:val="single" w:sz="8" w:space="0" w:color="000000"/>
              <w:bottom w:val="single" w:sz="8" w:space="0" w:color="000000"/>
              <w:right w:val="single" w:sz="8" w:space="0" w:color="000000"/>
            </w:tcBorders>
            <w:hideMark/>
          </w:tcPr>
          <w:p w14:paraId="10FE62BB" w14:textId="77777777" w:rsidR="008E6363" w:rsidRDefault="008E6363">
            <w:pPr>
              <w:keepNext/>
              <w:spacing w:line="276" w:lineRule="auto"/>
              <w:rPr>
                <w:kern w:val="2"/>
                <w:lang w:val="sv-SE"/>
                <w14:ligatures w14:val="standardContextual"/>
              </w:rPr>
            </w:pPr>
            <w:r>
              <w:rPr>
                <w:kern w:val="2"/>
                <w:lang w:val="sv-SE"/>
                <w14:ligatures w14:val="standardContextual"/>
              </w:rPr>
              <w:t>0,907 (0,72; 1,14)</w:t>
            </w:r>
          </w:p>
        </w:tc>
      </w:tr>
    </w:tbl>
    <w:p w14:paraId="4858D5FB" w14:textId="77777777" w:rsidR="008E6363" w:rsidRDefault="008E6363" w:rsidP="008E6363">
      <w:pPr>
        <w:rPr>
          <w:sz w:val="20"/>
        </w:rPr>
      </w:pPr>
      <w:r>
        <w:rPr>
          <w:sz w:val="20"/>
        </w:rPr>
        <w:t xml:space="preserve">*Sandsynlighed for fordelagtigt resultat eller </w:t>
      </w:r>
      <w:r>
        <w:rPr>
          <w:i/>
          <w:sz w:val="20"/>
        </w:rPr>
        <w:t xml:space="preserve">Mann-Whitney </w:t>
      </w:r>
      <w:r>
        <w:rPr>
          <w:sz w:val="20"/>
        </w:rPr>
        <w:t xml:space="preserve">sandsynlighed (MWP) for den givne behandling blev estimeret baseret på procentdelen af gevinster i parvise sammenligninger på den globale rangscore mellem sacubitril/valsartan-behandlede patienter og enalapril-behandlede patienter (hver højere score tæller som ét </w:t>
      </w:r>
      <w:r>
        <w:rPr>
          <w:i/>
          <w:sz w:val="20"/>
        </w:rPr>
        <w:t>win</w:t>
      </w:r>
      <w:r>
        <w:rPr>
          <w:sz w:val="20"/>
        </w:rPr>
        <w:t xml:space="preserve">, og hver lige score tæller som et halvt </w:t>
      </w:r>
      <w:r>
        <w:rPr>
          <w:i/>
          <w:sz w:val="20"/>
        </w:rPr>
        <w:t>win</w:t>
      </w:r>
      <w:r>
        <w:rPr>
          <w:sz w:val="20"/>
        </w:rPr>
        <w:t>).</w:t>
      </w:r>
    </w:p>
    <w:p w14:paraId="1315D64D" w14:textId="77777777" w:rsidR="008E6363" w:rsidRDefault="008E6363" w:rsidP="008E6363">
      <w:pPr>
        <w:rPr>
          <w:sz w:val="20"/>
        </w:rPr>
      </w:pPr>
      <w:r>
        <w:rPr>
          <w:sz w:val="20"/>
        </w:rPr>
        <w:t>**</w:t>
      </w:r>
      <w:r>
        <w:rPr>
          <w:i/>
          <w:iCs/>
          <w:sz w:val="20"/>
        </w:rPr>
        <w:t>Mann-Whitney Odds</w:t>
      </w:r>
      <w:r>
        <w:rPr>
          <w:sz w:val="20"/>
        </w:rPr>
        <w:t xml:space="preserve"> blev beregnet som den estimerede MWP for enalapril divideret med den estimerede MWP for sacubitril/valsartan med </w:t>
      </w:r>
      <w:r>
        <w:rPr>
          <w:i/>
          <w:iCs/>
          <w:sz w:val="20"/>
        </w:rPr>
        <w:t>odds</w:t>
      </w:r>
      <w:r>
        <w:rPr>
          <w:sz w:val="20"/>
        </w:rPr>
        <w:t xml:space="preserve"> &lt; 1 til fordel for sacubitril/valsartan og &gt; 1 til fordel for enalapril.</w:t>
      </w:r>
    </w:p>
    <w:p w14:paraId="7E3AD2DD" w14:textId="77777777" w:rsidR="009260DE" w:rsidRPr="00C84483" w:rsidRDefault="009260DE" w:rsidP="009260DE">
      <w:pPr>
        <w:tabs>
          <w:tab w:val="left" w:pos="851"/>
        </w:tabs>
        <w:ind w:left="851"/>
        <w:rPr>
          <w:sz w:val="24"/>
          <w:szCs w:val="24"/>
        </w:rPr>
      </w:pPr>
    </w:p>
    <w:p w14:paraId="31B86AE3"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7E964983" w14:textId="77777777" w:rsidR="008E6363" w:rsidRPr="008E6363" w:rsidRDefault="008E6363" w:rsidP="008E6363">
      <w:pPr>
        <w:tabs>
          <w:tab w:val="left" w:pos="851"/>
        </w:tabs>
        <w:ind w:left="851"/>
        <w:rPr>
          <w:sz w:val="24"/>
          <w:szCs w:val="24"/>
        </w:rPr>
      </w:pPr>
      <w:r w:rsidRPr="008E6363">
        <w:rPr>
          <w:sz w:val="24"/>
          <w:szCs w:val="24"/>
        </w:rPr>
        <w:t>Valsartan indeholdt i sacubitril/valsartan har en højere biotilgængelighed end valsartan i andre markedsførte tabletformuleringer; 26 mg, 51 mg og 103 mg valsartan i sacubitril/valsartan svarer til henholdsvis 40 mg, 80 mg og 160 mg valsartan i andre markedsførte tabletformuleringer.</w:t>
      </w:r>
    </w:p>
    <w:p w14:paraId="668F1B67" w14:textId="77777777" w:rsidR="008E6363" w:rsidRPr="008E6363" w:rsidRDefault="008E6363" w:rsidP="008E6363">
      <w:pPr>
        <w:tabs>
          <w:tab w:val="left" w:pos="851"/>
        </w:tabs>
        <w:ind w:left="851"/>
        <w:rPr>
          <w:sz w:val="24"/>
          <w:szCs w:val="24"/>
        </w:rPr>
      </w:pPr>
    </w:p>
    <w:p w14:paraId="1B1B1F27" w14:textId="77777777" w:rsidR="008E6363" w:rsidRPr="008E6363" w:rsidRDefault="008E6363" w:rsidP="008E6363">
      <w:pPr>
        <w:tabs>
          <w:tab w:val="left" w:pos="851"/>
        </w:tabs>
        <w:ind w:left="851"/>
        <w:rPr>
          <w:sz w:val="24"/>
          <w:szCs w:val="24"/>
        </w:rPr>
      </w:pPr>
      <w:r w:rsidRPr="008E6363">
        <w:rPr>
          <w:sz w:val="24"/>
          <w:szCs w:val="24"/>
          <w:u w:val="single"/>
        </w:rPr>
        <w:t>Voksen population</w:t>
      </w:r>
    </w:p>
    <w:p w14:paraId="7A86E1BF" w14:textId="77777777" w:rsidR="008E6363" w:rsidRPr="008E6363" w:rsidRDefault="008E6363" w:rsidP="008E6363">
      <w:pPr>
        <w:tabs>
          <w:tab w:val="left" w:pos="851"/>
        </w:tabs>
        <w:ind w:left="851"/>
        <w:rPr>
          <w:sz w:val="24"/>
          <w:szCs w:val="24"/>
        </w:rPr>
      </w:pPr>
    </w:p>
    <w:p w14:paraId="238F60A3" w14:textId="77777777" w:rsidR="008E6363" w:rsidRPr="008E6363" w:rsidRDefault="008E6363" w:rsidP="008E6363">
      <w:pPr>
        <w:tabs>
          <w:tab w:val="left" w:pos="851"/>
        </w:tabs>
        <w:ind w:left="851"/>
        <w:rPr>
          <w:i/>
          <w:sz w:val="24"/>
          <w:szCs w:val="24"/>
        </w:rPr>
      </w:pPr>
      <w:r w:rsidRPr="008E6363">
        <w:rPr>
          <w:i/>
          <w:sz w:val="24"/>
          <w:szCs w:val="24"/>
        </w:rPr>
        <w:t>Absorption</w:t>
      </w:r>
    </w:p>
    <w:p w14:paraId="4E7B179E" w14:textId="77777777" w:rsidR="008E6363" w:rsidRPr="008E6363" w:rsidRDefault="008E6363" w:rsidP="008E6363">
      <w:pPr>
        <w:tabs>
          <w:tab w:val="left" w:pos="851"/>
        </w:tabs>
        <w:ind w:left="851"/>
        <w:rPr>
          <w:sz w:val="24"/>
          <w:szCs w:val="24"/>
        </w:rPr>
      </w:pPr>
      <w:r w:rsidRPr="008E6363">
        <w:rPr>
          <w:sz w:val="24"/>
          <w:szCs w:val="24"/>
        </w:rPr>
        <w:t>Efter oral administration omdannes sacubitril/valsartan til valsartan og prodruget sacubitril.</w:t>
      </w:r>
    </w:p>
    <w:p w14:paraId="6345F066" w14:textId="77777777" w:rsidR="008E6363" w:rsidRPr="008E6363" w:rsidRDefault="008E6363" w:rsidP="008E6363">
      <w:pPr>
        <w:tabs>
          <w:tab w:val="left" w:pos="851"/>
        </w:tabs>
        <w:ind w:left="851"/>
        <w:rPr>
          <w:sz w:val="24"/>
          <w:szCs w:val="24"/>
        </w:rPr>
      </w:pPr>
      <w:r w:rsidRPr="008E6363">
        <w:rPr>
          <w:sz w:val="24"/>
          <w:szCs w:val="24"/>
        </w:rPr>
        <w:t>Sacubitril metaboliseres videre til den aktive metabolit LBQ657. Peak plasmakoncentrationerne opnås efter henholdsvis 2 timer, 1 time og 2 timer. Den absolutte orale biotilgængelighed af sacubitril og valsartan er bestemt til højere end henholdsvis 60 % og 23 %.</w:t>
      </w:r>
    </w:p>
    <w:p w14:paraId="0D245765" w14:textId="77777777" w:rsidR="008E6363" w:rsidRPr="008E6363" w:rsidRDefault="008E6363" w:rsidP="008E6363">
      <w:pPr>
        <w:tabs>
          <w:tab w:val="left" w:pos="851"/>
        </w:tabs>
        <w:ind w:left="851"/>
        <w:rPr>
          <w:sz w:val="24"/>
          <w:szCs w:val="24"/>
        </w:rPr>
      </w:pPr>
    </w:p>
    <w:p w14:paraId="4639651B" w14:textId="77777777" w:rsidR="008E6363" w:rsidRPr="008E6363" w:rsidRDefault="008E6363" w:rsidP="008E6363">
      <w:pPr>
        <w:tabs>
          <w:tab w:val="left" w:pos="851"/>
        </w:tabs>
        <w:ind w:left="851"/>
        <w:rPr>
          <w:sz w:val="24"/>
          <w:szCs w:val="24"/>
        </w:rPr>
      </w:pPr>
      <w:r w:rsidRPr="008E6363">
        <w:rPr>
          <w:sz w:val="24"/>
          <w:szCs w:val="24"/>
        </w:rPr>
        <w:t xml:space="preserve">Efter dosering to gange dagligt med sacubitril/valsartan, nås </w:t>
      </w:r>
      <w:r w:rsidRPr="008E6363">
        <w:rPr>
          <w:i/>
          <w:sz w:val="24"/>
          <w:szCs w:val="24"/>
        </w:rPr>
        <w:t>steady state-</w:t>
      </w:r>
      <w:r w:rsidRPr="008E6363">
        <w:rPr>
          <w:sz w:val="24"/>
          <w:szCs w:val="24"/>
        </w:rPr>
        <w:t xml:space="preserve">niveauer af sacubitril, LBQ657 og valsartan på 3 dage. Sacubitril og valsartan akkumuleres ikke signifikant under </w:t>
      </w:r>
      <w:r w:rsidRPr="008E6363">
        <w:rPr>
          <w:i/>
          <w:sz w:val="24"/>
          <w:szCs w:val="24"/>
        </w:rPr>
        <w:t>steady state</w:t>
      </w:r>
      <w:r w:rsidRPr="008E6363">
        <w:rPr>
          <w:sz w:val="24"/>
          <w:szCs w:val="24"/>
        </w:rPr>
        <w:t>, mens LBQ657 akkumuleres 1,6 gange. Administration sammen med mad har ingen klinisk signifikant indflydelse på den systemiske optagelse af sacubitril, LBQ657 og valsartan. Sacubitril/valsartan kan gives sammen med eller uden mad.</w:t>
      </w:r>
    </w:p>
    <w:p w14:paraId="22E8851E" w14:textId="77777777" w:rsidR="008E6363" w:rsidRPr="008E6363" w:rsidRDefault="008E6363" w:rsidP="008E6363">
      <w:pPr>
        <w:tabs>
          <w:tab w:val="left" w:pos="851"/>
        </w:tabs>
        <w:ind w:left="851"/>
        <w:rPr>
          <w:sz w:val="24"/>
          <w:szCs w:val="24"/>
        </w:rPr>
      </w:pPr>
    </w:p>
    <w:p w14:paraId="4D478E3D" w14:textId="77777777" w:rsidR="008E6363" w:rsidRPr="008E6363" w:rsidRDefault="008E6363" w:rsidP="008E6363">
      <w:pPr>
        <w:tabs>
          <w:tab w:val="left" w:pos="851"/>
        </w:tabs>
        <w:ind w:left="851"/>
        <w:rPr>
          <w:i/>
          <w:sz w:val="24"/>
          <w:szCs w:val="24"/>
        </w:rPr>
      </w:pPr>
      <w:r w:rsidRPr="008E6363">
        <w:rPr>
          <w:i/>
          <w:sz w:val="24"/>
          <w:szCs w:val="24"/>
        </w:rPr>
        <w:t>Fordeling</w:t>
      </w:r>
    </w:p>
    <w:p w14:paraId="4D2898CB" w14:textId="77777777" w:rsidR="008E6363" w:rsidRPr="008E6363" w:rsidRDefault="008E6363" w:rsidP="008E6363">
      <w:pPr>
        <w:tabs>
          <w:tab w:val="left" w:pos="851"/>
        </w:tabs>
        <w:ind w:left="851"/>
        <w:rPr>
          <w:sz w:val="24"/>
          <w:szCs w:val="24"/>
        </w:rPr>
      </w:pPr>
      <w:r w:rsidRPr="008E6363">
        <w:rPr>
          <w:sz w:val="24"/>
          <w:szCs w:val="24"/>
        </w:rPr>
        <w:t>Sacubitril, LBQ657 og valsartan er bundet til proteiner i udstrakt grad (94</w:t>
      </w:r>
      <w:r w:rsidRPr="008E6363">
        <w:rPr>
          <w:sz w:val="24"/>
          <w:szCs w:val="24"/>
        </w:rPr>
        <w:noBreakHyphen/>
        <w:t>97 %). Vurderet ud fra sammenligning af plasma</w:t>
      </w:r>
      <w:r w:rsidRPr="008E6363">
        <w:rPr>
          <w:sz w:val="24"/>
          <w:szCs w:val="24"/>
        </w:rPr>
        <w:noBreakHyphen/>
        <w:t xml:space="preserve"> og CSF</w:t>
      </w:r>
      <w:r w:rsidRPr="008E6363">
        <w:rPr>
          <w:sz w:val="24"/>
          <w:szCs w:val="24"/>
        </w:rPr>
        <w:noBreakHyphen/>
        <w:t>koncentrationer passerer LBQ657 blodhjernebarrieren i begrænset omfang (0,28 %). Det gennemsnitlige tilsyneladende fordelingsvolumen for valsartan og sacubitril var henholdsvis 75 liter til 103 liter.</w:t>
      </w:r>
    </w:p>
    <w:p w14:paraId="297A8D66" w14:textId="77777777" w:rsidR="008E6363" w:rsidRPr="008E6363" w:rsidRDefault="008E6363" w:rsidP="008E6363">
      <w:pPr>
        <w:tabs>
          <w:tab w:val="left" w:pos="851"/>
        </w:tabs>
        <w:ind w:left="851"/>
        <w:rPr>
          <w:sz w:val="24"/>
          <w:szCs w:val="24"/>
        </w:rPr>
      </w:pPr>
    </w:p>
    <w:p w14:paraId="5D8F39E0" w14:textId="77777777" w:rsidR="008E6363" w:rsidRPr="008E6363" w:rsidRDefault="008E6363" w:rsidP="008E6363">
      <w:pPr>
        <w:tabs>
          <w:tab w:val="left" w:pos="851"/>
        </w:tabs>
        <w:ind w:left="851"/>
        <w:rPr>
          <w:i/>
          <w:sz w:val="24"/>
          <w:szCs w:val="24"/>
        </w:rPr>
      </w:pPr>
      <w:r w:rsidRPr="008E6363">
        <w:rPr>
          <w:i/>
          <w:sz w:val="24"/>
          <w:szCs w:val="24"/>
        </w:rPr>
        <w:t>Biotransformation</w:t>
      </w:r>
    </w:p>
    <w:p w14:paraId="5AAC2C93" w14:textId="77777777" w:rsidR="008E6363" w:rsidRPr="008E6363" w:rsidRDefault="008E6363" w:rsidP="008E6363">
      <w:pPr>
        <w:tabs>
          <w:tab w:val="left" w:pos="851"/>
        </w:tabs>
        <w:ind w:left="851"/>
        <w:rPr>
          <w:sz w:val="24"/>
          <w:szCs w:val="24"/>
        </w:rPr>
      </w:pPr>
      <w:r w:rsidRPr="008E6363">
        <w:rPr>
          <w:sz w:val="24"/>
          <w:szCs w:val="24"/>
        </w:rPr>
        <w:t>Sacubitril omdannes nemt til LBQ657 af carboxylesterase 1b og 1c; LBQ657 metaboliseres ikke yderligere i signifikant udstrækning. Valsartan metaboliseres kun i ringe grad, kun omkring 20 % af dosis genfindes som metabolitter. Der er fundet lave koncentrationer (&lt; 10 %) af en hydroxylmetabolit af valsartan i plasma.</w:t>
      </w:r>
    </w:p>
    <w:p w14:paraId="1A36FA51" w14:textId="77777777" w:rsidR="008E6363" w:rsidRPr="008E6363" w:rsidRDefault="008E6363" w:rsidP="008E6363">
      <w:pPr>
        <w:tabs>
          <w:tab w:val="left" w:pos="851"/>
        </w:tabs>
        <w:ind w:left="851"/>
        <w:rPr>
          <w:sz w:val="24"/>
          <w:szCs w:val="24"/>
        </w:rPr>
      </w:pPr>
    </w:p>
    <w:p w14:paraId="4A2DB304" w14:textId="77777777" w:rsidR="008E6363" w:rsidRPr="008E6363" w:rsidRDefault="008E6363" w:rsidP="008E6363">
      <w:pPr>
        <w:tabs>
          <w:tab w:val="left" w:pos="851"/>
        </w:tabs>
        <w:ind w:left="851"/>
        <w:rPr>
          <w:sz w:val="24"/>
          <w:szCs w:val="24"/>
        </w:rPr>
      </w:pPr>
      <w:r w:rsidRPr="008E6363">
        <w:rPr>
          <w:sz w:val="24"/>
          <w:szCs w:val="24"/>
        </w:rPr>
        <w:t>Da CYP450-enzymmedieret metabolisering af sacubitril og valsartan er minimal, forventes administration sammen med lægemidler der påvirker CYP450</w:t>
      </w:r>
      <w:r w:rsidRPr="008E6363">
        <w:rPr>
          <w:sz w:val="24"/>
          <w:szCs w:val="24"/>
        </w:rPr>
        <w:noBreakHyphen/>
        <w:t xml:space="preserve">enzymer ikke at influere på farmakokinetikken. </w:t>
      </w:r>
      <w:r w:rsidRPr="008E6363">
        <w:rPr>
          <w:i/>
          <w:sz w:val="24"/>
          <w:szCs w:val="24"/>
        </w:rPr>
        <w:t xml:space="preserve">In vitro </w:t>
      </w:r>
      <w:r w:rsidRPr="008E6363">
        <w:rPr>
          <w:sz w:val="24"/>
          <w:szCs w:val="24"/>
        </w:rPr>
        <w:t>metabolismestudier indikerer, at potentialet for CYP450 baserede lægemiddelinteraktioner er lavt, da der er begrænset metabolisme af sacubitril/valsartan via CYP450</w:t>
      </w:r>
      <w:r w:rsidRPr="008E6363">
        <w:rPr>
          <w:sz w:val="24"/>
          <w:szCs w:val="24"/>
        </w:rPr>
        <w:noBreakHyphen/>
        <w:t>enzymer. Sacubitril/valsartan inducerer eller hæmmer ikke CYP450</w:t>
      </w:r>
      <w:r w:rsidRPr="008E6363">
        <w:rPr>
          <w:sz w:val="24"/>
          <w:szCs w:val="24"/>
        </w:rPr>
        <w:noBreakHyphen/>
        <w:t>enzymer.</w:t>
      </w:r>
    </w:p>
    <w:p w14:paraId="56398621" w14:textId="77777777" w:rsidR="008E6363" w:rsidRPr="008E6363" w:rsidRDefault="008E6363" w:rsidP="008E6363">
      <w:pPr>
        <w:tabs>
          <w:tab w:val="left" w:pos="851"/>
        </w:tabs>
        <w:ind w:left="851"/>
        <w:rPr>
          <w:i/>
          <w:sz w:val="24"/>
          <w:szCs w:val="24"/>
          <w:u w:val="single"/>
        </w:rPr>
      </w:pPr>
    </w:p>
    <w:p w14:paraId="77DB8C7B" w14:textId="77777777" w:rsidR="008E6363" w:rsidRPr="008E6363" w:rsidRDefault="008E6363" w:rsidP="008E6363">
      <w:pPr>
        <w:tabs>
          <w:tab w:val="left" w:pos="851"/>
        </w:tabs>
        <w:ind w:left="851"/>
        <w:rPr>
          <w:i/>
          <w:sz w:val="24"/>
          <w:szCs w:val="24"/>
        </w:rPr>
      </w:pPr>
      <w:r w:rsidRPr="008E6363">
        <w:rPr>
          <w:i/>
          <w:sz w:val="24"/>
          <w:szCs w:val="24"/>
        </w:rPr>
        <w:t>Elimination</w:t>
      </w:r>
    </w:p>
    <w:p w14:paraId="3CA94B7C" w14:textId="77777777" w:rsidR="008E6363" w:rsidRPr="008E6363" w:rsidRDefault="008E6363" w:rsidP="008E6363">
      <w:pPr>
        <w:tabs>
          <w:tab w:val="left" w:pos="851"/>
        </w:tabs>
        <w:ind w:left="851"/>
        <w:rPr>
          <w:sz w:val="24"/>
          <w:szCs w:val="24"/>
        </w:rPr>
      </w:pPr>
      <w:r w:rsidRPr="008E6363">
        <w:rPr>
          <w:sz w:val="24"/>
          <w:szCs w:val="24"/>
        </w:rPr>
        <w:t>Efter oral administration udskilles 52</w:t>
      </w:r>
      <w:r w:rsidRPr="008E6363">
        <w:rPr>
          <w:sz w:val="24"/>
          <w:szCs w:val="24"/>
        </w:rPr>
        <w:noBreakHyphen/>
        <w:t>68 % af sacubitril (primært som LBQ657) og ~13 % af valsartan og dets metabolitter i urinen; 37</w:t>
      </w:r>
      <w:r w:rsidRPr="008E6363">
        <w:rPr>
          <w:sz w:val="24"/>
          <w:szCs w:val="24"/>
        </w:rPr>
        <w:noBreakHyphen/>
        <w:t>48 % af sacubitril (primært som LBQ657) og 86 % af valsartan og dets metabolitter udskilles i fæces.</w:t>
      </w:r>
    </w:p>
    <w:p w14:paraId="45C1B72D" w14:textId="77777777" w:rsidR="008E6363" w:rsidRPr="008E6363" w:rsidRDefault="008E6363" w:rsidP="008E6363">
      <w:pPr>
        <w:tabs>
          <w:tab w:val="left" w:pos="851"/>
        </w:tabs>
        <w:ind w:left="851"/>
        <w:rPr>
          <w:sz w:val="24"/>
          <w:szCs w:val="24"/>
        </w:rPr>
      </w:pPr>
    </w:p>
    <w:p w14:paraId="339D1F1A" w14:textId="77777777" w:rsidR="008E6363" w:rsidRPr="008E6363" w:rsidRDefault="008E6363" w:rsidP="008E6363">
      <w:pPr>
        <w:tabs>
          <w:tab w:val="left" w:pos="851"/>
        </w:tabs>
        <w:ind w:left="851"/>
        <w:rPr>
          <w:sz w:val="24"/>
          <w:szCs w:val="24"/>
        </w:rPr>
      </w:pPr>
      <w:r w:rsidRPr="008E6363">
        <w:rPr>
          <w:sz w:val="24"/>
          <w:szCs w:val="24"/>
        </w:rPr>
        <w:t>Sacubitril, LBQ657 og valsartan elimineres fra plasma med en gennemsnitlig halveringstid (T</w:t>
      </w:r>
      <w:r w:rsidRPr="008E6363">
        <w:rPr>
          <w:sz w:val="24"/>
          <w:szCs w:val="24"/>
          <w:vertAlign w:val="subscript"/>
        </w:rPr>
        <w:t>½</w:t>
      </w:r>
      <w:r w:rsidRPr="008E6363">
        <w:rPr>
          <w:sz w:val="24"/>
          <w:szCs w:val="24"/>
        </w:rPr>
        <w:t>) på henholdsvis omkring 1,43 timer, 11,48 timer og 9,90 timer.</w:t>
      </w:r>
    </w:p>
    <w:p w14:paraId="2DBEF58C" w14:textId="77777777" w:rsidR="008E6363" w:rsidRPr="008E6363" w:rsidRDefault="008E6363" w:rsidP="008E6363">
      <w:pPr>
        <w:tabs>
          <w:tab w:val="left" w:pos="851"/>
        </w:tabs>
        <w:ind w:left="851"/>
        <w:rPr>
          <w:sz w:val="24"/>
          <w:szCs w:val="24"/>
        </w:rPr>
      </w:pPr>
    </w:p>
    <w:p w14:paraId="11DED22E" w14:textId="77777777" w:rsidR="008E6363" w:rsidRPr="008E6363" w:rsidRDefault="008E6363" w:rsidP="008E6363">
      <w:pPr>
        <w:tabs>
          <w:tab w:val="left" w:pos="851"/>
        </w:tabs>
        <w:ind w:left="851"/>
        <w:rPr>
          <w:i/>
          <w:sz w:val="24"/>
          <w:szCs w:val="24"/>
        </w:rPr>
      </w:pPr>
      <w:r w:rsidRPr="008E6363">
        <w:rPr>
          <w:i/>
          <w:sz w:val="24"/>
          <w:szCs w:val="24"/>
        </w:rPr>
        <w:t>Linearitet/non</w:t>
      </w:r>
      <w:r w:rsidRPr="008E6363">
        <w:rPr>
          <w:i/>
          <w:sz w:val="24"/>
          <w:szCs w:val="24"/>
        </w:rPr>
        <w:noBreakHyphen/>
        <w:t>linearitet</w:t>
      </w:r>
    </w:p>
    <w:p w14:paraId="2C31EBC7" w14:textId="77777777" w:rsidR="008E6363" w:rsidRPr="008E6363" w:rsidRDefault="008E6363" w:rsidP="008E6363">
      <w:pPr>
        <w:tabs>
          <w:tab w:val="left" w:pos="851"/>
        </w:tabs>
        <w:ind w:left="851"/>
        <w:rPr>
          <w:sz w:val="24"/>
          <w:szCs w:val="24"/>
        </w:rPr>
      </w:pPr>
      <w:r w:rsidRPr="008E6363">
        <w:rPr>
          <w:sz w:val="24"/>
          <w:szCs w:val="24"/>
        </w:rPr>
        <w:t>Der er nogenlunde lineær farmakokinetik af sacubitril, LBQ657 og valsartan i et dosisinterval af sacubitril/valsartan mellem 24 mg sacubitril/26 mg valsartan og 97 mg sacubitril/103 mg valsartan.</w:t>
      </w:r>
    </w:p>
    <w:p w14:paraId="122F0C8F" w14:textId="1099AF3A" w:rsidR="008E6363" w:rsidRDefault="008E6363">
      <w:pPr>
        <w:rPr>
          <w:sz w:val="24"/>
          <w:szCs w:val="24"/>
        </w:rPr>
      </w:pPr>
      <w:r>
        <w:rPr>
          <w:sz w:val="24"/>
          <w:szCs w:val="24"/>
        </w:rPr>
        <w:br w:type="page"/>
      </w:r>
    </w:p>
    <w:p w14:paraId="72E3EB8E" w14:textId="77777777" w:rsidR="008E6363" w:rsidRPr="008E6363" w:rsidRDefault="008E6363" w:rsidP="008E6363">
      <w:pPr>
        <w:tabs>
          <w:tab w:val="left" w:pos="851"/>
        </w:tabs>
        <w:ind w:left="851"/>
        <w:rPr>
          <w:sz w:val="24"/>
          <w:szCs w:val="24"/>
        </w:rPr>
      </w:pPr>
    </w:p>
    <w:p w14:paraId="32018691" w14:textId="77777777" w:rsidR="008E6363" w:rsidRPr="008E6363" w:rsidRDefault="008E6363" w:rsidP="008E6363">
      <w:pPr>
        <w:tabs>
          <w:tab w:val="left" w:pos="851"/>
        </w:tabs>
        <w:ind w:left="851"/>
        <w:rPr>
          <w:sz w:val="24"/>
          <w:szCs w:val="24"/>
        </w:rPr>
      </w:pPr>
      <w:r w:rsidRPr="008E6363">
        <w:rPr>
          <w:sz w:val="24"/>
          <w:szCs w:val="24"/>
          <w:u w:val="single"/>
        </w:rPr>
        <w:t>Særlige populationer</w:t>
      </w:r>
    </w:p>
    <w:p w14:paraId="7F94407D" w14:textId="77777777" w:rsidR="008E6363" w:rsidRPr="008E6363" w:rsidRDefault="008E6363" w:rsidP="008E6363">
      <w:pPr>
        <w:tabs>
          <w:tab w:val="left" w:pos="851"/>
        </w:tabs>
        <w:ind w:left="851"/>
        <w:rPr>
          <w:i/>
          <w:sz w:val="24"/>
          <w:szCs w:val="24"/>
          <w:u w:val="single"/>
        </w:rPr>
      </w:pPr>
    </w:p>
    <w:p w14:paraId="757AF71D" w14:textId="77777777" w:rsidR="008E6363" w:rsidRPr="008E6363" w:rsidRDefault="008E6363" w:rsidP="008E6363">
      <w:pPr>
        <w:tabs>
          <w:tab w:val="left" w:pos="851"/>
        </w:tabs>
        <w:ind w:left="851"/>
        <w:rPr>
          <w:i/>
          <w:sz w:val="24"/>
          <w:szCs w:val="24"/>
        </w:rPr>
      </w:pPr>
      <w:r w:rsidRPr="008E6363">
        <w:rPr>
          <w:i/>
          <w:sz w:val="24"/>
          <w:szCs w:val="24"/>
        </w:rPr>
        <w:t>Ældre</w:t>
      </w:r>
    </w:p>
    <w:p w14:paraId="09670F8C" w14:textId="77777777" w:rsidR="008E6363" w:rsidRPr="008E6363" w:rsidRDefault="008E6363" w:rsidP="008E6363">
      <w:pPr>
        <w:tabs>
          <w:tab w:val="left" w:pos="851"/>
        </w:tabs>
        <w:ind w:left="851"/>
        <w:rPr>
          <w:sz w:val="24"/>
          <w:szCs w:val="24"/>
        </w:rPr>
      </w:pPr>
      <w:r w:rsidRPr="008E6363">
        <w:rPr>
          <w:sz w:val="24"/>
          <w:szCs w:val="24"/>
        </w:rPr>
        <w:t>Optagelsen af LBQ657 og valsartan er øget med henholdsvis 42 % og 30 % hos forsøgspersoner over 65 år sammenlignet med yngre patienter.</w:t>
      </w:r>
    </w:p>
    <w:p w14:paraId="51CC12A6" w14:textId="77777777" w:rsidR="008E6363" w:rsidRPr="008E6363" w:rsidRDefault="008E6363" w:rsidP="008E6363">
      <w:pPr>
        <w:tabs>
          <w:tab w:val="left" w:pos="851"/>
        </w:tabs>
        <w:ind w:left="851"/>
        <w:rPr>
          <w:sz w:val="24"/>
          <w:szCs w:val="24"/>
        </w:rPr>
      </w:pPr>
    </w:p>
    <w:p w14:paraId="1CF44B44" w14:textId="77777777" w:rsidR="008E6363" w:rsidRPr="008E6363" w:rsidRDefault="008E6363" w:rsidP="008E6363">
      <w:pPr>
        <w:tabs>
          <w:tab w:val="left" w:pos="851"/>
        </w:tabs>
        <w:ind w:left="851"/>
        <w:rPr>
          <w:i/>
          <w:sz w:val="24"/>
          <w:szCs w:val="24"/>
        </w:rPr>
      </w:pPr>
      <w:r w:rsidRPr="008E6363">
        <w:rPr>
          <w:i/>
          <w:sz w:val="24"/>
          <w:szCs w:val="24"/>
        </w:rPr>
        <w:t>Nedsat nyrefunktion</w:t>
      </w:r>
    </w:p>
    <w:p w14:paraId="62F824D3" w14:textId="77777777" w:rsidR="008E6363" w:rsidRPr="008E6363" w:rsidRDefault="008E6363" w:rsidP="008E6363">
      <w:pPr>
        <w:tabs>
          <w:tab w:val="left" w:pos="851"/>
        </w:tabs>
        <w:ind w:left="851"/>
        <w:rPr>
          <w:sz w:val="24"/>
          <w:szCs w:val="24"/>
        </w:rPr>
      </w:pPr>
      <w:r w:rsidRPr="008E6363">
        <w:rPr>
          <w:sz w:val="24"/>
          <w:szCs w:val="24"/>
        </w:rPr>
        <w:t>Der sås korrelation mellem nyrefunktion og systemisk optag for LBQ657 hos patienter med let til svært nedsat nyrefunktion. Eksponering for LBQ657 hos patienter med moderat (30 ml/min/1,73 m</w:t>
      </w:r>
      <w:r w:rsidRPr="008E6363">
        <w:rPr>
          <w:sz w:val="24"/>
          <w:szCs w:val="24"/>
          <w:vertAlign w:val="superscript"/>
        </w:rPr>
        <w:t>2</w:t>
      </w:r>
      <w:r w:rsidRPr="008E6363">
        <w:rPr>
          <w:sz w:val="24"/>
          <w:szCs w:val="24"/>
        </w:rPr>
        <w:t xml:space="preserve"> ≤ eGFR &lt; 60 ml/min/1,73 m</w:t>
      </w:r>
      <w:r w:rsidRPr="008E6363">
        <w:rPr>
          <w:sz w:val="24"/>
          <w:szCs w:val="24"/>
          <w:vertAlign w:val="superscript"/>
        </w:rPr>
        <w:t>2</w:t>
      </w:r>
      <w:r w:rsidRPr="008E6363">
        <w:rPr>
          <w:sz w:val="24"/>
          <w:szCs w:val="24"/>
        </w:rPr>
        <w:t>) og svært nedsat nyrefunktion (15 ml/min/1,73 m</w:t>
      </w:r>
      <w:r w:rsidRPr="008E6363">
        <w:rPr>
          <w:sz w:val="24"/>
          <w:szCs w:val="24"/>
          <w:vertAlign w:val="superscript"/>
        </w:rPr>
        <w:t>2</w:t>
      </w:r>
      <w:r w:rsidRPr="008E6363">
        <w:rPr>
          <w:sz w:val="24"/>
          <w:szCs w:val="24"/>
        </w:rPr>
        <w:t>≤ eGFR &lt; 30 ml/min/1,73 m</w:t>
      </w:r>
      <w:r w:rsidRPr="008E6363">
        <w:rPr>
          <w:sz w:val="24"/>
          <w:szCs w:val="24"/>
          <w:vertAlign w:val="superscript"/>
        </w:rPr>
        <w:t>2</w:t>
      </w:r>
      <w:r w:rsidRPr="008E6363">
        <w:rPr>
          <w:sz w:val="24"/>
          <w:szCs w:val="24"/>
        </w:rPr>
        <w:t>) var 1,4 gange og 2,2 gange højere sammenlignet med patienter med let nedsat nyrefunktion (60 ml/min/1,73 m</w:t>
      </w:r>
      <w:r w:rsidRPr="008E6363">
        <w:rPr>
          <w:sz w:val="24"/>
          <w:szCs w:val="24"/>
          <w:vertAlign w:val="superscript"/>
        </w:rPr>
        <w:t>2</w:t>
      </w:r>
      <w:r w:rsidRPr="008E6363">
        <w:rPr>
          <w:sz w:val="24"/>
          <w:szCs w:val="24"/>
        </w:rPr>
        <w:t xml:space="preserve"> ≤ eGFR &lt; 90 ml/min/1,73 m</w:t>
      </w:r>
      <w:r w:rsidRPr="008E6363">
        <w:rPr>
          <w:sz w:val="24"/>
          <w:szCs w:val="24"/>
          <w:vertAlign w:val="superscript"/>
        </w:rPr>
        <w:t>2</w:t>
      </w:r>
      <w:r w:rsidRPr="008E6363">
        <w:rPr>
          <w:sz w:val="24"/>
          <w:szCs w:val="24"/>
        </w:rPr>
        <w:t>), som udgjorde den største gruppe af patienter, der deltog i PARADIGM</w:t>
      </w:r>
      <w:r w:rsidRPr="008E6363">
        <w:rPr>
          <w:sz w:val="24"/>
          <w:szCs w:val="24"/>
        </w:rPr>
        <w:noBreakHyphen/>
        <w:t>HF. Eksponeringen for valsartan var sammenlignelig hos patienter med moderat og svært nedsat nyrefunktion sammenlignet med patienter med let nedsat nyrefunktion. Der er ikke udført studier hos patienter i dialyse. Da LBQ657 og valsartan er bundet til plasmaprotein i høj grad, er det ikke sandsynligt, at det kan fjernes effektivt ved dialyse.</w:t>
      </w:r>
    </w:p>
    <w:p w14:paraId="64A9AA89" w14:textId="77777777" w:rsidR="008E6363" w:rsidRPr="008E6363" w:rsidRDefault="008E6363" w:rsidP="008E6363">
      <w:pPr>
        <w:tabs>
          <w:tab w:val="left" w:pos="851"/>
        </w:tabs>
        <w:ind w:left="851"/>
        <w:rPr>
          <w:sz w:val="24"/>
          <w:szCs w:val="24"/>
        </w:rPr>
      </w:pPr>
    </w:p>
    <w:p w14:paraId="5C003B96" w14:textId="77777777" w:rsidR="008E6363" w:rsidRPr="008E6363" w:rsidRDefault="008E6363" w:rsidP="008E6363">
      <w:pPr>
        <w:tabs>
          <w:tab w:val="left" w:pos="851"/>
        </w:tabs>
        <w:ind w:left="851"/>
        <w:rPr>
          <w:i/>
          <w:sz w:val="24"/>
          <w:szCs w:val="24"/>
        </w:rPr>
      </w:pPr>
      <w:r w:rsidRPr="008E6363">
        <w:rPr>
          <w:i/>
          <w:sz w:val="24"/>
          <w:szCs w:val="24"/>
        </w:rPr>
        <w:t>Nedsat leverfunktion</w:t>
      </w:r>
    </w:p>
    <w:p w14:paraId="0FFABFF6" w14:textId="77777777" w:rsidR="008E6363" w:rsidRPr="008E6363" w:rsidRDefault="008E6363" w:rsidP="008E6363">
      <w:pPr>
        <w:tabs>
          <w:tab w:val="left" w:pos="851"/>
        </w:tabs>
        <w:ind w:left="851"/>
        <w:rPr>
          <w:i/>
          <w:sz w:val="24"/>
          <w:szCs w:val="24"/>
        </w:rPr>
      </w:pPr>
      <w:r w:rsidRPr="008E6363">
        <w:rPr>
          <w:sz w:val="24"/>
          <w:szCs w:val="24"/>
        </w:rPr>
        <w:t>Hos patienter med let til moderat nedsat leverfunktion øgedes optagelsen af sacubitril med 1,5 og</w:t>
      </w:r>
      <w:r w:rsidRPr="008E6363">
        <w:rPr>
          <w:i/>
          <w:sz w:val="24"/>
          <w:szCs w:val="24"/>
        </w:rPr>
        <w:t xml:space="preserve"> </w:t>
      </w:r>
      <w:r w:rsidRPr="008E6363">
        <w:rPr>
          <w:sz w:val="24"/>
          <w:szCs w:val="24"/>
        </w:rPr>
        <w:t>3,4 gange, LBQ657 øgedes med 1,5 og 1,9 gange, og valsartan øgedes med henholdsvis 1,2 gange og 2,1 gange, sammenlignet med matchende raske forsøgspersoner. Optagelse af frit LBQ657 øgedes dog hos patienter med let til moderat nedsat leverfunktion henholdsvis 1,47 og 3,08 gange, og optagelse af frit valsartan øgedes med henholdsvis 1,09 gange og 2,20 gange sammenlignet med matchende raske forsøgspersoner. Sacubitril/valsartan er ikke undersøgt hos patienter med svært nedsat leverfunktion, biliær cirrose eller kolestase (se pkt. 4.3 og 4.4).</w:t>
      </w:r>
    </w:p>
    <w:p w14:paraId="21A30B5F" w14:textId="77777777" w:rsidR="008E6363" w:rsidRPr="008E6363" w:rsidRDefault="008E6363" w:rsidP="008E6363">
      <w:pPr>
        <w:tabs>
          <w:tab w:val="left" w:pos="851"/>
        </w:tabs>
        <w:ind w:left="851"/>
        <w:rPr>
          <w:sz w:val="24"/>
          <w:szCs w:val="24"/>
        </w:rPr>
      </w:pPr>
    </w:p>
    <w:p w14:paraId="06F80E89" w14:textId="77777777" w:rsidR="008E6363" w:rsidRPr="008E6363" w:rsidRDefault="008E6363" w:rsidP="008E6363">
      <w:pPr>
        <w:tabs>
          <w:tab w:val="left" w:pos="851"/>
        </w:tabs>
        <w:ind w:left="851"/>
        <w:rPr>
          <w:i/>
          <w:sz w:val="24"/>
          <w:szCs w:val="24"/>
        </w:rPr>
      </w:pPr>
      <w:r w:rsidRPr="008E6363">
        <w:rPr>
          <w:i/>
          <w:sz w:val="24"/>
          <w:szCs w:val="24"/>
        </w:rPr>
        <w:t>Køn</w:t>
      </w:r>
    </w:p>
    <w:p w14:paraId="75525B22" w14:textId="77777777" w:rsidR="008E6363" w:rsidRPr="008E6363" w:rsidRDefault="008E6363" w:rsidP="008E6363">
      <w:pPr>
        <w:tabs>
          <w:tab w:val="left" w:pos="851"/>
        </w:tabs>
        <w:ind w:left="851"/>
        <w:rPr>
          <w:sz w:val="24"/>
          <w:szCs w:val="24"/>
        </w:rPr>
      </w:pPr>
      <w:r w:rsidRPr="008E6363">
        <w:rPr>
          <w:sz w:val="24"/>
          <w:szCs w:val="24"/>
        </w:rPr>
        <w:t>Sacubitrils/valsartans (sacubitril, LBQ657 og valsartan) farmakokinetik er den samme hos mænd og kvinder.</w:t>
      </w:r>
    </w:p>
    <w:p w14:paraId="737F1E7C" w14:textId="77777777" w:rsidR="008E6363" w:rsidRPr="008E6363" w:rsidRDefault="008E6363" w:rsidP="008E6363">
      <w:pPr>
        <w:tabs>
          <w:tab w:val="left" w:pos="851"/>
        </w:tabs>
        <w:ind w:left="851"/>
        <w:rPr>
          <w:sz w:val="24"/>
          <w:szCs w:val="24"/>
        </w:rPr>
      </w:pPr>
    </w:p>
    <w:p w14:paraId="6EC1740E" w14:textId="77777777" w:rsidR="008E6363" w:rsidRPr="008E6363" w:rsidRDefault="008E6363" w:rsidP="008E6363">
      <w:pPr>
        <w:tabs>
          <w:tab w:val="left" w:pos="851"/>
        </w:tabs>
        <w:ind w:left="851"/>
        <w:rPr>
          <w:sz w:val="24"/>
          <w:szCs w:val="24"/>
        </w:rPr>
      </w:pPr>
      <w:r w:rsidRPr="008E6363">
        <w:rPr>
          <w:sz w:val="24"/>
          <w:szCs w:val="24"/>
          <w:u w:val="single"/>
        </w:rPr>
        <w:t>Pædiatrisk population</w:t>
      </w:r>
    </w:p>
    <w:p w14:paraId="0E8E246A" w14:textId="77777777" w:rsidR="008E6363" w:rsidRPr="008E6363" w:rsidRDefault="008E6363" w:rsidP="008E6363">
      <w:pPr>
        <w:tabs>
          <w:tab w:val="left" w:pos="851"/>
        </w:tabs>
        <w:ind w:left="851"/>
        <w:rPr>
          <w:sz w:val="24"/>
          <w:szCs w:val="24"/>
        </w:rPr>
      </w:pPr>
      <w:r w:rsidRPr="008E6363">
        <w:rPr>
          <w:sz w:val="24"/>
          <w:szCs w:val="24"/>
        </w:rPr>
        <w:t>Sacubitrils/valsartans farmakokinetik blev undersøgt hos pædiatriske patienter med hjertesvigt i alderen 1 måned til &lt; 1 år og 1 år til &lt; 18 år, og det indikerede, at sacubitrils/valsartans farmakokinetiske profil er den samme hos pædiatriske og voksne patienter.</w:t>
      </w:r>
    </w:p>
    <w:p w14:paraId="33D5FC64" w14:textId="77777777" w:rsidR="009260DE" w:rsidRPr="00C84483" w:rsidRDefault="009260DE" w:rsidP="009260DE">
      <w:pPr>
        <w:tabs>
          <w:tab w:val="left" w:pos="851"/>
        </w:tabs>
        <w:ind w:left="851"/>
        <w:rPr>
          <w:sz w:val="24"/>
          <w:szCs w:val="24"/>
        </w:rPr>
      </w:pPr>
    </w:p>
    <w:p w14:paraId="33405E6C"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198A3290" w14:textId="77777777" w:rsidR="008E6363" w:rsidRPr="008E6363" w:rsidRDefault="008E6363" w:rsidP="008E6363">
      <w:pPr>
        <w:tabs>
          <w:tab w:val="left" w:pos="851"/>
        </w:tabs>
        <w:ind w:left="851"/>
        <w:rPr>
          <w:sz w:val="24"/>
          <w:szCs w:val="24"/>
        </w:rPr>
      </w:pPr>
      <w:r w:rsidRPr="008E6363">
        <w:rPr>
          <w:sz w:val="24"/>
          <w:szCs w:val="24"/>
        </w:rPr>
        <w:t>Non-kliniske data (herunder studier med komponenterne sacubitril og valsartan og/eller sacubitril/valsartan) viser ingen speciel risiko for mennesker vurderet ud fra konventionelle studier af sikkerhedsfarmakologi, toksicitet efter gentagne doser, genotoksicitet, karcinogent potentiale samt fertilitet.</w:t>
      </w:r>
    </w:p>
    <w:p w14:paraId="65C2741C" w14:textId="77777777" w:rsidR="008E6363" w:rsidRPr="008E6363" w:rsidRDefault="008E6363" w:rsidP="008E6363">
      <w:pPr>
        <w:tabs>
          <w:tab w:val="left" w:pos="851"/>
        </w:tabs>
        <w:ind w:left="851"/>
        <w:rPr>
          <w:sz w:val="24"/>
          <w:szCs w:val="24"/>
        </w:rPr>
      </w:pPr>
    </w:p>
    <w:p w14:paraId="6FED400B" w14:textId="77777777" w:rsidR="008E6363" w:rsidRPr="008E6363" w:rsidRDefault="008E6363" w:rsidP="008E6363">
      <w:pPr>
        <w:tabs>
          <w:tab w:val="left" w:pos="851"/>
        </w:tabs>
        <w:ind w:left="851"/>
        <w:rPr>
          <w:sz w:val="24"/>
          <w:szCs w:val="24"/>
          <w:u w:val="single"/>
        </w:rPr>
      </w:pPr>
      <w:r w:rsidRPr="008E6363">
        <w:rPr>
          <w:sz w:val="24"/>
          <w:szCs w:val="24"/>
          <w:u w:val="single"/>
        </w:rPr>
        <w:t>Fertilitet, reproduktion og udvikling</w:t>
      </w:r>
    </w:p>
    <w:p w14:paraId="7BBED915" w14:textId="77777777" w:rsidR="008E6363" w:rsidRPr="008E6363" w:rsidRDefault="008E6363" w:rsidP="008E6363">
      <w:pPr>
        <w:tabs>
          <w:tab w:val="left" w:pos="851"/>
        </w:tabs>
        <w:ind w:left="851"/>
        <w:rPr>
          <w:sz w:val="24"/>
          <w:szCs w:val="24"/>
        </w:rPr>
      </w:pPr>
      <w:r w:rsidRPr="008E6363">
        <w:rPr>
          <w:sz w:val="24"/>
          <w:szCs w:val="24"/>
        </w:rPr>
        <w:t xml:space="preserve">Behandling med sacubitril/valsartan under organdannelsen resulterede i øget embryoføtal dødelighed hos rotter ved doser ≥ 49 mg sacubitril/51 mg valsartan/kg/dag (≤ 0,72 gange den maksimalt anbefalede dosis til mennesker [MRHD] vurderet ud fra AUC) og kaniner ved doser ≥ 4,9 mg sacubitril/5,1 mg valsartan/kg/dag (henholdsvis 2 gange og 0,03 gange </w:t>
      </w:r>
      <w:r w:rsidRPr="008E6363">
        <w:rPr>
          <w:sz w:val="24"/>
          <w:szCs w:val="24"/>
        </w:rPr>
        <w:lastRenderedPageBreak/>
        <w:t>MHRD vurderet ud fra AUC for valsartan og LBQ657). Med baggrund i en lille forekomst af føtal hydrocephali relateret til maternelle toksiske doser, som sås hos kaniner ved en sacubitril/valsartan-dosis ≥ 4,9 mg sacubitril/5,1 mg valsartan/kg/dag, er sacubitril/valsartan teratogent. Kardiovaskulære abnormaliteter (hovedsageligt kardiomegali) blev observeret hos kaninfostre ved en non</w:t>
      </w:r>
      <w:r w:rsidRPr="008E6363">
        <w:rPr>
          <w:sz w:val="24"/>
          <w:szCs w:val="24"/>
        </w:rPr>
        <w:noBreakHyphen/>
        <w:t>toksisk dosis for moderen (1,46 mg sacubitril/1,54 mg valsartan/kg/dag). En let øgning i to føtale, skeletale variationer (misdannet sternebra, tvedelt knogledannelse af sternebra) blev observeret hos kaniner ved en dosis af sacubitril/valsartan på 4,9 mg sacubitril/5,1 mg valsartan/kg/dag. De negative embryoføtale virkninger af sacubitril/valsartan er relateret til angiotensinreceptor-antagonistvirkningen (se pkt. 4.6).</w:t>
      </w:r>
    </w:p>
    <w:p w14:paraId="639AFAD4" w14:textId="77777777" w:rsidR="008E6363" w:rsidRPr="008E6363" w:rsidRDefault="008E6363" w:rsidP="008E6363">
      <w:pPr>
        <w:tabs>
          <w:tab w:val="left" w:pos="851"/>
        </w:tabs>
        <w:ind w:left="851"/>
        <w:rPr>
          <w:sz w:val="24"/>
          <w:szCs w:val="24"/>
        </w:rPr>
      </w:pPr>
    </w:p>
    <w:p w14:paraId="4B958F20" w14:textId="77777777" w:rsidR="008E6363" w:rsidRPr="008E6363" w:rsidRDefault="008E6363" w:rsidP="008E6363">
      <w:pPr>
        <w:tabs>
          <w:tab w:val="left" w:pos="851"/>
        </w:tabs>
        <w:ind w:left="851"/>
        <w:rPr>
          <w:sz w:val="24"/>
          <w:szCs w:val="24"/>
        </w:rPr>
      </w:pPr>
      <w:r w:rsidRPr="008E6363">
        <w:rPr>
          <w:sz w:val="24"/>
          <w:szCs w:val="24"/>
        </w:rPr>
        <w:t xml:space="preserve">Behandling af kaniner med sacubitril i doser relateret til maternel toksicitet (500 mg/kg/dag; 5,7 gange MRHD baseret på LBQ657 AUC) under organdannelse resulterede i embryoføtal dødelighed og embryoføtal toksicitet (nedsat føtal legemsvægt og deform knogledannelse) hos kaniner. En let generel forsinkelse i knogledannelse blev observeret ved doser på &gt; 50 mg/kg/dag. Dette fund er ikke vurderet som værende kritisk. Der er ikke set tegn på embryoføtal toksicitet eller teratogenicitet hos rotter behandlet med sacubitril. Den embryoføtale </w:t>
      </w:r>
      <w:r w:rsidRPr="008E6363">
        <w:rPr>
          <w:i/>
          <w:iCs/>
          <w:sz w:val="24"/>
          <w:szCs w:val="24"/>
        </w:rPr>
        <w:t>no observed adverse effect level</w:t>
      </w:r>
      <w:r w:rsidRPr="008E6363">
        <w:rPr>
          <w:sz w:val="24"/>
          <w:szCs w:val="24"/>
        </w:rPr>
        <w:t xml:space="preserve"> (NOAEL) for sacubitril var mindst 750 mg/kg/dag hos rotter og 200 mg/kg/dag hos kaniner (2,2 gange MRHD baseret på LBQ657 AUC).</w:t>
      </w:r>
    </w:p>
    <w:p w14:paraId="43A09EFC" w14:textId="77777777" w:rsidR="008E6363" w:rsidRPr="008E6363" w:rsidRDefault="008E6363" w:rsidP="008E6363">
      <w:pPr>
        <w:tabs>
          <w:tab w:val="left" w:pos="851"/>
        </w:tabs>
        <w:ind w:left="851"/>
        <w:rPr>
          <w:sz w:val="24"/>
          <w:szCs w:val="24"/>
        </w:rPr>
      </w:pPr>
    </w:p>
    <w:p w14:paraId="03FFF3A8" w14:textId="77777777" w:rsidR="008E6363" w:rsidRPr="008E6363" w:rsidRDefault="008E6363" w:rsidP="008E6363">
      <w:pPr>
        <w:tabs>
          <w:tab w:val="left" w:pos="851"/>
        </w:tabs>
        <w:ind w:left="851"/>
        <w:rPr>
          <w:sz w:val="24"/>
          <w:szCs w:val="24"/>
        </w:rPr>
      </w:pPr>
      <w:r w:rsidRPr="008E6363">
        <w:rPr>
          <w:sz w:val="24"/>
          <w:szCs w:val="24"/>
        </w:rPr>
        <w:t>Præ</w:t>
      </w:r>
      <w:r w:rsidRPr="008E6363">
        <w:rPr>
          <w:sz w:val="24"/>
          <w:szCs w:val="24"/>
        </w:rPr>
        <w:noBreakHyphen/>
        <w:t xml:space="preserve"> og postnatale udviklingsstudier hos rotter udført med sacubitril i høje doser, op til 750 mg/kg/dag (2,2 gange MRHD vurderet ud fra AUC) og valsartan i doser op til 600 mg/kg/dag (0,86 gange MRHD vurderet ud fra AUC), tyder på, at behandling med sacubitril/valsartan under organdannelse, gestation og laktation kan påvirke ungernes udvikling og overlevelse.</w:t>
      </w:r>
    </w:p>
    <w:p w14:paraId="0D3319CC" w14:textId="77777777" w:rsidR="008E6363" w:rsidRPr="008E6363" w:rsidRDefault="008E6363" w:rsidP="008E6363">
      <w:pPr>
        <w:tabs>
          <w:tab w:val="left" w:pos="851"/>
        </w:tabs>
        <w:ind w:left="851"/>
        <w:rPr>
          <w:sz w:val="24"/>
          <w:szCs w:val="24"/>
        </w:rPr>
      </w:pPr>
    </w:p>
    <w:p w14:paraId="7C716F90" w14:textId="77777777" w:rsidR="008E6363" w:rsidRPr="008E6363" w:rsidRDefault="008E6363" w:rsidP="008E6363">
      <w:pPr>
        <w:tabs>
          <w:tab w:val="left" w:pos="851"/>
        </w:tabs>
        <w:ind w:left="851"/>
        <w:rPr>
          <w:sz w:val="24"/>
          <w:szCs w:val="24"/>
          <w:u w:val="single"/>
        </w:rPr>
      </w:pPr>
      <w:r w:rsidRPr="008E6363">
        <w:rPr>
          <w:sz w:val="24"/>
          <w:szCs w:val="24"/>
          <w:u w:val="single"/>
        </w:rPr>
        <w:t>Andre non</w:t>
      </w:r>
      <w:r w:rsidRPr="008E6363">
        <w:rPr>
          <w:sz w:val="24"/>
          <w:szCs w:val="24"/>
          <w:u w:val="single"/>
        </w:rPr>
        <w:noBreakHyphen/>
        <w:t>kliniske fund</w:t>
      </w:r>
    </w:p>
    <w:p w14:paraId="26D1D9F4" w14:textId="77777777" w:rsidR="008E6363" w:rsidRPr="008E6363" w:rsidRDefault="008E6363" w:rsidP="008E6363">
      <w:pPr>
        <w:tabs>
          <w:tab w:val="left" w:pos="851"/>
        </w:tabs>
        <w:ind w:left="851"/>
        <w:rPr>
          <w:sz w:val="24"/>
          <w:szCs w:val="24"/>
        </w:rPr>
      </w:pPr>
    </w:p>
    <w:p w14:paraId="5BA33C2E" w14:textId="77777777" w:rsidR="008E6363" w:rsidRPr="008E6363" w:rsidRDefault="008E6363" w:rsidP="008E6363">
      <w:pPr>
        <w:tabs>
          <w:tab w:val="left" w:pos="851"/>
        </w:tabs>
        <w:ind w:left="851"/>
        <w:rPr>
          <w:i/>
          <w:iCs/>
          <w:sz w:val="24"/>
          <w:szCs w:val="24"/>
        </w:rPr>
      </w:pPr>
      <w:r w:rsidRPr="008E6363">
        <w:rPr>
          <w:i/>
          <w:iCs/>
          <w:sz w:val="24"/>
          <w:szCs w:val="24"/>
        </w:rPr>
        <w:t>Sacubitril/valsartan</w:t>
      </w:r>
    </w:p>
    <w:p w14:paraId="2048A90C" w14:textId="77777777" w:rsidR="008E6363" w:rsidRPr="008E6363" w:rsidRDefault="008E6363" w:rsidP="008E6363">
      <w:pPr>
        <w:tabs>
          <w:tab w:val="left" w:pos="851"/>
        </w:tabs>
        <w:ind w:left="851"/>
        <w:rPr>
          <w:sz w:val="24"/>
          <w:szCs w:val="24"/>
        </w:rPr>
      </w:pPr>
      <w:r w:rsidRPr="008E6363">
        <w:rPr>
          <w:sz w:val="24"/>
          <w:szCs w:val="24"/>
        </w:rPr>
        <w:t>Sacubitrils/valsartans virkning på koncentrationen af amyloid</w:t>
      </w:r>
      <w:r w:rsidRPr="008E6363">
        <w:rPr>
          <w:sz w:val="24"/>
          <w:szCs w:val="24"/>
        </w:rPr>
        <w:noBreakHyphen/>
        <w:t>β i CSF og hjernevæv blev undersøgt hos unge (2</w:t>
      </w:r>
      <w:r w:rsidRPr="008E6363">
        <w:rPr>
          <w:sz w:val="24"/>
          <w:szCs w:val="24"/>
        </w:rPr>
        <w:noBreakHyphen/>
        <w:t>4 år gamle) cynomolgus-aber behandlet med sacubitril/valsartan (24 mg sacubitril/26 mg valsartan/kg/dag) i to uger. I dette studie var CSF Aβ-clearance hos cynomolgus-aber reduceret, idet CSF Aβ1</w:t>
      </w:r>
      <w:r w:rsidRPr="008E6363">
        <w:rPr>
          <w:sz w:val="24"/>
          <w:szCs w:val="24"/>
        </w:rPr>
        <w:noBreakHyphen/>
        <w:t>40, 1</w:t>
      </w:r>
      <w:r w:rsidRPr="008E6363">
        <w:rPr>
          <w:sz w:val="24"/>
          <w:szCs w:val="24"/>
        </w:rPr>
        <w:noBreakHyphen/>
        <w:t>42 og 1</w:t>
      </w:r>
      <w:r w:rsidRPr="008E6363">
        <w:rPr>
          <w:sz w:val="24"/>
          <w:szCs w:val="24"/>
        </w:rPr>
        <w:noBreakHyphen/>
        <w:t>38 niveauer øgedes. Der var ingen tilsvarende øgning i Aβ</w:t>
      </w:r>
      <w:r w:rsidRPr="008E6363">
        <w:rPr>
          <w:sz w:val="24"/>
          <w:szCs w:val="24"/>
        </w:rPr>
        <w:noBreakHyphen/>
        <w:t>niveau i hjernen. Der sås ingen øgning i CSF Aβ1</w:t>
      </w:r>
      <w:r w:rsidRPr="008E6363">
        <w:rPr>
          <w:sz w:val="24"/>
          <w:szCs w:val="24"/>
        </w:rPr>
        <w:noBreakHyphen/>
        <w:t>40 og 1</w:t>
      </w:r>
      <w:r w:rsidRPr="008E6363">
        <w:rPr>
          <w:sz w:val="24"/>
          <w:szCs w:val="24"/>
        </w:rPr>
        <w:noBreakHyphen/>
        <w:t>42 i et 2</w:t>
      </w:r>
      <w:r w:rsidRPr="008E6363">
        <w:rPr>
          <w:sz w:val="24"/>
          <w:szCs w:val="24"/>
        </w:rPr>
        <w:noBreakHyphen/>
        <w:t>ugers studie hos raske forsøgspersoner (se pkt. 5.1). Ydermere var der ingen tegn på forekomst af amyloid plaques i hjernen hos cynomolgus-aber, der blev behandlet med sacubitril/valsartan 146 mg sacubitril/154 mg valsartan/kg/dag i 39 uger i et toksikologisk studie. Dog blev indholdet af amyloid ikke målt kvantitativt i dette studie.</w:t>
      </w:r>
    </w:p>
    <w:p w14:paraId="1E8A0043" w14:textId="77777777" w:rsidR="008E6363" w:rsidRPr="008E6363" w:rsidRDefault="008E6363" w:rsidP="008E6363">
      <w:pPr>
        <w:tabs>
          <w:tab w:val="left" w:pos="851"/>
        </w:tabs>
        <w:ind w:left="851"/>
        <w:rPr>
          <w:sz w:val="24"/>
          <w:szCs w:val="24"/>
        </w:rPr>
      </w:pPr>
    </w:p>
    <w:p w14:paraId="2F38C815" w14:textId="77777777" w:rsidR="008E6363" w:rsidRPr="008E6363" w:rsidRDefault="008E6363" w:rsidP="008E6363">
      <w:pPr>
        <w:tabs>
          <w:tab w:val="left" w:pos="851"/>
        </w:tabs>
        <w:ind w:left="851"/>
        <w:rPr>
          <w:i/>
          <w:iCs/>
          <w:sz w:val="24"/>
          <w:szCs w:val="24"/>
        </w:rPr>
      </w:pPr>
      <w:r w:rsidRPr="008E6363">
        <w:rPr>
          <w:i/>
          <w:iCs/>
          <w:sz w:val="24"/>
          <w:szCs w:val="24"/>
        </w:rPr>
        <w:t>Sacubitril</w:t>
      </w:r>
    </w:p>
    <w:p w14:paraId="30609AE2" w14:textId="77777777" w:rsidR="008E6363" w:rsidRPr="008E6363" w:rsidRDefault="008E6363" w:rsidP="008E6363">
      <w:pPr>
        <w:tabs>
          <w:tab w:val="left" w:pos="851"/>
        </w:tabs>
        <w:ind w:left="851"/>
        <w:rPr>
          <w:sz w:val="24"/>
          <w:szCs w:val="24"/>
        </w:rPr>
      </w:pPr>
      <w:r w:rsidRPr="008E6363">
        <w:rPr>
          <w:sz w:val="24"/>
          <w:szCs w:val="24"/>
        </w:rPr>
        <w:t>Hos unge rotter behandlet med sacubitril (dag 7 til 70 postnatalt), var der en nedsættelse i aldersrelateret udvikling af knoglemasse og knoglelængdevækst ved ca. 2 gange AUC</w:t>
      </w:r>
      <w:r w:rsidRPr="008E6363">
        <w:rPr>
          <w:sz w:val="24"/>
          <w:szCs w:val="24"/>
        </w:rPr>
        <w:noBreakHyphen/>
        <w:t xml:space="preserve">eksponeringen for sacubitrils aktive metabolit, LBQ657, baseret på den pædiatriske kliniske dosis af sacubitril/valsartan på 3,1 mg/kg to gange dagligt. Mekanismen bag disse fund hos unge rotter, og dermed relevansen for den menneskelige pædiatriske population, er ukendt. Et studie hos voksne rotter viste kun minimal forbigående hæmmende virkning på knoglemineraltæthed men ikke på nogen anden relevant parameter for knoglevækst, hvilket antyder at sacubitril ikke har nogen relevant virkning på knoglerne i den voksne patientpopulation under normale omstændigheder. Det kan dog ikke udelukkes, at sacubitril har en let forbigående påvirkning i den tidlige helingsfase af frakturer hos </w:t>
      </w:r>
      <w:r w:rsidRPr="008E6363">
        <w:rPr>
          <w:sz w:val="24"/>
          <w:szCs w:val="24"/>
        </w:rPr>
        <w:lastRenderedPageBreak/>
        <w:t>voksne. Kliniske data fra pædiatriske patienter (PANORAMA</w:t>
      </w:r>
      <w:r w:rsidRPr="008E6363">
        <w:rPr>
          <w:sz w:val="24"/>
          <w:szCs w:val="24"/>
        </w:rPr>
        <w:noBreakHyphen/>
        <w:t>HF-studiet) kunne ikke dokumentere, at sacubitril/valsartan påvirker legemsvægt, højde, hovedomkreds og frakturrate. Knogledensitet blev ikke målt i studiet. Langtidsdata fra pædiatriske patienter (PANORAMA</w:t>
      </w:r>
      <w:r w:rsidRPr="008E6363">
        <w:rPr>
          <w:sz w:val="24"/>
          <w:szCs w:val="24"/>
        </w:rPr>
        <w:noBreakHyphen/>
        <w:t>HF OLE) viste ingen tegn på bivirkninger af sacubitril/valsartan på (knogle)vækst eller frakturrater.</w:t>
      </w:r>
    </w:p>
    <w:p w14:paraId="05228DFF" w14:textId="77777777" w:rsidR="008E6363" w:rsidRPr="008E6363" w:rsidRDefault="008E6363" w:rsidP="008E6363">
      <w:pPr>
        <w:tabs>
          <w:tab w:val="left" w:pos="851"/>
        </w:tabs>
        <w:ind w:left="851"/>
        <w:rPr>
          <w:sz w:val="24"/>
          <w:szCs w:val="24"/>
        </w:rPr>
      </w:pPr>
    </w:p>
    <w:p w14:paraId="19AE2477" w14:textId="77777777" w:rsidR="008E6363" w:rsidRPr="008E6363" w:rsidRDefault="008E6363" w:rsidP="008E6363">
      <w:pPr>
        <w:tabs>
          <w:tab w:val="left" w:pos="851"/>
        </w:tabs>
        <w:ind w:left="851"/>
        <w:rPr>
          <w:i/>
          <w:iCs/>
          <w:sz w:val="24"/>
          <w:szCs w:val="24"/>
        </w:rPr>
      </w:pPr>
      <w:r w:rsidRPr="008E6363">
        <w:rPr>
          <w:i/>
          <w:iCs/>
          <w:sz w:val="24"/>
          <w:szCs w:val="24"/>
        </w:rPr>
        <w:t>Valsartan</w:t>
      </w:r>
    </w:p>
    <w:p w14:paraId="48B99EE1" w14:textId="77777777" w:rsidR="008E6363" w:rsidRPr="008E6363" w:rsidRDefault="008E6363" w:rsidP="008E6363">
      <w:pPr>
        <w:tabs>
          <w:tab w:val="left" w:pos="851"/>
        </w:tabs>
        <w:ind w:left="851"/>
        <w:rPr>
          <w:sz w:val="24"/>
          <w:szCs w:val="24"/>
        </w:rPr>
      </w:pPr>
      <w:r w:rsidRPr="008E6363">
        <w:rPr>
          <w:sz w:val="24"/>
          <w:szCs w:val="24"/>
        </w:rPr>
        <w:t>Hos unge rotter behandlet med valsartan (dag 7 til 70 postnatalt) i doser så lave som 1 mg/kg/dag gav irreversible nyreforandringer bestående af tubulær nefropati (sommetider ledsaget af tubulær epitelnekrose) og udvidelse af nyrebækkenet. Disse nyreforandringer kan skyldes en forventet øget farmakologisk virkning af angiotensin-konverterende enzymhæmmere og angiotensin II type</w:t>
      </w:r>
      <w:r w:rsidRPr="008E6363">
        <w:rPr>
          <w:sz w:val="24"/>
          <w:szCs w:val="24"/>
        </w:rPr>
        <w:noBreakHyphen/>
        <w:t>1 blokkere; sådanne virkninger er set, hvis rotter behandles under de første 13 levedøgn. Denne periode svarer til 36 ugers graviditet hos mennesker, hvilket lejlighedsvis kan øges op til 44 uger efter befrugtning hos mennesker. Funktionel nyremodning er en løbende proces i det første leveår hos mennesker. Derfor kan en klinisk relevans hos pædiatriske patienter på under 1 år ikke udelukkes, men non</w:t>
      </w:r>
      <w:r w:rsidRPr="008E6363">
        <w:rPr>
          <w:sz w:val="24"/>
          <w:szCs w:val="24"/>
        </w:rPr>
        <w:noBreakHyphen/>
        <w:t>kliniske data indikerer ikke en sikkerhedsbekymring for pædiatriske patienter over 1 år.</w:t>
      </w:r>
    </w:p>
    <w:p w14:paraId="272FB11B" w14:textId="77777777" w:rsidR="009260DE" w:rsidRPr="00C84483" w:rsidRDefault="009260DE" w:rsidP="009260DE">
      <w:pPr>
        <w:tabs>
          <w:tab w:val="left" w:pos="851"/>
        </w:tabs>
        <w:ind w:left="851"/>
        <w:rPr>
          <w:sz w:val="24"/>
          <w:szCs w:val="24"/>
        </w:rPr>
      </w:pPr>
    </w:p>
    <w:p w14:paraId="6BAA144D" w14:textId="77777777" w:rsidR="009260DE" w:rsidRPr="00C84483" w:rsidRDefault="009260DE" w:rsidP="009260DE">
      <w:pPr>
        <w:tabs>
          <w:tab w:val="left" w:pos="851"/>
        </w:tabs>
        <w:ind w:left="851"/>
        <w:rPr>
          <w:sz w:val="24"/>
          <w:szCs w:val="24"/>
        </w:rPr>
      </w:pPr>
    </w:p>
    <w:p w14:paraId="76D9B05A"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184F5992" w14:textId="77777777" w:rsidR="009260DE" w:rsidRPr="00BA09F1" w:rsidRDefault="009260DE" w:rsidP="009260DE">
      <w:pPr>
        <w:tabs>
          <w:tab w:val="left" w:pos="851"/>
        </w:tabs>
        <w:ind w:left="851"/>
        <w:rPr>
          <w:sz w:val="24"/>
          <w:szCs w:val="24"/>
        </w:rPr>
      </w:pPr>
    </w:p>
    <w:p w14:paraId="372BE6AB"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34A5C467" w14:textId="77777777" w:rsidR="00A54F5C" w:rsidRPr="00A54F5C" w:rsidRDefault="00A54F5C" w:rsidP="00A54F5C">
      <w:pPr>
        <w:tabs>
          <w:tab w:val="left" w:pos="851"/>
        </w:tabs>
        <w:ind w:left="851"/>
        <w:rPr>
          <w:sz w:val="24"/>
          <w:szCs w:val="24"/>
        </w:rPr>
      </w:pPr>
    </w:p>
    <w:p w14:paraId="566C7B02" w14:textId="77777777" w:rsidR="00A54F5C" w:rsidRPr="00B3350E" w:rsidRDefault="00A54F5C" w:rsidP="00A54F5C">
      <w:pPr>
        <w:tabs>
          <w:tab w:val="left" w:pos="851"/>
        </w:tabs>
        <w:ind w:left="851"/>
        <w:rPr>
          <w:sz w:val="24"/>
          <w:szCs w:val="24"/>
          <w:u w:val="single"/>
        </w:rPr>
      </w:pPr>
      <w:r w:rsidRPr="00B3350E">
        <w:rPr>
          <w:sz w:val="24"/>
          <w:szCs w:val="24"/>
          <w:u w:val="single"/>
        </w:rPr>
        <w:t>Tabletkerne</w:t>
      </w:r>
    </w:p>
    <w:p w14:paraId="1AB7E288" w14:textId="77777777" w:rsidR="00A54F5C" w:rsidRPr="00B3350E" w:rsidRDefault="00A54F5C" w:rsidP="00A54F5C">
      <w:pPr>
        <w:tabs>
          <w:tab w:val="left" w:pos="851"/>
        </w:tabs>
        <w:ind w:left="851"/>
        <w:rPr>
          <w:sz w:val="24"/>
          <w:szCs w:val="24"/>
        </w:rPr>
      </w:pPr>
      <w:r w:rsidRPr="00B3350E">
        <w:rPr>
          <w:sz w:val="24"/>
          <w:szCs w:val="24"/>
        </w:rPr>
        <w:t>Povidon</w:t>
      </w:r>
    </w:p>
    <w:p w14:paraId="1B7A36FA" w14:textId="77777777" w:rsidR="00A54F5C" w:rsidRPr="00B3350E" w:rsidRDefault="00A54F5C" w:rsidP="00A54F5C">
      <w:pPr>
        <w:tabs>
          <w:tab w:val="left" w:pos="851"/>
        </w:tabs>
        <w:ind w:left="851"/>
        <w:rPr>
          <w:sz w:val="24"/>
          <w:szCs w:val="24"/>
        </w:rPr>
      </w:pPr>
      <w:r w:rsidRPr="00B3350E">
        <w:rPr>
          <w:sz w:val="24"/>
          <w:szCs w:val="24"/>
        </w:rPr>
        <w:t>Cellulose, mikrokrystallinsk</w:t>
      </w:r>
    </w:p>
    <w:p w14:paraId="3A9BD7CF" w14:textId="77777777" w:rsidR="00A54F5C" w:rsidRPr="00A54F5C" w:rsidRDefault="00A54F5C" w:rsidP="00A54F5C">
      <w:pPr>
        <w:tabs>
          <w:tab w:val="left" w:pos="851"/>
        </w:tabs>
        <w:ind w:left="851"/>
        <w:rPr>
          <w:sz w:val="24"/>
          <w:szCs w:val="24"/>
          <w:lang w:val="en-US"/>
        </w:rPr>
      </w:pPr>
      <w:r w:rsidRPr="00A54F5C">
        <w:rPr>
          <w:sz w:val="24"/>
          <w:szCs w:val="24"/>
          <w:lang w:val="en-US"/>
        </w:rPr>
        <w:t>Talcum</w:t>
      </w:r>
    </w:p>
    <w:p w14:paraId="07B2E284" w14:textId="77777777" w:rsidR="00A54F5C" w:rsidRPr="00A54F5C" w:rsidRDefault="00A54F5C" w:rsidP="00A54F5C">
      <w:pPr>
        <w:tabs>
          <w:tab w:val="left" w:pos="851"/>
        </w:tabs>
        <w:ind w:left="851"/>
        <w:rPr>
          <w:sz w:val="24"/>
          <w:szCs w:val="24"/>
          <w:lang w:val="en-US"/>
        </w:rPr>
      </w:pPr>
      <w:r w:rsidRPr="00A54F5C">
        <w:rPr>
          <w:sz w:val="24"/>
          <w:szCs w:val="24"/>
          <w:lang w:val="en-US"/>
        </w:rPr>
        <w:t>Crospovidon</w:t>
      </w:r>
    </w:p>
    <w:p w14:paraId="74A88BE9" w14:textId="77777777" w:rsidR="00A54F5C" w:rsidRPr="00B3350E" w:rsidRDefault="00A54F5C" w:rsidP="00A54F5C">
      <w:pPr>
        <w:tabs>
          <w:tab w:val="left" w:pos="851"/>
        </w:tabs>
        <w:ind w:left="851"/>
        <w:rPr>
          <w:sz w:val="24"/>
          <w:szCs w:val="24"/>
          <w:lang w:val="en-US"/>
        </w:rPr>
      </w:pPr>
      <w:r w:rsidRPr="00B3350E">
        <w:rPr>
          <w:sz w:val="24"/>
          <w:szCs w:val="24"/>
          <w:lang w:val="en-US"/>
        </w:rPr>
        <w:t>Silica, kolloid vandfri</w:t>
      </w:r>
    </w:p>
    <w:p w14:paraId="010C5F10" w14:textId="77777777" w:rsidR="00A54F5C" w:rsidRPr="00B3350E" w:rsidRDefault="00A54F5C" w:rsidP="00A54F5C">
      <w:pPr>
        <w:tabs>
          <w:tab w:val="left" w:pos="851"/>
        </w:tabs>
        <w:ind w:left="851"/>
        <w:rPr>
          <w:sz w:val="24"/>
          <w:szCs w:val="24"/>
          <w:lang w:val="en-US"/>
        </w:rPr>
      </w:pPr>
      <w:r w:rsidRPr="00B3350E">
        <w:rPr>
          <w:sz w:val="24"/>
          <w:szCs w:val="24"/>
          <w:lang w:val="en-US"/>
        </w:rPr>
        <w:t>Magnesiumstearat</w:t>
      </w:r>
    </w:p>
    <w:p w14:paraId="52A78E33" w14:textId="77777777" w:rsidR="00A54F5C" w:rsidRPr="00B3350E" w:rsidRDefault="00A54F5C" w:rsidP="00A54F5C">
      <w:pPr>
        <w:tabs>
          <w:tab w:val="left" w:pos="851"/>
        </w:tabs>
        <w:ind w:left="851"/>
        <w:rPr>
          <w:sz w:val="24"/>
          <w:szCs w:val="24"/>
          <w:lang w:val="en-US"/>
        </w:rPr>
      </w:pPr>
    </w:p>
    <w:p w14:paraId="01072CE0" w14:textId="77777777" w:rsidR="00A54F5C" w:rsidRPr="00A54F5C" w:rsidRDefault="00A54F5C" w:rsidP="00A54F5C">
      <w:pPr>
        <w:tabs>
          <w:tab w:val="left" w:pos="851"/>
        </w:tabs>
        <w:ind w:left="851"/>
        <w:rPr>
          <w:sz w:val="24"/>
          <w:szCs w:val="24"/>
          <w:u w:val="single"/>
        </w:rPr>
      </w:pPr>
      <w:r w:rsidRPr="00A54F5C">
        <w:rPr>
          <w:sz w:val="24"/>
          <w:szCs w:val="24"/>
          <w:u w:val="single"/>
        </w:rPr>
        <w:t>Filmovertræk</w:t>
      </w:r>
    </w:p>
    <w:p w14:paraId="2517C77B" w14:textId="77777777" w:rsidR="00813C8B" w:rsidRDefault="00813C8B" w:rsidP="00A54F5C">
      <w:pPr>
        <w:tabs>
          <w:tab w:val="left" w:pos="851"/>
        </w:tabs>
        <w:ind w:left="851"/>
        <w:rPr>
          <w:sz w:val="24"/>
          <w:szCs w:val="24"/>
        </w:rPr>
      </w:pPr>
    </w:p>
    <w:p w14:paraId="0B512D00" w14:textId="585DE49A" w:rsidR="00A54F5C" w:rsidRPr="00813C8B" w:rsidRDefault="00A54F5C" w:rsidP="00A54F5C">
      <w:pPr>
        <w:tabs>
          <w:tab w:val="left" w:pos="851"/>
        </w:tabs>
        <w:ind w:left="851"/>
        <w:rPr>
          <w:i/>
          <w:sz w:val="24"/>
          <w:szCs w:val="24"/>
        </w:rPr>
      </w:pPr>
      <w:r w:rsidRPr="00813C8B">
        <w:rPr>
          <w:i/>
          <w:sz w:val="24"/>
          <w:szCs w:val="24"/>
        </w:rPr>
        <w:t>Overtræksblanding:</w:t>
      </w:r>
    </w:p>
    <w:p w14:paraId="4437FF24" w14:textId="77777777" w:rsidR="00A54F5C" w:rsidRPr="00A54F5C" w:rsidRDefault="00A54F5C" w:rsidP="00813C8B">
      <w:pPr>
        <w:ind w:left="1134"/>
        <w:rPr>
          <w:sz w:val="24"/>
          <w:szCs w:val="24"/>
        </w:rPr>
      </w:pPr>
      <w:r w:rsidRPr="00A54F5C">
        <w:rPr>
          <w:sz w:val="24"/>
          <w:szCs w:val="24"/>
        </w:rPr>
        <w:t>polyvinylalkohol</w:t>
      </w:r>
    </w:p>
    <w:p w14:paraId="3343D884" w14:textId="77777777" w:rsidR="00A54F5C" w:rsidRPr="00A54F5C" w:rsidRDefault="00A54F5C" w:rsidP="00813C8B">
      <w:pPr>
        <w:ind w:left="1134"/>
        <w:rPr>
          <w:sz w:val="24"/>
          <w:szCs w:val="24"/>
        </w:rPr>
      </w:pPr>
      <w:r w:rsidRPr="00A54F5C">
        <w:rPr>
          <w:sz w:val="24"/>
          <w:szCs w:val="24"/>
        </w:rPr>
        <w:t>calciumcarbonat</w:t>
      </w:r>
    </w:p>
    <w:p w14:paraId="4CD6063C" w14:textId="77777777" w:rsidR="00A54F5C" w:rsidRPr="00A54F5C" w:rsidRDefault="00A54F5C" w:rsidP="00813C8B">
      <w:pPr>
        <w:ind w:left="1134"/>
        <w:rPr>
          <w:sz w:val="24"/>
          <w:szCs w:val="24"/>
        </w:rPr>
      </w:pPr>
      <w:r w:rsidRPr="00A54F5C">
        <w:rPr>
          <w:sz w:val="24"/>
          <w:szCs w:val="24"/>
        </w:rPr>
        <w:t>macrogol</w:t>
      </w:r>
    </w:p>
    <w:p w14:paraId="49BA142C" w14:textId="77777777" w:rsidR="00A54F5C" w:rsidRPr="00A54F5C" w:rsidRDefault="00A54F5C" w:rsidP="00813C8B">
      <w:pPr>
        <w:ind w:left="1134"/>
        <w:rPr>
          <w:sz w:val="24"/>
          <w:szCs w:val="24"/>
        </w:rPr>
      </w:pPr>
      <w:r w:rsidRPr="00A54F5C">
        <w:rPr>
          <w:sz w:val="24"/>
          <w:szCs w:val="24"/>
        </w:rPr>
        <w:t>talcum</w:t>
      </w:r>
    </w:p>
    <w:p w14:paraId="02A4B6CD" w14:textId="77777777" w:rsidR="00A54F5C" w:rsidRPr="00A54F5C" w:rsidRDefault="00A54F5C" w:rsidP="00A54F5C">
      <w:pPr>
        <w:tabs>
          <w:tab w:val="left" w:pos="851"/>
        </w:tabs>
        <w:ind w:left="851"/>
        <w:rPr>
          <w:sz w:val="24"/>
          <w:szCs w:val="24"/>
        </w:rPr>
      </w:pPr>
      <w:r w:rsidRPr="00A54F5C">
        <w:rPr>
          <w:sz w:val="24"/>
          <w:szCs w:val="24"/>
        </w:rPr>
        <w:t xml:space="preserve">Jernoxid, rød (E172) </w:t>
      </w:r>
      <w:r w:rsidRPr="00A54F5C">
        <w:rPr>
          <w:i/>
          <w:iCs/>
          <w:sz w:val="24"/>
          <w:szCs w:val="24"/>
        </w:rPr>
        <w:t>[kun for 24 mg/26 mg og 97 mg/103 mg]</w:t>
      </w:r>
    </w:p>
    <w:p w14:paraId="04058FA6" w14:textId="77777777" w:rsidR="00A54F5C" w:rsidRPr="00A54F5C" w:rsidRDefault="00A54F5C" w:rsidP="00A54F5C">
      <w:pPr>
        <w:tabs>
          <w:tab w:val="left" w:pos="851"/>
        </w:tabs>
        <w:ind w:left="851"/>
        <w:rPr>
          <w:sz w:val="24"/>
          <w:szCs w:val="24"/>
        </w:rPr>
      </w:pPr>
      <w:r w:rsidRPr="00A54F5C">
        <w:rPr>
          <w:sz w:val="24"/>
          <w:szCs w:val="24"/>
        </w:rPr>
        <w:t xml:space="preserve">Jernoxid, sort (E172) </w:t>
      </w:r>
      <w:r w:rsidRPr="00A54F5C">
        <w:rPr>
          <w:i/>
          <w:iCs/>
          <w:sz w:val="24"/>
          <w:szCs w:val="24"/>
        </w:rPr>
        <w:t>[kun for 24 mg/26 mg]</w:t>
      </w:r>
    </w:p>
    <w:p w14:paraId="6464771F" w14:textId="77777777" w:rsidR="00A54F5C" w:rsidRPr="00A54F5C" w:rsidRDefault="00A54F5C" w:rsidP="00A54F5C">
      <w:pPr>
        <w:tabs>
          <w:tab w:val="left" w:pos="851"/>
        </w:tabs>
        <w:ind w:left="851"/>
        <w:rPr>
          <w:sz w:val="24"/>
          <w:szCs w:val="24"/>
        </w:rPr>
      </w:pPr>
      <w:r w:rsidRPr="00A54F5C">
        <w:rPr>
          <w:sz w:val="24"/>
          <w:szCs w:val="24"/>
        </w:rPr>
        <w:t xml:space="preserve">Jernoxid, gul (E172) </w:t>
      </w:r>
      <w:r w:rsidRPr="00A54F5C">
        <w:rPr>
          <w:i/>
          <w:iCs/>
          <w:sz w:val="24"/>
          <w:szCs w:val="24"/>
        </w:rPr>
        <w:t>[kun for 49 mg/51 mg]</w:t>
      </w:r>
    </w:p>
    <w:p w14:paraId="01BDA1AC" w14:textId="77777777" w:rsidR="009260DE" w:rsidRPr="00C84483" w:rsidRDefault="009260DE" w:rsidP="009260DE">
      <w:pPr>
        <w:tabs>
          <w:tab w:val="left" w:pos="851"/>
        </w:tabs>
        <w:ind w:left="851"/>
        <w:rPr>
          <w:sz w:val="24"/>
          <w:szCs w:val="24"/>
        </w:rPr>
      </w:pPr>
    </w:p>
    <w:p w14:paraId="62F00379"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2CC21772" w14:textId="3CF14409" w:rsidR="009260DE" w:rsidRPr="00C84483" w:rsidRDefault="00813C8B" w:rsidP="009260DE">
      <w:pPr>
        <w:tabs>
          <w:tab w:val="left" w:pos="851"/>
        </w:tabs>
        <w:ind w:left="851"/>
        <w:rPr>
          <w:sz w:val="24"/>
          <w:szCs w:val="24"/>
        </w:rPr>
      </w:pPr>
      <w:r>
        <w:rPr>
          <w:sz w:val="24"/>
          <w:szCs w:val="24"/>
        </w:rPr>
        <w:t>Ikke relevant.</w:t>
      </w:r>
    </w:p>
    <w:p w14:paraId="2D0A3CC4" w14:textId="77777777" w:rsidR="009260DE" w:rsidRPr="00C84483" w:rsidRDefault="009260DE" w:rsidP="009260DE">
      <w:pPr>
        <w:tabs>
          <w:tab w:val="left" w:pos="851"/>
        </w:tabs>
        <w:ind w:left="851"/>
        <w:rPr>
          <w:sz w:val="24"/>
          <w:szCs w:val="24"/>
        </w:rPr>
      </w:pPr>
    </w:p>
    <w:p w14:paraId="7CCA088F"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6DB76296" w14:textId="1106300F" w:rsidR="009260DE" w:rsidRPr="0089346F" w:rsidRDefault="00813C8B" w:rsidP="0089346F">
      <w:pPr>
        <w:tabs>
          <w:tab w:val="left" w:pos="851"/>
        </w:tabs>
        <w:ind w:left="851"/>
        <w:rPr>
          <w:rFonts w:eastAsia="MS Mincho" w:hAnsi="MS Mincho"/>
          <w:noProof/>
          <w:sz w:val="24"/>
          <w:szCs w:val="24"/>
        </w:rPr>
      </w:pPr>
      <w:r w:rsidRPr="00813C8B">
        <w:rPr>
          <w:sz w:val="24"/>
          <w:szCs w:val="24"/>
        </w:rPr>
        <w:t>2 år</w:t>
      </w:r>
      <w:r>
        <w:rPr>
          <w:sz w:val="24"/>
          <w:szCs w:val="24"/>
        </w:rPr>
        <w:t>.</w:t>
      </w:r>
    </w:p>
    <w:p w14:paraId="2F4E1273" w14:textId="6EFEED79" w:rsidR="00813C8B" w:rsidRDefault="00813C8B">
      <w:pPr>
        <w:rPr>
          <w:sz w:val="24"/>
          <w:szCs w:val="24"/>
        </w:rPr>
      </w:pPr>
      <w:r>
        <w:rPr>
          <w:sz w:val="24"/>
          <w:szCs w:val="24"/>
        </w:rPr>
        <w:br w:type="page"/>
      </w:r>
    </w:p>
    <w:p w14:paraId="44E93551" w14:textId="77777777" w:rsidR="009260DE" w:rsidRPr="00C84483" w:rsidRDefault="009260DE" w:rsidP="009260DE">
      <w:pPr>
        <w:tabs>
          <w:tab w:val="left" w:pos="851"/>
        </w:tabs>
        <w:ind w:left="851"/>
        <w:rPr>
          <w:sz w:val="24"/>
          <w:szCs w:val="24"/>
        </w:rPr>
      </w:pPr>
    </w:p>
    <w:p w14:paraId="6126864A"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07F08C8F" w14:textId="41AF2FBB" w:rsidR="00813C8B" w:rsidRDefault="00813C8B" w:rsidP="00813C8B">
      <w:pPr>
        <w:tabs>
          <w:tab w:val="left" w:pos="851"/>
        </w:tabs>
        <w:ind w:left="851"/>
        <w:rPr>
          <w:sz w:val="24"/>
          <w:szCs w:val="24"/>
        </w:rPr>
      </w:pPr>
      <w:r w:rsidRPr="00813C8B">
        <w:rPr>
          <w:sz w:val="24"/>
          <w:szCs w:val="24"/>
        </w:rPr>
        <w:t>Der er ingen særlige krav vedrørende opbevaringstemperaturer for dette lægemiddel.</w:t>
      </w:r>
    </w:p>
    <w:p w14:paraId="78C6E176" w14:textId="77777777" w:rsidR="00813C8B" w:rsidRPr="00813C8B" w:rsidRDefault="00813C8B" w:rsidP="00813C8B">
      <w:pPr>
        <w:tabs>
          <w:tab w:val="left" w:pos="851"/>
        </w:tabs>
        <w:ind w:left="851"/>
        <w:rPr>
          <w:sz w:val="24"/>
          <w:szCs w:val="24"/>
        </w:rPr>
      </w:pPr>
    </w:p>
    <w:p w14:paraId="324D11A8" w14:textId="77777777" w:rsidR="00813C8B" w:rsidRPr="00813C8B" w:rsidRDefault="00813C8B" w:rsidP="00813C8B">
      <w:pPr>
        <w:tabs>
          <w:tab w:val="left" w:pos="851"/>
        </w:tabs>
        <w:ind w:left="851"/>
        <w:rPr>
          <w:sz w:val="24"/>
          <w:szCs w:val="24"/>
        </w:rPr>
      </w:pPr>
      <w:r w:rsidRPr="00813C8B">
        <w:rPr>
          <w:sz w:val="24"/>
          <w:szCs w:val="24"/>
        </w:rPr>
        <w:t>Opbevares i den originale yderpakning for at beskytte mod fugt.</w:t>
      </w:r>
    </w:p>
    <w:p w14:paraId="34E9B6E3" w14:textId="77777777" w:rsidR="009260DE" w:rsidRPr="00C84483" w:rsidRDefault="009260DE" w:rsidP="009260DE">
      <w:pPr>
        <w:tabs>
          <w:tab w:val="left" w:pos="851"/>
        </w:tabs>
        <w:ind w:left="851"/>
        <w:rPr>
          <w:sz w:val="24"/>
          <w:szCs w:val="24"/>
        </w:rPr>
      </w:pPr>
    </w:p>
    <w:p w14:paraId="0519E528"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56C9F045" w14:textId="77777777" w:rsidR="00813C8B" w:rsidRDefault="00813C8B" w:rsidP="00813C8B">
      <w:pPr>
        <w:tabs>
          <w:tab w:val="left" w:pos="851"/>
        </w:tabs>
        <w:ind w:left="851"/>
        <w:rPr>
          <w:sz w:val="24"/>
          <w:szCs w:val="24"/>
        </w:rPr>
      </w:pPr>
    </w:p>
    <w:p w14:paraId="2F7F0A30" w14:textId="49901D94" w:rsidR="00813C8B" w:rsidRPr="00813C8B" w:rsidRDefault="00813C8B" w:rsidP="00813C8B">
      <w:pPr>
        <w:tabs>
          <w:tab w:val="left" w:pos="851"/>
        </w:tabs>
        <w:ind w:left="851"/>
        <w:rPr>
          <w:sz w:val="24"/>
          <w:szCs w:val="24"/>
          <w:u w:val="single"/>
        </w:rPr>
      </w:pPr>
      <w:r w:rsidRPr="00813C8B">
        <w:rPr>
          <w:sz w:val="24"/>
          <w:szCs w:val="24"/>
          <w:u w:val="single"/>
        </w:rPr>
        <w:t>OPA/Alu/PVC//Alu-blisterpakning, i en æske</w:t>
      </w:r>
    </w:p>
    <w:p w14:paraId="6295A3B0" w14:textId="1BDD6374" w:rsidR="00813C8B" w:rsidRPr="00813C8B" w:rsidRDefault="00813C8B" w:rsidP="00813C8B">
      <w:pPr>
        <w:tabs>
          <w:tab w:val="left" w:pos="851"/>
        </w:tabs>
        <w:ind w:left="851"/>
        <w:rPr>
          <w:sz w:val="24"/>
          <w:szCs w:val="24"/>
        </w:rPr>
      </w:pPr>
      <w:r>
        <w:rPr>
          <w:sz w:val="24"/>
          <w:szCs w:val="24"/>
        </w:rPr>
        <w:t xml:space="preserve">Pakningsstørrelser: </w:t>
      </w:r>
      <w:r w:rsidRPr="00813C8B">
        <w:rPr>
          <w:sz w:val="24"/>
          <w:szCs w:val="24"/>
        </w:rPr>
        <w:t>14, 20, 28, 56, 60, 168, 196 og 200 filmovertrukne tabletter i en æske.</w:t>
      </w:r>
    </w:p>
    <w:p w14:paraId="4A6FF242" w14:textId="77777777" w:rsidR="00813C8B" w:rsidRDefault="00813C8B" w:rsidP="00813C8B">
      <w:pPr>
        <w:tabs>
          <w:tab w:val="left" w:pos="851"/>
        </w:tabs>
        <w:ind w:left="851"/>
        <w:rPr>
          <w:sz w:val="24"/>
          <w:szCs w:val="24"/>
        </w:rPr>
      </w:pPr>
    </w:p>
    <w:p w14:paraId="524F3688" w14:textId="43EBDC51" w:rsidR="00813C8B" w:rsidRPr="00813C8B" w:rsidRDefault="00813C8B" w:rsidP="00813C8B">
      <w:pPr>
        <w:tabs>
          <w:tab w:val="left" w:pos="851"/>
        </w:tabs>
        <w:ind w:left="851"/>
        <w:rPr>
          <w:sz w:val="24"/>
          <w:szCs w:val="24"/>
          <w:u w:val="single"/>
        </w:rPr>
      </w:pPr>
      <w:r w:rsidRPr="00813C8B">
        <w:rPr>
          <w:sz w:val="24"/>
          <w:szCs w:val="24"/>
          <w:u w:val="single"/>
        </w:rPr>
        <w:t>OPA/Alu/PVC//Alu-blisterpakning, kalenderpakning, i en æske</w:t>
      </w:r>
    </w:p>
    <w:p w14:paraId="21B58A67" w14:textId="75A78A24" w:rsidR="00813C8B" w:rsidRPr="00813C8B" w:rsidRDefault="00813C8B" w:rsidP="00813C8B">
      <w:pPr>
        <w:tabs>
          <w:tab w:val="left" w:pos="851"/>
        </w:tabs>
        <w:ind w:left="851"/>
        <w:rPr>
          <w:sz w:val="24"/>
          <w:szCs w:val="24"/>
        </w:rPr>
      </w:pPr>
      <w:r>
        <w:rPr>
          <w:sz w:val="24"/>
          <w:szCs w:val="24"/>
        </w:rPr>
        <w:t>Pakningsstørrelser</w:t>
      </w:r>
      <w:r w:rsidRPr="00813C8B">
        <w:rPr>
          <w:sz w:val="24"/>
          <w:szCs w:val="24"/>
        </w:rPr>
        <w:t>: 14, 28, 56, 168 og 196 filmovertrukne tabletter i en æske.</w:t>
      </w:r>
    </w:p>
    <w:p w14:paraId="4C8B67BC" w14:textId="77777777" w:rsidR="00813C8B" w:rsidRPr="00813C8B" w:rsidRDefault="00813C8B" w:rsidP="00813C8B">
      <w:pPr>
        <w:tabs>
          <w:tab w:val="left" w:pos="851"/>
        </w:tabs>
        <w:ind w:left="851"/>
        <w:rPr>
          <w:sz w:val="24"/>
          <w:szCs w:val="24"/>
        </w:rPr>
      </w:pPr>
    </w:p>
    <w:p w14:paraId="1B177ABB" w14:textId="77777777" w:rsidR="00813C8B" w:rsidRPr="00813C8B" w:rsidRDefault="00813C8B" w:rsidP="00813C8B">
      <w:pPr>
        <w:tabs>
          <w:tab w:val="left" w:pos="851"/>
        </w:tabs>
        <w:ind w:left="851"/>
        <w:rPr>
          <w:sz w:val="24"/>
          <w:szCs w:val="24"/>
        </w:rPr>
      </w:pPr>
      <w:r w:rsidRPr="00813C8B">
        <w:rPr>
          <w:sz w:val="24"/>
          <w:szCs w:val="24"/>
        </w:rPr>
        <w:t>Ikke alle pakningsstørrelser er nødvendigvis markedsført.</w:t>
      </w:r>
    </w:p>
    <w:p w14:paraId="2FB56BE7" w14:textId="77777777" w:rsidR="009260DE" w:rsidRPr="00C84483" w:rsidRDefault="009260DE" w:rsidP="009260DE">
      <w:pPr>
        <w:tabs>
          <w:tab w:val="left" w:pos="851"/>
        </w:tabs>
        <w:ind w:left="851"/>
        <w:rPr>
          <w:sz w:val="24"/>
          <w:szCs w:val="24"/>
        </w:rPr>
      </w:pPr>
    </w:p>
    <w:p w14:paraId="5DF94A78"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7F03D7E3" w14:textId="77777777" w:rsidR="00813C8B" w:rsidRPr="00813C8B" w:rsidRDefault="00813C8B" w:rsidP="00813C8B">
      <w:pPr>
        <w:tabs>
          <w:tab w:val="left" w:pos="851"/>
        </w:tabs>
        <w:ind w:left="851"/>
        <w:rPr>
          <w:sz w:val="24"/>
          <w:szCs w:val="24"/>
        </w:rPr>
      </w:pPr>
      <w:r w:rsidRPr="00813C8B">
        <w:rPr>
          <w:sz w:val="24"/>
          <w:szCs w:val="24"/>
        </w:rPr>
        <w:t>Ikke anvendt lægemiddel samt affald heraf skal bortskaffes i henhold til lokale retningslinjer.</w:t>
      </w:r>
    </w:p>
    <w:p w14:paraId="13490F21" w14:textId="77777777" w:rsidR="009260DE" w:rsidRPr="00C84483" w:rsidRDefault="009260DE" w:rsidP="000730CA">
      <w:pPr>
        <w:tabs>
          <w:tab w:val="left" w:pos="851"/>
        </w:tabs>
        <w:ind w:left="851"/>
        <w:rPr>
          <w:sz w:val="24"/>
          <w:szCs w:val="24"/>
        </w:rPr>
      </w:pPr>
    </w:p>
    <w:p w14:paraId="74D61C22"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0381E3BE" w14:textId="77777777" w:rsidR="00813C8B" w:rsidRPr="00813C8B" w:rsidRDefault="00813C8B" w:rsidP="00813C8B">
      <w:pPr>
        <w:tabs>
          <w:tab w:val="left" w:pos="851"/>
        </w:tabs>
        <w:ind w:left="851"/>
        <w:rPr>
          <w:sz w:val="24"/>
          <w:szCs w:val="24"/>
        </w:rPr>
      </w:pPr>
      <w:r w:rsidRPr="00813C8B">
        <w:rPr>
          <w:sz w:val="24"/>
          <w:szCs w:val="24"/>
        </w:rPr>
        <w:t>KRKA, d.d., Novo mesto</w:t>
      </w:r>
    </w:p>
    <w:p w14:paraId="290A90D8" w14:textId="77777777" w:rsidR="00813C8B" w:rsidRPr="00813C8B" w:rsidRDefault="00813C8B" w:rsidP="00813C8B">
      <w:pPr>
        <w:tabs>
          <w:tab w:val="left" w:pos="851"/>
        </w:tabs>
        <w:ind w:left="851"/>
        <w:rPr>
          <w:sz w:val="24"/>
          <w:szCs w:val="24"/>
        </w:rPr>
      </w:pPr>
      <w:r w:rsidRPr="00813C8B">
        <w:rPr>
          <w:sz w:val="24"/>
          <w:szCs w:val="24"/>
        </w:rPr>
        <w:t>Šmarješka cesta 6</w:t>
      </w:r>
    </w:p>
    <w:p w14:paraId="15637760" w14:textId="77777777" w:rsidR="00813C8B" w:rsidRPr="00813C8B" w:rsidRDefault="00813C8B" w:rsidP="00813C8B">
      <w:pPr>
        <w:tabs>
          <w:tab w:val="left" w:pos="851"/>
        </w:tabs>
        <w:ind w:left="851"/>
        <w:rPr>
          <w:sz w:val="24"/>
          <w:szCs w:val="24"/>
        </w:rPr>
      </w:pPr>
      <w:r w:rsidRPr="00813C8B">
        <w:rPr>
          <w:sz w:val="24"/>
          <w:szCs w:val="24"/>
        </w:rPr>
        <w:t>8501 Novo mesto</w:t>
      </w:r>
    </w:p>
    <w:p w14:paraId="23E76D9A" w14:textId="77777777" w:rsidR="00813C8B" w:rsidRPr="00813C8B" w:rsidRDefault="00813C8B" w:rsidP="00813C8B">
      <w:pPr>
        <w:tabs>
          <w:tab w:val="left" w:pos="851"/>
        </w:tabs>
        <w:ind w:left="851"/>
        <w:rPr>
          <w:sz w:val="24"/>
          <w:szCs w:val="24"/>
        </w:rPr>
      </w:pPr>
      <w:r w:rsidRPr="00813C8B">
        <w:rPr>
          <w:sz w:val="24"/>
          <w:szCs w:val="24"/>
        </w:rPr>
        <w:t>Slovenien</w:t>
      </w:r>
    </w:p>
    <w:p w14:paraId="00646A9E" w14:textId="77777777" w:rsidR="00813C8B" w:rsidRPr="00813C8B" w:rsidRDefault="00813C8B" w:rsidP="00813C8B">
      <w:pPr>
        <w:tabs>
          <w:tab w:val="left" w:pos="851"/>
        </w:tabs>
        <w:ind w:left="851"/>
        <w:rPr>
          <w:sz w:val="24"/>
          <w:szCs w:val="24"/>
        </w:rPr>
      </w:pPr>
    </w:p>
    <w:p w14:paraId="275ACF52" w14:textId="77777777" w:rsidR="00813C8B" w:rsidRPr="00813C8B" w:rsidRDefault="00813C8B" w:rsidP="00813C8B">
      <w:pPr>
        <w:tabs>
          <w:tab w:val="left" w:pos="851"/>
        </w:tabs>
        <w:ind w:left="851"/>
        <w:rPr>
          <w:b/>
          <w:bCs/>
          <w:sz w:val="24"/>
          <w:szCs w:val="24"/>
        </w:rPr>
      </w:pPr>
      <w:r w:rsidRPr="00813C8B">
        <w:rPr>
          <w:b/>
          <w:bCs/>
          <w:sz w:val="24"/>
          <w:szCs w:val="24"/>
        </w:rPr>
        <w:t>Repræsentant</w:t>
      </w:r>
    </w:p>
    <w:p w14:paraId="61D03ECD" w14:textId="77777777" w:rsidR="00813C8B" w:rsidRPr="00813C8B" w:rsidRDefault="00813C8B" w:rsidP="00813C8B">
      <w:pPr>
        <w:tabs>
          <w:tab w:val="left" w:pos="851"/>
        </w:tabs>
        <w:ind w:left="851"/>
        <w:rPr>
          <w:sz w:val="24"/>
          <w:szCs w:val="24"/>
          <w:lang w:val="sv-SE"/>
        </w:rPr>
      </w:pPr>
      <w:r w:rsidRPr="00813C8B">
        <w:rPr>
          <w:sz w:val="24"/>
          <w:szCs w:val="24"/>
          <w:lang w:val="sv-SE"/>
        </w:rPr>
        <w:t>KRKA Sverige AB</w:t>
      </w:r>
    </w:p>
    <w:p w14:paraId="0D0627AD" w14:textId="77777777" w:rsidR="00813C8B" w:rsidRPr="00813C8B" w:rsidRDefault="00813C8B" w:rsidP="00813C8B">
      <w:pPr>
        <w:tabs>
          <w:tab w:val="left" w:pos="851"/>
        </w:tabs>
        <w:ind w:left="851"/>
        <w:rPr>
          <w:sz w:val="24"/>
          <w:szCs w:val="24"/>
          <w:lang w:val="sv-SE"/>
        </w:rPr>
      </w:pPr>
      <w:r w:rsidRPr="00813C8B">
        <w:rPr>
          <w:sz w:val="24"/>
          <w:szCs w:val="24"/>
          <w:lang w:val="sv-SE"/>
        </w:rPr>
        <w:t>Göta Ark 175</w:t>
      </w:r>
    </w:p>
    <w:p w14:paraId="402CCC39" w14:textId="77777777" w:rsidR="00813C8B" w:rsidRPr="00813C8B" w:rsidRDefault="00813C8B" w:rsidP="00813C8B">
      <w:pPr>
        <w:tabs>
          <w:tab w:val="left" w:pos="851"/>
        </w:tabs>
        <w:ind w:left="851"/>
        <w:rPr>
          <w:sz w:val="24"/>
          <w:szCs w:val="24"/>
        </w:rPr>
      </w:pPr>
      <w:r w:rsidRPr="00813C8B">
        <w:rPr>
          <w:sz w:val="24"/>
          <w:szCs w:val="24"/>
        </w:rPr>
        <w:t>118 72 Stockholm</w:t>
      </w:r>
    </w:p>
    <w:p w14:paraId="11A37F47" w14:textId="77777777" w:rsidR="00813C8B" w:rsidRPr="00813C8B" w:rsidRDefault="00813C8B" w:rsidP="00813C8B">
      <w:pPr>
        <w:tabs>
          <w:tab w:val="left" w:pos="851"/>
        </w:tabs>
        <w:ind w:left="851"/>
        <w:rPr>
          <w:sz w:val="24"/>
          <w:szCs w:val="24"/>
        </w:rPr>
      </w:pPr>
      <w:r w:rsidRPr="00813C8B">
        <w:rPr>
          <w:sz w:val="24"/>
          <w:szCs w:val="24"/>
        </w:rPr>
        <w:t>Sverige</w:t>
      </w:r>
    </w:p>
    <w:p w14:paraId="78491DCA" w14:textId="77777777" w:rsidR="00641C65" w:rsidRPr="00641C65" w:rsidRDefault="00641C65" w:rsidP="009260DE">
      <w:pPr>
        <w:tabs>
          <w:tab w:val="left" w:pos="851"/>
        </w:tabs>
        <w:ind w:left="851"/>
        <w:rPr>
          <w:sz w:val="24"/>
          <w:szCs w:val="24"/>
        </w:rPr>
      </w:pPr>
    </w:p>
    <w:p w14:paraId="2808BACE"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71F34461" w14:textId="302FBD0F" w:rsidR="009260DE" w:rsidRDefault="00813C8B" w:rsidP="00813C8B">
      <w:pPr>
        <w:tabs>
          <w:tab w:val="left" w:pos="851"/>
          <w:tab w:val="left" w:pos="2410"/>
        </w:tabs>
        <w:ind w:left="851"/>
        <w:rPr>
          <w:sz w:val="24"/>
          <w:szCs w:val="24"/>
        </w:rPr>
      </w:pPr>
      <w:r>
        <w:rPr>
          <w:sz w:val="24"/>
          <w:szCs w:val="24"/>
        </w:rPr>
        <w:t>24 mg/26 mg:</w:t>
      </w:r>
      <w:r>
        <w:rPr>
          <w:sz w:val="24"/>
          <w:szCs w:val="24"/>
        </w:rPr>
        <w:tab/>
        <w:t>71741</w:t>
      </w:r>
    </w:p>
    <w:p w14:paraId="11053307" w14:textId="28DE98F8" w:rsidR="00813C8B" w:rsidRDefault="00813C8B" w:rsidP="00813C8B">
      <w:pPr>
        <w:tabs>
          <w:tab w:val="left" w:pos="851"/>
          <w:tab w:val="left" w:pos="2410"/>
        </w:tabs>
        <w:ind w:left="851"/>
        <w:rPr>
          <w:sz w:val="24"/>
          <w:szCs w:val="24"/>
        </w:rPr>
      </w:pPr>
      <w:r>
        <w:rPr>
          <w:sz w:val="24"/>
          <w:szCs w:val="24"/>
        </w:rPr>
        <w:t>49 mg/51 mg:</w:t>
      </w:r>
      <w:r>
        <w:rPr>
          <w:sz w:val="24"/>
          <w:szCs w:val="24"/>
        </w:rPr>
        <w:tab/>
        <w:t>71743</w:t>
      </w:r>
    </w:p>
    <w:p w14:paraId="4208D15F" w14:textId="2C6A241F" w:rsidR="00813C8B" w:rsidRPr="00C84483" w:rsidRDefault="00813C8B" w:rsidP="00813C8B">
      <w:pPr>
        <w:tabs>
          <w:tab w:val="left" w:pos="851"/>
          <w:tab w:val="left" w:pos="2410"/>
        </w:tabs>
        <w:ind w:left="851"/>
        <w:rPr>
          <w:sz w:val="24"/>
          <w:szCs w:val="24"/>
        </w:rPr>
      </w:pPr>
      <w:r>
        <w:rPr>
          <w:sz w:val="24"/>
          <w:szCs w:val="24"/>
        </w:rPr>
        <w:t>97 mg/103 mg:</w:t>
      </w:r>
      <w:r>
        <w:rPr>
          <w:sz w:val="24"/>
          <w:szCs w:val="24"/>
        </w:rPr>
        <w:tab/>
        <w:t>71744</w:t>
      </w:r>
    </w:p>
    <w:p w14:paraId="1C932B63" w14:textId="77777777" w:rsidR="009260DE" w:rsidRPr="00C84483" w:rsidRDefault="009260DE" w:rsidP="009260DE">
      <w:pPr>
        <w:tabs>
          <w:tab w:val="left" w:pos="851"/>
        </w:tabs>
        <w:ind w:left="851"/>
        <w:jc w:val="both"/>
        <w:rPr>
          <w:sz w:val="24"/>
          <w:szCs w:val="24"/>
        </w:rPr>
      </w:pPr>
    </w:p>
    <w:p w14:paraId="54F4290A"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35D747B0" w14:textId="1CC346BD" w:rsidR="009260DE" w:rsidRPr="00C84483" w:rsidRDefault="00B3350E" w:rsidP="009260DE">
      <w:pPr>
        <w:tabs>
          <w:tab w:val="left" w:pos="851"/>
        </w:tabs>
        <w:ind w:left="851"/>
        <w:rPr>
          <w:sz w:val="24"/>
          <w:szCs w:val="24"/>
        </w:rPr>
      </w:pPr>
      <w:r>
        <w:rPr>
          <w:sz w:val="24"/>
          <w:szCs w:val="24"/>
        </w:rPr>
        <w:t>7. oktober 2025</w:t>
      </w:r>
    </w:p>
    <w:p w14:paraId="1EE609B9" w14:textId="77777777" w:rsidR="009260DE" w:rsidRPr="00C84483" w:rsidRDefault="009260DE" w:rsidP="009260DE">
      <w:pPr>
        <w:tabs>
          <w:tab w:val="left" w:pos="851"/>
        </w:tabs>
        <w:ind w:left="851"/>
        <w:rPr>
          <w:sz w:val="24"/>
          <w:szCs w:val="24"/>
        </w:rPr>
      </w:pPr>
    </w:p>
    <w:p w14:paraId="7A0FCF6D"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4B9584E7" w14:textId="4F3F3D47" w:rsidR="009260DE" w:rsidRPr="00C84483" w:rsidRDefault="00813C8B" w:rsidP="009260DE">
      <w:pPr>
        <w:tabs>
          <w:tab w:val="left" w:pos="851"/>
        </w:tabs>
        <w:ind w:left="851"/>
        <w:rPr>
          <w:sz w:val="24"/>
          <w:szCs w:val="24"/>
        </w:rPr>
      </w:pPr>
      <w:r>
        <w:rPr>
          <w:sz w:val="24"/>
          <w:szCs w:val="24"/>
        </w:rPr>
        <w:t>-</w:t>
      </w:r>
    </w:p>
    <w:sectPr w:rsidR="009260DE" w:rsidRPr="00C84483"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F4115" w14:textId="77777777" w:rsidR="00A54F5C" w:rsidRDefault="00A54F5C">
      <w:r>
        <w:separator/>
      </w:r>
    </w:p>
  </w:endnote>
  <w:endnote w:type="continuationSeparator" w:id="0">
    <w:p w14:paraId="41F4254B" w14:textId="77777777" w:rsidR="00A54F5C" w:rsidRDefault="00A54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CE717" w14:textId="77777777" w:rsidR="00A54F5C" w:rsidRDefault="00A54F5C">
    <w:pPr>
      <w:pStyle w:val="Sidefod"/>
      <w:pBdr>
        <w:bottom w:val="single" w:sz="6" w:space="1" w:color="auto"/>
      </w:pBdr>
    </w:pPr>
  </w:p>
  <w:p w14:paraId="54DA1759" w14:textId="77777777" w:rsidR="00A54F5C" w:rsidRDefault="00A54F5C" w:rsidP="00C42586">
    <w:pPr>
      <w:pStyle w:val="Sidefod"/>
      <w:tabs>
        <w:tab w:val="clear" w:pos="4819"/>
        <w:tab w:val="left" w:pos="8505"/>
      </w:tabs>
      <w:rPr>
        <w:i/>
        <w:sz w:val="18"/>
        <w:szCs w:val="18"/>
      </w:rPr>
    </w:pPr>
  </w:p>
  <w:p w14:paraId="4DBEA1CD" w14:textId="40D9070B" w:rsidR="00A54F5C" w:rsidRPr="00B373D7" w:rsidRDefault="00A54F5C"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Sacubitril-Valsartan Krka, filmovertrukne tabletter 24+26 mg, 49+51 mg og 97+103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DFF59" w14:textId="77777777" w:rsidR="00A54F5C" w:rsidRDefault="00A54F5C">
      <w:r>
        <w:separator/>
      </w:r>
    </w:p>
  </w:footnote>
  <w:footnote w:type="continuationSeparator" w:id="0">
    <w:p w14:paraId="5D9E4BAF" w14:textId="77777777" w:rsidR="00A54F5C" w:rsidRDefault="00A54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73EB"/>
    <w:multiLevelType w:val="hybridMultilevel"/>
    <w:tmpl w:val="86AAA518"/>
    <w:lvl w:ilvl="0" w:tplc="71B0FED2">
      <w:start w:val="1"/>
      <w:numFmt w:val="bullet"/>
      <w:lvlText w:val="-"/>
      <w:lvlJc w:val="left"/>
      <w:pPr>
        <w:ind w:left="360" w:hanging="360"/>
      </w:pPr>
      <w:rPr>
        <w:rFonts w:hAnsi="Arial"/>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4CA80E5E"/>
    <w:multiLevelType w:val="hybridMultilevel"/>
    <w:tmpl w:val="DCE005CE"/>
    <w:lvl w:ilvl="0" w:tplc="71B0FED2">
      <w:start w:val="1"/>
      <w:numFmt w:val="bullet"/>
      <w:lvlText w:val="-"/>
      <w:lvlJc w:val="left"/>
      <w:pPr>
        <w:ind w:left="360" w:hanging="360"/>
      </w:pPr>
      <w:rPr>
        <w:rFonts w:hAnsi="Arial"/>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BC5"/>
    <w:rsid w:val="000259B9"/>
    <w:rsid w:val="00041491"/>
    <w:rsid w:val="00050D16"/>
    <w:rsid w:val="000730CA"/>
    <w:rsid w:val="00074F2A"/>
    <w:rsid w:val="00085259"/>
    <w:rsid w:val="000A1CA8"/>
    <w:rsid w:val="000A466B"/>
    <w:rsid w:val="000B058C"/>
    <w:rsid w:val="000D68B0"/>
    <w:rsid w:val="000E4EE6"/>
    <w:rsid w:val="001454E2"/>
    <w:rsid w:val="00206CE8"/>
    <w:rsid w:val="00207276"/>
    <w:rsid w:val="0021526C"/>
    <w:rsid w:val="00234440"/>
    <w:rsid w:val="00283A2B"/>
    <w:rsid w:val="002B30AD"/>
    <w:rsid w:val="002C1EC0"/>
    <w:rsid w:val="002C2C01"/>
    <w:rsid w:val="003A29AE"/>
    <w:rsid w:val="003A32D7"/>
    <w:rsid w:val="003B4074"/>
    <w:rsid w:val="003C769A"/>
    <w:rsid w:val="003D3A90"/>
    <w:rsid w:val="003F1838"/>
    <w:rsid w:val="00404627"/>
    <w:rsid w:val="004251C1"/>
    <w:rsid w:val="0045746C"/>
    <w:rsid w:val="00484BC5"/>
    <w:rsid w:val="0049104B"/>
    <w:rsid w:val="004E3B12"/>
    <w:rsid w:val="00532310"/>
    <w:rsid w:val="00565F0F"/>
    <w:rsid w:val="00594A86"/>
    <w:rsid w:val="00596D86"/>
    <w:rsid w:val="00637F5A"/>
    <w:rsid w:val="00641C65"/>
    <w:rsid w:val="006560B1"/>
    <w:rsid w:val="006756DD"/>
    <w:rsid w:val="006A73CD"/>
    <w:rsid w:val="006E4AC9"/>
    <w:rsid w:val="0071241E"/>
    <w:rsid w:val="00737275"/>
    <w:rsid w:val="00740EEC"/>
    <w:rsid w:val="0078011A"/>
    <w:rsid w:val="00782AF4"/>
    <w:rsid w:val="00790EE7"/>
    <w:rsid w:val="007B6649"/>
    <w:rsid w:val="007E5409"/>
    <w:rsid w:val="00813C8B"/>
    <w:rsid w:val="0082576E"/>
    <w:rsid w:val="00850A5D"/>
    <w:rsid w:val="0089346F"/>
    <w:rsid w:val="008E6363"/>
    <w:rsid w:val="00907F75"/>
    <w:rsid w:val="009260DE"/>
    <w:rsid w:val="0093258A"/>
    <w:rsid w:val="009C7BA3"/>
    <w:rsid w:val="009D1F5A"/>
    <w:rsid w:val="00A10294"/>
    <w:rsid w:val="00A54F5C"/>
    <w:rsid w:val="00AB7572"/>
    <w:rsid w:val="00B003BF"/>
    <w:rsid w:val="00B3350E"/>
    <w:rsid w:val="00B373D7"/>
    <w:rsid w:val="00B55271"/>
    <w:rsid w:val="00B95F47"/>
    <w:rsid w:val="00BD0E1E"/>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361EA"/>
  <w15:chartTrackingRefBased/>
  <w15:docId w15:val="{55269ECE-D056-40A0-B20D-7D9BD518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6E4AC9"/>
    <w:rPr>
      <w:color w:val="0563C1" w:themeColor="hyperlink"/>
      <w:u w:val="single"/>
    </w:rPr>
  </w:style>
  <w:style w:type="character" w:styleId="Ulstomtale">
    <w:name w:val="Unresolved Mention"/>
    <w:basedOn w:val="Standardskrifttypeiafsnit"/>
    <w:uiPriority w:val="99"/>
    <w:semiHidden/>
    <w:unhideWhenUsed/>
    <w:rsid w:val="006E4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87059">
      <w:bodyDiv w:val="1"/>
      <w:marLeft w:val="0"/>
      <w:marRight w:val="0"/>
      <w:marTop w:val="0"/>
      <w:marBottom w:val="0"/>
      <w:divBdr>
        <w:top w:val="none" w:sz="0" w:space="0" w:color="auto"/>
        <w:left w:val="none" w:sz="0" w:space="0" w:color="auto"/>
        <w:bottom w:val="none" w:sz="0" w:space="0" w:color="auto"/>
        <w:right w:val="none" w:sz="0" w:space="0" w:color="auto"/>
      </w:divBdr>
    </w:div>
    <w:div w:id="16182496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84827363">
      <w:bodyDiv w:val="1"/>
      <w:marLeft w:val="0"/>
      <w:marRight w:val="0"/>
      <w:marTop w:val="0"/>
      <w:marBottom w:val="0"/>
      <w:divBdr>
        <w:top w:val="none" w:sz="0" w:space="0" w:color="auto"/>
        <w:left w:val="none" w:sz="0" w:space="0" w:color="auto"/>
        <w:bottom w:val="none" w:sz="0" w:space="0" w:color="auto"/>
        <w:right w:val="none" w:sz="0" w:space="0" w:color="auto"/>
      </w:divBdr>
    </w:div>
    <w:div w:id="195890212">
      <w:bodyDiv w:val="1"/>
      <w:marLeft w:val="0"/>
      <w:marRight w:val="0"/>
      <w:marTop w:val="0"/>
      <w:marBottom w:val="0"/>
      <w:divBdr>
        <w:top w:val="none" w:sz="0" w:space="0" w:color="auto"/>
        <w:left w:val="none" w:sz="0" w:space="0" w:color="auto"/>
        <w:bottom w:val="none" w:sz="0" w:space="0" w:color="auto"/>
        <w:right w:val="none" w:sz="0" w:space="0" w:color="auto"/>
      </w:divBdr>
    </w:div>
    <w:div w:id="199325711">
      <w:bodyDiv w:val="1"/>
      <w:marLeft w:val="0"/>
      <w:marRight w:val="0"/>
      <w:marTop w:val="0"/>
      <w:marBottom w:val="0"/>
      <w:divBdr>
        <w:top w:val="none" w:sz="0" w:space="0" w:color="auto"/>
        <w:left w:val="none" w:sz="0" w:space="0" w:color="auto"/>
        <w:bottom w:val="none" w:sz="0" w:space="0" w:color="auto"/>
        <w:right w:val="none" w:sz="0" w:space="0" w:color="auto"/>
      </w:divBdr>
    </w:div>
    <w:div w:id="214128621">
      <w:bodyDiv w:val="1"/>
      <w:marLeft w:val="0"/>
      <w:marRight w:val="0"/>
      <w:marTop w:val="0"/>
      <w:marBottom w:val="0"/>
      <w:divBdr>
        <w:top w:val="none" w:sz="0" w:space="0" w:color="auto"/>
        <w:left w:val="none" w:sz="0" w:space="0" w:color="auto"/>
        <w:bottom w:val="none" w:sz="0" w:space="0" w:color="auto"/>
        <w:right w:val="none" w:sz="0" w:space="0" w:color="auto"/>
      </w:divBdr>
    </w:div>
    <w:div w:id="265507575">
      <w:bodyDiv w:val="1"/>
      <w:marLeft w:val="0"/>
      <w:marRight w:val="0"/>
      <w:marTop w:val="0"/>
      <w:marBottom w:val="0"/>
      <w:divBdr>
        <w:top w:val="none" w:sz="0" w:space="0" w:color="auto"/>
        <w:left w:val="none" w:sz="0" w:space="0" w:color="auto"/>
        <w:bottom w:val="none" w:sz="0" w:space="0" w:color="auto"/>
        <w:right w:val="none" w:sz="0" w:space="0" w:color="auto"/>
      </w:divBdr>
    </w:div>
    <w:div w:id="414402685">
      <w:bodyDiv w:val="1"/>
      <w:marLeft w:val="0"/>
      <w:marRight w:val="0"/>
      <w:marTop w:val="0"/>
      <w:marBottom w:val="0"/>
      <w:divBdr>
        <w:top w:val="none" w:sz="0" w:space="0" w:color="auto"/>
        <w:left w:val="none" w:sz="0" w:space="0" w:color="auto"/>
        <w:bottom w:val="none" w:sz="0" w:space="0" w:color="auto"/>
        <w:right w:val="none" w:sz="0" w:space="0" w:color="auto"/>
      </w:divBdr>
    </w:div>
    <w:div w:id="448478602">
      <w:bodyDiv w:val="1"/>
      <w:marLeft w:val="0"/>
      <w:marRight w:val="0"/>
      <w:marTop w:val="0"/>
      <w:marBottom w:val="0"/>
      <w:divBdr>
        <w:top w:val="none" w:sz="0" w:space="0" w:color="auto"/>
        <w:left w:val="none" w:sz="0" w:space="0" w:color="auto"/>
        <w:bottom w:val="none" w:sz="0" w:space="0" w:color="auto"/>
        <w:right w:val="none" w:sz="0" w:space="0" w:color="auto"/>
      </w:divBdr>
    </w:div>
    <w:div w:id="472212995">
      <w:bodyDiv w:val="1"/>
      <w:marLeft w:val="0"/>
      <w:marRight w:val="0"/>
      <w:marTop w:val="0"/>
      <w:marBottom w:val="0"/>
      <w:divBdr>
        <w:top w:val="none" w:sz="0" w:space="0" w:color="auto"/>
        <w:left w:val="none" w:sz="0" w:space="0" w:color="auto"/>
        <w:bottom w:val="none" w:sz="0" w:space="0" w:color="auto"/>
        <w:right w:val="none" w:sz="0" w:space="0" w:color="auto"/>
      </w:divBdr>
    </w:div>
    <w:div w:id="509639097">
      <w:bodyDiv w:val="1"/>
      <w:marLeft w:val="0"/>
      <w:marRight w:val="0"/>
      <w:marTop w:val="0"/>
      <w:marBottom w:val="0"/>
      <w:divBdr>
        <w:top w:val="none" w:sz="0" w:space="0" w:color="auto"/>
        <w:left w:val="none" w:sz="0" w:space="0" w:color="auto"/>
        <w:bottom w:val="none" w:sz="0" w:space="0" w:color="auto"/>
        <w:right w:val="none" w:sz="0" w:space="0" w:color="auto"/>
      </w:divBdr>
    </w:div>
    <w:div w:id="558252997">
      <w:bodyDiv w:val="1"/>
      <w:marLeft w:val="0"/>
      <w:marRight w:val="0"/>
      <w:marTop w:val="0"/>
      <w:marBottom w:val="0"/>
      <w:divBdr>
        <w:top w:val="none" w:sz="0" w:space="0" w:color="auto"/>
        <w:left w:val="none" w:sz="0" w:space="0" w:color="auto"/>
        <w:bottom w:val="none" w:sz="0" w:space="0" w:color="auto"/>
        <w:right w:val="none" w:sz="0" w:space="0" w:color="auto"/>
      </w:divBdr>
    </w:div>
    <w:div w:id="730423819">
      <w:bodyDiv w:val="1"/>
      <w:marLeft w:val="0"/>
      <w:marRight w:val="0"/>
      <w:marTop w:val="0"/>
      <w:marBottom w:val="0"/>
      <w:divBdr>
        <w:top w:val="none" w:sz="0" w:space="0" w:color="auto"/>
        <w:left w:val="none" w:sz="0" w:space="0" w:color="auto"/>
        <w:bottom w:val="none" w:sz="0" w:space="0" w:color="auto"/>
        <w:right w:val="none" w:sz="0" w:space="0" w:color="auto"/>
      </w:divBdr>
    </w:div>
    <w:div w:id="810640014">
      <w:bodyDiv w:val="1"/>
      <w:marLeft w:val="0"/>
      <w:marRight w:val="0"/>
      <w:marTop w:val="0"/>
      <w:marBottom w:val="0"/>
      <w:divBdr>
        <w:top w:val="none" w:sz="0" w:space="0" w:color="auto"/>
        <w:left w:val="none" w:sz="0" w:space="0" w:color="auto"/>
        <w:bottom w:val="none" w:sz="0" w:space="0" w:color="auto"/>
        <w:right w:val="none" w:sz="0" w:space="0" w:color="auto"/>
      </w:divBdr>
    </w:div>
    <w:div w:id="812913553">
      <w:bodyDiv w:val="1"/>
      <w:marLeft w:val="0"/>
      <w:marRight w:val="0"/>
      <w:marTop w:val="0"/>
      <w:marBottom w:val="0"/>
      <w:divBdr>
        <w:top w:val="none" w:sz="0" w:space="0" w:color="auto"/>
        <w:left w:val="none" w:sz="0" w:space="0" w:color="auto"/>
        <w:bottom w:val="none" w:sz="0" w:space="0" w:color="auto"/>
        <w:right w:val="none" w:sz="0" w:space="0" w:color="auto"/>
      </w:divBdr>
    </w:div>
    <w:div w:id="829517149">
      <w:bodyDiv w:val="1"/>
      <w:marLeft w:val="0"/>
      <w:marRight w:val="0"/>
      <w:marTop w:val="0"/>
      <w:marBottom w:val="0"/>
      <w:divBdr>
        <w:top w:val="none" w:sz="0" w:space="0" w:color="auto"/>
        <w:left w:val="none" w:sz="0" w:space="0" w:color="auto"/>
        <w:bottom w:val="none" w:sz="0" w:space="0" w:color="auto"/>
        <w:right w:val="none" w:sz="0" w:space="0" w:color="auto"/>
      </w:divBdr>
    </w:div>
    <w:div w:id="918369425">
      <w:bodyDiv w:val="1"/>
      <w:marLeft w:val="0"/>
      <w:marRight w:val="0"/>
      <w:marTop w:val="0"/>
      <w:marBottom w:val="0"/>
      <w:divBdr>
        <w:top w:val="none" w:sz="0" w:space="0" w:color="auto"/>
        <w:left w:val="none" w:sz="0" w:space="0" w:color="auto"/>
        <w:bottom w:val="none" w:sz="0" w:space="0" w:color="auto"/>
        <w:right w:val="none" w:sz="0" w:space="0" w:color="auto"/>
      </w:divBdr>
    </w:div>
    <w:div w:id="1035152200">
      <w:bodyDiv w:val="1"/>
      <w:marLeft w:val="0"/>
      <w:marRight w:val="0"/>
      <w:marTop w:val="0"/>
      <w:marBottom w:val="0"/>
      <w:divBdr>
        <w:top w:val="none" w:sz="0" w:space="0" w:color="auto"/>
        <w:left w:val="none" w:sz="0" w:space="0" w:color="auto"/>
        <w:bottom w:val="none" w:sz="0" w:space="0" w:color="auto"/>
        <w:right w:val="none" w:sz="0" w:space="0" w:color="auto"/>
      </w:divBdr>
    </w:div>
    <w:div w:id="1077706260">
      <w:bodyDiv w:val="1"/>
      <w:marLeft w:val="0"/>
      <w:marRight w:val="0"/>
      <w:marTop w:val="0"/>
      <w:marBottom w:val="0"/>
      <w:divBdr>
        <w:top w:val="none" w:sz="0" w:space="0" w:color="auto"/>
        <w:left w:val="none" w:sz="0" w:space="0" w:color="auto"/>
        <w:bottom w:val="none" w:sz="0" w:space="0" w:color="auto"/>
        <w:right w:val="none" w:sz="0" w:space="0" w:color="auto"/>
      </w:divBdr>
    </w:div>
    <w:div w:id="1112434934">
      <w:bodyDiv w:val="1"/>
      <w:marLeft w:val="0"/>
      <w:marRight w:val="0"/>
      <w:marTop w:val="0"/>
      <w:marBottom w:val="0"/>
      <w:divBdr>
        <w:top w:val="none" w:sz="0" w:space="0" w:color="auto"/>
        <w:left w:val="none" w:sz="0" w:space="0" w:color="auto"/>
        <w:bottom w:val="none" w:sz="0" w:space="0" w:color="auto"/>
        <w:right w:val="none" w:sz="0" w:space="0" w:color="auto"/>
      </w:divBdr>
    </w:div>
    <w:div w:id="1217083639">
      <w:bodyDiv w:val="1"/>
      <w:marLeft w:val="0"/>
      <w:marRight w:val="0"/>
      <w:marTop w:val="0"/>
      <w:marBottom w:val="0"/>
      <w:divBdr>
        <w:top w:val="none" w:sz="0" w:space="0" w:color="auto"/>
        <w:left w:val="none" w:sz="0" w:space="0" w:color="auto"/>
        <w:bottom w:val="none" w:sz="0" w:space="0" w:color="auto"/>
        <w:right w:val="none" w:sz="0" w:space="0" w:color="auto"/>
      </w:divBdr>
    </w:div>
    <w:div w:id="1224875662">
      <w:bodyDiv w:val="1"/>
      <w:marLeft w:val="0"/>
      <w:marRight w:val="0"/>
      <w:marTop w:val="0"/>
      <w:marBottom w:val="0"/>
      <w:divBdr>
        <w:top w:val="none" w:sz="0" w:space="0" w:color="auto"/>
        <w:left w:val="none" w:sz="0" w:space="0" w:color="auto"/>
        <w:bottom w:val="none" w:sz="0" w:space="0" w:color="auto"/>
        <w:right w:val="none" w:sz="0" w:space="0" w:color="auto"/>
      </w:divBdr>
    </w:div>
    <w:div w:id="1241401148">
      <w:bodyDiv w:val="1"/>
      <w:marLeft w:val="0"/>
      <w:marRight w:val="0"/>
      <w:marTop w:val="0"/>
      <w:marBottom w:val="0"/>
      <w:divBdr>
        <w:top w:val="none" w:sz="0" w:space="0" w:color="auto"/>
        <w:left w:val="none" w:sz="0" w:space="0" w:color="auto"/>
        <w:bottom w:val="none" w:sz="0" w:space="0" w:color="auto"/>
        <w:right w:val="none" w:sz="0" w:space="0" w:color="auto"/>
      </w:divBdr>
    </w:div>
    <w:div w:id="1250046538">
      <w:bodyDiv w:val="1"/>
      <w:marLeft w:val="0"/>
      <w:marRight w:val="0"/>
      <w:marTop w:val="0"/>
      <w:marBottom w:val="0"/>
      <w:divBdr>
        <w:top w:val="none" w:sz="0" w:space="0" w:color="auto"/>
        <w:left w:val="none" w:sz="0" w:space="0" w:color="auto"/>
        <w:bottom w:val="none" w:sz="0" w:space="0" w:color="auto"/>
        <w:right w:val="none" w:sz="0" w:space="0" w:color="auto"/>
      </w:divBdr>
    </w:div>
    <w:div w:id="1256787251">
      <w:bodyDiv w:val="1"/>
      <w:marLeft w:val="0"/>
      <w:marRight w:val="0"/>
      <w:marTop w:val="0"/>
      <w:marBottom w:val="0"/>
      <w:divBdr>
        <w:top w:val="none" w:sz="0" w:space="0" w:color="auto"/>
        <w:left w:val="none" w:sz="0" w:space="0" w:color="auto"/>
        <w:bottom w:val="none" w:sz="0" w:space="0" w:color="auto"/>
        <w:right w:val="none" w:sz="0" w:space="0" w:color="auto"/>
      </w:divBdr>
    </w:div>
    <w:div w:id="1272320654">
      <w:bodyDiv w:val="1"/>
      <w:marLeft w:val="0"/>
      <w:marRight w:val="0"/>
      <w:marTop w:val="0"/>
      <w:marBottom w:val="0"/>
      <w:divBdr>
        <w:top w:val="none" w:sz="0" w:space="0" w:color="auto"/>
        <w:left w:val="none" w:sz="0" w:space="0" w:color="auto"/>
        <w:bottom w:val="none" w:sz="0" w:space="0" w:color="auto"/>
        <w:right w:val="none" w:sz="0" w:space="0" w:color="auto"/>
      </w:divBdr>
    </w:div>
    <w:div w:id="1288122648">
      <w:bodyDiv w:val="1"/>
      <w:marLeft w:val="0"/>
      <w:marRight w:val="0"/>
      <w:marTop w:val="0"/>
      <w:marBottom w:val="0"/>
      <w:divBdr>
        <w:top w:val="none" w:sz="0" w:space="0" w:color="auto"/>
        <w:left w:val="none" w:sz="0" w:space="0" w:color="auto"/>
        <w:bottom w:val="none" w:sz="0" w:space="0" w:color="auto"/>
        <w:right w:val="none" w:sz="0" w:space="0" w:color="auto"/>
      </w:divBdr>
    </w:div>
    <w:div w:id="1300064142">
      <w:bodyDiv w:val="1"/>
      <w:marLeft w:val="0"/>
      <w:marRight w:val="0"/>
      <w:marTop w:val="0"/>
      <w:marBottom w:val="0"/>
      <w:divBdr>
        <w:top w:val="none" w:sz="0" w:space="0" w:color="auto"/>
        <w:left w:val="none" w:sz="0" w:space="0" w:color="auto"/>
        <w:bottom w:val="none" w:sz="0" w:space="0" w:color="auto"/>
        <w:right w:val="none" w:sz="0" w:space="0" w:color="auto"/>
      </w:divBdr>
    </w:div>
    <w:div w:id="1391419206">
      <w:bodyDiv w:val="1"/>
      <w:marLeft w:val="0"/>
      <w:marRight w:val="0"/>
      <w:marTop w:val="0"/>
      <w:marBottom w:val="0"/>
      <w:divBdr>
        <w:top w:val="none" w:sz="0" w:space="0" w:color="auto"/>
        <w:left w:val="none" w:sz="0" w:space="0" w:color="auto"/>
        <w:bottom w:val="none" w:sz="0" w:space="0" w:color="auto"/>
        <w:right w:val="none" w:sz="0" w:space="0" w:color="auto"/>
      </w:divBdr>
    </w:div>
    <w:div w:id="1565332427">
      <w:bodyDiv w:val="1"/>
      <w:marLeft w:val="0"/>
      <w:marRight w:val="0"/>
      <w:marTop w:val="0"/>
      <w:marBottom w:val="0"/>
      <w:divBdr>
        <w:top w:val="none" w:sz="0" w:space="0" w:color="auto"/>
        <w:left w:val="none" w:sz="0" w:space="0" w:color="auto"/>
        <w:bottom w:val="none" w:sz="0" w:space="0" w:color="auto"/>
        <w:right w:val="none" w:sz="0" w:space="0" w:color="auto"/>
      </w:divBdr>
    </w:div>
    <w:div w:id="1663584836">
      <w:bodyDiv w:val="1"/>
      <w:marLeft w:val="0"/>
      <w:marRight w:val="0"/>
      <w:marTop w:val="0"/>
      <w:marBottom w:val="0"/>
      <w:divBdr>
        <w:top w:val="none" w:sz="0" w:space="0" w:color="auto"/>
        <w:left w:val="none" w:sz="0" w:space="0" w:color="auto"/>
        <w:bottom w:val="none" w:sz="0" w:space="0" w:color="auto"/>
        <w:right w:val="none" w:sz="0" w:space="0" w:color="auto"/>
      </w:divBdr>
    </w:div>
    <w:div w:id="1675954552">
      <w:bodyDiv w:val="1"/>
      <w:marLeft w:val="0"/>
      <w:marRight w:val="0"/>
      <w:marTop w:val="0"/>
      <w:marBottom w:val="0"/>
      <w:divBdr>
        <w:top w:val="none" w:sz="0" w:space="0" w:color="auto"/>
        <w:left w:val="none" w:sz="0" w:space="0" w:color="auto"/>
        <w:bottom w:val="none" w:sz="0" w:space="0" w:color="auto"/>
        <w:right w:val="none" w:sz="0" w:space="0" w:color="auto"/>
      </w:divBdr>
    </w:div>
    <w:div w:id="1677003924">
      <w:bodyDiv w:val="1"/>
      <w:marLeft w:val="0"/>
      <w:marRight w:val="0"/>
      <w:marTop w:val="0"/>
      <w:marBottom w:val="0"/>
      <w:divBdr>
        <w:top w:val="none" w:sz="0" w:space="0" w:color="auto"/>
        <w:left w:val="none" w:sz="0" w:space="0" w:color="auto"/>
        <w:bottom w:val="none" w:sz="0" w:space="0" w:color="auto"/>
        <w:right w:val="none" w:sz="0" w:space="0" w:color="auto"/>
      </w:divBdr>
    </w:div>
    <w:div w:id="1852059481">
      <w:bodyDiv w:val="1"/>
      <w:marLeft w:val="0"/>
      <w:marRight w:val="0"/>
      <w:marTop w:val="0"/>
      <w:marBottom w:val="0"/>
      <w:divBdr>
        <w:top w:val="none" w:sz="0" w:space="0" w:color="auto"/>
        <w:left w:val="none" w:sz="0" w:space="0" w:color="auto"/>
        <w:bottom w:val="none" w:sz="0" w:space="0" w:color="auto"/>
        <w:right w:val="none" w:sz="0" w:space="0" w:color="auto"/>
      </w:divBdr>
    </w:div>
    <w:div w:id="1870339954">
      <w:bodyDiv w:val="1"/>
      <w:marLeft w:val="0"/>
      <w:marRight w:val="0"/>
      <w:marTop w:val="0"/>
      <w:marBottom w:val="0"/>
      <w:divBdr>
        <w:top w:val="none" w:sz="0" w:space="0" w:color="auto"/>
        <w:left w:val="none" w:sz="0" w:space="0" w:color="auto"/>
        <w:bottom w:val="none" w:sz="0" w:space="0" w:color="auto"/>
        <w:right w:val="none" w:sz="0" w:space="0" w:color="auto"/>
      </w:divBdr>
    </w:div>
    <w:div w:id="1884631923">
      <w:bodyDiv w:val="1"/>
      <w:marLeft w:val="0"/>
      <w:marRight w:val="0"/>
      <w:marTop w:val="0"/>
      <w:marBottom w:val="0"/>
      <w:divBdr>
        <w:top w:val="none" w:sz="0" w:space="0" w:color="auto"/>
        <w:left w:val="none" w:sz="0" w:space="0" w:color="auto"/>
        <w:bottom w:val="none" w:sz="0" w:space="0" w:color="auto"/>
        <w:right w:val="none" w:sz="0" w:space="0" w:color="auto"/>
      </w:divBdr>
    </w:div>
    <w:div w:id="1896970448">
      <w:bodyDiv w:val="1"/>
      <w:marLeft w:val="0"/>
      <w:marRight w:val="0"/>
      <w:marTop w:val="0"/>
      <w:marBottom w:val="0"/>
      <w:divBdr>
        <w:top w:val="none" w:sz="0" w:space="0" w:color="auto"/>
        <w:left w:val="none" w:sz="0" w:space="0" w:color="auto"/>
        <w:bottom w:val="none" w:sz="0" w:space="0" w:color="auto"/>
        <w:right w:val="none" w:sz="0" w:space="0" w:color="auto"/>
      </w:divBdr>
    </w:div>
    <w:div w:id="1914385551">
      <w:bodyDiv w:val="1"/>
      <w:marLeft w:val="0"/>
      <w:marRight w:val="0"/>
      <w:marTop w:val="0"/>
      <w:marBottom w:val="0"/>
      <w:divBdr>
        <w:top w:val="none" w:sz="0" w:space="0" w:color="auto"/>
        <w:left w:val="none" w:sz="0" w:space="0" w:color="auto"/>
        <w:bottom w:val="none" w:sz="0" w:space="0" w:color="auto"/>
        <w:right w:val="none" w:sz="0" w:space="0" w:color="auto"/>
      </w:divBdr>
    </w:div>
    <w:div w:id="2001809944">
      <w:bodyDiv w:val="1"/>
      <w:marLeft w:val="0"/>
      <w:marRight w:val="0"/>
      <w:marTop w:val="0"/>
      <w:marBottom w:val="0"/>
      <w:divBdr>
        <w:top w:val="none" w:sz="0" w:space="0" w:color="auto"/>
        <w:left w:val="none" w:sz="0" w:space="0" w:color="auto"/>
        <w:bottom w:val="none" w:sz="0" w:space="0" w:color="auto"/>
        <w:right w:val="none" w:sz="0" w:space="0" w:color="auto"/>
      </w:divBdr>
    </w:div>
    <w:div w:id="2045904797">
      <w:bodyDiv w:val="1"/>
      <w:marLeft w:val="0"/>
      <w:marRight w:val="0"/>
      <w:marTop w:val="0"/>
      <w:marBottom w:val="0"/>
      <w:divBdr>
        <w:top w:val="none" w:sz="0" w:space="0" w:color="auto"/>
        <w:left w:val="none" w:sz="0" w:space="0" w:color="auto"/>
        <w:bottom w:val="none" w:sz="0" w:space="0" w:color="auto"/>
        <w:right w:val="none" w:sz="0" w:space="0" w:color="auto"/>
      </w:divBdr>
    </w:div>
    <w:div w:id="2061664247">
      <w:bodyDiv w:val="1"/>
      <w:marLeft w:val="0"/>
      <w:marRight w:val="0"/>
      <w:marTop w:val="0"/>
      <w:marBottom w:val="0"/>
      <w:divBdr>
        <w:top w:val="none" w:sz="0" w:space="0" w:color="auto"/>
        <w:left w:val="none" w:sz="0" w:space="0" w:color="auto"/>
        <w:bottom w:val="none" w:sz="0" w:space="0" w:color="auto"/>
        <w:right w:val="none" w:sz="0" w:space="0" w:color="auto"/>
      </w:divBdr>
    </w:div>
    <w:div w:id="2090343315">
      <w:bodyDiv w:val="1"/>
      <w:marLeft w:val="0"/>
      <w:marRight w:val="0"/>
      <w:marTop w:val="0"/>
      <w:marBottom w:val="0"/>
      <w:divBdr>
        <w:top w:val="none" w:sz="0" w:space="0" w:color="auto"/>
        <w:left w:val="none" w:sz="0" w:space="0" w:color="auto"/>
        <w:bottom w:val="none" w:sz="0" w:space="0" w:color="auto"/>
        <w:right w:val="none" w:sz="0" w:space="0" w:color="auto"/>
      </w:divBdr>
    </w:div>
    <w:div w:id="211250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36</TotalTime>
  <Pages>22</Pages>
  <Words>7866</Words>
  <Characters>50199</Characters>
  <Application>Microsoft Office Word</Application>
  <DocSecurity>0</DocSecurity>
  <Lines>418</Lines>
  <Paragraphs>115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2024044567 mt</dc:description>
  <cp:lastModifiedBy>Hanne Thy Iversen</cp:lastModifiedBy>
  <cp:revision>13</cp:revision>
  <cp:lastPrinted>2012-08-22T08:53:00Z</cp:lastPrinted>
  <dcterms:created xsi:type="dcterms:W3CDTF">2025-10-06T12:08:00Z</dcterms:created>
  <dcterms:modified xsi:type="dcterms:W3CDTF">2025-10-07T08:26:00Z</dcterms:modified>
</cp:coreProperties>
</file>