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20FD0" w14:textId="77777777" w:rsidR="009260DE" w:rsidRPr="00AE3725" w:rsidRDefault="0021526C" w:rsidP="009260DE">
      <w:pPr>
        <w:rPr>
          <w:sz w:val="24"/>
          <w:szCs w:val="24"/>
        </w:rPr>
      </w:pPr>
      <w:bookmarkStart w:id="0" w:name="_GoBack"/>
      <w:bookmarkEnd w:id="0"/>
      <w:r w:rsidRPr="00AE3725">
        <w:rPr>
          <w:noProof/>
          <w:sz w:val="24"/>
          <w:szCs w:val="24"/>
          <w:lang w:eastAsia="da-DK"/>
        </w:rPr>
        <w:drawing>
          <wp:anchor distT="0" distB="0" distL="114300" distR="114300" simplePos="0" relativeHeight="251658240" behindDoc="0" locked="0" layoutInCell="1" allowOverlap="1" wp14:anchorId="11C289B9" wp14:editId="6F2A2B3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E3725">
        <w:rPr>
          <w:sz w:val="24"/>
          <w:szCs w:val="24"/>
        </w:rPr>
        <w:br w:type="textWrapping" w:clear="all"/>
      </w:r>
    </w:p>
    <w:p w14:paraId="20106F65" w14:textId="28B4990B" w:rsidR="009260DE" w:rsidRPr="00AE3725" w:rsidRDefault="009260DE" w:rsidP="009260DE">
      <w:pPr>
        <w:pStyle w:val="Titel"/>
        <w:tabs>
          <w:tab w:val="right" w:pos="9356"/>
        </w:tabs>
        <w:jc w:val="left"/>
        <w:rPr>
          <w:b w:val="0"/>
          <w:szCs w:val="24"/>
          <w:lang w:eastAsia="en-US"/>
        </w:rPr>
      </w:pPr>
      <w:r w:rsidRPr="00AE3725">
        <w:rPr>
          <w:b w:val="0"/>
          <w:szCs w:val="24"/>
          <w:lang w:eastAsia="en-US"/>
        </w:rPr>
        <w:tab/>
      </w:r>
      <w:r w:rsidR="00091A83">
        <w:rPr>
          <w:szCs w:val="24"/>
        </w:rPr>
        <w:t>23. april 2025</w:t>
      </w:r>
    </w:p>
    <w:p w14:paraId="318E268C" w14:textId="77777777" w:rsidR="009260DE" w:rsidRPr="00AE3725" w:rsidRDefault="009260DE" w:rsidP="009260DE">
      <w:pPr>
        <w:pStyle w:val="Titel"/>
        <w:tabs>
          <w:tab w:val="left" w:pos="8222"/>
        </w:tabs>
        <w:jc w:val="left"/>
        <w:rPr>
          <w:b w:val="0"/>
          <w:szCs w:val="24"/>
        </w:rPr>
      </w:pPr>
    </w:p>
    <w:p w14:paraId="35698CD2" w14:textId="77777777" w:rsidR="009260DE" w:rsidRPr="00AE3725" w:rsidRDefault="009260DE" w:rsidP="009260DE">
      <w:pPr>
        <w:pStyle w:val="Titel"/>
        <w:jc w:val="left"/>
        <w:rPr>
          <w:b w:val="0"/>
          <w:szCs w:val="24"/>
        </w:rPr>
      </w:pPr>
    </w:p>
    <w:p w14:paraId="2D4C2477" w14:textId="77777777" w:rsidR="009260DE" w:rsidRPr="00AE3725" w:rsidRDefault="009260DE" w:rsidP="009260DE">
      <w:pPr>
        <w:pStyle w:val="Titel"/>
        <w:jc w:val="left"/>
        <w:rPr>
          <w:b w:val="0"/>
          <w:szCs w:val="24"/>
        </w:rPr>
      </w:pPr>
    </w:p>
    <w:p w14:paraId="5D1FAA57" w14:textId="77777777" w:rsidR="009260DE" w:rsidRPr="00AE3725" w:rsidRDefault="009260DE" w:rsidP="009260DE">
      <w:pPr>
        <w:jc w:val="center"/>
        <w:rPr>
          <w:b/>
          <w:sz w:val="24"/>
          <w:szCs w:val="24"/>
        </w:rPr>
      </w:pPr>
      <w:r w:rsidRPr="00AE3725">
        <w:rPr>
          <w:b/>
          <w:sz w:val="24"/>
          <w:szCs w:val="24"/>
        </w:rPr>
        <w:t>PRODUKTRESUMÉ</w:t>
      </w:r>
    </w:p>
    <w:p w14:paraId="22D6C5E4" w14:textId="77777777" w:rsidR="009260DE" w:rsidRPr="00AE3725" w:rsidRDefault="009260DE" w:rsidP="009260DE">
      <w:pPr>
        <w:jc w:val="center"/>
        <w:rPr>
          <w:b/>
          <w:sz w:val="24"/>
          <w:szCs w:val="24"/>
        </w:rPr>
      </w:pPr>
    </w:p>
    <w:p w14:paraId="24728017" w14:textId="77777777" w:rsidR="009260DE" w:rsidRPr="00AE3725" w:rsidRDefault="009260DE" w:rsidP="009260DE">
      <w:pPr>
        <w:jc w:val="center"/>
        <w:rPr>
          <w:b/>
          <w:sz w:val="24"/>
          <w:szCs w:val="24"/>
        </w:rPr>
      </w:pPr>
      <w:r w:rsidRPr="00AE3725">
        <w:rPr>
          <w:b/>
          <w:sz w:val="24"/>
          <w:szCs w:val="24"/>
        </w:rPr>
        <w:t>for</w:t>
      </w:r>
    </w:p>
    <w:p w14:paraId="57A8B80A" w14:textId="77777777" w:rsidR="000B058C" w:rsidRPr="00AE3725" w:rsidRDefault="000B058C" w:rsidP="009260DE">
      <w:pPr>
        <w:jc w:val="center"/>
        <w:rPr>
          <w:b/>
          <w:sz w:val="24"/>
          <w:szCs w:val="24"/>
        </w:rPr>
      </w:pPr>
    </w:p>
    <w:p w14:paraId="7EA92E9F" w14:textId="726E26C5" w:rsidR="009260DE" w:rsidRPr="00AE3725" w:rsidRDefault="002815F4" w:rsidP="009260DE">
      <w:pPr>
        <w:jc w:val="center"/>
        <w:rPr>
          <w:b/>
          <w:sz w:val="24"/>
          <w:szCs w:val="24"/>
        </w:rPr>
      </w:pPr>
      <w:r w:rsidRPr="00AE3725">
        <w:rPr>
          <w:b/>
          <w:sz w:val="24"/>
          <w:szCs w:val="24"/>
        </w:rPr>
        <w:t xml:space="preserve">Safinamide </w:t>
      </w:r>
      <w:r w:rsidR="00AE3725">
        <w:rPr>
          <w:b/>
          <w:sz w:val="24"/>
          <w:szCs w:val="24"/>
        </w:rPr>
        <w:t>"</w:t>
      </w:r>
      <w:proofErr w:type="spellStart"/>
      <w:r w:rsidRPr="00AE3725">
        <w:rPr>
          <w:b/>
          <w:sz w:val="24"/>
          <w:szCs w:val="24"/>
        </w:rPr>
        <w:t>Vivanta</w:t>
      </w:r>
      <w:proofErr w:type="spellEnd"/>
      <w:r w:rsidR="00AE3725">
        <w:rPr>
          <w:b/>
          <w:sz w:val="24"/>
          <w:szCs w:val="24"/>
        </w:rPr>
        <w:t>"</w:t>
      </w:r>
      <w:r w:rsidRPr="00AE3725">
        <w:rPr>
          <w:b/>
          <w:sz w:val="24"/>
          <w:szCs w:val="24"/>
        </w:rPr>
        <w:t>, filmovertrukne tabletter</w:t>
      </w:r>
    </w:p>
    <w:p w14:paraId="3B6E858B" w14:textId="77777777" w:rsidR="009260DE" w:rsidRPr="00AE3725" w:rsidRDefault="009260DE" w:rsidP="009260DE">
      <w:pPr>
        <w:jc w:val="both"/>
        <w:rPr>
          <w:sz w:val="24"/>
          <w:szCs w:val="24"/>
        </w:rPr>
      </w:pPr>
    </w:p>
    <w:p w14:paraId="1A060209" w14:textId="77777777" w:rsidR="009260DE" w:rsidRPr="00AE3725" w:rsidRDefault="009260DE" w:rsidP="009260DE">
      <w:pPr>
        <w:jc w:val="both"/>
        <w:rPr>
          <w:sz w:val="24"/>
          <w:szCs w:val="24"/>
        </w:rPr>
      </w:pPr>
    </w:p>
    <w:p w14:paraId="7388D341" w14:textId="77777777" w:rsidR="009260DE" w:rsidRPr="00AE3725" w:rsidRDefault="009260DE" w:rsidP="009260DE">
      <w:pPr>
        <w:tabs>
          <w:tab w:val="left" w:pos="851"/>
        </w:tabs>
        <w:ind w:left="851" w:hanging="851"/>
        <w:rPr>
          <w:b/>
          <w:sz w:val="24"/>
          <w:szCs w:val="24"/>
        </w:rPr>
      </w:pPr>
      <w:r w:rsidRPr="00AE3725">
        <w:rPr>
          <w:b/>
          <w:sz w:val="24"/>
          <w:szCs w:val="24"/>
        </w:rPr>
        <w:t>0.</w:t>
      </w:r>
      <w:r w:rsidRPr="00AE3725">
        <w:rPr>
          <w:b/>
          <w:sz w:val="24"/>
          <w:szCs w:val="24"/>
        </w:rPr>
        <w:tab/>
        <w:t>D.SP.NR.</w:t>
      </w:r>
    </w:p>
    <w:p w14:paraId="631D6976" w14:textId="2005CFA8" w:rsidR="009260DE" w:rsidRPr="00AE3725" w:rsidRDefault="002815F4" w:rsidP="009260DE">
      <w:pPr>
        <w:tabs>
          <w:tab w:val="left" w:pos="851"/>
        </w:tabs>
        <w:ind w:left="851"/>
        <w:rPr>
          <w:sz w:val="24"/>
          <w:szCs w:val="24"/>
        </w:rPr>
      </w:pPr>
      <w:r w:rsidRPr="00AE3725">
        <w:rPr>
          <w:sz w:val="24"/>
          <w:szCs w:val="24"/>
        </w:rPr>
        <w:t>33636</w:t>
      </w:r>
    </w:p>
    <w:p w14:paraId="7A63AFA7" w14:textId="77777777" w:rsidR="009260DE" w:rsidRPr="00AE3725" w:rsidRDefault="009260DE" w:rsidP="009260DE">
      <w:pPr>
        <w:tabs>
          <w:tab w:val="left" w:pos="851"/>
        </w:tabs>
        <w:ind w:left="851"/>
        <w:rPr>
          <w:sz w:val="24"/>
          <w:szCs w:val="24"/>
        </w:rPr>
      </w:pPr>
    </w:p>
    <w:p w14:paraId="5D568710" w14:textId="77777777" w:rsidR="009260DE" w:rsidRPr="00AE3725" w:rsidRDefault="009260DE" w:rsidP="009260DE">
      <w:pPr>
        <w:tabs>
          <w:tab w:val="left" w:pos="851"/>
        </w:tabs>
        <w:ind w:left="851" w:hanging="851"/>
        <w:rPr>
          <w:b/>
          <w:sz w:val="24"/>
          <w:szCs w:val="24"/>
        </w:rPr>
      </w:pPr>
      <w:r w:rsidRPr="00AE3725">
        <w:rPr>
          <w:b/>
          <w:sz w:val="24"/>
          <w:szCs w:val="24"/>
        </w:rPr>
        <w:t>1.</w:t>
      </w:r>
      <w:r w:rsidRPr="00AE3725">
        <w:rPr>
          <w:b/>
          <w:sz w:val="24"/>
          <w:szCs w:val="24"/>
        </w:rPr>
        <w:tab/>
        <w:t>LÆGEMIDLETS NAVN</w:t>
      </w:r>
    </w:p>
    <w:p w14:paraId="5B885225" w14:textId="6A8117F8" w:rsidR="009260DE" w:rsidRPr="00AE3725" w:rsidRDefault="002815F4" w:rsidP="009260DE">
      <w:pPr>
        <w:tabs>
          <w:tab w:val="left" w:pos="851"/>
        </w:tabs>
        <w:ind w:left="851"/>
        <w:rPr>
          <w:sz w:val="24"/>
          <w:szCs w:val="24"/>
        </w:rPr>
      </w:pPr>
      <w:r w:rsidRPr="00AE3725">
        <w:rPr>
          <w:sz w:val="24"/>
          <w:szCs w:val="24"/>
        </w:rPr>
        <w:t xml:space="preserve">Safinamide </w:t>
      </w:r>
      <w:r w:rsidR="00AE3725">
        <w:rPr>
          <w:sz w:val="24"/>
          <w:szCs w:val="24"/>
        </w:rPr>
        <w:t>"</w:t>
      </w:r>
      <w:proofErr w:type="spellStart"/>
      <w:r w:rsidRPr="00AE3725">
        <w:rPr>
          <w:sz w:val="24"/>
          <w:szCs w:val="24"/>
        </w:rPr>
        <w:t>Vivanta</w:t>
      </w:r>
      <w:proofErr w:type="spellEnd"/>
      <w:r w:rsidR="00AE3725">
        <w:rPr>
          <w:sz w:val="24"/>
          <w:szCs w:val="24"/>
        </w:rPr>
        <w:t>"</w:t>
      </w:r>
    </w:p>
    <w:p w14:paraId="17C42D69" w14:textId="77777777" w:rsidR="009260DE" w:rsidRPr="00AE3725" w:rsidRDefault="009260DE" w:rsidP="009260DE">
      <w:pPr>
        <w:tabs>
          <w:tab w:val="left" w:pos="851"/>
        </w:tabs>
        <w:ind w:left="851"/>
        <w:rPr>
          <w:sz w:val="24"/>
          <w:szCs w:val="24"/>
        </w:rPr>
      </w:pPr>
    </w:p>
    <w:p w14:paraId="5C0ED20F" w14:textId="77777777" w:rsidR="009260DE" w:rsidRPr="00AE3725" w:rsidRDefault="009260DE" w:rsidP="009260DE">
      <w:pPr>
        <w:tabs>
          <w:tab w:val="left" w:pos="851"/>
        </w:tabs>
        <w:ind w:left="851" w:hanging="851"/>
        <w:rPr>
          <w:b/>
          <w:sz w:val="24"/>
          <w:szCs w:val="24"/>
        </w:rPr>
      </w:pPr>
      <w:r w:rsidRPr="00AE3725">
        <w:rPr>
          <w:b/>
          <w:sz w:val="24"/>
          <w:szCs w:val="24"/>
        </w:rPr>
        <w:t>2.</w:t>
      </w:r>
      <w:r w:rsidRPr="00AE3725">
        <w:rPr>
          <w:b/>
          <w:sz w:val="24"/>
          <w:szCs w:val="24"/>
        </w:rPr>
        <w:tab/>
        <w:t>KVALITATIV OG KVANTITATIV SAMMENSÆTNING</w:t>
      </w:r>
    </w:p>
    <w:p w14:paraId="1C8BA90E" w14:textId="77777777" w:rsidR="00AE3725" w:rsidRDefault="00AE3725" w:rsidP="001561DD">
      <w:pPr>
        <w:ind w:left="851"/>
        <w:rPr>
          <w:sz w:val="24"/>
          <w:szCs w:val="24"/>
          <w:lang w:val="nn-NO"/>
        </w:rPr>
      </w:pPr>
    </w:p>
    <w:p w14:paraId="18A8AAF9" w14:textId="06247F45" w:rsidR="004223FE" w:rsidRPr="00AE3725" w:rsidRDefault="004223FE" w:rsidP="001561DD">
      <w:pPr>
        <w:ind w:left="851"/>
        <w:rPr>
          <w:sz w:val="24"/>
          <w:szCs w:val="24"/>
          <w:highlight w:val="green"/>
          <w:u w:val="single"/>
          <w:lang w:val="nn-NO"/>
        </w:rPr>
      </w:pPr>
      <w:r w:rsidRPr="00AE3725">
        <w:rPr>
          <w:sz w:val="24"/>
          <w:szCs w:val="24"/>
          <w:u w:val="single"/>
          <w:lang w:val="nn-NO"/>
        </w:rPr>
        <w:t xml:space="preserve">Safinamid </w:t>
      </w:r>
      <w:r w:rsidR="00AE3725">
        <w:rPr>
          <w:sz w:val="24"/>
          <w:szCs w:val="24"/>
          <w:u w:val="single"/>
          <w:lang w:val="nn-NO"/>
        </w:rPr>
        <w:t>"</w:t>
      </w:r>
      <w:r w:rsidRPr="00AE3725">
        <w:rPr>
          <w:sz w:val="24"/>
          <w:szCs w:val="24"/>
          <w:u w:val="single"/>
          <w:lang w:val="nn-NO"/>
        </w:rPr>
        <w:t>Vivanta</w:t>
      </w:r>
      <w:r w:rsidR="00AE3725">
        <w:rPr>
          <w:sz w:val="24"/>
          <w:szCs w:val="24"/>
          <w:u w:val="single"/>
          <w:lang w:val="nn-NO"/>
        </w:rPr>
        <w:t>"</w:t>
      </w:r>
      <w:r w:rsidRPr="00AE3725">
        <w:rPr>
          <w:sz w:val="24"/>
          <w:szCs w:val="24"/>
          <w:u w:val="single"/>
          <w:lang w:val="nn-NO"/>
        </w:rPr>
        <w:t xml:space="preserve"> 50 mg filmovertrukne tabletter</w:t>
      </w:r>
    </w:p>
    <w:p w14:paraId="19B3C496" w14:textId="77777777" w:rsidR="004223FE" w:rsidRPr="00AE3725" w:rsidRDefault="004223FE" w:rsidP="001561DD">
      <w:pPr>
        <w:ind w:left="851"/>
        <w:rPr>
          <w:sz w:val="24"/>
          <w:szCs w:val="24"/>
          <w:highlight w:val="green"/>
          <w:lang w:val="nn-NO"/>
        </w:rPr>
      </w:pPr>
      <w:r w:rsidRPr="00AE3725">
        <w:rPr>
          <w:sz w:val="24"/>
          <w:szCs w:val="24"/>
          <w:lang w:val="nn-NO"/>
        </w:rPr>
        <w:t>Hver filmovertrukket tablet indeholder safinamid methansulfonat svarende til 50 mg safinamid.</w:t>
      </w:r>
    </w:p>
    <w:p w14:paraId="208975D3" w14:textId="77777777" w:rsidR="004223FE" w:rsidRPr="00AE3725" w:rsidRDefault="004223FE" w:rsidP="001561DD">
      <w:pPr>
        <w:ind w:left="851"/>
        <w:rPr>
          <w:sz w:val="24"/>
          <w:szCs w:val="24"/>
          <w:highlight w:val="green"/>
          <w:lang w:val="nn-NO"/>
        </w:rPr>
      </w:pPr>
    </w:p>
    <w:p w14:paraId="5479F67E" w14:textId="617B7548" w:rsidR="004223FE" w:rsidRPr="00AE3725" w:rsidRDefault="004223FE" w:rsidP="001561DD">
      <w:pPr>
        <w:ind w:left="851"/>
        <w:rPr>
          <w:sz w:val="24"/>
          <w:szCs w:val="24"/>
          <w:u w:val="single"/>
          <w:lang w:val="nn-NO"/>
        </w:rPr>
      </w:pPr>
      <w:r w:rsidRPr="00AE3725">
        <w:rPr>
          <w:sz w:val="24"/>
          <w:szCs w:val="24"/>
          <w:u w:val="single"/>
          <w:lang w:val="nn-NO"/>
        </w:rPr>
        <w:t xml:space="preserve">Safinamid </w:t>
      </w:r>
      <w:r w:rsidR="00AE3725">
        <w:rPr>
          <w:sz w:val="24"/>
          <w:szCs w:val="24"/>
          <w:u w:val="single"/>
          <w:lang w:val="nn-NO"/>
        </w:rPr>
        <w:t>"</w:t>
      </w:r>
      <w:r w:rsidRPr="00AE3725">
        <w:rPr>
          <w:sz w:val="24"/>
          <w:szCs w:val="24"/>
          <w:u w:val="single"/>
          <w:lang w:val="nn-NO"/>
        </w:rPr>
        <w:t>Vivanta</w:t>
      </w:r>
      <w:r w:rsidR="00AE3725">
        <w:rPr>
          <w:sz w:val="24"/>
          <w:szCs w:val="24"/>
          <w:u w:val="single"/>
          <w:lang w:val="nn-NO"/>
        </w:rPr>
        <w:t>"</w:t>
      </w:r>
      <w:r w:rsidRPr="00AE3725">
        <w:rPr>
          <w:sz w:val="24"/>
          <w:szCs w:val="24"/>
          <w:u w:val="single"/>
          <w:lang w:val="nn-NO"/>
        </w:rPr>
        <w:t xml:space="preserve"> 100 mg filmovertrukne tabletter</w:t>
      </w:r>
    </w:p>
    <w:p w14:paraId="65F22D9E" w14:textId="77777777" w:rsidR="004223FE" w:rsidRPr="00AE3725" w:rsidRDefault="004223FE" w:rsidP="001561DD">
      <w:pPr>
        <w:ind w:left="851"/>
        <w:rPr>
          <w:sz w:val="24"/>
          <w:szCs w:val="24"/>
          <w:lang w:val="nn-NO"/>
        </w:rPr>
      </w:pPr>
      <w:r w:rsidRPr="00AE3725">
        <w:rPr>
          <w:sz w:val="24"/>
          <w:szCs w:val="24"/>
          <w:lang w:val="nn-NO"/>
        </w:rPr>
        <w:t>Hver filmovertrukket tablet indeholder safinamid methansulfonat svarende til 100 mg safinamid</w:t>
      </w:r>
    </w:p>
    <w:p w14:paraId="16CCEB2E" w14:textId="77777777" w:rsidR="004223FE" w:rsidRPr="00AE3725" w:rsidRDefault="004223FE" w:rsidP="001561DD">
      <w:pPr>
        <w:ind w:left="851"/>
        <w:rPr>
          <w:sz w:val="24"/>
          <w:szCs w:val="24"/>
          <w:lang w:val="nn-NO"/>
        </w:rPr>
      </w:pPr>
    </w:p>
    <w:p w14:paraId="4E6702F3" w14:textId="77777777" w:rsidR="004223FE" w:rsidRPr="00AE3725" w:rsidRDefault="004223FE" w:rsidP="001561DD">
      <w:pPr>
        <w:ind w:left="851"/>
        <w:rPr>
          <w:sz w:val="24"/>
          <w:szCs w:val="24"/>
          <w:highlight w:val="green"/>
        </w:rPr>
      </w:pPr>
      <w:r w:rsidRPr="00AE3725">
        <w:rPr>
          <w:sz w:val="24"/>
          <w:szCs w:val="24"/>
        </w:rPr>
        <w:t>Alle hjælpestoffer er anført under pkt. 6.1.</w:t>
      </w:r>
    </w:p>
    <w:p w14:paraId="17D692F1" w14:textId="77777777" w:rsidR="009260DE" w:rsidRPr="00AE3725" w:rsidRDefault="009260DE" w:rsidP="009260DE">
      <w:pPr>
        <w:tabs>
          <w:tab w:val="left" w:pos="851"/>
        </w:tabs>
        <w:ind w:left="851"/>
        <w:rPr>
          <w:sz w:val="24"/>
          <w:szCs w:val="24"/>
        </w:rPr>
      </w:pPr>
    </w:p>
    <w:p w14:paraId="1DCFD842" w14:textId="77777777" w:rsidR="009260DE" w:rsidRPr="00AE3725" w:rsidRDefault="009260DE" w:rsidP="009260DE">
      <w:pPr>
        <w:tabs>
          <w:tab w:val="left" w:pos="851"/>
        </w:tabs>
        <w:ind w:left="851" w:hanging="851"/>
        <w:rPr>
          <w:b/>
          <w:sz w:val="24"/>
          <w:szCs w:val="24"/>
        </w:rPr>
      </w:pPr>
      <w:r w:rsidRPr="00AE3725">
        <w:rPr>
          <w:b/>
          <w:sz w:val="24"/>
          <w:szCs w:val="24"/>
        </w:rPr>
        <w:t>3.</w:t>
      </w:r>
      <w:r w:rsidRPr="00AE3725">
        <w:rPr>
          <w:b/>
          <w:sz w:val="24"/>
          <w:szCs w:val="24"/>
        </w:rPr>
        <w:tab/>
        <w:t>LÆGEMIDDELFORM</w:t>
      </w:r>
    </w:p>
    <w:p w14:paraId="35FBC885" w14:textId="47E73392" w:rsidR="004223FE" w:rsidRPr="00AE3725" w:rsidRDefault="004223FE" w:rsidP="001561DD">
      <w:pPr>
        <w:autoSpaceDE w:val="0"/>
        <w:autoSpaceDN w:val="0"/>
        <w:adjustRightInd w:val="0"/>
        <w:ind w:left="851"/>
        <w:rPr>
          <w:sz w:val="24"/>
          <w:szCs w:val="24"/>
        </w:rPr>
      </w:pPr>
      <w:r w:rsidRPr="00AE3725">
        <w:rPr>
          <w:sz w:val="24"/>
          <w:szCs w:val="24"/>
        </w:rPr>
        <w:t>Filmovertrukket tablet (tablet)</w:t>
      </w:r>
    </w:p>
    <w:p w14:paraId="17487015" w14:textId="77777777" w:rsidR="004223FE" w:rsidRPr="00AE3725" w:rsidRDefault="004223FE" w:rsidP="001561DD">
      <w:pPr>
        <w:autoSpaceDE w:val="0"/>
        <w:autoSpaceDN w:val="0"/>
        <w:adjustRightInd w:val="0"/>
        <w:ind w:left="851"/>
        <w:rPr>
          <w:sz w:val="24"/>
          <w:szCs w:val="24"/>
        </w:rPr>
      </w:pPr>
    </w:p>
    <w:p w14:paraId="5100A055" w14:textId="715924A4" w:rsidR="004223FE" w:rsidRPr="00AE3725" w:rsidRDefault="004223FE" w:rsidP="001561DD">
      <w:pPr>
        <w:autoSpaceDE w:val="0"/>
        <w:autoSpaceDN w:val="0"/>
        <w:adjustRightInd w:val="0"/>
        <w:ind w:left="851"/>
        <w:rPr>
          <w:sz w:val="24"/>
          <w:szCs w:val="24"/>
          <w:u w:val="single"/>
        </w:rPr>
      </w:pPr>
      <w:r w:rsidRPr="00AE3725">
        <w:rPr>
          <w:sz w:val="24"/>
          <w:szCs w:val="24"/>
          <w:u w:val="single"/>
        </w:rPr>
        <w:t xml:space="preserve">Safinamid </w:t>
      </w:r>
      <w:r w:rsidR="00AE3725">
        <w:rPr>
          <w:sz w:val="24"/>
          <w:szCs w:val="24"/>
          <w:u w:val="single"/>
        </w:rPr>
        <w:t>"</w:t>
      </w:r>
      <w:proofErr w:type="spellStart"/>
      <w:r w:rsidRPr="00AE3725">
        <w:rPr>
          <w:sz w:val="24"/>
          <w:szCs w:val="24"/>
          <w:u w:val="single"/>
        </w:rPr>
        <w:t>Vivanta</w:t>
      </w:r>
      <w:proofErr w:type="spellEnd"/>
      <w:r w:rsidR="00AE3725">
        <w:rPr>
          <w:sz w:val="24"/>
          <w:szCs w:val="24"/>
          <w:u w:val="single"/>
        </w:rPr>
        <w:t>"</w:t>
      </w:r>
      <w:r w:rsidRPr="00AE3725">
        <w:rPr>
          <w:sz w:val="24"/>
          <w:szCs w:val="24"/>
          <w:u w:val="single"/>
        </w:rPr>
        <w:t xml:space="preserve"> 50 mg filmovertrukne tabletter</w:t>
      </w:r>
    </w:p>
    <w:p w14:paraId="2013BA64" w14:textId="63384CF5" w:rsidR="004223FE" w:rsidRPr="00AE3725" w:rsidRDefault="004223FE" w:rsidP="001561DD">
      <w:pPr>
        <w:autoSpaceDE w:val="0"/>
        <w:autoSpaceDN w:val="0"/>
        <w:adjustRightInd w:val="0"/>
        <w:ind w:left="851"/>
        <w:rPr>
          <w:sz w:val="24"/>
          <w:szCs w:val="24"/>
        </w:rPr>
      </w:pPr>
      <w:r w:rsidRPr="00AE3725">
        <w:rPr>
          <w:sz w:val="24"/>
          <w:szCs w:val="24"/>
        </w:rPr>
        <w:t xml:space="preserve">Orangefarvet, rund, filmovertrukket tablet (ca. 7 mm i diameter) med metallisk glans, præget med </w:t>
      </w:r>
      <w:r w:rsidR="00AE3725">
        <w:rPr>
          <w:sz w:val="24"/>
          <w:szCs w:val="24"/>
        </w:rPr>
        <w:t>"</w:t>
      </w:r>
      <w:r w:rsidRPr="00AE3725">
        <w:rPr>
          <w:sz w:val="24"/>
          <w:szCs w:val="24"/>
        </w:rPr>
        <w:t>MS</w:t>
      </w:r>
      <w:r w:rsidR="00AE3725">
        <w:rPr>
          <w:sz w:val="24"/>
          <w:szCs w:val="24"/>
        </w:rPr>
        <w:t>"</w:t>
      </w:r>
      <w:r w:rsidRPr="00AE3725">
        <w:rPr>
          <w:sz w:val="24"/>
          <w:szCs w:val="24"/>
        </w:rPr>
        <w:t xml:space="preserve"> på den ene side og </w:t>
      </w:r>
      <w:r w:rsidR="00AE3725">
        <w:rPr>
          <w:sz w:val="24"/>
          <w:szCs w:val="24"/>
        </w:rPr>
        <w:t>"</w:t>
      </w:r>
      <w:r w:rsidRPr="00AE3725">
        <w:rPr>
          <w:sz w:val="24"/>
          <w:szCs w:val="24"/>
        </w:rPr>
        <w:t>18</w:t>
      </w:r>
      <w:r w:rsidR="00AE3725">
        <w:rPr>
          <w:sz w:val="24"/>
          <w:szCs w:val="24"/>
        </w:rPr>
        <w:t>"</w:t>
      </w:r>
      <w:r w:rsidRPr="00AE3725">
        <w:rPr>
          <w:sz w:val="24"/>
          <w:szCs w:val="24"/>
        </w:rPr>
        <w:t xml:space="preserve"> på den anden side.</w:t>
      </w:r>
    </w:p>
    <w:p w14:paraId="2FE25C2E" w14:textId="77777777" w:rsidR="004223FE" w:rsidRPr="00AE3725" w:rsidRDefault="004223FE" w:rsidP="001561DD">
      <w:pPr>
        <w:autoSpaceDE w:val="0"/>
        <w:autoSpaceDN w:val="0"/>
        <w:adjustRightInd w:val="0"/>
        <w:ind w:left="851"/>
        <w:rPr>
          <w:sz w:val="24"/>
          <w:szCs w:val="24"/>
        </w:rPr>
      </w:pPr>
    </w:p>
    <w:p w14:paraId="19F71FFD" w14:textId="038D8441" w:rsidR="004223FE" w:rsidRPr="00AE3725" w:rsidRDefault="004223FE" w:rsidP="001561DD">
      <w:pPr>
        <w:autoSpaceDE w:val="0"/>
        <w:autoSpaceDN w:val="0"/>
        <w:adjustRightInd w:val="0"/>
        <w:ind w:left="851"/>
        <w:rPr>
          <w:sz w:val="24"/>
          <w:szCs w:val="24"/>
          <w:u w:val="single"/>
        </w:rPr>
      </w:pPr>
      <w:r w:rsidRPr="00AE3725">
        <w:rPr>
          <w:sz w:val="24"/>
          <w:szCs w:val="24"/>
          <w:u w:val="single"/>
        </w:rPr>
        <w:t xml:space="preserve">Safinamid </w:t>
      </w:r>
      <w:r w:rsidR="00AE3725">
        <w:rPr>
          <w:sz w:val="24"/>
          <w:szCs w:val="24"/>
          <w:u w:val="single"/>
        </w:rPr>
        <w:t>"</w:t>
      </w:r>
      <w:proofErr w:type="spellStart"/>
      <w:r w:rsidRPr="00AE3725">
        <w:rPr>
          <w:sz w:val="24"/>
          <w:szCs w:val="24"/>
          <w:u w:val="single"/>
        </w:rPr>
        <w:t>Vivanta</w:t>
      </w:r>
      <w:proofErr w:type="spellEnd"/>
      <w:r w:rsidR="00AE3725">
        <w:rPr>
          <w:sz w:val="24"/>
          <w:szCs w:val="24"/>
          <w:u w:val="single"/>
        </w:rPr>
        <w:t>"</w:t>
      </w:r>
      <w:r w:rsidRPr="00AE3725">
        <w:rPr>
          <w:sz w:val="24"/>
          <w:szCs w:val="24"/>
          <w:u w:val="single"/>
        </w:rPr>
        <w:t xml:space="preserve"> 100 mg filmovertrukne tabletter</w:t>
      </w:r>
    </w:p>
    <w:p w14:paraId="3892E721" w14:textId="16B22584" w:rsidR="004223FE" w:rsidRPr="00AE3725" w:rsidRDefault="004223FE" w:rsidP="001561DD">
      <w:pPr>
        <w:autoSpaceDE w:val="0"/>
        <w:autoSpaceDN w:val="0"/>
        <w:adjustRightInd w:val="0"/>
        <w:ind w:left="851"/>
        <w:rPr>
          <w:sz w:val="24"/>
          <w:szCs w:val="24"/>
        </w:rPr>
      </w:pPr>
      <w:r w:rsidRPr="00AE3725">
        <w:rPr>
          <w:sz w:val="24"/>
          <w:szCs w:val="24"/>
        </w:rPr>
        <w:t xml:space="preserve">Orangefarvet, rund, filmovertrukket tablet (ca. 9 mm i diameter) med metallisk glans, præget med </w:t>
      </w:r>
      <w:r w:rsidR="00AE3725">
        <w:rPr>
          <w:sz w:val="24"/>
          <w:szCs w:val="24"/>
        </w:rPr>
        <w:t>"</w:t>
      </w:r>
      <w:r w:rsidRPr="00AE3725">
        <w:rPr>
          <w:sz w:val="24"/>
          <w:szCs w:val="24"/>
        </w:rPr>
        <w:t>MS</w:t>
      </w:r>
      <w:r w:rsidR="00AE3725">
        <w:rPr>
          <w:sz w:val="24"/>
          <w:szCs w:val="24"/>
        </w:rPr>
        <w:t>"</w:t>
      </w:r>
      <w:r w:rsidRPr="00AE3725">
        <w:rPr>
          <w:sz w:val="24"/>
          <w:szCs w:val="24"/>
        </w:rPr>
        <w:t xml:space="preserve"> på den ene side og </w:t>
      </w:r>
      <w:r w:rsidR="00AE3725">
        <w:rPr>
          <w:sz w:val="24"/>
          <w:szCs w:val="24"/>
        </w:rPr>
        <w:t>"</w:t>
      </w:r>
      <w:r w:rsidRPr="00AE3725">
        <w:rPr>
          <w:sz w:val="24"/>
          <w:szCs w:val="24"/>
        </w:rPr>
        <w:t>19</w:t>
      </w:r>
      <w:r w:rsidR="00AE3725">
        <w:rPr>
          <w:sz w:val="24"/>
          <w:szCs w:val="24"/>
        </w:rPr>
        <w:t>"</w:t>
      </w:r>
      <w:r w:rsidRPr="00AE3725">
        <w:rPr>
          <w:sz w:val="24"/>
          <w:szCs w:val="24"/>
        </w:rPr>
        <w:t xml:space="preserve"> på den anden side.</w:t>
      </w:r>
    </w:p>
    <w:p w14:paraId="4FC7626A" w14:textId="77777777" w:rsidR="009260DE" w:rsidRPr="00AE3725" w:rsidRDefault="009260DE" w:rsidP="009260DE">
      <w:pPr>
        <w:tabs>
          <w:tab w:val="left" w:pos="851"/>
        </w:tabs>
        <w:ind w:left="851"/>
        <w:rPr>
          <w:sz w:val="24"/>
          <w:szCs w:val="24"/>
        </w:rPr>
      </w:pPr>
    </w:p>
    <w:p w14:paraId="2F17633C" w14:textId="77777777" w:rsidR="009260DE" w:rsidRPr="00AE3725" w:rsidRDefault="009260DE" w:rsidP="009260DE">
      <w:pPr>
        <w:tabs>
          <w:tab w:val="left" w:pos="851"/>
        </w:tabs>
        <w:ind w:left="851"/>
        <w:rPr>
          <w:sz w:val="24"/>
          <w:szCs w:val="24"/>
        </w:rPr>
      </w:pPr>
    </w:p>
    <w:p w14:paraId="2F46CFC3" w14:textId="77777777" w:rsidR="009260DE" w:rsidRPr="00AE3725" w:rsidRDefault="009260DE" w:rsidP="009260DE">
      <w:pPr>
        <w:tabs>
          <w:tab w:val="left" w:pos="851"/>
        </w:tabs>
        <w:ind w:left="851" w:hanging="851"/>
        <w:rPr>
          <w:b/>
          <w:sz w:val="24"/>
          <w:szCs w:val="24"/>
        </w:rPr>
      </w:pPr>
      <w:r w:rsidRPr="00AE3725">
        <w:rPr>
          <w:b/>
          <w:sz w:val="24"/>
          <w:szCs w:val="24"/>
        </w:rPr>
        <w:t>4.</w:t>
      </w:r>
      <w:r w:rsidRPr="00AE3725">
        <w:rPr>
          <w:b/>
          <w:sz w:val="24"/>
          <w:szCs w:val="24"/>
        </w:rPr>
        <w:tab/>
        <w:t>KLINISKE OPLYSNINGER</w:t>
      </w:r>
    </w:p>
    <w:p w14:paraId="4A9D32F2" w14:textId="77777777" w:rsidR="009260DE" w:rsidRPr="00AE3725" w:rsidRDefault="009260DE" w:rsidP="009260DE">
      <w:pPr>
        <w:tabs>
          <w:tab w:val="left" w:pos="851"/>
        </w:tabs>
        <w:ind w:left="851"/>
        <w:rPr>
          <w:b/>
          <w:sz w:val="24"/>
          <w:szCs w:val="24"/>
        </w:rPr>
      </w:pPr>
    </w:p>
    <w:p w14:paraId="0BB85638" w14:textId="77777777" w:rsidR="009260DE" w:rsidRPr="00AE3725" w:rsidRDefault="009260DE" w:rsidP="009260DE">
      <w:pPr>
        <w:tabs>
          <w:tab w:val="left" w:pos="851"/>
        </w:tabs>
        <w:ind w:left="851" w:hanging="851"/>
        <w:rPr>
          <w:b/>
          <w:sz w:val="24"/>
          <w:szCs w:val="24"/>
          <w:u w:val="single"/>
        </w:rPr>
      </w:pPr>
      <w:r w:rsidRPr="00AE3725">
        <w:rPr>
          <w:b/>
          <w:sz w:val="24"/>
          <w:szCs w:val="24"/>
        </w:rPr>
        <w:t>4.1</w:t>
      </w:r>
      <w:r w:rsidRPr="00AE3725">
        <w:rPr>
          <w:b/>
          <w:sz w:val="24"/>
          <w:szCs w:val="24"/>
        </w:rPr>
        <w:tab/>
        <w:t>Terapeutiske indikationer</w:t>
      </w:r>
    </w:p>
    <w:p w14:paraId="4ED017CD" w14:textId="5D2CE9E0" w:rsidR="004223FE" w:rsidRPr="00AE3725" w:rsidRDefault="004223FE" w:rsidP="001561DD">
      <w:pPr>
        <w:autoSpaceDE w:val="0"/>
        <w:autoSpaceDN w:val="0"/>
        <w:adjustRightInd w:val="0"/>
        <w:ind w:left="851"/>
        <w:rPr>
          <w:sz w:val="24"/>
          <w:szCs w:val="24"/>
        </w:rPr>
      </w:pPr>
      <w:r w:rsidRPr="00AE3725">
        <w:rPr>
          <w:sz w:val="24"/>
          <w:szCs w:val="24"/>
        </w:rPr>
        <w:t xml:space="preserve">Safinamid </w:t>
      </w:r>
      <w:r w:rsidR="00AE3725">
        <w:rPr>
          <w:sz w:val="24"/>
          <w:szCs w:val="24"/>
        </w:rPr>
        <w:t>"</w:t>
      </w:r>
      <w:proofErr w:type="spellStart"/>
      <w:r w:rsidRPr="00AE3725">
        <w:rPr>
          <w:sz w:val="24"/>
          <w:szCs w:val="24"/>
        </w:rPr>
        <w:t>Vivanta</w:t>
      </w:r>
      <w:proofErr w:type="spellEnd"/>
      <w:r w:rsidR="00AE3725">
        <w:rPr>
          <w:sz w:val="24"/>
          <w:szCs w:val="24"/>
        </w:rPr>
        <w:t>"</w:t>
      </w:r>
      <w:r w:rsidRPr="00AE3725">
        <w:rPr>
          <w:sz w:val="24"/>
          <w:szCs w:val="24"/>
        </w:rPr>
        <w:t xml:space="preserve"> er indiceret til behandling af voksne patienter med idiopatisk Parkinsons sygdom (PD), som tillægsbehandling til en stabil dosis </w:t>
      </w:r>
      <w:proofErr w:type="spellStart"/>
      <w:r w:rsidRPr="00AE3725">
        <w:rPr>
          <w:sz w:val="24"/>
          <w:szCs w:val="24"/>
        </w:rPr>
        <w:t>levodopa</w:t>
      </w:r>
      <w:proofErr w:type="spellEnd"/>
      <w:r w:rsidRPr="00AE3725">
        <w:rPr>
          <w:sz w:val="24"/>
          <w:szCs w:val="24"/>
        </w:rPr>
        <w:t xml:space="preserve"> (L-</w:t>
      </w:r>
      <w:proofErr w:type="spellStart"/>
      <w:r w:rsidRPr="00AE3725">
        <w:rPr>
          <w:sz w:val="24"/>
          <w:szCs w:val="24"/>
        </w:rPr>
        <w:t>dopa</w:t>
      </w:r>
      <w:proofErr w:type="spellEnd"/>
      <w:r w:rsidRPr="00AE3725">
        <w:rPr>
          <w:sz w:val="24"/>
          <w:szCs w:val="24"/>
        </w:rPr>
        <w:t xml:space="preserve">) alene </w:t>
      </w:r>
      <w:r w:rsidRPr="00AE3725">
        <w:rPr>
          <w:sz w:val="24"/>
          <w:szCs w:val="24"/>
        </w:rPr>
        <w:lastRenderedPageBreak/>
        <w:t>eller i kombination med andre lægemidler mod PD hos fluktuerende patienter i mellemfasen eller den senere fase.</w:t>
      </w:r>
    </w:p>
    <w:p w14:paraId="07933550" w14:textId="77777777" w:rsidR="009260DE" w:rsidRPr="00AE3725" w:rsidRDefault="009260DE" w:rsidP="009260DE">
      <w:pPr>
        <w:tabs>
          <w:tab w:val="left" w:pos="851"/>
        </w:tabs>
        <w:ind w:left="851"/>
        <w:rPr>
          <w:sz w:val="24"/>
          <w:szCs w:val="24"/>
        </w:rPr>
      </w:pPr>
    </w:p>
    <w:p w14:paraId="3570E181" w14:textId="77777777" w:rsidR="009260DE" w:rsidRPr="00AE3725" w:rsidRDefault="009260DE" w:rsidP="009260DE">
      <w:pPr>
        <w:tabs>
          <w:tab w:val="left" w:pos="851"/>
        </w:tabs>
        <w:ind w:left="851" w:hanging="851"/>
        <w:rPr>
          <w:b/>
          <w:sz w:val="24"/>
          <w:szCs w:val="24"/>
        </w:rPr>
      </w:pPr>
      <w:r w:rsidRPr="00AE3725">
        <w:rPr>
          <w:b/>
          <w:sz w:val="24"/>
          <w:szCs w:val="24"/>
        </w:rPr>
        <w:t>4.2</w:t>
      </w:r>
      <w:r w:rsidRPr="00AE3725">
        <w:rPr>
          <w:b/>
          <w:sz w:val="24"/>
          <w:szCs w:val="24"/>
        </w:rPr>
        <w:tab/>
        <w:t xml:space="preserve">Dosering og </w:t>
      </w:r>
      <w:r w:rsidR="002C1EC0" w:rsidRPr="00AE3725">
        <w:rPr>
          <w:b/>
          <w:sz w:val="24"/>
          <w:szCs w:val="24"/>
        </w:rPr>
        <w:t>administration</w:t>
      </w:r>
    </w:p>
    <w:p w14:paraId="3ACF0476" w14:textId="77777777" w:rsidR="00AE3725" w:rsidRDefault="00AE3725" w:rsidP="001561DD">
      <w:pPr>
        <w:autoSpaceDE w:val="0"/>
        <w:autoSpaceDN w:val="0"/>
        <w:adjustRightInd w:val="0"/>
        <w:ind w:left="851"/>
        <w:rPr>
          <w:sz w:val="24"/>
          <w:szCs w:val="24"/>
          <w:u w:val="single"/>
        </w:rPr>
      </w:pPr>
    </w:p>
    <w:p w14:paraId="382E046D" w14:textId="4B55EF6D" w:rsidR="004223FE" w:rsidRPr="00AE3725" w:rsidRDefault="004223FE" w:rsidP="001561DD">
      <w:pPr>
        <w:autoSpaceDE w:val="0"/>
        <w:autoSpaceDN w:val="0"/>
        <w:adjustRightInd w:val="0"/>
        <w:ind w:left="851"/>
        <w:rPr>
          <w:sz w:val="24"/>
          <w:szCs w:val="24"/>
          <w:u w:val="single"/>
        </w:rPr>
      </w:pPr>
      <w:r w:rsidRPr="00AE3725">
        <w:rPr>
          <w:sz w:val="24"/>
          <w:szCs w:val="24"/>
          <w:u w:val="single"/>
        </w:rPr>
        <w:t>Dosering</w:t>
      </w:r>
    </w:p>
    <w:p w14:paraId="586C9593" w14:textId="77777777" w:rsidR="004223FE" w:rsidRPr="00AE3725" w:rsidRDefault="004223FE" w:rsidP="001561DD">
      <w:pPr>
        <w:autoSpaceDE w:val="0"/>
        <w:autoSpaceDN w:val="0"/>
        <w:adjustRightInd w:val="0"/>
        <w:ind w:left="851"/>
        <w:rPr>
          <w:sz w:val="24"/>
          <w:szCs w:val="24"/>
        </w:rPr>
      </w:pPr>
    </w:p>
    <w:p w14:paraId="67780A09" w14:textId="7A2751DB" w:rsidR="004223FE" w:rsidRPr="00AE3725" w:rsidRDefault="004223FE" w:rsidP="001561DD">
      <w:pPr>
        <w:autoSpaceDE w:val="0"/>
        <w:autoSpaceDN w:val="0"/>
        <w:adjustRightInd w:val="0"/>
        <w:ind w:left="851"/>
        <w:rPr>
          <w:sz w:val="24"/>
          <w:szCs w:val="24"/>
        </w:rPr>
      </w:pPr>
      <w:r w:rsidRPr="00AE3725">
        <w:rPr>
          <w:sz w:val="24"/>
          <w:szCs w:val="24"/>
        </w:rPr>
        <w:t>Behandling med safinamid bør påbegyndes med 50 mg om dagen. Denne daglige dosis kan øges</w:t>
      </w:r>
      <w:r w:rsidR="00AE3725">
        <w:rPr>
          <w:sz w:val="24"/>
          <w:szCs w:val="24"/>
        </w:rPr>
        <w:t xml:space="preserve"> </w:t>
      </w:r>
      <w:r w:rsidRPr="00AE3725">
        <w:rPr>
          <w:sz w:val="24"/>
          <w:szCs w:val="24"/>
        </w:rPr>
        <w:t>til 100 mg/dag alt efter individuelt klinisk behov.</w:t>
      </w:r>
    </w:p>
    <w:p w14:paraId="0325F748" w14:textId="77777777" w:rsidR="004223FE" w:rsidRPr="00AE3725" w:rsidRDefault="004223FE" w:rsidP="001561DD">
      <w:pPr>
        <w:autoSpaceDE w:val="0"/>
        <w:autoSpaceDN w:val="0"/>
        <w:adjustRightInd w:val="0"/>
        <w:ind w:left="851"/>
        <w:rPr>
          <w:sz w:val="24"/>
          <w:szCs w:val="24"/>
        </w:rPr>
      </w:pPr>
      <w:r w:rsidRPr="00AE3725">
        <w:rPr>
          <w:sz w:val="24"/>
          <w:szCs w:val="24"/>
        </w:rPr>
        <w:t>Hvis en dosis udelades, skal næste dosis tages på sædvanlig tid den efterfølgende dag.</w:t>
      </w:r>
    </w:p>
    <w:p w14:paraId="628C29DF" w14:textId="77777777" w:rsidR="004223FE" w:rsidRPr="00AE3725" w:rsidRDefault="004223FE" w:rsidP="001561DD">
      <w:pPr>
        <w:autoSpaceDE w:val="0"/>
        <w:autoSpaceDN w:val="0"/>
        <w:adjustRightInd w:val="0"/>
        <w:ind w:left="851"/>
        <w:rPr>
          <w:i/>
          <w:iCs/>
          <w:sz w:val="24"/>
          <w:szCs w:val="24"/>
          <w:highlight w:val="green"/>
        </w:rPr>
      </w:pPr>
    </w:p>
    <w:p w14:paraId="362F2A01" w14:textId="77777777" w:rsidR="004223FE" w:rsidRPr="00AE3725" w:rsidRDefault="004223FE" w:rsidP="001561DD">
      <w:pPr>
        <w:autoSpaceDE w:val="0"/>
        <w:autoSpaceDN w:val="0"/>
        <w:adjustRightInd w:val="0"/>
        <w:ind w:left="851"/>
        <w:rPr>
          <w:i/>
          <w:iCs/>
          <w:sz w:val="24"/>
          <w:szCs w:val="24"/>
          <w:highlight w:val="green"/>
        </w:rPr>
      </w:pPr>
      <w:r w:rsidRPr="00AE3725">
        <w:rPr>
          <w:i/>
          <w:iCs/>
          <w:sz w:val="24"/>
          <w:szCs w:val="24"/>
        </w:rPr>
        <w:t>Ældre</w:t>
      </w:r>
    </w:p>
    <w:p w14:paraId="4A6B389C" w14:textId="77777777" w:rsidR="004223FE" w:rsidRPr="00AE3725" w:rsidRDefault="004223FE" w:rsidP="001561DD">
      <w:pPr>
        <w:autoSpaceDE w:val="0"/>
        <w:autoSpaceDN w:val="0"/>
        <w:adjustRightInd w:val="0"/>
        <w:ind w:left="851"/>
        <w:rPr>
          <w:sz w:val="24"/>
          <w:szCs w:val="24"/>
          <w:highlight w:val="green"/>
        </w:rPr>
      </w:pPr>
      <w:r w:rsidRPr="00AE3725">
        <w:rPr>
          <w:sz w:val="24"/>
          <w:szCs w:val="24"/>
        </w:rPr>
        <w:t>Der kræves ingen dosisændring til ældre patienter.</w:t>
      </w:r>
    </w:p>
    <w:p w14:paraId="0E67A71F" w14:textId="77777777" w:rsidR="004223FE" w:rsidRPr="00AE3725" w:rsidRDefault="004223FE" w:rsidP="001561DD">
      <w:pPr>
        <w:autoSpaceDE w:val="0"/>
        <w:autoSpaceDN w:val="0"/>
        <w:adjustRightInd w:val="0"/>
        <w:ind w:left="851"/>
        <w:rPr>
          <w:sz w:val="24"/>
          <w:szCs w:val="24"/>
          <w:highlight w:val="green"/>
        </w:rPr>
      </w:pPr>
    </w:p>
    <w:p w14:paraId="3982F9B3" w14:textId="77777777" w:rsidR="004223FE" w:rsidRPr="00AE3725" w:rsidRDefault="004223FE" w:rsidP="001561DD">
      <w:pPr>
        <w:ind w:left="851"/>
        <w:rPr>
          <w:sz w:val="24"/>
          <w:szCs w:val="24"/>
          <w:highlight w:val="green"/>
        </w:rPr>
      </w:pPr>
      <w:r w:rsidRPr="00AE3725">
        <w:rPr>
          <w:sz w:val="24"/>
          <w:szCs w:val="24"/>
        </w:rPr>
        <w:t>Der er begrænset erfaring med brug af safinamid hos patienter over 75 år.</w:t>
      </w:r>
    </w:p>
    <w:p w14:paraId="70B20CA9" w14:textId="77777777" w:rsidR="004223FE" w:rsidRPr="00AE3725" w:rsidRDefault="004223FE" w:rsidP="001561DD">
      <w:pPr>
        <w:ind w:left="851"/>
        <w:rPr>
          <w:sz w:val="24"/>
          <w:szCs w:val="24"/>
          <w:highlight w:val="green"/>
        </w:rPr>
      </w:pPr>
    </w:p>
    <w:p w14:paraId="799C97EB" w14:textId="77777777" w:rsidR="004223FE" w:rsidRPr="00AE3725" w:rsidRDefault="004223FE" w:rsidP="001561DD">
      <w:pPr>
        <w:autoSpaceDE w:val="0"/>
        <w:autoSpaceDN w:val="0"/>
        <w:adjustRightInd w:val="0"/>
        <w:ind w:left="851"/>
        <w:rPr>
          <w:i/>
          <w:iCs/>
          <w:sz w:val="24"/>
          <w:szCs w:val="24"/>
          <w:highlight w:val="green"/>
        </w:rPr>
      </w:pPr>
      <w:r w:rsidRPr="00AE3725">
        <w:rPr>
          <w:i/>
          <w:iCs/>
          <w:sz w:val="24"/>
          <w:szCs w:val="24"/>
        </w:rPr>
        <w:t>Nedsat leverfunktion</w:t>
      </w:r>
    </w:p>
    <w:p w14:paraId="077CFB33" w14:textId="77777777" w:rsidR="004223FE" w:rsidRPr="00AE3725" w:rsidRDefault="004223FE" w:rsidP="001561DD">
      <w:pPr>
        <w:autoSpaceDE w:val="0"/>
        <w:autoSpaceDN w:val="0"/>
        <w:adjustRightInd w:val="0"/>
        <w:ind w:left="851"/>
        <w:rPr>
          <w:sz w:val="24"/>
          <w:szCs w:val="24"/>
        </w:rPr>
      </w:pPr>
      <w:r w:rsidRPr="00AE3725">
        <w:rPr>
          <w:sz w:val="24"/>
          <w:szCs w:val="24"/>
        </w:rPr>
        <w:t>Brug af safinamid er kontraindiceret hos patienter med stærkt nedsat leverfunktion (se pkt. 4.3). Der kræves ingen dosisjustering hos patienter med let nedsat leverfunktion. Den lavere dosis på 50 mg/dag anbefales til patienter med moderat nedsat leverfunktion. Hvis patientens tilstand forværres fra moderat til svært nedsat leverfunktion, skal safinamid seponeres (se pkt. 4.4).</w:t>
      </w:r>
    </w:p>
    <w:p w14:paraId="60BD8B7F" w14:textId="77777777" w:rsidR="004223FE" w:rsidRPr="00AE3725" w:rsidRDefault="004223FE" w:rsidP="001561DD">
      <w:pPr>
        <w:autoSpaceDE w:val="0"/>
        <w:autoSpaceDN w:val="0"/>
        <w:adjustRightInd w:val="0"/>
        <w:ind w:left="851"/>
        <w:rPr>
          <w:sz w:val="24"/>
          <w:szCs w:val="24"/>
        </w:rPr>
      </w:pPr>
    </w:p>
    <w:p w14:paraId="629D7B46" w14:textId="77777777" w:rsidR="004223FE" w:rsidRPr="00AE3725" w:rsidRDefault="004223FE" w:rsidP="001561DD">
      <w:pPr>
        <w:autoSpaceDE w:val="0"/>
        <w:autoSpaceDN w:val="0"/>
        <w:adjustRightInd w:val="0"/>
        <w:ind w:left="851"/>
        <w:rPr>
          <w:i/>
          <w:iCs/>
          <w:sz w:val="24"/>
          <w:szCs w:val="24"/>
        </w:rPr>
      </w:pPr>
      <w:r w:rsidRPr="00AE3725">
        <w:rPr>
          <w:i/>
          <w:iCs/>
          <w:sz w:val="24"/>
          <w:szCs w:val="24"/>
        </w:rPr>
        <w:t>Nedsat nyrefunktion</w:t>
      </w:r>
    </w:p>
    <w:p w14:paraId="630F72C9" w14:textId="77777777" w:rsidR="004223FE" w:rsidRPr="00AE3725" w:rsidRDefault="004223FE" w:rsidP="001561DD">
      <w:pPr>
        <w:autoSpaceDE w:val="0"/>
        <w:autoSpaceDN w:val="0"/>
        <w:adjustRightInd w:val="0"/>
        <w:ind w:left="851"/>
        <w:rPr>
          <w:sz w:val="24"/>
          <w:szCs w:val="24"/>
        </w:rPr>
      </w:pPr>
      <w:r w:rsidRPr="00AE3725">
        <w:rPr>
          <w:sz w:val="24"/>
          <w:szCs w:val="24"/>
        </w:rPr>
        <w:t>Der kræves ingen dosisjustering for patienter med nedsat nyrefunktion.</w:t>
      </w:r>
    </w:p>
    <w:p w14:paraId="62B367A7" w14:textId="77777777" w:rsidR="004223FE" w:rsidRPr="00AE3725" w:rsidRDefault="004223FE" w:rsidP="001561DD">
      <w:pPr>
        <w:autoSpaceDE w:val="0"/>
        <w:autoSpaceDN w:val="0"/>
        <w:adjustRightInd w:val="0"/>
        <w:ind w:left="851"/>
        <w:rPr>
          <w:sz w:val="24"/>
          <w:szCs w:val="24"/>
        </w:rPr>
      </w:pPr>
    </w:p>
    <w:p w14:paraId="179C5B52" w14:textId="517C3D43" w:rsidR="004223FE" w:rsidRPr="00AE3725" w:rsidRDefault="004223FE" w:rsidP="001561DD">
      <w:pPr>
        <w:autoSpaceDE w:val="0"/>
        <w:autoSpaceDN w:val="0"/>
        <w:adjustRightInd w:val="0"/>
        <w:ind w:left="851"/>
        <w:rPr>
          <w:i/>
          <w:iCs/>
          <w:sz w:val="24"/>
          <w:szCs w:val="24"/>
        </w:rPr>
      </w:pPr>
      <w:r w:rsidRPr="00AE3725">
        <w:rPr>
          <w:i/>
          <w:iCs/>
          <w:sz w:val="24"/>
          <w:szCs w:val="24"/>
        </w:rPr>
        <w:t>Pædiatrisk population</w:t>
      </w:r>
    </w:p>
    <w:p w14:paraId="075216E1" w14:textId="77777777" w:rsidR="004223FE" w:rsidRPr="00AE3725" w:rsidRDefault="004223FE" w:rsidP="001561DD">
      <w:pPr>
        <w:autoSpaceDE w:val="0"/>
        <w:autoSpaceDN w:val="0"/>
        <w:adjustRightInd w:val="0"/>
        <w:ind w:left="851"/>
        <w:rPr>
          <w:sz w:val="24"/>
          <w:szCs w:val="24"/>
        </w:rPr>
      </w:pPr>
      <w:r w:rsidRPr="00AE3725">
        <w:rPr>
          <w:sz w:val="24"/>
          <w:szCs w:val="24"/>
        </w:rPr>
        <w:t>Safinamids sikkerhed og virkning hos børn og unge under 18 år er ikke klarlagt. Der foreligger ingen data.</w:t>
      </w:r>
    </w:p>
    <w:p w14:paraId="73445FEC" w14:textId="77777777" w:rsidR="004223FE" w:rsidRPr="00AE3725" w:rsidRDefault="004223FE" w:rsidP="001561DD">
      <w:pPr>
        <w:autoSpaceDE w:val="0"/>
        <w:autoSpaceDN w:val="0"/>
        <w:adjustRightInd w:val="0"/>
        <w:ind w:left="851"/>
        <w:rPr>
          <w:sz w:val="24"/>
          <w:szCs w:val="24"/>
          <w:highlight w:val="green"/>
        </w:rPr>
      </w:pPr>
    </w:p>
    <w:p w14:paraId="2120C4B1" w14:textId="77777777" w:rsidR="004223FE" w:rsidRPr="00AE3725" w:rsidRDefault="004223FE" w:rsidP="001561DD">
      <w:pPr>
        <w:autoSpaceDE w:val="0"/>
        <w:autoSpaceDN w:val="0"/>
        <w:adjustRightInd w:val="0"/>
        <w:ind w:left="851"/>
        <w:rPr>
          <w:sz w:val="24"/>
          <w:szCs w:val="24"/>
          <w:u w:val="single"/>
        </w:rPr>
      </w:pPr>
      <w:r w:rsidRPr="00AE3725">
        <w:rPr>
          <w:sz w:val="24"/>
          <w:szCs w:val="24"/>
          <w:u w:val="single"/>
        </w:rPr>
        <w:t>Administration</w:t>
      </w:r>
    </w:p>
    <w:p w14:paraId="012679C5" w14:textId="77777777" w:rsidR="004223FE" w:rsidRPr="00AE3725" w:rsidRDefault="004223FE" w:rsidP="001561DD">
      <w:pPr>
        <w:autoSpaceDE w:val="0"/>
        <w:autoSpaceDN w:val="0"/>
        <w:adjustRightInd w:val="0"/>
        <w:ind w:left="851"/>
        <w:rPr>
          <w:sz w:val="24"/>
          <w:szCs w:val="24"/>
        </w:rPr>
      </w:pPr>
    </w:p>
    <w:p w14:paraId="3C1A2846" w14:textId="77777777" w:rsidR="004223FE" w:rsidRPr="00AE3725" w:rsidRDefault="004223FE" w:rsidP="001561DD">
      <w:pPr>
        <w:autoSpaceDE w:val="0"/>
        <w:autoSpaceDN w:val="0"/>
        <w:adjustRightInd w:val="0"/>
        <w:ind w:left="851"/>
        <w:rPr>
          <w:sz w:val="24"/>
          <w:szCs w:val="24"/>
        </w:rPr>
      </w:pPr>
      <w:r w:rsidRPr="00AE3725">
        <w:rPr>
          <w:sz w:val="24"/>
          <w:szCs w:val="24"/>
        </w:rPr>
        <w:t>Safinamid skal tages oralt.</w:t>
      </w:r>
    </w:p>
    <w:p w14:paraId="5287D7A0" w14:textId="77777777" w:rsidR="004223FE" w:rsidRPr="00AE3725" w:rsidRDefault="004223FE" w:rsidP="001561DD">
      <w:pPr>
        <w:autoSpaceDE w:val="0"/>
        <w:autoSpaceDN w:val="0"/>
        <w:adjustRightInd w:val="0"/>
        <w:ind w:left="851"/>
        <w:rPr>
          <w:sz w:val="24"/>
          <w:szCs w:val="24"/>
        </w:rPr>
      </w:pPr>
      <w:r w:rsidRPr="00AE3725">
        <w:rPr>
          <w:sz w:val="24"/>
          <w:szCs w:val="24"/>
        </w:rPr>
        <w:t>Safinamid skal tages med vand.</w:t>
      </w:r>
    </w:p>
    <w:p w14:paraId="40680465" w14:textId="77777777" w:rsidR="004223FE" w:rsidRPr="00AE3725" w:rsidRDefault="004223FE" w:rsidP="001561DD">
      <w:pPr>
        <w:autoSpaceDE w:val="0"/>
        <w:autoSpaceDN w:val="0"/>
        <w:adjustRightInd w:val="0"/>
        <w:ind w:left="851"/>
        <w:rPr>
          <w:sz w:val="24"/>
          <w:szCs w:val="24"/>
        </w:rPr>
      </w:pPr>
      <w:r w:rsidRPr="00AE3725">
        <w:rPr>
          <w:sz w:val="24"/>
          <w:szCs w:val="24"/>
        </w:rPr>
        <w:t>Safinamid kan tages med eller uden mad.</w:t>
      </w:r>
    </w:p>
    <w:p w14:paraId="66EE8F9F" w14:textId="77777777" w:rsidR="009260DE" w:rsidRPr="00AE3725" w:rsidRDefault="009260DE" w:rsidP="009260DE">
      <w:pPr>
        <w:tabs>
          <w:tab w:val="left" w:pos="851"/>
        </w:tabs>
        <w:ind w:left="851"/>
        <w:rPr>
          <w:sz w:val="24"/>
          <w:szCs w:val="24"/>
        </w:rPr>
      </w:pPr>
    </w:p>
    <w:p w14:paraId="6908B7E7" w14:textId="77777777" w:rsidR="009260DE" w:rsidRPr="00AE3725" w:rsidRDefault="009260DE" w:rsidP="009260DE">
      <w:pPr>
        <w:tabs>
          <w:tab w:val="left" w:pos="851"/>
        </w:tabs>
        <w:ind w:left="851" w:hanging="851"/>
        <w:rPr>
          <w:b/>
          <w:sz w:val="24"/>
          <w:szCs w:val="24"/>
        </w:rPr>
      </w:pPr>
      <w:r w:rsidRPr="00AE3725">
        <w:rPr>
          <w:b/>
          <w:sz w:val="24"/>
          <w:szCs w:val="24"/>
        </w:rPr>
        <w:t>4.3</w:t>
      </w:r>
      <w:r w:rsidRPr="00AE3725">
        <w:rPr>
          <w:b/>
          <w:sz w:val="24"/>
          <w:szCs w:val="24"/>
        </w:rPr>
        <w:tab/>
        <w:t>Kontraindikationer</w:t>
      </w:r>
    </w:p>
    <w:p w14:paraId="08C17BE9" w14:textId="77777777" w:rsidR="004223FE" w:rsidRPr="00AE3725" w:rsidRDefault="004223FE" w:rsidP="001561DD">
      <w:pPr>
        <w:autoSpaceDE w:val="0"/>
        <w:autoSpaceDN w:val="0"/>
        <w:adjustRightInd w:val="0"/>
        <w:ind w:left="851"/>
        <w:rPr>
          <w:sz w:val="24"/>
          <w:szCs w:val="24"/>
        </w:rPr>
      </w:pPr>
      <w:r w:rsidRPr="00AE3725">
        <w:rPr>
          <w:sz w:val="24"/>
          <w:szCs w:val="24"/>
        </w:rPr>
        <w:t>Overfølsomhed over for det aktive stof eller over for et eller flere af hjælpestofferne anført i pkt. 6.1.</w:t>
      </w:r>
    </w:p>
    <w:p w14:paraId="01BB596A" w14:textId="77777777" w:rsidR="004223FE" w:rsidRPr="00AE3725" w:rsidRDefault="004223FE" w:rsidP="001561DD">
      <w:pPr>
        <w:autoSpaceDE w:val="0"/>
        <w:autoSpaceDN w:val="0"/>
        <w:adjustRightInd w:val="0"/>
        <w:ind w:left="851"/>
        <w:rPr>
          <w:sz w:val="24"/>
          <w:szCs w:val="24"/>
        </w:rPr>
      </w:pPr>
      <w:r w:rsidRPr="00AE3725">
        <w:rPr>
          <w:sz w:val="24"/>
          <w:szCs w:val="24"/>
        </w:rPr>
        <w:t xml:space="preserve">Samtidig behandling med andre </w:t>
      </w:r>
      <w:proofErr w:type="spellStart"/>
      <w:r w:rsidRPr="00AE3725">
        <w:rPr>
          <w:sz w:val="24"/>
          <w:szCs w:val="24"/>
        </w:rPr>
        <w:t>monoaminooxidasehæmmere</w:t>
      </w:r>
      <w:proofErr w:type="spellEnd"/>
      <w:r w:rsidRPr="00AE3725">
        <w:rPr>
          <w:sz w:val="24"/>
          <w:szCs w:val="24"/>
        </w:rPr>
        <w:t xml:space="preserve"> (MAO-</w:t>
      </w:r>
      <w:proofErr w:type="spellStart"/>
      <w:r w:rsidRPr="00AE3725">
        <w:rPr>
          <w:sz w:val="24"/>
          <w:szCs w:val="24"/>
        </w:rPr>
        <w:t>hæmmere</w:t>
      </w:r>
      <w:proofErr w:type="spellEnd"/>
      <w:r w:rsidRPr="00AE3725">
        <w:rPr>
          <w:sz w:val="24"/>
          <w:szCs w:val="24"/>
        </w:rPr>
        <w:t>) (se pkt. 4.4 og 4.5).</w:t>
      </w:r>
    </w:p>
    <w:p w14:paraId="0B61DABA" w14:textId="77777777" w:rsidR="004223FE" w:rsidRPr="00AE3725" w:rsidRDefault="004223FE" w:rsidP="001561DD">
      <w:pPr>
        <w:autoSpaceDE w:val="0"/>
        <w:autoSpaceDN w:val="0"/>
        <w:adjustRightInd w:val="0"/>
        <w:ind w:left="851"/>
        <w:rPr>
          <w:sz w:val="24"/>
          <w:szCs w:val="24"/>
        </w:rPr>
      </w:pPr>
      <w:r w:rsidRPr="00AE3725">
        <w:rPr>
          <w:sz w:val="24"/>
          <w:szCs w:val="24"/>
        </w:rPr>
        <w:t>Samtidig behandling med petidin (se pkt. 4.4 og 4.5).</w:t>
      </w:r>
    </w:p>
    <w:p w14:paraId="4410D349" w14:textId="336010F1" w:rsidR="004223FE" w:rsidRPr="00AE3725" w:rsidRDefault="004223FE" w:rsidP="001561DD">
      <w:pPr>
        <w:autoSpaceDE w:val="0"/>
        <w:autoSpaceDN w:val="0"/>
        <w:adjustRightInd w:val="0"/>
        <w:ind w:left="851"/>
        <w:rPr>
          <w:sz w:val="24"/>
          <w:szCs w:val="24"/>
        </w:rPr>
      </w:pPr>
      <w:r w:rsidRPr="00AE3725">
        <w:rPr>
          <w:sz w:val="24"/>
          <w:szCs w:val="24"/>
        </w:rPr>
        <w:t>Bruges til patienter med svært nedsat leverfunktion (se pkt. 4.2).</w:t>
      </w:r>
    </w:p>
    <w:p w14:paraId="54866D74" w14:textId="77777777" w:rsidR="004223FE" w:rsidRPr="00AE3725" w:rsidRDefault="004223FE" w:rsidP="001561DD">
      <w:pPr>
        <w:autoSpaceDE w:val="0"/>
        <w:autoSpaceDN w:val="0"/>
        <w:adjustRightInd w:val="0"/>
        <w:ind w:left="851"/>
        <w:rPr>
          <w:sz w:val="24"/>
          <w:szCs w:val="24"/>
        </w:rPr>
      </w:pPr>
      <w:r w:rsidRPr="00AE3725">
        <w:rPr>
          <w:sz w:val="24"/>
          <w:szCs w:val="24"/>
        </w:rPr>
        <w:t xml:space="preserve">Bruges til patienter med albinisme, </w:t>
      </w:r>
      <w:proofErr w:type="spellStart"/>
      <w:r w:rsidRPr="00AE3725">
        <w:rPr>
          <w:sz w:val="24"/>
          <w:szCs w:val="24"/>
        </w:rPr>
        <w:t>retinal</w:t>
      </w:r>
      <w:proofErr w:type="spellEnd"/>
      <w:r w:rsidRPr="00AE3725">
        <w:rPr>
          <w:sz w:val="24"/>
          <w:szCs w:val="24"/>
        </w:rPr>
        <w:t xml:space="preserve"> degeneration, </w:t>
      </w:r>
      <w:proofErr w:type="spellStart"/>
      <w:r w:rsidRPr="00AE3725">
        <w:rPr>
          <w:sz w:val="24"/>
          <w:szCs w:val="24"/>
        </w:rPr>
        <w:t>uveitis</w:t>
      </w:r>
      <w:proofErr w:type="spellEnd"/>
      <w:r w:rsidRPr="00AE3725">
        <w:rPr>
          <w:sz w:val="24"/>
          <w:szCs w:val="24"/>
        </w:rPr>
        <w:t xml:space="preserve">, arvelig </w:t>
      </w:r>
      <w:proofErr w:type="spellStart"/>
      <w:r w:rsidRPr="00AE3725">
        <w:rPr>
          <w:sz w:val="24"/>
          <w:szCs w:val="24"/>
        </w:rPr>
        <w:t>retinopati</w:t>
      </w:r>
      <w:proofErr w:type="spellEnd"/>
      <w:r w:rsidRPr="00AE3725">
        <w:rPr>
          <w:sz w:val="24"/>
          <w:szCs w:val="24"/>
        </w:rPr>
        <w:t xml:space="preserve"> eller alvorlig progressiv diabetisk </w:t>
      </w:r>
      <w:proofErr w:type="spellStart"/>
      <w:r w:rsidRPr="00AE3725">
        <w:rPr>
          <w:sz w:val="24"/>
          <w:szCs w:val="24"/>
        </w:rPr>
        <w:t>retinopati</w:t>
      </w:r>
      <w:proofErr w:type="spellEnd"/>
      <w:r w:rsidRPr="00AE3725">
        <w:rPr>
          <w:sz w:val="24"/>
          <w:szCs w:val="24"/>
        </w:rPr>
        <w:t xml:space="preserve"> (se pkt. 4.4 og 5.3).</w:t>
      </w:r>
    </w:p>
    <w:p w14:paraId="789CFBC8" w14:textId="0BB255BD" w:rsidR="000D3879" w:rsidRDefault="000D3879">
      <w:pPr>
        <w:rPr>
          <w:sz w:val="24"/>
          <w:szCs w:val="24"/>
        </w:rPr>
      </w:pPr>
      <w:r>
        <w:rPr>
          <w:sz w:val="24"/>
          <w:szCs w:val="24"/>
        </w:rPr>
        <w:br w:type="page"/>
      </w:r>
    </w:p>
    <w:p w14:paraId="538FE423" w14:textId="77777777" w:rsidR="009260DE" w:rsidRPr="00AE3725" w:rsidRDefault="009260DE" w:rsidP="009260DE">
      <w:pPr>
        <w:tabs>
          <w:tab w:val="left" w:pos="851"/>
        </w:tabs>
        <w:ind w:left="851"/>
        <w:rPr>
          <w:sz w:val="24"/>
          <w:szCs w:val="24"/>
        </w:rPr>
      </w:pPr>
    </w:p>
    <w:p w14:paraId="39741DAB" w14:textId="77777777" w:rsidR="009260DE" w:rsidRPr="00AE3725" w:rsidRDefault="009260DE" w:rsidP="009260DE">
      <w:pPr>
        <w:tabs>
          <w:tab w:val="left" w:pos="851"/>
        </w:tabs>
        <w:ind w:left="851" w:hanging="851"/>
        <w:rPr>
          <w:b/>
          <w:sz w:val="24"/>
          <w:szCs w:val="24"/>
        </w:rPr>
      </w:pPr>
      <w:r w:rsidRPr="00AE3725">
        <w:rPr>
          <w:b/>
          <w:sz w:val="24"/>
          <w:szCs w:val="24"/>
        </w:rPr>
        <w:t>4.4</w:t>
      </w:r>
      <w:r w:rsidRPr="00AE3725">
        <w:rPr>
          <w:b/>
          <w:sz w:val="24"/>
          <w:szCs w:val="24"/>
        </w:rPr>
        <w:tab/>
        <w:t>Særlige advarsler og forsigtighedsregler vedrørende brugen</w:t>
      </w:r>
    </w:p>
    <w:p w14:paraId="0FB7650A" w14:textId="77777777" w:rsidR="00AE3725" w:rsidRDefault="00AE3725" w:rsidP="001561DD">
      <w:pPr>
        <w:autoSpaceDE w:val="0"/>
        <w:autoSpaceDN w:val="0"/>
        <w:adjustRightInd w:val="0"/>
        <w:ind w:left="851"/>
        <w:rPr>
          <w:sz w:val="24"/>
          <w:szCs w:val="24"/>
          <w:u w:val="single"/>
        </w:rPr>
      </w:pPr>
    </w:p>
    <w:p w14:paraId="25300E9A" w14:textId="2647132D" w:rsidR="004223FE" w:rsidRPr="00AE3725" w:rsidRDefault="004223FE" w:rsidP="001561DD">
      <w:pPr>
        <w:autoSpaceDE w:val="0"/>
        <w:autoSpaceDN w:val="0"/>
        <w:adjustRightInd w:val="0"/>
        <w:ind w:left="851"/>
        <w:rPr>
          <w:sz w:val="24"/>
          <w:szCs w:val="24"/>
          <w:u w:val="single"/>
        </w:rPr>
      </w:pPr>
      <w:r w:rsidRPr="00AE3725">
        <w:rPr>
          <w:sz w:val="24"/>
          <w:szCs w:val="24"/>
          <w:u w:val="single"/>
        </w:rPr>
        <w:t>Generel advarsel</w:t>
      </w:r>
    </w:p>
    <w:p w14:paraId="3FACFCAB" w14:textId="77777777" w:rsidR="004223FE" w:rsidRPr="00AE3725" w:rsidRDefault="004223FE" w:rsidP="001561DD">
      <w:pPr>
        <w:autoSpaceDE w:val="0"/>
        <w:autoSpaceDN w:val="0"/>
        <w:adjustRightInd w:val="0"/>
        <w:ind w:left="851"/>
        <w:rPr>
          <w:sz w:val="24"/>
          <w:szCs w:val="24"/>
          <w:highlight w:val="green"/>
        </w:rPr>
      </w:pPr>
    </w:p>
    <w:p w14:paraId="6A65F3FA" w14:textId="77777777" w:rsidR="004223FE" w:rsidRPr="00AE3725" w:rsidRDefault="004223FE" w:rsidP="001561DD">
      <w:pPr>
        <w:autoSpaceDE w:val="0"/>
        <w:autoSpaceDN w:val="0"/>
        <w:adjustRightInd w:val="0"/>
        <w:ind w:left="851"/>
        <w:rPr>
          <w:sz w:val="24"/>
          <w:szCs w:val="24"/>
        </w:rPr>
      </w:pPr>
      <w:r w:rsidRPr="00AE3725">
        <w:rPr>
          <w:sz w:val="24"/>
          <w:szCs w:val="24"/>
        </w:rPr>
        <w:t xml:space="preserve">Generelt kan safinamid anvendes med selektive serotonin </w:t>
      </w:r>
      <w:proofErr w:type="spellStart"/>
      <w:r w:rsidRPr="00AE3725">
        <w:rPr>
          <w:sz w:val="24"/>
          <w:szCs w:val="24"/>
        </w:rPr>
        <w:t>genoptagningshæmmere</w:t>
      </w:r>
      <w:proofErr w:type="spellEnd"/>
      <w:r w:rsidRPr="00AE3725">
        <w:rPr>
          <w:sz w:val="24"/>
          <w:szCs w:val="24"/>
        </w:rPr>
        <w:t xml:space="preserve"> (</w:t>
      </w:r>
      <w:proofErr w:type="spellStart"/>
      <w:r w:rsidRPr="00AE3725">
        <w:rPr>
          <w:i/>
          <w:iCs/>
          <w:sz w:val="24"/>
          <w:szCs w:val="24"/>
        </w:rPr>
        <w:t>selective</w:t>
      </w:r>
      <w:proofErr w:type="spellEnd"/>
      <w:r w:rsidRPr="00AE3725">
        <w:rPr>
          <w:i/>
          <w:iCs/>
          <w:sz w:val="24"/>
          <w:szCs w:val="24"/>
        </w:rPr>
        <w:t xml:space="preserve"> serotonin re-</w:t>
      </w:r>
      <w:proofErr w:type="spellStart"/>
      <w:r w:rsidRPr="00AE3725">
        <w:rPr>
          <w:i/>
          <w:iCs/>
          <w:sz w:val="24"/>
          <w:szCs w:val="24"/>
        </w:rPr>
        <w:t>uptake</w:t>
      </w:r>
      <w:proofErr w:type="spellEnd"/>
      <w:r w:rsidRPr="00AE3725">
        <w:rPr>
          <w:i/>
          <w:iCs/>
          <w:sz w:val="24"/>
          <w:szCs w:val="24"/>
        </w:rPr>
        <w:t xml:space="preserve"> inhibitors</w:t>
      </w:r>
      <w:r w:rsidRPr="00AE3725">
        <w:rPr>
          <w:sz w:val="24"/>
          <w:szCs w:val="24"/>
        </w:rPr>
        <w:t xml:space="preserve">, SSRI) ved den lavest effektive dosis med forsigtighed over for </w:t>
      </w:r>
      <w:proofErr w:type="spellStart"/>
      <w:r w:rsidRPr="00AE3725">
        <w:rPr>
          <w:sz w:val="24"/>
          <w:szCs w:val="24"/>
        </w:rPr>
        <w:t>serotoninerge</w:t>
      </w:r>
      <w:proofErr w:type="spellEnd"/>
      <w:r w:rsidRPr="00AE3725">
        <w:rPr>
          <w:sz w:val="24"/>
          <w:szCs w:val="24"/>
        </w:rPr>
        <w:t xml:space="preserve"> symptomer. Især bør samtidig brug af safinamid og </w:t>
      </w:r>
      <w:proofErr w:type="spellStart"/>
      <w:r w:rsidRPr="00AE3725">
        <w:rPr>
          <w:sz w:val="24"/>
          <w:szCs w:val="24"/>
        </w:rPr>
        <w:t>fluoxetin</w:t>
      </w:r>
      <w:proofErr w:type="spellEnd"/>
      <w:r w:rsidRPr="00AE3725">
        <w:rPr>
          <w:sz w:val="24"/>
          <w:szCs w:val="24"/>
        </w:rPr>
        <w:t xml:space="preserve"> eller </w:t>
      </w:r>
      <w:proofErr w:type="spellStart"/>
      <w:r w:rsidRPr="00AE3725">
        <w:rPr>
          <w:sz w:val="24"/>
          <w:szCs w:val="24"/>
        </w:rPr>
        <w:t>fluvoxamin</w:t>
      </w:r>
      <w:proofErr w:type="spellEnd"/>
      <w:r w:rsidRPr="00AE3725">
        <w:rPr>
          <w:sz w:val="24"/>
          <w:szCs w:val="24"/>
        </w:rPr>
        <w:t xml:space="preserve"> undgås eller, hvis samtidig behandling er nødvendig, bør disse lægemidler anvendes i lave doser (se pkt. 4.5.). En udvaskningsperiode svarende til 5 halveringstider af tidligere anvend SSRI bør overvejes før opstart af behandling med safinamid.</w:t>
      </w:r>
    </w:p>
    <w:p w14:paraId="644D9F13" w14:textId="77777777" w:rsidR="004223FE" w:rsidRPr="00AE3725" w:rsidRDefault="004223FE" w:rsidP="001561DD">
      <w:pPr>
        <w:autoSpaceDE w:val="0"/>
        <w:autoSpaceDN w:val="0"/>
        <w:adjustRightInd w:val="0"/>
        <w:ind w:left="851"/>
        <w:rPr>
          <w:sz w:val="24"/>
          <w:szCs w:val="24"/>
        </w:rPr>
      </w:pPr>
    </w:p>
    <w:p w14:paraId="10DC9344" w14:textId="77777777" w:rsidR="004223FE" w:rsidRPr="00AE3725" w:rsidRDefault="004223FE" w:rsidP="001561DD">
      <w:pPr>
        <w:autoSpaceDE w:val="0"/>
        <w:autoSpaceDN w:val="0"/>
        <w:adjustRightInd w:val="0"/>
        <w:ind w:left="851"/>
        <w:rPr>
          <w:sz w:val="24"/>
          <w:szCs w:val="24"/>
        </w:rPr>
      </w:pPr>
      <w:r w:rsidRPr="00AE3725">
        <w:rPr>
          <w:sz w:val="24"/>
          <w:szCs w:val="24"/>
        </w:rPr>
        <w:t xml:space="preserve">Der skal gå mindst 7 dage mellem </w:t>
      </w:r>
      <w:proofErr w:type="spellStart"/>
      <w:r w:rsidRPr="00AE3725">
        <w:rPr>
          <w:sz w:val="24"/>
          <w:szCs w:val="24"/>
        </w:rPr>
        <w:t>seponering</w:t>
      </w:r>
      <w:proofErr w:type="spellEnd"/>
      <w:r w:rsidRPr="00AE3725">
        <w:rPr>
          <w:sz w:val="24"/>
          <w:szCs w:val="24"/>
        </w:rPr>
        <w:t xml:space="preserve"> af safinamid og opstart af behandling med MAO-</w:t>
      </w:r>
      <w:proofErr w:type="spellStart"/>
      <w:r w:rsidRPr="00AE3725">
        <w:rPr>
          <w:sz w:val="24"/>
          <w:szCs w:val="24"/>
        </w:rPr>
        <w:t>hæmmere</w:t>
      </w:r>
      <w:proofErr w:type="spellEnd"/>
      <w:r w:rsidRPr="00AE3725">
        <w:rPr>
          <w:sz w:val="24"/>
          <w:szCs w:val="24"/>
        </w:rPr>
        <w:t xml:space="preserve"> eller petidin (se pkt. 4.3 og 4.5).</w:t>
      </w:r>
    </w:p>
    <w:p w14:paraId="790A58BD" w14:textId="77777777" w:rsidR="004223FE" w:rsidRPr="00AE3725" w:rsidRDefault="004223FE" w:rsidP="001561DD">
      <w:pPr>
        <w:autoSpaceDE w:val="0"/>
        <w:autoSpaceDN w:val="0"/>
        <w:adjustRightInd w:val="0"/>
        <w:ind w:left="851"/>
        <w:rPr>
          <w:sz w:val="24"/>
          <w:szCs w:val="24"/>
        </w:rPr>
      </w:pPr>
    </w:p>
    <w:p w14:paraId="1CFB3DFA" w14:textId="77777777" w:rsidR="004223FE" w:rsidRPr="00AE3725" w:rsidRDefault="004223FE" w:rsidP="001561DD">
      <w:pPr>
        <w:autoSpaceDE w:val="0"/>
        <w:autoSpaceDN w:val="0"/>
        <w:adjustRightInd w:val="0"/>
        <w:ind w:left="851"/>
        <w:rPr>
          <w:sz w:val="24"/>
          <w:szCs w:val="24"/>
        </w:rPr>
      </w:pPr>
      <w:r w:rsidRPr="00AE3725">
        <w:rPr>
          <w:sz w:val="24"/>
          <w:szCs w:val="24"/>
        </w:rPr>
        <w:t>Når safinamid administreres samtidig med produkter, der er BCRP-substrater, henvises der til produktresuméet for det specifikke lægemiddel.</w:t>
      </w:r>
    </w:p>
    <w:p w14:paraId="6D856846" w14:textId="77777777" w:rsidR="004223FE" w:rsidRPr="00AE3725" w:rsidRDefault="004223FE" w:rsidP="001561DD">
      <w:pPr>
        <w:autoSpaceDE w:val="0"/>
        <w:autoSpaceDN w:val="0"/>
        <w:adjustRightInd w:val="0"/>
        <w:ind w:left="851"/>
        <w:rPr>
          <w:sz w:val="24"/>
          <w:szCs w:val="24"/>
          <w:highlight w:val="green"/>
        </w:rPr>
      </w:pPr>
    </w:p>
    <w:p w14:paraId="31FE3812" w14:textId="77777777" w:rsidR="004223FE" w:rsidRPr="00AE3725" w:rsidRDefault="004223FE" w:rsidP="001561DD">
      <w:pPr>
        <w:autoSpaceDE w:val="0"/>
        <w:autoSpaceDN w:val="0"/>
        <w:adjustRightInd w:val="0"/>
        <w:ind w:left="851"/>
        <w:rPr>
          <w:sz w:val="24"/>
          <w:szCs w:val="24"/>
          <w:highlight w:val="green"/>
          <w:u w:val="single"/>
        </w:rPr>
      </w:pPr>
      <w:r w:rsidRPr="00AE3725">
        <w:rPr>
          <w:sz w:val="24"/>
          <w:szCs w:val="24"/>
          <w:u w:val="single"/>
        </w:rPr>
        <w:t>Nedsat leverfunktion</w:t>
      </w:r>
    </w:p>
    <w:p w14:paraId="00B9E116" w14:textId="77777777" w:rsidR="004223FE" w:rsidRPr="00AE3725" w:rsidRDefault="004223FE" w:rsidP="001561DD">
      <w:pPr>
        <w:autoSpaceDE w:val="0"/>
        <w:autoSpaceDN w:val="0"/>
        <w:adjustRightInd w:val="0"/>
        <w:ind w:left="851"/>
        <w:rPr>
          <w:sz w:val="24"/>
          <w:szCs w:val="24"/>
          <w:highlight w:val="green"/>
          <w:u w:val="single"/>
        </w:rPr>
      </w:pPr>
    </w:p>
    <w:p w14:paraId="75FCB499" w14:textId="77777777" w:rsidR="004223FE" w:rsidRPr="00AE3725" w:rsidRDefault="004223FE" w:rsidP="001561DD">
      <w:pPr>
        <w:autoSpaceDE w:val="0"/>
        <w:autoSpaceDN w:val="0"/>
        <w:adjustRightInd w:val="0"/>
        <w:ind w:left="851"/>
        <w:rPr>
          <w:sz w:val="24"/>
          <w:szCs w:val="24"/>
        </w:rPr>
      </w:pPr>
      <w:r w:rsidRPr="00AE3725">
        <w:rPr>
          <w:sz w:val="24"/>
          <w:szCs w:val="24"/>
        </w:rPr>
        <w:t>Der bør udvises forsigtighed, når behandling med safinamid initieres hos patienter med moderat nedsat leverfunktion. Hvis patientens tilstand forværres fra moderat til svært nedsat leverfunktion, skal behandling med safinamid seponeres (se pkt. 4.2, 4.3 og 5.2).</w:t>
      </w:r>
    </w:p>
    <w:p w14:paraId="7AA946D8" w14:textId="77777777" w:rsidR="004223FE" w:rsidRPr="00AE3725" w:rsidRDefault="004223FE" w:rsidP="001561DD">
      <w:pPr>
        <w:autoSpaceDE w:val="0"/>
        <w:autoSpaceDN w:val="0"/>
        <w:adjustRightInd w:val="0"/>
        <w:ind w:left="851"/>
        <w:rPr>
          <w:sz w:val="24"/>
          <w:szCs w:val="24"/>
          <w:highlight w:val="green"/>
        </w:rPr>
      </w:pPr>
    </w:p>
    <w:p w14:paraId="4B0FBC30" w14:textId="77777777" w:rsidR="004223FE" w:rsidRPr="00AE3725" w:rsidRDefault="004223FE" w:rsidP="001561DD">
      <w:pPr>
        <w:autoSpaceDE w:val="0"/>
        <w:autoSpaceDN w:val="0"/>
        <w:adjustRightInd w:val="0"/>
        <w:ind w:left="851"/>
        <w:rPr>
          <w:sz w:val="24"/>
          <w:szCs w:val="24"/>
          <w:highlight w:val="green"/>
          <w:u w:val="single"/>
        </w:rPr>
      </w:pPr>
      <w:r w:rsidRPr="00AE3725">
        <w:rPr>
          <w:sz w:val="24"/>
          <w:szCs w:val="24"/>
          <w:u w:val="single"/>
        </w:rPr>
        <w:t>Risiko for nethindedegeneration hos patienter med tidligere nethindesygdom</w:t>
      </w:r>
    </w:p>
    <w:p w14:paraId="35B350AF" w14:textId="77777777" w:rsidR="004223FE" w:rsidRPr="00AE3725" w:rsidRDefault="004223FE" w:rsidP="001561DD">
      <w:pPr>
        <w:autoSpaceDE w:val="0"/>
        <w:autoSpaceDN w:val="0"/>
        <w:adjustRightInd w:val="0"/>
        <w:ind w:left="851"/>
        <w:rPr>
          <w:sz w:val="24"/>
          <w:szCs w:val="24"/>
          <w:highlight w:val="green"/>
        </w:rPr>
      </w:pPr>
    </w:p>
    <w:p w14:paraId="3B2B1BD9" w14:textId="09ABF33F" w:rsidR="004223FE" w:rsidRPr="00AE3725" w:rsidRDefault="004223FE" w:rsidP="001561DD">
      <w:pPr>
        <w:autoSpaceDE w:val="0"/>
        <w:autoSpaceDN w:val="0"/>
        <w:adjustRightInd w:val="0"/>
        <w:ind w:left="851"/>
        <w:rPr>
          <w:sz w:val="24"/>
          <w:szCs w:val="24"/>
        </w:rPr>
      </w:pPr>
      <w:r w:rsidRPr="00AE3725">
        <w:rPr>
          <w:sz w:val="24"/>
          <w:szCs w:val="24"/>
        </w:rPr>
        <w:t xml:space="preserve">Safinamid bør ikke gives til patienter med oftalmologisk historie, som kan medføre øget risiko for potentielle nethinde-effekter (f.eks. anamnese med arvelig nethindesygdom, eller historie med </w:t>
      </w:r>
      <w:proofErr w:type="spellStart"/>
      <w:r w:rsidRPr="00AE3725">
        <w:rPr>
          <w:sz w:val="24"/>
          <w:szCs w:val="24"/>
        </w:rPr>
        <w:t>uveitis</w:t>
      </w:r>
      <w:proofErr w:type="spellEnd"/>
      <w:r w:rsidRPr="00AE3725">
        <w:rPr>
          <w:sz w:val="24"/>
          <w:szCs w:val="24"/>
        </w:rPr>
        <w:t>), se pkt. 4.3 og 5.3.</w:t>
      </w:r>
    </w:p>
    <w:p w14:paraId="7FD8183D" w14:textId="77777777" w:rsidR="004223FE" w:rsidRPr="00AE3725" w:rsidRDefault="004223FE" w:rsidP="001561DD">
      <w:pPr>
        <w:autoSpaceDE w:val="0"/>
        <w:autoSpaceDN w:val="0"/>
        <w:adjustRightInd w:val="0"/>
        <w:ind w:left="851"/>
        <w:rPr>
          <w:sz w:val="24"/>
          <w:szCs w:val="24"/>
          <w:highlight w:val="green"/>
          <w:u w:val="single"/>
        </w:rPr>
      </w:pPr>
    </w:p>
    <w:p w14:paraId="2026D625" w14:textId="77777777" w:rsidR="004223FE" w:rsidRPr="00AE3725" w:rsidRDefault="004223FE" w:rsidP="001561DD">
      <w:pPr>
        <w:autoSpaceDE w:val="0"/>
        <w:autoSpaceDN w:val="0"/>
        <w:adjustRightInd w:val="0"/>
        <w:ind w:left="851"/>
        <w:rPr>
          <w:sz w:val="24"/>
          <w:szCs w:val="24"/>
          <w:highlight w:val="green"/>
          <w:u w:val="single"/>
        </w:rPr>
      </w:pPr>
      <w:r w:rsidRPr="00AE3725">
        <w:rPr>
          <w:sz w:val="24"/>
          <w:szCs w:val="24"/>
          <w:u w:val="single"/>
        </w:rPr>
        <w:t>Impuls-kontrolforstyrrelser</w:t>
      </w:r>
    </w:p>
    <w:p w14:paraId="0CF21832" w14:textId="77777777" w:rsidR="004223FE" w:rsidRPr="00AE3725" w:rsidRDefault="004223FE" w:rsidP="001561DD">
      <w:pPr>
        <w:autoSpaceDE w:val="0"/>
        <w:autoSpaceDN w:val="0"/>
        <w:adjustRightInd w:val="0"/>
        <w:ind w:left="851"/>
        <w:rPr>
          <w:sz w:val="24"/>
          <w:szCs w:val="24"/>
          <w:highlight w:val="green"/>
        </w:rPr>
      </w:pPr>
    </w:p>
    <w:p w14:paraId="3E96E5F8" w14:textId="77777777" w:rsidR="004223FE" w:rsidRPr="00AE3725" w:rsidRDefault="004223FE" w:rsidP="001561DD">
      <w:pPr>
        <w:autoSpaceDE w:val="0"/>
        <w:autoSpaceDN w:val="0"/>
        <w:adjustRightInd w:val="0"/>
        <w:ind w:left="851"/>
        <w:rPr>
          <w:sz w:val="24"/>
          <w:szCs w:val="24"/>
        </w:rPr>
      </w:pPr>
      <w:r w:rsidRPr="00AE3725">
        <w:rPr>
          <w:sz w:val="24"/>
          <w:szCs w:val="24"/>
        </w:rPr>
        <w:t xml:space="preserve">Der kan opstå impuls-kontrolforstyrrelser hos patienter, der behandles med dopamin-agonister og/eller </w:t>
      </w:r>
      <w:proofErr w:type="spellStart"/>
      <w:r w:rsidRPr="00AE3725">
        <w:rPr>
          <w:sz w:val="24"/>
          <w:szCs w:val="24"/>
        </w:rPr>
        <w:t>dopaminerge</w:t>
      </w:r>
      <w:proofErr w:type="spellEnd"/>
      <w:r w:rsidRPr="00AE3725">
        <w:rPr>
          <w:sz w:val="24"/>
          <w:szCs w:val="24"/>
        </w:rPr>
        <w:t xml:space="preserve"> behandlinger. Der har også været observationer af impuls-kontrolforstyrrelser med andre MAO-</w:t>
      </w:r>
      <w:proofErr w:type="spellStart"/>
      <w:r w:rsidRPr="00AE3725">
        <w:rPr>
          <w:sz w:val="24"/>
          <w:szCs w:val="24"/>
        </w:rPr>
        <w:t>hæmmere</w:t>
      </w:r>
      <w:proofErr w:type="spellEnd"/>
      <w:r w:rsidRPr="00AE3725">
        <w:rPr>
          <w:sz w:val="24"/>
          <w:szCs w:val="24"/>
        </w:rPr>
        <w:t>. Behandling med safinamid er ikke forbundet med øget forekomst af impulskontrolforstyrrelser.</w:t>
      </w:r>
    </w:p>
    <w:p w14:paraId="3E013096" w14:textId="77777777" w:rsidR="004223FE" w:rsidRPr="00AE3725" w:rsidRDefault="004223FE" w:rsidP="001561DD">
      <w:pPr>
        <w:autoSpaceDE w:val="0"/>
        <w:autoSpaceDN w:val="0"/>
        <w:adjustRightInd w:val="0"/>
        <w:ind w:left="851"/>
        <w:rPr>
          <w:sz w:val="24"/>
          <w:szCs w:val="24"/>
        </w:rPr>
      </w:pPr>
    </w:p>
    <w:p w14:paraId="4EB1CDFF" w14:textId="77777777" w:rsidR="004223FE" w:rsidRPr="00AE3725" w:rsidRDefault="004223FE" w:rsidP="001561DD">
      <w:pPr>
        <w:autoSpaceDE w:val="0"/>
        <w:autoSpaceDN w:val="0"/>
        <w:adjustRightInd w:val="0"/>
        <w:ind w:left="851"/>
        <w:rPr>
          <w:sz w:val="24"/>
          <w:szCs w:val="24"/>
        </w:rPr>
      </w:pPr>
      <w:r w:rsidRPr="00AE3725">
        <w:rPr>
          <w:sz w:val="24"/>
          <w:szCs w:val="24"/>
        </w:rPr>
        <w:t>Patienter og plejere bør gøres opmærksomme på de adfærds-symptomer ved impulskontrolforstyrrelser, der er observeret hos patienter, der behandles med MAO-</w:t>
      </w:r>
      <w:proofErr w:type="spellStart"/>
      <w:r w:rsidRPr="00AE3725">
        <w:rPr>
          <w:sz w:val="24"/>
          <w:szCs w:val="24"/>
        </w:rPr>
        <w:t>hæmmere</w:t>
      </w:r>
      <w:proofErr w:type="spellEnd"/>
      <w:r w:rsidRPr="00AE3725">
        <w:rPr>
          <w:sz w:val="24"/>
          <w:szCs w:val="24"/>
        </w:rPr>
        <w:t xml:space="preserve">, inklusive tilfælde af tvangshandlinger, tvangstanker, patologisk gambling, øget libido, </w:t>
      </w:r>
      <w:proofErr w:type="spellStart"/>
      <w:r w:rsidRPr="00AE3725">
        <w:rPr>
          <w:sz w:val="24"/>
          <w:szCs w:val="24"/>
        </w:rPr>
        <w:t>hyperseksualitet</w:t>
      </w:r>
      <w:proofErr w:type="spellEnd"/>
      <w:r w:rsidRPr="00AE3725">
        <w:rPr>
          <w:sz w:val="24"/>
          <w:szCs w:val="24"/>
        </w:rPr>
        <w:t xml:space="preserve">, impulsiv opførsel og </w:t>
      </w:r>
      <w:proofErr w:type="spellStart"/>
      <w:r w:rsidRPr="00AE3725">
        <w:rPr>
          <w:sz w:val="24"/>
          <w:szCs w:val="24"/>
        </w:rPr>
        <w:t>kompulsiv</w:t>
      </w:r>
      <w:proofErr w:type="spellEnd"/>
      <w:r w:rsidRPr="00AE3725">
        <w:rPr>
          <w:sz w:val="24"/>
          <w:szCs w:val="24"/>
        </w:rPr>
        <w:t xml:space="preserve"> købe- eller forbrugsadfærd.</w:t>
      </w:r>
    </w:p>
    <w:p w14:paraId="163891DF" w14:textId="77777777" w:rsidR="004223FE" w:rsidRPr="00AE3725" w:rsidRDefault="004223FE" w:rsidP="001561DD">
      <w:pPr>
        <w:autoSpaceDE w:val="0"/>
        <w:autoSpaceDN w:val="0"/>
        <w:adjustRightInd w:val="0"/>
        <w:ind w:left="851"/>
        <w:rPr>
          <w:sz w:val="24"/>
          <w:szCs w:val="24"/>
          <w:highlight w:val="green"/>
        </w:rPr>
      </w:pPr>
    </w:p>
    <w:p w14:paraId="1340D083" w14:textId="77777777" w:rsidR="004223FE" w:rsidRPr="00AE3725" w:rsidRDefault="004223FE" w:rsidP="001561DD">
      <w:pPr>
        <w:autoSpaceDE w:val="0"/>
        <w:autoSpaceDN w:val="0"/>
        <w:adjustRightInd w:val="0"/>
        <w:ind w:left="851"/>
        <w:rPr>
          <w:sz w:val="24"/>
          <w:szCs w:val="24"/>
          <w:highlight w:val="green"/>
          <w:u w:val="single"/>
        </w:rPr>
      </w:pPr>
      <w:proofErr w:type="spellStart"/>
      <w:r w:rsidRPr="00AE3725">
        <w:rPr>
          <w:sz w:val="24"/>
          <w:szCs w:val="24"/>
          <w:u w:val="single"/>
        </w:rPr>
        <w:t>Dopaminerge</w:t>
      </w:r>
      <w:proofErr w:type="spellEnd"/>
      <w:r w:rsidRPr="00AE3725">
        <w:rPr>
          <w:sz w:val="24"/>
          <w:szCs w:val="24"/>
          <w:u w:val="single"/>
        </w:rPr>
        <w:t xml:space="preserve"> bivirkninger</w:t>
      </w:r>
    </w:p>
    <w:p w14:paraId="388BE36B" w14:textId="77777777" w:rsidR="004223FE" w:rsidRPr="00AE3725" w:rsidRDefault="004223FE" w:rsidP="001561DD">
      <w:pPr>
        <w:autoSpaceDE w:val="0"/>
        <w:autoSpaceDN w:val="0"/>
        <w:adjustRightInd w:val="0"/>
        <w:ind w:left="851"/>
        <w:rPr>
          <w:sz w:val="24"/>
          <w:szCs w:val="24"/>
          <w:highlight w:val="green"/>
          <w:u w:val="single"/>
        </w:rPr>
      </w:pPr>
    </w:p>
    <w:p w14:paraId="69A051B1" w14:textId="77777777" w:rsidR="004223FE" w:rsidRPr="00AE3725" w:rsidRDefault="004223FE" w:rsidP="001561DD">
      <w:pPr>
        <w:autoSpaceDE w:val="0"/>
        <w:autoSpaceDN w:val="0"/>
        <w:adjustRightInd w:val="0"/>
        <w:ind w:left="851"/>
        <w:rPr>
          <w:sz w:val="24"/>
          <w:szCs w:val="24"/>
        </w:rPr>
      </w:pPr>
      <w:r w:rsidRPr="00AE3725">
        <w:rPr>
          <w:sz w:val="24"/>
          <w:szCs w:val="24"/>
        </w:rPr>
        <w:t xml:space="preserve">Safinamid anvendt som et supplement til </w:t>
      </w:r>
      <w:proofErr w:type="spellStart"/>
      <w:r w:rsidRPr="00AE3725">
        <w:rPr>
          <w:sz w:val="24"/>
          <w:szCs w:val="24"/>
        </w:rPr>
        <w:t>levodopa</w:t>
      </w:r>
      <w:proofErr w:type="spellEnd"/>
      <w:r w:rsidRPr="00AE3725">
        <w:rPr>
          <w:sz w:val="24"/>
          <w:szCs w:val="24"/>
        </w:rPr>
        <w:t xml:space="preserve"> kan forstærke bivirkningerne ved </w:t>
      </w:r>
      <w:proofErr w:type="spellStart"/>
      <w:r w:rsidRPr="00AE3725">
        <w:rPr>
          <w:sz w:val="24"/>
          <w:szCs w:val="24"/>
        </w:rPr>
        <w:t>levodopa</w:t>
      </w:r>
      <w:proofErr w:type="spellEnd"/>
      <w:r w:rsidRPr="00AE3725">
        <w:rPr>
          <w:sz w:val="24"/>
          <w:szCs w:val="24"/>
        </w:rPr>
        <w:t xml:space="preserve">, og præ-eksisterende </w:t>
      </w:r>
      <w:proofErr w:type="spellStart"/>
      <w:r w:rsidRPr="00AE3725">
        <w:rPr>
          <w:sz w:val="24"/>
          <w:szCs w:val="24"/>
        </w:rPr>
        <w:t>dyskinesi</w:t>
      </w:r>
      <w:proofErr w:type="spellEnd"/>
      <w:r w:rsidRPr="00AE3725">
        <w:rPr>
          <w:sz w:val="24"/>
          <w:szCs w:val="24"/>
        </w:rPr>
        <w:t xml:space="preserve"> kan forværres, hvilket kan kræve nedsættelse af </w:t>
      </w:r>
      <w:proofErr w:type="spellStart"/>
      <w:r w:rsidRPr="00AE3725">
        <w:rPr>
          <w:sz w:val="24"/>
          <w:szCs w:val="24"/>
        </w:rPr>
        <w:t>levodopa</w:t>
      </w:r>
      <w:proofErr w:type="spellEnd"/>
      <w:r w:rsidRPr="00AE3725">
        <w:rPr>
          <w:sz w:val="24"/>
          <w:szCs w:val="24"/>
        </w:rPr>
        <w:t>. Denne virkning sås ikke, når safiamid blev brugt som et supplement til dopamin-agonister hos patienter med tidligt stadium af PD.</w:t>
      </w:r>
    </w:p>
    <w:p w14:paraId="2733E35A" w14:textId="5230008F" w:rsidR="000D3879" w:rsidRDefault="000D3879">
      <w:pPr>
        <w:rPr>
          <w:sz w:val="24"/>
          <w:szCs w:val="24"/>
        </w:rPr>
      </w:pPr>
      <w:r>
        <w:rPr>
          <w:sz w:val="24"/>
          <w:szCs w:val="24"/>
        </w:rPr>
        <w:br w:type="page"/>
      </w:r>
    </w:p>
    <w:p w14:paraId="169252BB" w14:textId="77777777" w:rsidR="009260DE" w:rsidRPr="00AE3725" w:rsidRDefault="009260DE" w:rsidP="009260DE">
      <w:pPr>
        <w:tabs>
          <w:tab w:val="left" w:pos="851"/>
        </w:tabs>
        <w:ind w:left="851"/>
        <w:rPr>
          <w:sz w:val="24"/>
          <w:szCs w:val="24"/>
        </w:rPr>
      </w:pPr>
    </w:p>
    <w:p w14:paraId="0CA5B137" w14:textId="77777777" w:rsidR="009260DE" w:rsidRPr="00AE3725" w:rsidRDefault="009260DE" w:rsidP="009260DE">
      <w:pPr>
        <w:tabs>
          <w:tab w:val="left" w:pos="851"/>
        </w:tabs>
        <w:ind w:left="851" w:hanging="851"/>
        <w:rPr>
          <w:b/>
          <w:sz w:val="24"/>
          <w:szCs w:val="24"/>
        </w:rPr>
      </w:pPr>
      <w:r w:rsidRPr="00AE3725">
        <w:rPr>
          <w:b/>
          <w:sz w:val="24"/>
          <w:szCs w:val="24"/>
        </w:rPr>
        <w:t>4.5</w:t>
      </w:r>
      <w:r w:rsidRPr="00AE3725">
        <w:rPr>
          <w:b/>
          <w:sz w:val="24"/>
          <w:szCs w:val="24"/>
        </w:rPr>
        <w:tab/>
        <w:t>Interaktion med andre lægemidler og andre former for interaktion</w:t>
      </w:r>
    </w:p>
    <w:p w14:paraId="15A6E0C6" w14:textId="77777777" w:rsidR="00AE3725" w:rsidRDefault="00AE3725" w:rsidP="001561DD">
      <w:pPr>
        <w:autoSpaceDE w:val="0"/>
        <w:autoSpaceDN w:val="0"/>
        <w:adjustRightInd w:val="0"/>
        <w:ind w:left="851"/>
        <w:rPr>
          <w:i/>
          <w:iCs/>
          <w:sz w:val="24"/>
          <w:szCs w:val="24"/>
          <w:u w:val="single"/>
        </w:rPr>
      </w:pPr>
    </w:p>
    <w:p w14:paraId="3A67F751" w14:textId="249F7DB9" w:rsidR="004223FE" w:rsidRPr="00AE3725" w:rsidRDefault="004223FE" w:rsidP="001561DD">
      <w:pPr>
        <w:autoSpaceDE w:val="0"/>
        <w:autoSpaceDN w:val="0"/>
        <w:adjustRightInd w:val="0"/>
        <w:ind w:left="851"/>
        <w:rPr>
          <w:sz w:val="24"/>
          <w:szCs w:val="24"/>
          <w:highlight w:val="green"/>
          <w:u w:val="single"/>
        </w:rPr>
      </w:pPr>
      <w:r w:rsidRPr="00AE3725">
        <w:rPr>
          <w:i/>
          <w:iCs/>
          <w:sz w:val="24"/>
          <w:szCs w:val="24"/>
          <w:u w:val="single"/>
        </w:rPr>
        <w:t xml:space="preserve">In </w:t>
      </w:r>
      <w:proofErr w:type="spellStart"/>
      <w:r w:rsidRPr="00AE3725">
        <w:rPr>
          <w:i/>
          <w:iCs/>
          <w:sz w:val="24"/>
          <w:szCs w:val="24"/>
          <w:u w:val="single"/>
        </w:rPr>
        <w:t>vivo</w:t>
      </w:r>
      <w:proofErr w:type="spellEnd"/>
      <w:r w:rsidRPr="00AE3725">
        <w:rPr>
          <w:i/>
          <w:iCs/>
          <w:sz w:val="24"/>
          <w:szCs w:val="24"/>
          <w:u w:val="single"/>
        </w:rPr>
        <w:t xml:space="preserve"> </w:t>
      </w:r>
      <w:r w:rsidRPr="00AE3725">
        <w:rPr>
          <w:sz w:val="24"/>
          <w:szCs w:val="24"/>
          <w:u w:val="single"/>
        </w:rPr>
        <w:t>og</w:t>
      </w:r>
      <w:r w:rsidRPr="00AE3725">
        <w:rPr>
          <w:i/>
          <w:iCs/>
          <w:sz w:val="24"/>
          <w:szCs w:val="24"/>
          <w:u w:val="single"/>
        </w:rPr>
        <w:t xml:space="preserve"> in </w:t>
      </w:r>
      <w:proofErr w:type="spellStart"/>
      <w:r w:rsidRPr="00AE3725">
        <w:rPr>
          <w:i/>
          <w:iCs/>
          <w:sz w:val="24"/>
          <w:szCs w:val="24"/>
          <w:u w:val="single"/>
        </w:rPr>
        <w:t>vitro</w:t>
      </w:r>
      <w:proofErr w:type="spellEnd"/>
      <w:r w:rsidRPr="00AE3725">
        <w:rPr>
          <w:i/>
          <w:iCs/>
          <w:sz w:val="24"/>
          <w:szCs w:val="24"/>
          <w:u w:val="single"/>
        </w:rPr>
        <w:t xml:space="preserve"> </w:t>
      </w:r>
      <w:proofErr w:type="spellStart"/>
      <w:r w:rsidRPr="00AE3725">
        <w:rPr>
          <w:sz w:val="24"/>
          <w:szCs w:val="24"/>
          <w:u w:val="single"/>
        </w:rPr>
        <w:t>farmakodynamisk</w:t>
      </w:r>
      <w:proofErr w:type="spellEnd"/>
      <w:r w:rsidRPr="00AE3725">
        <w:rPr>
          <w:sz w:val="24"/>
          <w:szCs w:val="24"/>
          <w:u w:val="single"/>
        </w:rPr>
        <w:t xml:space="preserve"> interaktion mellem lægemidler</w:t>
      </w:r>
    </w:p>
    <w:p w14:paraId="4187BC9C" w14:textId="77777777" w:rsidR="004223FE" w:rsidRPr="00AE3725" w:rsidRDefault="004223FE" w:rsidP="001561DD">
      <w:pPr>
        <w:autoSpaceDE w:val="0"/>
        <w:autoSpaceDN w:val="0"/>
        <w:adjustRightInd w:val="0"/>
        <w:ind w:left="851"/>
        <w:rPr>
          <w:i/>
          <w:iCs/>
          <w:sz w:val="24"/>
          <w:szCs w:val="24"/>
          <w:highlight w:val="green"/>
        </w:rPr>
      </w:pPr>
    </w:p>
    <w:p w14:paraId="0F5B92E1" w14:textId="77777777" w:rsidR="004223FE" w:rsidRPr="00AE3725" w:rsidRDefault="004223FE" w:rsidP="001561DD">
      <w:pPr>
        <w:autoSpaceDE w:val="0"/>
        <w:autoSpaceDN w:val="0"/>
        <w:adjustRightInd w:val="0"/>
        <w:ind w:left="851"/>
        <w:rPr>
          <w:i/>
          <w:iCs/>
          <w:sz w:val="24"/>
          <w:szCs w:val="24"/>
          <w:highlight w:val="green"/>
        </w:rPr>
      </w:pPr>
      <w:r w:rsidRPr="00AE3725">
        <w:rPr>
          <w:i/>
          <w:iCs/>
          <w:sz w:val="24"/>
          <w:szCs w:val="24"/>
        </w:rPr>
        <w:t>MAO-</w:t>
      </w:r>
      <w:proofErr w:type="spellStart"/>
      <w:r w:rsidRPr="00AE3725">
        <w:rPr>
          <w:i/>
          <w:iCs/>
          <w:sz w:val="24"/>
          <w:szCs w:val="24"/>
        </w:rPr>
        <w:t>hæmmere</w:t>
      </w:r>
      <w:proofErr w:type="spellEnd"/>
      <w:r w:rsidRPr="00AE3725">
        <w:rPr>
          <w:i/>
          <w:iCs/>
          <w:sz w:val="24"/>
          <w:szCs w:val="24"/>
        </w:rPr>
        <w:t xml:space="preserve"> og petidin</w:t>
      </w:r>
    </w:p>
    <w:p w14:paraId="471E6BEC" w14:textId="77777777" w:rsidR="004223FE" w:rsidRPr="00AE3725" w:rsidRDefault="004223FE" w:rsidP="001561DD">
      <w:pPr>
        <w:autoSpaceDE w:val="0"/>
        <w:autoSpaceDN w:val="0"/>
        <w:adjustRightInd w:val="0"/>
        <w:ind w:left="851"/>
        <w:rPr>
          <w:sz w:val="24"/>
          <w:szCs w:val="24"/>
        </w:rPr>
      </w:pPr>
      <w:r w:rsidRPr="00AE3725">
        <w:rPr>
          <w:sz w:val="24"/>
          <w:szCs w:val="24"/>
        </w:rPr>
        <w:t>Safinamid må ikke gives sammen med andre MAO-</w:t>
      </w:r>
      <w:proofErr w:type="spellStart"/>
      <w:r w:rsidRPr="00AE3725">
        <w:rPr>
          <w:sz w:val="24"/>
          <w:szCs w:val="24"/>
        </w:rPr>
        <w:t>hæmmere</w:t>
      </w:r>
      <w:proofErr w:type="spellEnd"/>
      <w:r w:rsidRPr="00AE3725">
        <w:rPr>
          <w:sz w:val="24"/>
          <w:szCs w:val="24"/>
        </w:rPr>
        <w:t xml:space="preserve"> (herunder </w:t>
      </w:r>
      <w:proofErr w:type="spellStart"/>
      <w:r w:rsidRPr="00AE3725">
        <w:rPr>
          <w:sz w:val="24"/>
          <w:szCs w:val="24"/>
        </w:rPr>
        <w:t>moclobemid</w:t>
      </w:r>
      <w:proofErr w:type="spellEnd"/>
      <w:r w:rsidRPr="00AE3725">
        <w:rPr>
          <w:sz w:val="24"/>
          <w:szCs w:val="24"/>
        </w:rPr>
        <w:t xml:space="preserve">), da der kan være risiko for ikke-selektiv MAO-hæmning, der kan føre til en </w:t>
      </w:r>
      <w:proofErr w:type="spellStart"/>
      <w:r w:rsidRPr="00AE3725">
        <w:rPr>
          <w:sz w:val="24"/>
          <w:szCs w:val="24"/>
        </w:rPr>
        <w:t>hypertensiv</w:t>
      </w:r>
      <w:proofErr w:type="spellEnd"/>
      <w:r w:rsidRPr="00AE3725">
        <w:rPr>
          <w:sz w:val="24"/>
          <w:szCs w:val="24"/>
        </w:rPr>
        <w:t xml:space="preserve"> krise (se pkt. 4.3).</w:t>
      </w:r>
    </w:p>
    <w:p w14:paraId="751F20B0" w14:textId="77777777" w:rsidR="004223FE" w:rsidRPr="00AE3725" w:rsidRDefault="004223FE" w:rsidP="001561DD">
      <w:pPr>
        <w:autoSpaceDE w:val="0"/>
        <w:autoSpaceDN w:val="0"/>
        <w:adjustRightInd w:val="0"/>
        <w:ind w:left="851"/>
        <w:rPr>
          <w:sz w:val="24"/>
          <w:szCs w:val="24"/>
        </w:rPr>
      </w:pPr>
    </w:p>
    <w:p w14:paraId="4635E59D" w14:textId="77777777" w:rsidR="004223FE" w:rsidRPr="00AE3725" w:rsidRDefault="004223FE" w:rsidP="001561DD">
      <w:pPr>
        <w:autoSpaceDE w:val="0"/>
        <w:autoSpaceDN w:val="0"/>
        <w:adjustRightInd w:val="0"/>
        <w:ind w:left="851"/>
        <w:rPr>
          <w:sz w:val="24"/>
          <w:szCs w:val="24"/>
        </w:rPr>
      </w:pPr>
      <w:r w:rsidRPr="00AE3725">
        <w:rPr>
          <w:sz w:val="24"/>
          <w:szCs w:val="24"/>
        </w:rPr>
        <w:t>Der er indberettet alvorlige bivirkninger ved samtidig anvendelse af petidin og MAO-</w:t>
      </w:r>
      <w:proofErr w:type="spellStart"/>
      <w:r w:rsidRPr="00AE3725">
        <w:rPr>
          <w:sz w:val="24"/>
          <w:szCs w:val="24"/>
        </w:rPr>
        <w:t>hæmmere</w:t>
      </w:r>
      <w:proofErr w:type="spellEnd"/>
      <w:r w:rsidRPr="00AE3725">
        <w:rPr>
          <w:sz w:val="24"/>
          <w:szCs w:val="24"/>
        </w:rPr>
        <w:t>. Da dette kan være en klasse-effekt, er samtidig administration af safinamid og petidin kontraindiceret (se pkt. 4.3).</w:t>
      </w:r>
    </w:p>
    <w:p w14:paraId="1CB6A49C" w14:textId="77777777" w:rsidR="004223FE" w:rsidRPr="00AE3725" w:rsidRDefault="004223FE" w:rsidP="001561DD">
      <w:pPr>
        <w:autoSpaceDE w:val="0"/>
        <w:autoSpaceDN w:val="0"/>
        <w:adjustRightInd w:val="0"/>
        <w:ind w:left="851"/>
        <w:rPr>
          <w:sz w:val="24"/>
          <w:szCs w:val="24"/>
        </w:rPr>
      </w:pPr>
    </w:p>
    <w:p w14:paraId="25D5AFB8" w14:textId="77777777" w:rsidR="004223FE" w:rsidRPr="00AE3725" w:rsidRDefault="004223FE" w:rsidP="001561DD">
      <w:pPr>
        <w:autoSpaceDE w:val="0"/>
        <w:autoSpaceDN w:val="0"/>
        <w:adjustRightInd w:val="0"/>
        <w:ind w:left="851"/>
        <w:rPr>
          <w:sz w:val="24"/>
          <w:szCs w:val="24"/>
        </w:rPr>
      </w:pPr>
      <w:r w:rsidRPr="00AE3725">
        <w:rPr>
          <w:sz w:val="24"/>
          <w:szCs w:val="24"/>
        </w:rPr>
        <w:t>Der har været indberetninger om lægemiddelinteraktioner ved samtidig brug af MAO-</w:t>
      </w:r>
      <w:proofErr w:type="spellStart"/>
      <w:r w:rsidRPr="00AE3725">
        <w:rPr>
          <w:sz w:val="24"/>
          <w:szCs w:val="24"/>
        </w:rPr>
        <w:t>hæmmere</w:t>
      </w:r>
      <w:proofErr w:type="spellEnd"/>
      <w:r w:rsidRPr="00AE3725">
        <w:rPr>
          <w:sz w:val="24"/>
          <w:szCs w:val="24"/>
        </w:rPr>
        <w:t xml:space="preserve"> og </w:t>
      </w:r>
      <w:proofErr w:type="spellStart"/>
      <w:r w:rsidRPr="00AE3725">
        <w:rPr>
          <w:sz w:val="24"/>
          <w:szCs w:val="24"/>
        </w:rPr>
        <w:t>sympatomimetiske</w:t>
      </w:r>
      <w:proofErr w:type="spellEnd"/>
      <w:r w:rsidRPr="00AE3725">
        <w:rPr>
          <w:sz w:val="24"/>
          <w:szCs w:val="24"/>
        </w:rPr>
        <w:t xml:space="preserve"> lægemidler. I betragtning af den MAO-hæmmende virkning af safinamid skal der udvises forsigtighed ved samtidig administration af safinamid og </w:t>
      </w:r>
      <w:proofErr w:type="spellStart"/>
      <w:r w:rsidRPr="00AE3725">
        <w:rPr>
          <w:sz w:val="24"/>
          <w:szCs w:val="24"/>
        </w:rPr>
        <w:t>sympatomimetika</w:t>
      </w:r>
      <w:proofErr w:type="spellEnd"/>
      <w:r w:rsidRPr="00AE3725">
        <w:rPr>
          <w:sz w:val="24"/>
          <w:szCs w:val="24"/>
        </w:rPr>
        <w:t xml:space="preserve">, som dem, der findes i nasale og orale </w:t>
      </w:r>
      <w:proofErr w:type="spellStart"/>
      <w:r w:rsidRPr="00AE3725">
        <w:rPr>
          <w:sz w:val="24"/>
          <w:szCs w:val="24"/>
        </w:rPr>
        <w:t>dekongestanter</w:t>
      </w:r>
      <w:proofErr w:type="spellEnd"/>
      <w:r w:rsidRPr="00AE3725">
        <w:rPr>
          <w:sz w:val="24"/>
          <w:szCs w:val="24"/>
        </w:rPr>
        <w:t xml:space="preserve"> eller lægemidler mod forkølelse, som indeholder </w:t>
      </w:r>
      <w:proofErr w:type="spellStart"/>
      <w:r w:rsidRPr="00AE3725">
        <w:rPr>
          <w:sz w:val="24"/>
          <w:szCs w:val="24"/>
        </w:rPr>
        <w:t>efedrin</w:t>
      </w:r>
      <w:proofErr w:type="spellEnd"/>
      <w:r w:rsidRPr="00AE3725">
        <w:rPr>
          <w:sz w:val="24"/>
          <w:szCs w:val="24"/>
        </w:rPr>
        <w:t xml:space="preserve"> eller </w:t>
      </w:r>
      <w:proofErr w:type="spellStart"/>
      <w:r w:rsidRPr="00AE3725">
        <w:rPr>
          <w:sz w:val="24"/>
          <w:szCs w:val="24"/>
        </w:rPr>
        <w:t>pseudoefedrin</w:t>
      </w:r>
      <w:proofErr w:type="spellEnd"/>
      <w:r w:rsidRPr="00AE3725">
        <w:rPr>
          <w:sz w:val="24"/>
          <w:szCs w:val="24"/>
        </w:rPr>
        <w:t xml:space="preserve"> (se pkt. 4.4).</w:t>
      </w:r>
    </w:p>
    <w:p w14:paraId="11C2DE6B" w14:textId="77777777" w:rsidR="004223FE" w:rsidRPr="00AE3725" w:rsidRDefault="004223FE" w:rsidP="001561DD">
      <w:pPr>
        <w:autoSpaceDE w:val="0"/>
        <w:autoSpaceDN w:val="0"/>
        <w:adjustRightInd w:val="0"/>
        <w:ind w:left="851"/>
        <w:rPr>
          <w:i/>
          <w:iCs/>
          <w:sz w:val="24"/>
          <w:szCs w:val="24"/>
        </w:rPr>
      </w:pPr>
    </w:p>
    <w:p w14:paraId="7BDB67AA" w14:textId="77777777" w:rsidR="004223FE" w:rsidRPr="00AE3725" w:rsidRDefault="004223FE" w:rsidP="001561DD">
      <w:pPr>
        <w:autoSpaceDE w:val="0"/>
        <w:autoSpaceDN w:val="0"/>
        <w:adjustRightInd w:val="0"/>
        <w:ind w:left="851"/>
        <w:rPr>
          <w:i/>
          <w:iCs/>
          <w:sz w:val="24"/>
          <w:szCs w:val="24"/>
          <w:highlight w:val="green"/>
        </w:rPr>
      </w:pPr>
      <w:proofErr w:type="spellStart"/>
      <w:r w:rsidRPr="00AE3725">
        <w:rPr>
          <w:i/>
          <w:iCs/>
          <w:sz w:val="24"/>
          <w:szCs w:val="24"/>
        </w:rPr>
        <w:t>Dextromethorphan</w:t>
      </w:r>
      <w:proofErr w:type="spellEnd"/>
    </w:p>
    <w:p w14:paraId="2B24D8D3" w14:textId="77777777" w:rsidR="004223FE" w:rsidRPr="00AE3725" w:rsidRDefault="004223FE" w:rsidP="001561DD">
      <w:pPr>
        <w:autoSpaceDE w:val="0"/>
        <w:autoSpaceDN w:val="0"/>
        <w:adjustRightInd w:val="0"/>
        <w:ind w:left="851"/>
        <w:rPr>
          <w:sz w:val="24"/>
          <w:szCs w:val="24"/>
        </w:rPr>
      </w:pPr>
      <w:r w:rsidRPr="00AE3725">
        <w:rPr>
          <w:sz w:val="24"/>
          <w:szCs w:val="24"/>
        </w:rPr>
        <w:t xml:space="preserve">Der har været indberetninger om lægemiddelinteraktioner ved samtidig brug af </w:t>
      </w:r>
      <w:proofErr w:type="spellStart"/>
      <w:r w:rsidRPr="00AE3725">
        <w:rPr>
          <w:sz w:val="24"/>
          <w:szCs w:val="24"/>
        </w:rPr>
        <w:t>dextromethorphan</w:t>
      </w:r>
      <w:proofErr w:type="spellEnd"/>
      <w:r w:rsidRPr="00AE3725">
        <w:rPr>
          <w:sz w:val="24"/>
          <w:szCs w:val="24"/>
        </w:rPr>
        <w:t xml:space="preserve"> og ikke-selektive MAO-</w:t>
      </w:r>
      <w:proofErr w:type="spellStart"/>
      <w:r w:rsidRPr="00AE3725">
        <w:rPr>
          <w:sz w:val="24"/>
          <w:szCs w:val="24"/>
        </w:rPr>
        <w:t>hæmmere</w:t>
      </w:r>
      <w:proofErr w:type="spellEnd"/>
      <w:r w:rsidRPr="00AE3725">
        <w:rPr>
          <w:sz w:val="24"/>
          <w:szCs w:val="24"/>
        </w:rPr>
        <w:t xml:space="preserve">. I betragtning af den MAO-hæmmende virkning af safinamid frarådes samtidig administration af safinamid og </w:t>
      </w:r>
      <w:proofErr w:type="spellStart"/>
      <w:r w:rsidRPr="00AE3725">
        <w:rPr>
          <w:sz w:val="24"/>
          <w:szCs w:val="24"/>
        </w:rPr>
        <w:t>dextromethorphan</w:t>
      </w:r>
      <w:proofErr w:type="spellEnd"/>
      <w:r w:rsidRPr="00AE3725">
        <w:rPr>
          <w:sz w:val="24"/>
          <w:szCs w:val="24"/>
        </w:rPr>
        <w:t>, eller hvis samtidig behandling er nødvendig, skal der udvises forsigtighed (se pkt. 4.4).</w:t>
      </w:r>
    </w:p>
    <w:p w14:paraId="3F9ED811" w14:textId="77777777" w:rsidR="004223FE" w:rsidRPr="00AE3725" w:rsidRDefault="004223FE" w:rsidP="001561DD">
      <w:pPr>
        <w:autoSpaceDE w:val="0"/>
        <w:autoSpaceDN w:val="0"/>
        <w:adjustRightInd w:val="0"/>
        <w:ind w:left="851"/>
        <w:rPr>
          <w:sz w:val="24"/>
          <w:szCs w:val="24"/>
          <w:highlight w:val="green"/>
        </w:rPr>
      </w:pPr>
    </w:p>
    <w:p w14:paraId="4BD3CD9B" w14:textId="77777777" w:rsidR="004223FE" w:rsidRPr="00AE3725" w:rsidRDefault="004223FE" w:rsidP="001561DD">
      <w:pPr>
        <w:autoSpaceDE w:val="0"/>
        <w:autoSpaceDN w:val="0"/>
        <w:adjustRightInd w:val="0"/>
        <w:ind w:left="851"/>
        <w:rPr>
          <w:i/>
          <w:iCs/>
          <w:sz w:val="24"/>
          <w:szCs w:val="24"/>
          <w:highlight w:val="green"/>
        </w:rPr>
      </w:pPr>
      <w:proofErr w:type="spellStart"/>
      <w:r w:rsidRPr="00AE3725">
        <w:rPr>
          <w:i/>
          <w:iCs/>
          <w:sz w:val="24"/>
          <w:szCs w:val="24"/>
        </w:rPr>
        <w:t>Antidepressiva</w:t>
      </w:r>
      <w:proofErr w:type="spellEnd"/>
    </w:p>
    <w:p w14:paraId="17838D73" w14:textId="77777777" w:rsidR="004223FE" w:rsidRPr="00AE3725" w:rsidRDefault="004223FE" w:rsidP="001561DD">
      <w:pPr>
        <w:autoSpaceDE w:val="0"/>
        <w:autoSpaceDN w:val="0"/>
        <w:adjustRightInd w:val="0"/>
        <w:ind w:left="851"/>
        <w:rPr>
          <w:sz w:val="24"/>
          <w:szCs w:val="24"/>
        </w:rPr>
      </w:pPr>
      <w:r w:rsidRPr="00AE3725">
        <w:rPr>
          <w:sz w:val="24"/>
          <w:szCs w:val="24"/>
        </w:rPr>
        <w:t xml:space="preserve">Samtidig brug af safinamid og </w:t>
      </w:r>
      <w:proofErr w:type="spellStart"/>
      <w:r w:rsidRPr="00AE3725">
        <w:rPr>
          <w:sz w:val="24"/>
          <w:szCs w:val="24"/>
        </w:rPr>
        <w:t>fluoxetin</w:t>
      </w:r>
      <w:proofErr w:type="spellEnd"/>
      <w:r w:rsidRPr="00AE3725">
        <w:rPr>
          <w:sz w:val="24"/>
          <w:szCs w:val="24"/>
        </w:rPr>
        <w:t xml:space="preserve"> eller </w:t>
      </w:r>
      <w:proofErr w:type="spellStart"/>
      <w:r w:rsidRPr="00AE3725">
        <w:rPr>
          <w:sz w:val="24"/>
          <w:szCs w:val="24"/>
        </w:rPr>
        <w:t>fluvoxamin</w:t>
      </w:r>
      <w:proofErr w:type="spellEnd"/>
      <w:r w:rsidRPr="00AE3725">
        <w:rPr>
          <w:sz w:val="24"/>
          <w:szCs w:val="24"/>
        </w:rPr>
        <w:t xml:space="preserve"> bør undgås (se pkt. 4.4). Denne forholdsregel er baseret på forekomsten af alvorlige reaktioner (f.eks. serotonin syndrom), selvom det er sjældent, at det er sket, når SSRI og </w:t>
      </w:r>
      <w:proofErr w:type="spellStart"/>
      <w:r w:rsidRPr="00AE3725">
        <w:rPr>
          <w:sz w:val="24"/>
          <w:szCs w:val="24"/>
        </w:rPr>
        <w:t>dextromethorphan</w:t>
      </w:r>
      <w:proofErr w:type="spellEnd"/>
      <w:r w:rsidRPr="00AE3725">
        <w:rPr>
          <w:sz w:val="24"/>
          <w:szCs w:val="24"/>
        </w:rPr>
        <w:t xml:space="preserve"> har været anvendt sammen med MAO-</w:t>
      </w:r>
      <w:proofErr w:type="spellStart"/>
      <w:r w:rsidRPr="00AE3725">
        <w:rPr>
          <w:sz w:val="24"/>
          <w:szCs w:val="24"/>
        </w:rPr>
        <w:t>hæmmere</w:t>
      </w:r>
      <w:proofErr w:type="spellEnd"/>
      <w:r w:rsidRPr="00AE3725">
        <w:rPr>
          <w:sz w:val="24"/>
          <w:szCs w:val="24"/>
        </w:rPr>
        <w:t>. Hvis det er nødvendigt, bør samtidig brug af disse lægemidler ske med den laveste effektive dosis. En udvaskningsperiode svarende til 5 halveringstider af tidligere anvend SSRI bør overvejes før behandling med safinamid.</w:t>
      </w:r>
    </w:p>
    <w:p w14:paraId="2CD63BF6" w14:textId="77777777" w:rsidR="004223FE" w:rsidRPr="00AE3725" w:rsidRDefault="004223FE" w:rsidP="001561DD">
      <w:pPr>
        <w:autoSpaceDE w:val="0"/>
        <w:autoSpaceDN w:val="0"/>
        <w:adjustRightInd w:val="0"/>
        <w:ind w:left="851"/>
        <w:rPr>
          <w:sz w:val="24"/>
          <w:szCs w:val="24"/>
        </w:rPr>
      </w:pPr>
    </w:p>
    <w:p w14:paraId="31C71546" w14:textId="77777777" w:rsidR="004223FE" w:rsidRPr="00AE3725" w:rsidRDefault="004223FE" w:rsidP="001561DD">
      <w:pPr>
        <w:autoSpaceDE w:val="0"/>
        <w:autoSpaceDN w:val="0"/>
        <w:adjustRightInd w:val="0"/>
        <w:ind w:left="851"/>
        <w:rPr>
          <w:sz w:val="24"/>
          <w:szCs w:val="24"/>
        </w:rPr>
      </w:pPr>
      <w:r w:rsidRPr="00AE3725">
        <w:rPr>
          <w:sz w:val="24"/>
          <w:szCs w:val="24"/>
        </w:rPr>
        <w:t xml:space="preserve">Der har været indberettet alvorlige bivirkninger ved samtidig brug af selektive serotonin </w:t>
      </w:r>
      <w:proofErr w:type="spellStart"/>
      <w:r w:rsidRPr="00AE3725">
        <w:rPr>
          <w:sz w:val="24"/>
          <w:szCs w:val="24"/>
        </w:rPr>
        <w:t>genoptagningshæmmere</w:t>
      </w:r>
      <w:proofErr w:type="spellEnd"/>
      <w:r w:rsidRPr="00AE3725">
        <w:rPr>
          <w:sz w:val="24"/>
          <w:szCs w:val="24"/>
        </w:rPr>
        <w:t xml:space="preserve"> (SSRI), serotonin </w:t>
      </w:r>
      <w:proofErr w:type="spellStart"/>
      <w:r w:rsidRPr="00AE3725">
        <w:rPr>
          <w:sz w:val="24"/>
          <w:szCs w:val="24"/>
        </w:rPr>
        <w:t>norepinefrin</w:t>
      </w:r>
      <w:proofErr w:type="spellEnd"/>
      <w:r w:rsidRPr="00AE3725">
        <w:rPr>
          <w:sz w:val="24"/>
          <w:szCs w:val="24"/>
        </w:rPr>
        <w:t xml:space="preserve"> </w:t>
      </w:r>
      <w:proofErr w:type="spellStart"/>
      <w:r w:rsidRPr="00AE3725">
        <w:rPr>
          <w:sz w:val="24"/>
          <w:szCs w:val="24"/>
        </w:rPr>
        <w:t>genoptagningshæmmere</w:t>
      </w:r>
      <w:proofErr w:type="spellEnd"/>
      <w:r w:rsidRPr="00AE3725">
        <w:rPr>
          <w:sz w:val="24"/>
          <w:szCs w:val="24"/>
        </w:rPr>
        <w:t xml:space="preserve"> (</w:t>
      </w:r>
      <w:r w:rsidRPr="00AE3725">
        <w:rPr>
          <w:i/>
          <w:iCs/>
          <w:sz w:val="24"/>
          <w:szCs w:val="24"/>
        </w:rPr>
        <w:t xml:space="preserve">serotonin </w:t>
      </w:r>
      <w:proofErr w:type="spellStart"/>
      <w:r w:rsidRPr="00AE3725">
        <w:rPr>
          <w:i/>
          <w:iCs/>
          <w:sz w:val="24"/>
          <w:szCs w:val="24"/>
        </w:rPr>
        <w:t>norepinephrine</w:t>
      </w:r>
      <w:proofErr w:type="spellEnd"/>
      <w:r w:rsidRPr="00AE3725">
        <w:rPr>
          <w:i/>
          <w:iCs/>
          <w:sz w:val="24"/>
          <w:szCs w:val="24"/>
        </w:rPr>
        <w:t xml:space="preserve"> </w:t>
      </w:r>
      <w:proofErr w:type="spellStart"/>
      <w:r w:rsidRPr="00AE3725">
        <w:rPr>
          <w:i/>
          <w:iCs/>
          <w:sz w:val="24"/>
          <w:szCs w:val="24"/>
        </w:rPr>
        <w:t>reuptake</w:t>
      </w:r>
      <w:proofErr w:type="spellEnd"/>
      <w:r w:rsidRPr="00AE3725">
        <w:rPr>
          <w:i/>
          <w:iCs/>
          <w:sz w:val="24"/>
          <w:szCs w:val="24"/>
        </w:rPr>
        <w:t xml:space="preserve"> inhibitors</w:t>
      </w:r>
      <w:r w:rsidRPr="00AE3725">
        <w:rPr>
          <w:sz w:val="24"/>
          <w:szCs w:val="24"/>
        </w:rPr>
        <w:t>, SNRI), tricykliske/</w:t>
      </w:r>
      <w:proofErr w:type="spellStart"/>
      <w:r w:rsidRPr="00AE3725">
        <w:rPr>
          <w:sz w:val="24"/>
          <w:szCs w:val="24"/>
        </w:rPr>
        <w:t>tetracykliske</w:t>
      </w:r>
      <w:proofErr w:type="spellEnd"/>
      <w:r w:rsidRPr="00AE3725">
        <w:rPr>
          <w:sz w:val="24"/>
          <w:szCs w:val="24"/>
        </w:rPr>
        <w:t xml:space="preserve"> </w:t>
      </w:r>
      <w:proofErr w:type="spellStart"/>
      <w:r w:rsidRPr="00AE3725">
        <w:rPr>
          <w:sz w:val="24"/>
          <w:szCs w:val="24"/>
        </w:rPr>
        <w:t>antidepressiva</w:t>
      </w:r>
      <w:proofErr w:type="spellEnd"/>
      <w:r w:rsidRPr="00AE3725">
        <w:rPr>
          <w:sz w:val="24"/>
          <w:szCs w:val="24"/>
        </w:rPr>
        <w:t xml:space="preserve"> og MAO-</w:t>
      </w:r>
      <w:proofErr w:type="spellStart"/>
      <w:r w:rsidRPr="00AE3725">
        <w:rPr>
          <w:sz w:val="24"/>
          <w:szCs w:val="24"/>
        </w:rPr>
        <w:t>hæmmere</w:t>
      </w:r>
      <w:proofErr w:type="spellEnd"/>
      <w:r w:rsidRPr="00AE3725">
        <w:rPr>
          <w:sz w:val="24"/>
          <w:szCs w:val="24"/>
        </w:rPr>
        <w:t xml:space="preserve"> (se pkt. 4.4). I betragtning af den selektive og reversible MAO-B-hæmmende aktivitet af safinamid, kan </w:t>
      </w:r>
      <w:proofErr w:type="spellStart"/>
      <w:r w:rsidRPr="00AE3725">
        <w:rPr>
          <w:sz w:val="24"/>
          <w:szCs w:val="24"/>
        </w:rPr>
        <w:t>antidepressiva</w:t>
      </w:r>
      <w:proofErr w:type="spellEnd"/>
      <w:r w:rsidRPr="00AE3725">
        <w:rPr>
          <w:sz w:val="24"/>
          <w:szCs w:val="24"/>
        </w:rPr>
        <w:t xml:space="preserve"> administreres, men bør anvendes ved den laveste nødvendige dosis.</w:t>
      </w:r>
    </w:p>
    <w:p w14:paraId="3D87EE27" w14:textId="77777777" w:rsidR="004223FE" w:rsidRPr="00AE3725" w:rsidRDefault="004223FE" w:rsidP="001561DD">
      <w:pPr>
        <w:autoSpaceDE w:val="0"/>
        <w:autoSpaceDN w:val="0"/>
        <w:adjustRightInd w:val="0"/>
        <w:ind w:left="851"/>
        <w:rPr>
          <w:sz w:val="24"/>
          <w:szCs w:val="24"/>
          <w:highlight w:val="green"/>
        </w:rPr>
      </w:pPr>
    </w:p>
    <w:p w14:paraId="22C83233" w14:textId="77777777" w:rsidR="004223FE" w:rsidRPr="00AE3725" w:rsidRDefault="004223FE" w:rsidP="001561DD">
      <w:pPr>
        <w:autoSpaceDE w:val="0"/>
        <w:autoSpaceDN w:val="0"/>
        <w:adjustRightInd w:val="0"/>
        <w:ind w:left="851"/>
        <w:rPr>
          <w:sz w:val="24"/>
          <w:szCs w:val="24"/>
          <w:highlight w:val="green"/>
          <w:u w:val="single"/>
        </w:rPr>
      </w:pPr>
      <w:r w:rsidRPr="00AE3725">
        <w:rPr>
          <w:i/>
          <w:iCs/>
          <w:sz w:val="24"/>
          <w:szCs w:val="24"/>
          <w:u w:val="single"/>
        </w:rPr>
        <w:t xml:space="preserve">In </w:t>
      </w:r>
      <w:proofErr w:type="spellStart"/>
      <w:r w:rsidRPr="00AE3725">
        <w:rPr>
          <w:i/>
          <w:iCs/>
          <w:sz w:val="24"/>
          <w:szCs w:val="24"/>
          <w:u w:val="single"/>
        </w:rPr>
        <w:t>vivo</w:t>
      </w:r>
      <w:proofErr w:type="spellEnd"/>
      <w:r w:rsidRPr="00AE3725">
        <w:rPr>
          <w:i/>
          <w:iCs/>
          <w:sz w:val="24"/>
          <w:szCs w:val="24"/>
          <w:u w:val="single"/>
        </w:rPr>
        <w:t xml:space="preserve"> </w:t>
      </w:r>
      <w:r w:rsidRPr="00AE3725">
        <w:rPr>
          <w:sz w:val="24"/>
          <w:szCs w:val="24"/>
          <w:u w:val="single"/>
        </w:rPr>
        <w:t>og</w:t>
      </w:r>
      <w:r w:rsidRPr="00AE3725">
        <w:rPr>
          <w:i/>
          <w:iCs/>
          <w:sz w:val="24"/>
          <w:szCs w:val="24"/>
          <w:u w:val="single"/>
        </w:rPr>
        <w:t xml:space="preserve"> in </w:t>
      </w:r>
      <w:proofErr w:type="spellStart"/>
      <w:r w:rsidRPr="00AE3725">
        <w:rPr>
          <w:i/>
          <w:iCs/>
          <w:sz w:val="24"/>
          <w:szCs w:val="24"/>
          <w:u w:val="single"/>
        </w:rPr>
        <w:t>vitro</w:t>
      </w:r>
      <w:proofErr w:type="spellEnd"/>
      <w:r w:rsidRPr="00AE3725">
        <w:rPr>
          <w:i/>
          <w:iCs/>
          <w:sz w:val="24"/>
          <w:szCs w:val="24"/>
          <w:u w:val="single"/>
        </w:rPr>
        <w:t xml:space="preserve"> </w:t>
      </w:r>
      <w:proofErr w:type="spellStart"/>
      <w:r w:rsidRPr="00AE3725">
        <w:rPr>
          <w:sz w:val="24"/>
          <w:szCs w:val="24"/>
          <w:u w:val="single"/>
        </w:rPr>
        <w:t>farmakokinetiske</w:t>
      </w:r>
      <w:proofErr w:type="spellEnd"/>
      <w:r w:rsidRPr="00AE3725">
        <w:rPr>
          <w:sz w:val="24"/>
          <w:szCs w:val="24"/>
          <w:u w:val="single"/>
        </w:rPr>
        <w:t xml:space="preserve"> lægemiddelinteraktioner</w:t>
      </w:r>
    </w:p>
    <w:p w14:paraId="753A94CF" w14:textId="77777777" w:rsidR="004223FE" w:rsidRPr="00AE3725" w:rsidRDefault="004223FE" w:rsidP="001561DD">
      <w:pPr>
        <w:autoSpaceDE w:val="0"/>
        <w:autoSpaceDN w:val="0"/>
        <w:adjustRightInd w:val="0"/>
        <w:ind w:left="851"/>
        <w:rPr>
          <w:sz w:val="24"/>
          <w:szCs w:val="24"/>
          <w:highlight w:val="green"/>
          <w:u w:val="single"/>
        </w:rPr>
      </w:pPr>
    </w:p>
    <w:p w14:paraId="636BB193" w14:textId="77777777" w:rsidR="004223FE" w:rsidRPr="00AE3725" w:rsidRDefault="004223FE" w:rsidP="001561DD">
      <w:pPr>
        <w:autoSpaceDE w:val="0"/>
        <w:autoSpaceDN w:val="0"/>
        <w:adjustRightInd w:val="0"/>
        <w:ind w:left="851"/>
        <w:rPr>
          <w:sz w:val="24"/>
          <w:szCs w:val="24"/>
        </w:rPr>
      </w:pPr>
      <w:r w:rsidRPr="00AE3725">
        <w:rPr>
          <w:sz w:val="24"/>
          <w:szCs w:val="24"/>
        </w:rPr>
        <w:t xml:space="preserve">Safinamid kan hæmme BCRP forbigående </w:t>
      </w:r>
      <w:r w:rsidRPr="00AE3725">
        <w:rPr>
          <w:i/>
          <w:iCs/>
          <w:sz w:val="24"/>
          <w:szCs w:val="24"/>
        </w:rPr>
        <w:t xml:space="preserve">in </w:t>
      </w:r>
      <w:proofErr w:type="spellStart"/>
      <w:r w:rsidRPr="00AE3725">
        <w:rPr>
          <w:i/>
          <w:iCs/>
          <w:sz w:val="24"/>
          <w:szCs w:val="24"/>
        </w:rPr>
        <w:t>vitro</w:t>
      </w:r>
      <w:proofErr w:type="spellEnd"/>
      <w:r w:rsidRPr="00AE3725">
        <w:rPr>
          <w:sz w:val="24"/>
          <w:szCs w:val="24"/>
        </w:rPr>
        <w:t xml:space="preserve">. I lægemiddelinteraktionsstudier hos mennesker observeredes en svag interaktion med </w:t>
      </w:r>
      <w:proofErr w:type="spellStart"/>
      <w:r w:rsidRPr="00AE3725">
        <w:rPr>
          <w:sz w:val="24"/>
          <w:szCs w:val="24"/>
        </w:rPr>
        <w:t>rosuvastatin</w:t>
      </w:r>
      <w:proofErr w:type="spellEnd"/>
      <w:r w:rsidRPr="00AE3725">
        <w:rPr>
          <w:sz w:val="24"/>
          <w:szCs w:val="24"/>
        </w:rPr>
        <w:t xml:space="preserve"> (stigning i AUC mellem 1,25 og 2,00 gange), men der blev ikke fundet nogen signifikant interaktion med </w:t>
      </w:r>
      <w:proofErr w:type="spellStart"/>
      <w:r w:rsidRPr="00AE3725">
        <w:rPr>
          <w:sz w:val="24"/>
          <w:szCs w:val="24"/>
        </w:rPr>
        <w:t>diclofenac</w:t>
      </w:r>
      <w:proofErr w:type="spellEnd"/>
      <w:r w:rsidRPr="00AE3725">
        <w:rPr>
          <w:sz w:val="24"/>
          <w:szCs w:val="24"/>
        </w:rPr>
        <w:t xml:space="preserve">. Det anbefales at monitorere patienter, når safinamid tages sammen med lægemidler, som er BCRP-substrater (f.eks. </w:t>
      </w:r>
      <w:proofErr w:type="spellStart"/>
      <w:r w:rsidRPr="00AE3725">
        <w:rPr>
          <w:sz w:val="24"/>
          <w:szCs w:val="24"/>
        </w:rPr>
        <w:t>rosuvastatin</w:t>
      </w:r>
      <w:proofErr w:type="spellEnd"/>
      <w:r w:rsidRPr="00AE3725">
        <w:rPr>
          <w:sz w:val="24"/>
          <w:szCs w:val="24"/>
        </w:rPr>
        <w:t xml:space="preserve">, </w:t>
      </w:r>
      <w:proofErr w:type="spellStart"/>
      <w:r w:rsidRPr="00AE3725">
        <w:rPr>
          <w:sz w:val="24"/>
          <w:szCs w:val="24"/>
        </w:rPr>
        <w:t>pitavastatin</w:t>
      </w:r>
      <w:proofErr w:type="spellEnd"/>
      <w:r w:rsidRPr="00AE3725">
        <w:rPr>
          <w:sz w:val="24"/>
          <w:szCs w:val="24"/>
        </w:rPr>
        <w:t xml:space="preserve">, </w:t>
      </w:r>
      <w:proofErr w:type="spellStart"/>
      <w:r w:rsidRPr="00AE3725">
        <w:rPr>
          <w:sz w:val="24"/>
          <w:szCs w:val="24"/>
        </w:rPr>
        <w:t>pravastatin</w:t>
      </w:r>
      <w:proofErr w:type="spellEnd"/>
      <w:r w:rsidRPr="00AE3725">
        <w:rPr>
          <w:sz w:val="24"/>
          <w:szCs w:val="24"/>
        </w:rPr>
        <w:t xml:space="preserve">, </w:t>
      </w:r>
      <w:proofErr w:type="spellStart"/>
      <w:r w:rsidRPr="00AE3725">
        <w:rPr>
          <w:sz w:val="24"/>
          <w:szCs w:val="24"/>
        </w:rPr>
        <w:t>ciprofloxacin</w:t>
      </w:r>
      <w:proofErr w:type="spellEnd"/>
      <w:r w:rsidRPr="00AE3725">
        <w:rPr>
          <w:sz w:val="24"/>
          <w:szCs w:val="24"/>
        </w:rPr>
        <w:t xml:space="preserve">, </w:t>
      </w:r>
      <w:proofErr w:type="spellStart"/>
      <w:r w:rsidRPr="00AE3725">
        <w:rPr>
          <w:sz w:val="24"/>
          <w:szCs w:val="24"/>
        </w:rPr>
        <w:t>methotrexat</w:t>
      </w:r>
      <w:proofErr w:type="spellEnd"/>
      <w:r w:rsidRPr="00AE3725">
        <w:rPr>
          <w:sz w:val="24"/>
          <w:szCs w:val="24"/>
        </w:rPr>
        <w:t xml:space="preserve">, </w:t>
      </w:r>
      <w:proofErr w:type="spellStart"/>
      <w:r w:rsidRPr="00AE3725">
        <w:rPr>
          <w:sz w:val="24"/>
          <w:szCs w:val="24"/>
        </w:rPr>
        <w:t>topotecan</w:t>
      </w:r>
      <w:proofErr w:type="spellEnd"/>
      <w:r w:rsidRPr="00AE3725">
        <w:rPr>
          <w:sz w:val="24"/>
          <w:szCs w:val="24"/>
        </w:rPr>
        <w:t xml:space="preserve">, </w:t>
      </w:r>
      <w:proofErr w:type="spellStart"/>
      <w:r w:rsidRPr="00AE3725">
        <w:rPr>
          <w:sz w:val="24"/>
          <w:szCs w:val="24"/>
        </w:rPr>
        <w:t>diclofenac</w:t>
      </w:r>
      <w:proofErr w:type="spellEnd"/>
      <w:r w:rsidRPr="00AE3725">
        <w:rPr>
          <w:sz w:val="24"/>
          <w:szCs w:val="24"/>
        </w:rPr>
        <w:t xml:space="preserve"> og </w:t>
      </w:r>
      <w:proofErr w:type="spellStart"/>
      <w:r w:rsidRPr="00AE3725">
        <w:rPr>
          <w:sz w:val="24"/>
          <w:szCs w:val="24"/>
        </w:rPr>
        <w:t>glibenclamid</w:t>
      </w:r>
      <w:proofErr w:type="spellEnd"/>
      <w:r w:rsidRPr="00AE3725">
        <w:rPr>
          <w:sz w:val="24"/>
          <w:szCs w:val="24"/>
        </w:rPr>
        <w:t>) og at henvise til deres produktresuméer for at afgøre, om en dosisjustering er nødvendig.</w:t>
      </w:r>
    </w:p>
    <w:p w14:paraId="35882F4B" w14:textId="77777777" w:rsidR="004223FE" w:rsidRPr="00AE3725" w:rsidRDefault="004223FE" w:rsidP="001561DD">
      <w:pPr>
        <w:autoSpaceDE w:val="0"/>
        <w:autoSpaceDN w:val="0"/>
        <w:adjustRightInd w:val="0"/>
        <w:ind w:left="851"/>
        <w:rPr>
          <w:sz w:val="24"/>
          <w:szCs w:val="24"/>
        </w:rPr>
      </w:pPr>
    </w:p>
    <w:p w14:paraId="448B1062" w14:textId="77777777" w:rsidR="004223FE" w:rsidRPr="00AE3725" w:rsidRDefault="004223FE" w:rsidP="001561DD">
      <w:pPr>
        <w:autoSpaceDE w:val="0"/>
        <w:autoSpaceDN w:val="0"/>
        <w:adjustRightInd w:val="0"/>
        <w:ind w:left="851"/>
        <w:rPr>
          <w:sz w:val="24"/>
          <w:szCs w:val="24"/>
        </w:rPr>
      </w:pPr>
      <w:r w:rsidRPr="00AE3725">
        <w:rPr>
          <w:sz w:val="24"/>
          <w:szCs w:val="24"/>
        </w:rPr>
        <w:lastRenderedPageBreak/>
        <w:t xml:space="preserve">Safinamid udskilles næsten udelukkende via </w:t>
      </w:r>
      <w:proofErr w:type="spellStart"/>
      <w:r w:rsidRPr="00AE3725">
        <w:rPr>
          <w:sz w:val="24"/>
          <w:szCs w:val="24"/>
        </w:rPr>
        <w:t>metabolisering</w:t>
      </w:r>
      <w:proofErr w:type="spellEnd"/>
      <w:r w:rsidRPr="00AE3725">
        <w:rPr>
          <w:sz w:val="24"/>
          <w:szCs w:val="24"/>
        </w:rPr>
        <w:t xml:space="preserve">, overvejende af amidaser med høj kapacitet, som endnu ikke er karakteriseret. Safinamid udskilles hovedsagelig i urinen. I humane </w:t>
      </w:r>
      <w:proofErr w:type="spellStart"/>
      <w:r w:rsidRPr="00AE3725">
        <w:rPr>
          <w:sz w:val="24"/>
          <w:szCs w:val="24"/>
        </w:rPr>
        <w:t>levermikrosomer</w:t>
      </w:r>
      <w:proofErr w:type="spellEnd"/>
      <w:r w:rsidRPr="00AE3725">
        <w:rPr>
          <w:sz w:val="24"/>
          <w:szCs w:val="24"/>
        </w:rPr>
        <w:t xml:space="preserve"> (HLM) synes N-</w:t>
      </w:r>
      <w:proofErr w:type="spellStart"/>
      <w:r w:rsidRPr="00AE3725">
        <w:rPr>
          <w:sz w:val="24"/>
          <w:szCs w:val="24"/>
        </w:rPr>
        <w:t>dealkyliseringstrinnet</w:t>
      </w:r>
      <w:proofErr w:type="spellEnd"/>
      <w:r w:rsidRPr="00AE3725">
        <w:rPr>
          <w:sz w:val="24"/>
          <w:szCs w:val="24"/>
        </w:rPr>
        <w:t xml:space="preserve"> at blive katalyseret af CYP3A4, da safinamid-</w:t>
      </w:r>
      <w:proofErr w:type="spellStart"/>
      <w:r w:rsidRPr="00AE3725">
        <w:rPr>
          <w:sz w:val="24"/>
          <w:szCs w:val="24"/>
        </w:rPr>
        <w:t>clearance</w:t>
      </w:r>
      <w:proofErr w:type="spellEnd"/>
      <w:r w:rsidRPr="00AE3725">
        <w:rPr>
          <w:sz w:val="24"/>
          <w:szCs w:val="24"/>
        </w:rPr>
        <w:t xml:space="preserve"> i HLM blev hæmmet 90 % af </w:t>
      </w:r>
      <w:proofErr w:type="spellStart"/>
      <w:r w:rsidRPr="00AE3725">
        <w:rPr>
          <w:sz w:val="24"/>
          <w:szCs w:val="24"/>
        </w:rPr>
        <w:t>ketoconazol</w:t>
      </w:r>
      <w:proofErr w:type="spellEnd"/>
      <w:r w:rsidRPr="00AE3725">
        <w:rPr>
          <w:sz w:val="24"/>
          <w:szCs w:val="24"/>
        </w:rPr>
        <w:t>.</w:t>
      </w:r>
    </w:p>
    <w:p w14:paraId="26006C06" w14:textId="77777777" w:rsidR="004223FE" w:rsidRPr="00AE3725" w:rsidRDefault="004223FE" w:rsidP="001561DD">
      <w:pPr>
        <w:autoSpaceDE w:val="0"/>
        <w:autoSpaceDN w:val="0"/>
        <w:adjustRightInd w:val="0"/>
        <w:ind w:left="851"/>
        <w:rPr>
          <w:sz w:val="24"/>
          <w:szCs w:val="24"/>
        </w:rPr>
      </w:pPr>
    </w:p>
    <w:p w14:paraId="793CF5A6" w14:textId="77777777" w:rsidR="004223FE" w:rsidRPr="00AE3725" w:rsidRDefault="004223FE" w:rsidP="001561DD">
      <w:pPr>
        <w:autoSpaceDE w:val="0"/>
        <w:autoSpaceDN w:val="0"/>
        <w:adjustRightInd w:val="0"/>
        <w:ind w:left="851"/>
        <w:rPr>
          <w:sz w:val="24"/>
          <w:szCs w:val="24"/>
        </w:rPr>
      </w:pPr>
      <w:r w:rsidRPr="00AE3725">
        <w:rPr>
          <w:sz w:val="24"/>
          <w:szCs w:val="24"/>
        </w:rPr>
        <w:t xml:space="preserve">Safinamide hæmmer OCT1 </w:t>
      </w:r>
      <w:r w:rsidRPr="00AE3725">
        <w:rPr>
          <w:i/>
          <w:iCs/>
          <w:sz w:val="24"/>
          <w:szCs w:val="24"/>
        </w:rPr>
        <w:t xml:space="preserve">in </w:t>
      </w:r>
      <w:proofErr w:type="spellStart"/>
      <w:r w:rsidRPr="00AE3725">
        <w:rPr>
          <w:i/>
          <w:iCs/>
          <w:sz w:val="24"/>
          <w:szCs w:val="24"/>
        </w:rPr>
        <w:t>vitro</w:t>
      </w:r>
      <w:proofErr w:type="spellEnd"/>
      <w:r w:rsidRPr="00AE3725">
        <w:rPr>
          <w:sz w:val="24"/>
          <w:szCs w:val="24"/>
        </w:rPr>
        <w:t xml:space="preserve"> ved klinisk relevante portal vene koncentrationer. Derfor er forsigtighed nødvendig når safinamide indtages samtidig med lægemidler som er OTC1 substrater, og som har en </w:t>
      </w:r>
      <w:proofErr w:type="spellStart"/>
      <w:r w:rsidRPr="00AE3725">
        <w:rPr>
          <w:sz w:val="24"/>
          <w:szCs w:val="24"/>
        </w:rPr>
        <w:t>t</w:t>
      </w:r>
      <w:r w:rsidRPr="00AE3725">
        <w:rPr>
          <w:sz w:val="24"/>
          <w:szCs w:val="24"/>
          <w:vertAlign w:val="subscript"/>
        </w:rPr>
        <w:t>max</w:t>
      </w:r>
      <w:proofErr w:type="spellEnd"/>
      <w:r w:rsidRPr="00AE3725">
        <w:rPr>
          <w:sz w:val="24"/>
          <w:szCs w:val="24"/>
        </w:rPr>
        <w:t xml:space="preserve"> sammenlignelig med safinamide (2 timer) (f.eks. </w:t>
      </w:r>
      <w:proofErr w:type="spellStart"/>
      <w:r w:rsidRPr="00AE3725">
        <w:rPr>
          <w:sz w:val="24"/>
          <w:szCs w:val="24"/>
        </w:rPr>
        <w:t>metformin</w:t>
      </w:r>
      <w:proofErr w:type="spellEnd"/>
      <w:r w:rsidRPr="00AE3725">
        <w:rPr>
          <w:sz w:val="24"/>
          <w:szCs w:val="24"/>
        </w:rPr>
        <w:t xml:space="preserve">, </w:t>
      </w:r>
      <w:proofErr w:type="spellStart"/>
      <w:r w:rsidRPr="00AE3725">
        <w:rPr>
          <w:sz w:val="24"/>
          <w:szCs w:val="24"/>
        </w:rPr>
        <w:t>aciclovir</w:t>
      </w:r>
      <w:proofErr w:type="spellEnd"/>
      <w:r w:rsidRPr="00AE3725">
        <w:rPr>
          <w:sz w:val="24"/>
          <w:szCs w:val="24"/>
        </w:rPr>
        <w:t xml:space="preserve">, </w:t>
      </w:r>
      <w:proofErr w:type="spellStart"/>
      <w:r w:rsidRPr="00AE3725">
        <w:rPr>
          <w:sz w:val="24"/>
          <w:szCs w:val="24"/>
        </w:rPr>
        <w:t>ganciclovir</w:t>
      </w:r>
      <w:proofErr w:type="spellEnd"/>
      <w:r w:rsidRPr="00AE3725">
        <w:rPr>
          <w:sz w:val="24"/>
          <w:szCs w:val="24"/>
        </w:rPr>
        <w:t>), da det kan øge eksponeringen for disse substrater.</w:t>
      </w:r>
    </w:p>
    <w:p w14:paraId="32A8C87B" w14:textId="77777777" w:rsidR="004223FE" w:rsidRPr="00AE3725" w:rsidRDefault="004223FE" w:rsidP="001561DD">
      <w:pPr>
        <w:autoSpaceDE w:val="0"/>
        <w:autoSpaceDN w:val="0"/>
        <w:adjustRightInd w:val="0"/>
        <w:ind w:left="851"/>
        <w:rPr>
          <w:sz w:val="24"/>
          <w:szCs w:val="24"/>
          <w:highlight w:val="green"/>
        </w:rPr>
      </w:pPr>
    </w:p>
    <w:p w14:paraId="101FF52C" w14:textId="77777777" w:rsidR="004223FE" w:rsidRPr="00AE3725" w:rsidRDefault="004223FE" w:rsidP="001561DD">
      <w:pPr>
        <w:autoSpaceDE w:val="0"/>
        <w:autoSpaceDN w:val="0"/>
        <w:adjustRightInd w:val="0"/>
        <w:ind w:left="851"/>
        <w:rPr>
          <w:sz w:val="24"/>
          <w:szCs w:val="24"/>
        </w:rPr>
      </w:pPr>
      <w:r w:rsidRPr="00AE3725">
        <w:rPr>
          <w:sz w:val="24"/>
          <w:szCs w:val="24"/>
        </w:rPr>
        <w:t xml:space="preserve">Metabolit NW-1153 er substrat for OAT3 ved klinisk relevante koncentrationer. </w:t>
      </w:r>
    </w:p>
    <w:p w14:paraId="350D4E56" w14:textId="77777777" w:rsidR="004223FE" w:rsidRPr="00AE3725" w:rsidRDefault="004223FE" w:rsidP="001561DD">
      <w:pPr>
        <w:autoSpaceDE w:val="0"/>
        <w:autoSpaceDN w:val="0"/>
        <w:adjustRightInd w:val="0"/>
        <w:ind w:left="851"/>
        <w:rPr>
          <w:sz w:val="24"/>
          <w:szCs w:val="24"/>
        </w:rPr>
      </w:pPr>
      <w:r w:rsidRPr="00AE3725">
        <w:rPr>
          <w:sz w:val="24"/>
          <w:szCs w:val="24"/>
        </w:rPr>
        <w:t xml:space="preserve">Lægemidler, der er OAT3-hæmmere, kan reducere </w:t>
      </w:r>
      <w:proofErr w:type="spellStart"/>
      <w:r w:rsidRPr="00AE3725">
        <w:rPr>
          <w:sz w:val="24"/>
          <w:szCs w:val="24"/>
        </w:rPr>
        <w:t>clearance</w:t>
      </w:r>
      <w:proofErr w:type="spellEnd"/>
      <w:r w:rsidRPr="00AE3725">
        <w:rPr>
          <w:sz w:val="24"/>
          <w:szCs w:val="24"/>
        </w:rPr>
        <w:t xml:space="preserve"> af NW-1153, når de gives samtidigt med safinamid. Det kan med andre ord øge dets systemiske eksponering. NW-1153 har en lav systemisk eksponering (1/10 af safinamid). Denne potentielle øgning er højst sandsynligt ikke klinisk relevant, da NW-1153, det første produkt i </w:t>
      </w:r>
      <w:proofErr w:type="spellStart"/>
      <w:r w:rsidRPr="00AE3725">
        <w:rPr>
          <w:sz w:val="24"/>
          <w:szCs w:val="24"/>
        </w:rPr>
        <w:t>metaboliseringsvejen</w:t>
      </w:r>
      <w:proofErr w:type="spellEnd"/>
      <w:r w:rsidRPr="00AE3725">
        <w:rPr>
          <w:sz w:val="24"/>
          <w:szCs w:val="24"/>
        </w:rPr>
        <w:t>, omdannes yderligere til sekundære og tertiære metabolitter.</w:t>
      </w:r>
    </w:p>
    <w:p w14:paraId="5A82F94E" w14:textId="77777777" w:rsidR="004223FE" w:rsidRPr="00AE3725" w:rsidRDefault="004223FE" w:rsidP="001561DD">
      <w:pPr>
        <w:autoSpaceDE w:val="0"/>
        <w:autoSpaceDN w:val="0"/>
        <w:adjustRightInd w:val="0"/>
        <w:ind w:left="851"/>
        <w:rPr>
          <w:sz w:val="24"/>
          <w:szCs w:val="24"/>
        </w:rPr>
      </w:pPr>
    </w:p>
    <w:p w14:paraId="6DA30AC9" w14:textId="77777777" w:rsidR="004223FE" w:rsidRPr="00AE3725" w:rsidRDefault="004223FE" w:rsidP="001561DD">
      <w:pPr>
        <w:autoSpaceDE w:val="0"/>
        <w:autoSpaceDN w:val="0"/>
        <w:adjustRightInd w:val="0"/>
        <w:ind w:left="851"/>
        <w:rPr>
          <w:sz w:val="24"/>
          <w:szCs w:val="24"/>
          <w:u w:val="single"/>
        </w:rPr>
      </w:pPr>
      <w:r w:rsidRPr="00AE3725">
        <w:rPr>
          <w:sz w:val="24"/>
          <w:szCs w:val="24"/>
          <w:u w:val="single"/>
        </w:rPr>
        <w:t>Pædiatrisk population</w:t>
      </w:r>
    </w:p>
    <w:p w14:paraId="49683D55" w14:textId="77777777" w:rsidR="004223FE" w:rsidRPr="00AE3725" w:rsidRDefault="004223FE" w:rsidP="001561DD">
      <w:pPr>
        <w:autoSpaceDE w:val="0"/>
        <w:autoSpaceDN w:val="0"/>
        <w:adjustRightInd w:val="0"/>
        <w:ind w:left="851"/>
        <w:rPr>
          <w:sz w:val="24"/>
          <w:szCs w:val="24"/>
        </w:rPr>
      </w:pPr>
      <w:r w:rsidRPr="00AE3725">
        <w:rPr>
          <w:sz w:val="24"/>
          <w:szCs w:val="24"/>
        </w:rPr>
        <w:t>Interaktionsstudier er kun udført hos voksne.</w:t>
      </w:r>
    </w:p>
    <w:p w14:paraId="5EFFB7C5" w14:textId="77777777" w:rsidR="009260DE" w:rsidRPr="00AE3725" w:rsidRDefault="009260DE" w:rsidP="009260DE">
      <w:pPr>
        <w:tabs>
          <w:tab w:val="left" w:pos="851"/>
        </w:tabs>
        <w:ind w:left="851"/>
        <w:rPr>
          <w:sz w:val="24"/>
          <w:szCs w:val="24"/>
        </w:rPr>
      </w:pPr>
    </w:p>
    <w:p w14:paraId="1339DAA2" w14:textId="77777777" w:rsidR="009260DE" w:rsidRPr="00AE3725" w:rsidRDefault="009260DE" w:rsidP="009260DE">
      <w:pPr>
        <w:tabs>
          <w:tab w:val="left" w:pos="851"/>
        </w:tabs>
        <w:ind w:left="851" w:hanging="851"/>
        <w:rPr>
          <w:b/>
          <w:sz w:val="24"/>
          <w:szCs w:val="24"/>
        </w:rPr>
      </w:pPr>
      <w:r w:rsidRPr="00AE3725">
        <w:rPr>
          <w:b/>
          <w:sz w:val="24"/>
          <w:szCs w:val="24"/>
        </w:rPr>
        <w:t>4.6</w:t>
      </w:r>
      <w:r w:rsidRPr="00AE3725">
        <w:rPr>
          <w:b/>
          <w:sz w:val="24"/>
          <w:szCs w:val="24"/>
        </w:rPr>
        <w:tab/>
      </w:r>
      <w:r w:rsidR="0071241E" w:rsidRPr="00AE3725">
        <w:rPr>
          <w:b/>
          <w:sz w:val="24"/>
          <w:szCs w:val="24"/>
        </w:rPr>
        <w:t>Fertilitet, g</w:t>
      </w:r>
      <w:r w:rsidRPr="00AE3725">
        <w:rPr>
          <w:b/>
          <w:sz w:val="24"/>
          <w:szCs w:val="24"/>
        </w:rPr>
        <w:t>raviditet og amning</w:t>
      </w:r>
    </w:p>
    <w:p w14:paraId="1ADABE19" w14:textId="77777777" w:rsidR="00AE3725" w:rsidRDefault="00AE3725" w:rsidP="001561DD">
      <w:pPr>
        <w:autoSpaceDE w:val="0"/>
        <w:autoSpaceDN w:val="0"/>
        <w:adjustRightInd w:val="0"/>
        <w:ind w:left="851"/>
        <w:rPr>
          <w:sz w:val="24"/>
          <w:szCs w:val="24"/>
          <w:u w:val="single"/>
        </w:rPr>
      </w:pPr>
    </w:p>
    <w:p w14:paraId="417B5D21" w14:textId="3E09D91B" w:rsidR="004223FE" w:rsidRPr="00AE3725" w:rsidRDefault="004223FE" w:rsidP="001561DD">
      <w:pPr>
        <w:autoSpaceDE w:val="0"/>
        <w:autoSpaceDN w:val="0"/>
        <w:adjustRightInd w:val="0"/>
        <w:ind w:left="851"/>
        <w:rPr>
          <w:sz w:val="24"/>
          <w:szCs w:val="24"/>
          <w:u w:val="single"/>
        </w:rPr>
      </w:pPr>
      <w:r w:rsidRPr="00AE3725">
        <w:rPr>
          <w:sz w:val="24"/>
          <w:szCs w:val="24"/>
          <w:u w:val="single"/>
        </w:rPr>
        <w:t>Fertile kvinder</w:t>
      </w:r>
    </w:p>
    <w:p w14:paraId="34B0877E" w14:textId="77777777" w:rsidR="004223FE" w:rsidRPr="00AE3725" w:rsidRDefault="004223FE" w:rsidP="001561DD">
      <w:pPr>
        <w:autoSpaceDE w:val="0"/>
        <w:autoSpaceDN w:val="0"/>
        <w:adjustRightInd w:val="0"/>
        <w:ind w:left="851"/>
        <w:rPr>
          <w:sz w:val="24"/>
          <w:szCs w:val="24"/>
        </w:rPr>
      </w:pPr>
      <w:r w:rsidRPr="00AE3725">
        <w:rPr>
          <w:sz w:val="24"/>
          <w:szCs w:val="24"/>
        </w:rPr>
        <w:t>Safinamid bør ikke gives til fertile kvinder, medmindre der bruges tilstrækkelig prævention.</w:t>
      </w:r>
    </w:p>
    <w:p w14:paraId="734AB1B4" w14:textId="77777777" w:rsidR="004223FE" w:rsidRPr="00AE3725" w:rsidRDefault="004223FE" w:rsidP="001561DD">
      <w:pPr>
        <w:autoSpaceDE w:val="0"/>
        <w:autoSpaceDN w:val="0"/>
        <w:adjustRightInd w:val="0"/>
        <w:ind w:left="851"/>
        <w:rPr>
          <w:sz w:val="24"/>
          <w:szCs w:val="24"/>
        </w:rPr>
      </w:pPr>
    </w:p>
    <w:p w14:paraId="13904ACB" w14:textId="77777777" w:rsidR="004223FE" w:rsidRPr="00AE3725" w:rsidRDefault="004223FE" w:rsidP="001561DD">
      <w:pPr>
        <w:autoSpaceDE w:val="0"/>
        <w:autoSpaceDN w:val="0"/>
        <w:adjustRightInd w:val="0"/>
        <w:ind w:left="851"/>
        <w:rPr>
          <w:sz w:val="24"/>
          <w:szCs w:val="24"/>
          <w:u w:val="single"/>
        </w:rPr>
      </w:pPr>
      <w:r w:rsidRPr="00AE3725">
        <w:rPr>
          <w:sz w:val="24"/>
          <w:szCs w:val="24"/>
          <w:u w:val="single"/>
        </w:rPr>
        <w:t>Graviditet</w:t>
      </w:r>
    </w:p>
    <w:p w14:paraId="2191FFBA" w14:textId="77777777" w:rsidR="004223FE" w:rsidRPr="00AE3725" w:rsidRDefault="004223FE" w:rsidP="001561DD">
      <w:pPr>
        <w:autoSpaceDE w:val="0"/>
        <w:autoSpaceDN w:val="0"/>
        <w:adjustRightInd w:val="0"/>
        <w:ind w:left="851"/>
        <w:rPr>
          <w:sz w:val="24"/>
          <w:szCs w:val="24"/>
        </w:rPr>
      </w:pPr>
      <w:r w:rsidRPr="00AE3725">
        <w:rPr>
          <w:sz w:val="24"/>
          <w:szCs w:val="24"/>
        </w:rPr>
        <w:t xml:space="preserve">Der er ingen eller utilstrækkelige data fra anvendelse af safinamid hos gravide kvinder. Dyreforsøg har påvist reproduktionstoksicitet (se pkt. 5.3). Safinamid bør ikke anvendes under graviditet og til kvinder i den fertile alder, som ikke anvender sikker </w:t>
      </w:r>
      <w:proofErr w:type="spellStart"/>
      <w:r w:rsidRPr="00AE3725">
        <w:rPr>
          <w:sz w:val="24"/>
          <w:szCs w:val="24"/>
        </w:rPr>
        <w:t>kontraception</w:t>
      </w:r>
      <w:proofErr w:type="spellEnd"/>
      <w:r w:rsidRPr="00AE3725">
        <w:rPr>
          <w:sz w:val="24"/>
          <w:szCs w:val="24"/>
        </w:rPr>
        <w:t>.</w:t>
      </w:r>
    </w:p>
    <w:p w14:paraId="790C3BF6" w14:textId="77777777" w:rsidR="004223FE" w:rsidRPr="00AE3725" w:rsidRDefault="004223FE" w:rsidP="001561DD">
      <w:pPr>
        <w:autoSpaceDE w:val="0"/>
        <w:autoSpaceDN w:val="0"/>
        <w:adjustRightInd w:val="0"/>
        <w:ind w:left="851"/>
        <w:rPr>
          <w:sz w:val="24"/>
          <w:szCs w:val="24"/>
        </w:rPr>
      </w:pPr>
    </w:p>
    <w:p w14:paraId="656551D0" w14:textId="77777777" w:rsidR="004223FE" w:rsidRPr="00AE3725" w:rsidRDefault="004223FE" w:rsidP="001561DD">
      <w:pPr>
        <w:autoSpaceDE w:val="0"/>
        <w:autoSpaceDN w:val="0"/>
        <w:adjustRightInd w:val="0"/>
        <w:ind w:left="851"/>
        <w:rPr>
          <w:sz w:val="24"/>
          <w:szCs w:val="24"/>
          <w:u w:val="single"/>
        </w:rPr>
      </w:pPr>
      <w:r w:rsidRPr="00AE3725">
        <w:rPr>
          <w:sz w:val="24"/>
          <w:szCs w:val="24"/>
          <w:u w:val="single"/>
        </w:rPr>
        <w:t>Amning</w:t>
      </w:r>
    </w:p>
    <w:p w14:paraId="7B0085BB" w14:textId="77777777" w:rsidR="004223FE" w:rsidRPr="00AE3725" w:rsidRDefault="004223FE" w:rsidP="001561DD">
      <w:pPr>
        <w:autoSpaceDE w:val="0"/>
        <w:autoSpaceDN w:val="0"/>
        <w:adjustRightInd w:val="0"/>
        <w:ind w:left="851"/>
        <w:rPr>
          <w:sz w:val="24"/>
          <w:szCs w:val="24"/>
        </w:rPr>
      </w:pPr>
      <w:r w:rsidRPr="00AE3725">
        <w:rPr>
          <w:sz w:val="24"/>
          <w:szCs w:val="24"/>
        </w:rPr>
        <w:t xml:space="preserve">Tilgængelige </w:t>
      </w:r>
      <w:proofErr w:type="spellStart"/>
      <w:r w:rsidRPr="00AE3725">
        <w:rPr>
          <w:sz w:val="24"/>
          <w:szCs w:val="24"/>
        </w:rPr>
        <w:t>farmakodynamiske</w:t>
      </w:r>
      <w:proofErr w:type="spellEnd"/>
      <w:r w:rsidRPr="00AE3725">
        <w:rPr>
          <w:sz w:val="24"/>
          <w:szCs w:val="24"/>
        </w:rPr>
        <w:t>/toksikologiske data fra dyr har vist udskillelse af safinamid i mælk (se pkt. 5.3 for yderligere oplysninger). En risiko for det diende barn kan ikke udelukkes. Safinamid bør ikke bruges under amning.</w:t>
      </w:r>
    </w:p>
    <w:p w14:paraId="5E1749B9" w14:textId="77777777" w:rsidR="004223FE" w:rsidRPr="00AE3725" w:rsidRDefault="004223FE" w:rsidP="001561DD">
      <w:pPr>
        <w:autoSpaceDE w:val="0"/>
        <w:autoSpaceDN w:val="0"/>
        <w:adjustRightInd w:val="0"/>
        <w:ind w:left="851"/>
        <w:rPr>
          <w:sz w:val="24"/>
          <w:szCs w:val="24"/>
        </w:rPr>
      </w:pPr>
    </w:p>
    <w:p w14:paraId="3E742289" w14:textId="77777777" w:rsidR="004223FE" w:rsidRPr="00AE3725" w:rsidRDefault="004223FE" w:rsidP="001561DD">
      <w:pPr>
        <w:autoSpaceDE w:val="0"/>
        <w:autoSpaceDN w:val="0"/>
        <w:adjustRightInd w:val="0"/>
        <w:ind w:left="851"/>
        <w:rPr>
          <w:sz w:val="24"/>
          <w:szCs w:val="24"/>
          <w:u w:val="single"/>
        </w:rPr>
      </w:pPr>
      <w:r w:rsidRPr="00AE3725">
        <w:rPr>
          <w:sz w:val="24"/>
          <w:szCs w:val="24"/>
          <w:u w:val="single"/>
        </w:rPr>
        <w:t>Fertilitet</w:t>
      </w:r>
    </w:p>
    <w:p w14:paraId="085DC3EE" w14:textId="77777777" w:rsidR="004223FE" w:rsidRPr="00AE3725" w:rsidRDefault="004223FE" w:rsidP="001561DD">
      <w:pPr>
        <w:autoSpaceDE w:val="0"/>
        <w:autoSpaceDN w:val="0"/>
        <w:adjustRightInd w:val="0"/>
        <w:ind w:left="851"/>
        <w:rPr>
          <w:sz w:val="24"/>
          <w:szCs w:val="24"/>
        </w:rPr>
      </w:pPr>
      <w:r w:rsidRPr="00AE3725">
        <w:rPr>
          <w:sz w:val="24"/>
          <w:szCs w:val="24"/>
        </w:rPr>
        <w:t>Dyrestudier viser, at behandling med safinamid er forbundet med bivirkninger på hunrotters reproduktive ydeevne og sædkvalitet. Fertiliteten hos hanrotter påvirkes ikke (se pkt. 5.3).</w:t>
      </w:r>
    </w:p>
    <w:p w14:paraId="6AEB0E33" w14:textId="77777777" w:rsidR="009260DE" w:rsidRPr="00AE3725" w:rsidRDefault="009260DE" w:rsidP="009260DE">
      <w:pPr>
        <w:tabs>
          <w:tab w:val="left" w:pos="851"/>
        </w:tabs>
        <w:ind w:left="851"/>
        <w:rPr>
          <w:sz w:val="24"/>
          <w:szCs w:val="24"/>
        </w:rPr>
      </w:pPr>
    </w:p>
    <w:p w14:paraId="568CB03D" w14:textId="77777777" w:rsidR="009260DE" w:rsidRPr="00AE3725" w:rsidRDefault="009260DE" w:rsidP="009260DE">
      <w:pPr>
        <w:tabs>
          <w:tab w:val="left" w:pos="851"/>
        </w:tabs>
        <w:ind w:left="851" w:hanging="851"/>
        <w:rPr>
          <w:b/>
          <w:sz w:val="24"/>
          <w:szCs w:val="24"/>
        </w:rPr>
      </w:pPr>
      <w:r w:rsidRPr="00AE3725">
        <w:rPr>
          <w:b/>
          <w:sz w:val="24"/>
          <w:szCs w:val="24"/>
        </w:rPr>
        <w:t>4.7</w:t>
      </w:r>
      <w:r w:rsidRPr="00AE3725">
        <w:rPr>
          <w:b/>
          <w:sz w:val="24"/>
          <w:szCs w:val="24"/>
        </w:rPr>
        <w:tab/>
        <w:t xml:space="preserve">Virkning på evnen til at føre motorkøretøj </w:t>
      </w:r>
      <w:r w:rsidR="0071241E" w:rsidRPr="00AE3725">
        <w:rPr>
          <w:b/>
          <w:sz w:val="24"/>
          <w:szCs w:val="24"/>
        </w:rPr>
        <w:t>og</w:t>
      </w:r>
      <w:r w:rsidRPr="00AE3725">
        <w:rPr>
          <w:b/>
          <w:sz w:val="24"/>
          <w:szCs w:val="24"/>
        </w:rPr>
        <w:t xml:space="preserve"> betjene maskiner</w:t>
      </w:r>
    </w:p>
    <w:p w14:paraId="358E85D2" w14:textId="77777777" w:rsidR="004223FE" w:rsidRPr="00AE3725" w:rsidRDefault="004223FE" w:rsidP="001561DD">
      <w:pPr>
        <w:autoSpaceDE w:val="0"/>
        <w:autoSpaceDN w:val="0"/>
        <w:adjustRightInd w:val="0"/>
        <w:ind w:left="851"/>
        <w:rPr>
          <w:sz w:val="24"/>
          <w:szCs w:val="24"/>
        </w:rPr>
      </w:pPr>
      <w:r w:rsidRPr="00AE3725">
        <w:rPr>
          <w:sz w:val="24"/>
          <w:szCs w:val="24"/>
        </w:rPr>
        <w:t>Ikke mærkning</w:t>
      </w:r>
    </w:p>
    <w:p w14:paraId="37B0A899" w14:textId="77777777" w:rsidR="004223FE" w:rsidRPr="00AE3725" w:rsidRDefault="004223FE" w:rsidP="001561DD">
      <w:pPr>
        <w:autoSpaceDE w:val="0"/>
        <w:autoSpaceDN w:val="0"/>
        <w:adjustRightInd w:val="0"/>
        <w:ind w:left="851"/>
        <w:rPr>
          <w:sz w:val="24"/>
          <w:szCs w:val="24"/>
        </w:rPr>
      </w:pPr>
    </w:p>
    <w:p w14:paraId="0F40D139" w14:textId="77777777" w:rsidR="004223FE" w:rsidRPr="00AE3725" w:rsidRDefault="004223FE" w:rsidP="001561DD">
      <w:pPr>
        <w:autoSpaceDE w:val="0"/>
        <w:autoSpaceDN w:val="0"/>
        <w:adjustRightInd w:val="0"/>
        <w:ind w:left="851"/>
        <w:rPr>
          <w:sz w:val="24"/>
          <w:szCs w:val="24"/>
        </w:rPr>
      </w:pPr>
      <w:proofErr w:type="spellStart"/>
      <w:r w:rsidRPr="00AE3725">
        <w:rPr>
          <w:sz w:val="24"/>
          <w:szCs w:val="24"/>
        </w:rPr>
        <w:t>Somnolens</w:t>
      </w:r>
      <w:proofErr w:type="spellEnd"/>
      <w:r w:rsidRPr="00AE3725">
        <w:rPr>
          <w:sz w:val="24"/>
          <w:szCs w:val="24"/>
        </w:rPr>
        <w:t xml:space="preserve"> og svimmelhed kan forekomme under behandling med safinamid. Patienter bør derfor advares mod at betjene farlige maskiner herunder motorkøretøjer, indtil de er rimeligt sikre på, at safinamid ikke påvirker dem negativt.</w:t>
      </w:r>
    </w:p>
    <w:p w14:paraId="5A352FE0" w14:textId="067C8F2D" w:rsidR="000D3879" w:rsidRDefault="000D3879">
      <w:pPr>
        <w:rPr>
          <w:sz w:val="24"/>
          <w:szCs w:val="24"/>
        </w:rPr>
      </w:pPr>
      <w:r>
        <w:rPr>
          <w:sz w:val="24"/>
          <w:szCs w:val="24"/>
        </w:rPr>
        <w:br w:type="page"/>
      </w:r>
    </w:p>
    <w:p w14:paraId="738D7082" w14:textId="77777777" w:rsidR="009260DE" w:rsidRPr="00AE3725" w:rsidRDefault="009260DE" w:rsidP="009260DE">
      <w:pPr>
        <w:tabs>
          <w:tab w:val="left" w:pos="851"/>
        </w:tabs>
        <w:ind w:left="851"/>
        <w:rPr>
          <w:sz w:val="24"/>
          <w:szCs w:val="24"/>
        </w:rPr>
      </w:pPr>
    </w:p>
    <w:p w14:paraId="457A86E8" w14:textId="77777777" w:rsidR="009260DE" w:rsidRPr="00AE3725" w:rsidRDefault="009260DE" w:rsidP="009260DE">
      <w:pPr>
        <w:tabs>
          <w:tab w:val="left" w:pos="851"/>
        </w:tabs>
        <w:ind w:left="851" w:hanging="851"/>
        <w:rPr>
          <w:b/>
          <w:sz w:val="24"/>
          <w:szCs w:val="24"/>
        </w:rPr>
      </w:pPr>
      <w:r w:rsidRPr="00AE3725">
        <w:rPr>
          <w:b/>
          <w:sz w:val="24"/>
          <w:szCs w:val="24"/>
        </w:rPr>
        <w:t>4.8</w:t>
      </w:r>
      <w:r w:rsidRPr="00AE3725">
        <w:rPr>
          <w:b/>
          <w:sz w:val="24"/>
          <w:szCs w:val="24"/>
        </w:rPr>
        <w:tab/>
        <w:t>Bivirkninger</w:t>
      </w:r>
    </w:p>
    <w:p w14:paraId="37DEAE2E" w14:textId="77777777" w:rsidR="00AE3725" w:rsidRDefault="00AE3725" w:rsidP="001561DD">
      <w:pPr>
        <w:autoSpaceDE w:val="0"/>
        <w:autoSpaceDN w:val="0"/>
        <w:adjustRightInd w:val="0"/>
        <w:ind w:left="851"/>
        <w:rPr>
          <w:sz w:val="24"/>
          <w:szCs w:val="24"/>
          <w:u w:val="single"/>
        </w:rPr>
      </w:pPr>
    </w:p>
    <w:p w14:paraId="0443101F" w14:textId="54BB7E07" w:rsidR="004223FE" w:rsidRPr="00AE3725" w:rsidRDefault="004223FE" w:rsidP="001561DD">
      <w:pPr>
        <w:autoSpaceDE w:val="0"/>
        <w:autoSpaceDN w:val="0"/>
        <w:adjustRightInd w:val="0"/>
        <w:ind w:left="851"/>
        <w:rPr>
          <w:sz w:val="24"/>
          <w:szCs w:val="24"/>
          <w:u w:val="single"/>
        </w:rPr>
      </w:pPr>
      <w:r w:rsidRPr="00AE3725">
        <w:rPr>
          <w:sz w:val="24"/>
          <w:szCs w:val="24"/>
          <w:u w:val="single"/>
        </w:rPr>
        <w:t>Resumé af sikkerhedsprofil</w:t>
      </w:r>
    </w:p>
    <w:p w14:paraId="1BCE2811" w14:textId="77777777" w:rsidR="004223FE" w:rsidRPr="00AE3725" w:rsidRDefault="004223FE" w:rsidP="001561DD">
      <w:pPr>
        <w:autoSpaceDE w:val="0"/>
        <w:autoSpaceDN w:val="0"/>
        <w:adjustRightInd w:val="0"/>
        <w:ind w:left="851"/>
        <w:rPr>
          <w:sz w:val="24"/>
          <w:szCs w:val="24"/>
          <w:highlight w:val="green"/>
          <w:u w:val="single"/>
        </w:rPr>
      </w:pPr>
    </w:p>
    <w:p w14:paraId="4EE3CD7F" w14:textId="14223027" w:rsidR="004223FE" w:rsidRPr="00AE3725" w:rsidRDefault="004223FE" w:rsidP="001561DD">
      <w:pPr>
        <w:autoSpaceDE w:val="0"/>
        <w:autoSpaceDN w:val="0"/>
        <w:adjustRightInd w:val="0"/>
        <w:ind w:left="851"/>
        <w:rPr>
          <w:sz w:val="24"/>
          <w:szCs w:val="24"/>
        </w:rPr>
      </w:pPr>
      <w:proofErr w:type="spellStart"/>
      <w:r w:rsidRPr="00AE3725">
        <w:rPr>
          <w:sz w:val="24"/>
          <w:szCs w:val="24"/>
        </w:rPr>
        <w:t>Dyskinesi</w:t>
      </w:r>
      <w:proofErr w:type="spellEnd"/>
      <w:r w:rsidRPr="00AE3725">
        <w:rPr>
          <w:sz w:val="24"/>
          <w:szCs w:val="24"/>
        </w:rPr>
        <w:t xml:space="preserve"> var den mest almindelige bivirkning, der blev indrapporteret hos patienter behandlet med safinamid sammen med L-</w:t>
      </w:r>
      <w:proofErr w:type="spellStart"/>
      <w:r w:rsidRPr="00AE3725">
        <w:rPr>
          <w:sz w:val="24"/>
          <w:szCs w:val="24"/>
        </w:rPr>
        <w:t>dopa</w:t>
      </w:r>
      <w:proofErr w:type="spellEnd"/>
      <w:r w:rsidRPr="00AE3725">
        <w:rPr>
          <w:sz w:val="24"/>
          <w:szCs w:val="24"/>
        </w:rPr>
        <w:t xml:space="preserve"> alene eller sammen med andre PD-behandlinger. Alvorlige bivirkninger er kendt ved samtidig brug af </w:t>
      </w:r>
      <w:proofErr w:type="spellStart"/>
      <w:r w:rsidRPr="00AE3725">
        <w:rPr>
          <w:sz w:val="24"/>
          <w:szCs w:val="24"/>
        </w:rPr>
        <w:t>SSRI´er</w:t>
      </w:r>
      <w:proofErr w:type="spellEnd"/>
      <w:r w:rsidRPr="00AE3725">
        <w:rPr>
          <w:sz w:val="24"/>
          <w:szCs w:val="24"/>
        </w:rPr>
        <w:t xml:space="preserve">, </w:t>
      </w:r>
      <w:proofErr w:type="spellStart"/>
      <w:r w:rsidRPr="00AE3725">
        <w:rPr>
          <w:sz w:val="24"/>
          <w:szCs w:val="24"/>
        </w:rPr>
        <w:t>SNRI´er</w:t>
      </w:r>
      <w:proofErr w:type="spellEnd"/>
      <w:r w:rsidRPr="00AE3725">
        <w:rPr>
          <w:sz w:val="24"/>
          <w:szCs w:val="24"/>
        </w:rPr>
        <w:t>, tricykliske/</w:t>
      </w:r>
      <w:proofErr w:type="spellStart"/>
      <w:r w:rsidRPr="00AE3725">
        <w:rPr>
          <w:sz w:val="24"/>
          <w:szCs w:val="24"/>
        </w:rPr>
        <w:t>tetracykliske</w:t>
      </w:r>
      <w:proofErr w:type="spellEnd"/>
      <w:r w:rsidRPr="00AE3725">
        <w:rPr>
          <w:sz w:val="24"/>
          <w:szCs w:val="24"/>
        </w:rPr>
        <w:t xml:space="preserve"> </w:t>
      </w:r>
      <w:proofErr w:type="spellStart"/>
      <w:r w:rsidRPr="00AE3725">
        <w:rPr>
          <w:sz w:val="24"/>
          <w:szCs w:val="24"/>
        </w:rPr>
        <w:t>antidepressiva</w:t>
      </w:r>
      <w:proofErr w:type="spellEnd"/>
      <w:r w:rsidRPr="00AE3725">
        <w:rPr>
          <w:sz w:val="24"/>
          <w:szCs w:val="24"/>
        </w:rPr>
        <w:t xml:space="preserve"> og MAO-</w:t>
      </w:r>
      <w:proofErr w:type="spellStart"/>
      <w:r w:rsidRPr="00AE3725">
        <w:rPr>
          <w:sz w:val="24"/>
          <w:szCs w:val="24"/>
        </w:rPr>
        <w:t>hæmmere</w:t>
      </w:r>
      <w:proofErr w:type="spellEnd"/>
      <w:r w:rsidRPr="00AE3725">
        <w:rPr>
          <w:sz w:val="24"/>
          <w:szCs w:val="24"/>
        </w:rPr>
        <w:t xml:space="preserve">, som </w:t>
      </w:r>
      <w:proofErr w:type="spellStart"/>
      <w:r w:rsidRPr="00AE3725">
        <w:rPr>
          <w:sz w:val="24"/>
          <w:szCs w:val="24"/>
        </w:rPr>
        <w:t>hypertensiv</w:t>
      </w:r>
      <w:proofErr w:type="spellEnd"/>
      <w:r w:rsidRPr="00AE3725">
        <w:rPr>
          <w:sz w:val="24"/>
          <w:szCs w:val="24"/>
        </w:rPr>
        <w:t xml:space="preserve"> krise (højt blodtryk, kollaps), malignt </w:t>
      </w:r>
      <w:proofErr w:type="spellStart"/>
      <w:r w:rsidRPr="00AE3725">
        <w:rPr>
          <w:sz w:val="24"/>
          <w:szCs w:val="24"/>
        </w:rPr>
        <w:t>neuroleptika</w:t>
      </w:r>
      <w:proofErr w:type="spellEnd"/>
      <w:r w:rsidRPr="00AE3725">
        <w:rPr>
          <w:sz w:val="24"/>
          <w:szCs w:val="24"/>
        </w:rPr>
        <w:t>-syndrom (forvirring, svedte</w:t>
      </w:r>
      <w:r w:rsidR="000D3879">
        <w:rPr>
          <w:sz w:val="24"/>
          <w:szCs w:val="24"/>
        </w:rPr>
        <w:t>n</w:t>
      </w:r>
      <w:r w:rsidRPr="00AE3725">
        <w:rPr>
          <w:sz w:val="24"/>
          <w:szCs w:val="24"/>
        </w:rPr>
        <w:t xml:space="preserve">dens, muskelstivhed, </w:t>
      </w:r>
      <w:proofErr w:type="spellStart"/>
      <w:r w:rsidRPr="00AE3725">
        <w:rPr>
          <w:sz w:val="24"/>
          <w:szCs w:val="24"/>
        </w:rPr>
        <w:t>hypertermi</w:t>
      </w:r>
      <w:proofErr w:type="spellEnd"/>
      <w:r w:rsidRPr="00AE3725">
        <w:rPr>
          <w:sz w:val="24"/>
          <w:szCs w:val="24"/>
        </w:rPr>
        <w:t>, øget CPK), serotoninsyndrom (forvirring, hypertension, muskelstivhed, hallucinationer), hypotension. Med MAO-</w:t>
      </w:r>
      <w:proofErr w:type="spellStart"/>
      <w:r w:rsidRPr="00AE3725">
        <w:rPr>
          <w:sz w:val="24"/>
          <w:szCs w:val="24"/>
        </w:rPr>
        <w:t>hæmmere</w:t>
      </w:r>
      <w:proofErr w:type="spellEnd"/>
      <w:r w:rsidRPr="00AE3725">
        <w:rPr>
          <w:sz w:val="24"/>
          <w:szCs w:val="24"/>
        </w:rPr>
        <w:t xml:space="preserve"> er der blevet rapporteret om lægemiddelinteraktioner med samtidig anvendelse af </w:t>
      </w:r>
      <w:proofErr w:type="spellStart"/>
      <w:r w:rsidRPr="00AE3725">
        <w:rPr>
          <w:sz w:val="24"/>
          <w:szCs w:val="24"/>
        </w:rPr>
        <w:t>sympatomimetiske</w:t>
      </w:r>
      <w:proofErr w:type="spellEnd"/>
      <w:r w:rsidRPr="00AE3725">
        <w:rPr>
          <w:sz w:val="24"/>
          <w:szCs w:val="24"/>
        </w:rPr>
        <w:t xml:space="preserve"> lægemidler.</w:t>
      </w:r>
    </w:p>
    <w:p w14:paraId="144F5941" w14:textId="77777777" w:rsidR="004223FE" w:rsidRPr="00AE3725" w:rsidRDefault="004223FE" w:rsidP="001561DD">
      <w:pPr>
        <w:autoSpaceDE w:val="0"/>
        <w:autoSpaceDN w:val="0"/>
        <w:adjustRightInd w:val="0"/>
        <w:ind w:left="851"/>
        <w:rPr>
          <w:sz w:val="24"/>
          <w:szCs w:val="24"/>
        </w:rPr>
      </w:pPr>
    </w:p>
    <w:p w14:paraId="431FDD77" w14:textId="77777777" w:rsidR="004223FE" w:rsidRPr="00AE3725" w:rsidRDefault="004223FE" w:rsidP="001561DD">
      <w:pPr>
        <w:autoSpaceDE w:val="0"/>
        <w:autoSpaceDN w:val="0"/>
        <w:adjustRightInd w:val="0"/>
        <w:ind w:left="851"/>
        <w:rPr>
          <w:sz w:val="24"/>
          <w:szCs w:val="24"/>
        </w:rPr>
      </w:pPr>
      <w:r w:rsidRPr="00AE3725">
        <w:rPr>
          <w:sz w:val="24"/>
          <w:szCs w:val="24"/>
        </w:rPr>
        <w:t xml:space="preserve">Impulskontrolforstyrrelser: Ludomani, øget kønsdrift, </w:t>
      </w:r>
      <w:proofErr w:type="spellStart"/>
      <w:r w:rsidRPr="00AE3725">
        <w:rPr>
          <w:sz w:val="24"/>
          <w:szCs w:val="24"/>
        </w:rPr>
        <w:t>hyperseksualitet</w:t>
      </w:r>
      <w:proofErr w:type="spellEnd"/>
      <w:r w:rsidRPr="00AE3725">
        <w:rPr>
          <w:sz w:val="24"/>
          <w:szCs w:val="24"/>
        </w:rPr>
        <w:t xml:space="preserve">, købetrang, overspisning og anden tvangsspisning kan opstå hos patienter behandlet med dopaminagonister og/eller andre </w:t>
      </w:r>
      <w:proofErr w:type="spellStart"/>
      <w:r w:rsidRPr="00AE3725">
        <w:rPr>
          <w:sz w:val="24"/>
          <w:szCs w:val="24"/>
        </w:rPr>
        <w:t>dopaminerge</w:t>
      </w:r>
      <w:proofErr w:type="spellEnd"/>
      <w:r w:rsidRPr="00AE3725">
        <w:rPr>
          <w:sz w:val="24"/>
          <w:szCs w:val="24"/>
        </w:rPr>
        <w:t xml:space="preserve"> behandlinger.</w:t>
      </w:r>
    </w:p>
    <w:p w14:paraId="388009AE" w14:textId="77777777" w:rsidR="004223FE" w:rsidRPr="00AE3725" w:rsidRDefault="004223FE" w:rsidP="001561DD">
      <w:pPr>
        <w:autoSpaceDE w:val="0"/>
        <w:autoSpaceDN w:val="0"/>
        <w:adjustRightInd w:val="0"/>
        <w:ind w:left="851"/>
        <w:rPr>
          <w:sz w:val="24"/>
          <w:szCs w:val="24"/>
          <w:highlight w:val="green"/>
        </w:rPr>
      </w:pPr>
    </w:p>
    <w:p w14:paraId="23001DD2" w14:textId="77777777" w:rsidR="004223FE" w:rsidRPr="00AE3725" w:rsidRDefault="004223FE" w:rsidP="001561DD">
      <w:pPr>
        <w:autoSpaceDE w:val="0"/>
        <w:autoSpaceDN w:val="0"/>
        <w:adjustRightInd w:val="0"/>
        <w:ind w:left="851"/>
        <w:rPr>
          <w:sz w:val="24"/>
          <w:szCs w:val="24"/>
          <w:highlight w:val="green"/>
          <w:u w:val="single"/>
        </w:rPr>
      </w:pPr>
      <w:r w:rsidRPr="00AE3725">
        <w:rPr>
          <w:sz w:val="24"/>
          <w:szCs w:val="24"/>
          <w:u w:val="single"/>
        </w:rPr>
        <w:t>Tabel over bivirkninger</w:t>
      </w:r>
    </w:p>
    <w:p w14:paraId="5684D150" w14:textId="77777777" w:rsidR="004223FE" w:rsidRPr="00AE3725" w:rsidRDefault="004223FE" w:rsidP="001561DD">
      <w:pPr>
        <w:autoSpaceDE w:val="0"/>
        <w:autoSpaceDN w:val="0"/>
        <w:adjustRightInd w:val="0"/>
        <w:ind w:left="851"/>
        <w:rPr>
          <w:sz w:val="24"/>
          <w:szCs w:val="24"/>
          <w:highlight w:val="green"/>
        </w:rPr>
      </w:pPr>
    </w:p>
    <w:p w14:paraId="405EC39A" w14:textId="77777777" w:rsidR="004223FE" w:rsidRPr="00AE3725" w:rsidRDefault="004223FE" w:rsidP="001561DD">
      <w:pPr>
        <w:autoSpaceDE w:val="0"/>
        <w:autoSpaceDN w:val="0"/>
        <w:adjustRightInd w:val="0"/>
        <w:ind w:left="851"/>
        <w:rPr>
          <w:sz w:val="24"/>
          <w:szCs w:val="24"/>
        </w:rPr>
      </w:pPr>
      <w:r w:rsidRPr="00AE3725">
        <w:rPr>
          <w:sz w:val="24"/>
          <w:szCs w:val="24"/>
        </w:rPr>
        <w:t>Nedenstående tabel inkluderer alle bivirkninger i kliniske studier, hvor bivirkningerne anses for at være relaterede.</w:t>
      </w:r>
    </w:p>
    <w:p w14:paraId="0E82C71C" w14:textId="77777777" w:rsidR="004223FE" w:rsidRPr="00AE3725" w:rsidRDefault="004223FE" w:rsidP="001561DD">
      <w:pPr>
        <w:autoSpaceDE w:val="0"/>
        <w:autoSpaceDN w:val="0"/>
        <w:adjustRightInd w:val="0"/>
        <w:ind w:left="851"/>
        <w:rPr>
          <w:sz w:val="24"/>
          <w:szCs w:val="24"/>
        </w:rPr>
      </w:pPr>
    </w:p>
    <w:p w14:paraId="4A1D40AF" w14:textId="77777777" w:rsidR="004223FE" w:rsidRPr="00AE3725" w:rsidRDefault="004223FE" w:rsidP="001561DD">
      <w:pPr>
        <w:autoSpaceDE w:val="0"/>
        <w:autoSpaceDN w:val="0"/>
        <w:adjustRightInd w:val="0"/>
        <w:ind w:left="851"/>
        <w:rPr>
          <w:sz w:val="24"/>
          <w:szCs w:val="24"/>
        </w:rPr>
      </w:pPr>
      <w:r w:rsidRPr="00AE3725">
        <w:rPr>
          <w:sz w:val="24"/>
          <w:szCs w:val="24"/>
        </w:rPr>
        <w:t>Bivirkningerne er opdelt efter hyppighed med følgende konvention: meget almindelig (≥1/10), almindelig (≥1/100 til &lt;1/10); ikke almindelig (≥1/1.000 til &lt;1/100), sjælden (≥1/10.000 til &lt;1/1.000), meget sjælden (&lt;1/10.000) og ikke kendt (kan ikke estimeres ud fra forhåndenværende data).</w:t>
      </w:r>
    </w:p>
    <w:p w14:paraId="5F47464D" w14:textId="77777777" w:rsidR="004223FE" w:rsidRPr="00AE3725" w:rsidRDefault="004223FE" w:rsidP="001561DD">
      <w:pPr>
        <w:autoSpaceDE w:val="0"/>
        <w:autoSpaceDN w:val="0"/>
        <w:adjustRightInd w:val="0"/>
        <w:ind w:left="851"/>
        <w:rPr>
          <w:sz w:val="24"/>
          <w:szCs w:val="24"/>
          <w:highlight w:val="green"/>
        </w:rPr>
      </w:pPr>
    </w:p>
    <w:tbl>
      <w:tblPr>
        <w:tblW w:w="105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7"/>
        <w:gridCol w:w="1436"/>
        <w:gridCol w:w="1846"/>
        <w:gridCol w:w="2358"/>
        <w:gridCol w:w="2520"/>
      </w:tblGrid>
      <w:tr w:rsidR="00772D05" w:rsidRPr="000D3879" w14:paraId="0CD08590" w14:textId="77777777" w:rsidTr="000D3879">
        <w:trPr>
          <w:trHeight w:val="20"/>
          <w:tblHeader/>
        </w:trPr>
        <w:tc>
          <w:tcPr>
            <w:tcW w:w="2387" w:type="dxa"/>
            <w:tcBorders>
              <w:top w:val="single" w:sz="4" w:space="0" w:color="000000"/>
              <w:left w:val="single" w:sz="4" w:space="0" w:color="000000"/>
              <w:bottom w:val="single" w:sz="4" w:space="0" w:color="000000"/>
              <w:right w:val="single" w:sz="4" w:space="0" w:color="000000"/>
            </w:tcBorders>
            <w:shd w:val="clear" w:color="auto" w:fill="D9D9D9"/>
            <w:hideMark/>
          </w:tcPr>
          <w:p w14:paraId="4C60D1D0" w14:textId="77777777" w:rsidR="004223FE" w:rsidRPr="000D3879" w:rsidRDefault="004223FE" w:rsidP="00772D05">
            <w:pPr>
              <w:pStyle w:val="TableParagraph"/>
              <w:spacing w:before="2" w:line="244" w:lineRule="auto"/>
              <w:ind w:right="27"/>
              <w:rPr>
                <w:b/>
                <w:highlight w:val="green"/>
                <w:lang w:val="da-DK"/>
              </w:rPr>
            </w:pPr>
            <w:r w:rsidRPr="000D3879">
              <w:rPr>
                <w:b/>
                <w:lang w:val="da-DK"/>
              </w:rPr>
              <w:t>Systemorganklasse</w:t>
            </w:r>
          </w:p>
        </w:tc>
        <w:tc>
          <w:tcPr>
            <w:tcW w:w="1436" w:type="dxa"/>
            <w:tcBorders>
              <w:top w:val="single" w:sz="4" w:space="0" w:color="000000"/>
              <w:left w:val="single" w:sz="4" w:space="0" w:color="000000"/>
              <w:bottom w:val="single" w:sz="4" w:space="0" w:color="000000"/>
              <w:right w:val="single" w:sz="4" w:space="0" w:color="000000"/>
            </w:tcBorders>
            <w:shd w:val="clear" w:color="auto" w:fill="D9D9D9"/>
            <w:hideMark/>
          </w:tcPr>
          <w:p w14:paraId="62EFD92F" w14:textId="43188549" w:rsidR="004223FE" w:rsidRPr="000D3879" w:rsidRDefault="004223FE" w:rsidP="00772D05">
            <w:pPr>
              <w:pStyle w:val="TableParagraph"/>
              <w:spacing w:before="2" w:line="244" w:lineRule="auto"/>
              <w:ind w:right="27"/>
              <w:rPr>
                <w:b/>
                <w:highlight w:val="green"/>
                <w:lang w:val="da-DK"/>
              </w:rPr>
            </w:pPr>
            <w:r w:rsidRPr="000D3879">
              <w:rPr>
                <w:b/>
                <w:lang w:val="da-DK"/>
              </w:rPr>
              <w:t>Meget</w:t>
            </w:r>
            <w:r w:rsidR="00772D05" w:rsidRPr="000D3879">
              <w:rPr>
                <w:b/>
                <w:lang w:val="da-DK"/>
              </w:rPr>
              <w:t xml:space="preserve"> </w:t>
            </w:r>
            <w:r w:rsidRPr="000D3879">
              <w:rPr>
                <w:b/>
                <w:lang w:val="da-DK"/>
              </w:rPr>
              <w:t>alminde</w:t>
            </w:r>
            <w:r w:rsidR="000D3879" w:rsidRPr="000D3879">
              <w:rPr>
                <w:b/>
                <w:lang w:val="da-DK"/>
              </w:rPr>
              <w:t>lig</w:t>
            </w:r>
          </w:p>
        </w:tc>
        <w:tc>
          <w:tcPr>
            <w:tcW w:w="1846" w:type="dxa"/>
            <w:tcBorders>
              <w:top w:val="single" w:sz="4" w:space="0" w:color="000000"/>
              <w:left w:val="single" w:sz="4" w:space="0" w:color="000000"/>
              <w:bottom w:val="single" w:sz="4" w:space="0" w:color="000000"/>
              <w:right w:val="single" w:sz="4" w:space="0" w:color="000000"/>
            </w:tcBorders>
            <w:shd w:val="clear" w:color="auto" w:fill="D9D9D9"/>
            <w:hideMark/>
          </w:tcPr>
          <w:p w14:paraId="266BD4AA" w14:textId="77777777" w:rsidR="004223FE" w:rsidRPr="000D3879" w:rsidRDefault="004223FE" w:rsidP="00772D05">
            <w:pPr>
              <w:pStyle w:val="TableParagraph"/>
              <w:spacing w:before="2" w:line="256" w:lineRule="auto"/>
              <w:ind w:right="27"/>
              <w:rPr>
                <w:b/>
                <w:highlight w:val="green"/>
                <w:lang w:val="da-DK"/>
              </w:rPr>
            </w:pPr>
            <w:r w:rsidRPr="000D3879">
              <w:rPr>
                <w:b/>
                <w:lang w:val="da-DK"/>
              </w:rPr>
              <w:t>Almindelig</w:t>
            </w:r>
          </w:p>
        </w:tc>
        <w:tc>
          <w:tcPr>
            <w:tcW w:w="2358" w:type="dxa"/>
            <w:tcBorders>
              <w:top w:val="single" w:sz="4" w:space="0" w:color="000000"/>
              <w:left w:val="single" w:sz="4" w:space="0" w:color="000000"/>
              <w:bottom w:val="single" w:sz="4" w:space="0" w:color="000000"/>
              <w:right w:val="single" w:sz="4" w:space="0" w:color="000000"/>
            </w:tcBorders>
            <w:shd w:val="clear" w:color="auto" w:fill="D9D9D9"/>
            <w:hideMark/>
          </w:tcPr>
          <w:p w14:paraId="11CA4983" w14:textId="77777777" w:rsidR="004223FE" w:rsidRPr="000D3879" w:rsidRDefault="004223FE" w:rsidP="00772D05">
            <w:pPr>
              <w:pStyle w:val="TableParagraph"/>
              <w:spacing w:before="2" w:line="256" w:lineRule="auto"/>
              <w:ind w:right="27"/>
              <w:rPr>
                <w:b/>
                <w:highlight w:val="green"/>
                <w:lang w:val="da-DK"/>
              </w:rPr>
            </w:pPr>
            <w:r w:rsidRPr="000D3879">
              <w:rPr>
                <w:b/>
                <w:lang w:val="da-DK"/>
              </w:rPr>
              <w:t>Ikke almindelig</w:t>
            </w:r>
          </w:p>
        </w:tc>
        <w:tc>
          <w:tcPr>
            <w:tcW w:w="2520" w:type="dxa"/>
            <w:tcBorders>
              <w:top w:val="single" w:sz="4" w:space="0" w:color="000000"/>
              <w:left w:val="single" w:sz="4" w:space="0" w:color="000000"/>
              <w:bottom w:val="single" w:sz="4" w:space="0" w:color="000000"/>
              <w:right w:val="single" w:sz="4" w:space="0" w:color="000000"/>
            </w:tcBorders>
            <w:shd w:val="clear" w:color="auto" w:fill="D9D9D9"/>
            <w:hideMark/>
          </w:tcPr>
          <w:p w14:paraId="1872F292" w14:textId="77777777" w:rsidR="004223FE" w:rsidRPr="000D3879" w:rsidRDefault="004223FE" w:rsidP="00772D05">
            <w:pPr>
              <w:pStyle w:val="TableParagraph"/>
              <w:spacing w:before="2" w:line="256" w:lineRule="auto"/>
              <w:ind w:right="27"/>
              <w:rPr>
                <w:b/>
                <w:highlight w:val="green"/>
                <w:lang w:val="da-DK"/>
              </w:rPr>
            </w:pPr>
            <w:r w:rsidRPr="000D3879">
              <w:rPr>
                <w:b/>
                <w:lang w:val="da-DK"/>
              </w:rPr>
              <w:t>Sjælden</w:t>
            </w:r>
          </w:p>
        </w:tc>
      </w:tr>
      <w:tr w:rsidR="00772D05" w:rsidRPr="000D3879" w14:paraId="6F2D31A7" w14:textId="77777777" w:rsidTr="000D3879">
        <w:trPr>
          <w:trHeight w:val="2121"/>
        </w:trPr>
        <w:tc>
          <w:tcPr>
            <w:tcW w:w="2387" w:type="dxa"/>
            <w:tcBorders>
              <w:top w:val="single" w:sz="4" w:space="0" w:color="000000"/>
              <w:left w:val="single" w:sz="4" w:space="0" w:color="000000"/>
              <w:right w:val="single" w:sz="4" w:space="0" w:color="000000"/>
            </w:tcBorders>
            <w:hideMark/>
          </w:tcPr>
          <w:p w14:paraId="36A09378" w14:textId="7988A8CD" w:rsidR="00AE3725" w:rsidRPr="000D3879" w:rsidRDefault="00AE3725" w:rsidP="00772D05">
            <w:pPr>
              <w:pStyle w:val="TableParagraph"/>
              <w:spacing w:line="256" w:lineRule="auto"/>
              <w:ind w:right="27"/>
              <w:rPr>
                <w:highlight w:val="green"/>
                <w:lang w:val="da-DK"/>
              </w:rPr>
            </w:pPr>
            <w:r w:rsidRPr="000D3879">
              <w:rPr>
                <w:lang w:val="da-DK"/>
              </w:rPr>
              <w:t>Infektioner og parasitære sygdomme</w:t>
            </w:r>
          </w:p>
        </w:tc>
        <w:tc>
          <w:tcPr>
            <w:tcW w:w="1436" w:type="dxa"/>
            <w:tcBorders>
              <w:top w:val="single" w:sz="4" w:space="0" w:color="000000"/>
              <w:left w:val="single" w:sz="4" w:space="0" w:color="000000"/>
              <w:bottom w:val="single" w:sz="4" w:space="0" w:color="000000"/>
              <w:right w:val="single" w:sz="4" w:space="0" w:color="000000"/>
            </w:tcBorders>
          </w:tcPr>
          <w:p w14:paraId="4946383D" w14:textId="77777777" w:rsidR="00AE3725" w:rsidRPr="000D3879" w:rsidRDefault="00AE3725"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25E8473D" w14:textId="77777777" w:rsidR="00AE3725" w:rsidRPr="000D3879" w:rsidRDefault="00AE3725" w:rsidP="00772D05">
            <w:pPr>
              <w:ind w:left="65" w:right="27"/>
              <w:rPr>
                <w:sz w:val="22"/>
                <w:szCs w:val="22"/>
                <w:highlight w:val="green"/>
              </w:rPr>
            </w:pPr>
          </w:p>
        </w:tc>
        <w:tc>
          <w:tcPr>
            <w:tcW w:w="2358" w:type="dxa"/>
            <w:tcBorders>
              <w:top w:val="single" w:sz="4" w:space="0" w:color="000000"/>
              <w:left w:val="single" w:sz="4" w:space="0" w:color="000000"/>
              <w:right w:val="single" w:sz="4" w:space="0" w:color="000000"/>
            </w:tcBorders>
            <w:hideMark/>
          </w:tcPr>
          <w:p w14:paraId="5B01C926" w14:textId="77777777" w:rsidR="00AE3725" w:rsidRPr="000D3879" w:rsidRDefault="00AE3725" w:rsidP="00772D05">
            <w:pPr>
              <w:pStyle w:val="TableParagraph"/>
              <w:spacing w:line="256" w:lineRule="auto"/>
              <w:ind w:right="27"/>
              <w:rPr>
                <w:highlight w:val="green"/>
                <w:lang w:val="da-DK"/>
              </w:rPr>
            </w:pPr>
            <w:r w:rsidRPr="000D3879">
              <w:rPr>
                <w:lang w:val="da-DK"/>
              </w:rPr>
              <w:t>Urinvejsinfektion</w:t>
            </w:r>
          </w:p>
        </w:tc>
        <w:tc>
          <w:tcPr>
            <w:tcW w:w="2520" w:type="dxa"/>
            <w:tcBorders>
              <w:top w:val="single" w:sz="4" w:space="0" w:color="000000"/>
              <w:left w:val="single" w:sz="4" w:space="0" w:color="000000"/>
              <w:right w:val="single" w:sz="4" w:space="0" w:color="000000"/>
            </w:tcBorders>
            <w:hideMark/>
          </w:tcPr>
          <w:p w14:paraId="6E8E9669" w14:textId="09ED020A" w:rsidR="00AE3725" w:rsidRPr="000D3879" w:rsidRDefault="00AE3725" w:rsidP="00772D05">
            <w:pPr>
              <w:pStyle w:val="TableParagraph"/>
              <w:spacing w:line="256" w:lineRule="auto"/>
              <w:ind w:right="27"/>
              <w:rPr>
                <w:highlight w:val="green"/>
                <w:lang w:val="da-DK"/>
              </w:rPr>
            </w:pPr>
            <w:proofErr w:type="spellStart"/>
            <w:r w:rsidRPr="000D3879">
              <w:rPr>
                <w:lang w:val="da-DK"/>
              </w:rPr>
              <w:t>Bronkopneumoni</w:t>
            </w:r>
            <w:proofErr w:type="spellEnd"/>
            <w:r w:rsidRPr="000D3879">
              <w:rPr>
                <w:lang w:val="da-DK"/>
              </w:rPr>
              <w:t xml:space="preserve">, byld, næsesvælgrumskatar, </w:t>
            </w:r>
            <w:proofErr w:type="spellStart"/>
            <w:r w:rsidRPr="000D3879">
              <w:rPr>
                <w:lang w:val="da-DK"/>
              </w:rPr>
              <w:t>pyodermia</w:t>
            </w:r>
            <w:proofErr w:type="spellEnd"/>
            <w:r w:rsidRPr="000D3879">
              <w:rPr>
                <w:lang w:val="da-DK"/>
              </w:rPr>
              <w:t xml:space="preserve">, </w:t>
            </w:r>
            <w:proofErr w:type="spellStart"/>
            <w:r w:rsidRPr="000D3879">
              <w:rPr>
                <w:lang w:val="da-DK"/>
              </w:rPr>
              <w:t>rhinitis</w:t>
            </w:r>
            <w:proofErr w:type="spellEnd"/>
            <w:r w:rsidRPr="000D3879">
              <w:rPr>
                <w:lang w:val="da-DK"/>
              </w:rPr>
              <w:t>, tandinfektion, virusinfektion</w:t>
            </w:r>
          </w:p>
        </w:tc>
      </w:tr>
      <w:tr w:rsidR="00772D05" w:rsidRPr="000D3879" w14:paraId="4F5794DE" w14:textId="77777777" w:rsidTr="000D3879">
        <w:trPr>
          <w:trHeight w:val="1493"/>
        </w:trPr>
        <w:tc>
          <w:tcPr>
            <w:tcW w:w="2387" w:type="dxa"/>
            <w:tcBorders>
              <w:top w:val="single" w:sz="4" w:space="0" w:color="000000"/>
              <w:left w:val="single" w:sz="4" w:space="0" w:color="000000"/>
              <w:right w:val="single" w:sz="4" w:space="0" w:color="000000"/>
            </w:tcBorders>
            <w:hideMark/>
          </w:tcPr>
          <w:p w14:paraId="4A87A2C8" w14:textId="7CADF563" w:rsidR="00AE3725" w:rsidRPr="000D3879" w:rsidRDefault="00AE3725" w:rsidP="00772D05">
            <w:pPr>
              <w:pStyle w:val="TableParagraph"/>
              <w:spacing w:line="256" w:lineRule="auto"/>
              <w:ind w:right="27"/>
              <w:rPr>
                <w:highlight w:val="green"/>
                <w:lang w:val="da-DK"/>
              </w:rPr>
            </w:pPr>
            <w:r w:rsidRPr="000D3879">
              <w:rPr>
                <w:lang w:val="da-DK"/>
              </w:rPr>
              <w:t>Benigne, maligne og uspecificerede tumorer (inkl. cyster og polypper)</w:t>
            </w:r>
          </w:p>
        </w:tc>
        <w:tc>
          <w:tcPr>
            <w:tcW w:w="1436" w:type="dxa"/>
            <w:tcBorders>
              <w:top w:val="single" w:sz="4" w:space="0" w:color="000000"/>
              <w:left w:val="single" w:sz="4" w:space="0" w:color="000000"/>
              <w:bottom w:val="single" w:sz="4" w:space="0" w:color="000000"/>
              <w:right w:val="single" w:sz="4" w:space="0" w:color="000000"/>
            </w:tcBorders>
          </w:tcPr>
          <w:p w14:paraId="507CAE38" w14:textId="77777777" w:rsidR="00AE3725" w:rsidRPr="000D3879" w:rsidRDefault="00AE3725"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5A3472D5" w14:textId="77777777" w:rsidR="00AE3725" w:rsidRPr="000D3879" w:rsidRDefault="00AE3725" w:rsidP="00772D05">
            <w:pPr>
              <w:ind w:left="65" w:right="27"/>
              <w:rPr>
                <w:sz w:val="22"/>
                <w:szCs w:val="22"/>
                <w:highlight w:val="green"/>
              </w:rPr>
            </w:pPr>
          </w:p>
        </w:tc>
        <w:tc>
          <w:tcPr>
            <w:tcW w:w="2358" w:type="dxa"/>
            <w:tcBorders>
              <w:top w:val="single" w:sz="4" w:space="0" w:color="000000"/>
              <w:left w:val="single" w:sz="4" w:space="0" w:color="000000"/>
              <w:right w:val="single" w:sz="4" w:space="0" w:color="000000"/>
            </w:tcBorders>
            <w:hideMark/>
          </w:tcPr>
          <w:p w14:paraId="29264313" w14:textId="77777777" w:rsidR="00AE3725" w:rsidRPr="000D3879" w:rsidRDefault="00AE3725" w:rsidP="00772D05">
            <w:pPr>
              <w:pStyle w:val="TableParagraph"/>
              <w:spacing w:line="256" w:lineRule="auto"/>
              <w:ind w:right="27"/>
              <w:rPr>
                <w:highlight w:val="green"/>
                <w:lang w:val="da-DK"/>
              </w:rPr>
            </w:pPr>
            <w:r w:rsidRPr="000D3879">
              <w:rPr>
                <w:lang w:val="da-DK"/>
              </w:rPr>
              <w:t>Basalcellekræft</w:t>
            </w:r>
          </w:p>
        </w:tc>
        <w:tc>
          <w:tcPr>
            <w:tcW w:w="2520" w:type="dxa"/>
            <w:tcBorders>
              <w:top w:val="single" w:sz="4" w:space="0" w:color="000000"/>
              <w:left w:val="single" w:sz="4" w:space="0" w:color="000000"/>
              <w:right w:val="single" w:sz="4" w:space="0" w:color="000000"/>
            </w:tcBorders>
            <w:hideMark/>
          </w:tcPr>
          <w:p w14:paraId="3BE806BF" w14:textId="0DA41C7D" w:rsidR="00AE3725" w:rsidRPr="000D3879" w:rsidRDefault="00AE3725" w:rsidP="00772D05">
            <w:pPr>
              <w:pStyle w:val="TableParagraph"/>
              <w:spacing w:line="256" w:lineRule="auto"/>
              <w:ind w:right="27"/>
              <w:rPr>
                <w:highlight w:val="green"/>
                <w:lang w:val="da-DK"/>
              </w:rPr>
            </w:pPr>
            <w:proofErr w:type="spellStart"/>
            <w:r w:rsidRPr="000D3879">
              <w:rPr>
                <w:lang w:val="da-DK"/>
              </w:rPr>
              <w:t>Acrochordon</w:t>
            </w:r>
            <w:proofErr w:type="spellEnd"/>
            <w:r w:rsidRPr="000D3879">
              <w:rPr>
                <w:lang w:val="da-DK"/>
              </w:rPr>
              <w:t xml:space="preserve">, </w:t>
            </w:r>
            <w:proofErr w:type="spellStart"/>
            <w:r w:rsidRPr="000D3879">
              <w:rPr>
                <w:lang w:val="da-DK"/>
              </w:rPr>
              <w:t>melanocytisk</w:t>
            </w:r>
            <w:proofErr w:type="spellEnd"/>
            <w:r w:rsidRPr="000D3879">
              <w:rPr>
                <w:lang w:val="da-DK"/>
              </w:rPr>
              <w:t xml:space="preserve"> </w:t>
            </w:r>
            <w:proofErr w:type="spellStart"/>
            <w:r w:rsidRPr="000D3879">
              <w:rPr>
                <w:lang w:val="da-DK"/>
              </w:rPr>
              <w:t>nævus</w:t>
            </w:r>
            <w:proofErr w:type="spellEnd"/>
            <w:r w:rsidRPr="000D3879">
              <w:rPr>
                <w:lang w:val="da-DK"/>
              </w:rPr>
              <w:t>, basalcellepapillom, hudpapillom</w:t>
            </w:r>
          </w:p>
        </w:tc>
      </w:tr>
      <w:tr w:rsidR="00772D05" w:rsidRPr="000D3879" w14:paraId="4AA46B70" w14:textId="77777777" w:rsidTr="000D3879">
        <w:trPr>
          <w:trHeight w:val="885"/>
        </w:trPr>
        <w:tc>
          <w:tcPr>
            <w:tcW w:w="2387" w:type="dxa"/>
            <w:tcBorders>
              <w:top w:val="single" w:sz="4" w:space="0" w:color="000000"/>
              <w:left w:val="single" w:sz="4" w:space="0" w:color="000000"/>
              <w:right w:val="single" w:sz="4" w:space="0" w:color="000000"/>
            </w:tcBorders>
            <w:hideMark/>
          </w:tcPr>
          <w:p w14:paraId="1B66B605" w14:textId="64035629" w:rsidR="00AE3725" w:rsidRPr="000D3879" w:rsidRDefault="00AE3725" w:rsidP="00772D05">
            <w:pPr>
              <w:pStyle w:val="TableParagraph"/>
              <w:spacing w:line="256" w:lineRule="auto"/>
              <w:ind w:right="27"/>
              <w:rPr>
                <w:highlight w:val="green"/>
                <w:lang w:val="da-DK"/>
              </w:rPr>
            </w:pPr>
            <w:r w:rsidRPr="000D3879">
              <w:rPr>
                <w:lang w:val="da-DK"/>
              </w:rPr>
              <w:t>Blod- og lymfesystem</w:t>
            </w:r>
          </w:p>
        </w:tc>
        <w:tc>
          <w:tcPr>
            <w:tcW w:w="1436" w:type="dxa"/>
            <w:tcBorders>
              <w:top w:val="single" w:sz="4" w:space="0" w:color="000000"/>
              <w:left w:val="single" w:sz="4" w:space="0" w:color="000000"/>
              <w:bottom w:val="single" w:sz="4" w:space="0" w:color="000000"/>
              <w:right w:val="single" w:sz="4" w:space="0" w:color="000000"/>
            </w:tcBorders>
          </w:tcPr>
          <w:p w14:paraId="4E6195DD" w14:textId="77777777" w:rsidR="00AE3725" w:rsidRPr="000D3879" w:rsidRDefault="00AE3725"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10BF1408" w14:textId="77777777" w:rsidR="00AE3725" w:rsidRPr="000D3879" w:rsidRDefault="00AE3725" w:rsidP="00772D05">
            <w:pPr>
              <w:ind w:left="65" w:right="27"/>
              <w:rPr>
                <w:sz w:val="22"/>
                <w:szCs w:val="22"/>
                <w:highlight w:val="green"/>
              </w:rPr>
            </w:pPr>
          </w:p>
        </w:tc>
        <w:tc>
          <w:tcPr>
            <w:tcW w:w="2358" w:type="dxa"/>
            <w:tcBorders>
              <w:top w:val="single" w:sz="4" w:space="0" w:color="000000"/>
              <w:left w:val="single" w:sz="4" w:space="0" w:color="000000"/>
              <w:right w:val="single" w:sz="4" w:space="0" w:color="000000"/>
            </w:tcBorders>
            <w:hideMark/>
          </w:tcPr>
          <w:p w14:paraId="0D703B18" w14:textId="1AC7B15C" w:rsidR="00AE3725" w:rsidRPr="000D3879" w:rsidRDefault="00AE3725" w:rsidP="00772D05">
            <w:pPr>
              <w:pStyle w:val="TableParagraph"/>
              <w:spacing w:line="256" w:lineRule="auto"/>
              <w:ind w:right="27"/>
              <w:rPr>
                <w:highlight w:val="green"/>
                <w:lang w:val="da-DK"/>
              </w:rPr>
            </w:pPr>
            <w:r w:rsidRPr="000D3879">
              <w:rPr>
                <w:lang w:val="da-DK"/>
              </w:rPr>
              <w:t xml:space="preserve">Blodmangel, </w:t>
            </w:r>
            <w:proofErr w:type="spellStart"/>
            <w:r w:rsidRPr="000D3879">
              <w:rPr>
                <w:lang w:val="da-DK"/>
              </w:rPr>
              <w:t>leukopeni</w:t>
            </w:r>
            <w:proofErr w:type="spellEnd"/>
            <w:r w:rsidRPr="000D3879">
              <w:rPr>
                <w:lang w:val="da-DK"/>
              </w:rPr>
              <w:t>, erytrocytabnormitet</w:t>
            </w:r>
          </w:p>
        </w:tc>
        <w:tc>
          <w:tcPr>
            <w:tcW w:w="2520" w:type="dxa"/>
            <w:tcBorders>
              <w:top w:val="single" w:sz="4" w:space="0" w:color="000000"/>
              <w:left w:val="single" w:sz="4" w:space="0" w:color="000000"/>
              <w:right w:val="single" w:sz="4" w:space="0" w:color="000000"/>
            </w:tcBorders>
            <w:hideMark/>
          </w:tcPr>
          <w:p w14:paraId="2597C670" w14:textId="64FB163E" w:rsidR="00AE3725" w:rsidRPr="000D3879" w:rsidRDefault="00AE3725" w:rsidP="00772D05">
            <w:pPr>
              <w:pStyle w:val="TableParagraph"/>
              <w:spacing w:line="256" w:lineRule="auto"/>
              <w:ind w:right="27"/>
              <w:rPr>
                <w:highlight w:val="green"/>
                <w:lang w:val="da-DK"/>
              </w:rPr>
            </w:pPr>
            <w:proofErr w:type="spellStart"/>
            <w:r w:rsidRPr="000D3879">
              <w:rPr>
                <w:lang w:val="da-DK"/>
              </w:rPr>
              <w:t>Eosinofili</w:t>
            </w:r>
            <w:proofErr w:type="spellEnd"/>
            <w:r w:rsidRPr="000D3879">
              <w:rPr>
                <w:lang w:val="da-DK"/>
              </w:rPr>
              <w:t xml:space="preserve">, </w:t>
            </w:r>
            <w:proofErr w:type="spellStart"/>
            <w:r w:rsidRPr="000D3879">
              <w:rPr>
                <w:lang w:val="da-DK"/>
              </w:rPr>
              <w:t>lymfopeni</w:t>
            </w:r>
            <w:proofErr w:type="spellEnd"/>
          </w:p>
        </w:tc>
      </w:tr>
      <w:tr w:rsidR="00772D05" w:rsidRPr="000D3879" w14:paraId="2B2E5087" w14:textId="77777777" w:rsidTr="000D3879">
        <w:trPr>
          <w:trHeight w:val="1472"/>
        </w:trPr>
        <w:tc>
          <w:tcPr>
            <w:tcW w:w="2387" w:type="dxa"/>
            <w:tcBorders>
              <w:top w:val="single" w:sz="4" w:space="0" w:color="000000"/>
              <w:left w:val="single" w:sz="4" w:space="0" w:color="000000"/>
              <w:right w:val="single" w:sz="4" w:space="0" w:color="000000"/>
            </w:tcBorders>
            <w:hideMark/>
          </w:tcPr>
          <w:p w14:paraId="709DAA69" w14:textId="519A7085" w:rsidR="00AE3725" w:rsidRPr="000D3879" w:rsidRDefault="00AE3725" w:rsidP="00772D05">
            <w:pPr>
              <w:pStyle w:val="TableParagraph"/>
              <w:spacing w:line="256" w:lineRule="auto"/>
              <w:ind w:right="27"/>
              <w:rPr>
                <w:highlight w:val="green"/>
                <w:lang w:val="da-DK"/>
              </w:rPr>
            </w:pPr>
            <w:r w:rsidRPr="000D3879">
              <w:rPr>
                <w:lang w:val="da-DK"/>
              </w:rPr>
              <w:t>Metabolisme og ernæring</w:t>
            </w:r>
          </w:p>
        </w:tc>
        <w:tc>
          <w:tcPr>
            <w:tcW w:w="1436" w:type="dxa"/>
            <w:tcBorders>
              <w:top w:val="single" w:sz="4" w:space="0" w:color="000000"/>
              <w:left w:val="single" w:sz="4" w:space="0" w:color="000000"/>
              <w:bottom w:val="single" w:sz="4" w:space="0" w:color="000000"/>
              <w:right w:val="single" w:sz="4" w:space="0" w:color="000000"/>
            </w:tcBorders>
          </w:tcPr>
          <w:p w14:paraId="6B9F7953" w14:textId="77777777" w:rsidR="00AE3725" w:rsidRPr="000D3879" w:rsidRDefault="00AE3725"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5FFE56AB" w14:textId="77777777" w:rsidR="00AE3725" w:rsidRPr="000D3879" w:rsidRDefault="00AE3725" w:rsidP="00772D05">
            <w:pPr>
              <w:ind w:left="65" w:right="27"/>
              <w:rPr>
                <w:sz w:val="22"/>
                <w:szCs w:val="22"/>
                <w:highlight w:val="green"/>
              </w:rPr>
            </w:pPr>
          </w:p>
        </w:tc>
        <w:tc>
          <w:tcPr>
            <w:tcW w:w="2358" w:type="dxa"/>
            <w:tcBorders>
              <w:top w:val="single" w:sz="4" w:space="0" w:color="000000"/>
              <w:left w:val="single" w:sz="4" w:space="0" w:color="000000"/>
              <w:right w:val="single" w:sz="4" w:space="0" w:color="000000"/>
            </w:tcBorders>
            <w:hideMark/>
          </w:tcPr>
          <w:p w14:paraId="3B4FBF27" w14:textId="70D0594A" w:rsidR="00AE3725" w:rsidRPr="000D3879" w:rsidRDefault="00AE3725" w:rsidP="00772D05">
            <w:pPr>
              <w:pStyle w:val="TableParagraph"/>
              <w:spacing w:line="256" w:lineRule="auto"/>
              <w:ind w:right="27"/>
              <w:rPr>
                <w:highlight w:val="green"/>
                <w:lang w:val="da-DK"/>
              </w:rPr>
            </w:pPr>
            <w:r w:rsidRPr="000D3879">
              <w:rPr>
                <w:lang w:val="da-DK"/>
              </w:rPr>
              <w:t xml:space="preserve">Nedsat appetit, </w:t>
            </w:r>
            <w:proofErr w:type="spellStart"/>
            <w:r w:rsidRPr="000D3879">
              <w:rPr>
                <w:lang w:val="da-DK"/>
              </w:rPr>
              <w:t>hypertriglyceridæmi</w:t>
            </w:r>
            <w:proofErr w:type="spellEnd"/>
            <w:r w:rsidRPr="000D3879">
              <w:rPr>
                <w:lang w:val="da-DK"/>
              </w:rPr>
              <w:t xml:space="preserve">, øget appetit, </w:t>
            </w:r>
            <w:proofErr w:type="spellStart"/>
            <w:r w:rsidRPr="000D3879">
              <w:rPr>
                <w:lang w:val="da-DK"/>
              </w:rPr>
              <w:t>hyperkolesterolemi</w:t>
            </w:r>
            <w:proofErr w:type="spellEnd"/>
            <w:r w:rsidRPr="000D3879">
              <w:rPr>
                <w:lang w:val="da-DK"/>
              </w:rPr>
              <w:t xml:space="preserve">, </w:t>
            </w:r>
            <w:proofErr w:type="spellStart"/>
            <w:r w:rsidRPr="000D3879">
              <w:rPr>
                <w:lang w:val="da-DK"/>
              </w:rPr>
              <w:t>hyperglykæmi</w:t>
            </w:r>
            <w:proofErr w:type="spellEnd"/>
          </w:p>
        </w:tc>
        <w:tc>
          <w:tcPr>
            <w:tcW w:w="2520" w:type="dxa"/>
            <w:tcBorders>
              <w:top w:val="single" w:sz="4" w:space="0" w:color="000000"/>
              <w:left w:val="single" w:sz="4" w:space="0" w:color="000000"/>
              <w:right w:val="single" w:sz="4" w:space="0" w:color="000000"/>
            </w:tcBorders>
            <w:hideMark/>
          </w:tcPr>
          <w:p w14:paraId="7D651D9F" w14:textId="4FF5F739" w:rsidR="00AE3725" w:rsidRPr="000D3879" w:rsidRDefault="00AE3725" w:rsidP="00772D05">
            <w:pPr>
              <w:pStyle w:val="TableParagraph"/>
              <w:spacing w:line="256" w:lineRule="auto"/>
              <w:ind w:right="27"/>
              <w:rPr>
                <w:highlight w:val="green"/>
                <w:lang w:val="da-DK"/>
              </w:rPr>
            </w:pPr>
            <w:proofErr w:type="spellStart"/>
            <w:r w:rsidRPr="000D3879">
              <w:rPr>
                <w:lang w:val="da-DK"/>
              </w:rPr>
              <w:t>Kakesi</w:t>
            </w:r>
            <w:proofErr w:type="spellEnd"/>
            <w:r w:rsidRPr="000D3879">
              <w:rPr>
                <w:lang w:val="da-DK"/>
              </w:rPr>
              <w:t xml:space="preserve">, </w:t>
            </w:r>
            <w:proofErr w:type="spellStart"/>
            <w:r w:rsidRPr="000D3879">
              <w:rPr>
                <w:lang w:val="da-DK"/>
              </w:rPr>
              <w:t>hyperkaliæmi</w:t>
            </w:r>
            <w:proofErr w:type="spellEnd"/>
          </w:p>
        </w:tc>
      </w:tr>
      <w:tr w:rsidR="00772D05" w:rsidRPr="000D3879" w14:paraId="625D2EF5"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481FEDC6" w14:textId="4B0783B0" w:rsidR="004223FE" w:rsidRPr="000D3879" w:rsidRDefault="004223FE" w:rsidP="00772D05">
            <w:pPr>
              <w:pStyle w:val="TableParagraph"/>
              <w:spacing w:line="256" w:lineRule="auto"/>
              <w:ind w:right="27"/>
              <w:rPr>
                <w:highlight w:val="green"/>
                <w:lang w:val="da-DK"/>
              </w:rPr>
            </w:pPr>
            <w:r w:rsidRPr="000D3879">
              <w:rPr>
                <w:lang w:val="da-DK"/>
              </w:rPr>
              <w:lastRenderedPageBreak/>
              <w:t>Psykiske</w:t>
            </w:r>
            <w:r w:rsidR="00AE3725" w:rsidRPr="000D3879">
              <w:rPr>
                <w:lang w:val="da-DK"/>
              </w:rPr>
              <w:t xml:space="preserve"> </w:t>
            </w:r>
            <w:r w:rsidRPr="000D3879">
              <w:rPr>
                <w:lang w:val="da-DK"/>
              </w:rPr>
              <w:t>forstyrrelser</w:t>
            </w:r>
          </w:p>
        </w:tc>
        <w:tc>
          <w:tcPr>
            <w:tcW w:w="1436" w:type="dxa"/>
            <w:tcBorders>
              <w:top w:val="single" w:sz="4" w:space="0" w:color="000000"/>
              <w:left w:val="single" w:sz="4" w:space="0" w:color="000000"/>
              <w:bottom w:val="single" w:sz="4" w:space="0" w:color="000000"/>
              <w:right w:val="single" w:sz="4" w:space="0" w:color="000000"/>
            </w:tcBorders>
          </w:tcPr>
          <w:p w14:paraId="0BF18F56"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hideMark/>
          </w:tcPr>
          <w:p w14:paraId="4D1497E1" w14:textId="77777777" w:rsidR="004223FE" w:rsidRPr="000D3879" w:rsidRDefault="004223FE" w:rsidP="00772D05">
            <w:pPr>
              <w:pStyle w:val="TableParagraph"/>
              <w:spacing w:line="256" w:lineRule="auto"/>
              <w:ind w:right="27"/>
              <w:rPr>
                <w:highlight w:val="green"/>
                <w:lang w:val="da-DK"/>
              </w:rPr>
            </w:pPr>
            <w:r w:rsidRPr="000D3879">
              <w:rPr>
                <w:lang w:val="da-DK"/>
              </w:rPr>
              <w:t>Søvnløshed</w:t>
            </w:r>
          </w:p>
        </w:tc>
        <w:tc>
          <w:tcPr>
            <w:tcW w:w="2358" w:type="dxa"/>
            <w:tcBorders>
              <w:top w:val="single" w:sz="4" w:space="0" w:color="000000"/>
              <w:left w:val="single" w:sz="4" w:space="0" w:color="000000"/>
              <w:bottom w:val="single" w:sz="4" w:space="0" w:color="000000"/>
              <w:right w:val="single" w:sz="4" w:space="0" w:color="000000"/>
            </w:tcBorders>
            <w:hideMark/>
          </w:tcPr>
          <w:p w14:paraId="0940C6A9" w14:textId="6725AEEA" w:rsidR="004223FE" w:rsidRPr="000D3879" w:rsidRDefault="004223FE" w:rsidP="00772D05">
            <w:pPr>
              <w:pStyle w:val="TableParagraph"/>
              <w:spacing w:line="256" w:lineRule="auto"/>
              <w:ind w:right="27"/>
              <w:rPr>
                <w:lang w:val="da-DK"/>
              </w:rPr>
            </w:pPr>
            <w:r w:rsidRPr="000D3879">
              <w:rPr>
                <w:lang w:val="da-DK"/>
              </w:rPr>
              <w:t>Hallucinationer,</w:t>
            </w:r>
            <w:r w:rsidR="00AE3725" w:rsidRPr="000D3879">
              <w:rPr>
                <w:lang w:val="da-DK"/>
              </w:rPr>
              <w:t xml:space="preserve"> </w:t>
            </w:r>
            <w:r w:rsidRPr="000D3879">
              <w:rPr>
                <w:lang w:val="da-DK"/>
              </w:rPr>
              <w:t>depression, anormale drømme, angst, forvirringstilstand, påvirkning af labilitet, øget</w:t>
            </w:r>
            <w:r w:rsidR="00AE3725" w:rsidRPr="000D3879">
              <w:rPr>
                <w:lang w:val="da-DK"/>
              </w:rPr>
              <w:t xml:space="preserve"> </w:t>
            </w:r>
            <w:r w:rsidRPr="000D3879">
              <w:rPr>
                <w:lang w:val="da-DK"/>
              </w:rPr>
              <w:t>kønsdrift, sindslidelse,</w:t>
            </w:r>
            <w:r w:rsidR="00AE3725" w:rsidRPr="000D3879">
              <w:rPr>
                <w:lang w:val="da-DK"/>
              </w:rPr>
              <w:t xml:space="preserve"> </w:t>
            </w:r>
            <w:r w:rsidRPr="000D3879">
              <w:rPr>
                <w:lang w:val="da-DK"/>
              </w:rPr>
              <w:t>rastløshed, søvnlidelse</w:t>
            </w:r>
          </w:p>
        </w:tc>
        <w:tc>
          <w:tcPr>
            <w:tcW w:w="2520" w:type="dxa"/>
            <w:tcBorders>
              <w:top w:val="single" w:sz="4" w:space="0" w:color="000000"/>
              <w:left w:val="single" w:sz="4" w:space="0" w:color="000000"/>
              <w:bottom w:val="single" w:sz="4" w:space="0" w:color="000000"/>
              <w:right w:val="single" w:sz="4" w:space="0" w:color="000000"/>
            </w:tcBorders>
            <w:hideMark/>
          </w:tcPr>
          <w:p w14:paraId="2DC10EB0" w14:textId="27880D31" w:rsidR="004223FE" w:rsidRPr="000D3879" w:rsidRDefault="004223FE" w:rsidP="00772D05">
            <w:pPr>
              <w:pStyle w:val="TableParagraph"/>
              <w:spacing w:line="256" w:lineRule="auto"/>
              <w:ind w:right="27"/>
              <w:rPr>
                <w:highlight w:val="green"/>
                <w:lang w:val="da-DK"/>
              </w:rPr>
            </w:pPr>
            <w:proofErr w:type="spellStart"/>
            <w:r w:rsidRPr="000D3879">
              <w:rPr>
                <w:lang w:val="da-DK"/>
              </w:rPr>
              <w:t>Kompulsive</w:t>
            </w:r>
            <w:proofErr w:type="spellEnd"/>
            <w:r w:rsidR="00AE3725" w:rsidRPr="000D3879">
              <w:rPr>
                <w:lang w:val="da-DK"/>
              </w:rPr>
              <w:t xml:space="preserve"> </w:t>
            </w:r>
            <w:r w:rsidRPr="000D3879">
              <w:rPr>
                <w:lang w:val="da-DK"/>
              </w:rPr>
              <w:t>symptomer, delirium,</w:t>
            </w:r>
            <w:r w:rsidR="00AE3725" w:rsidRPr="000D3879">
              <w:rPr>
                <w:lang w:val="da-DK"/>
              </w:rPr>
              <w:t xml:space="preserve"> </w:t>
            </w:r>
            <w:r w:rsidRPr="000D3879">
              <w:rPr>
                <w:lang w:val="da-DK"/>
              </w:rPr>
              <w:t>desorientering,</w:t>
            </w:r>
            <w:r w:rsidR="00AE3725" w:rsidRPr="000D3879">
              <w:rPr>
                <w:lang w:val="da-DK"/>
              </w:rPr>
              <w:t xml:space="preserve"> </w:t>
            </w:r>
            <w:r w:rsidRPr="000D3879">
              <w:rPr>
                <w:lang w:val="da-DK"/>
              </w:rPr>
              <w:t>illusion,</w:t>
            </w:r>
            <w:r w:rsidR="00AE3725" w:rsidRPr="000D3879">
              <w:rPr>
                <w:lang w:val="da-DK"/>
              </w:rPr>
              <w:t xml:space="preserve"> </w:t>
            </w:r>
            <w:r w:rsidRPr="000D3879">
              <w:rPr>
                <w:lang w:val="da-DK"/>
              </w:rPr>
              <w:t>impulshandlinger,</w:t>
            </w:r>
            <w:r w:rsidR="00AE3725" w:rsidRPr="000D3879">
              <w:rPr>
                <w:lang w:val="da-DK"/>
              </w:rPr>
              <w:t xml:space="preserve"> </w:t>
            </w:r>
            <w:r w:rsidRPr="000D3879">
              <w:rPr>
                <w:lang w:val="da-DK"/>
              </w:rPr>
              <w:t>manglende sexlyst,</w:t>
            </w:r>
            <w:r w:rsidR="00AE3725" w:rsidRPr="000D3879">
              <w:rPr>
                <w:lang w:val="da-DK"/>
              </w:rPr>
              <w:t xml:space="preserve"> </w:t>
            </w:r>
            <w:r w:rsidRPr="000D3879">
              <w:rPr>
                <w:lang w:val="da-DK"/>
              </w:rPr>
              <w:t>tvangstanker,</w:t>
            </w:r>
            <w:r w:rsidR="00AE3725" w:rsidRPr="000D3879">
              <w:rPr>
                <w:lang w:val="da-DK"/>
              </w:rPr>
              <w:t xml:space="preserve"> </w:t>
            </w:r>
            <w:r w:rsidRPr="000D3879">
              <w:rPr>
                <w:lang w:val="da-DK"/>
              </w:rPr>
              <w:t>paranoia, præmatur</w:t>
            </w:r>
            <w:r w:rsidR="00AE3725" w:rsidRPr="000D3879">
              <w:rPr>
                <w:lang w:val="da-DK"/>
              </w:rPr>
              <w:t xml:space="preserve"> </w:t>
            </w:r>
            <w:r w:rsidRPr="000D3879">
              <w:rPr>
                <w:lang w:val="da-DK"/>
              </w:rPr>
              <w:t>ejakulation,</w:t>
            </w:r>
            <w:r w:rsidR="00AE3725" w:rsidRPr="000D3879">
              <w:rPr>
                <w:lang w:val="da-DK"/>
              </w:rPr>
              <w:t xml:space="preserve"> </w:t>
            </w:r>
            <w:r w:rsidRPr="000D3879">
              <w:rPr>
                <w:lang w:val="da-DK"/>
              </w:rPr>
              <w:t>søvnanfald,</w:t>
            </w:r>
            <w:r w:rsidR="00AE3725" w:rsidRPr="000D3879">
              <w:rPr>
                <w:lang w:val="da-DK"/>
              </w:rPr>
              <w:t xml:space="preserve"> </w:t>
            </w:r>
            <w:r w:rsidRPr="000D3879">
              <w:rPr>
                <w:lang w:val="da-DK"/>
              </w:rPr>
              <w:t>social angst,</w:t>
            </w:r>
            <w:r w:rsidR="00AE3725" w:rsidRPr="000D3879">
              <w:rPr>
                <w:lang w:val="da-DK"/>
              </w:rPr>
              <w:t xml:space="preserve"> </w:t>
            </w:r>
            <w:r w:rsidRPr="000D3879">
              <w:rPr>
                <w:lang w:val="da-DK"/>
              </w:rPr>
              <w:t>selvmordstanker</w:t>
            </w:r>
          </w:p>
        </w:tc>
      </w:tr>
      <w:tr w:rsidR="00772D05" w:rsidRPr="000D3879" w14:paraId="5EA0D335"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2BDF4F9C" w14:textId="77777777" w:rsidR="004223FE" w:rsidRPr="000D3879" w:rsidRDefault="004223FE" w:rsidP="00772D05">
            <w:pPr>
              <w:pStyle w:val="TableParagraph"/>
              <w:spacing w:line="256" w:lineRule="auto"/>
              <w:ind w:right="27"/>
              <w:rPr>
                <w:highlight w:val="green"/>
                <w:lang w:val="da-DK"/>
              </w:rPr>
            </w:pPr>
            <w:r w:rsidRPr="000D3879">
              <w:rPr>
                <w:lang w:val="da-DK"/>
              </w:rPr>
              <w:t>Nervesystemet</w:t>
            </w:r>
          </w:p>
        </w:tc>
        <w:tc>
          <w:tcPr>
            <w:tcW w:w="1436" w:type="dxa"/>
            <w:tcBorders>
              <w:top w:val="single" w:sz="4" w:space="0" w:color="000000"/>
              <w:left w:val="single" w:sz="4" w:space="0" w:color="000000"/>
              <w:bottom w:val="single" w:sz="4" w:space="0" w:color="000000"/>
              <w:right w:val="single" w:sz="4" w:space="0" w:color="000000"/>
            </w:tcBorders>
          </w:tcPr>
          <w:p w14:paraId="30FDEF03"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hideMark/>
          </w:tcPr>
          <w:p w14:paraId="54C9989D" w14:textId="211CC9FF" w:rsidR="004223FE" w:rsidRPr="000D3879" w:rsidRDefault="004223FE" w:rsidP="00772D05">
            <w:pPr>
              <w:pStyle w:val="TableParagraph"/>
              <w:spacing w:line="256" w:lineRule="auto"/>
              <w:ind w:right="27"/>
              <w:rPr>
                <w:highlight w:val="green"/>
                <w:lang w:val="da-DK"/>
              </w:rPr>
            </w:pPr>
            <w:r w:rsidRPr="000D3879">
              <w:rPr>
                <w:lang w:val="da-DK"/>
              </w:rPr>
              <w:t>Bevægeforstyrrelser,</w:t>
            </w:r>
            <w:r w:rsidR="00AE3725" w:rsidRPr="000D3879">
              <w:rPr>
                <w:lang w:val="da-DK"/>
              </w:rPr>
              <w:t xml:space="preserve"> </w:t>
            </w:r>
            <w:proofErr w:type="spellStart"/>
            <w:r w:rsidRPr="000D3879">
              <w:rPr>
                <w:lang w:val="da-DK"/>
              </w:rPr>
              <w:t>somnolens</w:t>
            </w:r>
            <w:proofErr w:type="spellEnd"/>
            <w:r w:rsidRPr="000D3879">
              <w:rPr>
                <w:lang w:val="da-DK"/>
              </w:rPr>
              <w:t>,</w:t>
            </w:r>
            <w:r w:rsidR="00AE3725" w:rsidRPr="000D3879">
              <w:rPr>
                <w:lang w:val="da-DK"/>
              </w:rPr>
              <w:t xml:space="preserve"> </w:t>
            </w:r>
            <w:r w:rsidRPr="000D3879">
              <w:rPr>
                <w:lang w:val="da-DK"/>
              </w:rPr>
              <w:t>svimmelhed,</w:t>
            </w:r>
            <w:r w:rsidR="00AE3725" w:rsidRPr="000D3879">
              <w:rPr>
                <w:lang w:val="da-DK"/>
              </w:rPr>
              <w:t xml:space="preserve"> </w:t>
            </w:r>
            <w:r w:rsidRPr="000D3879">
              <w:rPr>
                <w:lang w:val="da-DK"/>
              </w:rPr>
              <w:t>hovedpine,</w:t>
            </w:r>
            <w:r w:rsidR="00AE3725" w:rsidRPr="000D3879">
              <w:rPr>
                <w:lang w:val="da-DK"/>
              </w:rPr>
              <w:t xml:space="preserve"> </w:t>
            </w:r>
            <w:r w:rsidRPr="000D3879">
              <w:rPr>
                <w:lang w:val="da-DK"/>
              </w:rPr>
              <w:t>Parkinsons</w:t>
            </w:r>
            <w:r w:rsidR="00AE3725" w:rsidRPr="000D3879">
              <w:rPr>
                <w:lang w:val="da-DK"/>
              </w:rPr>
              <w:t xml:space="preserve"> </w:t>
            </w:r>
            <w:r w:rsidRPr="000D3879">
              <w:rPr>
                <w:lang w:val="da-DK"/>
              </w:rPr>
              <w:t>sygdom</w:t>
            </w:r>
          </w:p>
        </w:tc>
        <w:tc>
          <w:tcPr>
            <w:tcW w:w="2358" w:type="dxa"/>
            <w:tcBorders>
              <w:top w:val="single" w:sz="4" w:space="0" w:color="000000"/>
              <w:left w:val="single" w:sz="4" w:space="0" w:color="000000"/>
              <w:bottom w:val="single" w:sz="4" w:space="0" w:color="000000"/>
              <w:right w:val="single" w:sz="4" w:space="0" w:color="000000"/>
            </w:tcBorders>
            <w:hideMark/>
          </w:tcPr>
          <w:p w14:paraId="7D5E07C5" w14:textId="43E68012" w:rsidR="004223FE" w:rsidRPr="000D3879" w:rsidRDefault="004223FE" w:rsidP="00772D05">
            <w:pPr>
              <w:pStyle w:val="TableParagraph"/>
              <w:spacing w:line="256" w:lineRule="auto"/>
              <w:ind w:right="27"/>
              <w:rPr>
                <w:highlight w:val="green"/>
                <w:lang w:val="da-DK"/>
              </w:rPr>
            </w:pPr>
            <w:proofErr w:type="spellStart"/>
            <w:r w:rsidRPr="000D3879">
              <w:rPr>
                <w:lang w:val="da-DK"/>
              </w:rPr>
              <w:t>Paræstesi</w:t>
            </w:r>
            <w:proofErr w:type="spellEnd"/>
            <w:r w:rsidRPr="000D3879">
              <w:rPr>
                <w:lang w:val="da-DK"/>
              </w:rPr>
              <w:t>,</w:t>
            </w:r>
            <w:r w:rsidR="00AE3725" w:rsidRPr="000D3879">
              <w:rPr>
                <w:lang w:val="da-DK"/>
              </w:rPr>
              <w:t xml:space="preserve"> b</w:t>
            </w:r>
            <w:r w:rsidRPr="000D3879">
              <w:rPr>
                <w:lang w:val="da-DK"/>
              </w:rPr>
              <w:t xml:space="preserve">alancesygdomme, </w:t>
            </w:r>
            <w:proofErr w:type="spellStart"/>
            <w:r w:rsidRPr="000D3879">
              <w:rPr>
                <w:lang w:val="da-DK"/>
              </w:rPr>
              <w:t>hypoæstesi</w:t>
            </w:r>
            <w:proofErr w:type="spellEnd"/>
            <w:r w:rsidRPr="000D3879">
              <w:rPr>
                <w:lang w:val="da-DK"/>
              </w:rPr>
              <w:t xml:space="preserve">, </w:t>
            </w:r>
            <w:proofErr w:type="spellStart"/>
            <w:r w:rsidRPr="000D3879">
              <w:rPr>
                <w:lang w:val="da-DK"/>
              </w:rPr>
              <w:t>dystoni</w:t>
            </w:r>
            <w:proofErr w:type="spellEnd"/>
            <w:r w:rsidRPr="000D3879">
              <w:rPr>
                <w:lang w:val="da-DK"/>
              </w:rPr>
              <w:t>,</w:t>
            </w:r>
            <w:r w:rsidR="00AE3725" w:rsidRPr="000D3879">
              <w:rPr>
                <w:lang w:val="da-DK"/>
              </w:rPr>
              <w:t xml:space="preserve"> </w:t>
            </w:r>
            <w:r w:rsidRPr="000D3879">
              <w:rPr>
                <w:lang w:val="da-DK"/>
              </w:rPr>
              <w:t>gener i hovedet,</w:t>
            </w:r>
            <w:r w:rsidR="00AE3725" w:rsidRPr="000D3879">
              <w:rPr>
                <w:lang w:val="da-DK"/>
              </w:rPr>
              <w:t xml:space="preserve"> </w:t>
            </w:r>
            <w:proofErr w:type="spellStart"/>
            <w:r w:rsidRPr="000D3879">
              <w:rPr>
                <w:lang w:val="da-DK"/>
              </w:rPr>
              <w:t>dysartri</w:t>
            </w:r>
            <w:proofErr w:type="spellEnd"/>
            <w:r w:rsidRPr="000D3879">
              <w:rPr>
                <w:lang w:val="da-DK"/>
              </w:rPr>
              <w:t>, besvimelse,</w:t>
            </w:r>
            <w:r w:rsidR="00AE3725" w:rsidRPr="000D3879">
              <w:rPr>
                <w:lang w:val="da-DK"/>
              </w:rPr>
              <w:t xml:space="preserve"> </w:t>
            </w:r>
            <w:r w:rsidRPr="000D3879">
              <w:rPr>
                <w:lang w:val="da-DK"/>
              </w:rPr>
              <w:t>kognitiv forstyrrelse</w:t>
            </w:r>
          </w:p>
        </w:tc>
        <w:tc>
          <w:tcPr>
            <w:tcW w:w="2520" w:type="dxa"/>
            <w:tcBorders>
              <w:top w:val="single" w:sz="4" w:space="0" w:color="000000"/>
              <w:left w:val="single" w:sz="4" w:space="0" w:color="000000"/>
              <w:bottom w:val="single" w:sz="4" w:space="0" w:color="000000"/>
              <w:right w:val="single" w:sz="4" w:space="0" w:color="000000"/>
            </w:tcBorders>
            <w:hideMark/>
          </w:tcPr>
          <w:p w14:paraId="6BB6CB44" w14:textId="41653F48" w:rsidR="004223FE" w:rsidRPr="000D3879" w:rsidRDefault="004223FE" w:rsidP="00772D05">
            <w:pPr>
              <w:pStyle w:val="TableParagraph"/>
              <w:spacing w:line="256" w:lineRule="auto"/>
              <w:ind w:right="27"/>
              <w:rPr>
                <w:highlight w:val="green"/>
                <w:lang w:val="da-DK"/>
              </w:rPr>
            </w:pPr>
            <w:proofErr w:type="spellStart"/>
            <w:r w:rsidRPr="000D3879">
              <w:rPr>
                <w:lang w:val="da-DK"/>
              </w:rPr>
              <w:t>Abnormal</w:t>
            </w:r>
            <w:proofErr w:type="spellEnd"/>
            <w:r w:rsidR="00AE3725" w:rsidRPr="000D3879">
              <w:rPr>
                <w:lang w:val="da-DK"/>
              </w:rPr>
              <w:t xml:space="preserve"> </w:t>
            </w:r>
            <w:r w:rsidRPr="000D3879">
              <w:rPr>
                <w:lang w:val="da-DK"/>
              </w:rPr>
              <w:t>koordinationsevne,</w:t>
            </w:r>
            <w:r w:rsidR="00AE3725" w:rsidRPr="000D3879">
              <w:rPr>
                <w:lang w:val="da-DK"/>
              </w:rPr>
              <w:t xml:space="preserve"> </w:t>
            </w:r>
            <w:r w:rsidRPr="000D3879">
              <w:rPr>
                <w:lang w:val="da-DK"/>
              </w:rPr>
              <w:t>opmærksomhedsfo</w:t>
            </w:r>
            <w:r w:rsidR="00772D05" w:rsidRPr="000D3879">
              <w:rPr>
                <w:lang w:val="da-DK"/>
              </w:rPr>
              <w:t>r</w:t>
            </w:r>
            <w:r w:rsidRPr="000D3879">
              <w:rPr>
                <w:lang w:val="da-DK"/>
              </w:rPr>
              <w:t>styrrelse,</w:t>
            </w:r>
            <w:r w:rsidR="00772D05" w:rsidRPr="000D3879">
              <w:rPr>
                <w:lang w:val="da-DK"/>
              </w:rPr>
              <w:t xml:space="preserve"> </w:t>
            </w:r>
            <w:r w:rsidRPr="000D3879">
              <w:rPr>
                <w:lang w:val="da-DK"/>
              </w:rPr>
              <w:t>smagsforstyrrelse,</w:t>
            </w:r>
            <w:r w:rsidR="00772D05" w:rsidRPr="000D3879">
              <w:rPr>
                <w:lang w:val="da-DK"/>
              </w:rPr>
              <w:t xml:space="preserve"> </w:t>
            </w:r>
            <w:proofErr w:type="spellStart"/>
            <w:r w:rsidRPr="000D3879">
              <w:rPr>
                <w:lang w:val="da-DK"/>
              </w:rPr>
              <w:t>hyporefleksi</w:t>
            </w:r>
            <w:proofErr w:type="spellEnd"/>
            <w:r w:rsidRPr="000D3879">
              <w:rPr>
                <w:lang w:val="da-DK"/>
              </w:rPr>
              <w:t>,</w:t>
            </w:r>
            <w:r w:rsidR="00772D05" w:rsidRPr="000D3879">
              <w:rPr>
                <w:lang w:val="da-DK"/>
              </w:rPr>
              <w:t xml:space="preserve"> </w:t>
            </w:r>
            <w:proofErr w:type="spellStart"/>
            <w:r w:rsidRPr="000D3879">
              <w:rPr>
                <w:lang w:val="da-DK"/>
              </w:rPr>
              <w:t>radikulær</w:t>
            </w:r>
            <w:proofErr w:type="spellEnd"/>
            <w:r w:rsidRPr="000D3879">
              <w:rPr>
                <w:lang w:val="da-DK"/>
              </w:rPr>
              <w:t xml:space="preserve"> smerte, uro</w:t>
            </w:r>
            <w:r w:rsidR="00772D05" w:rsidRPr="000D3879">
              <w:rPr>
                <w:lang w:val="da-DK"/>
              </w:rPr>
              <w:t xml:space="preserve"> </w:t>
            </w:r>
            <w:r w:rsidRPr="000D3879">
              <w:rPr>
                <w:lang w:val="da-DK"/>
              </w:rPr>
              <w:t>i benene, bedøvelse</w:t>
            </w:r>
          </w:p>
        </w:tc>
      </w:tr>
      <w:tr w:rsidR="00772D05" w:rsidRPr="000D3879" w14:paraId="40FE9224"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5AD37A7C" w14:textId="77777777" w:rsidR="004223FE" w:rsidRPr="000D3879" w:rsidRDefault="004223FE" w:rsidP="00772D05">
            <w:pPr>
              <w:pStyle w:val="TableParagraph"/>
              <w:spacing w:line="256" w:lineRule="auto"/>
              <w:ind w:right="27"/>
              <w:rPr>
                <w:highlight w:val="green"/>
                <w:lang w:val="da-DK"/>
              </w:rPr>
            </w:pPr>
            <w:r w:rsidRPr="000D3879">
              <w:rPr>
                <w:lang w:val="da-DK"/>
              </w:rPr>
              <w:t>Øjne</w:t>
            </w:r>
          </w:p>
        </w:tc>
        <w:tc>
          <w:tcPr>
            <w:tcW w:w="1436" w:type="dxa"/>
            <w:tcBorders>
              <w:top w:val="single" w:sz="4" w:space="0" w:color="000000"/>
              <w:left w:val="single" w:sz="4" w:space="0" w:color="000000"/>
              <w:bottom w:val="single" w:sz="4" w:space="0" w:color="000000"/>
              <w:right w:val="single" w:sz="4" w:space="0" w:color="000000"/>
            </w:tcBorders>
          </w:tcPr>
          <w:p w14:paraId="7E0EC5E7"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hideMark/>
          </w:tcPr>
          <w:p w14:paraId="17CB2D7A" w14:textId="77777777" w:rsidR="004223FE" w:rsidRPr="000D3879" w:rsidRDefault="004223FE" w:rsidP="00772D05">
            <w:pPr>
              <w:pStyle w:val="TableParagraph"/>
              <w:spacing w:line="256" w:lineRule="auto"/>
              <w:ind w:right="27"/>
              <w:rPr>
                <w:highlight w:val="green"/>
                <w:lang w:val="da-DK"/>
              </w:rPr>
            </w:pPr>
            <w:r w:rsidRPr="000D3879">
              <w:rPr>
                <w:lang w:val="da-DK"/>
              </w:rPr>
              <w:t>Grå stær</w:t>
            </w:r>
          </w:p>
        </w:tc>
        <w:tc>
          <w:tcPr>
            <w:tcW w:w="2358" w:type="dxa"/>
            <w:tcBorders>
              <w:top w:val="single" w:sz="4" w:space="0" w:color="000000"/>
              <w:left w:val="single" w:sz="4" w:space="0" w:color="000000"/>
              <w:bottom w:val="single" w:sz="4" w:space="0" w:color="000000"/>
              <w:right w:val="single" w:sz="4" w:space="0" w:color="000000"/>
            </w:tcBorders>
            <w:hideMark/>
          </w:tcPr>
          <w:p w14:paraId="1A050E18" w14:textId="35998713" w:rsidR="004223FE" w:rsidRPr="000D3879" w:rsidRDefault="004223FE" w:rsidP="00772D05">
            <w:pPr>
              <w:pStyle w:val="TableParagraph"/>
              <w:spacing w:line="256" w:lineRule="auto"/>
              <w:ind w:right="27"/>
              <w:rPr>
                <w:highlight w:val="green"/>
                <w:lang w:val="da-DK"/>
              </w:rPr>
            </w:pPr>
            <w:r w:rsidRPr="000D3879">
              <w:rPr>
                <w:lang w:val="da-DK"/>
              </w:rPr>
              <w:t xml:space="preserve">Sløret syn, </w:t>
            </w:r>
            <w:proofErr w:type="spellStart"/>
            <w:r w:rsidRPr="000D3879">
              <w:rPr>
                <w:lang w:val="da-DK"/>
              </w:rPr>
              <w:t>skotom</w:t>
            </w:r>
            <w:proofErr w:type="spellEnd"/>
            <w:r w:rsidRPr="000D3879">
              <w:rPr>
                <w:lang w:val="da-DK"/>
              </w:rPr>
              <w:t>,</w:t>
            </w:r>
            <w:r w:rsidR="00772D05" w:rsidRPr="000D3879">
              <w:rPr>
                <w:lang w:val="da-DK"/>
              </w:rPr>
              <w:t xml:space="preserve"> </w:t>
            </w:r>
            <w:r w:rsidRPr="000D3879">
              <w:rPr>
                <w:lang w:val="da-DK"/>
              </w:rPr>
              <w:t>dobbeltsyn, lysskyhed,</w:t>
            </w:r>
            <w:r w:rsidR="00772D05" w:rsidRPr="000D3879">
              <w:rPr>
                <w:lang w:val="da-DK"/>
              </w:rPr>
              <w:t xml:space="preserve"> </w:t>
            </w:r>
            <w:r w:rsidRPr="000D3879">
              <w:rPr>
                <w:lang w:val="da-DK"/>
              </w:rPr>
              <w:t>nethindesygdomme,</w:t>
            </w:r>
            <w:r w:rsidR="00772D05" w:rsidRPr="000D3879">
              <w:rPr>
                <w:lang w:val="da-DK"/>
              </w:rPr>
              <w:t xml:space="preserve"> </w:t>
            </w:r>
            <w:r w:rsidRPr="000D3879">
              <w:rPr>
                <w:lang w:val="da-DK"/>
              </w:rPr>
              <w:t>øjenkatar, grøn stær</w:t>
            </w:r>
          </w:p>
        </w:tc>
        <w:tc>
          <w:tcPr>
            <w:tcW w:w="2520" w:type="dxa"/>
            <w:tcBorders>
              <w:top w:val="single" w:sz="4" w:space="0" w:color="000000"/>
              <w:left w:val="single" w:sz="4" w:space="0" w:color="000000"/>
              <w:bottom w:val="single" w:sz="4" w:space="0" w:color="000000"/>
              <w:right w:val="single" w:sz="4" w:space="0" w:color="000000"/>
            </w:tcBorders>
            <w:hideMark/>
          </w:tcPr>
          <w:p w14:paraId="5D37CE9F" w14:textId="6A162FB0" w:rsidR="004223FE" w:rsidRPr="000D3879" w:rsidRDefault="004223FE" w:rsidP="00772D05">
            <w:pPr>
              <w:pStyle w:val="TableParagraph"/>
              <w:spacing w:line="256" w:lineRule="auto"/>
              <w:ind w:right="27"/>
              <w:rPr>
                <w:lang w:val="da-DK"/>
              </w:rPr>
            </w:pPr>
            <w:proofErr w:type="spellStart"/>
            <w:r w:rsidRPr="000D3879">
              <w:rPr>
                <w:lang w:val="da-DK"/>
              </w:rPr>
              <w:t>Svagsynethed</w:t>
            </w:r>
            <w:proofErr w:type="spellEnd"/>
            <w:r w:rsidRPr="000D3879">
              <w:rPr>
                <w:lang w:val="da-DK"/>
              </w:rPr>
              <w:t xml:space="preserve">, </w:t>
            </w:r>
            <w:proofErr w:type="spellStart"/>
            <w:r w:rsidRPr="000D3879">
              <w:rPr>
                <w:lang w:val="da-DK"/>
              </w:rPr>
              <w:t>kromatopsi</w:t>
            </w:r>
            <w:proofErr w:type="spellEnd"/>
            <w:r w:rsidRPr="000D3879">
              <w:rPr>
                <w:lang w:val="da-DK"/>
              </w:rPr>
              <w:t>, diabetisk</w:t>
            </w:r>
            <w:r w:rsidR="00772D05" w:rsidRPr="000D3879">
              <w:rPr>
                <w:lang w:val="da-DK"/>
              </w:rPr>
              <w:t xml:space="preserve"> </w:t>
            </w:r>
            <w:r w:rsidRPr="000D3879">
              <w:rPr>
                <w:lang w:val="da-DK"/>
              </w:rPr>
              <w:t xml:space="preserve">øjensygdom, </w:t>
            </w:r>
            <w:proofErr w:type="spellStart"/>
            <w:r w:rsidRPr="000D3879">
              <w:rPr>
                <w:lang w:val="da-DK"/>
              </w:rPr>
              <w:t>rødsyn</w:t>
            </w:r>
            <w:proofErr w:type="spellEnd"/>
            <w:r w:rsidRPr="000D3879">
              <w:rPr>
                <w:lang w:val="da-DK"/>
              </w:rPr>
              <w:t>,</w:t>
            </w:r>
            <w:r w:rsidR="00772D05" w:rsidRPr="000D3879">
              <w:rPr>
                <w:lang w:val="da-DK"/>
              </w:rPr>
              <w:t xml:space="preserve"> </w:t>
            </w:r>
            <w:r w:rsidRPr="000D3879">
              <w:rPr>
                <w:lang w:val="da-DK"/>
              </w:rPr>
              <w:t>øjenblødning,</w:t>
            </w:r>
            <w:r w:rsidR="00772D05" w:rsidRPr="000D3879">
              <w:rPr>
                <w:lang w:val="da-DK"/>
              </w:rPr>
              <w:t xml:space="preserve"> </w:t>
            </w:r>
            <w:r w:rsidRPr="000D3879">
              <w:rPr>
                <w:lang w:val="da-DK"/>
              </w:rPr>
              <w:t>øjensmerter,</w:t>
            </w:r>
            <w:r w:rsidR="00772D05" w:rsidRPr="000D3879">
              <w:rPr>
                <w:lang w:val="da-DK"/>
              </w:rPr>
              <w:t xml:space="preserve"> </w:t>
            </w:r>
            <w:r w:rsidRPr="000D3879">
              <w:rPr>
                <w:lang w:val="da-DK"/>
              </w:rPr>
              <w:t>øjenlågsødem,</w:t>
            </w:r>
            <w:r w:rsidR="00772D05" w:rsidRPr="000D3879">
              <w:rPr>
                <w:lang w:val="da-DK"/>
              </w:rPr>
              <w:t xml:space="preserve"> </w:t>
            </w:r>
            <w:proofErr w:type="spellStart"/>
            <w:r w:rsidRPr="000D3879">
              <w:rPr>
                <w:lang w:val="da-DK"/>
              </w:rPr>
              <w:t>langsynethed</w:t>
            </w:r>
            <w:proofErr w:type="spellEnd"/>
            <w:r w:rsidRPr="000D3879">
              <w:rPr>
                <w:lang w:val="da-DK"/>
              </w:rPr>
              <w:t>,</w:t>
            </w:r>
            <w:r w:rsidR="00772D05" w:rsidRPr="000D3879">
              <w:rPr>
                <w:lang w:val="da-DK"/>
              </w:rPr>
              <w:t xml:space="preserve"> </w:t>
            </w:r>
            <w:r w:rsidRPr="000D3879">
              <w:rPr>
                <w:lang w:val="da-DK"/>
              </w:rPr>
              <w:t>hornhindebetændelse, forøget tåresekretion,</w:t>
            </w:r>
            <w:r w:rsidR="00772D05" w:rsidRPr="000D3879">
              <w:rPr>
                <w:lang w:val="da-DK"/>
              </w:rPr>
              <w:t xml:space="preserve"> </w:t>
            </w:r>
            <w:r w:rsidRPr="000D3879">
              <w:rPr>
                <w:lang w:val="da-DK"/>
              </w:rPr>
              <w:t xml:space="preserve">natteblindhed, optisk ødem, </w:t>
            </w:r>
            <w:proofErr w:type="spellStart"/>
            <w:r w:rsidRPr="000D3879">
              <w:rPr>
                <w:lang w:val="da-DK"/>
              </w:rPr>
              <w:t>presbyopi</w:t>
            </w:r>
            <w:proofErr w:type="spellEnd"/>
            <w:r w:rsidRPr="000D3879">
              <w:rPr>
                <w:lang w:val="da-DK"/>
              </w:rPr>
              <w:t>, skelen</w:t>
            </w:r>
          </w:p>
        </w:tc>
      </w:tr>
      <w:tr w:rsidR="00772D05" w:rsidRPr="000D3879" w14:paraId="1E2FEACF"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01393A89" w14:textId="77777777" w:rsidR="004223FE" w:rsidRPr="000D3879" w:rsidRDefault="004223FE" w:rsidP="00772D05">
            <w:pPr>
              <w:pStyle w:val="TableParagraph"/>
              <w:spacing w:line="256" w:lineRule="auto"/>
              <w:ind w:right="27"/>
              <w:rPr>
                <w:highlight w:val="green"/>
                <w:lang w:val="da-DK"/>
              </w:rPr>
            </w:pPr>
            <w:r w:rsidRPr="000D3879">
              <w:rPr>
                <w:lang w:val="da-DK"/>
              </w:rPr>
              <w:t>Øre og labyrint</w:t>
            </w:r>
          </w:p>
        </w:tc>
        <w:tc>
          <w:tcPr>
            <w:tcW w:w="1436" w:type="dxa"/>
            <w:tcBorders>
              <w:top w:val="single" w:sz="4" w:space="0" w:color="000000"/>
              <w:left w:val="single" w:sz="4" w:space="0" w:color="000000"/>
              <w:bottom w:val="single" w:sz="4" w:space="0" w:color="000000"/>
              <w:right w:val="single" w:sz="4" w:space="0" w:color="000000"/>
            </w:tcBorders>
          </w:tcPr>
          <w:p w14:paraId="0B8749E1"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6029E161" w14:textId="77777777" w:rsidR="004223FE" w:rsidRPr="000D3879" w:rsidRDefault="004223FE" w:rsidP="00772D05">
            <w:pPr>
              <w:ind w:left="65" w:right="27"/>
              <w:rPr>
                <w:sz w:val="22"/>
                <w:szCs w:val="22"/>
                <w:highlight w:val="green"/>
              </w:rPr>
            </w:pPr>
          </w:p>
        </w:tc>
        <w:tc>
          <w:tcPr>
            <w:tcW w:w="2358" w:type="dxa"/>
            <w:tcBorders>
              <w:top w:val="single" w:sz="4" w:space="0" w:color="000000"/>
              <w:left w:val="single" w:sz="4" w:space="0" w:color="000000"/>
              <w:bottom w:val="single" w:sz="4" w:space="0" w:color="000000"/>
              <w:right w:val="single" w:sz="4" w:space="0" w:color="000000"/>
            </w:tcBorders>
            <w:hideMark/>
          </w:tcPr>
          <w:p w14:paraId="41B824C3" w14:textId="77777777" w:rsidR="004223FE" w:rsidRPr="000D3879" w:rsidRDefault="004223FE" w:rsidP="00772D05">
            <w:pPr>
              <w:pStyle w:val="TableParagraph"/>
              <w:spacing w:line="256" w:lineRule="auto"/>
              <w:ind w:right="27"/>
              <w:rPr>
                <w:highlight w:val="green"/>
                <w:lang w:val="da-DK"/>
              </w:rPr>
            </w:pPr>
            <w:r w:rsidRPr="000D3879">
              <w:rPr>
                <w:lang w:val="da-DK"/>
              </w:rPr>
              <w:t>Svimmelhed</w:t>
            </w:r>
          </w:p>
        </w:tc>
        <w:tc>
          <w:tcPr>
            <w:tcW w:w="2520" w:type="dxa"/>
            <w:tcBorders>
              <w:top w:val="single" w:sz="4" w:space="0" w:color="000000"/>
              <w:left w:val="single" w:sz="4" w:space="0" w:color="000000"/>
              <w:bottom w:val="single" w:sz="4" w:space="0" w:color="000000"/>
              <w:right w:val="single" w:sz="4" w:space="0" w:color="000000"/>
            </w:tcBorders>
          </w:tcPr>
          <w:p w14:paraId="506718D1" w14:textId="77777777" w:rsidR="004223FE" w:rsidRPr="000D3879" w:rsidRDefault="004223FE" w:rsidP="00772D05">
            <w:pPr>
              <w:ind w:left="65" w:right="27"/>
              <w:rPr>
                <w:sz w:val="22"/>
                <w:szCs w:val="22"/>
                <w:highlight w:val="green"/>
              </w:rPr>
            </w:pPr>
          </w:p>
        </w:tc>
      </w:tr>
      <w:tr w:rsidR="00772D05" w:rsidRPr="000D3879" w14:paraId="32E313E4"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2F4FDBB8" w14:textId="77777777" w:rsidR="004223FE" w:rsidRPr="000D3879" w:rsidRDefault="004223FE" w:rsidP="00772D05">
            <w:pPr>
              <w:pStyle w:val="TableParagraph"/>
              <w:spacing w:line="256" w:lineRule="auto"/>
              <w:ind w:right="27"/>
              <w:rPr>
                <w:highlight w:val="green"/>
                <w:lang w:val="da-DK"/>
              </w:rPr>
            </w:pPr>
            <w:r w:rsidRPr="000D3879">
              <w:rPr>
                <w:lang w:val="da-DK"/>
              </w:rPr>
              <w:t>Hjerte</w:t>
            </w:r>
          </w:p>
        </w:tc>
        <w:tc>
          <w:tcPr>
            <w:tcW w:w="1436" w:type="dxa"/>
            <w:tcBorders>
              <w:top w:val="single" w:sz="4" w:space="0" w:color="000000"/>
              <w:left w:val="single" w:sz="4" w:space="0" w:color="000000"/>
              <w:bottom w:val="single" w:sz="4" w:space="0" w:color="000000"/>
              <w:right w:val="single" w:sz="4" w:space="0" w:color="000000"/>
            </w:tcBorders>
          </w:tcPr>
          <w:p w14:paraId="25ACF77D"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779F417C" w14:textId="77777777" w:rsidR="004223FE" w:rsidRPr="000D3879" w:rsidRDefault="004223FE" w:rsidP="00772D05">
            <w:pPr>
              <w:ind w:left="65" w:right="27"/>
              <w:rPr>
                <w:sz w:val="22"/>
                <w:szCs w:val="22"/>
                <w:highlight w:val="green"/>
              </w:rPr>
            </w:pPr>
          </w:p>
        </w:tc>
        <w:tc>
          <w:tcPr>
            <w:tcW w:w="2358" w:type="dxa"/>
            <w:tcBorders>
              <w:top w:val="single" w:sz="4" w:space="0" w:color="000000"/>
              <w:left w:val="single" w:sz="4" w:space="0" w:color="000000"/>
              <w:bottom w:val="single" w:sz="4" w:space="0" w:color="000000"/>
              <w:right w:val="single" w:sz="4" w:space="0" w:color="000000"/>
            </w:tcBorders>
            <w:hideMark/>
          </w:tcPr>
          <w:p w14:paraId="3E04F4C7" w14:textId="5792C9B7" w:rsidR="004223FE" w:rsidRPr="000D3879" w:rsidRDefault="004223FE" w:rsidP="00772D05">
            <w:pPr>
              <w:pStyle w:val="TableParagraph"/>
              <w:spacing w:line="256" w:lineRule="auto"/>
              <w:ind w:right="27"/>
              <w:rPr>
                <w:highlight w:val="green"/>
                <w:lang w:val="da-DK"/>
              </w:rPr>
            </w:pPr>
            <w:r w:rsidRPr="000D3879">
              <w:rPr>
                <w:lang w:val="da-DK"/>
              </w:rPr>
              <w:t>Hjertebanken,</w:t>
            </w:r>
            <w:r w:rsidR="00772D05" w:rsidRPr="000D3879">
              <w:rPr>
                <w:lang w:val="da-DK"/>
              </w:rPr>
              <w:t xml:space="preserve"> </w:t>
            </w:r>
            <w:proofErr w:type="spellStart"/>
            <w:r w:rsidRPr="000D3879">
              <w:rPr>
                <w:lang w:val="da-DK"/>
              </w:rPr>
              <w:t>takykardi</w:t>
            </w:r>
            <w:proofErr w:type="spellEnd"/>
            <w:r w:rsidRPr="000D3879">
              <w:rPr>
                <w:lang w:val="da-DK"/>
              </w:rPr>
              <w:t>,</w:t>
            </w:r>
            <w:r w:rsidR="00772D05" w:rsidRPr="000D3879">
              <w:rPr>
                <w:lang w:val="da-DK"/>
              </w:rPr>
              <w:t xml:space="preserve"> </w:t>
            </w:r>
            <w:r w:rsidRPr="000D3879">
              <w:rPr>
                <w:lang w:val="da-DK"/>
              </w:rPr>
              <w:t xml:space="preserve">bradykardi, </w:t>
            </w:r>
            <w:proofErr w:type="spellStart"/>
            <w:r w:rsidRPr="000D3879">
              <w:rPr>
                <w:lang w:val="da-DK"/>
              </w:rPr>
              <w:t>arytmi</w:t>
            </w:r>
            <w:proofErr w:type="spellEnd"/>
          </w:p>
        </w:tc>
        <w:tc>
          <w:tcPr>
            <w:tcW w:w="2520" w:type="dxa"/>
            <w:tcBorders>
              <w:top w:val="single" w:sz="4" w:space="0" w:color="000000"/>
              <w:left w:val="single" w:sz="4" w:space="0" w:color="000000"/>
              <w:bottom w:val="single" w:sz="4" w:space="0" w:color="000000"/>
              <w:right w:val="single" w:sz="4" w:space="0" w:color="000000"/>
            </w:tcBorders>
            <w:hideMark/>
          </w:tcPr>
          <w:p w14:paraId="5F2F4125" w14:textId="77777777" w:rsidR="004223FE" w:rsidRPr="000D3879" w:rsidRDefault="004223FE" w:rsidP="00772D05">
            <w:pPr>
              <w:pStyle w:val="TableParagraph"/>
              <w:spacing w:line="256" w:lineRule="auto"/>
              <w:ind w:right="27"/>
              <w:rPr>
                <w:highlight w:val="green"/>
                <w:lang w:val="da-DK"/>
              </w:rPr>
            </w:pPr>
            <w:r w:rsidRPr="000D3879">
              <w:rPr>
                <w:lang w:val="da-DK"/>
              </w:rPr>
              <w:t>Hjerteinfarkt</w:t>
            </w:r>
          </w:p>
        </w:tc>
      </w:tr>
      <w:tr w:rsidR="00772D05" w:rsidRPr="000D3879" w14:paraId="3EB88010"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391BB3B6" w14:textId="11381978" w:rsidR="004223FE" w:rsidRPr="000D3879" w:rsidRDefault="004223FE" w:rsidP="00772D05">
            <w:pPr>
              <w:pStyle w:val="TableParagraph"/>
              <w:spacing w:line="256" w:lineRule="auto"/>
              <w:ind w:right="27"/>
              <w:rPr>
                <w:highlight w:val="green"/>
                <w:lang w:val="da-DK"/>
              </w:rPr>
            </w:pPr>
            <w:proofErr w:type="spellStart"/>
            <w:r w:rsidRPr="000D3879">
              <w:rPr>
                <w:lang w:val="da-DK"/>
              </w:rPr>
              <w:t>Vaskulære</w:t>
            </w:r>
            <w:proofErr w:type="spellEnd"/>
            <w:r w:rsidR="00772D05" w:rsidRPr="000D3879">
              <w:rPr>
                <w:lang w:val="da-DK"/>
              </w:rPr>
              <w:t xml:space="preserve"> </w:t>
            </w:r>
            <w:r w:rsidRPr="000D3879">
              <w:rPr>
                <w:lang w:val="da-DK"/>
              </w:rPr>
              <w:t>sygdomme</w:t>
            </w:r>
          </w:p>
        </w:tc>
        <w:tc>
          <w:tcPr>
            <w:tcW w:w="1436" w:type="dxa"/>
            <w:tcBorders>
              <w:top w:val="single" w:sz="4" w:space="0" w:color="000000"/>
              <w:left w:val="single" w:sz="4" w:space="0" w:color="000000"/>
              <w:bottom w:val="single" w:sz="4" w:space="0" w:color="000000"/>
              <w:right w:val="single" w:sz="4" w:space="0" w:color="000000"/>
            </w:tcBorders>
          </w:tcPr>
          <w:p w14:paraId="76CA26A7"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hideMark/>
          </w:tcPr>
          <w:p w14:paraId="7A015CD2" w14:textId="497E8527" w:rsidR="004223FE" w:rsidRPr="000D3879" w:rsidRDefault="004223FE" w:rsidP="00772D05">
            <w:pPr>
              <w:pStyle w:val="TableParagraph"/>
              <w:spacing w:line="256" w:lineRule="auto"/>
              <w:ind w:right="27"/>
              <w:rPr>
                <w:highlight w:val="green"/>
                <w:lang w:val="da-DK"/>
              </w:rPr>
            </w:pPr>
            <w:proofErr w:type="spellStart"/>
            <w:r w:rsidRPr="000D3879">
              <w:rPr>
                <w:lang w:val="da-DK"/>
              </w:rPr>
              <w:t>Ortostatisk</w:t>
            </w:r>
            <w:proofErr w:type="spellEnd"/>
            <w:r w:rsidR="00772D05" w:rsidRPr="000D3879">
              <w:rPr>
                <w:lang w:val="da-DK"/>
              </w:rPr>
              <w:t xml:space="preserve"> </w:t>
            </w:r>
            <w:r w:rsidRPr="000D3879">
              <w:rPr>
                <w:lang w:val="da-DK"/>
              </w:rPr>
              <w:t>hypotension</w:t>
            </w:r>
          </w:p>
        </w:tc>
        <w:tc>
          <w:tcPr>
            <w:tcW w:w="2358" w:type="dxa"/>
            <w:tcBorders>
              <w:top w:val="single" w:sz="4" w:space="0" w:color="000000"/>
              <w:left w:val="single" w:sz="4" w:space="0" w:color="000000"/>
              <w:bottom w:val="single" w:sz="4" w:space="0" w:color="000000"/>
              <w:right w:val="single" w:sz="4" w:space="0" w:color="000000"/>
            </w:tcBorders>
            <w:hideMark/>
          </w:tcPr>
          <w:p w14:paraId="5FA94657" w14:textId="07AD375C" w:rsidR="004223FE" w:rsidRPr="000D3879" w:rsidRDefault="004223FE" w:rsidP="00772D05">
            <w:pPr>
              <w:pStyle w:val="TableParagraph"/>
              <w:spacing w:line="256" w:lineRule="auto"/>
              <w:ind w:right="27"/>
              <w:rPr>
                <w:highlight w:val="green"/>
                <w:lang w:val="da-DK"/>
              </w:rPr>
            </w:pPr>
            <w:r w:rsidRPr="000D3879">
              <w:rPr>
                <w:lang w:val="da-DK"/>
              </w:rPr>
              <w:t>Hypertensio</w:t>
            </w:r>
            <w:r w:rsidR="00AE3725" w:rsidRPr="000D3879">
              <w:rPr>
                <w:lang w:val="da-DK"/>
              </w:rPr>
              <w:t>n</w:t>
            </w:r>
            <w:r w:rsidRPr="000D3879">
              <w:rPr>
                <w:lang w:val="da-DK"/>
              </w:rPr>
              <w:t>,</w:t>
            </w:r>
            <w:r w:rsidR="00772D05" w:rsidRPr="000D3879">
              <w:rPr>
                <w:lang w:val="da-DK"/>
              </w:rPr>
              <w:t xml:space="preserve"> </w:t>
            </w:r>
            <w:r w:rsidRPr="000D3879">
              <w:rPr>
                <w:lang w:val="da-DK"/>
              </w:rPr>
              <w:t>hypotension,</w:t>
            </w:r>
            <w:r w:rsidR="00772D05" w:rsidRPr="000D3879">
              <w:rPr>
                <w:lang w:val="da-DK"/>
              </w:rPr>
              <w:t xml:space="preserve"> </w:t>
            </w:r>
            <w:r w:rsidRPr="000D3879">
              <w:rPr>
                <w:lang w:val="da-DK"/>
              </w:rPr>
              <w:t>åreknuder</w:t>
            </w:r>
          </w:p>
        </w:tc>
        <w:tc>
          <w:tcPr>
            <w:tcW w:w="2520" w:type="dxa"/>
            <w:tcBorders>
              <w:top w:val="single" w:sz="4" w:space="0" w:color="000000"/>
              <w:left w:val="single" w:sz="4" w:space="0" w:color="000000"/>
              <w:bottom w:val="single" w:sz="4" w:space="0" w:color="000000"/>
              <w:right w:val="single" w:sz="4" w:space="0" w:color="000000"/>
            </w:tcBorders>
            <w:hideMark/>
          </w:tcPr>
          <w:p w14:paraId="0C30945E" w14:textId="0C040A5C" w:rsidR="004223FE" w:rsidRPr="000D3879" w:rsidRDefault="004223FE" w:rsidP="00772D05">
            <w:pPr>
              <w:pStyle w:val="TableParagraph"/>
              <w:spacing w:line="256" w:lineRule="auto"/>
              <w:ind w:right="27"/>
              <w:rPr>
                <w:highlight w:val="green"/>
                <w:lang w:val="da-DK"/>
              </w:rPr>
            </w:pPr>
            <w:r w:rsidRPr="000D3879">
              <w:rPr>
                <w:lang w:val="da-DK"/>
              </w:rPr>
              <w:t>Arteriespasme,</w:t>
            </w:r>
            <w:r w:rsidR="00772D05" w:rsidRPr="000D3879">
              <w:rPr>
                <w:lang w:val="da-DK"/>
              </w:rPr>
              <w:t xml:space="preserve"> </w:t>
            </w:r>
            <w:r w:rsidRPr="000D3879">
              <w:rPr>
                <w:lang w:val="da-DK"/>
              </w:rPr>
              <w:t>åreforkalkning,</w:t>
            </w:r>
            <w:r w:rsidR="00772D05" w:rsidRPr="000D3879">
              <w:rPr>
                <w:lang w:val="da-DK"/>
              </w:rPr>
              <w:t xml:space="preserve"> </w:t>
            </w:r>
            <w:proofErr w:type="spellStart"/>
            <w:r w:rsidRPr="000D3879">
              <w:rPr>
                <w:lang w:val="da-DK"/>
              </w:rPr>
              <w:t>hypertensiv</w:t>
            </w:r>
            <w:proofErr w:type="spellEnd"/>
            <w:r w:rsidRPr="000D3879">
              <w:rPr>
                <w:lang w:val="da-DK"/>
              </w:rPr>
              <w:t xml:space="preserve"> krise</w:t>
            </w:r>
          </w:p>
        </w:tc>
      </w:tr>
      <w:tr w:rsidR="00772D05" w:rsidRPr="000D3879" w14:paraId="048DF23E"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27E2014A" w14:textId="18738671" w:rsidR="004223FE" w:rsidRPr="000D3879" w:rsidRDefault="004223FE" w:rsidP="00772D05">
            <w:pPr>
              <w:pStyle w:val="TableParagraph"/>
              <w:spacing w:line="256" w:lineRule="auto"/>
              <w:ind w:right="27"/>
              <w:rPr>
                <w:highlight w:val="green"/>
                <w:lang w:val="da-DK"/>
              </w:rPr>
            </w:pPr>
            <w:r w:rsidRPr="000D3879">
              <w:rPr>
                <w:lang w:val="da-DK"/>
              </w:rPr>
              <w:t>Luftveje, thorax og</w:t>
            </w:r>
            <w:r w:rsidR="00772D05" w:rsidRPr="000D3879">
              <w:rPr>
                <w:lang w:val="da-DK"/>
              </w:rPr>
              <w:t xml:space="preserve"> </w:t>
            </w:r>
            <w:proofErr w:type="spellStart"/>
            <w:r w:rsidRPr="000D3879">
              <w:rPr>
                <w:lang w:val="da-DK"/>
              </w:rPr>
              <w:t>mediastinum</w:t>
            </w:r>
            <w:proofErr w:type="spellEnd"/>
          </w:p>
        </w:tc>
        <w:tc>
          <w:tcPr>
            <w:tcW w:w="1436" w:type="dxa"/>
            <w:tcBorders>
              <w:top w:val="single" w:sz="4" w:space="0" w:color="000000"/>
              <w:left w:val="single" w:sz="4" w:space="0" w:color="000000"/>
              <w:bottom w:val="single" w:sz="4" w:space="0" w:color="000000"/>
              <w:right w:val="single" w:sz="4" w:space="0" w:color="000000"/>
            </w:tcBorders>
          </w:tcPr>
          <w:p w14:paraId="24584B07"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6A430888" w14:textId="77777777" w:rsidR="004223FE" w:rsidRPr="000D3879" w:rsidRDefault="004223FE" w:rsidP="00772D05">
            <w:pPr>
              <w:ind w:left="65" w:right="27"/>
              <w:rPr>
                <w:sz w:val="22"/>
                <w:szCs w:val="22"/>
                <w:highlight w:val="green"/>
              </w:rPr>
            </w:pPr>
          </w:p>
        </w:tc>
        <w:tc>
          <w:tcPr>
            <w:tcW w:w="2358" w:type="dxa"/>
            <w:tcBorders>
              <w:top w:val="single" w:sz="4" w:space="0" w:color="000000"/>
              <w:left w:val="single" w:sz="4" w:space="0" w:color="000000"/>
              <w:bottom w:val="single" w:sz="4" w:space="0" w:color="000000"/>
              <w:right w:val="single" w:sz="4" w:space="0" w:color="000000"/>
            </w:tcBorders>
          </w:tcPr>
          <w:p w14:paraId="75CAE9C0" w14:textId="5C8694A7" w:rsidR="004223FE" w:rsidRPr="000D3879" w:rsidRDefault="004223FE" w:rsidP="00772D05">
            <w:pPr>
              <w:pStyle w:val="TableParagraph"/>
              <w:spacing w:line="256" w:lineRule="auto"/>
              <w:ind w:right="27"/>
              <w:rPr>
                <w:highlight w:val="green"/>
              </w:rPr>
            </w:pPr>
            <w:r w:rsidRPr="000D3879">
              <w:rPr>
                <w:lang w:val="da-DK"/>
              </w:rPr>
              <w:t xml:space="preserve">Hoste, dyspnø, </w:t>
            </w:r>
            <w:proofErr w:type="spellStart"/>
            <w:r w:rsidRPr="000D3879">
              <w:rPr>
                <w:lang w:val="da-DK"/>
              </w:rPr>
              <w:t>rhinorrhoea</w:t>
            </w:r>
            <w:proofErr w:type="spellEnd"/>
          </w:p>
        </w:tc>
        <w:tc>
          <w:tcPr>
            <w:tcW w:w="2520" w:type="dxa"/>
            <w:tcBorders>
              <w:top w:val="single" w:sz="4" w:space="0" w:color="000000"/>
              <w:left w:val="single" w:sz="4" w:space="0" w:color="000000"/>
              <w:bottom w:val="single" w:sz="4" w:space="0" w:color="000000"/>
              <w:right w:val="single" w:sz="4" w:space="0" w:color="000000"/>
            </w:tcBorders>
            <w:hideMark/>
          </w:tcPr>
          <w:p w14:paraId="69D3FC96" w14:textId="1CB3CFE9" w:rsidR="004223FE" w:rsidRPr="000D3879" w:rsidRDefault="004223FE" w:rsidP="00772D05">
            <w:pPr>
              <w:pStyle w:val="TableParagraph"/>
              <w:spacing w:line="256" w:lineRule="auto"/>
              <w:ind w:right="27"/>
              <w:rPr>
                <w:highlight w:val="green"/>
                <w:lang w:val="da-DK"/>
              </w:rPr>
            </w:pPr>
            <w:proofErr w:type="spellStart"/>
            <w:r w:rsidRPr="000D3879">
              <w:rPr>
                <w:lang w:val="da-DK"/>
              </w:rPr>
              <w:t>Bronkospasme</w:t>
            </w:r>
            <w:proofErr w:type="spellEnd"/>
            <w:r w:rsidRPr="000D3879">
              <w:rPr>
                <w:lang w:val="da-DK"/>
              </w:rPr>
              <w:t>,</w:t>
            </w:r>
            <w:r w:rsidR="00772D05" w:rsidRPr="000D3879">
              <w:rPr>
                <w:lang w:val="da-DK"/>
              </w:rPr>
              <w:t xml:space="preserve"> </w:t>
            </w:r>
            <w:proofErr w:type="spellStart"/>
            <w:r w:rsidRPr="000D3879">
              <w:rPr>
                <w:lang w:val="da-DK"/>
              </w:rPr>
              <w:t>dysfoni</w:t>
            </w:r>
            <w:proofErr w:type="spellEnd"/>
            <w:r w:rsidRPr="000D3879">
              <w:rPr>
                <w:lang w:val="da-DK"/>
              </w:rPr>
              <w:t>, smerter i</w:t>
            </w:r>
            <w:r w:rsidR="00772D05" w:rsidRPr="000D3879">
              <w:rPr>
                <w:lang w:val="da-DK"/>
              </w:rPr>
              <w:t xml:space="preserve"> </w:t>
            </w:r>
            <w:proofErr w:type="spellStart"/>
            <w:r w:rsidRPr="000D3879">
              <w:rPr>
                <w:lang w:val="da-DK"/>
              </w:rPr>
              <w:t>orapharynx</w:t>
            </w:r>
            <w:proofErr w:type="spellEnd"/>
            <w:r w:rsidRPr="000D3879">
              <w:rPr>
                <w:lang w:val="da-DK"/>
              </w:rPr>
              <w:t>, spasmer</w:t>
            </w:r>
            <w:r w:rsidR="00772D05" w:rsidRPr="000D3879">
              <w:rPr>
                <w:lang w:val="da-DK"/>
              </w:rPr>
              <w:t xml:space="preserve"> </w:t>
            </w:r>
            <w:r w:rsidRPr="000D3879">
              <w:rPr>
                <w:lang w:val="da-DK"/>
              </w:rPr>
              <w:t xml:space="preserve">i </w:t>
            </w:r>
            <w:proofErr w:type="spellStart"/>
            <w:r w:rsidRPr="000D3879">
              <w:rPr>
                <w:lang w:val="da-DK"/>
              </w:rPr>
              <w:t>oropharynx</w:t>
            </w:r>
            <w:proofErr w:type="spellEnd"/>
          </w:p>
        </w:tc>
      </w:tr>
      <w:tr w:rsidR="00772D05" w:rsidRPr="000D3879" w14:paraId="025EEBB0"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5492EFA4" w14:textId="77777777" w:rsidR="004223FE" w:rsidRPr="000D3879" w:rsidRDefault="004223FE" w:rsidP="00772D05">
            <w:pPr>
              <w:pStyle w:val="TableParagraph"/>
              <w:keepNext/>
              <w:keepLines/>
              <w:spacing w:line="256" w:lineRule="auto"/>
              <w:ind w:right="27"/>
              <w:rPr>
                <w:highlight w:val="green"/>
                <w:lang w:val="da-DK"/>
              </w:rPr>
            </w:pPr>
            <w:r w:rsidRPr="000D3879">
              <w:rPr>
                <w:lang w:val="da-DK"/>
              </w:rPr>
              <w:t>Mave-tarm-kanalen</w:t>
            </w:r>
          </w:p>
        </w:tc>
        <w:tc>
          <w:tcPr>
            <w:tcW w:w="1436" w:type="dxa"/>
            <w:tcBorders>
              <w:top w:val="single" w:sz="4" w:space="0" w:color="000000"/>
              <w:left w:val="single" w:sz="4" w:space="0" w:color="000000"/>
              <w:bottom w:val="single" w:sz="4" w:space="0" w:color="000000"/>
              <w:right w:val="single" w:sz="4" w:space="0" w:color="000000"/>
            </w:tcBorders>
          </w:tcPr>
          <w:p w14:paraId="24004C7C" w14:textId="77777777" w:rsidR="004223FE" w:rsidRPr="000D3879" w:rsidRDefault="004223FE" w:rsidP="00772D05">
            <w:pPr>
              <w:keepNext/>
              <w:keepLines/>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hideMark/>
          </w:tcPr>
          <w:p w14:paraId="3A82E5B9" w14:textId="77777777" w:rsidR="004223FE" w:rsidRPr="000D3879" w:rsidRDefault="004223FE" w:rsidP="00772D05">
            <w:pPr>
              <w:pStyle w:val="TableParagraph"/>
              <w:keepNext/>
              <w:keepLines/>
              <w:spacing w:line="256" w:lineRule="auto"/>
              <w:ind w:right="27"/>
              <w:rPr>
                <w:highlight w:val="green"/>
                <w:lang w:val="da-DK"/>
              </w:rPr>
            </w:pPr>
            <w:r w:rsidRPr="000D3879">
              <w:rPr>
                <w:lang w:val="da-DK"/>
              </w:rPr>
              <w:t>Kvalme</w:t>
            </w:r>
          </w:p>
        </w:tc>
        <w:tc>
          <w:tcPr>
            <w:tcW w:w="2358" w:type="dxa"/>
            <w:tcBorders>
              <w:top w:val="single" w:sz="4" w:space="0" w:color="000000"/>
              <w:left w:val="single" w:sz="4" w:space="0" w:color="000000"/>
              <w:bottom w:val="single" w:sz="4" w:space="0" w:color="000000"/>
              <w:right w:val="single" w:sz="4" w:space="0" w:color="000000"/>
            </w:tcBorders>
            <w:hideMark/>
          </w:tcPr>
          <w:p w14:paraId="752D152A" w14:textId="0DB9DB57" w:rsidR="004223FE" w:rsidRPr="000D3879" w:rsidRDefault="004223FE" w:rsidP="00772D05">
            <w:pPr>
              <w:pStyle w:val="TableParagraph"/>
              <w:keepNext/>
              <w:keepLines/>
              <w:spacing w:line="256" w:lineRule="auto"/>
              <w:ind w:right="27"/>
              <w:rPr>
                <w:highlight w:val="green"/>
                <w:lang w:val="da-DK"/>
              </w:rPr>
            </w:pPr>
            <w:r w:rsidRPr="000D3879">
              <w:rPr>
                <w:lang w:val="da-DK"/>
              </w:rPr>
              <w:t>Forstoppelse, dyspepsi, opkastning, tør mund, diarré, mavesmerter,</w:t>
            </w:r>
            <w:r w:rsidR="00772D05" w:rsidRPr="000D3879">
              <w:rPr>
                <w:lang w:val="da-DK"/>
              </w:rPr>
              <w:t xml:space="preserve"> </w:t>
            </w:r>
            <w:r w:rsidRPr="000D3879">
              <w:rPr>
                <w:lang w:val="da-DK"/>
              </w:rPr>
              <w:t xml:space="preserve">gastritis, </w:t>
            </w:r>
            <w:proofErr w:type="spellStart"/>
            <w:r w:rsidRPr="000D3879">
              <w:rPr>
                <w:lang w:val="da-DK"/>
              </w:rPr>
              <w:t>flatulens</w:t>
            </w:r>
            <w:proofErr w:type="spellEnd"/>
            <w:r w:rsidRPr="000D3879">
              <w:rPr>
                <w:lang w:val="da-DK"/>
              </w:rPr>
              <w:t>,</w:t>
            </w:r>
            <w:r w:rsidR="00772D05" w:rsidRPr="000D3879">
              <w:rPr>
                <w:lang w:val="da-DK"/>
              </w:rPr>
              <w:t xml:space="preserve"> </w:t>
            </w:r>
            <w:r w:rsidRPr="000D3879">
              <w:rPr>
                <w:lang w:val="da-DK"/>
              </w:rPr>
              <w:t>oppustethed,</w:t>
            </w:r>
            <w:r w:rsidR="00772D05" w:rsidRPr="000D3879">
              <w:rPr>
                <w:lang w:val="da-DK"/>
              </w:rPr>
              <w:t xml:space="preserve"> </w:t>
            </w:r>
            <w:r w:rsidRPr="000D3879">
              <w:rPr>
                <w:lang w:val="da-DK"/>
              </w:rPr>
              <w:t>spytudskillelse,</w:t>
            </w:r>
            <w:r w:rsidR="00772D05" w:rsidRPr="000D3879">
              <w:rPr>
                <w:lang w:val="da-DK"/>
              </w:rPr>
              <w:t xml:space="preserve"> </w:t>
            </w:r>
            <w:proofErr w:type="spellStart"/>
            <w:r w:rsidRPr="000D3879">
              <w:rPr>
                <w:lang w:val="da-DK"/>
              </w:rPr>
              <w:t>gastroøsofageal</w:t>
            </w:r>
            <w:proofErr w:type="spellEnd"/>
            <w:r w:rsidR="00772D05" w:rsidRPr="000D3879">
              <w:rPr>
                <w:lang w:val="da-DK"/>
              </w:rPr>
              <w:t xml:space="preserve"> </w:t>
            </w:r>
            <w:proofErr w:type="spellStart"/>
            <w:r w:rsidRPr="000D3879">
              <w:rPr>
                <w:lang w:val="da-DK"/>
              </w:rPr>
              <w:t>reflukssygdom</w:t>
            </w:r>
            <w:proofErr w:type="spellEnd"/>
            <w:r w:rsidRPr="000D3879">
              <w:rPr>
                <w:lang w:val="da-DK"/>
              </w:rPr>
              <w:t xml:space="preserve">, </w:t>
            </w:r>
            <w:proofErr w:type="spellStart"/>
            <w:r w:rsidRPr="000D3879">
              <w:rPr>
                <w:lang w:val="da-DK"/>
              </w:rPr>
              <w:t>aftøs</w:t>
            </w:r>
            <w:proofErr w:type="spellEnd"/>
            <w:r w:rsidR="00772D05" w:rsidRPr="000D3879">
              <w:rPr>
                <w:lang w:val="da-DK"/>
              </w:rPr>
              <w:t xml:space="preserve"> </w:t>
            </w:r>
            <w:proofErr w:type="spellStart"/>
            <w:r w:rsidRPr="000D3879">
              <w:rPr>
                <w:lang w:val="da-DK"/>
              </w:rPr>
              <w:t>stomatitis</w:t>
            </w:r>
            <w:proofErr w:type="spellEnd"/>
          </w:p>
        </w:tc>
        <w:tc>
          <w:tcPr>
            <w:tcW w:w="2520" w:type="dxa"/>
            <w:tcBorders>
              <w:top w:val="single" w:sz="4" w:space="0" w:color="000000"/>
              <w:left w:val="single" w:sz="4" w:space="0" w:color="000000"/>
              <w:bottom w:val="single" w:sz="4" w:space="0" w:color="000000"/>
              <w:right w:val="single" w:sz="4" w:space="0" w:color="000000"/>
            </w:tcBorders>
            <w:hideMark/>
          </w:tcPr>
          <w:p w14:paraId="0806A7C5" w14:textId="0686F61C" w:rsidR="004223FE" w:rsidRPr="000D3879" w:rsidRDefault="004223FE" w:rsidP="000D3879">
            <w:pPr>
              <w:pStyle w:val="TableParagraph"/>
              <w:keepNext/>
              <w:keepLines/>
              <w:spacing w:line="256" w:lineRule="auto"/>
              <w:ind w:right="27"/>
              <w:rPr>
                <w:highlight w:val="green"/>
                <w:lang w:val="da-DK"/>
              </w:rPr>
            </w:pPr>
            <w:r w:rsidRPr="000D3879">
              <w:rPr>
                <w:lang w:val="da-DK"/>
              </w:rPr>
              <w:t>Mavesår,</w:t>
            </w:r>
            <w:r w:rsidR="000D3879">
              <w:rPr>
                <w:lang w:val="da-DK"/>
              </w:rPr>
              <w:t xml:space="preserve"> o</w:t>
            </w:r>
            <w:r w:rsidRPr="000D3879">
              <w:rPr>
                <w:lang w:val="da-DK"/>
              </w:rPr>
              <w:t>pkastnings</w:t>
            </w:r>
            <w:r w:rsidR="000D3879">
              <w:rPr>
                <w:lang w:val="da-DK"/>
              </w:rPr>
              <w:softHyphen/>
            </w:r>
            <w:r w:rsidRPr="000D3879">
              <w:rPr>
                <w:lang w:val="da-DK"/>
              </w:rPr>
              <w:t>fornemmelser, øvre mave-tarm-blødning</w:t>
            </w:r>
          </w:p>
        </w:tc>
      </w:tr>
      <w:tr w:rsidR="00772D05" w:rsidRPr="000D3879" w14:paraId="3CDFFB66"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0E847E7B" w14:textId="77777777" w:rsidR="004223FE" w:rsidRPr="000D3879" w:rsidRDefault="004223FE" w:rsidP="00772D05">
            <w:pPr>
              <w:pStyle w:val="TableParagraph"/>
              <w:spacing w:line="256" w:lineRule="auto"/>
              <w:ind w:right="27"/>
              <w:rPr>
                <w:highlight w:val="green"/>
                <w:lang w:val="da-DK"/>
              </w:rPr>
            </w:pPr>
            <w:r w:rsidRPr="000D3879">
              <w:rPr>
                <w:lang w:val="da-DK"/>
              </w:rPr>
              <w:t>Lever og galdeveje</w:t>
            </w:r>
          </w:p>
        </w:tc>
        <w:tc>
          <w:tcPr>
            <w:tcW w:w="1436" w:type="dxa"/>
            <w:tcBorders>
              <w:top w:val="single" w:sz="4" w:space="0" w:color="000000"/>
              <w:left w:val="single" w:sz="4" w:space="0" w:color="000000"/>
              <w:bottom w:val="single" w:sz="4" w:space="0" w:color="000000"/>
              <w:right w:val="single" w:sz="4" w:space="0" w:color="000000"/>
            </w:tcBorders>
          </w:tcPr>
          <w:p w14:paraId="0BF4E95D"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4DA95380" w14:textId="77777777" w:rsidR="004223FE" w:rsidRPr="000D3879" w:rsidRDefault="004223FE" w:rsidP="00772D05">
            <w:pPr>
              <w:ind w:left="65" w:right="27"/>
              <w:rPr>
                <w:sz w:val="22"/>
                <w:szCs w:val="22"/>
                <w:highlight w:val="green"/>
              </w:rPr>
            </w:pPr>
          </w:p>
        </w:tc>
        <w:tc>
          <w:tcPr>
            <w:tcW w:w="2358" w:type="dxa"/>
            <w:tcBorders>
              <w:top w:val="single" w:sz="4" w:space="0" w:color="000000"/>
              <w:left w:val="single" w:sz="4" w:space="0" w:color="000000"/>
              <w:bottom w:val="single" w:sz="4" w:space="0" w:color="000000"/>
              <w:right w:val="single" w:sz="4" w:space="0" w:color="000000"/>
            </w:tcBorders>
          </w:tcPr>
          <w:p w14:paraId="73F5309C" w14:textId="77777777" w:rsidR="004223FE" w:rsidRPr="000D3879" w:rsidRDefault="004223FE" w:rsidP="00772D05">
            <w:pPr>
              <w:ind w:left="65" w:right="27"/>
              <w:rPr>
                <w:sz w:val="22"/>
                <w:szCs w:val="22"/>
                <w:highlight w:val="green"/>
              </w:rPr>
            </w:pPr>
          </w:p>
        </w:tc>
        <w:tc>
          <w:tcPr>
            <w:tcW w:w="2520" w:type="dxa"/>
            <w:tcBorders>
              <w:top w:val="single" w:sz="4" w:space="0" w:color="000000"/>
              <w:left w:val="single" w:sz="4" w:space="0" w:color="000000"/>
              <w:bottom w:val="single" w:sz="4" w:space="0" w:color="000000"/>
              <w:right w:val="single" w:sz="4" w:space="0" w:color="000000"/>
            </w:tcBorders>
            <w:hideMark/>
          </w:tcPr>
          <w:p w14:paraId="2056CC15" w14:textId="77777777" w:rsidR="004223FE" w:rsidRPr="000D3879" w:rsidRDefault="004223FE" w:rsidP="00772D05">
            <w:pPr>
              <w:pStyle w:val="TableParagraph"/>
              <w:spacing w:line="256" w:lineRule="auto"/>
              <w:ind w:right="27"/>
              <w:rPr>
                <w:highlight w:val="green"/>
                <w:lang w:val="da-DK"/>
              </w:rPr>
            </w:pPr>
            <w:r w:rsidRPr="000D3879">
              <w:rPr>
                <w:lang w:val="da-DK"/>
              </w:rPr>
              <w:t>Gulsot</w:t>
            </w:r>
          </w:p>
        </w:tc>
      </w:tr>
      <w:tr w:rsidR="00772D05" w:rsidRPr="000D3879" w14:paraId="28F58CF2"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0EE0ACE4" w14:textId="7C650AA5" w:rsidR="004223FE" w:rsidRPr="000D3879" w:rsidRDefault="004223FE" w:rsidP="00772D05">
            <w:pPr>
              <w:pStyle w:val="TableParagraph"/>
              <w:spacing w:line="256" w:lineRule="auto"/>
              <w:ind w:right="27"/>
              <w:rPr>
                <w:highlight w:val="green"/>
                <w:lang w:val="da-DK"/>
              </w:rPr>
            </w:pPr>
            <w:r w:rsidRPr="000D3879">
              <w:rPr>
                <w:lang w:val="da-DK"/>
              </w:rPr>
              <w:t>Hud og subkutane</w:t>
            </w:r>
            <w:r w:rsidR="00772D05" w:rsidRPr="000D3879">
              <w:rPr>
                <w:lang w:val="da-DK"/>
              </w:rPr>
              <w:t xml:space="preserve"> </w:t>
            </w:r>
            <w:r w:rsidRPr="000D3879">
              <w:rPr>
                <w:lang w:val="da-DK"/>
              </w:rPr>
              <w:t>væv</w:t>
            </w:r>
          </w:p>
        </w:tc>
        <w:tc>
          <w:tcPr>
            <w:tcW w:w="1436" w:type="dxa"/>
            <w:tcBorders>
              <w:top w:val="single" w:sz="4" w:space="0" w:color="000000"/>
              <w:left w:val="single" w:sz="4" w:space="0" w:color="000000"/>
              <w:bottom w:val="single" w:sz="4" w:space="0" w:color="000000"/>
              <w:right w:val="single" w:sz="4" w:space="0" w:color="000000"/>
            </w:tcBorders>
          </w:tcPr>
          <w:p w14:paraId="5C556E3C"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5472D19B" w14:textId="77777777" w:rsidR="004223FE" w:rsidRPr="000D3879" w:rsidRDefault="004223FE" w:rsidP="00772D05">
            <w:pPr>
              <w:ind w:left="65" w:right="27"/>
              <w:rPr>
                <w:sz w:val="22"/>
                <w:szCs w:val="22"/>
                <w:highlight w:val="green"/>
              </w:rPr>
            </w:pPr>
          </w:p>
        </w:tc>
        <w:tc>
          <w:tcPr>
            <w:tcW w:w="2358" w:type="dxa"/>
            <w:tcBorders>
              <w:top w:val="single" w:sz="4" w:space="0" w:color="000000"/>
              <w:left w:val="single" w:sz="4" w:space="0" w:color="000000"/>
              <w:bottom w:val="single" w:sz="4" w:space="0" w:color="000000"/>
              <w:right w:val="single" w:sz="4" w:space="0" w:color="000000"/>
            </w:tcBorders>
            <w:hideMark/>
          </w:tcPr>
          <w:p w14:paraId="7D383287" w14:textId="6B846410" w:rsidR="004223FE" w:rsidRPr="000D3879" w:rsidRDefault="004223FE" w:rsidP="00772D05">
            <w:pPr>
              <w:pStyle w:val="TableParagraph"/>
              <w:spacing w:line="256" w:lineRule="auto"/>
              <w:ind w:right="27"/>
              <w:rPr>
                <w:highlight w:val="green"/>
                <w:lang w:val="da-DK"/>
              </w:rPr>
            </w:pPr>
            <w:r w:rsidRPr="000D3879">
              <w:rPr>
                <w:lang w:val="da-DK"/>
              </w:rPr>
              <w:t>Svedtendens, diffus</w:t>
            </w:r>
            <w:r w:rsidR="00772D05" w:rsidRPr="000D3879">
              <w:rPr>
                <w:lang w:val="da-DK"/>
              </w:rPr>
              <w:t xml:space="preserve"> </w:t>
            </w:r>
            <w:r w:rsidRPr="000D3879">
              <w:rPr>
                <w:lang w:val="da-DK"/>
              </w:rPr>
              <w:t>kløe, lysfølsomme</w:t>
            </w:r>
            <w:r w:rsidR="00772D05" w:rsidRPr="000D3879">
              <w:rPr>
                <w:lang w:val="da-DK"/>
              </w:rPr>
              <w:t xml:space="preserve"> </w:t>
            </w:r>
            <w:r w:rsidRPr="000D3879">
              <w:rPr>
                <w:lang w:val="da-DK"/>
              </w:rPr>
              <w:t>reaktioner, hudrødme</w:t>
            </w:r>
          </w:p>
        </w:tc>
        <w:tc>
          <w:tcPr>
            <w:tcW w:w="2520" w:type="dxa"/>
            <w:tcBorders>
              <w:top w:val="single" w:sz="4" w:space="0" w:color="000000"/>
              <w:left w:val="single" w:sz="4" w:space="0" w:color="000000"/>
              <w:bottom w:val="single" w:sz="4" w:space="0" w:color="000000"/>
              <w:right w:val="single" w:sz="4" w:space="0" w:color="000000"/>
            </w:tcBorders>
            <w:hideMark/>
          </w:tcPr>
          <w:p w14:paraId="5A41CA2A" w14:textId="34399D4B" w:rsidR="004223FE" w:rsidRPr="000D3879" w:rsidRDefault="004223FE" w:rsidP="00772D05">
            <w:pPr>
              <w:pStyle w:val="TableParagraph"/>
              <w:spacing w:line="256" w:lineRule="auto"/>
              <w:ind w:right="27"/>
              <w:rPr>
                <w:highlight w:val="green"/>
                <w:lang w:val="da-DK"/>
              </w:rPr>
            </w:pPr>
            <w:proofErr w:type="spellStart"/>
            <w:r w:rsidRPr="000D3879">
              <w:rPr>
                <w:lang w:val="da-DK"/>
              </w:rPr>
              <w:t>Alopeci</w:t>
            </w:r>
            <w:proofErr w:type="spellEnd"/>
            <w:r w:rsidRPr="000D3879">
              <w:rPr>
                <w:lang w:val="da-DK"/>
              </w:rPr>
              <w:t>, blærer,</w:t>
            </w:r>
            <w:r w:rsidR="00772D05" w:rsidRPr="000D3879">
              <w:rPr>
                <w:lang w:val="da-DK"/>
              </w:rPr>
              <w:t xml:space="preserve"> </w:t>
            </w:r>
            <w:proofErr w:type="spellStart"/>
            <w:r w:rsidRPr="000D3879">
              <w:rPr>
                <w:lang w:val="da-DK"/>
              </w:rPr>
              <w:t>kontaktdermatitis</w:t>
            </w:r>
            <w:proofErr w:type="spellEnd"/>
            <w:r w:rsidRPr="000D3879">
              <w:rPr>
                <w:lang w:val="da-DK"/>
              </w:rPr>
              <w:t>,</w:t>
            </w:r>
            <w:r w:rsidR="00772D05" w:rsidRPr="000D3879">
              <w:rPr>
                <w:lang w:val="da-DK"/>
              </w:rPr>
              <w:t xml:space="preserve"> </w:t>
            </w:r>
            <w:proofErr w:type="spellStart"/>
            <w:r w:rsidRPr="000D3879">
              <w:rPr>
                <w:lang w:val="da-DK"/>
              </w:rPr>
              <w:t>dermatose</w:t>
            </w:r>
            <w:proofErr w:type="spellEnd"/>
            <w:r w:rsidRPr="000D3879">
              <w:rPr>
                <w:lang w:val="da-DK"/>
              </w:rPr>
              <w:t>,</w:t>
            </w:r>
            <w:r w:rsidR="00772D05" w:rsidRPr="000D3879">
              <w:rPr>
                <w:lang w:val="da-DK"/>
              </w:rPr>
              <w:t xml:space="preserve"> </w:t>
            </w:r>
            <w:r w:rsidRPr="000D3879">
              <w:rPr>
                <w:lang w:val="da-DK"/>
              </w:rPr>
              <w:t>blodudtrædning,</w:t>
            </w:r>
            <w:r w:rsidR="00772D05" w:rsidRPr="000D3879">
              <w:rPr>
                <w:lang w:val="da-DK"/>
              </w:rPr>
              <w:t xml:space="preserve"> </w:t>
            </w:r>
            <w:proofErr w:type="spellStart"/>
            <w:r w:rsidRPr="000D3879">
              <w:rPr>
                <w:lang w:val="da-DK"/>
              </w:rPr>
              <w:t>aktinisk</w:t>
            </w:r>
            <w:proofErr w:type="spellEnd"/>
            <w:r w:rsidRPr="000D3879">
              <w:rPr>
                <w:lang w:val="da-DK"/>
              </w:rPr>
              <w:t xml:space="preserve"> </w:t>
            </w:r>
            <w:proofErr w:type="spellStart"/>
            <w:r w:rsidRPr="000D3879">
              <w:rPr>
                <w:lang w:val="da-DK"/>
              </w:rPr>
              <w:t>keratose</w:t>
            </w:r>
            <w:proofErr w:type="spellEnd"/>
            <w:r w:rsidRPr="000D3879">
              <w:rPr>
                <w:lang w:val="da-DK"/>
              </w:rPr>
              <w:t>,</w:t>
            </w:r>
            <w:r w:rsidR="00772D05" w:rsidRPr="000D3879">
              <w:rPr>
                <w:lang w:val="da-DK"/>
              </w:rPr>
              <w:t xml:space="preserve"> </w:t>
            </w:r>
            <w:r w:rsidRPr="000D3879">
              <w:rPr>
                <w:lang w:val="da-DK"/>
              </w:rPr>
              <w:t>nattesved, hudsmerte,</w:t>
            </w:r>
            <w:r w:rsidR="00772D05" w:rsidRPr="000D3879">
              <w:rPr>
                <w:lang w:val="da-DK"/>
              </w:rPr>
              <w:t xml:space="preserve"> </w:t>
            </w:r>
            <w:r w:rsidRPr="000D3879">
              <w:rPr>
                <w:lang w:val="da-DK"/>
              </w:rPr>
              <w:t>pigmenteringssygdom, psoriasis,</w:t>
            </w:r>
            <w:r w:rsidR="00772D05" w:rsidRPr="000D3879">
              <w:rPr>
                <w:lang w:val="da-DK"/>
              </w:rPr>
              <w:t xml:space="preserve"> </w:t>
            </w:r>
            <w:r w:rsidRPr="000D3879">
              <w:rPr>
                <w:lang w:val="da-DK"/>
              </w:rPr>
              <w:t>arp</w:t>
            </w:r>
          </w:p>
        </w:tc>
      </w:tr>
      <w:tr w:rsidR="00772D05" w:rsidRPr="000D3879" w14:paraId="68BF787F"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39D0D37D" w14:textId="4ABCF719" w:rsidR="004223FE" w:rsidRPr="000D3879" w:rsidRDefault="004223FE" w:rsidP="00772D05">
            <w:pPr>
              <w:pStyle w:val="TableParagraph"/>
              <w:spacing w:line="256" w:lineRule="auto"/>
              <w:ind w:right="27"/>
              <w:rPr>
                <w:highlight w:val="green"/>
                <w:lang w:val="da-DK"/>
              </w:rPr>
            </w:pPr>
            <w:r w:rsidRPr="000D3879">
              <w:rPr>
                <w:lang w:val="da-DK"/>
              </w:rPr>
              <w:t>Knogler, led,</w:t>
            </w:r>
            <w:r w:rsidR="00772D05" w:rsidRPr="000D3879">
              <w:rPr>
                <w:lang w:val="da-DK"/>
              </w:rPr>
              <w:t xml:space="preserve"> </w:t>
            </w:r>
            <w:r w:rsidRPr="000D3879">
              <w:rPr>
                <w:lang w:val="da-DK"/>
              </w:rPr>
              <w:t>muskler og</w:t>
            </w:r>
            <w:r w:rsidR="00772D05" w:rsidRPr="000D3879">
              <w:rPr>
                <w:lang w:val="da-DK"/>
              </w:rPr>
              <w:t xml:space="preserve"> </w:t>
            </w:r>
            <w:r w:rsidRPr="000D3879">
              <w:rPr>
                <w:lang w:val="da-DK"/>
              </w:rPr>
              <w:t>bindevæv</w:t>
            </w:r>
          </w:p>
        </w:tc>
        <w:tc>
          <w:tcPr>
            <w:tcW w:w="1436" w:type="dxa"/>
            <w:tcBorders>
              <w:top w:val="single" w:sz="4" w:space="0" w:color="000000"/>
              <w:left w:val="single" w:sz="4" w:space="0" w:color="000000"/>
              <w:bottom w:val="single" w:sz="4" w:space="0" w:color="000000"/>
              <w:right w:val="single" w:sz="4" w:space="0" w:color="000000"/>
            </w:tcBorders>
          </w:tcPr>
          <w:p w14:paraId="1B4E35E2"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2275DFEB" w14:textId="77777777" w:rsidR="004223FE" w:rsidRPr="000D3879" w:rsidRDefault="004223FE" w:rsidP="00772D05">
            <w:pPr>
              <w:ind w:left="65" w:right="27"/>
              <w:rPr>
                <w:sz w:val="22"/>
                <w:szCs w:val="22"/>
                <w:highlight w:val="green"/>
              </w:rPr>
            </w:pPr>
          </w:p>
        </w:tc>
        <w:tc>
          <w:tcPr>
            <w:tcW w:w="2358" w:type="dxa"/>
            <w:tcBorders>
              <w:top w:val="single" w:sz="4" w:space="0" w:color="000000"/>
              <w:left w:val="single" w:sz="4" w:space="0" w:color="000000"/>
              <w:bottom w:val="single" w:sz="4" w:space="0" w:color="000000"/>
              <w:right w:val="single" w:sz="4" w:space="0" w:color="000000"/>
            </w:tcBorders>
            <w:hideMark/>
          </w:tcPr>
          <w:p w14:paraId="387C5BDC" w14:textId="0DE69B4D" w:rsidR="004223FE" w:rsidRPr="000D3879" w:rsidRDefault="004223FE" w:rsidP="00772D05">
            <w:pPr>
              <w:pStyle w:val="TableParagraph"/>
              <w:spacing w:line="256" w:lineRule="auto"/>
              <w:ind w:right="27"/>
              <w:rPr>
                <w:highlight w:val="green"/>
                <w:lang w:val="da-DK"/>
              </w:rPr>
            </w:pPr>
            <w:r w:rsidRPr="000D3879">
              <w:rPr>
                <w:lang w:val="da-DK"/>
              </w:rPr>
              <w:t>Rygsmerter,</w:t>
            </w:r>
            <w:r w:rsidR="00772D05" w:rsidRPr="000D3879">
              <w:rPr>
                <w:lang w:val="da-DK"/>
              </w:rPr>
              <w:t xml:space="preserve"> </w:t>
            </w:r>
            <w:r w:rsidRPr="000D3879">
              <w:rPr>
                <w:lang w:val="da-DK"/>
              </w:rPr>
              <w:t>ledsmerter,</w:t>
            </w:r>
            <w:r w:rsidR="00772D05" w:rsidRPr="000D3879">
              <w:rPr>
                <w:lang w:val="da-DK"/>
              </w:rPr>
              <w:t xml:space="preserve"> </w:t>
            </w:r>
            <w:r w:rsidRPr="000D3879">
              <w:rPr>
                <w:lang w:val="da-DK"/>
              </w:rPr>
              <w:t>muskelsammentrækninger, muskelstivhed,</w:t>
            </w:r>
            <w:r w:rsidR="00772D05" w:rsidRPr="000D3879">
              <w:rPr>
                <w:lang w:val="da-DK"/>
              </w:rPr>
              <w:t xml:space="preserve"> </w:t>
            </w:r>
            <w:proofErr w:type="spellStart"/>
            <w:r w:rsidRPr="000D3879">
              <w:rPr>
                <w:lang w:val="da-DK"/>
              </w:rPr>
              <w:t>ekstremitetsmerter</w:t>
            </w:r>
            <w:proofErr w:type="spellEnd"/>
            <w:r w:rsidRPr="000D3879">
              <w:rPr>
                <w:lang w:val="da-DK"/>
              </w:rPr>
              <w:t>,</w:t>
            </w:r>
            <w:r w:rsidR="00772D05" w:rsidRPr="000D3879">
              <w:rPr>
                <w:lang w:val="da-DK"/>
              </w:rPr>
              <w:t xml:space="preserve"> </w:t>
            </w:r>
            <w:r w:rsidRPr="000D3879">
              <w:rPr>
                <w:lang w:val="da-DK"/>
              </w:rPr>
              <w:t>muskelslaphed,</w:t>
            </w:r>
            <w:r w:rsidR="00772D05" w:rsidRPr="000D3879">
              <w:rPr>
                <w:lang w:val="da-DK"/>
              </w:rPr>
              <w:t xml:space="preserve"> </w:t>
            </w:r>
            <w:r w:rsidRPr="000D3879">
              <w:rPr>
                <w:lang w:val="da-DK"/>
              </w:rPr>
              <w:lastRenderedPageBreak/>
              <w:t>tunghedsfølelse</w:t>
            </w:r>
          </w:p>
        </w:tc>
        <w:tc>
          <w:tcPr>
            <w:tcW w:w="2520" w:type="dxa"/>
            <w:tcBorders>
              <w:top w:val="single" w:sz="4" w:space="0" w:color="000000"/>
              <w:left w:val="single" w:sz="4" w:space="0" w:color="000000"/>
              <w:bottom w:val="single" w:sz="4" w:space="0" w:color="000000"/>
              <w:right w:val="single" w:sz="4" w:space="0" w:color="000000"/>
            </w:tcBorders>
            <w:hideMark/>
          </w:tcPr>
          <w:p w14:paraId="303E7FF4" w14:textId="74FA0F43" w:rsidR="004223FE" w:rsidRPr="000D3879" w:rsidRDefault="004223FE" w:rsidP="00772D05">
            <w:pPr>
              <w:pStyle w:val="TableParagraph"/>
              <w:spacing w:line="256" w:lineRule="auto"/>
              <w:ind w:right="27"/>
              <w:rPr>
                <w:highlight w:val="green"/>
                <w:lang w:val="da-DK"/>
              </w:rPr>
            </w:pPr>
            <w:proofErr w:type="spellStart"/>
            <w:r w:rsidRPr="000D3879">
              <w:rPr>
                <w:lang w:val="da-DK"/>
              </w:rPr>
              <w:lastRenderedPageBreak/>
              <w:t>Morbus</w:t>
            </w:r>
            <w:proofErr w:type="spellEnd"/>
            <w:r w:rsidRPr="000D3879">
              <w:rPr>
                <w:lang w:val="da-DK"/>
              </w:rPr>
              <w:t xml:space="preserve"> </w:t>
            </w:r>
            <w:proofErr w:type="spellStart"/>
            <w:r w:rsidRPr="000D3879">
              <w:rPr>
                <w:lang w:val="da-DK"/>
              </w:rPr>
              <w:t>Bechterew</w:t>
            </w:r>
            <w:proofErr w:type="spellEnd"/>
            <w:r w:rsidR="00772D05" w:rsidRPr="000D3879">
              <w:rPr>
                <w:lang w:val="da-DK"/>
              </w:rPr>
              <w:t xml:space="preserve"> </w:t>
            </w:r>
            <w:r w:rsidRPr="000D3879">
              <w:rPr>
                <w:lang w:val="da-DK"/>
              </w:rPr>
              <w:t>(</w:t>
            </w:r>
            <w:proofErr w:type="spellStart"/>
            <w:r w:rsidRPr="000D3879">
              <w:rPr>
                <w:lang w:val="da-DK"/>
              </w:rPr>
              <w:t>spondylitis</w:t>
            </w:r>
            <w:proofErr w:type="spellEnd"/>
            <w:r w:rsidR="00772D05" w:rsidRPr="000D3879">
              <w:rPr>
                <w:lang w:val="da-DK"/>
              </w:rPr>
              <w:t xml:space="preserve"> </w:t>
            </w:r>
            <w:proofErr w:type="spellStart"/>
            <w:r w:rsidRPr="000D3879">
              <w:rPr>
                <w:lang w:val="da-DK"/>
              </w:rPr>
              <w:t>ankylopoietica</w:t>
            </w:r>
            <w:proofErr w:type="spellEnd"/>
            <w:r w:rsidRPr="000D3879">
              <w:rPr>
                <w:lang w:val="da-DK"/>
              </w:rPr>
              <w:t>),</w:t>
            </w:r>
            <w:r w:rsidR="00772D05" w:rsidRPr="000D3879">
              <w:rPr>
                <w:lang w:val="da-DK"/>
              </w:rPr>
              <w:t xml:space="preserve"> </w:t>
            </w:r>
            <w:r w:rsidRPr="000D3879">
              <w:rPr>
                <w:lang w:val="da-DK"/>
              </w:rPr>
              <w:t>lændesmerte,</w:t>
            </w:r>
            <w:r w:rsidR="00772D05" w:rsidRPr="000D3879">
              <w:rPr>
                <w:lang w:val="da-DK"/>
              </w:rPr>
              <w:t xml:space="preserve"> </w:t>
            </w:r>
            <w:r w:rsidRPr="000D3879">
              <w:rPr>
                <w:lang w:val="da-DK"/>
              </w:rPr>
              <w:t>hævelser i leddene,</w:t>
            </w:r>
            <w:r w:rsidR="00772D05" w:rsidRPr="000D3879">
              <w:rPr>
                <w:lang w:val="da-DK"/>
              </w:rPr>
              <w:t xml:space="preserve"> </w:t>
            </w:r>
            <w:proofErr w:type="spellStart"/>
            <w:r w:rsidRPr="000D3879">
              <w:rPr>
                <w:lang w:val="da-DK"/>
              </w:rPr>
              <w:t>muskuloskeletale</w:t>
            </w:r>
            <w:proofErr w:type="spellEnd"/>
            <w:r w:rsidR="00772D05" w:rsidRPr="000D3879">
              <w:rPr>
                <w:lang w:val="da-DK"/>
              </w:rPr>
              <w:t xml:space="preserve"> </w:t>
            </w:r>
            <w:r w:rsidRPr="000D3879">
              <w:rPr>
                <w:lang w:val="da-DK"/>
              </w:rPr>
              <w:t>smerter myalgi,</w:t>
            </w:r>
            <w:r w:rsidR="00772D05" w:rsidRPr="000D3879">
              <w:rPr>
                <w:lang w:val="da-DK"/>
              </w:rPr>
              <w:t xml:space="preserve"> </w:t>
            </w:r>
            <w:r w:rsidRPr="000D3879">
              <w:rPr>
                <w:lang w:val="da-DK"/>
              </w:rPr>
              <w:lastRenderedPageBreak/>
              <w:t>nakkesmerter,</w:t>
            </w:r>
            <w:r w:rsidR="00772D05" w:rsidRPr="000D3879">
              <w:rPr>
                <w:lang w:val="da-DK"/>
              </w:rPr>
              <w:t xml:space="preserve"> </w:t>
            </w:r>
            <w:r w:rsidRPr="000D3879">
              <w:rPr>
                <w:lang w:val="da-DK"/>
              </w:rPr>
              <w:t xml:space="preserve">artrose, </w:t>
            </w:r>
            <w:proofErr w:type="spellStart"/>
            <w:r w:rsidRPr="000D3879">
              <w:rPr>
                <w:lang w:val="da-DK"/>
              </w:rPr>
              <w:t>synovialcyste</w:t>
            </w:r>
            <w:proofErr w:type="spellEnd"/>
          </w:p>
        </w:tc>
      </w:tr>
      <w:tr w:rsidR="00772D05" w:rsidRPr="000D3879" w14:paraId="1E2D3C16"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147E9D92" w14:textId="77777777" w:rsidR="004223FE" w:rsidRPr="000D3879" w:rsidRDefault="004223FE" w:rsidP="00772D05">
            <w:pPr>
              <w:pStyle w:val="TableParagraph"/>
              <w:spacing w:line="256" w:lineRule="auto"/>
              <w:ind w:right="27"/>
              <w:rPr>
                <w:highlight w:val="green"/>
                <w:lang w:val="da-DK"/>
              </w:rPr>
            </w:pPr>
            <w:r w:rsidRPr="000D3879">
              <w:rPr>
                <w:lang w:val="da-DK"/>
              </w:rPr>
              <w:lastRenderedPageBreak/>
              <w:t>Nyrer og urinveje</w:t>
            </w:r>
          </w:p>
        </w:tc>
        <w:tc>
          <w:tcPr>
            <w:tcW w:w="1436" w:type="dxa"/>
            <w:tcBorders>
              <w:top w:val="single" w:sz="4" w:space="0" w:color="000000"/>
              <w:left w:val="single" w:sz="4" w:space="0" w:color="000000"/>
              <w:bottom w:val="single" w:sz="4" w:space="0" w:color="000000"/>
              <w:right w:val="single" w:sz="4" w:space="0" w:color="000000"/>
            </w:tcBorders>
          </w:tcPr>
          <w:p w14:paraId="586FA010"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4D5C5E3A" w14:textId="77777777" w:rsidR="004223FE" w:rsidRPr="000D3879" w:rsidRDefault="004223FE" w:rsidP="00772D05">
            <w:pPr>
              <w:ind w:left="65" w:right="27"/>
              <w:rPr>
                <w:sz w:val="22"/>
                <w:szCs w:val="22"/>
                <w:highlight w:val="green"/>
              </w:rPr>
            </w:pPr>
          </w:p>
        </w:tc>
        <w:tc>
          <w:tcPr>
            <w:tcW w:w="2358" w:type="dxa"/>
            <w:tcBorders>
              <w:top w:val="single" w:sz="4" w:space="0" w:color="000000"/>
              <w:left w:val="single" w:sz="4" w:space="0" w:color="000000"/>
              <w:bottom w:val="single" w:sz="4" w:space="0" w:color="000000"/>
              <w:right w:val="single" w:sz="4" w:space="0" w:color="000000"/>
            </w:tcBorders>
            <w:hideMark/>
          </w:tcPr>
          <w:p w14:paraId="37591613" w14:textId="0176D113" w:rsidR="004223FE" w:rsidRPr="000D3879" w:rsidRDefault="004223FE" w:rsidP="00772D05">
            <w:pPr>
              <w:pStyle w:val="TableParagraph"/>
              <w:spacing w:line="256" w:lineRule="auto"/>
              <w:ind w:right="27"/>
              <w:rPr>
                <w:highlight w:val="green"/>
                <w:lang w:val="da-DK"/>
              </w:rPr>
            </w:pPr>
            <w:r w:rsidRPr="000D3879">
              <w:rPr>
                <w:lang w:val="da-DK"/>
              </w:rPr>
              <w:t>Natlig vandladning,</w:t>
            </w:r>
            <w:r w:rsidR="00772D05" w:rsidRPr="000D3879">
              <w:rPr>
                <w:lang w:val="da-DK"/>
              </w:rPr>
              <w:t xml:space="preserve"> </w:t>
            </w:r>
            <w:r w:rsidRPr="000D3879">
              <w:rPr>
                <w:lang w:val="da-DK"/>
              </w:rPr>
              <w:t>vandladningsbesvær</w:t>
            </w:r>
          </w:p>
        </w:tc>
        <w:tc>
          <w:tcPr>
            <w:tcW w:w="2520" w:type="dxa"/>
            <w:tcBorders>
              <w:top w:val="single" w:sz="4" w:space="0" w:color="000000"/>
              <w:left w:val="single" w:sz="4" w:space="0" w:color="000000"/>
              <w:bottom w:val="single" w:sz="4" w:space="0" w:color="000000"/>
              <w:right w:val="single" w:sz="4" w:space="0" w:color="000000"/>
            </w:tcBorders>
            <w:hideMark/>
          </w:tcPr>
          <w:p w14:paraId="71672CC3" w14:textId="79ADE3A2" w:rsidR="004223FE" w:rsidRPr="000D3879" w:rsidRDefault="004223FE" w:rsidP="00772D05">
            <w:pPr>
              <w:pStyle w:val="TableParagraph"/>
              <w:spacing w:line="256" w:lineRule="auto"/>
              <w:ind w:right="27"/>
              <w:rPr>
                <w:highlight w:val="green"/>
                <w:lang w:val="da-DK"/>
              </w:rPr>
            </w:pPr>
            <w:proofErr w:type="spellStart"/>
            <w:r w:rsidRPr="000D3879">
              <w:rPr>
                <w:lang w:val="da-DK"/>
              </w:rPr>
              <w:t>Imperiøs</w:t>
            </w:r>
            <w:proofErr w:type="spellEnd"/>
            <w:r w:rsidR="00772D05" w:rsidRPr="000D3879">
              <w:rPr>
                <w:lang w:val="da-DK"/>
              </w:rPr>
              <w:t xml:space="preserve"> </w:t>
            </w:r>
            <w:r w:rsidRPr="000D3879">
              <w:rPr>
                <w:lang w:val="da-DK"/>
              </w:rPr>
              <w:t>vandladningstrang,</w:t>
            </w:r>
            <w:r w:rsidR="00772D05" w:rsidRPr="000D3879">
              <w:rPr>
                <w:lang w:val="da-DK"/>
              </w:rPr>
              <w:t xml:space="preserve"> </w:t>
            </w:r>
            <w:proofErr w:type="spellStart"/>
            <w:r w:rsidRPr="000D3879">
              <w:rPr>
                <w:lang w:val="da-DK"/>
              </w:rPr>
              <w:t>polyuri</w:t>
            </w:r>
            <w:proofErr w:type="spellEnd"/>
            <w:r w:rsidRPr="000D3879">
              <w:rPr>
                <w:lang w:val="da-DK"/>
              </w:rPr>
              <w:t xml:space="preserve">, </w:t>
            </w:r>
            <w:proofErr w:type="spellStart"/>
            <w:r w:rsidRPr="000D3879">
              <w:rPr>
                <w:lang w:val="da-DK"/>
              </w:rPr>
              <w:t>pyuri</w:t>
            </w:r>
            <w:proofErr w:type="spellEnd"/>
            <w:r w:rsidRPr="000D3879">
              <w:rPr>
                <w:lang w:val="da-DK"/>
              </w:rPr>
              <w:t>,</w:t>
            </w:r>
            <w:r w:rsidR="00772D05" w:rsidRPr="000D3879">
              <w:rPr>
                <w:lang w:val="da-DK"/>
              </w:rPr>
              <w:t xml:space="preserve"> </w:t>
            </w:r>
            <w:r w:rsidRPr="000D3879">
              <w:rPr>
                <w:lang w:val="da-DK"/>
              </w:rPr>
              <w:t xml:space="preserve">tøven ved </w:t>
            </w:r>
            <w:proofErr w:type="spellStart"/>
            <w:r w:rsidRPr="000D3879">
              <w:rPr>
                <w:lang w:val="da-DK"/>
              </w:rPr>
              <w:t>urinering</w:t>
            </w:r>
            <w:proofErr w:type="spellEnd"/>
          </w:p>
        </w:tc>
      </w:tr>
      <w:tr w:rsidR="00772D05" w:rsidRPr="000D3879" w14:paraId="077ABD89"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2F8F131B" w14:textId="0E5C562E" w:rsidR="004223FE" w:rsidRPr="000D3879" w:rsidRDefault="004223FE" w:rsidP="00772D05">
            <w:pPr>
              <w:pStyle w:val="TableParagraph"/>
              <w:spacing w:line="256" w:lineRule="auto"/>
              <w:ind w:right="27"/>
              <w:rPr>
                <w:highlight w:val="green"/>
                <w:lang w:val="da-DK"/>
              </w:rPr>
            </w:pPr>
            <w:r w:rsidRPr="000D3879">
              <w:rPr>
                <w:lang w:val="da-DK"/>
              </w:rPr>
              <w:t>Det reproduktive</w:t>
            </w:r>
            <w:r w:rsidR="00772D05" w:rsidRPr="000D3879">
              <w:rPr>
                <w:lang w:val="da-DK"/>
              </w:rPr>
              <w:t xml:space="preserve"> </w:t>
            </w:r>
            <w:r w:rsidRPr="000D3879">
              <w:rPr>
                <w:lang w:val="da-DK"/>
              </w:rPr>
              <w:t>system og mammae</w:t>
            </w:r>
          </w:p>
        </w:tc>
        <w:tc>
          <w:tcPr>
            <w:tcW w:w="1436" w:type="dxa"/>
            <w:tcBorders>
              <w:top w:val="single" w:sz="4" w:space="0" w:color="000000"/>
              <w:left w:val="single" w:sz="4" w:space="0" w:color="000000"/>
              <w:bottom w:val="single" w:sz="4" w:space="0" w:color="000000"/>
              <w:right w:val="single" w:sz="4" w:space="0" w:color="000000"/>
            </w:tcBorders>
          </w:tcPr>
          <w:p w14:paraId="1EDCB9C5"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14CF6E92" w14:textId="77777777" w:rsidR="004223FE" w:rsidRPr="000D3879" w:rsidRDefault="004223FE" w:rsidP="00772D05">
            <w:pPr>
              <w:ind w:left="65" w:right="27"/>
              <w:rPr>
                <w:sz w:val="22"/>
                <w:szCs w:val="22"/>
                <w:highlight w:val="green"/>
              </w:rPr>
            </w:pPr>
          </w:p>
        </w:tc>
        <w:tc>
          <w:tcPr>
            <w:tcW w:w="2358" w:type="dxa"/>
            <w:tcBorders>
              <w:top w:val="single" w:sz="4" w:space="0" w:color="000000"/>
              <w:left w:val="single" w:sz="4" w:space="0" w:color="000000"/>
              <w:bottom w:val="single" w:sz="4" w:space="0" w:color="000000"/>
              <w:right w:val="single" w:sz="4" w:space="0" w:color="000000"/>
            </w:tcBorders>
            <w:hideMark/>
          </w:tcPr>
          <w:p w14:paraId="74D18CC2" w14:textId="77777777" w:rsidR="004223FE" w:rsidRPr="000D3879" w:rsidRDefault="004223FE" w:rsidP="00772D05">
            <w:pPr>
              <w:pStyle w:val="TableParagraph"/>
              <w:spacing w:line="256" w:lineRule="auto"/>
              <w:ind w:right="27"/>
              <w:rPr>
                <w:highlight w:val="green"/>
                <w:lang w:val="da-DK"/>
              </w:rPr>
            </w:pPr>
            <w:proofErr w:type="spellStart"/>
            <w:r w:rsidRPr="000D3879">
              <w:rPr>
                <w:lang w:val="da-DK"/>
              </w:rPr>
              <w:t>Erektil</w:t>
            </w:r>
            <w:proofErr w:type="spellEnd"/>
            <w:r w:rsidRPr="000D3879">
              <w:rPr>
                <w:lang w:val="da-DK"/>
              </w:rPr>
              <w:t xml:space="preserve"> dysfunktion</w:t>
            </w:r>
          </w:p>
        </w:tc>
        <w:tc>
          <w:tcPr>
            <w:tcW w:w="2520" w:type="dxa"/>
            <w:tcBorders>
              <w:top w:val="single" w:sz="4" w:space="0" w:color="000000"/>
              <w:left w:val="single" w:sz="4" w:space="0" w:color="000000"/>
              <w:bottom w:val="single" w:sz="4" w:space="0" w:color="000000"/>
              <w:right w:val="single" w:sz="4" w:space="0" w:color="000000"/>
            </w:tcBorders>
            <w:hideMark/>
          </w:tcPr>
          <w:p w14:paraId="10397644" w14:textId="701F0012" w:rsidR="004223FE" w:rsidRPr="000D3879" w:rsidRDefault="004223FE" w:rsidP="00772D05">
            <w:pPr>
              <w:pStyle w:val="TableParagraph"/>
              <w:spacing w:line="256" w:lineRule="auto"/>
              <w:ind w:right="27"/>
              <w:rPr>
                <w:highlight w:val="green"/>
                <w:lang w:val="da-DK"/>
              </w:rPr>
            </w:pPr>
            <w:proofErr w:type="spellStart"/>
            <w:r w:rsidRPr="000D3879">
              <w:rPr>
                <w:lang w:val="da-DK"/>
              </w:rPr>
              <w:t>Prostatahyperlapsi</w:t>
            </w:r>
            <w:proofErr w:type="spellEnd"/>
            <w:r w:rsidRPr="000D3879">
              <w:rPr>
                <w:lang w:val="da-DK"/>
              </w:rPr>
              <w:t>,</w:t>
            </w:r>
            <w:r w:rsidR="00772D05" w:rsidRPr="000D3879">
              <w:rPr>
                <w:lang w:val="da-DK"/>
              </w:rPr>
              <w:t xml:space="preserve"> </w:t>
            </w:r>
            <w:r w:rsidRPr="000D3879">
              <w:rPr>
                <w:lang w:val="da-DK"/>
              </w:rPr>
              <w:t>brystlidelse,</w:t>
            </w:r>
            <w:r w:rsidR="00772D05" w:rsidRPr="000D3879">
              <w:rPr>
                <w:lang w:val="da-DK"/>
              </w:rPr>
              <w:t xml:space="preserve"> </w:t>
            </w:r>
            <w:r w:rsidRPr="000D3879">
              <w:rPr>
                <w:lang w:val="da-DK"/>
              </w:rPr>
              <w:t>brystsmerter</w:t>
            </w:r>
          </w:p>
        </w:tc>
      </w:tr>
      <w:tr w:rsidR="00772D05" w:rsidRPr="000D3879" w14:paraId="33F1EAB5"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31792F60" w14:textId="71D26329" w:rsidR="004223FE" w:rsidRPr="000D3879" w:rsidRDefault="004223FE" w:rsidP="00772D05">
            <w:pPr>
              <w:pStyle w:val="TableParagraph"/>
              <w:spacing w:line="256" w:lineRule="auto"/>
              <w:ind w:right="27"/>
              <w:rPr>
                <w:highlight w:val="green"/>
                <w:lang w:val="da-DK"/>
              </w:rPr>
            </w:pPr>
            <w:r w:rsidRPr="000D3879">
              <w:rPr>
                <w:lang w:val="da-DK"/>
              </w:rPr>
              <w:t>Almene symptomer</w:t>
            </w:r>
            <w:r w:rsidR="00772D05" w:rsidRPr="000D3879">
              <w:rPr>
                <w:lang w:val="da-DK"/>
              </w:rPr>
              <w:t xml:space="preserve"> </w:t>
            </w:r>
            <w:r w:rsidRPr="000D3879">
              <w:rPr>
                <w:lang w:val="da-DK"/>
              </w:rPr>
              <w:t>og reaktioner på</w:t>
            </w:r>
            <w:r w:rsidR="00772D05" w:rsidRPr="000D3879">
              <w:rPr>
                <w:lang w:val="da-DK"/>
              </w:rPr>
              <w:t xml:space="preserve"> </w:t>
            </w:r>
            <w:r w:rsidRPr="000D3879">
              <w:rPr>
                <w:lang w:val="da-DK"/>
              </w:rPr>
              <w:t>administrationsstedet</w:t>
            </w:r>
          </w:p>
        </w:tc>
        <w:tc>
          <w:tcPr>
            <w:tcW w:w="1436" w:type="dxa"/>
            <w:tcBorders>
              <w:top w:val="single" w:sz="4" w:space="0" w:color="000000"/>
              <w:left w:val="single" w:sz="4" w:space="0" w:color="000000"/>
              <w:bottom w:val="single" w:sz="4" w:space="0" w:color="000000"/>
              <w:right w:val="single" w:sz="4" w:space="0" w:color="000000"/>
            </w:tcBorders>
          </w:tcPr>
          <w:p w14:paraId="111B4D65"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5F74D529" w14:textId="77777777" w:rsidR="004223FE" w:rsidRPr="000D3879" w:rsidRDefault="004223FE" w:rsidP="00772D05">
            <w:pPr>
              <w:ind w:left="65" w:right="27"/>
              <w:rPr>
                <w:sz w:val="22"/>
                <w:szCs w:val="22"/>
                <w:highlight w:val="green"/>
              </w:rPr>
            </w:pPr>
          </w:p>
        </w:tc>
        <w:tc>
          <w:tcPr>
            <w:tcW w:w="2358" w:type="dxa"/>
            <w:tcBorders>
              <w:top w:val="single" w:sz="4" w:space="0" w:color="000000"/>
              <w:left w:val="single" w:sz="4" w:space="0" w:color="000000"/>
              <w:bottom w:val="single" w:sz="4" w:space="0" w:color="000000"/>
              <w:right w:val="single" w:sz="4" w:space="0" w:color="000000"/>
            </w:tcBorders>
            <w:hideMark/>
          </w:tcPr>
          <w:p w14:paraId="232F0B53" w14:textId="6DB0FCC8" w:rsidR="004223FE" w:rsidRPr="000D3879" w:rsidRDefault="004223FE" w:rsidP="00772D05">
            <w:pPr>
              <w:pStyle w:val="TableParagraph"/>
              <w:spacing w:line="256" w:lineRule="auto"/>
              <w:ind w:right="27"/>
              <w:rPr>
                <w:highlight w:val="green"/>
                <w:lang w:val="da-DK"/>
              </w:rPr>
            </w:pPr>
            <w:r w:rsidRPr="000D3879">
              <w:rPr>
                <w:lang w:val="da-DK"/>
              </w:rPr>
              <w:t>Træthed, asteni,</w:t>
            </w:r>
            <w:r w:rsidR="00772D05" w:rsidRPr="000D3879">
              <w:rPr>
                <w:lang w:val="da-DK"/>
              </w:rPr>
              <w:t xml:space="preserve"> </w:t>
            </w:r>
            <w:r w:rsidRPr="000D3879">
              <w:rPr>
                <w:lang w:val="da-DK"/>
              </w:rPr>
              <w:t>gangforstyrrelser,</w:t>
            </w:r>
            <w:r w:rsidR="00772D05" w:rsidRPr="000D3879">
              <w:rPr>
                <w:lang w:val="da-DK"/>
              </w:rPr>
              <w:t xml:space="preserve"> </w:t>
            </w:r>
            <w:r w:rsidRPr="000D3879">
              <w:rPr>
                <w:lang w:val="da-DK"/>
              </w:rPr>
              <w:t>perifert ødem,</w:t>
            </w:r>
            <w:r w:rsidR="00772D05" w:rsidRPr="000D3879">
              <w:rPr>
                <w:lang w:val="da-DK"/>
              </w:rPr>
              <w:t xml:space="preserve"> </w:t>
            </w:r>
            <w:r w:rsidRPr="000D3879">
              <w:rPr>
                <w:lang w:val="da-DK"/>
              </w:rPr>
              <w:t>smerter, varmefølelse</w:t>
            </w:r>
          </w:p>
        </w:tc>
        <w:tc>
          <w:tcPr>
            <w:tcW w:w="2520" w:type="dxa"/>
            <w:tcBorders>
              <w:top w:val="single" w:sz="4" w:space="0" w:color="000000"/>
              <w:left w:val="single" w:sz="4" w:space="0" w:color="000000"/>
              <w:bottom w:val="single" w:sz="4" w:space="0" w:color="000000"/>
              <w:right w:val="single" w:sz="4" w:space="0" w:color="000000"/>
            </w:tcBorders>
            <w:hideMark/>
          </w:tcPr>
          <w:p w14:paraId="5D48264B" w14:textId="78F4B936" w:rsidR="004223FE" w:rsidRPr="000D3879" w:rsidRDefault="004223FE" w:rsidP="00772D05">
            <w:pPr>
              <w:pStyle w:val="TableParagraph"/>
              <w:spacing w:line="256" w:lineRule="auto"/>
              <w:ind w:right="27"/>
              <w:rPr>
                <w:highlight w:val="green"/>
                <w:lang w:val="da-DK"/>
              </w:rPr>
            </w:pPr>
            <w:r w:rsidRPr="000D3879">
              <w:rPr>
                <w:lang w:val="da-DK"/>
              </w:rPr>
              <w:t>Nedsat</w:t>
            </w:r>
            <w:r w:rsidR="00772D05" w:rsidRPr="000D3879">
              <w:rPr>
                <w:lang w:val="da-DK"/>
              </w:rPr>
              <w:t xml:space="preserve"> </w:t>
            </w:r>
            <w:r w:rsidRPr="000D3879">
              <w:rPr>
                <w:lang w:val="da-DK"/>
              </w:rPr>
              <w:t>lægemiddeleffekt,</w:t>
            </w:r>
            <w:r w:rsidR="00772D05" w:rsidRPr="000D3879">
              <w:rPr>
                <w:lang w:val="da-DK"/>
              </w:rPr>
              <w:t xml:space="preserve"> </w:t>
            </w:r>
            <w:r w:rsidRPr="000D3879">
              <w:rPr>
                <w:lang w:val="da-DK"/>
              </w:rPr>
              <w:t>lægemiddeltolerance, kuldefølelse,</w:t>
            </w:r>
            <w:r w:rsidR="00772D05" w:rsidRPr="000D3879">
              <w:rPr>
                <w:lang w:val="da-DK"/>
              </w:rPr>
              <w:t xml:space="preserve"> </w:t>
            </w:r>
            <w:r w:rsidRPr="000D3879">
              <w:rPr>
                <w:lang w:val="da-DK"/>
              </w:rPr>
              <w:t xml:space="preserve">utilpashed, </w:t>
            </w:r>
            <w:proofErr w:type="spellStart"/>
            <w:r w:rsidRPr="000D3879">
              <w:rPr>
                <w:lang w:val="da-DK"/>
              </w:rPr>
              <w:t>pyreksi</w:t>
            </w:r>
            <w:proofErr w:type="spellEnd"/>
            <w:r w:rsidRPr="000D3879">
              <w:rPr>
                <w:lang w:val="da-DK"/>
              </w:rPr>
              <w:t xml:space="preserve">, </w:t>
            </w:r>
            <w:proofErr w:type="spellStart"/>
            <w:r w:rsidRPr="000D3879">
              <w:rPr>
                <w:lang w:val="da-DK"/>
              </w:rPr>
              <w:t>xerose</w:t>
            </w:r>
            <w:proofErr w:type="spellEnd"/>
          </w:p>
        </w:tc>
      </w:tr>
      <w:tr w:rsidR="00772D05" w:rsidRPr="000D3879" w14:paraId="1263759D"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62C5E4F6" w14:textId="77777777" w:rsidR="004223FE" w:rsidRPr="000D3879" w:rsidRDefault="004223FE" w:rsidP="00772D05">
            <w:pPr>
              <w:pStyle w:val="TableParagraph"/>
              <w:spacing w:line="256" w:lineRule="auto"/>
              <w:ind w:right="27"/>
              <w:rPr>
                <w:highlight w:val="green"/>
                <w:lang w:val="da-DK"/>
              </w:rPr>
            </w:pPr>
            <w:r w:rsidRPr="000D3879">
              <w:rPr>
                <w:lang w:val="da-DK"/>
              </w:rPr>
              <w:t>Undersøgelser</w:t>
            </w:r>
          </w:p>
        </w:tc>
        <w:tc>
          <w:tcPr>
            <w:tcW w:w="1436" w:type="dxa"/>
            <w:tcBorders>
              <w:top w:val="single" w:sz="4" w:space="0" w:color="000000"/>
              <w:left w:val="single" w:sz="4" w:space="0" w:color="000000"/>
              <w:bottom w:val="single" w:sz="4" w:space="0" w:color="000000"/>
              <w:right w:val="single" w:sz="4" w:space="0" w:color="000000"/>
            </w:tcBorders>
          </w:tcPr>
          <w:p w14:paraId="5CEDAEF2"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255D643D" w14:textId="77777777" w:rsidR="004223FE" w:rsidRPr="000D3879" w:rsidRDefault="004223FE" w:rsidP="00772D05">
            <w:pPr>
              <w:ind w:left="65" w:right="27"/>
              <w:rPr>
                <w:sz w:val="22"/>
                <w:szCs w:val="22"/>
                <w:highlight w:val="green"/>
              </w:rPr>
            </w:pPr>
          </w:p>
        </w:tc>
        <w:tc>
          <w:tcPr>
            <w:tcW w:w="2358" w:type="dxa"/>
            <w:tcBorders>
              <w:top w:val="single" w:sz="4" w:space="0" w:color="000000"/>
              <w:left w:val="single" w:sz="4" w:space="0" w:color="000000"/>
              <w:bottom w:val="single" w:sz="4" w:space="0" w:color="000000"/>
              <w:right w:val="single" w:sz="4" w:space="0" w:color="000000"/>
            </w:tcBorders>
            <w:hideMark/>
          </w:tcPr>
          <w:p w14:paraId="19EE6FDC" w14:textId="31B5B154" w:rsidR="004223FE" w:rsidRPr="000D3879" w:rsidRDefault="004223FE" w:rsidP="00772D05">
            <w:pPr>
              <w:pStyle w:val="TableParagraph"/>
              <w:spacing w:line="256" w:lineRule="auto"/>
              <w:ind w:right="27"/>
              <w:rPr>
                <w:highlight w:val="green"/>
                <w:lang w:val="da-DK"/>
              </w:rPr>
            </w:pPr>
            <w:r w:rsidRPr="000D3879">
              <w:rPr>
                <w:lang w:val="da-DK"/>
              </w:rPr>
              <w:t>Vægttab, vægtstigning, øget</w:t>
            </w:r>
            <w:r w:rsidR="00772D05" w:rsidRPr="000D3879">
              <w:rPr>
                <w:lang w:val="da-DK"/>
              </w:rPr>
              <w:t xml:space="preserve"> </w:t>
            </w:r>
            <w:r w:rsidRPr="000D3879">
              <w:rPr>
                <w:lang w:val="da-DK"/>
              </w:rPr>
              <w:t>blod-</w:t>
            </w:r>
            <w:proofErr w:type="spellStart"/>
            <w:r w:rsidRPr="000D3879">
              <w:rPr>
                <w:lang w:val="da-DK"/>
              </w:rPr>
              <w:t>kreatinfosfokinase</w:t>
            </w:r>
            <w:proofErr w:type="spellEnd"/>
            <w:r w:rsidRPr="000D3879">
              <w:rPr>
                <w:lang w:val="da-DK"/>
              </w:rPr>
              <w:t>,</w:t>
            </w:r>
            <w:r w:rsidR="00772D05" w:rsidRPr="000D3879">
              <w:rPr>
                <w:lang w:val="da-DK"/>
              </w:rPr>
              <w:t xml:space="preserve"> </w:t>
            </w:r>
            <w:r w:rsidRPr="000D3879">
              <w:rPr>
                <w:lang w:val="da-DK"/>
              </w:rPr>
              <w:t>forøget antal blodtriglycerider, stigning i blodsukker, øget blod i urinen, forøget alkalisk</w:t>
            </w:r>
            <w:r w:rsidR="00772D05" w:rsidRPr="000D3879">
              <w:rPr>
                <w:lang w:val="da-DK"/>
              </w:rPr>
              <w:t xml:space="preserve"> </w:t>
            </w:r>
            <w:r w:rsidRPr="000D3879">
              <w:rPr>
                <w:lang w:val="da-DK"/>
              </w:rPr>
              <w:t>fosfatase i blodet,</w:t>
            </w:r>
            <w:r w:rsidR="00772D05" w:rsidRPr="000D3879">
              <w:rPr>
                <w:lang w:val="da-DK"/>
              </w:rPr>
              <w:t xml:space="preserve"> </w:t>
            </w:r>
            <w:r w:rsidRPr="000D3879">
              <w:rPr>
                <w:lang w:val="da-DK"/>
              </w:rPr>
              <w:t>forhøjet plasmakuldioxid,</w:t>
            </w:r>
            <w:r w:rsidR="00772D05" w:rsidRPr="000D3879">
              <w:rPr>
                <w:lang w:val="da-DK"/>
              </w:rPr>
              <w:t xml:space="preserve"> </w:t>
            </w:r>
            <w:r w:rsidRPr="000D3879">
              <w:rPr>
                <w:lang w:val="da-DK"/>
              </w:rPr>
              <w:t xml:space="preserve">forhøjet </w:t>
            </w:r>
            <w:proofErr w:type="spellStart"/>
            <w:r w:rsidRPr="000D3879">
              <w:rPr>
                <w:lang w:val="da-DK"/>
              </w:rPr>
              <w:t>kreatinin</w:t>
            </w:r>
            <w:proofErr w:type="spellEnd"/>
            <w:r w:rsidRPr="000D3879">
              <w:rPr>
                <w:lang w:val="da-DK"/>
              </w:rPr>
              <w:t xml:space="preserve"> i blodet, forlænget elektrokardiogram</w:t>
            </w:r>
            <w:r w:rsidR="00772D05" w:rsidRPr="000D3879">
              <w:rPr>
                <w:lang w:val="da-DK"/>
              </w:rPr>
              <w:t xml:space="preserve"> </w:t>
            </w:r>
            <w:r w:rsidRPr="000D3879">
              <w:rPr>
                <w:lang w:val="da-DK"/>
              </w:rPr>
              <w:t xml:space="preserve">QT, </w:t>
            </w:r>
            <w:proofErr w:type="spellStart"/>
            <w:r w:rsidRPr="000D3879">
              <w:rPr>
                <w:lang w:val="da-DK"/>
              </w:rPr>
              <w:t>abnormal</w:t>
            </w:r>
            <w:proofErr w:type="spellEnd"/>
            <w:r w:rsidR="00772D05" w:rsidRPr="000D3879">
              <w:rPr>
                <w:lang w:val="da-DK"/>
              </w:rPr>
              <w:t xml:space="preserve"> </w:t>
            </w:r>
            <w:r w:rsidRPr="000D3879">
              <w:rPr>
                <w:lang w:val="da-DK"/>
              </w:rPr>
              <w:t>leverfunktionstest,</w:t>
            </w:r>
            <w:r w:rsidR="00772D05" w:rsidRPr="000D3879">
              <w:rPr>
                <w:lang w:val="da-DK"/>
              </w:rPr>
              <w:t xml:space="preserve"> </w:t>
            </w:r>
            <w:proofErr w:type="spellStart"/>
            <w:r w:rsidRPr="000D3879">
              <w:rPr>
                <w:lang w:val="da-DK"/>
              </w:rPr>
              <w:t>abnormal</w:t>
            </w:r>
            <w:proofErr w:type="spellEnd"/>
            <w:r w:rsidRPr="000D3879">
              <w:rPr>
                <w:lang w:val="da-DK"/>
              </w:rPr>
              <w:t xml:space="preserve"> urinanalyse, stigning i blodtryk, fald i</w:t>
            </w:r>
            <w:r w:rsidR="00772D05" w:rsidRPr="000D3879">
              <w:rPr>
                <w:lang w:val="da-DK"/>
              </w:rPr>
              <w:t xml:space="preserve"> </w:t>
            </w:r>
            <w:r w:rsidRPr="000D3879">
              <w:rPr>
                <w:lang w:val="da-DK"/>
              </w:rPr>
              <w:t xml:space="preserve">blodtryk, </w:t>
            </w:r>
            <w:proofErr w:type="spellStart"/>
            <w:r w:rsidRPr="000D3879">
              <w:rPr>
                <w:lang w:val="da-DK"/>
              </w:rPr>
              <w:t>abnormale</w:t>
            </w:r>
            <w:proofErr w:type="spellEnd"/>
            <w:r w:rsidR="00772D05" w:rsidRPr="000D3879">
              <w:rPr>
                <w:lang w:val="da-DK"/>
              </w:rPr>
              <w:t xml:space="preserve"> </w:t>
            </w:r>
            <w:r w:rsidRPr="000D3879">
              <w:rPr>
                <w:lang w:val="da-DK"/>
              </w:rPr>
              <w:t>øjensymptomprocedurer</w:t>
            </w:r>
          </w:p>
        </w:tc>
        <w:tc>
          <w:tcPr>
            <w:tcW w:w="2520" w:type="dxa"/>
            <w:tcBorders>
              <w:top w:val="single" w:sz="4" w:space="0" w:color="000000"/>
              <w:left w:val="single" w:sz="4" w:space="0" w:color="000000"/>
              <w:bottom w:val="single" w:sz="4" w:space="0" w:color="000000"/>
              <w:right w:val="single" w:sz="4" w:space="0" w:color="000000"/>
            </w:tcBorders>
            <w:hideMark/>
          </w:tcPr>
          <w:p w14:paraId="6B460A16" w14:textId="77777777" w:rsidR="004223FE" w:rsidRPr="000D3879" w:rsidRDefault="004223FE" w:rsidP="00772D05">
            <w:pPr>
              <w:pStyle w:val="TableParagraph"/>
              <w:spacing w:line="256" w:lineRule="auto"/>
              <w:ind w:right="27"/>
              <w:rPr>
                <w:lang w:val="da-DK"/>
              </w:rPr>
            </w:pPr>
            <w:r w:rsidRPr="000D3879">
              <w:rPr>
                <w:lang w:val="da-DK"/>
              </w:rPr>
              <w:t>Fald i kalciumindhold i</w:t>
            </w:r>
          </w:p>
          <w:p w14:paraId="3B9D200E" w14:textId="6F036495" w:rsidR="004223FE" w:rsidRPr="000D3879" w:rsidRDefault="004223FE" w:rsidP="00772D05">
            <w:pPr>
              <w:pStyle w:val="TableParagraph"/>
              <w:spacing w:line="256" w:lineRule="auto"/>
              <w:ind w:right="27"/>
              <w:rPr>
                <w:lang w:val="da-DK"/>
              </w:rPr>
            </w:pPr>
            <w:r w:rsidRPr="000D3879">
              <w:rPr>
                <w:lang w:val="da-DK"/>
              </w:rPr>
              <w:t xml:space="preserve">blodet, fald i kaliumindhold i blodet, fald i </w:t>
            </w:r>
            <w:proofErr w:type="spellStart"/>
            <w:r w:rsidRPr="000D3879">
              <w:rPr>
                <w:lang w:val="da-DK"/>
              </w:rPr>
              <w:t>kolestorol</w:t>
            </w:r>
            <w:proofErr w:type="spellEnd"/>
            <w:r w:rsidRPr="000D3879">
              <w:rPr>
                <w:lang w:val="da-DK"/>
              </w:rPr>
              <w:t xml:space="preserve"> i</w:t>
            </w:r>
            <w:r w:rsidR="00091A83">
              <w:rPr>
                <w:lang w:val="da-DK"/>
              </w:rPr>
              <w:t xml:space="preserve"> </w:t>
            </w:r>
            <w:r w:rsidRPr="000D3879">
              <w:rPr>
                <w:lang w:val="da-DK"/>
              </w:rPr>
              <w:t>blodet, forhøjet</w:t>
            </w:r>
          </w:p>
          <w:p w14:paraId="15E3830B" w14:textId="77777777" w:rsidR="004223FE" w:rsidRPr="000D3879" w:rsidRDefault="004223FE" w:rsidP="00772D05">
            <w:pPr>
              <w:pStyle w:val="TableParagraph"/>
              <w:spacing w:line="256" w:lineRule="auto"/>
              <w:ind w:right="27"/>
              <w:rPr>
                <w:lang w:val="da-DK"/>
              </w:rPr>
            </w:pPr>
            <w:r w:rsidRPr="000D3879">
              <w:rPr>
                <w:lang w:val="da-DK"/>
              </w:rPr>
              <w:t>kropstemperatur,</w:t>
            </w:r>
          </w:p>
          <w:p w14:paraId="5426FB30" w14:textId="77777777" w:rsidR="004223FE" w:rsidRPr="000D3879" w:rsidRDefault="004223FE" w:rsidP="00772D05">
            <w:pPr>
              <w:pStyle w:val="TableParagraph"/>
              <w:spacing w:line="256" w:lineRule="auto"/>
              <w:ind w:right="27"/>
              <w:rPr>
                <w:lang w:val="da-DK"/>
              </w:rPr>
            </w:pPr>
            <w:r w:rsidRPr="000D3879">
              <w:rPr>
                <w:lang w:val="da-DK"/>
              </w:rPr>
              <w:t xml:space="preserve">hjertemislyd, </w:t>
            </w:r>
            <w:proofErr w:type="spellStart"/>
            <w:r w:rsidRPr="000D3879">
              <w:rPr>
                <w:lang w:val="da-DK"/>
              </w:rPr>
              <w:t>abnormal</w:t>
            </w:r>
            <w:proofErr w:type="spellEnd"/>
            <w:r w:rsidRPr="000D3879">
              <w:rPr>
                <w:lang w:val="da-DK"/>
              </w:rPr>
              <w:t xml:space="preserve"> hjerte-stress-test,</w:t>
            </w:r>
          </w:p>
          <w:p w14:paraId="767F3122" w14:textId="77777777" w:rsidR="004223FE" w:rsidRPr="000D3879" w:rsidRDefault="004223FE" w:rsidP="00772D05">
            <w:pPr>
              <w:pStyle w:val="TableParagraph"/>
              <w:spacing w:line="256" w:lineRule="auto"/>
              <w:ind w:right="27"/>
              <w:rPr>
                <w:lang w:val="da-DK"/>
              </w:rPr>
            </w:pPr>
            <w:r w:rsidRPr="000D3879">
              <w:rPr>
                <w:lang w:val="da-DK"/>
              </w:rPr>
              <w:t>lavere hæmatokrit,</w:t>
            </w:r>
          </w:p>
          <w:p w14:paraId="088CD73F" w14:textId="77777777" w:rsidR="004223FE" w:rsidRPr="000D3879" w:rsidRDefault="004223FE" w:rsidP="00772D05">
            <w:pPr>
              <w:pStyle w:val="TableParagraph"/>
              <w:spacing w:line="256" w:lineRule="auto"/>
              <w:ind w:right="27"/>
              <w:rPr>
                <w:lang w:val="da-DK"/>
              </w:rPr>
            </w:pPr>
            <w:r w:rsidRPr="000D3879">
              <w:rPr>
                <w:lang w:val="da-DK"/>
              </w:rPr>
              <w:t>lavere hæmoglobin,</w:t>
            </w:r>
          </w:p>
          <w:p w14:paraId="1E2A42F6" w14:textId="77777777" w:rsidR="004223FE" w:rsidRPr="000D3879" w:rsidRDefault="004223FE" w:rsidP="00772D05">
            <w:pPr>
              <w:pStyle w:val="TableParagraph"/>
              <w:spacing w:line="256" w:lineRule="auto"/>
              <w:ind w:right="27"/>
              <w:rPr>
                <w:lang w:val="da-DK"/>
              </w:rPr>
            </w:pPr>
            <w:r w:rsidRPr="000D3879">
              <w:rPr>
                <w:lang w:val="da-DK"/>
              </w:rPr>
              <w:t>lavere internationalt</w:t>
            </w:r>
          </w:p>
          <w:p w14:paraId="56579E40" w14:textId="77777777" w:rsidR="004223FE" w:rsidRPr="000D3879" w:rsidRDefault="004223FE" w:rsidP="00772D05">
            <w:pPr>
              <w:pStyle w:val="TableParagraph"/>
              <w:spacing w:line="256" w:lineRule="auto"/>
              <w:ind w:right="27"/>
              <w:rPr>
                <w:lang w:val="da-DK"/>
              </w:rPr>
            </w:pPr>
            <w:r w:rsidRPr="000D3879">
              <w:rPr>
                <w:lang w:val="da-DK"/>
              </w:rPr>
              <w:t>normaliseret ratio,</w:t>
            </w:r>
          </w:p>
          <w:p w14:paraId="7A5ED0A4" w14:textId="77777777" w:rsidR="004223FE" w:rsidRPr="000D3879" w:rsidRDefault="004223FE" w:rsidP="00772D05">
            <w:pPr>
              <w:pStyle w:val="TableParagraph"/>
              <w:spacing w:line="256" w:lineRule="auto"/>
              <w:ind w:right="27"/>
              <w:rPr>
                <w:lang w:val="da-DK"/>
              </w:rPr>
            </w:pPr>
            <w:r w:rsidRPr="000D3879">
              <w:rPr>
                <w:lang w:val="da-DK"/>
              </w:rPr>
              <w:t>lavere lymfocyttal,</w:t>
            </w:r>
          </w:p>
          <w:p w14:paraId="22772A27" w14:textId="77777777" w:rsidR="004223FE" w:rsidRPr="000D3879" w:rsidRDefault="004223FE" w:rsidP="00772D05">
            <w:pPr>
              <w:pStyle w:val="TableParagraph"/>
              <w:spacing w:line="256" w:lineRule="auto"/>
              <w:ind w:right="27"/>
              <w:rPr>
                <w:lang w:val="da-DK"/>
              </w:rPr>
            </w:pPr>
            <w:r w:rsidRPr="000D3879">
              <w:rPr>
                <w:lang w:val="da-DK"/>
              </w:rPr>
              <w:t xml:space="preserve">lavere </w:t>
            </w:r>
            <w:proofErr w:type="spellStart"/>
            <w:r w:rsidRPr="000D3879">
              <w:rPr>
                <w:lang w:val="da-DK"/>
              </w:rPr>
              <w:t>trombocyttal</w:t>
            </w:r>
            <w:proofErr w:type="spellEnd"/>
            <w:r w:rsidRPr="000D3879">
              <w:rPr>
                <w:lang w:val="da-DK"/>
              </w:rPr>
              <w:t>,</w:t>
            </w:r>
          </w:p>
          <w:p w14:paraId="5098D656" w14:textId="77777777" w:rsidR="004223FE" w:rsidRPr="000D3879" w:rsidRDefault="004223FE" w:rsidP="00772D05">
            <w:pPr>
              <w:pStyle w:val="TableParagraph"/>
              <w:spacing w:line="256" w:lineRule="auto"/>
              <w:ind w:right="27"/>
              <w:rPr>
                <w:highlight w:val="green"/>
                <w:lang w:val="da-DK"/>
              </w:rPr>
            </w:pPr>
            <w:r w:rsidRPr="000D3879">
              <w:rPr>
                <w:lang w:val="da-DK"/>
              </w:rPr>
              <w:t>forhøjet lavdensitet-</w:t>
            </w:r>
            <w:proofErr w:type="spellStart"/>
            <w:r w:rsidRPr="000D3879">
              <w:rPr>
                <w:lang w:val="da-DK"/>
              </w:rPr>
              <w:t>lipoprotein</w:t>
            </w:r>
            <w:proofErr w:type="spellEnd"/>
          </w:p>
        </w:tc>
      </w:tr>
      <w:tr w:rsidR="00772D05" w:rsidRPr="000D3879" w14:paraId="49B86C3A"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2B53D3E8" w14:textId="742B06ED" w:rsidR="004223FE" w:rsidRPr="000D3879" w:rsidRDefault="004223FE" w:rsidP="00772D05">
            <w:pPr>
              <w:pStyle w:val="TableParagraph"/>
              <w:spacing w:line="256" w:lineRule="auto"/>
              <w:ind w:right="27"/>
              <w:rPr>
                <w:highlight w:val="green"/>
                <w:lang w:val="da-DK"/>
              </w:rPr>
            </w:pPr>
            <w:r w:rsidRPr="000D3879">
              <w:rPr>
                <w:lang w:val="da-DK"/>
              </w:rPr>
              <w:t>Traumer,</w:t>
            </w:r>
            <w:r w:rsidR="00772D05" w:rsidRPr="000D3879">
              <w:rPr>
                <w:lang w:val="da-DK"/>
              </w:rPr>
              <w:t xml:space="preserve"> </w:t>
            </w:r>
            <w:r w:rsidRPr="000D3879">
              <w:rPr>
                <w:lang w:val="da-DK"/>
              </w:rPr>
              <w:t>forgiftninger og</w:t>
            </w:r>
            <w:r w:rsidR="00772D05" w:rsidRPr="000D3879">
              <w:rPr>
                <w:lang w:val="da-DK"/>
              </w:rPr>
              <w:t xml:space="preserve"> </w:t>
            </w:r>
            <w:r w:rsidRPr="000D3879">
              <w:rPr>
                <w:lang w:val="da-DK"/>
              </w:rPr>
              <w:t>behandlingskomplikationer</w:t>
            </w:r>
          </w:p>
        </w:tc>
        <w:tc>
          <w:tcPr>
            <w:tcW w:w="1436" w:type="dxa"/>
            <w:tcBorders>
              <w:top w:val="single" w:sz="4" w:space="0" w:color="000000"/>
              <w:left w:val="single" w:sz="4" w:space="0" w:color="000000"/>
              <w:bottom w:val="single" w:sz="4" w:space="0" w:color="000000"/>
              <w:right w:val="single" w:sz="4" w:space="0" w:color="000000"/>
            </w:tcBorders>
          </w:tcPr>
          <w:p w14:paraId="49F53F47"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hideMark/>
          </w:tcPr>
          <w:p w14:paraId="60895205" w14:textId="77777777" w:rsidR="004223FE" w:rsidRPr="000D3879" w:rsidRDefault="004223FE" w:rsidP="00772D05">
            <w:pPr>
              <w:pStyle w:val="TableParagraph"/>
              <w:spacing w:line="256" w:lineRule="auto"/>
              <w:ind w:right="27"/>
              <w:rPr>
                <w:highlight w:val="green"/>
                <w:lang w:val="da-DK"/>
              </w:rPr>
            </w:pPr>
            <w:r w:rsidRPr="000D3879">
              <w:rPr>
                <w:lang w:val="da-DK"/>
              </w:rPr>
              <w:t>Fald</w:t>
            </w:r>
          </w:p>
        </w:tc>
        <w:tc>
          <w:tcPr>
            <w:tcW w:w="2358" w:type="dxa"/>
            <w:tcBorders>
              <w:top w:val="single" w:sz="4" w:space="0" w:color="000000"/>
              <w:left w:val="single" w:sz="4" w:space="0" w:color="000000"/>
              <w:bottom w:val="single" w:sz="4" w:space="0" w:color="000000"/>
              <w:right w:val="single" w:sz="4" w:space="0" w:color="000000"/>
            </w:tcBorders>
            <w:hideMark/>
          </w:tcPr>
          <w:p w14:paraId="0F1C71BF" w14:textId="77777777" w:rsidR="004223FE" w:rsidRPr="000D3879" w:rsidRDefault="004223FE" w:rsidP="00772D05">
            <w:pPr>
              <w:pStyle w:val="TableParagraph"/>
              <w:spacing w:line="256" w:lineRule="auto"/>
              <w:ind w:right="27"/>
              <w:rPr>
                <w:highlight w:val="green"/>
                <w:lang w:val="da-DK"/>
              </w:rPr>
            </w:pPr>
            <w:r w:rsidRPr="000D3879">
              <w:rPr>
                <w:lang w:val="da-DK"/>
              </w:rPr>
              <w:t>Knoglebrud i foden</w:t>
            </w:r>
          </w:p>
        </w:tc>
        <w:tc>
          <w:tcPr>
            <w:tcW w:w="2520" w:type="dxa"/>
            <w:tcBorders>
              <w:top w:val="single" w:sz="4" w:space="0" w:color="000000"/>
              <w:left w:val="single" w:sz="4" w:space="0" w:color="000000"/>
              <w:bottom w:val="single" w:sz="4" w:space="0" w:color="000000"/>
              <w:right w:val="single" w:sz="4" w:space="0" w:color="000000"/>
            </w:tcBorders>
            <w:hideMark/>
          </w:tcPr>
          <w:p w14:paraId="3F195400" w14:textId="28F58B3F" w:rsidR="004223FE" w:rsidRPr="000D3879" w:rsidRDefault="004223FE" w:rsidP="00772D05">
            <w:pPr>
              <w:pStyle w:val="TableParagraph"/>
              <w:spacing w:line="256" w:lineRule="auto"/>
              <w:ind w:right="27"/>
              <w:rPr>
                <w:highlight w:val="green"/>
                <w:lang w:val="da-DK"/>
              </w:rPr>
            </w:pPr>
            <w:r w:rsidRPr="000D3879">
              <w:rPr>
                <w:lang w:val="da-DK"/>
              </w:rPr>
              <w:t xml:space="preserve">Kvæstelse, </w:t>
            </w:r>
            <w:proofErr w:type="spellStart"/>
            <w:r w:rsidRPr="000D3879">
              <w:rPr>
                <w:lang w:val="da-DK"/>
              </w:rPr>
              <w:t>fedtemboli</w:t>
            </w:r>
            <w:proofErr w:type="spellEnd"/>
            <w:r w:rsidRPr="000D3879">
              <w:rPr>
                <w:lang w:val="da-DK"/>
              </w:rPr>
              <w:t>,</w:t>
            </w:r>
            <w:r w:rsidR="00772D05" w:rsidRPr="000D3879">
              <w:rPr>
                <w:lang w:val="da-DK"/>
              </w:rPr>
              <w:t xml:space="preserve"> </w:t>
            </w:r>
            <w:r w:rsidRPr="000D3879">
              <w:rPr>
                <w:lang w:val="da-DK"/>
              </w:rPr>
              <w:t>kranietraume, mundlæsion,</w:t>
            </w:r>
            <w:r w:rsidR="00772D05" w:rsidRPr="000D3879">
              <w:rPr>
                <w:lang w:val="da-DK"/>
              </w:rPr>
              <w:t xml:space="preserve"> </w:t>
            </w:r>
            <w:r w:rsidRPr="000D3879">
              <w:rPr>
                <w:lang w:val="da-DK"/>
              </w:rPr>
              <w:t>knoglelæsion</w:t>
            </w:r>
          </w:p>
        </w:tc>
      </w:tr>
      <w:tr w:rsidR="00772D05" w:rsidRPr="000D3879" w14:paraId="0F55FFE7" w14:textId="77777777" w:rsidTr="000D3879">
        <w:trPr>
          <w:trHeight w:val="20"/>
        </w:trPr>
        <w:tc>
          <w:tcPr>
            <w:tcW w:w="2387" w:type="dxa"/>
            <w:tcBorders>
              <w:top w:val="single" w:sz="4" w:space="0" w:color="000000"/>
              <w:left w:val="single" w:sz="4" w:space="0" w:color="000000"/>
              <w:bottom w:val="single" w:sz="4" w:space="0" w:color="000000"/>
              <w:right w:val="single" w:sz="4" w:space="0" w:color="000000"/>
            </w:tcBorders>
            <w:hideMark/>
          </w:tcPr>
          <w:p w14:paraId="431CB9F2" w14:textId="77777777" w:rsidR="004223FE" w:rsidRPr="000D3879" w:rsidRDefault="004223FE" w:rsidP="00772D05">
            <w:pPr>
              <w:pStyle w:val="TableParagraph"/>
              <w:spacing w:line="256" w:lineRule="auto"/>
              <w:ind w:right="27"/>
              <w:rPr>
                <w:highlight w:val="green"/>
                <w:lang w:val="da-DK"/>
              </w:rPr>
            </w:pPr>
            <w:r w:rsidRPr="000D3879">
              <w:rPr>
                <w:lang w:val="da-DK"/>
              </w:rPr>
              <w:t>Sociale forhold</w:t>
            </w:r>
          </w:p>
        </w:tc>
        <w:tc>
          <w:tcPr>
            <w:tcW w:w="1436" w:type="dxa"/>
            <w:tcBorders>
              <w:top w:val="single" w:sz="4" w:space="0" w:color="000000"/>
              <w:left w:val="single" w:sz="4" w:space="0" w:color="000000"/>
              <w:bottom w:val="single" w:sz="4" w:space="0" w:color="000000"/>
              <w:right w:val="single" w:sz="4" w:space="0" w:color="000000"/>
            </w:tcBorders>
          </w:tcPr>
          <w:p w14:paraId="401660B1" w14:textId="77777777" w:rsidR="004223FE" w:rsidRPr="000D3879" w:rsidRDefault="004223FE" w:rsidP="00772D05">
            <w:pPr>
              <w:ind w:left="65" w:right="27"/>
              <w:rPr>
                <w:sz w:val="22"/>
                <w:szCs w:val="22"/>
                <w:highlight w:val="green"/>
              </w:rPr>
            </w:pPr>
          </w:p>
        </w:tc>
        <w:tc>
          <w:tcPr>
            <w:tcW w:w="1846" w:type="dxa"/>
            <w:tcBorders>
              <w:top w:val="single" w:sz="4" w:space="0" w:color="000000"/>
              <w:left w:val="single" w:sz="4" w:space="0" w:color="000000"/>
              <w:bottom w:val="single" w:sz="4" w:space="0" w:color="000000"/>
              <w:right w:val="single" w:sz="4" w:space="0" w:color="000000"/>
            </w:tcBorders>
          </w:tcPr>
          <w:p w14:paraId="35882FBB" w14:textId="77777777" w:rsidR="004223FE" w:rsidRPr="000D3879" w:rsidRDefault="004223FE" w:rsidP="00772D05">
            <w:pPr>
              <w:ind w:left="65" w:right="27"/>
              <w:rPr>
                <w:sz w:val="22"/>
                <w:szCs w:val="22"/>
                <w:highlight w:val="green"/>
              </w:rPr>
            </w:pPr>
          </w:p>
        </w:tc>
        <w:tc>
          <w:tcPr>
            <w:tcW w:w="2358" w:type="dxa"/>
            <w:tcBorders>
              <w:top w:val="single" w:sz="4" w:space="0" w:color="000000"/>
              <w:left w:val="single" w:sz="4" w:space="0" w:color="000000"/>
              <w:bottom w:val="single" w:sz="4" w:space="0" w:color="000000"/>
              <w:right w:val="single" w:sz="4" w:space="0" w:color="000000"/>
            </w:tcBorders>
          </w:tcPr>
          <w:p w14:paraId="449BF313" w14:textId="77777777" w:rsidR="004223FE" w:rsidRPr="000D3879" w:rsidRDefault="004223FE" w:rsidP="00772D05">
            <w:pPr>
              <w:ind w:left="65" w:right="27"/>
              <w:rPr>
                <w:sz w:val="22"/>
                <w:szCs w:val="22"/>
                <w:highlight w:val="green"/>
              </w:rPr>
            </w:pPr>
          </w:p>
        </w:tc>
        <w:tc>
          <w:tcPr>
            <w:tcW w:w="2520" w:type="dxa"/>
            <w:tcBorders>
              <w:top w:val="single" w:sz="4" w:space="0" w:color="000000"/>
              <w:left w:val="single" w:sz="4" w:space="0" w:color="000000"/>
              <w:bottom w:val="single" w:sz="4" w:space="0" w:color="000000"/>
              <w:right w:val="single" w:sz="4" w:space="0" w:color="000000"/>
            </w:tcBorders>
            <w:hideMark/>
          </w:tcPr>
          <w:p w14:paraId="2DC8E716" w14:textId="77777777" w:rsidR="004223FE" w:rsidRPr="000D3879" w:rsidRDefault="004223FE" w:rsidP="00772D05">
            <w:pPr>
              <w:pStyle w:val="TableParagraph"/>
              <w:spacing w:line="256" w:lineRule="auto"/>
              <w:ind w:right="27"/>
              <w:rPr>
                <w:highlight w:val="green"/>
                <w:lang w:val="da-DK"/>
              </w:rPr>
            </w:pPr>
            <w:r w:rsidRPr="000D3879">
              <w:rPr>
                <w:lang w:val="da-DK"/>
              </w:rPr>
              <w:t>Hasardspil</w:t>
            </w:r>
          </w:p>
        </w:tc>
      </w:tr>
    </w:tbl>
    <w:p w14:paraId="7146EA47" w14:textId="77777777" w:rsidR="004223FE" w:rsidRPr="00AE3725" w:rsidRDefault="004223FE" w:rsidP="00772D05">
      <w:pPr>
        <w:autoSpaceDE w:val="0"/>
        <w:autoSpaceDN w:val="0"/>
        <w:adjustRightInd w:val="0"/>
        <w:ind w:left="851"/>
        <w:rPr>
          <w:color w:val="000000"/>
          <w:sz w:val="24"/>
          <w:szCs w:val="24"/>
          <w:highlight w:val="green"/>
          <w:u w:val="single"/>
        </w:rPr>
      </w:pPr>
    </w:p>
    <w:p w14:paraId="489689D2" w14:textId="77777777" w:rsidR="004223FE" w:rsidRPr="00AE3725" w:rsidRDefault="004223FE" w:rsidP="001561DD">
      <w:pPr>
        <w:autoSpaceDE w:val="0"/>
        <w:autoSpaceDN w:val="0"/>
        <w:adjustRightInd w:val="0"/>
        <w:ind w:left="851"/>
        <w:rPr>
          <w:color w:val="000000"/>
          <w:sz w:val="24"/>
          <w:szCs w:val="24"/>
          <w:highlight w:val="green"/>
          <w:u w:val="single"/>
        </w:rPr>
      </w:pPr>
      <w:r w:rsidRPr="00AE3725">
        <w:rPr>
          <w:color w:val="000000"/>
          <w:sz w:val="24"/>
          <w:szCs w:val="24"/>
          <w:u w:val="single"/>
        </w:rPr>
        <w:t>Beskrivelse af udvalgte bivirkninger</w:t>
      </w:r>
    </w:p>
    <w:p w14:paraId="52322A02" w14:textId="14DA4464" w:rsidR="004223FE" w:rsidRPr="00AE3725" w:rsidRDefault="004223FE" w:rsidP="001561DD">
      <w:pPr>
        <w:autoSpaceDE w:val="0"/>
        <w:autoSpaceDN w:val="0"/>
        <w:adjustRightInd w:val="0"/>
        <w:ind w:left="851"/>
        <w:rPr>
          <w:color w:val="000000"/>
          <w:sz w:val="24"/>
          <w:szCs w:val="24"/>
        </w:rPr>
      </w:pPr>
      <w:proofErr w:type="spellStart"/>
      <w:r w:rsidRPr="00AE3725">
        <w:rPr>
          <w:color w:val="000000"/>
          <w:sz w:val="24"/>
          <w:szCs w:val="24"/>
        </w:rPr>
        <w:t>Dyskinesi</w:t>
      </w:r>
      <w:proofErr w:type="spellEnd"/>
      <w:r w:rsidRPr="00AE3725">
        <w:rPr>
          <w:color w:val="000000"/>
          <w:sz w:val="24"/>
          <w:szCs w:val="24"/>
        </w:rPr>
        <w:t xml:space="preserve"> opstod tidligt i behandlingen, blev vurderet som </w:t>
      </w:r>
      <w:r w:rsidR="00AE3725">
        <w:rPr>
          <w:color w:val="000000"/>
          <w:sz w:val="24"/>
          <w:szCs w:val="24"/>
        </w:rPr>
        <w:t>"</w:t>
      </w:r>
      <w:r w:rsidRPr="00AE3725">
        <w:rPr>
          <w:color w:val="000000"/>
          <w:sz w:val="24"/>
          <w:szCs w:val="24"/>
        </w:rPr>
        <w:t>alvorlig</w:t>
      </w:r>
      <w:r w:rsidR="00AE3725">
        <w:rPr>
          <w:color w:val="000000"/>
          <w:sz w:val="24"/>
          <w:szCs w:val="24"/>
        </w:rPr>
        <w:t>"</w:t>
      </w:r>
      <w:r w:rsidRPr="00AE3725">
        <w:rPr>
          <w:color w:val="000000"/>
          <w:sz w:val="24"/>
          <w:szCs w:val="24"/>
        </w:rPr>
        <w:t>, førte til afbrydelse hos meget få patienter (ca. 1,5 %), og krævede ikke reduktion af dosis hos nogen patienter.</w:t>
      </w:r>
    </w:p>
    <w:p w14:paraId="69827E11" w14:textId="77777777" w:rsidR="004223FE" w:rsidRPr="00AE3725" w:rsidRDefault="004223FE" w:rsidP="001561DD">
      <w:pPr>
        <w:autoSpaceDE w:val="0"/>
        <w:autoSpaceDN w:val="0"/>
        <w:adjustRightInd w:val="0"/>
        <w:ind w:left="851"/>
        <w:rPr>
          <w:color w:val="000000"/>
          <w:sz w:val="24"/>
          <w:szCs w:val="24"/>
          <w:highlight w:val="green"/>
        </w:rPr>
      </w:pPr>
    </w:p>
    <w:p w14:paraId="4E2B4F3B" w14:textId="77777777" w:rsidR="004223FE" w:rsidRPr="00AE3725" w:rsidRDefault="004223FE" w:rsidP="001561DD">
      <w:pPr>
        <w:autoSpaceDE w:val="0"/>
        <w:autoSpaceDN w:val="0"/>
        <w:adjustRightInd w:val="0"/>
        <w:ind w:left="851"/>
        <w:rPr>
          <w:color w:val="000000"/>
          <w:sz w:val="24"/>
          <w:szCs w:val="24"/>
          <w:highlight w:val="green"/>
          <w:u w:val="single"/>
        </w:rPr>
      </w:pPr>
      <w:r w:rsidRPr="00AE3725">
        <w:rPr>
          <w:color w:val="000000"/>
          <w:sz w:val="24"/>
          <w:szCs w:val="24"/>
          <w:u w:val="single"/>
        </w:rPr>
        <w:t>Indberetning af formodede bivirkninger</w:t>
      </w:r>
    </w:p>
    <w:p w14:paraId="6E8B6A57" w14:textId="77777777" w:rsidR="004223FE" w:rsidRPr="00AE3725" w:rsidRDefault="004223FE" w:rsidP="001561DD">
      <w:pPr>
        <w:autoSpaceDE w:val="0"/>
        <w:autoSpaceDN w:val="0"/>
        <w:adjustRightInd w:val="0"/>
        <w:ind w:left="851"/>
        <w:rPr>
          <w:rFonts w:eastAsia="TimesNewRoman"/>
          <w:color w:val="000000"/>
          <w:sz w:val="24"/>
          <w:szCs w:val="24"/>
        </w:rPr>
      </w:pPr>
      <w:r w:rsidRPr="00AE3725">
        <w:rPr>
          <w:rFonts w:eastAsia="TimesNewRoman"/>
          <w:color w:val="000000"/>
          <w:sz w:val="24"/>
          <w:szCs w:val="24"/>
        </w:rPr>
        <w:t>Når lægemidlet er godkendt, er indberetning af formodede bivirkninger vigtig. Det muliggør løbende overvågning af benefit/</w:t>
      </w:r>
      <w:proofErr w:type="spellStart"/>
      <w:r w:rsidRPr="00AE3725">
        <w:rPr>
          <w:rFonts w:eastAsia="TimesNewRoman"/>
          <w:color w:val="000000"/>
          <w:sz w:val="24"/>
          <w:szCs w:val="24"/>
        </w:rPr>
        <w:t>risk</w:t>
      </w:r>
      <w:proofErr w:type="spellEnd"/>
      <w:r w:rsidRPr="00AE3725">
        <w:rPr>
          <w:rFonts w:eastAsia="TimesNewRoman"/>
          <w:color w:val="000000"/>
          <w:sz w:val="24"/>
          <w:szCs w:val="24"/>
        </w:rPr>
        <w:t>-forholdet for lægemidlet. Sundhedspersoner anmodes om at indberette alle formodede bivirkninger via:</w:t>
      </w:r>
    </w:p>
    <w:p w14:paraId="611F6083" w14:textId="77777777" w:rsidR="00772D05" w:rsidRDefault="00772D05" w:rsidP="001561DD">
      <w:pPr>
        <w:autoSpaceDE w:val="0"/>
        <w:autoSpaceDN w:val="0"/>
        <w:adjustRightInd w:val="0"/>
        <w:ind w:left="851"/>
        <w:rPr>
          <w:rFonts w:eastAsia="TimesNewRoman"/>
          <w:color w:val="000000"/>
          <w:sz w:val="24"/>
          <w:szCs w:val="24"/>
        </w:rPr>
      </w:pPr>
    </w:p>
    <w:p w14:paraId="757B78A0" w14:textId="2ECBF269" w:rsidR="004223FE" w:rsidRPr="00AE3725" w:rsidRDefault="004223FE" w:rsidP="001561DD">
      <w:pPr>
        <w:autoSpaceDE w:val="0"/>
        <w:autoSpaceDN w:val="0"/>
        <w:adjustRightInd w:val="0"/>
        <w:ind w:left="851"/>
        <w:rPr>
          <w:rFonts w:eastAsia="TimesNewRoman"/>
          <w:color w:val="000000"/>
          <w:sz w:val="24"/>
          <w:szCs w:val="24"/>
        </w:rPr>
      </w:pPr>
      <w:r w:rsidRPr="00AE3725">
        <w:rPr>
          <w:rFonts w:eastAsia="TimesNewRoman"/>
          <w:color w:val="000000"/>
          <w:sz w:val="24"/>
          <w:szCs w:val="24"/>
        </w:rPr>
        <w:t>Lægemiddelstyrelsen</w:t>
      </w:r>
    </w:p>
    <w:p w14:paraId="1CCF770E" w14:textId="77777777" w:rsidR="004223FE" w:rsidRPr="00AE3725" w:rsidRDefault="004223FE" w:rsidP="001561DD">
      <w:pPr>
        <w:autoSpaceDE w:val="0"/>
        <w:autoSpaceDN w:val="0"/>
        <w:adjustRightInd w:val="0"/>
        <w:ind w:left="851"/>
        <w:rPr>
          <w:rFonts w:eastAsia="TimesNewRoman"/>
          <w:color w:val="000000"/>
          <w:sz w:val="24"/>
          <w:szCs w:val="24"/>
        </w:rPr>
      </w:pPr>
      <w:r w:rsidRPr="00AE3725">
        <w:rPr>
          <w:rFonts w:eastAsia="TimesNewRoman"/>
          <w:color w:val="000000"/>
          <w:sz w:val="24"/>
          <w:szCs w:val="24"/>
        </w:rPr>
        <w:t>Axel Heides Gade 1</w:t>
      </w:r>
    </w:p>
    <w:p w14:paraId="5E172156" w14:textId="77777777" w:rsidR="004223FE" w:rsidRPr="00AE3725" w:rsidRDefault="004223FE" w:rsidP="001561DD">
      <w:pPr>
        <w:autoSpaceDE w:val="0"/>
        <w:autoSpaceDN w:val="0"/>
        <w:adjustRightInd w:val="0"/>
        <w:ind w:left="851"/>
        <w:rPr>
          <w:rFonts w:eastAsia="TimesNewRoman"/>
          <w:color w:val="000000"/>
          <w:sz w:val="24"/>
          <w:szCs w:val="24"/>
        </w:rPr>
      </w:pPr>
      <w:r w:rsidRPr="00AE3725">
        <w:rPr>
          <w:rFonts w:eastAsia="TimesNewRoman"/>
          <w:color w:val="000000"/>
          <w:sz w:val="24"/>
          <w:szCs w:val="24"/>
        </w:rPr>
        <w:t>DK-2300 København S</w:t>
      </w:r>
    </w:p>
    <w:p w14:paraId="3866C47F" w14:textId="77777777" w:rsidR="004223FE" w:rsidRPr="00AE3725" w:rsidRDefault="004223FE" w:rsidP="001561DD">
      <w:pPr>
        <w:autoSpaceDE w:val="0"/>
        <w:autoSpaceDN w:val="0"/>
        <w:adjustRightInd w:val="0"/>
        <w:ind w:left="851"/>
        <w:rPr>
          <w:rFonts w:eastAsia="TimesNewRoman"/>
          <w:color w:val="000000"/>
          <w:sz w:val="24"/>
          <w:szCs w:val="24"/>
        </w:rPr>
      </w:pPr>
      <w:r w:rsidRPr="00AE3725">
        <w:rPr>
          <w:rFonts w:eastAsia="TimesNewRoman"/>
          <w:color w:val="000000"/>
          <w:sz w:val="24"/>
          <w:szCs w:val="24"/>
        </w:rPr>
        <w:t xml:space="preserve">Websted: </w:t>
      </w:r>
      <w:hyperlink r:id="rId8" w:history="1">
        <w:r w:rsidRPr="00AE3725">
          <w:rPr>
            <w:rStyle w:val="Hyperlink"/>
            <w:rFonts w:eastAsia="TimesNewRoman"/>
            <w:sz w:val="24"/>
            <w:szCs w:val="24"/>
          </w:rPr>
          <w:t>www.meldenbivirkning.dk</w:t>
        </w:r>
      </w:hyperlink>
    </w:p>
    <w:p w14:paraId="08213C61" w14:textId="77777777" w:rsidR="009260DE" w:rsidRPr="00AE3725" w:rsidRDefault="009260DE" w:rsidP="00A10294">
      <w:pPr>
        <w:tabs>
          <w:tab w:val="left" w:pos="851"/>
        </w:tabs>
        <w:ind w:left="851"/>
        <w:rPr>
          <w:sz w:val="24"/>
          <w:szCs w:val="24"/>
        </w:rPr>
      </w:pPr>
    </w:p>
    <w:p w14:paraId="7E160231" w14:textId="77777777" w:rsidR="009260DE" w:rsidRPr="00AE3725" w:rsidRDefault="009260DE" w:rsidP="009260DE">
      <w:pPr>
        <w:tabs>
          <w:tab w:val="left" w:pos="851"/>
        </w:tabs>
        <w:ind w:left="851" w:hanging="851"/>
        <w:rPr>
          <w:b/>
          <w:sz w:val="24"/>
          <w:szCs w:val="24"/>
        </w:rPr>
      </w:pPr>
      <w:r w:rsidRPr="00AE3725">
        <w:rPr>
          <w:b/>
          <w:sz w:val="24"/>
          <w:szCs w:val="24"/>
        </w:rPr>
        <w:t>4.9</w:t>
      </w:r>
      <w:r w:rsidRPr="00AE3725">
        <w:rPr>
          <w:b/>
          <w:sz w:val="24"/>
          <w:szCs w:val="24"/>
        </w:rPr>
        <w:tab/>
        <w:t>Overdosering</w:t>
      </w:r>
    </w:p>
    <w:p w14:paraId="3F8B1C43" w14:textId="77777777" w:rsidR="004223FE" w:rsidRPr="00AE3725" w:rsidRDefault="004223FE" w:rsidP="001561DD">
      <w:pPr>
        <w:autoSpaceDE w:val="0"/>
        <w:autoSpaceDN w:val="0"/>
        <w:adjustRightInd w:val="0"/>
        <w:ind w:left="851"/>
        <w:rPr>
          <w:color w:val="000000"/>
          <w:sz w:val="24"/>
          <w:szCs w:val="24"/>
        </w:rPr>
      </w:pPr>
      <w:r w:rsidRPr="00AE3725">
        <w:rPr>
          <w:color w:val="000000"/>
          <w:sz w:val="24"/>
          <w:szCs w:val="24"/>
        </w:rPr>
        <w:t xml:space="preserve">Hos en patient, der mistænkes for at have taget mere end den daglige ordinerede dosis på 100 mg i en måned, blev der indberettet symptomer på forvirring, søvnighed, glemsomhed </w:t>
      </w:r>
      <w:r w:rsidRPr="00AE3725">
        <w:rPr>
          <w:color w:val="000000"/>
          <w:sz w:val="24"/>
          <w:szCs w:val="24"/>
        </w:rPr>
        <w:lastRenderedPageBreak/>
        <w:t xml:space="preserve">og forstørrede pupiller. Disse symptomer forsvandt ved </w:t>
      </w:r>
      <w:proofErr w:type="spellStart"/>
      <w:r w:rsidRPr="00AE3725">
        <w:rPr>
          <w:color w:val="000000"/>
          <w:sz w:val="24"/>
          <w:szCs w:val="24"/>
        </w:rPr>
        <w:t>seponering</w:t>
      </w:r>
      <w:proofErr w:type="spellEnd"/>
      <w:r w:rsidRPr="00AE3725">
        <w:rPr>
          <w:color w:val="000000"/>
          <w:sz w:val="24"/>
          <w:szCs w:val="24"/>
        </w:rPr>
        <w:t xml:space="preserve"> af lægemidlet, uden mén.</w:t>
      </w:r>
    </w:p>
    <w:p w14:paraId="56C816D9" w14:textId="77777777" w:rsidR="004223FE" w:rsidRPr="00AE3725" w:rsidRDefault="004223FE" w:rsidP="001561DD">
      <w:pPr>
        <w:autoSpaceDE w:val="0"/>
        <w:autoSpaceDN w:val="0"/>
        <w:adjustRightInd w:val="0"/>
        <w:ind w:left="851"/>
        <w:rPr>
          <w:color w:val="000000"/>
          <w:sz w:val="24"/>
          <w:szCs w:val="24"/>
          <w:highlight w:val="green"/>
        </w:rPr>
      </w:pPr>
    </w:p>
    <w:p w14:paraId="55215ADF" w14:textId="77777777" w:rsidR="004223FE" w:rsidRPr="00AE3725" w:rsidRDefault="004223FE" w:rsidP="001561DD">
      <w:pPr>
        <w:autoSpaceDE w:val="0"/>
        <w:autoSpaceDN w:val="0"/>
        <w:adjustRightInd w:val="0"/>
        <w:ind w:left="851"/>
        <w:rPr>
          <w:color w:val="000000"/>
          <w:sz w:val="24"/>
          <w:szCs w:val="24"/>
        </w:rPr>
      </w:pPr>
      <w:r w:rsidRPr="00AE3725">
        <w:rPr>
          <w:color w:val="000000"/>
          <w:sz w:val="24"/>
          <w:szCs w:val="24"/>
        </w:rPr>
        <w:t xml:space="preserve">Det forventede mønster af hændelser eller symptomer efter forsætlig eller utilsigtet overdosering med safinamid vil være dem, som relaterer til den </w:t>
      </w:r>
      <w:proofErr w:type="spellStart"/>
      <w:r w:rsidRPr="00AE3725">
        <w:rPr>
          <w:color w:val="000000"/>
          <w:sz w:val="24"/>
          <w:szCs w:val="24"/>
        </w:rPr>
        <w:t>farmakodynamiske</w:t>
      </w:r>
      <w:proofErr w:type="spellEnd"/>
      <w:r w:rsidRPr="00AE3725">
        <w:rPr>
          <w:color w:val="000000"/>
          <w:sz w:val="24"/>
          <w:szCs w:val="24"/>
        </w:rPr>
        <w:t xml:space="preserve"> profil: MAO-B-hæmning med aktivitetsafhængig hæmning af Na+-kanaler. Symptomerne på en overdreven MAO-B-hæmning (forøgelse i dopamin-niveau), kan omfatte hypertension, </w:t>
      </w:r>
      <w:proofErr w:type="spellStart"/>
      <w:r w:rsidRPr="00AE3725">
        <w:rPr>
          <w:color w:val="000000"/>
          <w:sz w:val="24"/>
          <w:szCs w:val="24"/>
        </w:rPr>
        <w:t>postural</w:t>
      </w:r>
      <w:proofErr w:type="spellEnd"/>
      <w:r w:rsidRPr="00AE3725">
        <w:rPr>
          <w:color w:val="000000"/>
          <w:sz w:val="24"/>
          <w:szCs w:val="24"/>
        </w:rPr>
        <w:t xml:space="preserve"> hypotension, hallucinationer, agitation, kvalme, opkastning og </w:t>
      </w:r>
      <w:proofErr w:type="spellStart"/>
      <w:r w:rsidRPr="00AE3725">
        <w:rPr>
          <w:color w:val="000000"/>
          <w:sz w:val="24"/>
          <w:szCs w:val="24"/>
        </w:rPr>
        <w:t>dyskinesi</w:t>
      </w:r>
      <w:proofErr w:type="spellEnd"/>
      <w:r w:rsidRPr="00AE3725">
        <w:rPr>
          <w:color w:val="000000"/>
          <w:sz w:val="24"/>
          <w:szCs w:val="24"/>
        </w:rPr>
        <w:t>.</w:t>
      </w:r>
    </w:p>
    <w:p w14:paraId="7BA80742" w14:textId="77777777" w:rsidR="004223FE" w:rsidRPr="00AE3725" w:rsidRDefault="004223FE" w:rsidP="001561DD">
      <w:pPr>
        <w:autoSpaceDE w:val="0"/>
        <w:autoSpaceDN w:val="0"/>
        <w:adjustRightInd w:val="0"/>
        <w:ind w:left="851"/>
        <w:rPr>
          <w:color w:val="000000"/>
          <w:sz w:val="24"/>
          <w:szCs w:val="24"/>
        </w:rPr>
      </w:pPr>
    </w:p>
    <w:p w14:paraId="782B5E8B" w14:textId="77777777" w:rsidR="004223FE" w:rsidRPr="00AE3725" w:rsidRDefault="004223FE" w:rsidP="001561DD">
      <w:pPr>
        <w:autoSpaceDE w:val="0"/>
        <w:autoSpaceDN w:val="0"/>
        <w:adjustRightInd w:val="0"/>
        <w:ind w:left="851"/>
        <w:rPr>
          <w:sz w:val="24"/>
          <w:szCs w:val="24"/>
        </w:rPr>
      </w:pPr>
      <w:r w:rsidRPr="00AE3725">
        <w:rPr>
          <w:sz w:val="24"/>
          <w:szCs w:val="24"/>
        </w:rPr>
        <w:t>Der er ingen kendt modgift mod safinamid eller nogen specifik behandling for safinamid-overdosering. Hvis der sker en betydelig overdosering, bør safinamid-behandlingen seponeres, og understøttende behandling bør administreres som klinisk indiceret.</w:t>
      </w:r>
    </w:p>
    <w:p w14:paraId="332B8325" w14:textId="77777777" w:rsidR="009260DE" w:rsidRPr="00AE3725" w:rsidRDefault="009260DE" w:rsidP="009260DE">
      <w:pPr>
        <w:tabs>
          <w:tab w:val="left" w:pos="851"/>
        </w:tabs>
        <w:ind w:left="851"/>
        <w:rPr>
          <w:sz w:val="24"/>
          <w:szCs w:val="24"/>
        </w:rPr>
      </w:pPr>
    </w:p>
    <w:p w14:paraId="2752FD68" w14:textId="77777777" w:rsidR="009260DE" w:rsidRPr="00AE3725" w:rsidRDefault="009260DE" w:rsidP="009260DE">
      <w:pPr>
        <w:tabs>
          <w:tab w:val="left" w:pos="851"/>
        </w:tabs>
        <w:ind w:left="851" w:hanging="851"/>
        <w:rPr>
          <w:b/>
          <w:sz w:val="24"/>
          <w:szCs w:val="24"/>
        </w:rPr>
      </w:pPr>
      <w:r w:rsidRPr="00AE3725">
        <w:rPr>
          <w:b/>
          <w:sz w:val="24"/>
          <w:szCs w:val="24"/>
        </w:rPr>
        <w:t>4.10</w:t>
      </w:r>
      <w:r w:rsidRPr="00AE3725">
        <w:rPr>
          <w:b/>
          <w:sz w:val="24"/>
          <w:szCs w:val="24"/>
        </w:rPr>
        <w:tab/>
        <w:t>Udlevering</w:t>
      </w:r>
    </w:p>
    <w:p w14:paraId="35D045E4" w14:textId="3810E98E" w:rsidR="009260DE" w:rsidRPr="00AE3725" w:rsidRDefault="004223FE" w:rsidP="009260DE">
      <w:pPr>
        <w:tabs>
          <w:tab w:val="left" w:pos="851"/>
        </w:tabs>
        <w:ind w:left="851"/>
        <w:rPr>
          <w:sz w:val="24"/>
          <w:szCs w:val="24"/>
        </w:rPr>
      </w:pPr>
      <w:r w:rsidRPr="00AE3725">
        <w:rPr>
          <w:sz w:val="24"/>
          <w:szCs w:val="24"/>
        </w:rPr>
        <w:t>B</w:t>
      </w:r>
    </w:p>
    <w:p w14:paraId="1215FDC5" w14:textId="77777777" w:rsidR="009260DE" w:rsidRPr="00AE3725" w:rsidRDefault="009260DE" w:rsidP="009260DE">
      <w:pPr>
        <w:tabs>
          <w:tab w:val="left" w:pos="851"/>
        </w:tabs>
        <w:ind w:left="851"/>
        <w:rPr>
          <w:sz w:val="24"/>
          <w:szCs w:val="24"/>
        </w:rPr>
      </w:pPr>
    </w:p>
    <w:p w14:paraId="70B51C0C" w14:textId="77777777" w:rsidR="009260DE" w:rsidRPr="00AE3725" w:rsidRDefault="009260DE" w:rsidP="009260DE">
      <w:pPr>
        <w:tabs>
          <w:tab w:val="left" w:pos="851"/>
        </w:tabs>
        <w:ind w:left="851"/>
        <w:rPr>
          <w:sz w:val="24"/>
          <w:szCs w:val="24"/>
        </w:rPr>
      </w:pPr>
    </w:p>
    <w:p w14:paraId="6F01DC03" w14:textId="77777777" w:rsidR="009260DE" w:rsidRPr="00AE3725" w:rsidRDefault="009260DE" w:rsidP="009260DE">
      <w:pPr>
        <w:tabs>
          <w:tab w:val="left" w:pos="851"/>
        </w:tabs>
        <w:ind w:left="851" w:hanging="851"/>
        <w:rPr>
          <w:b/>
          <w:sz w:val="24"/>
          <w:szCs w:val="24"/>
        </w:rPr>
      </w:pPr>
      <w:r w:rsidRPr="00AE3725">
        <w:rPr>
          <w:b/>
          <w:sz w:val="24"/>
          <w:szCs w:val="24"/>
        </w:rPr>
        <w:t>5.</w:t>
      </w:r>
      <w:r w:rsidRPr="00AE3725">
        <w:rPr>
          <w:b/>
          <w:sz w:val="24"/>
          <w:szCs w:val="24"/>
        </w:rPr>
        <w:tab/>
        <w:t>FARMAKOLOGISKE EGENSKABER</w:t>
      </w:r>
    </w:p>
    <w:p w14:paraId="35624F69" w14:textId="77777777" w:rsidR="009260DE" w:rsidRPr="00AE3725" w:rsidRDefault="009260DE" w:rsidP="009260DE">
      <w:pPr>
        <w:tabs>
          <w:tab w:val="left" w:pos="851"/>
        </w:tabs>
        <w:ind w:left="851"/>
        <w:rPr>
          <w:sz w:val="24"/>
          <w:szCs w:val="24"/>
        </w:rPr>
      </w:pPr>
    </w:p>
    <w:p w14:paraId="178D2D6A" w14:textId="77777777" w:rsidR="009260DE" w:rsidRPr="00AE3725" w:rsidRDefault="009260DE" w:rsidP="009260DE">
      <w:pPr>
        <w:tabs>
          <w:tab w:val="num" w:pos="851"/>
        </w:tabs>
        <w:ind w:left="851" w:hanging="851"/>
        <w:rPr>
          <w:b/>
          <w:sz w:val="24"/>
          <w:szCs w:val="24"/>
        </w:rPr>
      </w:pPr>
      <w:r w:rsidRPr="00AE3725">
        <w:rPr>
          <w:b/>
          <w:sz w:val="24"/>
          <w:szCs w:val="24"/>
        </w:rPr>
        <w:t>5.1</w:t>
      </w:r>
      <w:r w:rsidRPr="00AE3725">
        <w:rPr>
          <w:b/>
          <w:sz w:val="24"/>
          <w:szCs w:val="24"/>
        </w:rPr>
        <w:tab/>
      </w:r>
      <w:proofErr w:type="spellStart"/>
      <w:r w:rsidRPr="00AE3725">
        <w:rPr>
          <w:b/>
          <w:sz w:val="24"/>
          <w:szCs w:val="24"/>
        </w:rPr>
        <w:t>Farmakodynamiske</w:t>
      </w:r>
      <w:proofErr w:type="spellEnd"/>
      <w:r w:rsidRPr="00AE3725">
        <w:rPr>
          <w:b/>
          <w:sz w:val="24"/>
          <w:szCs w:val="24"/>
        </w:rPr>
        <w:t xml:space="preserve"> egenskaber</w:t>
      </w:r>
    </w:p>
    <w:p w14:paraId="25C53B08" w14:textId="77777777" w:rsidR="004223FE" w:rsidRPr="00AE3725" w:rsidRDefault="004223FE" w:rsidP="001561DD">
      <w:pPr>
        <w:autoSpaceDE w:val="0"/>
        <w:autoSpaceDN w:val="0"/>
        <w:adjustRightInd w:val="0"/>
        <w:ind w:left="851"/>
        <w:rPr>
          <w:sz w:val="24"/>
          <w:szCs w:val="24"/>
        </w:rPr>
      </w:pPr>
      <w:proofErr w:type="spellStart"/>
      <w:r w:rsidRPr="00AE3725">
        <w:rPr>
          <w:sz w:val="24"/>
          <w:szCs w:val="24"/>
        </w:rPr>
        <w:t>Farmakoterapeutisk</w:t>
      </w:r>
      <w:proofErr w:type="spellEnd"/>
      <w:r w:rsidRPr="00AE3725">
        <w:rPr>
          <w:sz w:val="24"/>
          <w:szCs w:val="24"/>
        </w:rPr>
        <w:t xml:space="preserve"> klassifikation: </w:t>
      </w:r>
      <w:proofErr w:type="spellStart"/>
      <w:r w:rsidRPr="00AE3725">
        <w:rPr>
          <w:sz w:val="24"/>
          <w:szCs w:val="24"/>
        </w:rPr>
        <w:t>Antiparkinsonmiddel</w:t>
      </w:r>
      <w:proofErr w:type="spellEnd"/>
      <w:r w:rsidRPr="00AE3725">
        <w:rPr>
          <w:sz w:val="24"/>
          <w:szCs w:val="24"/>
        </w:rPr>
        <w:t xml:space="preserve">, </w:t>
      </w:r>
      <w:proofErr w:type="spellStart"/>
      <w:r w:rsidRPr="00AE3725">
        <w:rPr>
          <w:sz w:val="24"/>
          <w:szCs w:val="24"/>
        </w:rPr>
        <w:t>monoaminooxidase</w:t>
      </w:r>
      <w:proofErr w:type="spellEnd"/>
      <w:r w:rsidRPr="00AE3725">
        <w:rPr>
          <w:sz w:val="24"/>
          <w:szCs w:val="24"/>
        </w:rPr>
        <w:t>-B-hæmmer. ATC-kode: N04BD03.</w:t>
      </w:r>
    </w:p>
    <w:p w14:paraId="1A766BB7" w14:textId="77777777" w:rsidR="004223FE" w:rsidRPr="00AE3725" w:rsidRDefault="004223FE" w:rsidP="001561DD">
      <w:pPr>
        <w:autoSpaceDE w:val="0"/>
        <w:autoSpaceDN w:val="0"/>
        <w:adjustRightInd w:val="0"/>
        <w:ind w:left="851"/>
        <w:rPr>
          <w:sz w:val="24"/>
          <w:szCs w:val="24"/>
          <w:highlight w:val="green"/>
        </w:rPr>
      </w:pPr>
    </w:p>
    <w:p w14:paraId="4C0EFBBC" w14:textId="77777777" w:rsidR="004223FE" w:rsidRPr="00AE3725" w:rsidRDefault="004223FE" w:rsidP="001561DD">
      <w:pPr>
        <w:autoSpaceDE w:val="0"/>
        <w:autoSpaceDN w:val="0"/>
        <w:adjustRightInd w:val="0"/>
        <w:ind w:left="851"/>
        <w:rPr>
          <w:sz w:val="24"/>
          <w:szCs w:val="24"/>
          <w:u w:val="single"/>
        </w:rPr>
      </w:pPr>
      <w:r w:rsidRPr="00AE3725">
        <w:rPr>
          <w:sz w:val="24"/>
          <w:szCs w:val="24"/>
          <w:u w:val="single"/>
        </w:rPr>
        <w:t>Virkningsmekanisme</w:t>
      </w:r>
    </w:p>
    <w:p w14:paraId="75DC343C" w14:textId="77777777" w:rsidR="004223FE" w:rsidRPr="00AE3725" w:rsidRDefault="004223FE" w:rsidP="001561DD">
      <w:pPr>
        <w:autoSpaceDE w:val="0"/>
        <w:autoSpaceDN w:val="0"/>
        <w:adjustRightInd w:val="0"/>
        <w:ind w:left="851"/>
        <w:rPr>
          <w:sz w:val="24"/>
          <w:szCs w:val="24"/>
        </w:rPr>
      </w:pPr>
    </w:p>
    <w:p w14:paraId="1BCCD2F1" w14:textId="77777777" w:rsidR="004223FE" w:rsidRPr="00AE3725" w:rsidRDefault="004223FE" w:rsidP="001561DD">
      <w:pPr>
        <w:autoSpaceDE w:val="0"/>
        <w:autoSpaceDN w:val="0"/>
        <w:adjustRightInd w:val="0"/>
        <w:ind w:left="851"/>
        <w:rPr>
          <w:sz w:val="24"/>
          <w:szCs w:val="24"/>
        </w:rPr>
      </w:pPr>
      <w:r w:rsidRPr="00AE3725">
        <w:rPr>
          <w:sz w:val="24"/>
          <w:szCs w:val="24"/>
        </w:rPr>
        <w:t xml:space="preserve">Safinamid virker gennem både </w:t>
      </w:r>
      <w:proofErr w:type="spellStart"/>
      <w:r w:rsidRPr="00AE3725">
        <w:rPr>
          <w:sz w:val="24"/>
          <w:szCs w:val="24"/>
        </w:rPr>
        <w:t>dopaminerge</w:t>
      </w:r>
      <w:proofErr w:type="spellEnd"/>
      <w:r w:rsidRPr="00AE3725">
        <w:rPr>
          <w:sz w:val="24"/>
          <w:szCs w:val="24"/>
        </w:rPr>
        <w:t xml:space="preserve"> og ikke-</w:t>
      </w:r>
      <w:proofErr w:type="spellStart"/>
      <w:r w:rsidRPr="00AE3725">
        <w:rPr>
          <w:sz w:val="24"/>
          <w:szCs w:val="24"/>
        </w:rPr>
        <w:t>dopaminerge</w:t>
      </w:r>
      <w:proofErr w:type="spellEnd"/>
      <w:r w:rsidRPr="00AE3725">
        <w:rPr>
          <w:sz w:val="24"/>
          <w:szCs w:val="24"/>
        </w:rPr>
        <w:t xml:space="preserve"> virkningsmekanismer. Safinamid er en højst selektiv og reversibel MAO-B-hæmmer, der forårsager en stigning i ekstracellulære niveauer af dopamin i </w:t>
      </w:r>
      <w:proofErr w:type="spellStart"/>
      <w:r w:rsidRPr="00AE3725">
        <w:rPr>
          <w:sz w:val="24"/>
          <w:szCs w:val="24"/>
        </w:rPr>
        <w:t>striatum</w:t>
      </w:r>
      <w:proofErr w:type="spellEnd"/>
      <w:r w:rsidRPr="00AE3725">
        <w:rPr>
          <w:sz w:val="24"/>
          <w:szCs w:val="24"/>
        </w:rPr>
        <w:t>. Safinamid er forbundet med tilstandsafhængig hæmning af spændingsstyrede natriumkanaler (Na+) og modulation af stimuleret frigivelse af glutamat. Det er ikke påvist i hvor høj grad den ikke-</w:t>
      </w:r>
      <w:proofErr w:type="spellStart"/>
      <w:r w:rsidRPr="00AE3725">
        <w:rPr>
          <w:sz w:val="24"/>
          <w:szCs w:val="24"/>
        </w:rPr>
        <w:t>dopaminerge</w:t>
      </w:r>
      <w:proofErr w:type="spellEnd"/>
      <w:r w:rsidRPr="00AE3725">
        <w:rPr>
          <w:sz w:val="24"/>
          <w:szCs w:val="24"/>
        </w:rPr>
        <w:t xml:space="preserve"> effekt bidrager til den overordnede effekt.</w:t>
      </w:r>
    </w:p>
    <w:p w14:paraId="1BC525D2" w14:textId="77777777" w:rsidR="004223FE" w:rsidRPr="00AE3725" w:rsidRDefault="004223FE" w:rsidP="001561DD">
      <w:pPr>
        <w:autoSpaceDE w:val="0"/>
        <w:autoSpaceDN w:val="0"/>
        <w:adjustRightInd w:val="0"/>
        <w:ind w:left="851"/>
        <w:rPr>
          <w:sz w:val="24"/>
          <w:szCs w:val="24"/>
        </w:rPr>
      </w:pPr>
    </w:p>
    <w:p w14:paraId="75489A97" w14:textId="77777777" w:rsidR="004223FE" w:rsidRPr="00AE3725" w:rsidRDefault="004223FE" w:rsidP="001561DD">
      <w:pPr>
        <w:autoSpaceDE w:val="0"/>
        <w:autoSpaceDN w:val="0"/>
        <w:adjustRightInd w:val="0"/>
        <w:ind w:left="851"/>
        <w:rPr>
          <w:sz w:val="24"/>
          <w:szCs w:val="24"/>
          <w:u w:val="single"/>
        </w:rPr>
      </w:pPr>
      <w:proofErr w:type="spellStart"/>
      <w:r w:rsidRPr="00AE3725">
        <w:rPr>
          <w:sz w:val="24"/>
          <w:szCs w:val="24"/>
          <w:u w:val="single"/>
        </w:rPr>
        <w:t>Farmakodynamisk</w:t>
      </w:r>
      <w:proofErr w:type="spellEnd"/>
      <w:r w:rsidRPr="00AE3725">
        <w:rPr>
          <w:sz w:val="24"/>
          <w:szCs w:val="24"/>
          <w:u w:val="single"/>
        </w:rPr>
        <w:t xml:space="preserve"> virkning</w:t>
      </w:r>
    </w:p>
    <w:p w14:paraId="7D5F809F" w14:textId="77777777" w:rsidR="004223FE" w:rsidRPr="00AE3725" w:rsidRDefault="004223FE" w:rsidP="001561DD">
      <w:pPr>
        <w:autoSpaceDE w:val="0"/>
        <w:autoSpaceDN w:val="0"/>
        <w:adjustRightInd w:val="0"/>
        <w:ind w:left="851"/>
        <w:rPr>
          <w:sz w:val="24"/>
          <w:szCs w:val="24"/>
        </w:rPr>
      </w:pPr>
    </w:p>
    <w:p w14:paraId="53D65802" w14:textId="77777777" w:rsidR="004223FE" w:rsidRPr="00AE3725" w:rsidRDefault="004223FE" w:rsidP="001561DD">
      <w:pPr>
        <w:autoSpaceDE w:val="0"/>
        <w:autoSpaceDN w:val="0"/>
        <w:adjustRightInd w:val="0"/>
        <w:ind w:left="851"/>
        <w:rPr>
          <w:sz w:val="24"/>
          <w:szCs w:val="24"/>
        </w:rPr>
      </w:pPr>
      <w:proofErr w:type="spellStart"/>
      <w:r w:rsidRPr="00AE3725">
        <w:rPr>
          <w:sz w:val="24"/>
          <w:szCs w:val="24"/>
        </w:rPr>
        <w:t>Farmakokinetiske</w:t>
      </w:r>
      <w:proofErr w:type="spellEnd"/>
      <w:r w:rsidRPr="00AE3725">
        <w:rPr>
          <w:sz w:val="24"/>
          <w:szCs w:val="24"/>
        </w:rPr>
        <w:t xml:space="preserve"> populationsmodeller udviklet fra studier med patienter med Parkinsons sygdom viser, at de </w:t>
      </w:r>
      <w:proofErr w:type="spellStart"/>
      <w:r w:rsidRPr="00AE3725">
        <w:rPr>
          <w:sz w:val="24"/>
          <w:szCs w:val="24"/>
        </w:rPr>
        <w:t>farmakokinetiske</w:t>
      </w:r>
      <w:proofErr w:type="spellEnd"/>
      <w:r w:rsidRPr="00AE3725">
        <w:rPr>
          <w:sz w:val="24"/>
          <w:szCs w:val="24"/>
        </w:rPr>
        <w:t xml:space="preserve"> og </w:t>
      </w:r>
      <w:proofErr w:type="spellStart"/>
      <w:r w:rsidRPr="00AE3725">
        <w:rPr>
          <w:sz w:val="24"/>
          <w:szCs w:val="24"/>
        </w:rPr>
        <w:t>farmakodynamiske</w:t>
      </w:r>
      <w:proofErr w:type="spellEnd"/>
      <w:r w:rsidRPr="00AE3725">
        <w:rPr>
          <w:sz w:val="24"/>
          <w:szCs w:val="24"/>
        </w:rPr>
        <w:t xml:space="preserve"> effekter af safinamid ikke var afhængige af alder, køn, vægt, nyrefunktion og eksponering for </w:t>
      </w:r>
      <w:proofErr w:type="spellStart"/>
      <w:r w:rsidRPr="00AE3725">
        <w:rPr>
          <w:sz w:val="24"/>
          <w:szCs w:val="24"/>
        </w:rPr>
        <w:t>levodopa</w:t>
      </w:r>
      <w:proofErr w:type="spellEnd"/>
      <w:r w:rsidRPr="00AE3725">
        <w:rPr>
          <w:sz w:val="24"/>
          <w:szCs w:val="24"/>
        </w:rPr>
        <w:t>, hvilket indikerer, at der ikke kræves dosisjustering på baggrund af disse variable. Samlede analyseresultater af bivirkningsdata fra placebo-kontrollerede studier med patienter med Parkinsons sygdom tyder på, at samtidig administration af safinamid sammen med en bred kategori af almindeligt anvendte lægemidler i denne patientgruppe (</w:t>
      </w:r>
      <w:proofErr w:type="spellStart"/>
      <w:r w:rsidRPr="00AE3725">
        <w:rPr>
          <w:sz w:val="24"/>
          <w:szCs w:val="24"/>
        </w:rPr>
        <w:t>antihypertensiva</w:t>
      </w:r>
      <w:proofErr w:type="spellEnd"/>
      <w:r w:rsidRPr="00AE3725">
        <w:rPr>
          <w:sz w:val="24"/>
          <w:szCs w:val="24"/>
        </w:rPr>
        <w:t>, beta-</w:t>
      </w:r>
      <w:proofErr w:type="spellStart"/>
      <w:r w:rsidRPr="00AE3725">
        <w:rPr>
          <w:sz w:val="24"/>
          <w:szCs w:val="24"/>
        </w:rPr>
        <w:t>blokkere</w:t>
      </w:r>
      <w:proofErr w:type="spellEnd"/>
      <w:r w:rsidRPr="00AE3725">
        <w:rPr>
          <w:sz w:val="24"/>
          <w:szCs w:val="24"/>
        </w:rPr>
        <w:t>, kolesterolsænkende, ikke-</w:t>
      </w:r>
      <w:proofErr w:type="spellStart"/>
      <w:r w:rsidRPr="00AE3725">
        <w:rPr>
          <w:sz w:val="24"/>
          <w:szCs w:val="24"/>
        </w:rPr>
        <w:t>steroide</w:t>
      </w:r>
      <w:proofErr w:type="spellEnd"/>
      <w:r w:rsidRPr="00AE3725">
        <w:rPr>
          <w:sz w:val="24"/>
          <w:szCs w:val="24"/>
        </w:rPr>
        <w:t xml:space="preserve"> anti-inflammatoriske, protonpumpe-</w:t>
      </w:r>
      <w:proofErr w:type="spellStart"/>
      <w:r w:rsidRPr="00AE3725">
        <w:rPr>
          <w:sz w:val="24"/>
          <w:szCs w:val="24"/>
        </w:rPr>
        <w:t>hæmmere</w:t>
      </w:r>
      <w:proofErr w:type="spellEnd"/>
      <w:r w:rsidRPr="00AE3725">
        <w:rPr>
          <w:sz w:val="24"/>
          <w:szCs w:val="24"/>
        </w:rPr>
        <w:t xml:space="preserve">, </w:t>
      </w:r>
      <w:proofErr w:type="spellStart"/>
      <w:r w:rsidRPr="00AE3725">
        <w:rPr>
          <w:sz w:val="24"/>
          <w:szCs w:val="24"/>
        </w:rPr>
        <w:t>antidepressiva</w:t>
      </w:r>
      <w:proofErr w:type="spellEnd"/>
      <w:r w:rsidRPr="00AE3725">
        <w:rPr>
          <w:sz w:val="24"/>
          <w:szCs w:val="24"/>
        </w:rPr>
        <w:t xml:space="preserve">, etc.) ikke var forbundet med en øget risiko for bivirkninger. Studierne er ikke stratificerede for </w:t>
      </w:r>
      <w:proofErr w:type="spellStart"/>
      <w:r w:rsidRPr="00AE3725">
        <w:rPr>
          <w:sz w:val="24"/>
          <w:szCs w:val="24"/>
        </w:rPr>
        <w:t>comedicinering</w:t>
      </w:r>
      <w:proofErr w:type="spellEnd"/>
      <w:r w:rsidRPr="00AE3725">
        <w:rPr>
          <w:sz w:val="24"/>
          <w:szCs w:val="24"/>
        </w:rPr>
        <w:t>, og ingen randomiserede interaktionsstudier er foretaget for disse lægemidler.</w:t>
      </w:r>
    </w:p>
    <w:p w14:paraId="60FB357E" w14:textId="77777777" w:rsidR="004223FE" w:rsidRPr="00AE3725" w:rsidRDefault="004223FE" w:rsidP="001561DD">
      <w:pPr>
        <w:autoSpaceDE w:val="0"/>
        <w:autoSpaceDN w:val="0"/>
        <w:adjustRightInd w:val="0"/>
        <w:ind w:left="851"/>
        <w:rPr>
          <w:sz w:val="24"/>
          <w:szCs w:val="24"/>
          <w:highlight w:val="green"/>
        </w:rPr>
      </w:pPr>
    </w:p>
    <w:p w14:paraId="20400AC7" w14:textId="77777777" w:rsidR="004223FE" w:rsidRPr="00AE3725" w:rsidRDefault="004223FE" w:rsidP="001561DD">
      <w:pPr>
        <w:autoSpaceDE w:val="0"/>
        <w:autoSpaceDN w:val="0"/>
        <w:adjustRightInd w:val="0"/>
        <w:ind w:left="851"/>
        <w:rPr>
          <w:sz w:val="24"/>
          <w:szCs w:val="24"/>
          <w:highlight w:val="green"/>
          <w:u w:val="single"/>
        </w:rPr>
      </w:pPr>
      <w:r w:rsidRPr="00AE3725">
        <w:rPr>
          <w:sz w:val="24"/>
          <w:szCs w:val="24"/>
          <w:u w:val="single"/>
        </w:rPr>
        <w:t>Klinisk virkning</w:t>
      </w:r>
    </w:p>
    <w:p w14:paraId="53EA2C43" w14:textId="77777777" w:rsidR="004223FE" w:rsidRPr="00AE3725" w:rsidRDefault="004223FE" w:rsidP="001561DD">
      <w:pPr>
        <w:autoSpaceDE w:val="0"/>
        <w:autoSpaceDN w:val="0"/>
        <w:adjustRightInd w:val="0"/>
        <w:ind w:left="851"/>
        <w:rPr>
          <w:sz w:val="24"/>
          <w:szCs w:val="24"/>
          <w:highlight w:val="green"/>
          <w:u w:val="single"/>
        </w:rPr>
      </w:pPr>
    </w:p>
    <w:p w14:paraId="59B0FA7A" w14:textId="77777777" w:rsidR="004223FE" w:rsidRPr="00AE3725" w:rsidRDefault="004223FE" w:rsidP="001561DD">
      <w:pPr>
        <w:autoSpaceDE w:val="0"/>
        <w:autoSpaceDN w:val="0"/>
        <w:adjustRightInd w:val="0"/>
        <w:ind w:left="851"/>
        <w:rPr>
          <w:i/>
          <w:iCs/>
          <w:sz w:val="24"/>
          <w:szCs w:val="24"/>
          <w:highlight w:val="green"/>
        </w:rPr>
      </w:pPr>
      <w:r w:rsidRPr="00AE3725">
        <w:rPr>
          <w:i/>
          <w:iCs/>
          <w:sz w:val="24"/>
          <w:szCs w:val="24"/>
        </w:rPr>
        <w:t>Undersøgelse af PD-patienter i mellemfasen eller den senere fase</w:t>
      </w:r>
    </w:p>
    <w:p w14:paraId="758608FD" w14:textId="0BC66E8A" w:rsidR="004223FE" w:rsidRPr="00AE3725" w:rsidRDefault="004223FE" w:rsidP="001561DD">
      <w:pPr>
        <w:autoSpaceDE w:val="0"/>
        <w:autoSpaceDN w:val="0"/>
        <w:adjustRightInd w:val="0"/>
        <w:ind w:left="851"/>
        <w:rPr>
          <w:sz w:val="24"/>
          <w:szCs w:val="24"/>
        </w:rPr>
      </w:pPr>
      <w:r w:rsidRPr="00AE3725">
        <w:rPr>
          <w:sz w:val="24"/>
          <w:szCs w:val="24"/>
        </w:rPr>
        <w:t>Virkningen af safinamid som tillægsbehandling i mellemfasen eller den senere fase af PD (</w:t>
      </w:r>
      <w:proofErr w:type="spellStart"/>
      <w:r w:rsidRPr="00AE3725">
        <w:rPr>
          <w:i/>
          <w:iCs/>
          <w:sz w:val="24"/>
          <w:szCs w:val="24"/>
        </w:rPr>
        <w:t>late</w:t>
      </w:r>
      <w:proofErr w:type="spellEnd"/>
      <w:r w:rsidRPr="00AE3725">
        <w:rPr>
          <w:i/>
          <w:iCs/>
          <w:sz w:val="24"/>
          <w:szCs w:val="24"/>
        </w:rPr>
        <w:t>-stage PD</w:t>
      </w:r>
      <w:r w:rsidRPr="00AE3725">
        <w:rPr>
          <w:sz w:val="24"/>
          <w:szCs w:val="24"/>
        </w:rPr>
        <w:t xml:space="preserve">, LSPD) hos patienter med motoriske fluktuationer, der på nuværende </w:t>
      </w:r>
      <w:r w:rsidRPr="00AE3725">
        <w:rPr>
          <w:sz w:val="24"/>
          <w:szCs w:val="24"/>
        </w:rPr>
        <w:lastRenderedPageBreak/>
        <w:t>tidspunkt behandles med L-</w:t>
      </w:r>
      <w:proofErr w:type="spellStart"/>
      <w:r w:rsidRPr="00AE3725">
        <w:rPr>
          <w:sz w:val="24"/>
          <w:szCs w:val="24"/>
        </w:rPr>
        <w:t>dopa</w:t>
      </w:r>
      <w:proofErr w:type="spellEnd"/>
      <w:r w:rsidRPr="00AE3725">
        <w:rPr>
          <w:sz w:val="24"/>
          <w:szCs w:val="24"/>
        </w:rPr>
        <w:t xml:space="preserve"> alene eller i kombination med andre PD-lægemiddel</w:t>
      </w:r>
      <w:r w:rsidR="00772D05">
        <w:rPr>
          <w:sz w:val="24"/>
          <w:szCs w:val="24"/>
        </w:rPr>
        <w:softHyphen/>
      </w:r>
      <w:r w:rsidRPr="00AE3725">
        <w:rPr>
          <w:sz w:val="24"/>
          <w:szCs w:val="24"/>
        </w:rPr>
        <w:t>produkter, blev evalueret i to dobbeltblindede placebo-kontrollerede studier: Studie SETTLE (studie 27919; 50-100 mg/dag i 24 uger) og studie 016/018 (50 og 100 mg/dag i 2 år, dobbeltblindet placebo-kontrolleret studier).</w:t>
      </w:r>
    </w:p>
    <w:p w14:paraId="3213B69D" w14:textId="77777777" w:rsidR="004223FE" w:rsidRPr="00AE3725" w:rsidRDefault="004223FE" w:rsidP="001561DD">
      <w:pPr>
        <w:autoSpaceDE w:val="0"/>
        <w:autoSpaceDN w:val="0"/>
        <w:adjustRightInd w:val="0"/>
        <w:ind w:left="851"/>
        <w:rPr>
          <w:sz w:val="24"/>
          <w:szCs w:val="24"/>
        </w:rPr>
      </w:pPr>
    </w:p>
    <w:p w14:paraId="395183AC" w14:textId="77777777" w:rsidR="004223FE" w:rsidRPr="00AE3725" w:rsidRDefault="004223FE" w:rsidP="001561DD">
      <w:pPr>
        <w:autoSpaceDE w:val="0"/>
        <w:autoSpaceDN w:val="0"/>
        <w:adjustRightInd w:val="0"/>
        <w:ind w:left="851"/>
        <w:rPr>
          <w:sz w:val="24"/>
          <w:szCs w:val="24"/>
        </w:rPr>
      </w:pPr>
      <w:r w:rsidRPr="00AE3725">
        <w:rPr>
          <w:sz w:val="24"/>
          <w:szCs w:val="24"/>
        </w:rPr>
        <w:t xml:space="preserve">Den primære virkningsparameter var ændringen fra udgangspunktet til endepunktet i ‘ON tid uden generende </w:t>
      </w:r>
      <w:proofErr w:type="spellStart"/>
      <w:r w:rsidRPr="00AE3725">
        <w:rPr>
          <w:sz w:val="24"/>
          <w:szCs w:val="24"/>
        </w:rPr>
        <w:t>dyskinesi</w:t>
      </w:r>
      <w:proofErr w:type="spellEnd"/>
      <w:r w:rsidRPr="00AE3725">
        <w:rPr>
          <w:sz w:val="24"/>
          <w:szCs w:val="24"/>
        </w:rPr>
        <w:t>’.</w:t>
      </w:r>
    </w:p>
    <w:p w14:paraId="073520C6" w14:textId="77777777" w:rsidR="004223FE" w:rsidRPr="00AE3725" w:rsidRDefault="004223FE" w:rsidP="001561DD">
      <w:pPr>
        <w:autoSpaceDE w:val="0"/>
        <w:autoSpaceDN w:val="0"/>
        <w:adjustRightInd w:val="0"/>
        <w:ind w:left="851"/>
        <w:rPr>
          <w:sz w:val="24"/>
          <w:szCs w:val="24"/>
        </w:rPr>
      </w:pPr>
    </w:p>
    <w:p w14:paraId="1C3703C1" w14:textId="77777777" w:rsidR="004223FE" w:rsidRPr="00AE3725" w:rsidRDefault="004223FE" w:rsidP="001561DD">
      <w:pPr>
        <w:autoSpaceDE w:val="0"/>
        <w:autoSpaceDN w:val="0"/>
        <w:adjustRightInd w:val="0"/>
        <w:ind w:left="851"/>
        <w:rPr>
          <w:sz w:val="24"/>
          <w:szCs w:val="24"/>
        </w:rPr>
      </w:pPr>
      <w:r w:rsidRPr="00AE3725">
        <w:rPr>
          <w:sz w:val="24"/>
          <w:szCs w:val="24"/>
        </w:rPr>
        <w:t xml:space="preserve">Sekundær virkningsparameter inkluderer OFF tid, UPDRS ll og </w:t>
      </w:r>
      <w:proofErr w:type="spellStart"/>
      <w:r w:rsidRPr="00AE3725">
        <w:rPr>
          <w:sz w:val="24"/>
          <w:szCs w:val="24"/>
        </w:rPr>
        <w:t>lll</w:t>
      </w:r>
      <w:proofErr w:type="spellEnd"/>
      <w:r w:rsidRPr="00AE3725">
        <w:rPr>
          <w:sz w:val="24"/>
          <w:szCs w:val="24"/>
        </w:rPr>
        <w:t xml:space="preserve"> (</w:t>
      </w:r>
      <w:proofErr w:type="spellStart"/>
      <w:r w:rsidRPr="00AE3725">
        <w:rPr>
          <w:sz w:val="24"/>
          <w:szCs w:val="24"/>
        </w:rPr>
        <w:t>Unified</w:t>
      </w:r>
      <w:proofErr w:type="spellEnd"/>
      <w:r w:rsidRPr="00AE3725">
        <w:rPr>
          <w:sz w:val="24"/>
          <w:szCs w:val="24"/>
        </w:rPr>
        <w:t xml:space="preserve"> </w:t>
      </w:r>
      <w:proofErr w:type="spellStart"/>
      <w:r w:rsidRPr="00AE3725">
        <w:rPr>
          <w:sz w:val="24"/>
          <w:szCs w:val="24"/>
        </w:rPr>
        <w:t>Parkinson’s</w:t>
      </w:r>
      <w:proofErr w:type="spellEnd"/>
      <w:r w:rsidRPr="00AE3725">
        <w:rPr>
          <w:sz w:val="24"/>
          <w:szCs w:val="24"/>
        </w:rPr>
        <w:t xml:space="preserve"> </w:t>
      </w:r>
      <w:proofErr w:type="spellStart"/>
      <w:r w:rsidRPr="00AE3725">
        <w:rPr>
          <w:sz w:val="24"/>
          <w:szCs w:val="24"/>
        </w:rPr>
        <w:t>Disease</w:t>
      </w:r>
      <w:proofErr w:type="spellEnd"/>
      <w:r w:rsidRPr="00AE3725">
        <w:rPr>
          <w:sz w:val="24"/>
          <w:szCs w:val="24"/>
        </w:rPr>
        <w:t xml:space="preserve"> Rating </w:t>
      </w:r>
      <w:proofErr w:type="spellStart"/>
      <w:r w:rsidRPr="00AE3725">
        <w:rPr>
          <w:sz w:val="24"/>
          <w:szCs w:val="24"/>
        </w:rPr>
        <w:t>Scale</w:t>
      </w:r>
      <w:proofErr w:type="spellEnd"/>
      <w:r w:rsidRPr="00AE3725">
        <w:rPr>
          <w:sz w:val="24"/>
          <w:szCs w:val="24"/>
        </w:rPr>
        <w:t xml:space="preserve"> (samlet vurderingsskema for Parkinson) - pkt. ll og </w:t>
      </w:r>
      <w:proofErr w:type="spellStart"/>
      <w:r w:rsidRPr="00AE3725">
        <w:rPr>
          <w:sz w:val="24"/>
          <w:szCs w:val="24"/>
        </w:rPr>
        <w:t>lll</w:t>
      </w:r>
      <w:proofErr w:type="spellEnd"/>
      <w:r w:rsidRPr="00AE3725">
        <w:rPr>
          <w:sz w:val="24"/>
          <w:szCs w:val="24"/>
        </w:rPr>
        <w:t>), og CGI-C (</w:t>
      </w:r>
      <w:proofErr w:type="spellStart"/>
      <w:r w:rsidRPr="00AE3725">
        <w:rPr>
          <w:i/>
          <w:iCs/>
          <w:sz w:val="24"/>
          <w:szCs w:val="24"/>
        </w:rPr>
        <w:t>Clinical</w:t>
      </w:r>
      <w:proofErr w:type="spellEnd"/>
      <w:r w:rsidRPr="00AE3725">
        <w:rPr>
          <w:i/>
          <w:iCs/>
          <w:sz w:val="24"/>
          <w:szCs w:val="24"/>
        </w:rPr>
        <w:t xml:space="preserve"> Global </w:t>
      </w:r>
      <w:proofErr w:type="spellStart"/>
      <w:r w:rsidRPr="00AE3725">
        <w:rPr>
          <w:i/>
          <w:iCs/>
          <w:sz w:val="24"/>
          <w:szCs w:val="24"/>
        </w:rPr>
        <w:t>Impression</w:t>
      </w:r>
      <w:proofErr w:type="spellEnd"/>
      <w:r w:rsidRPr="00AE3725">
        <w:rPr>
          <w:i/>
          <w:iCs/>
          <w:sz w:val="24"/>
          <w:szCs w:val="24"/>
        </w:rPr>
        <w:t xml:space="preserve"> of Change</w:t>
      </w:r>
      <w:r w:rsidRPr="00AE3725">
        <w:rPr>
          <w:sz w:val="24"/>
          <w:szCs w:val="24"/>
        </w:rPr>
        <w:t>).</w:t>
      </w:r>
    </w:p>
    <w:p w14:paraId="0597C2F5" w14:textId="77777777" w:rsidR="004223FE" w:rsidRPr="00AE3725" w:rsidRDefault="004223FE" w:rsidP="001561DD">
      <w:pPr>
        <w:autoSpaceDE w:val="0"/>
        <w:autoSpaceDN w:val="0"/>
        <w:adjustRightInd w:val="0"/>
        <w:ind w:left="851"/>
        <w:rPr>
          <w:sz w:val="24"/>
          <w:szCs w:val="24"/>
          <w:highlight w:val="green"/>
        </w:rPr>
      </w:pPr>
    </w:p>
    <w:p w14:paraId="2A1EDB31" w14:textId="77777777" w:rsidR="004223FE" w:rsidRPr="00AE3725" w:rsidRDefault="004223FE" w:rsidP="001561DD">
      <w:pPr>
        <w:autoSpaceDE w:val="0"/>
        <w:autoSpaceDN w:val="0"/>
        <w:adjustRightInd w:val="0"/>
        <w:ind w:left="851"/>
        <w:rPr>
          <w:sz w:val="24"/>
          <w:szCs w:val="24"/>
        </w:rPr>
      </w:pPr>
      <w:r w:rsidRPr="00AE3725">
        <w:rPr>
          <w:sz w:val="24"/>
          <w:szCs w:val="24"/>
        </w:rPr>
        <w:t>Både SETTLE- og 016/018-studierne viste signifikant bedre resultater med safinamid sammenlignet med placebo, med måldosis på 50 og 100 mg/dag for den primære og de valgte sekundære virkningsvariable, som opsummeret i tabellen nedenfor. Virkningen på ON tid fortsatte ved slutningen af den 24-måneder lange dobbeltblindede behandlingsperiode for begge safinamid-doser sammenlignet med placebo.</w:t>
      </w:r>
    </w:p>
    <w:p w14:paraId="7CCBA463" w14:textId="77777777" w:rsidR="004223FE" w:rsidRPr="00AE3725" w:rsidRDefault="004223FE" w:rsidP="004223FE">
      <w:pPr>
        <w:autoSpaceDE w:val="0"/>
        <w:autoSpaceDN w:val="0"/>
        <w:adjustRightInd w:val="0"/>
        <w:rPr>
          <w:sz w:val="24"/>
          <w:szCs w:val="24"/>
          <w:highlight w:val="gree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73"/>
        <w:gridCol w:w="935"/>
        <w:gridCol w:w="936"/>
        <w:gridCol w:w="1204"/>
        <w:gridCol w:w="803"/>
        <w:gridCol w:w="936"/>
        <w:gridCol w:w="936"/>
        <w:gridCol w:w="803"/>
        <w:gridCol w:w="1202"/>
      </w:tblGrid>
      <w:tr w:rsidR="004223FE" w:rsidRPr="00772D05" w14:paraId="4F4A3C9D"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47B1F0EF" w14:textId="4FD3E6BC" w:rsidR="004223FE" w:rsidRPr="00772D05" w:rsidRDefault="004223FE" w:rsidP="00772D05">
            <w:pPr>
              <w:pStyle w:val="TableParagraph"/>
              <w:spacing w:line="250" w:lineRule="exact"/>
              <w:ind w:right="132"/>
              <w:rPr>
                <w:b/>
                <w:sz w:val="20"/>
                <w:szCs w:val="20"/>
                <w:highlight w:val="green"/>
                <w:lang w:val="da-DK"/>
              </w:rPr>
            </w:pPr>
            <w:r w:rsidRPr="00772D05">
              <w:rPr>
                <w:b/>
                <w:sz w:val="20"/>
                <w:szCs w:val="20"/>
                <w:lang w:val="da-DK"/>
              </w:rPr>
              <w:t>Undersøgelse</w:t>
            </w:r>
          </w:p>
        </w:tc>
        <w:tc>
          <w:tcPr>
            <w:tcW w:w="1597" w:type="pct"/>
            <w:gridSpan w:val="3"/>
            <w:tcBorders>
              <w:top w:val="single" w:sz="4" w:space="0" w:color="000000"/>
              <w:left w:val="single" w:sz="4" w:space="0" w:color="000000"/>
              <w:bottom w:val="single" w:sz="4" w:space="0" w:color="000000"/>
              <w:right w:val="single" w:sz="4" w:space="0" w:color="000000"/>
            </w:tcBorders>
            <w:hideMark/>
          </w:tcPr>
          <w:p w14:paraId="1074E23C" w14:textId="77777777" w:rsidR="004223FE" w:rsidRPr="00772D05" w:rsidRDefault="004223FE">
            <w:pPr>
              <w:pStyle w:val="TableParagraph"/>
              <w:spacing w:line="250" w:lineRule="exact"/>
              <w:ind w:left="799" w:right="799"/>
              <w:jc w:val="center"/>
              <w:rPr>
                <w:b/>
                <w:sz w:val="20"/>
                <w:szCs w:val="20"/>
                <w:lang w:val="da-DK"/>
              </w:rPr>
            </w:pPr>
            <w:r w:rsidRPr="00772D05">
              <w:rPr>
                <w:b/>
                <w:sz w:val="20"/>
                <w:szCs w:val="20"/>
                <w:lang w:val="da-DK"/>
              </w:rPr>
              <w:t>016</w:t>
            </w:r>
          </w:p>
          <w:p w14:paraId="6F17D05D" w14:textId="77777777" w:rsidR="004223FE" w:rsidRPr="00772D05" w:rsidRDefault="004223FE">
            <w:pPr>
              <w:pStyle w:val="TableParagraph"/>
              <w:spacing w:before="7" w:line="256" w:lineRule="auto"/>
              <w:ind w:left="799" w:right="799"/>
              <w:jc w:val="center"/>
              <w:rPr>
                <w:b/>
                <w:sz w:val="20"/>
                <w:szCs w:val="20"/>
                <w:lang w:val="da-DK"/>
              </w:rPr>
            </w:pPr>
            <w:r w:rsidRPr="00772D05">
              <w:rPr>
                <w:b/>
                <w:sz w:val="20"/>
                <w:szCs w:val="20"/>
                <w:lang w:val="da-DK"/>
              </w:rPr>
              <w:t>(24 uger)</w:t>
            </w:r>
          </w:p>
        </w:tc>
        <w:tc>
          <w:tcPr>
            <w:tcW w:w="1388" w:type="pct"/>
            <w:gridSpan w:val="3"/>
            <w:tcBorders>
              <w:top w:val="single" w:sz="4" w:space="0" w:color="000000"/>
              <w:left w:val="single" w:sz="4" w:space="0" w:color="000000"/>
              <w:bottom w:val="single" w:sz="4" w:space="0" w:color="000000"/>
              <w:right w:val="single" w:sz="4" w:space="0" w:color="000000"/>
            </w:tcBorders>
            <w:hideMark/>
          </w:tcPr>
          <w:p w14:paraId="7FA1854E" w14:textId="77777777" w:rsidR="004223FE" w:rsidRPr="00772D05" w:rsidRDefault="004223FE">
            <w:pPr>
              <w:pStyle w:val="TableParagraph"/>
              <w:spacing w:line="250" w:lineRule="exact"/>
              <w:ind w:left="739" w:right="793"/>
              <w:jc w:val="center"/>
              <w:rPr>
                <w:b/>
                <w:sz w:val="20"/>
                <w:szCs w:val="20"/>
                <w:lang w:val="da-DK"/>
              </w:rPr>
            </w:pPr>
            <w:r w:rsidRPr="00772D05">
              <w:rPr>
                <w:b/>
                <w:sz w:val="20"/>
                <w:szCs w:val="20"/>
                <w:lang w:val="da-DK"/>
              </w:rPr>
              <w:t>016/018</w:t>
            </w:r>
          </w:p>
          <w:p w14:paraId="7283F58C" w14:textId="77777777" w:rsidR="004223FE" w:rsidRPr="00772D05" w:rsidRDefault="004223FE">
            <w:pPr>
              <w:pStyle w:val="TableParagraph"/>
              <w:spacing w:before="7" w:line="256" w:lineRule="auto"/>
              <w:ind w:left="565" w:right="566"/>
              <w:jc w:val="center"/>
              <w:rPr>
                <w:b/>
                <w:sz w:val="20"/>
                <w:szCs w:val="20"/>
                <w:lang w:val="da-DK"/>
              </w:rPr>
            </w:pPr>
            <w:r w:rsidRPr="00772D05">
              <w:rPr>
                <w:b/>
                <w:sz w:val="20"/>
                <w:szCs w:val="20"/>
                <w:lang w:val="da-DK"/>
              </w:rPr>
              <w:t>(2 år)</w:t>
            </w:r>
          </w:p>
        </w:tc>
        <w:tc>
          <w:tcPr>
            <w:tcW w:w="1042" w:type="pct"/>
            <w:gridSpan w:val="2"/>
            <w:tcBorders>
              <w:top w:val="single" w:sz="4" w:space="0" w:color="000000"/>
              <w:left w:val="single" w:sz="4" w:space="0" w:color="000000"/>
              <w:bottom w:val="single" w:sz="4" w:space="0" w:color="000000"/>
              <w:right w:val="single" w:sz="4" w:space="0" w:color="000000"/>
            </w:tcBorders>
            <w:hideMark/>
          </w:tcPr>
          <w:p w14:paraId="4B6FF192" w14:textId="77777777" w:rsidR="004223FE" w:rsidRPr="00772D05" w:rsidRDefault="004223FE">
            <w:pPr>
              <w:pStyle w:val="TableParagraph"/>
              <w:spacing w:line="244" w:lineRule="auto"/>
              <w:ind w:left="314"/>
              <w:jc w:val="center"/>
              <w:rPr>
                <w:b/>
                <w:sz w:val="20"/>
                <w:szCs w:val="20"/>
                <w:lang w:val="da-DK"/>
              </w:rPr>
            </w:pPr>
            <w:r w:rsidRPr="00772D05">
              <w:rPr>
                <w:b/>
                <w:sz w:val="20"/>
                <w:szCs w:val="20"/>
                <w:lang w:val="da-DK"/>
              </w:rPr>
              <w:t>27919 (SETTLE)</w:t>
            </w:r>
          </w:p>
          <w:p w14:paraId="209355AB" w14:textId="77777777" w:rsidR="004223FE" w:rsidRPr="00772D05" w:rsidRDefault="004223FE">
            <w:pPr>
              <w:pStyle w:val="TableParagraph"/>
              <w:spacing w:before="3" w:line="253" w:lineRule="exact"/>
              <w:ind w:left="350" w:right="144"/>
              <w:jc w:val="center"/>
              <w:rPr>
                <w:b/>
                <w:sz w:val="20"/>
                <w:szCs w:val="20"/>
                <w:lang w:val="da-DK"/>
              </w:rPr>
            </w:pPr>
            <w:r w:rsidRPr="00772D05">
              <w:rPr>
                <w:b/>
                <w:sz w:val="20"/>
                <w:szCs w:val="20"/>
                <w:lang w:val="da-DK"/>
              </w:rPr>
              <w:t>(24 uger)</w:t>
            </w:r>
          </w:p>
        </w:tc>
      </w:tr>
      <w:tr w:rsidR="004223FE" w:rsidRPr="00772D05" w14:paraId="095CC932" w14:textId="77777777" w:rsidTr="00772D05">
        <w:trPr>
          <w:trHeight w:val="20"/>
        </w:trPr>
        <w:tc>
          <w:tcPr>
            <w:tcW w:w="973" w:type="pct"/>
            <w:vMerge w:val="restart"/>
            <w:tcBorders>
              <w:top w:val="single" w:sz="4" w:space="0" w:color="000000"/>
              <w:left w:val="single" w:sz="4" w:space="0" w:color="000000"/>
              <w:bottom w:val="single" w:sz="4" w:space="0" w:color="000000"/>
              <w:right w:val="single" w:sz="4" w:space="0" w:color="000000"/>
            </w:tcBorders>
            <w:hideMark/>
          </w:tcPr>
          <w:p w14:paraId="6E04356A" w14:textId="77777777" w:rsidR="004223FE" w:rsidRPr="00772D05" w:rsidRDefault="004223FE" w:rsidP="00772D05">
            <w:pPr>
              <w:pStyle w:val="TableParagraph"/>
              <w:spacing w:line="250" w:lineRule="exact"/>
              <w:ind w:right="132"/>
              <w:rPr>
                <w:sz w:val="20"/>
                <w:szCs w:val="20"/>
                <w:lang w:val="da-DK"/>
              </w:rPr>
            </w:pPr>
            <w:r w:rsidRPr="00772D05">
              <w:rPr>
                <w:b/>
                <w:sz w:val="20"/>
                <w:szCs w:val="20"/>
                <w:lang w:val="da-DK"/>
              </w:rPr>
              <w:t xml:space="preserve">Dosis (mg/dag) </w:t>
            </w:r>
            <w:r w:rsidRPr="00772D05">
              <w:rPr>
                <w:sz w:val="20"/>
                <w:szCs w:val="20"/>
                <w:lang w:val="da-DK"/>
              </w:rPr>
              <w:t>(a)</w:t>
            </w:r>
          </w:p>
        </w:tc>
        <w:tc>
          <w:tcPr>
            <w:tcW w:w="486" w:type="pct"/>
            <w:vMerge w:val="restart"/>
            <w:tcBorders>
              <w:top w:val="single" w:sz="4" w:space="0" w:color="000000"/>
              <w:left w:val="single" w:sz="4" w:space="0" w:color="000000"/>
              <w:bottom w:val="single" w:sz="4" w:space="0" w:color="000000"/>
              <w:right w:val="single" w:sz="4" w:space="0" w:color="000000"/>
            </w:tcBorders>
          </w:tcPr>
          <w:p w14:paraId="3282104E" w14:textId="77777777" w:rsidR="004223FE" w:rsidRPr="00772D05" w:rsidRDefault="004223FE">
            <w:pPr>
              <w:pStyle w:val="TableParagraph"/>
              <w:spacing w:line="256" w:lineRule="auto"/>
              <w:ind w:left="0"/>
              <w:rPr>
                <w:sz w:val="20"/>
                <w:szCs w:val="20"/>
                <w:lang w:val="da-DK"/>
              </w:rPr>
            </w:pPr>
          </w:p>
          <w:p w14:paraId="42B85049" w14:textId="77777777" w:rsidR="004223FE" w:rsidRPr="00772D05" w:rsidRDefault="004223FE">
            <w:pPr>
              <w:pStyle w:val="TableParagraph"/>
              <w:spacing w:line="256" w:lineRule="auto"/>
              <w:ind w:left="69"/>
              <w:rPr>
                <w:b/>
                <w:sz w:val="20"/>
                <w:szCs w:val="20"/>
                <w:lang w:val="da-DK"/>
              </w:rPr>
            </w:pPr>
            <w:r w:rsidRPr="00772D05">
              <w:rPr>
                <w:b/>
                <w:sz w:val="20"/>
                <w:szCs w:val="20"/>
                <w:lang w:val="da-DK"/>
              </w:rPr>
              <w:t>Placebo</w:t>
            </w:r>
          </w:p>
        </w:tc>
        <w:tc>
          <w:tcPr>
            <w:tcW w:w="1111" w:type="pct"/>
            <w:gridSpan w:val="2"/>
            <w:tcBorders>
              <w:top w:val="single" w:sz="4" w:space="0" w:color="000000"/>
              <w:left w:val="single" w:sz="4" w:space="0" w:color="000000"/>
              <w:bottom w:val="single" w:sz="4" w:space="0" w:color="000000"/>
              <w:right w:val="single" w:sz="4" w:space="0" w:color="000000"/>
            </w:tcBorders>
            <w:hideMark/>
          </w:tcPr>
          <w:p w14:paraId="33ECD317" w14:textId="77777777" w:rsidR="004223FE" w:rsidRPr="00772D05" w:rsidRDefault="004223FE">
            <w:pPr>
              <w:pStyle w:val="TableParagraph"/>
              <w:spacing w:before="126" w:line="256" w:lineRule="auto"/>
              <w:ind w:left="338"/>
              <w:rPr>
                <w:b/>
                <w:sz w:val="20"/>
                <w:szCs w:val="20"/>
                <w:lang w:val="da-DK"/>
              </w:rPr>
            </w:pPr>
            <w:r w:rsidRPr="00772D05">
              <w:rPr>
                <w:b/>
                <w:sz w:val="20"/>
                <w:szCs w:val="20"/>
                <w:lang w:val="da-DK"/>
              </w:rPr>
              <w:t>Safinamide</w:t>
            </w:r>
          </w:p>
        </w:tc>
        <w:tc>
          <w:tcPr>
            <w:tcW w:w="417" w:type="pct"/>
            <w:vMerge w:val="restart"/>
            <w:tcBorders>
              <w:top w:val="single" w:sz="4" w:space="0" w:color="000000"/>
              <w:left w:val="single" w:sz="4" w:space="0" w:color="000000"/>
              <w:bottom w:val="single" w:sz="4" w:space="0" w:color="000000"/>
              <w:right w:val="single" w:sz="4" w:space="0" w:color="000000"/>
            </w:tcBorders>
          </w:tcPr>
          <w:p w14:paraId="1F6AF9A4" w14:textId="77777777" w:rsidR="004223FE" w:rsidRPr="00772D05" w:rsidRDefault="004223FE">
            <w:pPr>
              <w:pStyle w:val="TableParagraph"/>
              <w:spacing w:line="256" w:lineRule="auto"/>
              <w:ind w:left="0"/>
              <w:rPr>
                <w:sz w:val="20"/>
                <w:szCs w:val="20"/>
                <w:lang w:val="da-DK"/>
              </w:rPr>
            </w:pPr>
          </w:p>
          <w:p w14:paraId="65F7CBB6" w14:textId="77777777" w:rsidR="004223FE" w:rsidRPr="00772D05" w:rsidRDefault="004223FE">
            <w:pPr>
              <w:pStyle w:val="TableParagraph"/>
              <w:spacing w:line="256" w:lineRule="auto"/>
              <w:ind w:left="88"/>
              <w:rPr>
                <w:b/>
                <w:sz w:val="20"/>
                <w:szCs w:val="20"/>
                <w:lang w:val="da-DK"/>
              </w:rPr>
            </w:pPr>
            <w:r w:rsidRPr="00772D05">
              <w:rPr>
                <w:b/>
                <w:sz w:val="20"/>
                <w:szCs w:val="20"/>
                <w:lang w:val="da-DK"/>
              </w:rPr>
              <w:t>Placebo</w:t>
            </w:r>
          </w:p>
        </w:tc>
        <w:tc>
          <w:tcPr>
            <w:tcW w:w="972" w:type="pct"/>
            <w:gridSpan w:val="2"/>
            <w:tcBorders>
              <w:top w:val="single" w:sz="4" w:space="0" w:color="000000"/>
              <w:left w:val="single" w:sz="4" w:space="0" w:color="000000"/>
              <w:bottom w:val="single" w:sz="4" w:space="0" w:color="000000"/>
              <w:right w:val="single" w:sz="4" w:space="0" w:color="000000"/>
            </w:tcBorders>
            <w:hideMark/>
          </w:tcPr>
          <w:p w14:paraId="6E4EFBBA" w14:textId="77777777" w:rsidR="004223FE" w:rsidRPr="00772D05" w:rsidRDefault="004223FE">
            <w:pPr>
              <w:pStyle w:val="TableParagraph"/>
              <w:spacing w:before="126" w:line="256" w:lineRule="auto"/>
              <w:ind w:left="227"/>
              <w:rPr>
                <w:b/>
                <w:sz w:val="20"/>
                <w:szCs w:val="20"/>
                <w:lang w:val="da-DK"/>
              </w:rPr>
            </w:pPr>
            <w:r w:rsidRPr="00772D05">
              <w:rPr>
                <w:b/>
                <w:sz w:val="20"/>
                <w:szCs w:val="20"/>
                <w:lang w:val="da-DK"/>
              </w:rPr>
              <w:t>Safinamide</w:t>
            </w:r>
          </w:p>
        </w:tc>
        <w:tc>
          <w:tcPr>
            <w:tcW w:w="417" w:type="pct"/>
            <w:vMerge w:val="restart"/>
            <w:tcBorders>
              <w:top w:val="single" w:sz="4" w:space="0" w:color="000000"/>
              <w:left w:val="single" w:sz="4" w:space="0" w:color="000000"/>
              <w:bottom w:val="single" w:sz="4" w:space="0" w:color="000000"/>
              <w:right w:val="single" w:sz="4" w:space="0" w:color="000000"/>
            </w:tcBorders>
          </w:tcPr>
          <w:p w14:paraId="671BFD03" w14:textId="77777777" w:rsidR="004223FE" w:rsidRPr="00772D05" w:rsidRDefault="004223FE">
            <w:pPr>
              <w:pStyle w:val="TableParagraph"/>
              <w:spacing w:line="256" w:lineRule="auto"/>
              <w:ind w:left="0"/>
              <w:rPr>
                <w:sz w:val="20"/>
                <w:szCs w:val="20"/>
                <w:lang w:val="da-DK"/>
              </w:rPr>
            </w:pPr>
          </w:p>
          <w:p w14:paraId="37C65267" w14:textId="77777777" w:rsidR="004223FE" w:rsidRPr="00772D05" w:rsidRDefault="004223FE">
            <w:pPr>
              <w:pStyle w:val="TableParagraph"/>
              <w:spacing w:line="256" w:lineRule="auto"/>
              <w:ind w:left="75"/>
              <w:rPr>
                <w:b/>
                <w:sz w:val="20"/>
                <w:szCs w:val="20"/>
                <w:lang w:val="da-DK"/>
              </w:rPr>
            </w:pPr>
            <w:r w:rsidRPr="00772D05">
              <w:rPr>
                <w:b/>
                <w:sz w:val="20"/>
                <w:szCs w:val="20"/>
                <w:lang w:val="da-DK"/>
              </w:rPr>
              <w:t>Placebo</w:t>
            </w:r>
          </w:p>
        </w:tc>
        <w:tc>
          <w:tcPr>
            <w:tcW w:w="625" w:type="pct"/>
            <w:tcBorders>
              <w:top w:val="single" w:sz="4" w:space="0" w:color="000000"/>
              <w:left w:val="single" w:sz="4" w:space="0" w:color="000000"/>
              <w:bottom w:val="single" w:sz="4" w:space="0" w:color="000000"/>
              <w:right w:val="single" w:sz="4" w:space="0" w:color="000000"/>
            </w:tcBorders>
            <w:hideMark/>
          </w:tcPr>
          <w:p w14:paraId="4E540BFD" w14:textId="77777777" w:rsidR="004223FE" w:rsidRPr="00772D05" w:rsidRDefault="004223FE">
            <w:pPr>
              <w:pStyle w:val="TableParagraph"/>
              <w:spacing w:line="244" w:lineRule="auto"/>
              <w:ind w:left="116" w:right="97" w:firstLine="6"/>
              <w:rPr>
                <w:b/>
                <w:sz w:val="20"/>
                <w:szCs w:val="20"/>
                <w:lang w:val="da-DK"/>
              </w:rPr>
            </w:pPr>
            <w:r w:rsidRPr="00772D05">
              <w:rPr>
                <w:b/>
                <w:sz w:val="20"/>
                <w:szCs w:val="20"/>
                <w:lang w:val="da-DK"/>
              </w:rPr>
              <w:t>Safinamide</w:t>
            </w:r>
          </w:p>
        </w:tc>
      </w:tr>
      <w:tr w:rsidR="004223FE" w:rsidRPr="00772D05" w14:paraId="12B2AACB" w14:textId="77777777" w:rsidTr="00772D05">
        <w:trPr>
          <w:trHeight w:val="20"/>
        </w:trPr>
        <w:tc>
          <w:tcPr>
            <w:tcW w:w="973" w:type="pct"/>
            <w:vMerge/>
            <w:tcBorders>
              <w:top w:val="single" w:sz="4" w:space="0" w:color="000000"/>
              <w:left w:val="single" w:sz="4" w:space="0" w:color="000000"/>
              <w:bottom w:val="single" w:sz="4" w:space="0" w:color="000000"/>
              <w:right w:val="single" w:sz="4" w:space="0" w:color="000000"/>
            </w:tcBorders>
            <w:vAlign w:val="center"/>
            <w:hideMark/>
          </w:tcPr>
          <w:p w14:paraId="479F464D" w14:textId="77777777" w:rsidR="004223FE" w:rsidRPr="00772D05" w:rsidRDefault="004223FE" w:rsidP="00772D05">
            <w:pPr>
              <w:ind w:left="65" w:right="132"/>
              <w:rPr>
                <w:sz w:val="20"/>
              </w:rPr>
            </w:pPr>
          </w:p>
        </w:tc>
        <w:tc>
          <w:tcPr>
            <w:tcW w:w="486" w:type="pct"/>
            <w:vMerge/>
            <w:tcBorders>
              <w:top w:val="single" w:sz="4" w:space="0" w:color="000000"/>
              <w:left w:val="single" w:sz="4" w:space="0" w:color="000000"/>
              <w:bottom w:val="single" w:sz="4" w:space="0" w:color="000000"/>
              <w:right w:val="single" w:sz="4" w:space="0" w:color="000000"/>
            </w:tcBorders>
            <w:vAlign w:val="center"/>
            <w:hideMark/>
          </w:tcPr>
          <w:p w14:paraId="4458C839" w14:textId="77777777" w:rsidR="004223FE" w:rsidRPr="00772D05" w:rsidRDefault="004223FE">
            <w:pPr>
              <w:rPr>
                <w:b/>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1D05FACA" w14:textId="77777777" w:rsidR="004223FE" w:rsidRPr="00772D05" w:rsidRDefault="004223FE">
            <w:pPr>
              <w:pStyle w:val="TableParagraph"/>
              <w:spacing w:before="126" w:line="256" w:lineRule="auto"/>
              <w:ind w:left="56" w:right="56"/>
              <w:jc w:val="center"/>
              <w:rPr>
                <w:b/>
                <w:sz w:val="20"/>
                <w:szCs w:val="20"/>
                <w:lang w:val="da-DK"/>
              </w:rPr>
            </w:pPr>
            <w:r w:rsidRPr="00772D05">
              <w:rPr>
                <w:b/>
                <w:sz w:val="20"/>
                <w:szCs w:val="20"/>
                <w:lang w:val="da-DK"/>
              </w:rPr>
              <w:t>50</w:t>
            </w:r>
          </w:p>
        </w:tc>
        <w:tc>
          <w:tcPr>
            <w:tcW w:w="625" w:type="pct"/>
            <w:tcBorders>
              <w:top w:val="single" w:sz="4" w:space="0" w:color="000000"/>
              <w:left w:val="single" w:sz="4" w:space="0" w:color="000000"/>
              <w:bottom w:val="single" w:sz="4" w:space="0" w:color="000000"/>
              <w:right w:val="single" w:sz="4" w:space="0" w:color="000000"/>
            </w:tcBorders>
            <w:hideMark/>
          </w:tcPr>
          <w:p w14:paraId="0972E72F" w14:textId="77777777" w:rsidR="004223FE" w:rsidRPr="00772D05" w:rsidRDefault="004223FE">
            <w:pPr>
              <w:pStyle w:val="TableParagraph"/>
              <w:spacing w:before="126" w:line="256" w:lineRule="auto"/>
              <w:ind w:left="83" w:right="83"/>
              <w:jc w:val="center"/>
              <w:rPr>
                <w:b/>
                <w:sz w:val="20"/>
                <w:szCs w:val="20"/>
                <w:lang w:val="da-DK"/>
              </w:rPr>
            </w:pPr>
            <w:r w:rsidRPr="00772D05">
              <w:rPr>
                <w:b/>
                <w:sz w:val="20"/>
                <w:szCs w:val="20"/>
                <w:lang w:val="da-DK"/>
              </w:rPr>
              <w:t>100</w:t>
            </w:r>
          </w:p>
        </w:tc>
        <w:tc>
          <w:tcPr>
            <w:tcW w:w="417" w:type="pct"/>
            <w:vMerge/>
            <w:tcBorders>
              <w:top w:val="single" w:sz="4" w:space="0" w:color="000000"/>
              <w:left w:val="single" w:sz="4" w:space="0" w:color="000000"/>
              <w:bottom w:val="single" w:sz="4" w:space="0" w:color="000000"/>
              <w:right w:val="single" w:sz="4" w:space="0" w:color="000000"/>
            </w:tcBorders>
            <w:vAlign w:val="center"/>
            <w:hideMark/>
          </w:tcPr>
          <w:p w14:paraId="181BBAB6" w14:textId="77777777" w:rsidR="004223FE" w:rsidRPr="00772D05" w:rsidRDefault="004223FE">
            <w:pPr>
              <w:rPr>
                <w:b/>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7AD69A47" w14:textId="77777777" w:rsidR="004223FE" w:rsidRPr="00772D05" w:rsidRDefault="004223FE">
            <w:pPr>
              <w:pStyle w:val="TableParagraph"/>
              <w:spacing w:before="126" w:line="256" w:lineRule="auto"/>
              <w:ind w:left="46" w:right="46"/>
              <w:jc w:val="center"/>
              <w:rPr>
                <w:b/>
                <w:sz w:val="20"/>
                <w:szCs w:val="20"/>
                <w:lang w:val="da-DK"/>
              </w:rPr>
            </w:pPr>
            <w:r w:rsidRPr="00772D05">
              <w:rPr>
                <w:b/>
                <w:sz w:val="20"/>
                <w:szCs w:val="20"/>
                <w:lang w:val="da-DK"/>
              </w:rPr>
              <w:t>50</w:t>
            </w:r>
          </w:p>
        </w:tc>
        <w:tc>
          <w:tcPr>
            <w:tcW w:w="486" w:type="pct"/>
            <w:tcBorders>
              <w:top w:val="single" w:sz="4" w:space="0" w:color="000000"/>
              <w:left w:val="single" w:sz="4" w:space="0" w:color="000000"/>
              <w:bottom w:val="single" w:sz="4" w:space="0" w:color="000000"/>
              <w:right w:val="single" w:sz="4" w:space="0" w:color="000000"/>
            </w:tcBorders>
            <w:hideMark/>
          </w:tcPr>
          <w:p w14:paraId="15E97E8C" w14:textId="77777777" w:rsidR="004223FE" w:rsidRPr="00772D05" w:rsidRDefault="004223FE">
            <w:pPr>
              <w:pStyle w:val="TableParagraph"/>
              <w:spacing w:before="126" w:line="256" w:lineRule="auto"/>
              <w:ind w:left="63" w:right="63"/>
              <w:jc w:val="center"/>
              <w:rPr>
                <w:b/>
                <w:sz w:val="20"/>
                <w:szCs w:val="20"/>
                <w:lang w:val="da-DK"/>
              </w:rPr>
            </w:pPr>
            <w:r w:rsidRPr="00772D05">
              <w:rPr>
                <w:b/>
                <w:sz w:val="20"/>
                <w:szCs w:val="20"/>
                <w:lang w:val="da-DK"/>
              </w:rPr>
              <w:t>100</w:t>
            </w:r>
          </w:p>
        </w:tc>
        <w:tc>
          <w:tcPr>
            <w:tcW w:w="417" w:type="pct"/>
            <w:vMerge/>
            <w:tcBorders>
              <w:top w:val="single" w:sz="4" w:space="0" w:color="000000"/>
              <w:left w:val="single" w:sz="4" w:space="0" w:color="000000"/>
              <w:bottom w:val="single" w:sz="4" w:space="0" w:color="000000"/>
              <w:right w:val="single" w:sz="4" w:space="0" w:color="000000"/>
            </w:tcBorders>
            <w:vAlign w:val="center"/>
            <w:hideMark/>
          </w:tcPr>
          <w:p w14:paraId="39A871F0" w14:textId="77777777" w:rsidR="004223FE" w:rsidRPr="00772D05" w:rsidRDefault="004223FE">
            <w:pPr>
              <w:rPr>
                <w:b/>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0E27DD0E" w14:textId="77777777" w:rsidR="004223FE" w:rsidRPr="00772D05" w:rsidRDefault="004223FE">
            <w:pPr>
              <w:pStyle w:val="TableParagraph"/>
              <w:spacing w:line="250" w:lineRule="exact"/>
              <w:ind w:left="72" w:right="72"/>
              <w:jc w:val="center"/>
              <w:rPr>
                <w:b/>
                <w:sz w:val="20"/>
                <w:szCs w:val="20"/>
                <w:lang w:val="da-DK"/>
              </w:rPr>
            </w:pPr>
            <w:r w:rsidRPr="00772D05">
              <w:rPr>
                <w:b/>
                <w:sz w:val="20"/>
                <w:szCs w:val="20"/>
                <w:lang w:val="da-DK"/>
              </w:rPr>
              <w:t>50-100</w:t>
            </w:r>
          </w:p>
          <w:p w14:paraId="2A5825E6" w14:textId="77777777" w:rsidR="004223FE" w:rsidRPr="00772D05" w:rsidRDefault="004223FE">
            <w:pPr>
              <w:pStyle w:val="TableParagraph"/>
              <w:spacing w:before="7" w:line="256" w:lineRule="auto"/>
              <w:ind w:left="72" w:right="72"/>
              <w:jc w:val="center"/>
              <w:rPr>
                <w:b/>
                <w:sz w:val="20"/>
                <w:szCs w:val="20"/>
                <w:lang w:val="da-DK"/>
              </w:rPr>
            </w:pPr>
            <w:r w:rsidRPr="00772D05">
              <w:rPr>
                <w:b/>
                <w:sz w:val="20"/>
                <w:szCs w:val="20"/>
                <w:lang w:val="da-DK"/>
              </w:rPr>
              <w:t>(d)</w:t>
            </w:r>
          </w:p>
        </w:tc>
      </w:tr>
      <w:tr w:rsidR="004223FE" w:rsidRPr="00772D05" w14:paraId="1FECF78D"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4F6A739D" w14:textId="57633898" w:rsidR="004223FE" w:rsidRPr="00772D05" w:rsidRDefault="004223FE" w:rsidP="00772D05">
            <w:pPr>
              <w:pStyle w:val="TableParagraph"/>
              <w:spacing w:line="250" w:lineRule="exact"/>
              <w:ind w:right="132"/>
              <w:rPr>
                <w:b/>
                <w:sz w:val="20"/>
                <w:szCs w:val="20"/>
                <w:highlight w:val="green"/>
                <w:lang w:val="da-DK"/>
              </w:rPr>
            </w:pPr>
            <w:r w:rsidRPr="00772D05">
              <w:rPr>
                <w:b/>
                <w:sz w:val="20"/>
                <w:szCs w:val="20"/>
                <w:lang w:val="da-DK"/>
              </w:rPr>
              <w:t>Randomiseret</w:t>
            </w:r>
          </w:p>
        </w:tc>
        <w:tc>
          <w:tcPr>
            <w:tcW w:w="486" w:type="pct"/>
            <w:tcBorders>
              <w:top w:val="single" w:sz="4" w:space="0" w:color="000000"/>
              <w:left w:val="single" w:sz="4" w:space="0" w:color="000000"/>
              <w:bottom w:val="single" w:sz="4" w:space="0" w:color="000000"/>
              <w:right w:val="single" w:sz="4" w:space="0" w:color="000000"/>
            </w:tcBorders>
            <w:hideMark/>
          </w:tcPr>
          <w:p w14:paraId="41E23FDA" w14:textId="77777777" w:rsidR="004223FE" w:rsidRPr="00772D05" w:rsidRDefault="004223FE">
            <w:pPr>
              <w:pStyle w:val="TableParagraph"/>
              <w:spacing w:line="250" w:lineRule="exact"/>
              <w:ind w:left="40" w:right="40"/>
              <w:jc w:val="center"/>
              <w:rPr>
                <w:sz w:val="20"/>
                <w:szCs w:val="20"/>
                <w:lang w:val="da-DK"/>
              </w:rPr>
            </w:pPr>
            <w:r w:rsidRPr="00772D05">
              <w:rPr>
                <w:sz w:val="20"/>
                <w:szCs w:val="20"/>
                <w:lang w:val="da-DK"/>
              </w:rPr>
              <w:t>222</w:t>
            </w:r>
          </w:p>
        </w:tc>
        <w:tc>
          <w:tcPr>
            <w:tcW w:w="486" w:type="pct"/>
            <w:tcBorders>
              <w:top w:val="single" w:sz="4" w:space="0" w:color="000000"/>
              <w:left w:val="single" w:sz="4" w:space="0" w:color="000000"/>
              <w:bottom w:val="single" w:sz="4" w:space="0" w:color="000000"/>
              <w:right w:val="single" w:sz="4" w:space="0" w:color="000000"/>
            </w:tcBorders>
            <w:hideMark/>
          </w:tcPr>
          <w:p w14:paraId="1FB864AA" w14:textId="77777777" w:rsidR="004223FE" w:rsidRPr="00772D05" w:rsidRDefault="004223FE">
            <w:pPr>
              <w:pStyle w:val="TableParagraph"/>
              <w:spacing w:line="250" w:lineRule="exact"/>
              <w:ind w:left="56" w:right="56"/>
              <w:jc w:val="center"/>
              <w:rPr>
                <w:sz w:val="20"/>
                <w:szCs w:val="20"/>
                <w:lang w:val="da-DK"/>
              </w:rPr>
            </w:pPr>
            <w:r w:rsidRPr="00772D05">
              <w:rPr>
                <w:sz w:val="20"/>
                <w:szCs w:val="20"/>
                <w:lang w:val="da-DK"/>
              </w:rPr>
              <w:t>223</w:t>
            </w:r>
          </w:p>
        </w:tc>
        <w:tc>
          <w:tcPr>
            <w:tcW w:w="625" w:type="pct"/>
            <w:tcBorders>
              <w:top w:val="single" w:sz="4" w:space="0" w:color="000000"/>
              <w:left w:val="single" w:sz="4" w:space="0" w:color="000000"/>
              <w:bottom w:val="single" w:sz="4" w:space="0" w:color="000000"/>
              <w:right w:val="single" w:sz="4" w:space="0" w:color="000000"/>
            </w:tcBorders>
            <w:hideMark/>
          </w:tcPr>
          <w:p w14:paraId="7FFA98C2"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224</w:t>
            </w:r>
          </w:p>
        </w:tc>
        <w:tc>
          <w:tcPr>
            <w:tcW w:w="417" w:type="pct"/>
            <w:tcBorders>
              <w:top w:val="single" w:sz="4" w:space="0" w:color="000000"/>
              <w:left w:val="single" w:sz="4" w:space="0" w:color="000000"/>
              <w:bottom w:val="single" w:sz="4" w:space="0" w:color="000000"/>
              <w:right w:val="single" w:sz="4" w:space="0" w:color="000000"/>
            </w:tcBorders>
            <w:hideMark/>
          </w:tcPr>
          <w:p w14:paraId="4BC343DC" w14:textId="77777777" w:rsidR="004223FE" w:rsidRPr="00772D05" w:rsidRDefault="004223FE">
            <w:pPr>
              <w:pStyle w:val="TableParagraph"/>
              <w:spacing w:line="250" w:lineRule="exact"/>
              <w:ind w:left="32" w:right="32"/>
              <w:jc w:val="center"/>
              <w:rPr>
                <w:sz w:val="20"/>
                <w:szCs w:val="20"/>
                <w:lang w:val="da-DK"/>
              </w:rPr>
            </w:pPr>
            <w:r w:rsidRPr="00772D05">
              <w:rPr>
                <w:sz w:val="20"/>
                <w:szCs w:val="20"/>
                <w:lang w:val="da-DK"/>
              </w:rPr>
              <w:t>222</w:t>
            </w:r>
          </w:p>
        </w:tc>
        <w:tc>
          <w:tcPr>
            <w:tcW w:w="486" w:type="pct"/>
            <w:tcBorders>
              <w:top w:val="single" w:sz="4" w:space="0" w:color="000000"/>
              <w:left w:val="single" w:sz="4" w:space="0" w:color="000000"/>
              <w:bottom w:val="single" w:sz="4" w:space="0" w:color="000000"/>
              <w:right w:val="single" w:sz="4" w:space="0" w:color="000000"/>
            </w:tcBorders>
            <w:hideMark/>
          </w:tcPr>
          <w:p w14:paraId="1D0F32A7"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223</w:t>
            </w:r>
          </w:p>
        </w:tc>
        <w:tc>
          <w:tcPr>
            <w:tcW w:w="486" w:type="pct"/>
            <w:tcBorders>
              <w:top w:val="single" w:sz="4" w:space="0" w:color="000000"/>
              <w:left w:val="single" w:sz="4" w:space="0" w:color="000000"/>
              <w:bottom w:val="single" w:sz="4" w:space="0" w:color="000000"/>
              <w:right w:val="single" w:sz="4" w:space="0" w:color="000000"/>
            </w:tcBorders>
            <w:hideMark/>
          </w:tcPr>
          <w:p w14:paraId="6B170170" w14:textId="77777777" w:rsidR="004223FE" w:rsidRPr="00772D05" w:rsidRDefault="004223FE">
            <w:pPr>
              <w:pStyle w:val="TableParagraph"/>
              <w:spacing w:line="250" w:lineRule="exact"/>
              <w:ind w:left="63" w:right="63"/>
              <w:jc w:val="center"/>
              <w:rPr>
                <w:sz w:val="20"/>
                <w:szCs w:val="20"/>
                <w:lang w:val="da-DK"/>
              </w:rPr>
            </w:pPr>
            <w:r w:rsidRPr="00772D05">
              <w:rPr>
                <w:sz w:val="20"/>
                <w:szCs w:val="20"/>
                <w:lang w:val="da-DK"/>
              </w:rPr>
              <w:t>224</w:t>
            </w:r>
          </w:p>
        </w:tc>
        <w:tc>
          <w:tcPr>
            <w:tcW w:w="417" w:type="pct"/>
            <w:tcBorders>
              <w:top w:val="single" w:sz="4" w:space="0" w:color="000000"/>
              <w:left w:val="single" w:sz="4" w:space="0" w:color="000000"/>
              <w:bottom w:val="single" w:sz="4" w:space="0" w:color="000000"/>
              <w:right w:val="single" w:sz="4" w:space="0" w:color="000000"/>
            </w:tcBorders>
            <w:hideMark/>
          </w:tcPr>
          <w:p w14:paraId="6C9F1E8B"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275</w:t>
            </w:r>
          </w:p>
        </w:tc>
        <w:tc>
          <w:tcPr>
            <w:tcW w:w="625" w:type="pct"/>
            <w:tcBorders>
              <w:top w:val="single" w:sz="4" w:space="0" w:color="000000"/>
              <w:left w:val="single" w:sz="4" w:space="0" w:color="000000"/>
              <w:bottom w:val="single" w:sz="4" w:space="0" w:color="000000"/>
              <w:right w:val="single" w:sz="4" w:space="0" w:color="000000"/>
            </w:tcBorders>
            <w:hideMark/>
          </w:tcPr>
          <w:p w14:paraId="2F63BA40" w14:textId="77777777" w:rsidR="004223FE" w:rsidRPr="00772D05" w:rsidRDefault="004223FE">
            <w:pPr>
              <w:pStyle w:val="TableParagraph"/>
              <w:spacing w:line="250" w:lineRule="exact"/>
              <w:ind w:left="72" w:right="72"/>
              <w:jc w:val="center"/>
              <w:rPr>
                <w:sz w:val="20"/>
                <w:szCs w:val="20"/>
                <w:lang w:val="da-DK"/>
              </w:rPr>
            </w:pPr>
            <w:r w:rsidRPr="00772D05">
              <w:rPr>
                <w:sz w:val="20"/>
                <w:szCs w:val="20"/>
                <w:lang w:val="da-DK"/>
              </w:rPr>
              <w:t>274</w:t>
            </w:r>
          </w:p>
        </w:tc>
      </w:tr>
      <w:tr w:rsidR="004223FE" w:rsidRPr="00772D05" w14:paraId="53413551"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60E1AEF1" w14:textId="77777777" w:rsidR="004223FE" w:rsidRPr="00772D05" w:rsidRDefault="004223FE" w:rsidP="00772D05">
            <w:pPr>
              <w:pStyle w:val="TableParagraph"/>
              <w:spacing w:line="250" w:lineRule="exact"/>
              <w:ind w:right="132"/>
              <w:rPr>
                <w:sz w:val="20"/>
                <w:szCs w:val="20"/>
                <w:lang w:val="da-DK"/>
              </w:rPr>
            </w:pPr>
            <w:r w:rsidRPr="00772D05">
              <w:rPr>
                <w:b/>
                <w:sz w:val="20"/>
                <w:szCs w:val="20"/>
                <w:lang w:val="da-DK"/>
              </w:rPr>
              <w:t xml:space="preserve">Alder (år) </w:t>
            </w:r>
            <w:r w:rsidRPr="00772D05">
              <w:rPr>
                <w:sz w:val="20"/>
                <w:szCs w:val="20"/>
                <w:lang w:val="da-DK"/>
              </w:rPr>
              <w:t>(b)</w:t>
            </w:r>
          </w:p>
        </w:tc>
        <w:tc>
          <w:tcPr>
            <w:tcW w:w="486" w:type="pct"/>
            <w:tcBorders>
              <w:top w:val="single" w:sz="4" w:space="0" w:color="000000"/>
              <w:left w:val="single" w:sz="4" w:space="0" w:color="000000"/>
              <w:bottom w:val="single" w:sz="4" w:space="0" w:color="000000"/>
              <w:right w:val="single" w:sz="4" w:space="0" w:color="000000"/>
            </w:tcBorders>
            <w:hideMark/>
          </w:tcPr>
          <w:p w14:paraId="4D0141C5"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59,4</w:t>
            </w:r>
          </w:p>
          <w:p w14:paraId="444503D3" w14:textId="77777777" w:rsidR="004223FE" w:rsidRPr="00772D05" w:rsidRDefault="004223FE">
            <w:pPr>
              <w:pStyle w:val="TableParagraph"/>
              <w:spacing w:before="7" w:line="256" w:lineRule="auto"/>
              <w:ind w:left="83" w:right="83"/>
              <w:jc w:val="center"/>
              <w:rPr>
                <w:sz w:val="20"/>
                <w:szCs w:val="20"/>
                <w:lang w:val="da-DK"/>
              </w:rPr>
            </w:pPr>
            <w:r w:rsidRPr="00772D05">
              <w:rPr>
                <w:sz w:val="20"/>
                <w:szCs w:val="20"/>
                <w:lang w:val="da-DK"/>
              </w:rPr>
              <w:t>(9,5)</w:t>
            </w:r>
          </w:p>
        </w:tc>
        <w:tc>
          <w:tcPr>
            <w:tcW w:w="486" w:type="pct"/>
            <w:tcBorders>
              <w:top w:val="single" w:sz="4" w:space="0" w:color="000000"/>
              <w:left w:val="single" w:sz="4" w:space="0" w:color="000000"/>
              <w:bottom w:val="single" w:sz="4" w:space="0" w:color="000000"/>
              <w:right w:val="single" w:sz="4" w:space="0" w:color="000000"/>
            </w:tcBorders>
            <w:hideMark/>
          </w:tcPr>
          <w:p w14:paraId="26B086A7"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60,1</w:t>
            </w:r>
          </w:p>
          <w:p w14:paraId="5D2A75B4" w14:textId="77777777" w:rsidR="004223FE" w:rsidRPr="00772D05" w:rsidRDefault="004223FE">
            <w:pPr>
              <w:pStyle w:val="TableParagraph"/>
              <w:spacing w:before="7" w:line="256" w:lineRule="auto"/>
              <w:ind w:left="83" w:right="83"/>
              <w:jc w:val="center"/>
              <w:rPr>
                <w:sz w:val="20"/>
                <w:szCs w:val="20"/>
                <w:lang w:val="da-DK"/>
              </w:rPr>
            </w:pPr>
            <w:r w:rsidRPr="00772D05">
              <w:rPr>
                <w:sz w:val="20"/>
                <w:szCs w:val="20"/>
                <w:lang w:val="da-DK"/>
              </w:rPr>
              <w:t>(9,7)</w:t>
            </w:r>
          </w:p>
        </w:tc>
        <w:tc>
          <w:tcPr>
            <w:tcW w:w="625" w:type="pct"/>
            <w:tcBorders>
              <w:top w:val="single" w:sz="4" w:space="0" w:color="000000"/>
              <w:left w:val="single" w:sz="4" w:space="0" w:color="000000"/>
              <w:bottom w:val="single" w:sz="4" w:space="0" w:color="000000"/>
              <w:right w:val="single" w:sz="4" w:space="0" w:color="000000"/>
            </w:tcBorders>
            <w:hideMark/>
          </w:tcPr>
          <w:p w14:paraId="40F26DB5"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60,1</w:t>
            </w:r>
          </w:p>
          <w:p w14:paraId="2F678123" w14:textId="77777777" w:rsidR="004223FE" w:rsidRPr="00772D05" w:rsidRDefault="004223FE">
            <w:pPr>
              <w:pStyle w:val="TableParagraph"/>
              <w:spacing w:before="7" w:line="256" w:lineRule="auto"/>
              <w:ind w:left="83" w:right="83"/>
              <w:jc w:val="center"/>
              <w:rPr>
                <w:sz w:val="20"/>
                <w:szCs w:val="20"/>
                <w:lang w:val="da-DK"/>
              </w:rPr>
            </w:pPr>
            <w:r w:rsidRPr="00772D05">
              <w:rPr>
                <w:sz w:val="20"/>
                <w:szCs w:val="20"/>
                <w:lang w:val="da-DK"/>
              </w:rPr>
              <w:t>(9,2)</w:t>
            </w:r>
          </w:p>
        </w:tc>
        <w:tc>
          <w:tcPr>
            <w:tcW w:w="417" w:type="pct"/>
            <w:tcBorders>
              <w:top w:val="single" w:sz="4" w:space="0" w:color="000000"/>
              <w:left w:val="single" w:sz="4" w:space="0" w:color="000000"/>
              <w:bottom w:val="single" w:sz="4" w:space="0" w:color="000000"/>
              <w:right w:val="single" w:sz="4" w:space="0" w:color="000000"/>
            </w:tcBorders>
            <w:hideMark/>
          </w:tcPr>
          <w:p w14:paraId="30D1E106"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59.4</w:t>
            </w:r>
          </w:p>
          <w:p w14:paraId="7EB27DB1" w14:textId="77777777" w:rsidR="004223FE" w:rsidRPr="00772D05" w:rsidRDefault="004223FE">
            <w:pPr>
              <w:pStyle w:val="TableParagraph"/>
              <w:spacing w:before="7" w:line="256" w:lineRule="auto"/>
              <w:ind w:left="83" w:right="83"/>
              <w:jc w:val="center"/>
              <w:rPr>
                <w:sz w:val="20"/>
                <w:szCs w:val="20"/>
                <w:lang w:val="da-DK"/>
              </w:rPr>
            </w:pPr>
            <w:r w:rsidRPr="00772D05">
              <w:rPr>
                <w:sz w:val="20"/>
                <w:szCs w:val="20"/>
                <w:lang w:val="da-DK"/>
              </w:rPr>
              <w:t>(9,5)</w:t>
            </w:r>
          </w:p>
        </w:tc>
        <w:tc>
          <w:tcPr>
            <w:tcW w:w="486" w:type="pct"/>
            <w:tcBorders>
              <w:top w:val="single" w:sz="4" w:space="0" w:color="000000"/>
              <w:left w:val="single" w:sz="4" w:space="0" w:color="000000"/>
              <w:bottom w:val="single" w:sz="4" w:space="0" w:color="000000"/>
              <w:right w:val="single" w:sz="4" w:space="0" w:color="000000"/>
            </w:tcBorders>
            <w:hideMark/>
          </w:tcPr>
          <w:p w14:paraId="208CD954"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60,1</w:t>
            </w:r>
          </w:p>
          <w:p w14:paraId="567A1FE4" w14:textId="77777777" w:rsidR="004223FE" w:rsidRPr="00772D05" w:rsidRDefault="004223FE">
            <w:pPr>
              <w:pStyle w:val="TableParagraph"/>
              <w:spacing w:before="7" w:line="256" w:lineRule="auto"/>
              <w:ind w:left="83" w:right="83"/>
              <w:jc w:val="center"/>
              <w:rPr>
                <w:sz w:val="20"/>
                <w:szCs w:val="20"/>
                <w:lang w:val="da-DK"/>
              </w:rPr>
            </w:pPr>
            <w:r w:rsidRPr="00772D05">
              <w:rPr>
                <w:sz w:val="20"/>
                <w:szCs w:val="20"/>
                <w:lang w:val="da-DK"/>
              </w:rPr>
              <w:t>(9,7)</w:t>
            </w:r>
          </w:p>
        </w:tc>
        <w:tc>
          <w:tcPr>
            <w:tcW w:w="486" w:type="pct"/>
            <w:tcBorders>
              <w:top w:val="single" w:sz="4" w:space="0" w:color="000000"/>
              <w:left w:val="single" w:sz="4" w:space="0" w:color="000000"/>
              <w:bottom w:val="single" w:sz="4" w:space="0" w:color="000000"/>
              <w:right w:val="single" w:sz="4" w:space="0" w:color="000000"/>
            </w:tcBorders>
            <w:hideMark/>
          </w:tcPr>
          <w:p w14:paraId="26264665"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60,1</w:t>
            </w:r>
          </w:p>
          <w:p w14:paraId="25675EFE" w14:textId="77777777" w:rsidR="004223FE" w:rsidRPr="00772D05" w:rsidRDefault="004223FE">
            <w:pPr>
              <w:pStyle w:val="TableParagraph"/>
              <w:spacing w:before="7" w:line="256" w:lineRule="auto"/>
              <w:ind w:left="83" w:right="83"/>
              <w:jc w:val="center"/>
              <w:rPr>
                <w:sz w:val="20"/>
                <w:szCs w:val="20"/>
                <w:lang w:val="da-DK"/>
              </w:rPr>
            </w:pPr>
            <w:r w:rsidRPr="00772D05">
              <w:rPr>
                <w:sz w:val="20"/>
                <w:szCs w:val="20"/>
                <w:lang w:val="da-DK"/>
              </w:rPr>
              <w:t>(9,2)</w:t>
            </w:r>
          </w:p>
        </w:tc>
        <w:tc>
          <w:tcPr>
            <w:tcW w:w="417" w:type="pct"/>
            <w:tcBorders>
              <w:top w:val="single" w:sz="4" w:space="0" w:color="000000"/>
              <w:left w:val="single" w:sz="4" w:space="0" w:color="000000"/>
              <w:bottom w:val="single" w:sz="4" w:space="0" w:color="000000"/>
              <w:right w:val="single" w:sz="4" w:space="0" w:color="000000"/>
            </w:tcBorders>
            <w:hideMark/>
          </w:tcPr>
          <w:p w14:paraId="09B408FF"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62,1</w:t>
            </w:r>
          </w:p>
          <w:p w14:paraId="5AC9E67E" w14:textId="77777777" w:rsidR="004223FE" w:rsidRPr="00772D05" w:rsidRDefault="004223FE">
            <w:pPr>
              <w:pStyle w:val="TableParagraph"/>
              <w:spacing w:before="7" w:line="256" w:lineRule="auto"/>
              <w:ind w:left="83" w:right="83"/>
              <w:jc w:val="center"/>
              <w:rPr>
                <w:sz w:val="20"/>
                <w:szCs w:val="20"/>
                <w:lang w:val="da-DK"/>
              </w:rPr>
            </w:pPr>
            <w:r w:rsidRPr="00772D05">
              <w:rPr>
                <w:sz w:val="20"/>
                <w:szCs w:val="20"/>
                <w:lang w:val="da-DK"/>
              </w:rPr>
              <w:t>(9,0)</w:t>
            </w:r>
          </w:p>
        </w:tc>
        <w:tc>
          <w:tcPr>
            <w:tcW w:w="625" w:type="pct"/>
            <w:tcBorders>
              <w:top w:val="single" w:sz="4" w:space="0" w:color="000000"/>
              <w:left w:val="single" w:sz="4" w:space="0" w:color="000000"/>
              <w:bottom w:val="single" w:sz="4" w:space="0" w:color="000000"/>
              <w:right w:val="single" w:sz="4" w:space="0" w:color="000000"/>
            </w:tcBorders>
            <w:hideMark/>
          </w:tcPr>
          <w:p w14:paraId="0E9C5109"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61,7</w:t>
            </w:r>
          </w:p>
          <w:p w14:paraId="1DDD70E8" w14:textId="77777777" w:rsidR="004223FE" w:rsidRPr="00772D05" w:rsidRDefault="004223FE">
            <w:pPr>
              <w:pStyle w:val="TableParagraph"/>
              <w:spacing w:before="7" w:line="256" w:lineRule="auto"/>
              <w:ind w:left="83" w:right="83"/>
              <w:jc w:val="center"/>
              <w:rPr>
                <w:sz w:val="20"/>
                <w:szCs w:val="20"/>
                <w:lang w:val="da-DK"/>
              </w:rPr>
            </w:pPr>
            <w:r w:rsidRPr="00772D05">
              <w:rPr>
                <w:sz w:val="20"/>
                <w:szCs w:val="20"/>
                <w:lang w:val="da-DK"/>
              </w:rPr>
              <w:t>(9,0)</w:t>
            </w:r>
          </w:p>
        </w:tc>
      </w:tr>
      <w:tr w:rsidR="004223FE" w:rsidRPr="00772D05" w14:paraId="6BB9BB5D"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07A757BF" w14:textId="77777777" w:rsidR="004223FE" w:rsidRPr="00772D05" w:rsidRDefault="004223FE" w:rsidP="00772D05">
            <w:pPr>
              <w:pStyle w:val="TableParagraph"/>
              <w:spacing w:line="250" w:lineRule="exact"/>
              <w:ind w:right="132"/>
              <w:rPr>
                <w:b/>
                <w:sz w:val="20"/>
                <w:szCs w:val="20"/>
                <w:lang w:val="da-DK"/>
              </w:rPr>
            </w:pPr>
            <w:proofErr w:type="gramStart"/>
            <w:r w:rsidRPr="00772D05">
              <w:rPr>
                <w:b/>
                <w:sz w:val="20"/>
                <w:szCs w:val="20"/>
                <w:lang w:val="da-DK"/>
              </w:rPr>
              <w:t>PD varighed</w:t>
            </w:r>
            <w:proofErr w:type="gramEnd"/>
            <w:r w:rsidRPr="00772D05">
              <w:rPr>
                <w:b/>
                <w:sz w:val="20"/>
                <w:szCs w:val="20"/>
                <w:lang w:val="da-DK"/>
              </w:rPr>
              <w:t xml:space="preserve"> (år)</w:t>
            </w:r>
          </w:p>
          <w:p w14:paraId="39DDDC68" w14:textId="77777777" w:rsidR="004223FE" w:rsidRPr="00772D05" w:rsidRDefault="004223FE" w:rsidP="00772D05">
            <w:pPr>
              <w:pStyle w:val="TableParagraph"/>
              <w:spacing w:before="7" w:line="256" w:lineRule="auto"/>
              <w:ind w:right="132"/>
              <w:rPr>
                <w:sz w:val="20"/>
                <w:szCs w:val="20"/>
                <w:lang w:val="da-DK"/>
              </w:rPr>
            </w:pPr>
            <w:r w:rsidRPr="00772D05">
              <w:rPr>
                <w:sz w:val="20"/>
                <w:szCs w:val="20"/>
                <w:lang w:val="da-DK"/>
              </w:rPr>
              <w:t>(b)</w:t>
            </w:r>
          </w:p>
        </w:tc>
        <w:tc>
          <w:tcPr>
            <w:tcW w:w="486" w:type="pct"/>
            <w:tcBorders>
              <w:top w:val="single" w:sz="4" w:space="0" w:color="000000"/>
              <w:left w:val="single" w:sz="4" w:space="0" w:color="000000"/>
              <w:bottom w:val="single" w:sz="4" w:space="0" w:color="000000"/>
              <w:right w:val="single" w:sz="4" w:space="0" w:color="000000"/>
            </w:tcBorders>
            <w:hideMark/>
          </w:tcPr>
          <w:p w14:paraId="0F5D4718"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8,4</w:t>
            </w:r>
          </w:p>
          <w:p w14:paraId="087D17DF"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(3,8)</w:t>
            </w:r>
          </w:p>
        </w:tc>
        <w:tc>
          <w:tcPr>
            <w:tcW w:w="486" w:type="pct"/>
            <w:tcBorders>
              <w:top w:val="single" w:sz="4" w:space="0" w:color="000000"/>
              <w:left w:val="single" w:sz="4" w:space="0" w:color="000000"/>
              <w:bottom w:val="single" w:sz="4" w:space="0" w:color="000000"/>
              <w:right w:val="single" w:sz="4" w:space="0" w:color="000000"/>
            </w:tcBorders>
            <w:hideMark/>
          </w:tcPr>
          <w:p w14:paraId="420989AC"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7,9</w:t>
            </w:r>
          </w:p>
          <w:p w14:paraId="02F36627"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(3,9)</w:t>
            </w:r>
          </w:p>
        </w:tc>
        <w:tc>
          <w:tcPr>
            <w:tcW w:w="625" w:type="pct"/>
            <w:tcBorders>
              <w:top w:val="single" w:sz="4" w:space="0" w:color="000000"/>
              <w:left w:val="single" w:sz="4" w:space="0" w:color="000000"/>
              <w:bottom w:val="single" w:sz="4" w:space="0" w:color="000000"/>
              <w:right w:val="single" w:sz="4" w:space="0" w:color="000000"/>
            </w:tcBorders>
            <w:hideMark/>
          </w:tcPr>
          <w:p w14:paraId="4EA29167"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8,2</w:t>
            </w:r>
          </w:p>
          <w:p w14:paraId="4DB0EED7"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(3,8)</w:t>
            </w:r>
          </w:p>
        </w:tc>
        <w:tc>
          <w:tcPr>
            <w:tcW w:w="417" w:type="pct"/>
            <w:tcBorders>
              <w:top w:val="single" w:sz="4" w:space="0" w:color="000000"/>
              <w:left w:val="single" w:sz="4" w:space="0" w:color="000000"/>
              <w:bottom w:val="single" w:sz="4" w:space="0" w:color="000000"/>
              <w:right w:val="single" w:sz="4" w:space="0" w:color="000000"/>
            </w:tcBorders>
            <w:hideMark/>
          </w:tcPr>
          <w:p w14:paraId="17C79775"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8,4</w:t>
            </w:r>
          </w:p>
          <w:p w14:paraId="5F0A25D0"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(3,8)</w:t>
            </w:r>
          </w:p>
        </w:tc>
        <w:tc>
          <w:tcPr>
            <w:tcW w:w="486" w:type="pct"/>
            <w:tcBorders>
              <w:top w:val="single" w:sz="4" w:space="0" w:color="000000"/>
              <w:left w:val="single" w:sz="4" w:space="0" w:color="000000"/>
              <w:bottom w:val="single" w:sz="4" w:space="0" w:color="000000"/>
              <w:right w:val="single" w:sz="4" w:space="0" w:color="000000"/>
            </w:tcBorders>
            <w:hideMark/>
          </w:tcPr>
          <w:p w14:paraId="23599340"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7,9</w:t>
            </w:r>
          </w:p>
          <w:p w14:paraId="3E72CD4D"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(3,9)</w:t>
            </w:r>
          </w:p>
        </w:tc>
        <w:tc>
          <w:tcPr>
            <w:tcW w:w="486" w:type="pct"/>
            <w:tcBorders>
              <w:top w:val="single" w:sz="4" w:space="0" w:color="000000"/>
              <w:left w:val="single" w:sz="4" w:space="0" w:color="000000"/>
              <w:bottom w:val="single" w:sz="4" w:space="0" w:color="000000"/>
              <w:right w:val="single" w:sz="4" w:space="0" w:color="000000"/>
            </w:tcBorders>
            <w:hideMark/>
          </w:tcPr>
          <w:p w14:paraId="553ACEA6"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8,2</w:t>
            </w:r>
          </w:p>
          <w:p w14:paraId="4C16A1AD"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(3,8)</w:t>
            </w:r>
          </w:p>
        </w:tc>
        <w:tc>
          <w:tcPr>
            <w:tcW w:w="417" w:type="pct"/>
            <w:tcBorders>
              <w:top w:val="single" w:sz="4" w:space="0" w:color="000000"/>
              <w:left w:val="single" w:sz="4" w:space="0" w:color="000000"/>
              <w:bottom w:val="single" w:sz="4" w:space="0" w:color="000000"/>
              <w:right w:val="single" w:sz="4" w:space="0" w:color="000000"/>
            </w:tcBorders>
            <w:hideMark/>
          </w:tcPr>
          <w:p w14:paraId="1B454EDB"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9,0</w:t>
            </w:r>
          </w:p>
          <w:p w14:paraId="4CEED557"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(4,9)</w:t>
            </w:r>
          </w:p>
        </w:tc>
        <w:tc>
          <w:tcPr>
            <w:tcW w:w="625" w:type="pct"/>
            <w:tcBorders>
              <w:top w:val="single" w:sz="4" w:space="0" w:color="000000"/>
              <w:left w:val="single" w:sz="4" w:space="0" w:color="000000"/>
              <w:bottom w:val="single" w:sz="4" w:space="0" w:color="000000"/>
              <w:right w:val="single" w:sz="4" w:space="0" w:color="000000"/>
            </w:tcBorders>
            <w:hideMark/>
          </w:tcPr>
          <w:p w14:paraId="017B43C6"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8,9</w:t>
            </w:r>
          </w:p>
          <w:p w14:paraId="70E3BC3F"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(4,4)</w:t>
            </w:r>
          </w:p>
        </w:tc>
      </w:tr>
      <w:tr w:rsidR="004223FE" w:rsidRPr="00772D05" w14:paraId="2BD4279C" w14:textId="77777777" w:rsidTr="00772D05">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4F55DB8A" w14:textId="77777777" w:rsidR="004223FE" w:rsidRPr="00772D05" w:rsidRDefault="004223FE" w:rsidP="00772D05">
            <w:pPr>
              <w:pStyle w:val="TableParagraph"/>
              <w:spacing w:line="250" w:lineRule="exact"/>
              <w:ind w:right="132"/>
              <w:rPr>
                <w:b/>
                <w:sz w:val="20"/>
                <w:szCs w:val="20"/>
                <w:lang w:val="da-DK"/>
              </w:rPr>
            </w:pPr>
            <w:r w:rsidRPr="00772D05">
              <w:rPr>
                <w:b/>
                <w:sz w:val="20"/>
                <w:szCs w:val="20"/>
                <w:lang w:val="da-DK"/>
              </w:rPr>
              <w:t xml:space="preserve">ON tid uden generende </w:t>
            </w:r>
            <w:proofErr w:type="spellStart"/>
            <w:r w:rsidRPr="00772D05">
              <w:rPr>
                <w:b/>
                <w:sz w:val="20"/>
                <w:szCs w:val="20"/>
                <w:lang w:val="da-DK"/>
              </w:rPr>
              <w:t>dyskinesi</w:t>
            </w:r>
            <w:proofErr w:type="spellEnd"/>
            <w:r w:rsidRPr="00772D05">
              <w:rPr>
                <w:b/>
                <w:sz w:val="20"/>
                <w:szCs w:val="20"/>
                <w:lang w:val="da-DK"/>
              </w:rPr>
              <w:t xml:space="preserve"> (timer) (c)</w:t>
            </w:r>
          </w:p>
        </w:tc>
      </w:tr>
      <w:tr w:rsidR="004223FE" w:rsidRPr="00772D05" w14:paraId="28C1DEF0"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76273F1A" w14:textId="147F0713" w:rsidR="004223FE" w:rsidRPr="00772D05" w:rsidRDefault="004223FE" w:rsidP="00772D05">
            <w:pPr>
              <w:pStyle w:val="TableParagraph"/>
              <w:spacing w:line="250" w:lineRule="exact"/>
              <w:ind w:right="132"/>
              <w:rPr>
                <w:sz w:val="20"/>
                <w:szCs w:val="20"/>
                <w:lang w:val="da-DK"/>
              </w:rPr>
            </w:pPr>
            <w:r w:rsidRPr="00772D05">
              <w:rPr>
                <w:sz w:val="20"/>
                <w:szCs w:val="20"/>
                <w:lang w:val="da-DK"/>
              </w:rPr>
              <w:t>Udgangspunkt (b)</w:t>
            </w:r>
          </w:p>
        </w:tc>
        <w:tc>
          <w:tcPr>
            <w:tcW w:w="486" w:type="pct"/>
            <w:tcBorders>
              <w:top w:val="single" w:sz="4" w:space="0" w:color="000000"/>
              <w:left w:val="single" w:sz="4" w:space="0" w:color="000000"/>
              <w:bottom w:val="single" w:sz="4" w:space="0" w:color="000000"/>
              <w:right w:val="single" w:sz="4" w:space="0" w:color="000000"/>
            </w:tcBorders>
            <w:hideMark/>
          </w:tcPr>
          <w:p w14:paraId="5AACC37A"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9,3</w:t>
            </w:r>
          </w:p>
          <w:p w14:paraId="30D4030D"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(2,2)</w:t>
            </w:r>
          </w:p>
        </w:tc>
        <w:tc>
          <w:tcPr>
            <w:tcW w:w="486" w:type="pct"/>
            <w:tcBorders>
              <w:top w:val="single" w:sz="4" w:space="0" w:color="000000"/>
              <w:left w:val="single" w:sz="4" w:space="0" w:color="000000"/>
              <w:bottom w:val="single" w:sz="4" w:space="0" w:color="000000"/>
              <w:right w:val="single" w:sz="4" w:space="0" w:color="000000"/>
            </w:tcBorders>
            <w:hideMark/>
          </w:tcPr>
          <w:p w14:paraId="5085DA7F"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9,4</w:t>
            </w:r>
          </w:p>
          <w:p w14:paraId="3A1C0CA2"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(2,2)</w:t>
            </w:r>
          </w:p>
        </w:tc>
        <w:tc>
          <w:tcPr>
            <w:tcW w:w="625" w:type="pct"/>
            <w:tcBorders>
              <w:top w:val="single" w:sz="4" w:space="0" w:color="000000"/>
              <w:left w:val="single" w:sz="4" w:space="0" w:color="000000"/>
              <w:bottom w:val="single" w:sz="4" w:space="0" w:color="000000"/>
              <w:right w:val="single" w:sz="4" w:space="0" w:color="000000"/>
            </w:tcBorders>
            <w:hideMark/>
          </w:tcPr>
          <w:p w14:paraId="611D7C2A"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9,6</w:t>
            </w:r>
          </w:p>
          <w:p w14:paraId="433144E1"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(2,5)</w:t>
            </w:r>
          </w:p>
        </w:tc>
        <w:tc>
          <w:tcPr>
            <w:tcW w:w="417" w:type="pct"/>
            <w:tcBorders>
              <w:top w:val="single" w:sz="4" w:space="0" w:color="000000"/>
              <w:left w:val="single" w:sz="4" w:space="0" w:color="000000"/>
              <w:bottom w:val="single" w:sz="4" w:space="0" w:color="000000"/>
              <w:right w:val="single" w:sz="4" w:space="0" w:color="000000"/>
            </w:tcBorders>
            <w:hideMark/>
          </w:tcPr>
          <w:p w14:paraId="542C3B9C"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9,3</w:t>
            </w:r>
          </w:p>
          <w:p w14:paraId="3FF7C1A3"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(2,2)</w:t>
            </w:r>
          </w:p>
        </w:tc>
        <w:tc>
          <w:tcPr>
            <w:tcW w:w="486" w:type="pct"/>
            <w:tcBorders>
              <w:top w:val="single" w:sz="4" w:space="0" w:color="000000"/>
              <w:left w:val="single" w:sz="4" w:space="0" w:color="000000"/>
              <w:bottom w:val="single" w:sz="4" w:space="0" w:color="000000"/>
              <w:right w:val="single" w:sz="4" w:space="0" w:color="000000"/>
            </w:tcBorders>
            <w:hideMark/>
          </w:tcPr>
          <w:p w14:paraId="1ECC6E9F"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9,4</w:t>
            </w:r>
          </w:p>
          <w:p w14:paraId="23BC8C86"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(2,2)</w:t>
            </w:r>
          </w:p>
        </w:tc>
        <w:tc>
          <w:tcPr>
            <w:tcW w:w="486" w:type="pct"/>
            <w:tcBorders>
              <w:top w:val="single" w:sz="4" w:space="0" w:color="000000"/>
              <w:left w:val="single" w:sz="4" w:space="0" w:color="000000"/>
              <w:bottom w:val="single" w:sz="4" w:space="0" w:color="000000"/>
              <w:right w:val="single" w:sz="4" w:space="0" w:color="000000"/>
            </w:tcBorders>
            <w:hideMark/>
          </w:tcPr>
          <w:p w14:paraId="1367C474"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9,6</w:t>
            </w:r>
          </w:p>
          <w:p w14:paraId="0EE84C78"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(2,5)</w:t>
            </w:r>
          </w:p>
        </w:tc>
        <w:tc>
          <w:tcPr>
            <w:tcW w:w="417" w:type="pct"/>
            <w:tcBorders>
              <w:top w:val="single" w:sz="4" w:space="0" w:color="000000"/>
              <w:left w:val="single" w:sz="4" w:space="0" w:color="000000"/>
              <w:bottom w:val="single" w:sz="4" w:space="0" w:color="000000"/>
              <w:right w:val="single" w:sz="4" w:space="0" w:color="000000"/>
            </w:tcBorders>
            <w:hideMark/>
          </w:tcPr>
          <w:p w14:paraId="00CA3F29"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9,1</w:t>
            </w:r>
          </w:p>
          <w:p w14:paraId="69E5B7C5"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(2,5)</w:t>
            </w:r>
          </w:p>
        </w:tc>
        <w:tc>
          <w:tcPr>
            <w:tcW w:w="625" w:type="pct"/>
            <w:tcBorders>
              <w:top w:val="single" w:sz="4" w:space="0" w:color="000000"/>
              <w:left w:val="single" w:sz="4" w:space="0" w:color="000000"/>
              <w:bottom w:val="single" w:sz="4" w:space="0" w:color="000000"/>
              <w:right w:val="single" w:sz="4" w:space="0" w:color="000000"/>
            </w:tcBorders>
            <w:hideMark/>
          </w:tcPr>
          <w:p w14:paraId="2CC80365"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9,3</w:t>
            </w:r>
          </w:p>
          <w:p w14:paraId="1036FE2E"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(2,4)</w:t>
            </w:r>
          </w:p>
        </w:tc>
      </w:tr>
      <w:tr w:rsidR="004223FE" w:rsidRPr="00772D05" w14:paraId="79D0FC09"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309267D1"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LSM</w:t>
            </w:r>
          </w:p>
          <w:p w14:paraId="7BA59377"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forandring (SE)</w:t>
            </w:r>
          </w:p>
        </w:tc>
        <w:tc>
          <w:tcPr>
            <w:tcW w:w="486" w:type="pct"/>
            <w:tcBorders>
              <w:top w:val="single" w:sz="4" w:space="0" w:color="000000"/>
              <w:left w:val="single" w:sz="4" w:space="0" w:color="000000"/>
              <w:bottom w:val="single" w:sz="4" w:space="0" w:color="000000"/>
              <w:right w:val="single" w:sz="4" w:space="0" w:color="000000"/>
            </w:tcBorders>
            <w:hideMark/>
          </w:tcPr>
          <w:p w14:paraId="1A173491"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0,5</w:t>
            </w:r>
          </w:p>
          <w:p w14:paraId="07486DBB"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(0,2)</w:t>
            </w:r>
          </w:p>
        </w:tc>
        <w:tc>
          <w:tcPr>
            <w:tcW w:w="486" w:type="pct"/>
            <w:tcBorders>
              <w:top w:val="single" w:sz="4" w:space="0" w:color="000000"/>
              <w:left w:val="single" w:sz="4" w:space="0" w:color="000000"/>
              <w:bottom w:val="single" w:sz="4" w:space="0" w:color="000000"/>
              <w:right w:val="single" w:sz="4" w:space="0" w:color="000000"/>
            </w:tcBorders>
            <w:hideMark/>
          </w:tcPr>
          <w:p w14:paraId="00A64441"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1,0</w:t>
            </w:r>
          </w:p>
          <w:p w14:paraId="05951043"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(0,2)</w:t>
            </w:r>
          </w:p>
        </w:tc>
        <w:tc>
          <w:tcPr>
            <w:tcW w:w="625" w:type="pct"/>
            <w:tcBorders>
              <w:top w:val="single" w:sz="4" w:space="0" w:color="000000"/>
              <w:left w:val="single" w:sz="4" w:space="0" w:color="000000"/>
              <w:bottom w:val="single" w:sz="4" w:space="0" w:color="000000"/>
              <w:right w:val="single" w:sz="4" w:space="0" w:color="000000"/>
            </w:tcBorders>
            <w:hideMark/>
          </w:tcPr>
          <w:p w14:paraId="429D98FB"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1,2</w:t>
            </w:r>
          </w:p>
          <w:p w14:paraId="3302B4D3"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(0,2)</w:t>
            </w:r>
          </w:p>
        </w:tc>
        <w:tc>
          <w:tcPr>
            <w:tcW w:w="417" w:type="pct"/>
            <w:tcBorders>
              <w:top w:val="single" w:sz="4" w:space="0" w:color="000000"/>
              <w:left w:val="single" w:sz="4" w:space="0" w:color="000000"/>
              <w:bottom w:val="single" w:sz="4" w:space="0" w:color="000000"/>
              <w:right w:val="single" w:sz="4" w:space="0" w:color="000000"/>
            </w:tcBorders>
            <w:hideMark/>
          </w:tcPr>
          <w:p w14:paraId="09DFE2DD"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0,8</w:t>
            </w:r>
          </w:p>
          <w:p w14:paraId="6D0EF473"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(0,2)</w:t>
            </w:r>
          </w:p>
        </w:tc>
        <w:tc>
          <w:tcPr>
            <w:tcW w:w="486" w:type="pct"/>
            <w:tcBorders>
              <w:top w:val="single" w:sz="4" w:space="0" w:color="000000"/>
              <w:left w:val="single" w:sz="4" w:space="0" w:color="000000"/>
              <w:bottom w:val="single" w:sz="4" w:space="0" w:color="000000"/>
              <w:right w:val="single" w:sz="4" w:space="0" w:color="000000"/>
            </w:tcBorders>
            <w:hideMark/>
          </w:tcPr>
          <w:p w14:paraId="71C4DA82"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1,4</w:t>
            </w:r>
          </w:p>
          <w:p w14:paraId="27FF9B73"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(0,2)</w:t>
            </w:r>
          </w:p>
        </w:tc>
        <w:tc>
          <w:tcPr>
            <w:tcW w:w="486" w:type="pct"/>
            <w:tcBorders>
              <w:top w:val="single" w:sz="4" w:space="0" w:color="000000"/>
              <w:left w:val="single" w:sz="4" w:space="0" w:color="000000"/>
              <w:bottom w:val="single" w:sz="4" w:space="0" w:color="000000"/>
              <w:right w:val="single" w:sz="4" w:space="0" w:color="000000"/>
            </w:tcBorders>
            <w:hideMark/>
          </w:tcPr>
          <w:p w14:paraId="13FB45C0"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1,5</w:t>
            </w:r>
          </w:p>
          <w:p w14:paraId="29AF885B"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(0,2)</w:t>
            </w:r>
          </w:p>
        </w:tc>
        <w:tc>
          <w:tcPr>
            <w:tcW w:w="417" w:type="pct"/>
            <w:tcBorders>
              <w:top w:val="single" w:sz="4" w:space="0" w:color="000000"/>
              <w:left w:val="single" w:sz="4" w:space="0" w:color="000000"/>
              <w:bottom w:val="single" w:sz="4" w:space="0" w:color="000000"/>
              <w:right w:val="single" w:sz="4" w:space="0" w:color="000000"/>
            </w:tcBorders>
            <w:hideMark/>
          </w:tcPr>
          <w:p w14:paraId="4E0EC7FA"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0,6</w:t>
            </w:r>
          </w:p>
          <w:p w14:paraId="281A8F26"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(0,1)</w:t>
            </w:r>
          </w:p>
        </w:tc>
        <w:tc>
          <w:tcPr>
            <w:tcW w:w="625" w:type="pct"/>
            <w:tcBorders>
              <w:top w:val="single" w:sz="4" w:space="0" w:color="000000"/>
              <w:left w:val="single" w:sz="4" w:space="0" w:color="000000"/>
              <w:bottom w:val="single" w:sz="4" w:space="0" w:color="000000"/>
              <w:right w:val="single" w:sz="4" w:space="0" w:color="000000"/>
            </w:tcBorders>
            <w:hideMark/>
          </w:tcPr>
          <w:p w14:paraId="1DF269AB"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1,4</w:t>
            </w:r>
          </w:p>
          <w:p w14:paraId="77CC75D2"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(0,1)</w:t>
            </w:r>
          </w:p>
        </w:tc>
      </w:tr>
      <w:tr w:rsidR="004223FE" w:rsidRPr="00772D05" w14:paraId="56099DDE"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6161E41F"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 xml:space="preserve">LS </w:t>
            </w:r>
            <w:proofErr w:type="spellStart"/>
            <w:r w:rsidRPr="00772D05">
              <w:rPr>
                <w:sz w:val="20"/>
                <w:szCs w:val="20"/>
                <w:lang w:val="da-DK"/>
              </w:rPr>
              <w:t>Diff</w:t>
            </w:r>
            <w:proofErr w:type="spellEnd"/>
            <w:r w:rsidRPr="00772D05">
              <w:rPr>
                <w:sz w:val="20"/>
                <w:szCs w:val="20"/>
                <w:lang w:val="da-DK"/>
              </w:rPr>
              <w:t xml:space="preserve"> </w:t>
            </w:r>
            <w:proofErr w:type="spellStart"/>
            <w:r w:rsidRPr="00772D05">
              <w:rPr>
                <w:sz w:val="20"/>
                <w:szCs w:val="20"/>
                <w:lang w:val="da-DK"/>
              </w:rPr>
              <w:t>vs</w:t>
            </w:r>
            <w:proofErr w:type="spellEnd"/>
            <w:r w:rsidRPr="00772D05">
              <w:rPr>
                <w:sz w:val="20"/>
                <w:szCs w:val="20"/>
                <w:lang w:val="da-DK"/>
              </w:rPr>
              <w:t xml:space="preserve"> Placebo</w:t>
            </w:r>
          </w:p>
        </w:tc>
        <w:tc>
          <w:tcPr>
            <w:tcW w:w="486" w:type="pct"/>
            <w:tcBorders>
              <w:top w:val="single" w:sz="4" w:space="0" w:color="000000"/>
              <w:left w:val="single" w:sz="4" w:space="0" w:color="000000"/>
              <w:bottom w:val="single" w:sz="4" w:space="0" w:color="000000"/>
              <w:right w:val="single" w:sz="4" w:space="0" w:color="000000"/>
            </w:tcBorders>
          </w:tcPr>
          <w:p w14:paraId="03796709"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63727BB7" w14:textId="77777777" w:rsidR="004223FE" w:rsidRPr="00772D05" w:rsidRDefault="004223FE">
            <w:pPr>
              <w:pStyle w:val="TableParagraph"/>
              <w:spacing w:line="250" w:lineRule="exact"/>
              <w:ind w:left="56" w:right="56"/>
              <w:jc w:val="center"/>
              <w:rPr>
                <w:sz w:val="20"/>
                <w:szCs w:val="20"/>
                <w:lang w:val="da-DK"/>
              </w:rPr>
            </w:pPr>
            <w:r w:rsidRPr="00772D05">
              <w:rPr>
                <w:sz w:val="20"/>
                <w:szCs w:val="20"/>
                <w:lang w:val="da-DK"/>
              </w:rPr>
              <w:t>0,5</w:t>
            </w:r>
          </w:p>
        </w:tc>
        <w:tc>
          <w:tcPr>
            <w:tcW w:w="625" w:type="pct"/>
            <w:tcBorders>
              <w:top w:val="single" w:sz="4" w:space="0" w:color="000000"/>
              <w:left w:val="single" w:sz="4" w:space="0" w:color="000000"/>
              <w:bottom w:val="single" w:sz="4" w:space="0" w:color="000000"/>
              <w:right w:val="single" w:sz="4" w:space="0" w:color="000000"/>
            </w:tcBorders>
            <w:hideMark/>
          </w:tcPr>
          <w:p w14:paraId="3A010534"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0,7</w:t>
            </w:r>
          </w:p>
        </w:tc>
        <w:tc>
          <w:tcPr>
            <w:tcW w:w="417" w:type="pct"/>
            <w:tcBorders>
              <w:top w:val="single" w:sz="4" w:space="0" w:color="000000"/>
              <w:left w:val="single" w:sz="4" w:space="0" w:color="000000"/>
              <w:bottom w:val="single" w:sz="4" w:space="0" w:color="000000"/>
              <w:right w:val="single" w:sz="4" w:space="0" w:color="000000"/>
            </w:tcBorders>
          </w:tcPr>
          <w:p w14:paraId="5431810B"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0A306515"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0,6</w:t>
            </w:r>
          </w:p>
        </w:tc>
        <w:tc>
          <w:tcPr>
            <w:tcW w:w="486" w:type="pct"/>
            <w:tcBorders>
              <w:top w:val="single" w:sz="4" w:space="0" w:color="000000"/>
              <w:left w:val="single" w:sz="4" w:space="0" w:color="000000"/>
              <w:bottom w:val="single" w:sz="4" w:space="0" w:color="000000"/>
              <w:right w:val="single" w:sz="4" w:space="0" w:color="000000"/>
            </w:tcBorders>
            <w:hideMark/>
          </w:tcPr>
          <w:p w14:paraId="7DA2812F" w14:textId="77777777" w:rsidR="004223FE" w:rsidRPr="00772D05" w:rsidRDefault="004223FE">
            <w:pPr>
              <w:pStyle w:val="TableParagraph"/>
              <w:spacing w:line="250" w:lineRule="exact"/>
              <w:ind w:left="63" w:right="63"/>
              <w:jc w:val="center"/>
              <w:rPr>
                <w:sz w:val="20"/>
                <w:szCs w:val="20"/>
                <w:lang w:val="da-DK"/>
              </w:rPr>
            </w:pPr>
            <w:r w:rsidRPr="00772D05">
              <w:rPr>
                <w:sz w:val="20"/>
                <w:szCs w:val="20"/>
                <w:lang w:val="da-DK"/>
              </w:rPr>
              <w:t>0,7</w:t>
            </w:r>
          </w:p>
        </w:tc>
        <w:tc>
          <w:tcPr>
            <w:tcW w:w="417" w:type="pct"/>
            <w:tcBorders>
              <w:top w:val="single" w:sz="4" w:space="0" w:color="000000"/>
              <w:left w:val="single" w:sz="4" w:space="0" w:color="000000"/>
              <w:bottom w:val="single" w:sz="4" w:space="0" w:color="000000"/>
              <w:right w:val="single" w:sz="4" w:space="0" w:color="000000"/>
            </w:tcBorders>
          </w:tcPr>
          <w:p w14:paraId="5E42EEDE" w14:textId="77777777" w:rsidR="004223FE" w:rsidRPr="00772D05" w:rsidRDefault="004223FE">
            <w:pP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48D2B229" w14:textId="77777777" w:rsidR="004223FE" w:rsidRPr="00772D05" w:rsidRDefault="004223FE">
            <w:pPr>
              <w:pStyle w:val="TableParagraph"/>
              <w:spacing w:line="250" w:lineRule="exact"/>
              <w:ind w:left="72" w:right="72"/>
              <w:rPr>
                <w:sz w:val="20"/>
                <w:szCs w:val="20"/>
                <w:lang w:val="da-DK"/>
              </w:rPr>
            </w:pPr>
            <w:r w:rsidRPr="00772D05">
              <w:rPr>
                <w:sz w:val="20"/>
                <w:szCs w:val="20"/>
                <w:lang w:val="da-DK"/>
              </w:rPr>
              <w:t xml:space="preserve">    0,9</w:t>
            </w:r>
          </w:p>
        </w:tc>
      </w:tr>
      <w:tr w:rsidR="004223FE" w:rsidRPr="00772D05" w14:paraId="2D131B85"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tcPr>
          <w:p w14:paraId="49FA38B8" w14:textId="77777777" w:rsidR="004223FE" w:rsidRPr="00772D05" w:rsidRDefault="004223FE" w:rsidP="00772D05">
            <w:pPr>
              <w:pStyle w:val="TableParagraph"/>
              <w:spacing w:before="3" w:line="256" w:lineRule="auto"/>
              <w:ind w:right="132"/>
              <w:rPr>
                <w:sz w:val="20"/>
                <w:szCs w:val="20"/>
                <w:lang w:val="da-DK"/>
              </w:rPr>
            </w:pPr>
          </w:p>
          <w:p w14:paraId="1F5EDA57" w14:textId="77777777" w:rsidR="004223FE" w:rsidRPr="00772D05" w:rsidRDefault="004223FE" w:rsidP="00772D05">
            <w:pPr>
              <w:pStyle w:val="TableParagraph"/>
              <w:spacing w:line="256" w:lineRule="auto"/>
              <w:ind w:right="132"/>
              <w:rPr>
                <w:sz w:val="20"/>
                <w:szCs w:val="20"/>
                <w:lang w:val="da-DK"/>
              </w:rPr>
            </w:pPr>
            <w:r w:rsidRPr="00772D05">
              <w:rPr>
                <w:sz w:val="20"/>
                <w:szCs w:val="20"/>
                <w:lang w:val="da-DK"/>
              </w:rPr>
              <w:t>95% CI</w:t>
            </w:r>
          </w:p>
        </w:tc>
        <w:tc>
          <w:tcPr>
            <w:tcW w:w="486" w:type="pct"/>
            <w:tcBorders>
              <w:top w:val="single" w:sz="4" w:space="0" w:color="000000"/>
              <w:left w:val="single" w:sz="4" w:space="0" w:color="000000"/>
              <w:bottom w:val="single" w:sz="4" w:space="0" w:color="000000"/>
              <w:right w:val="single" w:sz="4" w:space="0" w:color="000000"/>
            </w:tcBorders>
          </w:tcPr>
          <w:p w14:paraId="14EAF9E0"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1580B7AE" w14:textId="77777777" w:rsidR="004223FE" w:rsidRPr="00772D05" w:rsidRDefault="004223FE">
            <w:pPr>
              <w:pStyle w:val="TableParagraph"/>
              <w:spacing w:line="250" w:lineRule="exact"/>
              <w:rPr>
                <w:sz w:val="20"/>
                <w:szCs w:val="20"/>
                <w:lang w:val="da-DK"/>
              </w:rPr>
            </w:pPr>
            <w:r w:rsidRPr="00772D05">
              <w:rPr>
                <w:sz w:val="20"/>
                <w:szCs w:val="20"/>
                <w:lang w:val="da-DK"/>
              </w:rPr>
              <w:t>[0,1, 0,9]</w:t>
            </w:r>
          </w:p>
        </w:tc>
        <w:tc>
          <w:tcPr>
            <w:tcW w:w="625" w:type="pct"/>
            <w:tcBorders>
              <w:top w:val="single" w:sz="4" w:space="0" w:color="000000"/>
              <w:left w:val="single" w:sz="4" w:space="0" w:color="000000"/>
              <w:bottom w:val="single" w:sz="4" w:space="0" w:color="000000"/>
              <w:right w:val="single" w:sz="4" w:space="0" w:color="000000"/>
            </w:tcBorders>
            <w:hideMark/>
          </w:tcPr>
          <w:p w14:paraId="0613559F" w14:textId="77777777" w:rsidR="004223FE" w:rsidRPr="00772D05" w:rsidRDefault="004223FE">
            <w:pPr>
              <w:pStyle w:val="TableParagraph"/>
              <w:spacing w:line="250" w:lineRule="exact"/>
              <w:ind w:left="211"/>
              <w:rPr>
                <w:sz w:val="20"/>
                <w:szCs w:val="20"/>
                <w:lang w:val="da-DK"/>
              </w:rPr>
            </w:pPr>
            <w:r w:rsidRPr="00772D05">
              <w:rPr>
                <w:sz w:val="20"/>
                <w:szCs w:val="20"/>
                <w:lang w:val="da-DK"/>
              </w:rPr>
              <w:t>[0,3, 1,0]</w:t>
            </w:r>
          </w:p>
        </w:tc>
        <w:tc>
          <w:tcPr>
            <w:tcW w:w="417" w:type="pct"/>
            <w:tcBorders>
              <w:top w:val="single" w:sz="4" w:space="0" w:color="000000"/>
              <w:left w:val="single" w:sz="4" w:space="0" w:color="000000"/>
              <w:bottom w:val="single" w:sz="4" w:space="0" w:color="000000"/>
              <w:right w:val="single" w:sz="4" w:space="0" w:color="000000"/>
            </w:tcBorders>
          </w:tcPr>
          <w:p w14:paraId="2EC86C36"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59EC16FA" w14:textId="77777777" w:rsidR="004223FE" w:rsidRPr="00772D05" w:rsidRDefault="004223FE">
            <w:pPr>
              <w:pStyle w:val="TableParagraph"/>
              <w:spacing w:line="250" w:lineRule="exact"/>
              <w:ind w:left="167"/>
              <w:rPr>
                <w:sz w:val="20"/>
                <w:szCs w:val="20"/>
                <w:lang w:val="da-DK"/>
              </w:rPr>
            </w:pPr>
            <w:r w:rsidRPr="00772D05">
              <w:rPr>
                <w:sz w:val="20"/>
                <w:szCs w:val="20"/>
                <w:lang w:val="da-DK"/>
              </w:rPr>
              <w:t>[0,1, 1,0]</w:t>
            </w:r>
          </w:p>
        </w:tc>
        <w:tc>
          <w:tcPr>
            <w:tcW w:w="486" w:type="pct"/>
            <w:tcBorders>
              <w:top w:val="single" w:sz="4" w:space="0" w:color="000000"/>
              <w:left w:val="single" w:sz="4" w:space="0" w:color="000000"/>
              <w:bottom w:val="single" w:sz="4" w:space="0" w:color="000000"/>
              <w:right w:val="single" w:sz="4" w:space="0" w:color="000000"/>
            </w:tcBorders>
            <w:hideMark/>
          </w:tcPr>
          <w:p w14:paraId="513A59F9" w14:textId="77777777" w:rsidR="004223FE" w:rsidRPr="00772D05" w:rsidRDefault="004223FE">
            <w:pPr>
              <w:pStyle w:val="TableParagraph"/>
              <w:spacing w:line="250" w:lineRule="exact"/>
              <w:ind w:left="141"/>
              <w:rPr>
                <w:sz w:val="20"/>
                <w:szCs w:val="20"/>
                <w:lang w:val="da-DK"/>
              </w:rPr>
            </w:pPr>
            <w:r w:rsidRPr="00772D05">
              <w:rPr>
                <w:sz w:val="20"/>
                <w:szCs w:val="20"/>
                <w:lang w:val="da-DK"/>
              </w:rPr>
              <w:t>[0,2, 1,1]</w:t>
            </w:r>
          </w:p>
        </w:tc>
        <w:tc>
          <w:tcPr>
            <w:tcW w:w="417" w:type="pct"/>
            <w:tcBorders>
              <w:top w:val="single" w:sz="4" w:space="0" w:color="000000"/>
              <w:left w:val="single" w:sz="4" w:space="0" w:color="000000"/>
              <w:bottom w:val="single" w:sz="4" w:space="0" w:color="000000"/>
              <w:right w:val="single" w:sz="4" w:space="0" w:color="000000"/>
            </w:tcBorders>
          </w:tcPr>
          <w:p w14:paraId="469A878A" w14:textId="77777777" w:rsidR="004223FE" w:rsidRPr="00772D05" w:rsidRDefault="004223FE">
            <w:pP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314E8A0E" w14:textId="77777777" w:rsidR="004223FE" w:rsidRPr="00772D05" w:rsidRDefault="004223FE">
            <w:pPr>
              <w:pStyle w:val="TableParagraph"/>
              <w:spacing w:line="250" w:lineRule="exact"/>
              <w:ind w:left="202"/>
              <w:rPr>
                <w:sz w:val="20"/>
                <w:szCs w:val="20"/>
                <w:lang w:val="da-DK"/>
              </w:rPr>
            </w:pPr>
            <w:r w:rsidRPr="00772D05">
              <w:rPr>
                <w:sz w:val="20"/>
                <w:szCs w:val="20"/>
                <w:lang w:val="da-DK"/>
              </w:rPr>
              <w:t>[0,6, 1,2]</w:t>
            </w:r>
          </w:p>
        </w:tc>
      </w:tr>
      <w:tr w:rsidR="004223FE" w:rsidRPr="00772D05" w14:paraId="236F9487"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tcPr>
          <w:p w14:paraId="51138E63" w14:textId="77777777" w:rsidR="004223FE" w:rsidRPr="00772D05" w:rsidRDefault="004223FE" w:rsidP="00772D05">
            <w:pPr>
              <w:pStyle w:val="TableParagraph"/>
              <w:spacing w:before="3" w:line="256" w:lineRule="auto"/>
              <w:ind w:right="132"/>
              <w:rPr>
                <w:sz w:val="20"/>
                <w:szCs w:val="20"/>
                <w:lang w:val="da-DK"/>
              </w:rPr>
            </w:pPr>
          </w:p>
          <w:p w14:paraId="764A5A55" w14:textId="77777777" w:rsidR="004223FE" w:rsidRPr="00772D05" w:rsidRDefault="004223FE" w:rsidP="00772D05">
            <w:pPr>
              <w:pStyle w:val="TableParagraph"/>
              <w:spacing w:line="256" w:lineRule="auto"/>
              <w:ind w:right="132"/>
              <w:rPr>
                <w:sz w:val="20"/>
                <w:szCs w:val="20"/>
                <w:lang w:val="da-DK"/>
              </w:rPr>
            </w:pPr>
            <w:proofErr w:type="spellStart"/>
            <w:r w:rsidRPr="00772D05">
              <w:rPr>
                <w:sz w:val="20"/>
                <w:szCs w:val="20"/>
                <w:lang w:val="da-DK"/>
              </w:rPr>
              <w:t>p-værdi</w:t>
            </w:r>
            <w:proofErr w:type="spellEnd"/>
          </w:p>
        </w:tc>
        <w:tc>
          <w:tcPr>
            <w:tcW w:w="486" w:type="pct"/>
            <w:tcBorders>
              <w:top w:val="single" w:sz="4" w:space="0" w:color="000000"/>
              <w:left w:val="single" w:sz="4" w:space="0" w:color="000000"/>
              <w:bottom w:val="single" w:sz="4" w:space="0" w:color="000000"/>
              <w:right w:val="single" w:sz="4" w:space="0" w:color="000000"/>
            </w:tcBorders>
          </w:tcPr>
          <w:p w14:paraId="1D785E13"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2DBDC7A9" w14:textId="77777777" w:rsidR="004223FE" w:rsidRPr="00772D05" w:rsidRDefault="004223FE">
            <w:pPr>
              <w:pStyle w:val="TableParagraph"/>
              <w:spacing w:before="126" w:line="256" w:lineRule="auto"/>
              <w:ind w:left="56" w:right="56"/>
              <w:jc w:val="center"/>
              <w:rPr>
                <w:sz w:val="20"/>
                <w:szCs w:val="20"/>
                <w:lang w:val="da-DK"/>
              </w:rPr>
            </w:pPr>
            <w:r w:rsidRPr="00772D05">
              <w:rPr>
                <w:sz w:val="20"/>
                <w:szCs w:val="20"/>
                <w:lang w:val="da-DK"/>
              </w:rPr>
              <w:t>0,0054</w:t>
            </w:r>
          </w:p>
        </w:tc>
        <w:tc>
          <w:tcPr>
            <w:tcW w:w="625" w:type="pct"/>
            <w:tcBorders>
              <w:top w:val="single" w:sz="4" w:space="0" w:color="000000"/>
              <w:left w:val="single" w:sz="4" w:space="0" w:color="000000"/>
              <w:bottom w:val="single" w:sz="4" w:space="0" w:color="000000"/>
              <w:right w:val="single" w:sz="4" w:space="0" w:color="000000"/>
            </w:tcBorders>
            <w:hideMark/>
          </w:tcPr>
          <w:p w14:paraId="64A1602E" w14:textId="77777777" w:rsidR="004223FE" w:rsidRPr="00772D05" w:rsidRDefault="004223FE">
            <w:pPr>
              <w:pStyle w:val="TableParagraph"/>
              <w:spacing w:before="126" w:line="256" w:lineRule="auto"/>
              <w:ind w:left="83" w:right="83"/>
              <w:jc w:val="center"/>
              <w:rPr>
                <w:sz w:val="20"/>
                <w:szCs w:val="20"/>
                <w:lang w:val="da-DK"/>
              </w:rPr>
            </w:pPr>
            <w:r w:rsidRPr="00772D05">
              <w:rPr>
                <w:sz w:val="20"/>
                <w:szCs w:val="20"/>
                <w:lang w:val="da-DK"/>
              </w:rPr>
              <w:t>0.0002</w:t>
            </w:r>
          </w:p>
        </w:tc>
        <w:tc>
          <w:tcPr>
            <w:tcW w:w="417" w:type="pct"/>
            <w:tcBorders>
              <w:top w:val="single" w:sz="4" w:space="0" w:color="000000"/>
              <w:left w:val="single" w:sz="4" w:space="0" w:color="000000"/>
              <w:bottom w:val="single" w:sz="4" w:space="0" w:color="000000"/>
              <w:right w:val="single" w:sz="4" w:space="0" w:color="000000"/>
            </w:tcBorders>
          </w:tcPr>
          <w:p w14:paraId="1DF3B0FC"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28D97915" w14:textId="77777777" w:rsidR="004223FE" w:rsidRPr="00772D05" w:rsidRDefault="004223FE">
            <w:pPr>
              <w:pStyle w:val="TableParagraph"/>
              <w:spacing w:before="126" w:line="256" w:lineRule="auto"/>
              <w:ind w:left="46" w:right="46"/>
              <w:jc w:val="center"/>
              <w:rPr>
                <w:sz w:val="20"/>
                <w:szCs w:val="20"/>
                <w:lang w:val="da-DK"/>
              </w:rPr>
            </w:pPr>
            <w:r w:rsidRPr="00772D05">
              <w:rPr>
                <w:sz w:val="20"/>
                <w:szCs w:val="20"/>
                <w:lang w:val="da-DK"/>
              </w:rPr>
              <w:t>0,0110</w:t>
            </w:r>
          </w:p>
        </w:tc>
        <w:tc>
          <w:tcPr>
            <w:tcW w:w="486" w:type="pct"/>
            <w:tcBorders>
              <w:top w:val="single" w:sz="4" w:space="0" w:color="000000"/>
              <w:left w:val="single" w:sz="4" w:space="0" w:color="000000"/>
              <w:bottom w:val="single" w:sz="4" w:space="0" w:color="000000"/>
              <w:right w:val="single" w:sz="4" w:space="0" w:color="000000"/>
            </w:tcBorders>
            <w:hideMark/>
          </w:tcPr>
          <w:p w14:paraId="3A06E3AF" w14:textId="77777777" w:rsidR="004223FE" w:rsidRPr="00772D05" w:rsidRDefault="004223FE">
            <w:pPr>
              <w:pStyle w:val="TableParagraph"/>
              <w:spacing w:before="126" w:line="256" w:lineRule="auto"/>
              <w:ind w:left="63" w:right="63"/>
              <w:jc w:val="center"/>
              <w:rPr>
                <w:sz w:val="20"/>
                <w:szCs w:val="20"/>
                <w:lang w:val="da-DK"/>
              </w:rPr>
            </w:pPr>
            <w:r w:rsidRPr="00772D05">
              <w:rPr>
                <w:sz w:val="20"/>
                <w:szCs w:val="20"/>
                <w:lang w:val="da-DK"/>
              </w:rPr>
              <w:t>0,0028</w:t>
            </w:r>
          </w:p>
        </w:tc>
        <w:tc>
          <w:tcPr>
            <w:tcW w:w="417" w:type="pct"/>
            <w:tcBorders>
              <w:top w:val="single" w:sz="4" w:space="0" w:color="000000"/>
              <w:left w:val="single" w:sz="4" w:space="0" w:color="000000"/>
              <w:bottom w:val="single" w:sz="4" w:space="0" w:color="000000"/>
              <w:right w:val="single" w:sz="4" w:space="0" w:color="000000"/>
            </w:tcBorders>
          </w:tcPr>
          <w:p w14:paraId="35598E3C" w14:textId="77777777" w:rsidR="004223FE" w:rsidRPr="00772D05" w:rsidRDefault="004223FE">
            <w:pP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47B26F95" w14:textId="77777777" w:rsidR="004223FE" w:rsidRPr="00772D05" w:rsidRDefault="004223FE">
            <w:pPr>
              <w:pStyle w:val="TableParagraph"/>
              <w:spacing w:line="250" w:lineRule="exact"/>
              <w:ind w:left="72" w:right="72"/>
              <w:jc w:val="center"/>
              <w:rPr>
                <w:sz w:val="20"/>
                <w:szCs w:val="20"/>
                <w:lang w:val="da-DK"/>
              </w:rPr>
            </w:pPr>
            <w:r w:rsidRPr="00772D05">
              <w:rPr>
                <w:sz w:val="20"/>
                <w:szCs w:val="20"/>
                <w:lang w:val="da-DK"/>
              </w:rPr>
              <w:t>&lt;0,0001</w:t>
            </w:r>
          </w:p>
        </w:tc>
      </w:tr>
      <w:tr w:rsidR="004223FE" w:rsidRPr="00772D05" w14:paraId="7969DD0D" w14:textId="77777777" w:rsidTr="00772D05">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0AA1BA04" w14:textId="77777777" w:rsidR="004223FE" w:rsidRPr="00772D05" w:rsidRDefault="004223FE" w:rsidP="00772D05">
            <w:pPr>
              <w:pStyle w:val="TableParagraph"/>
              <w:spacing w:line="250" w:lineRule="exact"/>
              <w:ind w:right="132"/>
              <w:rPr>
                <w:b/>
                <w:sz w:val="20"/>
                <w:szCs w:val="20"/>
                <w:highlight w:val="green"/>
                <w:lang w:val="da-DK"/>
              </w:rPr>
            </w:pPr>
            <w:proofErr w:type="gramStart"/>
            <w:r w:rsidRPr="00772D05">
              <w:rPr>
                <w:b/>
                <w:sz w:val="20"/>
                <w:szCs w:val="20"/>
                <w:lang w:val="da-DK"/>
              </w:rPr>
              <w:t>OFF tid</w:t>
            </w:r>
            <w:proofErr w:type="gramEnd"/>
            <w:r w:rsidRPr="00772D05">
              <w:rPr>
                <w:b/>
                <w:sz w:val="20"/>
                <w:szCs w:val="20"/>
                <w:lang w:val="da-DK"/>
              </w:rPr>
              <w:t xml:space="preserve"> (timer) (c)</w:t>
            </w:r>
          </w:p>
        </w:tc>
      </w:tr>
      <w:tr w:rsidR="004223FE" w:rsidRPr="00772D05" w14:paraId="035E0C5A"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083BF48E" w14:textId="683F0DEF" w:rsidR="004223FE" w:rsidRPr="00772D05" w:rsidRDefault="004223FE" w:rsidP="00772D05">
            <w:pPr>
              <w:pStyle w:val="TableParagraph"/>
              <w:spacing w:line="250" w:lineRule="exact"/>
              <w:ind w:right="132"/>
              <w:rPr>
                <w:sz w:val="20"/>
                <w:szCs w:val="20"/>
                <w:lang w:val="da-DK"/>
              </w:rPr>
            </w:pPr>
            <w:r w:rsidRPr="00772D05">
              <w:rPr>
                <w:sz w:val="20"/>
                <w:szCs w:val="20"/>
                <w:lang w:val="da-DK"/>
              </w:rPr>
              <w:t xml:space="preserve">Udgangspunkt (b) </w:t>
            </w:r>
          </w:p>
        </w:tc>
        <w:tc>
          <w:tcPr>
            <w:tcW w:w="486" w:type="pct"/>
            <w:tcBorders>
              <w:top w:val="single" w:sz="4" w:space="0" w:color="000000"/>
              <w:left w:val="single" w:sz="4" w:space="0" w:color="000000"/>
              <w:bottom w:val="single" w:sz="4" w:space="0" w:color="000000"/>
              <w:right w:val="single" w:sz="4" w:space="0" w:color="000000"/>
            </w:tcBorders>
            <w:hideMark/>
          </w:tcPr>
          <w:p w14:paraId="7F21911F"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5,3</w:t>
            </w:r>
          </w:p>
          <w:p w14:paraId="45C9528A"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(2,1)</w:t>
            </w:r>
          </w:p>
        </w:tc>
        <w:tc>
          <w:tcPr>
            <w:tcW w:w="486" w:type="pct"/>
            <w:tcBorders>
              <w:top w:val="single" w:sz="4" w:space="0" w:color="000000"/>
              <w:left w:val="single" w:sz="4" w:space="0" w:color="000000"/>
              <w:bottom w:val="single" w:sz="4" w:space="0" w:color="000000"/>
              <w:right w:val="single" w:sz="4" w:space="0" w:color="000000"/>
            </w:tcBorders>
            <w:hideMark/>
          </w:tcPr>
          <w:p w14:paraId="577050C6"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5,2</w:t>
            </w:r>
          </w:p>
          <w:p w14:paraId="0AD79134"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(2,0)</w:t>
            </w:r>
          </w:p>
        </w:tc>
        <w:tc>
          <w:tcPr>
            <w:tcW w:w="625" w:type="pct"/>
            <w:tcBorders>
              <w:top w:val="single" w:sz="4" w:space="0" w:color="000000"/>
              <w:left w:val="single" w:sz="4" w:space="0" w:color="000000"/>
              <w:bottom w:val="single" w:sz="4" w:space="0" w:color="000000"/>
              <w:right w:val="single" w:sz="4" w:space="0" w:color="000000"/>
            </w:tcBorders>
            <w:hideMark/>
          </w:tcPr>
          <w:p w14:paraId="0AEA2021"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5,2</w:t>
            </w:r>
          </w:p>
          <w:p w14:paraId="52DF5A38"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(2,2)</w:t>
            </w:r>
          </w:p>
        </w:tc>
        <w:tc>
          <w:tcPr>
            <w:tcW w:w="417" w:type="pct"/>
            <w:tcBorders>
              <w:top w:val="single" w:sz="4" w:space="0" w:color="000000"/>
              <w:left w:val="single" w:sz="4" w:space="0" w:color="000000"/>
              <w:bottom w:val="single" w:sz="4" w:space="0" w:color="000000"/>
              <w:right w:val="single" w:sz="4" w:space="0" w:color="000000"/>
            </w:tcBorders>
            <w:hideMark/>
          </w:tcPr>
          <w:p w14:paraId="5D94F414"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5,3</w:t>
            </w:r>
          </w:p>
          <w:p w14:paraId="36648606"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(2,1)</w:t>
            </w:r>
          </w:p>
        </w:tc>
        <w:tc>
          <w:tcPr>
            <w:tcW w:w="486" w:type="pct"/>
            <w:tcBorders>
              <w:top w:val="single" w:sz="4" w:space="0" w:color="000000"/>
              <w:left w:val="single" w:sz="4" w:space="0" w:color="000000"/>
              <w:bottom w:val="single" w:sz="4" w:space="0" w:color="000000"/>
              <w:right w:val="single" w:sz="4" w:space="0" w:color="000000"/>
            </w:tcBorders>
            <w:hideMark/>
          </w:tcPr>
          <w:p w14:paraId="49765717"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5,2 (2,2)</w:t>
            </w:r>
          </w:p>
        </w:tc>
        <w:tc>
          <w:tcPr>
            <w:tcW w:w="486" w:type="pct"/>
            <w:tcBorders>
              <w:top w:val="single" w:sz="4" w:space="0" w:color="000000"/>
              <w:left w:val="single" w:sz="4" w:space="0" w:color="000000"/>
              <w:bottom w:val="single" w:sz="4" w:space="0" w:color="000000"/>
              <w:right w:val="single" w:sz="4" w:space="0" w:color="000000"/>
            </w:tcBorders>
            <w:hideMark/>
          </w:tcPr>
          <w:p w14:paraId="5BF7EF10"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5,2</w:t>
            </w:r>
          </w:p>
          <w:p w14:paraId="519B0D42"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(2,1)</w:t>
            </w:r>
          </w:p>
        </w:tc>
        <w:tc>
          <w:tcPr>
            <w:tcW w:w="417" w:type="pct"/>
            <w:tcBorders>
              <w:top w:val="single" w:sz="4" w:space="0" w:color="000000"/>
              <w:left w:val="single" w:sz="4" w:space="0" w:color="000000"/>
              <w:bottom w:val="single" w:sz="4" w:space="0" w:color="000000"/>
              <w:right w:val="single" w:sz="4" w:space="0" w:color="000000"/>
            </w:tcBorders>
            <w:hideMark/>
          </w:tcPr>
          <w:p w14:paraId="44586BA7"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5,4</w:t>
            </w:r>
          </w:p>
          <w:p w14:paraId="0F26B4DF"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(2,0)</w:t>
            </w:r>
          </w:p>
        </w:tc>
        <w:tc>
          <w:tcPr>
            <w:tcW w:w="625" w:type="pct"/>
            <w:tcBorders>
              <w:top w:val="single" w:sz="4" w:space="0" w:color="000000"/>
              <w:left w:val="single" w:sz="4" w:space="0" w:color="000000"/>
              <w:bottom w:val="single" w:sz="4" w:space="0" w:color="000000"/>
              <w:right w:val="single" w:sz="4" w:space="0" w:color="000000"/>
            </w:tcBorders>
            <w:hideMark/>
          </w:tcPr>
          <w:p w14:paraId="5AF58243"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5,3</w:t>
            </w:r>
          </w:p>
          <w:p w14:paraId="17932779"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(2,0)</w:t>
            </w:r>
          </w:p>
        </w:tc>
      </w:tr>
      <w:tr w:rsidR="004223FE" w:rsidRPr="00772D05" w14:paraId="6AE30D4C"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4A0C7F6F"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LSM</w:t>
            </w:r>
          </w:p>
          <w:p w14:paraId="5C819BA4"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forandring (SE)</w:t>
            </w:r>
          </w:p>
        </w:tc>
        <w:tc>
          <w:tcPr>
            <w:tcW w:w="486" w:type="pct"/>
            <w:tcBorders>
              <w:top w:val="single" w:sz="4" w:space="0" w:color="000000"/>
              <w:left w:val="single" w:sz="4" w:space="0" w:color="000000"/>
              <w:bottom w:val="single" w:sz="4" w:space="0" w:color="000000"/>
              <w:right w:val="single" w:sz="4" w:space="0" w:color="000000"/>
            </w:tcBorders>
            <w:hideMark/>
          </w:tcPr>
          <w:p w14:paraId="733CC601" w14:textId="77777777" w:rsidR="004223FE" w:rsidRPr="00772D05" w:rsidRDefault="004223FE">
            <w:pPr>
              <w:pStyle w:val="TableParagraph"/>
              <w:spacing w:line="250" w:lineRule="exact"/>
              <w:ind w:left="261"/>
              <w:jc w:val="center"/>
              <w:rPr>
                <w:sz w:val="20"/>
                <w:szCs w:val="20"/>
                <w:lang w:val="da-DK"/>
              </w:rPr>
            </w:pPr>
            <w:r w:rsidRPr="00772D05">
              <w:rPr>
                <w:sz w:val="20"/>
                <w:szCs w:val="20"/>
                <w:lang w:val="da-DK"/>
              </w:rPr>
              <w:t>-0,8</w:t>
            </w:r>
          </w:p>
          <w:p w14:paraId="7D8515FC" w14:textId="77777777" w:rsidR="004223FE" w:rsidRPr="00772D05" w:rsidRDefault="004223FE">
            <w:pPr>
              <w:pStyle w:val="TableParagraph"/>
              <w:spacing w:before="7" w:line="256" w:lineRule="auto"/>
              <w:ind w:left="170"/>
              <w:jc w:val="center"/>
              <w:rPr>
                <w:sz w:val="20"/>
                <w:szCs w:val="20"/>
                <w:lang w:val="da-DK"/>
              </w:rPr>
            </w:pPr>
            <w:r w:rsidRPr="00772D05">
              <w:rPr>
                <w:sz w:val="20"/>
                <w:szCs w:val="20"/>
                <w:lang w:val="da-DK"/>
              </w:rPr>
              <w:t>(0,20)</w:t>
            </w:r>
          </w:p>
        </w:tc>
        <w:tc>
          <w:tcPr>
            <w:tcW w:w="486" w:type="pct"/>
            <w:tcBorders>
              <w:top w:val="single" w:sz="4" w:space="0" w:color="000000"/>
              <w:left w:val="single" w:sz="4" w:space="0" w:color="000000"/>
              <w:bottom w:val="single" w:sz="4" w:space="0" w:color="000000"/>
              <w:right w:val="single" w:sz="4" w:space="0" w:color="000000"/>
            </w:tcBorders>
            <w:hideMark/>
          </w:tcPr>
          <w:p w14:paraId="75A96E0A" w14:textId="77777777" w:rsidR="004223FE" w:rsidRPr="00772D05" w:rsidRDefault="004223FE">
            <w:pPr>
              <w:pStyle w:val="TableParagraph"/>
              <w:spacing w:line="250" w:lineRule="exact"/>
              <w:ind w:left="277"/>
              <w:jc w:val="center"/>
              <w:rPr>
                <w:sz w:val="20"/>
                <w:szCs w:val="20"/>
                <w:lang w:val="da-DK"/>
              </w:rPr>
            </w:pPr>
            <w:r w:rsidRPr="00772D05">
              <w:rPr>
                <w:sz w:val="20"/>
                <w:szCs w:val="20"/>
                <w:lang w:val="da-DK"/>
              </w:rPr>
              <w:t>-1,4</w:t>
            </w:r>
          </w:p>
          <w:p w14:paraId="7FEF5B75" w14:textId="77777777" w:rsidR="004223FE" w:rsidRPr="00772D05" w:rsidRDefault="004223FE">
            <w:pPr>
              <w:pStyle w:val="TableParagraph"/>
              <w:spacing w:before="7" w:line="256" w:lineRule="auto"/>
              <w:ind w:left="186"/>
              <w:jc w:val="center"/>
              <w:rPr>
                <w:sz w:val="20"/>
                <w:szCs w:val="20"/>
                <w:lang w:val="da-DK"/>
              </w:rPr>
            </w:pPr>
            <w:r w:rsidRPr="00772D05">
              <w:rPr>
                <w:sz w:val="20"/>
                <w:szCs w:val="20"/>
                <w:lang w:val="da-DK"/>
              </w:rPr>
              <w:t>(0,20)</w:t>
            </w:r>
          </w:p>
        </w:tc>
        <w:tc>
          <w:tcPr>
            <w:tcW w:w="625" w:type="pct"/>
            <w:tcBorders>
              <w:top w:val="single" w:sz="4" w:space="0" w:color="000000"/>
              <w:left w:val="single" w:sz="4" w:space="0" w:color="000000"/>
              <w:bottom w:val="single" w:sz="4" w:space="0" w:color="000000"/>
              <w:right w:val="single" w:sz="4" w:space="0" w:color="000000"/>
            </w:tcBorders>
            <w:hideMark/>
          </w:tcPr>
          <w:p w14:paraId="1C949204" w14:textId="77777777" w:rsidR="004223FE" w:rsidRPr="00772D05" w:rsidRDefault="004223FE">
            <w:pPr>
              <w:pStyle w:val="TableParagraph"/>
              <w:spacing w:line="250" w:lineRule="exact"/>
              <w:ind w:left="239"/>
              <w:jc w:val="center"/>
              <w:rPr>
                <w:sz w:val="20"/>
                <w:szCs w:val="20"/>
                <w:lang w:val="da-DK"/>
              </w:rPr>
            </w:pPr>
            <w:r w:rsidRPr="00772D05">
              <w:rPr>
                <w:sz w:val="20"/>
                <w:szCs w:val="20"/>
                <w:lang w:val="da-DK"/>
              </w:rPr>
              <w:t>-1,5</w:t>
            </w:r>
          </w:p>
          <w:p w14:paraId="0AB25655" w14:textId="77777777" w:rsidR="004223FE" w:rsidRPr="00772D05" w:rsidRDefault="004223FE">
            <w:pPr>
              <w:pStyle w:val="TableParagraph"/>
              <w:spacing w:before="7" w:line="256" w:lineRule="auto"/>
              <w:ind w:left="147"/>
              <w:jc w:val="center"/>
              <w:rPr>
                <w:sz w:val="20"/>
                <w:szCs w:val="20"/>
                <w:lang w:val="da-DK"/>
              </w:rPr>
            </w:pPr>
            <w:r w:rsidRPr="00772D05">
              <w:rPr>
                <w:sz w:val="20"/>
                <w:szCs w:val="20"/>
                <w:lang w:val="da-DK"/>
              </w:rPr>
              <w:t>(0,20)</w:t>
            </w:r>
          </w:p>
        </w:tc>
        <w:tc>
          <w:tcPr>
            <w:tcW w:w="417" w:type="pct"/>
            <w:tcBorders>
              <w:top w:val="single" w:sz="4" w:space="0" w:color="000000"/>
              <w:left w:val="single" w:sz="4" w:space="0" w:color="000000"/>
              <w:bottom w:val="single" w:sz="4" w:space="0" w:color="000000"/>
              <w:right w:val="single" w:sz="4" w:space="0" w:color="000000"/>
            </w:tcBorders>
            <w:hideMark/>
          </w:tcPr>
          <w:p w14:paraId="76A6BB2A" w14:textId="77777777" w:rsidR="004223FE" w:rsidRPr="00772D05" w:rsidRDefault="004223FE">
            <w:pPr>
              <w:pStyle w:val="TableParagraph"/>
              <w:spacing w:line="250" w:lineRule="exact"/>
              <w:ind w:left="281"/>
              <w:jc w:val="center"/>
              <w:rPr>
                <w:sz w:val="20"/>
                <w:szCs w:val="20"/>
                <w:lang w:val="da-DK"/>
              </w:rPr>
            </w:pPr>
            <w:r w:rsidRPr="00772D05">
              <w:rPr>
                <w:sz w:val="20"/>
                <w:szCs w:val="20"/>
                <w:lang w:val="da-DK"/>
              </w:rPr>
              <w:t>-1,0</w:t>
            </w:r>
          </w:p>
          <w:p w14:paraId="7567349D" w14:textId="77777777" w:rsidR="004223FE" w:rsidRPr="00772D05" w:rsidRDefault="004223FE">
            <w:pPr>
              <w:pStyle w:val="TableParagraph"/>
              <w:spacing w:before="7" w:line="256" w:lineRule="auto"/>
              <w:ind w:left="189"/>
              <w:jc w:val="center"/>
              <w:rPr>
                <w:sz w:val="20"/>
                <w:szCs w:val="20"/>
                <w:lang w:val="da-DK"/>
              </w:rPr>
            </w:pPr>
            <w:r w:rsidRPr="00772D05">
              <w:rPr>
                <w:sz w:val="20"/>
                <w:szCs w:val="20"/>
                <w:lang w:val="da-DK"/>
              </w:rPr>
              <w:t>(0,20)</w:t>
            </w:r>
          </w:p>
        </w:tc>
        <w:tc>
          <w:tcPr>
            <w:tcW w:w="486" w:type="pct"/>
            <w:tcBorders>
              <w:top w:val="single" w:sz="4" w:space="0" w:color="000000"/>
              <w:left w:val="single" w:sz="4" w:space="0" w:color="000000"/>
              <w:bottom w:val="single" w:sz="4" w:space="0" w:color="000000"/>
              <w:right w:val="single" w:sz="4" w:space="0" w:color="000000"/>
            </w:tcBorders>
            <w:hideMark/>
          </w:tcPr>
          <w:p w14:paraId="135A5CB4" w14:textId="77777777" w:rsidR="004223FE" w:rsidRPr="00772D05" w:rsidRDefault="004223FE">
            <w:pPr>
              <w:pStyle w:val="TableParagraph"/>
              <w:spacing w:line="250" w:lineRule="exact"/>
              <w:ind w:left="194"/>
              <w:jc w:val="center"/>
              <w:rPr>
                <w:sz w:val="20"/>
                <w:szCs w:val="20"/>
                <w:lang w:val="da-DK"/>
              </w:rPr>
            </w:pPr>
            <w:r w:rsidRPr="00772D05">
              <w:rPr>
                <w:sz w:val="20"/>
                <w:szCs w:val="20"/>
                <w:lang w:val="da-DK"/>
              </w:rPr>
              <w:t>-1,5</w:t>
            </w:r>
          </w:p>
          <w:p w14:paraId="0CA32E00" w14:textId="77777777" w:rsidR="004223FE" w:rsidRPr="00772D05" w:rsidRDefault="004223FE">
            <w:pPr>
              <w:pStyle w:val="TableParagraph"/>
              <w:spacing w:before="7" w:line="256" w:lineRule="auto"/>
              <w:ind w:left="103"/>
              <w:jc w:val="center"/>
              <w:rPr>
                <w:sz w:val="20"/>
                <w:szCs w:val="20"/>
                <w:lang w:val="da-DK"/>
              </w:rPr>
            </w:pPr>
            <w:r w:rsidRPr="00772D05">
              <w:rPr>
                <w:sz w:val="20"/>
                <w:szCs w:val="20"/>
                <w:lang w:val="da-DK"/>
              </w:rPr>
              <w:t>(0,19)</w:t>
            </w:r>
          </w:p>
        </w:tc>
        <w:tc>
          <w:tcPr>
            <w:tcW w:w="486" w:type="pct"/>
            <w:tcBorders>
              <w:top w:val="single" w:sz="4" w:space="0" w:color="000000"/>
              <w:left w:val="single" w:sz="4" w:space="0" w:color="000000"/>
              <w:bottom w:val="single" w:sz="4" w:space="0" w:color="000000"/>
              <w:right w:val="single" w:sz="4" w:space="0" w:color="000000"/>
            </w:tcBorders>
            <w:hideMark/>
          </w:tcPr>
          <w:p w14:paraId="6B2869D9" w14:textId="77777777" w:rsidR="004223FE" w:rsidRPr="00772D05" w:rsidRDefault="004223FE">
            <w:pPr>
              <w:pStyle w:val="TableParagraph"/>
              <w:spacing w:line="250" w:lineRule="exact"/>
              <w:ind w:left="211"/>
              <w:jc w:val="center"/>
              <w:rPr>
                <w:sz w:val="20"/>
                <w:szCs w:val="20"/>
                <w:lang w:val="da-DK"/>
              </w:rPr>
            </w:pPr>
            <w:r w:rsidRPr="00772D05">
              <w:rPr>
                <w:sz w:val="20"/>
                <w:szCs w:val="20"/>
                <w:lang w:val="da-DK"/>
              </w:rPr>
              <w:t>-1,6</w:t>
            </w:r>
          </w:p>
          <w:p w14:paraId="08719E59" w14:textId="77777777" w:rsidR="004223FE" w:rsidRPr="00772D05" w:rsidRDefault="004223FE">
            <w:pPr>
              <w:pStyle w:val="TableParagraph"/>
              <w:spacing w:before="7" w:line="256" w:lineRule="auto"/>
              <w:ind w:left="119"/>
              <w:jc w:val="center"/>
              <w:rPr>
                <w:sz w:val="20"/>
                <w:szCs w:val="20"/>
                <w:lang w:val="da-DK"/>
              </w:rPr>
            </w:pPr>
            <w:r w:rsidRPr="00772D05">
              <w:rPr>
                <w:sz w:val="20"/>
                <w:szCs w:val="20"/>
                <w:lang w:val="da-DK"/>
              </w:rPr>
              <w:t>(0,19)</w:t>
            </w:r>
          </w:p>
        </w:tc>
        <w:tc>
          <w:tcPr>
            <w:tcW w:w="417" w:type="pct"/>
            <w:tcBorders>
              <w:top w:val="single" w:sz="4" w:space="0" w:color="000000"/>
              <w:left w:val="single" w:sz="4" w:space="0" w:color="000000"/>
              <w:bottom w:val="single" w:sz="4" w:space="0" w:color="000000"/>
              <w:right w:val="single" w:sz="4" w:space="0" w:color="000000"/>
            </w:tcBorders>
            <w:hideMark/>
          </w:tcPr>
          <w:p w14:paraId="09D48132" w14:textId="77777777" w:rsidR="004223FE" w:rsidRPr="00772D05" w:rsidRDefault="004223FE">
            <w:pPr>
              <w:pStyle w:val="TableParagraph"/>
              <w:spacing w:line="250" w:lineRule="exact"/>
              <w:jc w:val="center"/>
              <w:rPr>
                <w:sz w:val="20"/>
                <w:szCs w:val="20"/>
                <w:lang w:val="da-DK"/>
              </w:rPr>
            </w:pPr>
            <w:r w:rsidRPr="00772D05">
              <w:rPr>
                <w:sz w:val="20"/>
                <w:szCs w:val="20"/>
                <w:lang w:val="da-DK"/>
              </w:rPr>
              <w:t>-0,5</w:t>
            </w:r>
          </w:p>
          <w:p w14:paraId="386D0BDE" w14:textId="77777777" w:rsidR="004223FE" w:rsidRPr="00772D05" w:rsidRDefault="004223FE">
            <w:pPr>
              <w:pStyle w:val="TableParagraph"/>
              <w:spacing w:before="7" w:line="256" w:lineRule="auto"/>
              <w:jc w:val="center"/>
              <w:rPr>
                <w:sz w:val="20"/>
                <w:szCs w:val="20"/>
                <w:lang w:val="da-DK"/>
              </w:rPr>
            </w:pPr>
            <w:r w:rsidRPr="00772D05">
              <w:rPr>
                <w:sz w:val="20"/>
                <w:szCs w:val="20"/>
                <w:lang w:val="da-DK"/>
              </w:rPr>
              <w:t>(0,10)</w:t>
            </w:r>
          </w:p>
        </w:tc>
        <w:tc>
          <w:tcPr>
            <w:tcW w:w="625" w:type="pct"/>
            <w:tcBorders>
              <w:top w:val="single" w:sz="4" w:space="0" w:color="000000"/>
              <w:left w:val="single" w:sz="4" w:space="0" w:color="000000"/>
              <w:bottom w:val="single" w:sz="4" w:space="0" w:color="000000"/>
              <w:right w:val="single" w:sz="4" w:space="0" w:color="000000"/>
            </w:tcBorders>
            <w:hideMark/>
          </w:tcPr>
          <w:p w14:paraId="4A6D2009" w14:textId="77777777" w:rsidR="004223FE" w:rsidRPr="00772D05" w:rsidRDefault="004223FE">
            <w:pPr>
              <w:pStyle w:val="TableParagraph"/>
              <w:spacing w:line="250" w:lineRule="exact"/>
              <w:ind w:left="229"/>
              <w:jc w:val="center"/>
              <w:rPr>
                <w:sz w:val="20"/>
                <w:szCs w:val="20"/>
                <w:lang w:val="da-DK"/>
              </w:rPr>
            </w:pPr>
            <w:r w:rsidRPr="00772D05">
              <w:rPr>
                <w:sz w:val="20"/>
                <w:szCs w:val="20"/>
                <w:lang w:val="da-DK"/>
              </w:rPr>
              <w:t>-1,5</w:t>
            </w:r>
          </w:p>
          <w:p w14:paraId="5772D1AF" w14:textId="77777777" w:rsidR="004223FE" w:rsidRPr="00772D05" w:rsidRDefault="004223FE">
            <w:pPr>
              <w:pStyle w:val="TableParagraph"/>
              <w:spacing w:before="7" w:line="256" w:lineRule="auto"/>
              <w:ind w:left="138"/>
              <w:jc w:val="center"/>
              <w:rPr>
                <w:sz w:val="20"/>
                <w:szCs w:val="20"/>
                <w:lang w:val="da-DK"/>
              </w:rPr>
            </w:pPr>
            <w:r w:rsidRPr="00772D05">
              <w:rPr>
                <w:sz w:val="20"/>
                <w:szCs w:val="20"/>
                <w:lang w:val="da-DK"/>
              </w:rPr>
              <w:t>(0,10)</w:t>
            </w:r>
          </w:p>
        </w:tc>
      </w:tr>
      <w:tr w:rsidR="004223FE" w:rsidRPr="00772D05" w14:paraId="15D980E6"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23821DF0"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 xml:space="preserve">LS </w:t>
            </w:r>
            <w:proofErr w:type="spellStart"/>
            <w:r w:rsidRPr="00772D05">
              <w:rPr>
                <w:sz w:val="20"/>
                <w:szCs w:val="20"/>
                <w:lang w:val="da-DK"/>
              </w:rPr>
              <w:t>Diff</w:t>
            </w:r>
            <w:proofErr w:type="spellEnd"/>
            <w:r w:rsidRPr="00772D05">
              <w:rPr>
                <w:sz w:val="20"/>
                <w:szCs w:val="20"/>
                <w:lang w:val="da-DK"/>
              </w:rPr>
              <w:t xml:space="preserve"> </w:t>
            </w:r>
            <w:proofErr w:type="spellStart"/>
            <w:r w:rsidRPr="00772D05">
              <w:rPr>
                <w:sz w:val="20"/>
                <w:szCs w:val="20"/>
                <w:lang w:val="da-DK"/>
              </w:rPr>
              <w:t>vs</w:t>
            </w:r>
            <w:proofErr w:type="spellEnd"/>
            <w:r w:rsidRPr="00772D05">
              <w:rPr>
                <w:sz w:val="20"/>
                <w:szCs w:val="20"/>
                <w:lang w:val="da-DK"/>
              </w:rPr>
              <w:t xml:space="preserve"> Placebo</w:t>
            </w:r>
          </w:p>
        </w:tc>
        <w:tc>
          <w:tcPr>
            <w:tcW w:w="486" w:type="pct"/>
            <w:tcBorders>
              <w:top w:val="single" w:sz="4" w:space="0" w:color="000000"/>
              <w:left w:val="single" w:sz="4" w:space="0" w:color="000000"/>
              <w:bottom w:val="single" w:sz="4" w:space="0" w:color="000000"/>
              <w:right w:val="single" w:sz="4" w:space="0" w:color="000000"/>
            </w:tcBorders>
          </w:tcPr>
          <w:p w14:paraId="51C34772"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4B98B04A" w14:textId="77777777" w:rsidR="004223FE" w:rsidRPr="00772D05" w:rsidRDefault="004223FE">
            <w:pPr>
              <w:pStyle w:val="TableParagraph"/>
              <w:spacing w:line="250" w:lineRule="exact"/>
              <w:ind w:left="56" w:right="56"/>
              <w:jc w:val="center"/>
              <w:rPr>
                <w:sz w:val="20"/>
                <w:szCs w:val="20"/>
                <w:lang w:val="da-DK"/>
              </w:rPr>
            </w:pPr>
            <w:r w:rsidRPr="00772D05">
              <w:rPr>
                <w:sz w:val="20"/>
                <w:szCs w:val="20"/>
                <w:lang w:val="da-DK"/>
              </w:rPr>
              <w:t>-0,6</w:t>
            </w:r>
          </w:p>
        </w:tc>
        <w:tc>
          <w:tcPr>
            <w:tcW w:w="625" w:type="pct"/>
            <w:tcBorders>
              <w:top w:val="single" w:sz="4" w:space="0" w:color="000000"/>
              <w:left w:val="single" w:sz="4" w:space="0" w:color="000000"/>
              <w:bottom w:val="single" w:sz="4" w:space="0" w:color="000000"/>
              <w:right w:val="single" w:sz="4" w:space="0" w:color="000000"/>
            </w:tcBorders>
            <w:hideMark/>
          </w:tcPr>
          <w:p w14:paraId="3BAFD27C"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-0,7</w:t>
            </w:r>
          </w:p>
        </w:tc>
        <w:tc>
          <w:tcPr>
            <w:tcW w:w="417" w:type="pct"/>
            <w:tcBorders>
              <w:top w:val="single" w:sz="4" w:space="0" w:color="000000"/>
              <w:left w:val="single" w:sz="4" w:space="0" w:color="000000"/>
              <w:bottom w:val="single" w:sz="4" w:space="0" w:color="000000"/>
              <w:right w:val="single" w:sz="4" w:space="0" w:color="000000"/>
            </w:tcBorders>
          </w:tcPr>
          <w:p w14:paraId="632AC373"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7A98FBE6"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-0,5</w:t>
            </w:r>
          </w:p>
        </w:tc>
        <w:tc>
          <w:tcPr>
            <w:tcW w:w="486" w:type="pct"/>
            <w:tcBorders>
              <w:top w:val="single" w:sz="4" w:space="0" w:color="000000"/>
              <w:left w:val="single" w:sz="4" w:space="0" w:color="000000"/>
              <w:bottom w:val="single" w:sz="4" w:space="0" w:color="000000"/>
              <w:right w:val="single" w:sz="4" w:space="0" w:color="000000"/>
            </w:tcBorders>
            <w:hideMark/>
          </w:tcPr>
          <w:p w14:paraId="5A04A0B0" w14:textId="77777777" w:rsidR="004223FE" w:rsidRPr="00772D05" w:rsidRDefault="004223FE">
            <w:pPr>
              <w:pStyle w:val="TableParagraph"/>
              <w:spacing w:line="250" w:lineRule="exact"/>
              <w:ind w:left="63" w:right="63"/>
              <w:jc w:val="center"/>
              <w:rPr>
                <w:sz w:val="20"/>
                <w:szCs w:val="20"/>
                <w:lang w:val="da-DK"/>
              </w:rPr>
            </w:pPr>
            <w:r w:rsidRPr="00772D05">
              <w:rPr>
                <w:sz w:val="20"/>
                <w:szCs w:val="20"/>
                <w:lang w:val="da-DK"/>
              </w:rPr>
              <w:t>-0,6</w:t>
            </w:r>
          </w:p>
        </w:tc>
        <w:tc>
          <w:tcPr>
            <w:tcW w:w="417" w:type="pct"/>
            <w:tcBorders>
              <w:top w:val="single" w:sz="4" w:space="0" w:color="000000"/>
              <w:left w:val="single" w:sz="4" w:space="0" w:color="000000"/>
              <w:bottom w:val="single" w:sz="4" w:space="0" w:color="000000"/>
              <w:right w:val="single" w:sz="4" w:space="0" w:color="000000"/>
            </w:tcBorders>
          </w:tcPr>
          <w:p w14:paraId="7E955CC5" w14:textId="77777777" w:rsidR="004223FE" w:rsidRPr="00772D05" w:rsidRDefault="004223FE">
            <w:pP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4314F3CB" w14:textId="77777777" w:rsidR="004223FE" w:rsidRPr="00772D05" w:rsidRDefault="004223FE">
            <w:pPr>
              <w:pStyle w:val="TableParagraph"/>
              <w:spacing w:line="250" w:lineRule="exact"/>
              <w:ind w:left="72" w:right="72"/>
              <w:jc w:val="center"/>
              <w:rPr>
                <w:sz w:val="20"/>
                <w:szCs w:val="20"/>
                <w:lang w:val="da-DK"/>
              </w:rPr>
            </w:pPr>
            <w:r w:rsidRPr="00772D05">
              <w:rPr>
                <w:sz w:val="20"/>
                <w:szCs w:val="20"/>
                <w:lang w:val="da-DK"/>
              </w:rPr>
              <w:t>-1,0</w:t>
            </w:r>
          </w:p>
        </w:tc>
      </w:tr>
      <w:tr w:rsidR="004223FE" w:rsidRPr="00772D05" w14:paraId="402E5626"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tcPr>
          <w:p w14:paraId="5432BC57" w14:textId="77777777" w:rsidR="004223FE" w:rsidRPr="00772D05" w:rsidRDefault="004223FE" w:rsidP="00772D05">
            <w:pPr>
              <w:pStyle w:val="TableParagraph"/>
              <w:spacing w:before="3" w:line="256" w:lineRule="auto"/>
              <w:ind w:right="132"/>
              <w:rPr>
                <w:sz w:val="20"/>
                <w:szCs w:val="20"/>
                <w:lang w:val="da-DK"/>
              </w:rPr>
            </w:pPr>
          </w:p>
          <w:p w14:paraId="397025B4" w14:textId="77777777" w:rsidR="004223FE" w:rsidRPr="00772D05" w:rsidRDefault="004223FE" w:rsidP="00772D05">
            <w:pPr>
              <w:pStyle w:val="TableParagraph"/>
              <w:spacing w:line="256" w:lineRule="auto"/>
              <w:ind w:right="132"/>
              <w:rPr>
                <w:sz w:val="20"/>
                <w:szCs w:val="20"/>
                <w:lang w:val="da-DK"/>
              </w:rPr>
            </w:pPr>
            <w:r w:rsidRPr="00772D05">
              <w:rPr>
                <w:sz w:val="20"/>
                <w:szCs w:val="20"/>
                <w:lang w:val="da-DK"/>
              </w:rPr>
              <w:t>95% CI</w:t>
            </w:r>
          </w:p>
        </w:tc>
        <w:tc>
          <w:tcPr>
            <w:tcW w:w="486" w:type="pct"/>
            <w:tcBorders>
              <w:top w:val="single" w:sz="4" w:space="0" w:color="000000"/>
              <w:left w:val="single" w:sz="4" w:space="0" w:color="000000"/>
              <w:bottom w:val="single" w:sz="4" w:space="0" w:color="000000"/>
              <w:right w:val="single" w:sz="4" w:space="0" w:color="000000"/>
            </w:tcBorders>
          </w:tcPr>
          <w:p w14:paraId="1E634AE7"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623D3198" w14:textId="77777777" w:rsidR="004223FE" w:rsidRPr="00772D05" w:rsidRDefault="004223FE">
            <w:pPr>
              <w:pStyle w:val="TableParagraph"/>
              <w:spacing w:line="250" w:lineRule="exact"/>
              <w:ind w:left="213"/>
              <w:jc w:val="center"/>
              <w:rPr>
                <w:sz w:val="20"/>
                <w:szCs w:val="20"/>
                <w:lang w:val="da-DK"/>
              </w:rPr>
            </w:pPr>
            <w:r w:rsidRPr="00772D05">
              <w:rPr>
                <w:sz w:val="20"/>
                <w:szCs w:val="20"/>
                <w:lang w:val="da-DK"/>
              </w:rPr>
              <w:t>[-0,9,</w:t>
            </w:r>
          </w:p>
          <w:p w14:paraId="60A47E77" w14:textId="77777777" w:rsidR="004223FE" w:rsidRPr="00772D05" w:rsidRDefault="004223FE">
            <w:pPr>
              <w:pStyle w:val="TableParagraph"/>
              <w:spacing w:before="7" w:line="256" w:lineRule="auto"/>
              <w:ind w:left="241"/>
              <w:jc w:val="center"/>
              <w:rPr>
                <w:sz w:val="20"/>
                <w:szCs w:val="20"/>
                <w:lang w:val="da-DK"/>
              </w:rPr>
            </w:pPr>
            <w:r w:rsidRPr="00772D05">
              <w:rPr>
                <w:sz w:val="20"/>
                <w:szCs w:val="20"/>
                <w:lang w:val="da-DK"/>
              </w:rPr>
              <w:t>-0,3]</w:t>
            </w:r>
          </w:p>
        </w:tc>
        <w:tc>
          <w:tcPr>
            <w:tcW w:w="625" w:type="pct"/>
            <w:tcBorders>
              <w:top w:val="single" w:sz="4" w:space="0" w:color="000000"/>
              <w:left w:val="single" w:sz="4" w:space="0" w:color="000000"/>
              <w:bottom w:val="single" w:sz="4" w:space="0" w:color="000000"/>
              <w:right w:val="single" w:sz="4" w:space="0" w:color="000000"/>
            </w:tcBorders>
            <w:hideMark/>
          </w:tcPr>
          <w:p w14:paraId="21948ACD" w14:textId="77777777" w:rsidR="004223FE" w:rsidRPr="00772D05" w:rsidRDefault="004223FE">
            <w:pPr>
              <w:pStyle w:val="TableParagraph"/>
              <w:spacing w:line="250" w:lineRule="exact"/>
              <w:ind w:left="175"/>
              <w:jc w:val="center"/>
              <w:rPr>
                <w:sz w:val="20"/>
                <w:szCs w:val="20"/>
                <w:lang w:val="da-DK"/>
              </w:rPr>
            </w:pPr>
            <w:r w:rsidRPr="00772D05">
              <w:rPr>
                <w:sz w:val="20"/>
                <w:szCs w:val="20"/>
                <w:lang w:val="da-DK"/>
              </w:rPr>
              <w:t>[-1,0,</w:t>
            </w:r>
          </w:p>
          <w:p w14:paraId="5A9D9FB5" w14:textId="77777777" w:rsidR="004223FE" w:rsidRPr="00772D05" w:rsidRDefault="004223FE">
            <w:pPr>
              <w:pStyle w:val="TableParagraph"/>
              <w:spacing w:before="7" w:line="256" w:lineRule="auto"/>
              <w:ind w:left="202"/>
              <w:jc w:val="center"/>
              <w:rPr>
                <w:sz w:val="20"/>
                <w:szCs w:val="20"/>
                <w:lang w:val="da-DK"/>
              </w:rPr>
            </w:pPr>
            <w:r w:rsidRPr="00772D05">
              <w:rPr>
                <w:sz w:val="20"/>
                <w:szCs w:val="20"/>
                <w:lang w:val="da-DK"/>
              </w:rPr>
              <w:t>-0,4]</w:t>
            </w:r>
          </w:p>
        </w:tc>
        <w:tc>
          <w:tcPr>
            <w:tcW w:w="417" w:type="pct"/>
            <w:tcBorders>
              <w:top w:val="single" w:sz="4" w:space="0" w:color="000000"/>
              <w:left w:val="single" w:sz="4" w:space="0" w:color="000000"/>
              <w:bottom w:val="single" w:sz="4" w:space="0" w:color="000000"/>
              <w:right w:val="single" w:sz="4" w:space="0" w:color="000000"/>
            </w:tcBorders>
          </w:tcPr>
          <w:p w14:paraId="6C04B64C"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0BD26FC2" w14:textId="77777777" w:rsidR="004223FE" w:rsidRPr="00772D05" w:rsidRDefault="004223FE">
            <w:pPr>
              <w:pStyle w:val="TableParagraph"/>
              <w:spacing w:line="250" w:lineRule="exact"/>
              <w:ind w:left="130"/>
              <w:jc w:val="center"/>
              <w:rPr>
                <w:sz w:val="20"/>
                <w:szCs w:val="20"/>
                <w:lang w:val="da-DK"/>
              </w:rPr>
            </w:pPr>
            <w:r w:rsidRPr="00772D05">
              <w:rPr>
                <w:sz w:val="20"/>
                <w:szCs w:val="20"/>
                <w:lang w:val="da-DK"/>
              </w:rPr>
              <w:t>[-0,8,</w:t>
            </w:r>
          </w:p>
          <w:p w14:paraId="2316198E" w14:textId="77777777" w:rsidR="004223FE" w:rsidRPr="00772D05" w:rsidRDefault="004223FE">
            <w:pPr>
              <w:pStyle w:val="TableParagraph"/>
              <w:spacing w:before="7" w:line="256" w:lineRule="auto"/>
              <w:ind w:left="158"/>
              <w:jc w:val="center"/>
              <w:rPr>
                <w:sz w:val="20"/>
                <w:szCs w:val="20"/>
                <w:lang w:val="da-DK"/>
              </w:rPr>
            </w:pPr>
            <w:r w:rsidRPr="00772D05">
              <w:rPr>
                <w:sz w:val="20"/>
                <w:szCs w:val="20"/>
                <w:lang w:val="da-DK"/>
              </w:rPr>
              <w:t>-0,2]</w:t>
            </w:r>
          </w:p>
        </w:tc>
        <w:tc>
          <w:tcPr>
            <w:tcW w:w="486" w:type="pct"/>
            <w:tcBorders>
              <w:top w:val="single" w:sz="4" w:space="0" w:color="000000"/>
              <w:left w:val="single" w:sz="4" w:space="0" w:color="000000"/>
              <w:bottom w:val="single" w:sz="4" w:space="0" w:color="000000"/>
              <w:right w:val="single" w:sz="4" w:space="0" w:color="000000"/>
            </w:tcBorders>
            <w:hideMark/>
          </w:tcPr>
          <w:p w14:paraId="21DF1948" w14:textId="77777777" w:rsidR="004223FE" w:rsidRPr="00772D05" w:rsidRDefault="004223FE">
            <w:pPr>
              <w:pStyle w:val="TableParagraph"/>
              <w:spacing w:line="250" w:lineRule="exact"/>
              <w:ind w:left="0"/>
              <w:jc w:val="center"/>
              <w:rPr>
                <w:sz w:val="20"/>
                <w:szCs w:val="20"/>
                <w:lang w:val="da-DK"/>
              </w:rPr>
            </w:pPr>
            <w:r w:rsidRPr="00772D05">
              <w:rPr>
                <w:sz w:val="20"/>
                <w:szCs w:val="20"/>
                <w:lang w:val="da-DK"/>
              </w:rPr>
              <w:t>[-0,9,</w:t>
            </w:r>
          </w:p>
          <w:p w14:paraId="06D99795" w14:textId="77777777" w:rsidR="004223FE" w:rsidRPr="00772D05" w:rsidRDefault="004223FE">
            <w:pPr>
              <w:pStyle w:val="TableParagraph"/>
              <w:spacing w:before="7" w:line="256" w:lineRule="auto"/>
              <w:ind w:left="0"/>
              <w:jc w:val="center"/>
              <w:rPr>
                <w:sz w:val="20"/>
                <w:szCs w:val="20"/>
                <w:lang w:val="da-DK"/>
              </w:rPr>
            </w:pPr>
            <w:r w:rsidRPr="00772D05">
              <w:rPr>
                <w:sz w:val="20"/>
                <w:szCs w:val="20"/>
                <w:lang w:val="da-DK"/>
              </w:rPr>
              <w:t>-0,3]</w:t>
            </w:r>
          </w:p>
        </w:tc>
        <w:tc>
          <w:tcPr>
            <w:tcW w:w="417" w:type="pct"/>
            <w:tcBorders>
              <w:top w:val="single" w:sz="4" w:space="0" w:color="000000"/>
              <w:left w:val="single" w:sz="4" w:space="0" w:color="000000"/>
              <w:bottom w:val="single" w:sz="4" w:space="0" w:color="000000"/>
              <w:right w:val="single" w:sz="4" w:space="0" w:color="000000"/>
            </w:tcBorders>
          </w:tcPr>
          <w:p w14:paraId="6498D9FC" w14:textId="77777777" w:rsidR="004223FE" w:rsidRPr="00772D05" w:rsidRDefault="004223FE">
            <w:pPr>
              <w:jc w:val="cente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56EF94DA" w14:textId="77777777" w:rsidR="004223FE" w:rsidRPr="00772D05" w:rsidRDefault="004223FE">
            <w:pPr>
              <w:pStyle w:val="TableParagraph"/>
              <w:spacing w:line="250" w:lineRule="exact"/>
              <w:ind w:left="165"/>
              <w:jc w:val="center"/>
              <w:rPr>
                <w:sz w:val="20"/>
                <w:szCs w:val="20"/>
                <w:lang w:val="da-DK"/>
              </w:rPr>
            </w:pPr>
            <w:r w:rsidRPr="00772D05">
              <w:rPr>
                <w:sz w:val="20"/>
                <w:szCs w:val="20"/>
                <w:lang w:val="da-DK"/>
              </w:rPr>
              <w:t>[-1,3, -0,7]</w:t>
            </w:r>
          </w:p>
        </w:tc>
      </w:tr>
      <w:tr w:rsidR="004223FE" w:rsidRPr="00772D05" w14:paraId="75CE9719"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tcPr>
          <w:p w14:paraId="4CABB94F" w14:textId="77777777" w:rsidR="004223FE" w:rsidRPr="00772D05" w:rsidRDefault="004223FE" w:rsidP="00772D05">
            <w:pPr>
              <w:pStyle w:val="TableParagraph"/>
              <w:spacing w:before="3" w:line="256" w:lineRule="auto"/>
              <w:ind w:right="132"/>
              <w:rPr>
                <w:sz w:val="20"/>
                <w:szCs w:val="20"/>
                <w:lang w:val="da-DK"/>
              </w:rPr>
            </w:pPr>
          </w:p>
          <w:p w14:paraId="72F0ECCE" w14:textId="77777777" w:rsidR="004223FE" w:rsidRPr="00772D05" w:rsidRDefault="004223FE" w:rsidP="00772D05">
            <w:pPr>
              <w:pStyle w:val="TableParagraph"/>
              <w:spacing w:line="256" w:lineRule="auto"/>
              <w:ind w:right="132"/>
              <w:rPr>
                <w:sz w:val="20"/>
                <w:szCs w:val="20"/>
                <w:lang w:val="da-DK"/>
              </w:rPr>
            </w:pPr>
            <w:proofErr w:type="spellStart"/>
            <w:r w:rsidRPr="00772D05">
              <w:rPr>
                <w:sz w:val="20"/>
                <w:szCs w:val="20"/>
                <w:lang w:val="da-DK"/>
              </w:rPr>
              <w:t>p-værdi</w:t>
            </w:r>
            <w:proofErr w:type="spellEnd"/>
          </w:p>
        </w:tc>
        <w:tc>
          <w:tcPr>
            <w:tcW w:w="486" w:type="pct"/>
            <w:tcBorders>
              <w:top w:val="single" w:sz="4" w:space="0" w:color="000000"/>
              <w:left w:val="single" w:sz="4" w:space="0" w:color="000000"/>
              <w:bottom w:val="single" w:sz="4" w:space="0" w:color="000000"/>
              <w:right w:val="single" w:sz="4" w:space="0" w:color="000000"/>
            </w:tcBorders>
          </w:tcPr>
          <w:p w14:paraId="1FB98443"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2B13C7B2" w14:textId="77777777" w:rsidR="004223FE" w:rsidRPr="00772D05" w:rsidRDefault="004223FE">
            <w:pPr>
              <w:pStyle w:val="TableParagraph"/>
              <w:spacing w:before="126" w:line="256" w:lineRule="auto"/>
              <w:ind w:left="56" w:right="56"/>
              <w:jc w:val="center"/>
              <w:rPr>
                <w:sz w:val="20"/>
                <w:szCs w:val="20"/>
                <w:lang w:val="da-DK"/>
              </w:rPr>
            </w:pPr>
            <w:r w:rsidRPr="00772D05">
              <w:rPr>
                <w:sz w:val="20"/>
                <w:szCs w:val="20"/>
                <w:lang w:val="da-DK"/>
              </w:rPr>
              <w:t>0,0002</w:t>
            </w:r>
          </w:p>
        </w:tc>
        <w:tc>
          <w:tcPr>
            <w:tcW w:w="625" w:type="pct"/>
            <w:tcBorders>
              <w:top w:val="single" w:sz="4" w:space="0" w:color="000000"/>
              <w:left w:val="single" w:sz="4" w:space="0" w:color="000000"/>
              <w:bottom w:val="single" w:sz="4" w:space="0" w:color="000000"/>
              <w:right w:val="single" w:sz="4" w:space="0" w:color="000000"/>
            </w:tcBorders>
            <w:hideMark/>
          </w:tcPr>
          <w:p w14:paraId="30E0CAD6" w14:textId="77777777" w:rsidR="004223FE" w:rsidRPr="00772D05" w:rsidRDefault="004223FE">
            <w:pPr>
              <w:pStyle w:val="TableParagraph"/>
              <w:spacing w:before="126" w:line="256" w:lineRule="auto"/>
              <w:ind w:left="46" w:right="46"/>
              <w:jc w:val="center"/>
              <w:rPr>
                <w:sz w:val="20"/>
                <w:szCs w:val="20"/>
                <w:lang w:val="da-DK"/>
              </w:rPr>
            </w:pPr>
            <w:r w:rsidRPr="00772D05">
              <w:rPr>
                <w:sz w:val="20"/>
                <w:szCs w:val="20"/>
                <w:lang w:val="da-DK"/>
              </w:rPr>
              <w:t xml:space="preserve">  &lt;0,0001</w:t>
            </w:r>
          </w:p>
        </w:tc>
        <w:tc>
          <w:tcPr>
            <w:tcW w:w="417" w:type="pct"/>
            <w:tcBorders>
              <w:top w:val="single" w:sz="4" w:space="0" w:color="000000"/>
              <w:left w:val="single" w:sz="4" w:space="0" w:color="000000"/>
              <w:bottom w:val="single" w:sz="4" w:space="0" w:color="000000"/>
              <w:right w:val="single" w:sz="4" w:space="0" w:color="000000"/>
            </w:tcBorders>
          </w:tcPr>
          <w:p w14:paraId="3AD23F0C"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2EC977E4" w14:textId="77777777" w:rsidR="004223FE" w:rsidRPr="00772D05" w:rsidRDefault="004223FE">
            <w:pPr>
              <w:pStyle w:val="TableParagraph"/>
              <w:spacing w:before="126" w:line="256" w:lineRule="auto"/>
              <w:ind w:left="46" w:right="46"/>
              <w:jc w:val="center"/>
              <w:rPr>
                <w:sz w:val="20"/>
                <w:szCs w:val="20"/>
                <w:lang w:val="da-DK"/>
              </w:rPr>
            </w:pPr>
            <w:r w:rsidRPr="00772D05">
              <w:rPr>
                <w:sz w:val="20"/>
                <w:szCs w:val="20"/>
                <w:lang w:val="da-DK"/>
              </w:rPr>
              <w:t>0,0028</w:t>
            </w:r>
          </w:p>
        </w:tc>
        <w:tc>
          <w:tcPr>
            <w:tcW w:w="486" w:type="pct"/>
            <w:tcBorders>
              <w:top w:val="single" w:sz="4" w:space="0" w:color="000000"/>
              <w:left w:val="single" w:sz="4" w:space="0" w:color="000000"/>
              <w:bottom w:val="single" w:sz="4" w:space="0" w:color="000000"/>
              <w:right w:val="single" w:sz="4" w:space="0" w:color="000000"/>
            </w:tcBorders>
            <w:hideMark/>
          </w:tcPr>
          <w:p w14:paraId="02093914" w14:textId="77777777" w:rsidR="004223FE" w:rsidRPr="00772D05" w:rsidRDefault="004223FE">
            <w:pPr>
              <w:pStyle w:val="TableParagraph"/>
              <w:spacing w:before="126" w:line="256" w:lineRule="auto"/>
              <w:ind w:left="63" w:right="63"/>
              <w:jc w:val="center"/>
              <w:rPr>
                <w:sz w:val="20"/>
                <w:szCs w:val="20"/>
                <w:lang w:val="da-DK"/>
              </w:rPr>
            </w:pPr>
            <w:r w:rsidRPr="00772D05">
              <w:rPr>
                <w:sz w:val="20"/>
                <w:szCs w:val="20"/>
                <w:lang w:val="da-DK"/>
              </w:rPr>
              <w:t>0,0003</w:t>
            </w:r>
          </w:p>
        </w:tc>
        <w:tc>
          <w:tcPr>
            <w:tcW w:w="417" w:type="pct"/>
            <w:tcBorders>
              <w:top w:val="single" w:sz="4" w:space="0" w:color="000000"/>
              <w:left w:val="single" w:sz="4" w:space="0" w:color="000000"/>
              <w:bottom w:val="single" w:sz="4" w:space="0" w:color="000000"/>
              <w:right w:val="single" w:sz="4" w:space="0" w:color="000000"/>
            </w:tcBorders>
          </w:tcPr>
          <w:p w14:paraId="36DF602D" w14:textId="77777777" w:rsidR="004223FE" w:rsidRPr="00772D05" w:rsidRDefault="004223FE">
            <w:pP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327962C3" w14:textId="77777777" w:rsidR="004223FE" w:rsidRPr="00772D05" w:rsidRDefault="004223FE">
            <w:pPr>
              <w:pStyle w:val="TableParagraph"/>
              <w:spacing w:before="126" w:line="256" w:lineRule="auto"/>
              <w:ind w:left="46" w:right="46"/>
              <w:jc w:val="center"/>
              <w:rPr>
                <w:sz w:val="20"/>
                <w:szCs w:val="20"/>
                <w:lang w:val="da-DK"/>
              </w:rPr>
            </w:pPr>
            <w:r w:rsidRPr="00772D05">
              <w:rPr>
                <w:sz w:val="20"/>
                <w:szCs w:val="20"/>
                <w:lang w:val="da-DK"/>
              </w:rPr>
              <w:t>&lt;0,0001</w:t>
            </w:r>
          </w:p>
        </w:tc>
      </w:tr>
      <w:tr w:rsidR="004223FE" w:rsidRPr="00772D05" w14:paraId="17317722" w14:textId="77777777" w:rsidTr="00772D05">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11878622" w14:textId="77777777" w:rsidR="004223FE" w:rsidRPr="00772D05" w:rsidRDefault="004223FE" w:rsidP="00772D05">
            <w:pPr>
              <w:pStyle w:val="TableParagraph"/>
              <w:spacing w:line="250" w:lineRule="exact"/>
              <w:ind w:right="132"/>
              <w:rPr>
                <w:b/>
                <w:sz w:val="20"/>
                <w:szCs w:val="20"/>
                <w:lang w:val="da-DK"/>
              </w:rPr>
            </w:pPr>
            <w:r w:rsidRPr="00772D05">
              <w:rPr>
                <w:b/>
                <w:sz w:val="20"/>
                <w:szCs w:val="20"/>
                <w:lang w:val="da-DK"/>
              </w:rPr>
              <w:t>UPDRS III (c)</w:t>
            </w:r>
          </w:p>
        </w:tc>
      </w:tr>
      <w:tr w:rsidR="004223FE" w:rsidRPr="00772D05" w14:paraId="365891DF"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19E3D444" w14:textId="029C54CF" w:rsidR="004223FE" w:rsidRPr="00772D05" w:rsidRDefault="004223FE" w:rsidP="000D3879">
            <w:pPr>
              <w:pStyle w:val="TableParagraph"/>
              <w:spacing w:line="250" w:lineRule="exact"/>
              <w:ind w:right="132"/>
              <w:rPr>
                <w:sz w:val="20"/>
                <w:szCs w:val="20"/>
                <w:lang w:val="da-DK"/>
              </w:rPr>
            </w:pPr>
            <w:r w:rsidRPr="00772D05">
              <w:rPr>
                <w:sz w:val="20"/>
                <w:szCs w:val="20"/>
                <w:lang w:val="da-DK"/>
              </w:rPr>
              <w:t>Udgangspunkt (b)</w:t>
            </w:r>
          </w:p>
        </w:tc>
        <w:tc>
          <w:tcPr>
            <w:tcW w:w="486" w:type="pct"/>
            <w:tcBorders>
              <w:top w:val="single" w:sz="4" w:space="0" w:color="000000"/>
              <w:left w:val="single" w:sz="4" w:space="0" w:color="000000"/>
              <w:bottom w:val="single" w:sz="4" w:space="0" w:color="000000"/>
              <w:right w:val="single" w:sz="4" w:space="0" w:color="000000"/>
            </w:tcBorders>
            <w:hideMark/>
          </w:tcPr>
          <w:p w14:paraId="5452F571" w14:textId="77777777" w:rsidR="004223FE" w:rsidRPr="00772D05" w:rsidRDefault="004223FE">
            <w:pPr>
              <w:pStyle w:val="TableParagraph"/>
              <w:spacing w:line="250" w:lineRule="exact"/>
              <w:ind w:left="243"/>
              <w:jc w:val="center"/>
              <w:rPr>
                <w:sz w:val="20"/>
                <w:szCs w:val="20"/>
                <w:lang w:val="da-DK"/>
              </w:rPr>
            </w:pPr>
            <w:r w:rsidRPr="00772D05">
              <w:rPr>
                <w:sz w:val="20"/>
                <w:szCs w:val="20"/>
                <w:lang w:val="da-DK"/>
              </w:rPr>
              <w:t>28,6</w:t>
            </w:r>
          </w:p>
          <w:p w14:paraId="0D9EC77F" w14:textId="77777777" w:rsidR="004223FE" w:rsidRPr="00772D05" w:rsidRDefault="004223FE">
            <w:pPr>
              <w:pStyle w:val="TableParagraph"/>
              <w:spacing w:before="7" w:line="256" w:lineRule="auto"/>
              <w:ind w:left="170"/>
              <w:jc w:val="center"/>
              <w:rPr>
                <w:sz w:val="20"/>
                <w:szCs w:val="20"/>
                <w:lang w:val="da-DK"/>
              </w:rPr>
            </w:pPr>
            <w:r w:rsidRPr="00772D05">
              <w:rPr>
                <w:sz w:val="20"/>
                <w:szCs w:val="20"/>
                <w:lang w:val="da-DK"/>
              </w:rPr>
              <w:t>(12,0)</w:t>
            </w:r>
          </w:p>
        </w:tc>
        <w:tc>
          <w:tcPr>
            <w:tcW w:w="486" w:type="pct"/>
            <w:tcBorders>
              <w:top w:val="single" w:sz="4" w:space="0" w:color="000000"/>
              <w:left w:val="single" w:sz="4" w:space="0" w:color="000000"/>
              <w:bottom w:val="single" w:sz="4" w:space="0" w:color="000000"/>
              <w:right w:val="single" w:sz="4" w:space="0" w:color="000000"/>
            </w:tcBorders>
            <w:hideMark/>
          </w:tcPr>
          <w:p w14:paraId="1F5805A4" w14:textId="77777777" w:rsidR="004223FE" w:rsidRPr="00772D05" w:rsidRDefault="004223FE">
            <w:pPr>
              <w:pStyle w:val="TableParagraph"/>
              <w:spacing w:line="250" w:lineRule="exact"/>
              <w:ind w:left="259"/>
              <w:jc w:val="center"/>
              <w:rPr>
                <w:sz w:val="20"/>
                <w:szCs w:val="20"/>
                <w:lang w:val="da-DK"/>
              </w:rPr>
            </w:pPr>
            <w:r w:rsidRPr="00772D05">
              <w:rPr>
                <w:sz w:val="20"/>
                <w:szCs w:val="20"/>
                <w:lang w:val="da-DK"/>
              </w:rPr>
              <w:t>27,3</w:t>
            </w:r>
          </w:p>
          <w:p w14:paraId="0EDD2864" w14:textId="77777777" w:rsidR="004223FE" w:rsidRPr="00772D05" w:rsidRDefault="004223FE">
            <w:pPr>
              <w:pStyle w:val="TableParagraph"/>
              <w:spacing w:before="7" w:line="256" w:lineRule="auto"/>
              <w:ind w:left="186"/>
              <w:jc w:val="center"/>
              <w:rPr>
                <w:sz w:val="20"/>
                <w:szCs w:val="20"/>
                <w:lang w:val="da-DK"/>
              </w:rPr>
            </w:pPr>
            <w:r w:rsidRPr="00772D05">
              <w:rPr>
                <w:sz w:val="20"/>
                <w:szCs w:val="20"/>
                <w:lang w:val="da-DK"/>
              </w:rPr>
              <w:t>(12,8)</w:t>
            </w:r>
          </w:p>
        </w:tc>
        <w:tc>
          <w:tcPr>
            <w:tcW w:w="625" w:type="pct"/>
            <w:tcBorders>
              <w:top w:val="single" w:sz="4" w:space="0" w:color="000000"/>
              <w:left w:val="single" w:sz="4" w:space="0" w:color="000000"/>
              <w:bottom w:val="single" w:sz="4" w:space="0" w:color="000000"/>
              <w:right w:val="single" w:sz="4" w:space="0" w:color="000000"/>
            </w:tcBorders>
            <w:hideMark/>
          </w:tcPr>
          <w:p w14:paraId="55634690" w14:textId="77777777" w:rsidR="004223FE" w:rsidRPr="00772D05" w:rsidRDefault="004223FE">
            <w:pPr>
              <w:pStyle w:val="TableParagraph"/>
              <w:spacing w:line="250" w:lineRule="exact"/>
              <w:ind w:left="220"/>
              <w:jc w:val="center"/>
              <w:rPr>
                <w:sz w:val="20"/>
                <w:szCs w:val="20"/>
                <w:lang w:val="da-DK"/>
              </w:rPr>
            </w:pPr>
            <w:r w:rsidRPr="00772D05">
              <w:rPr>
                <w:sz w:val="20"/>
                <w:szCs w:val="20"/>
                <w:lang w:val="da-DK"/>
              </w:rPr>
              <w:t>28,4</w:t>
            </w:r>
          </w:p>
          <w:p w14:paraId="5C96F207" w14:textId="77777777" w:rsidR="004223FE" w:rsidRPr="00772D05" w:rsidRDefault="004223FE">
            <w:pPr>
              <w:pStyle w:val="TableParagraph"/>
              <w:spacing w:before="7" w:line="256" w:lineRule="auto"/>
              <w:ind w:left="147"/>
              <w:jc w:val="center"/>
              <w:rPr>
                <w:sz w:val="20"/>
                <w:szCs w:val="20"/>
                <w:lang w:val="da-DK"/>
              </w:rPr>
            </w:pPr>
            <w:r w:rsidRPr="00772D05">
              <w:rPr>
                <w:sz w:val="20"/>
                <w:szCs w:val="20"/>
                <w:lang w:val="da-DK"/>
              </w:rPr>
              <w:t>(13,5)</w:t>
            </w:r>
          </w:p>
        </w:tc>
        <w:tc>
          <w:tcPr>
            <w:tcW w:w="417" w:type="pct"/>
            <w:tcBorders>
              <w:top w:val="single" w:sz="4" w:space="0" w:color="000000"/>
              <w:left w:val="single" w:sz="4" w:space="0" w:color="000000"/>
              <w:bottom w:val="single" w:sz="4" w:space="0" w:color="000000"/>
              <w:right w:val="single" w:sz="4" w:space="0" w:color="000000"/>
            </w:tcBorders>
            <w:hideMark/>
          </w:tcPr>
          <w:p w14:paraId="25CFF014" w14:textId="77777777" w:rsidR="004223FE" w:rsidRPr="00772D05" w:rsidRDefault="004223FE">
            <w:pPr>
              <w:pStyle w:val="TableParagraph"/>
              <w:spacing w:line="250" w:lineRule="exact"/>
              <w:ind w:left="263"/>
              <w:jc w:val="center"/>
              <w:rPr>
                <w:sz w:val="20"/>
                <w:szCs w:val="20"/>
                <w:lang w:val="da-DK"/>
              </w:rPr>
            </w:pPr>
            <w:r w:rsidRPr="00772D05">
              <w:rPr>
                <w:sz w:val="20"/>
                <w:szCs w:val="20"/>
                <w:lang w:val="da-DK"/>
              </w:rPr>
              <w:t>28,6</w:t>
            </w:r>
          </w:p>
          <w:p w14:paraId="3539FA92" w14:textId="77777777" w:rsidR="004223FE" w:rsidRPr="00772D05" w:rsidRDefault="004223FE">
            <w:pPr>
              <w:pStyle w:val="TableParagraph"/>
              <w:spacing w:before="7" w:line="256" w:lineRule="auto"/>
              <w:ind w:left="189"/>
              <w:jc w:val="center"/>
              <w:rPr>
                <w:sz w:val="20"/>
                <w:szCs w:val="20"/>
                <w:lang w:val="da-DK"/>
              </w:rPr>
            </w:pPr>
            <w:r w:rsidRPr="00772D05">
              <w:rPr>
                <w:sz w:val="20"/>
                <w:szCs w:val="20"/>
                <w:lang w:val="da-DK"/>
              </w:rPr>
              <w:t>(12,0)</w:t>
            </w:r>
          </w:p>
        </w:tc>
        <w:tc>
          <w:tcPr>
            <w:tcW w:w="486" w:type="pct"/>
            <w:tcBorders>
              <w:top w:val="single" w:sz="4" w:space="0" w:color="000000"/>
              <w:left w:val="single" w:sz="4" w:space="0" w:color="000000"/>
              <w:bottom w:val="single" w:sz="4" w:space="0" w:color="000000"/>
              <w:right w:val="single" w:sz="4" w:space="0" w:color="000000"/>
            </w:tcBorders>
            <w:hideMark/>
          </w:tcPr>
          <w:p w14:paraId="0C4E7B93" w14:textId="77777777" w:rsidR="004223FE" w:rsidRPr="00772D05" w:rsidRDefault="004223FE">
            <w:pPr>
              <w:pStyle w:val="TableParagraph"/>
              <w:spacing w:line="250" w:lineRule="exact"/>
              <w:ind w:left="176"/>
              <w:jc w:val="center"/>
              <w:rPr>
                <w:sz w:val="20"/>
                <w:szCs w:val="20"/>
                <w:lang w:val="da-DK"/>
              </w:rPr>
            </w:pPr>
            <w:r w:rsidRPr="00772D05">
              <w:rPr>
                <w:sz w:val="20"/>
                <w:szCs w:val="20"/>
                <w:lang w:val="da-DK"/>
              </w:rPr>
              <w:t>27,3</w:t>
            </w:r>
          </w:p>
          <w:p w14:paraId="39E76349" w14:textId="77777777" w:rsidR="004223FE" w:rsidRPr="00772D05" w:rsidRDefault="004223FE">
            <w:pPr>
              <w:pStyle w:val="TableParagraph"/>
              <w:spacing w:before="7" w:line="256" w:lineRule="auto"/>
              <w:ind w:left="103"/>
              <w:jc w:val="center"/>
              <w:rPr>
                <w:sz w:val="20"/>
                <w:szCs w:val="20"/>
                <w:lang w:val="da-DK"/>
              </w:rPr>
            </w:pPr>
            <w:r w:rsidRPr="00772D05">
              <w:rPr>
                <w:sz w:val="20"/>
                <w:szCs w:val="20"/>
                <w:lang w:val="da-DK"/>
              </w:rPr>
              <w:t>(12,8)</w:t>
            </w:r>
          </w:p>
        </w:tc>
        <w:tc>
          <w:tcPr>
            <w:tcW w:w="486" w:type="pct"/>
            <w:tcBorders>
              <w:top w:val="single" w:sz="4" w:space="0" w:color="000000"/>
              <w:left w:val="single" w:sz="4" w:space="0" w:color="000000"/>
              <w:bottom w:val="single" w:sz="4" w:space="0" w:color="000000"/>
              <w:right w:val="single" w:sz="4" w:space="0" w:color="000000"/>
            </w:tcBorders>
            <w:hideMark/>
          </w:tcPr>
          <w:p w14:paraId="7CD8B9CA" w14:textId="77777777" w:rsidR="004223FE" w:rsidRPr="00772D05" w:rsidRDefault="004223FE">
            <w:pPr>
              <w:pStyle w:val="TableParagraph"/>
              <w:spacing w:line="250" w:lineRule="exact"/>
              <w:ind w:left="193"/>
              <w:jc w:val="center"/>
              <w:rPr>
                <w:sz w:val="20"/>
                <w:szCs w:val="20"/>
                <w:lang w:val="da-DK"/>
              </w:rPr>
            </w:pPr>
            <w:r w:rsidRPr="00772D05">
              <w:rPr>
                <w:sz w:val="20"/>
                <w:szCs w:val="20"/>
                <w:lang w:val="da-DK"/>
              </w:rPr>
              <w:t>28,4</w:t>
            </w:r>
          </w:p>
          <w:p w14:paraId="215C6528" w14:textId="77777777" w:rsidR="004223FE" w:rsidRPr="00772D05" w:rsidRDefault="004223FE">
            <w:pPr>
              <w:pStyle w:val="TableParagraph"/>
              <w:spacing w:before="7" w:line="256" w:lineRule="auto"/>
              <w:ind w:left="119"/>
              <w:jc w:val="center"/>
              <w:rPr>
                <w:sz w:val="20"/>
                <w:szCs w:val="20"/>
                <w:lang w:val="da-DK"/>
              </w:rPr>
            </w:pPr>
            <w:r w:rsidRPr="00772D05">
              <w:rPr>
                <w:sz w:val="20"/>
                <w:szCs w:val="20"/>
                <w:lang w:val="da-DK"/>
              </w:rPr>
              <w:t>(13,5)</w:t>
            </w:r>
          </w:p>
        </w:tc>
        <w:tc>
          <w:tcPr>
            <w:tcW w:w="417" w:type="pct"/>
            <w:tcBorders>
              <w:top w:val="single" w:sz="4" w:space="0" w:color="000000"/>
              <w:left w:val="single" w:sz="4" w:space="0" w:color="000000"/>
              <w:bottom w:val="single" w:sz="4" w:space="0" w:color="000000"/>
              <w:right w:val="single" w:sz="4" w:space="0" w:color="000000"/>
            </w:tcBorders>
            <w:hideMark/>
          </w:tcPr>
          <w:p w14:paraId="70A18339" w14:textId="77777777" w:rsidR="004223FE" w:rsidRPr="00772D05" w:rsidRDefault="004223FE">
            <w:pPr>
              <w:pStyle w:val="TableParagraph"/>
              <w:spacing w:line="250" w:lineRule="exact"/>
              <w:ind w:left="249"/>
              <w:jc w:val="center"/>
              <w:rPr>
                <w:sz w:val="20"/>
                <w:szCs w:val="20"/>
                <w:lang w:val="da-DK"/>
              </w:rPr>
            </w:pPr>
            <w:r w:rsidRPr="00772D05">
              <w:rPr>
                <w:sz w:val="20"/>
                <w:szCs w:val="20"/>
                <w:lang w:val="da-DK"/>
              </w:rPr>
              <w:t>23,0</w:t>
            </w:r>
          </w:p>
          <w:p w14:paraId="7F341DC9" w14:textId="77777777" w:rsidR="004223FE" w:rsidRPr="00772D05" w:rsidRDefault="004223FE">
            <w:pPr>
              <w:pStyle w:val="TableParagraph"/>
              <w:spacing w:before="7" w:line="256" w:lineRule="auto"/>
              <w:ind w:left="176"/>
              <w:jc w:val="center"/>
              <w:rPr>
                <w:sz w:val="20"/>
                <w:szCs w:val="20"/>
                <w:lang w:val="da-DK"/>
              </w:rPr>
            </w:pPr>
            <w:r w:rsidRPr="00772D05">
              <w:rPr>
                <w:sz w:val="20"/>
                <w:szCs w:val="20"/>
                <w:lang w:val="da-DK"/>
              </w:rPr>
              <w:t>(12,8)</w:t>
            </w:r>
          </w:p>
        </w:tc>
        <w:tc>
          <w:tcPr>
            <w:tcW w:w="625" w:type="pct"/>
            <w:tcBorders>
              <w:top w:val="single" w:sz="4" w:space="0" w:color="000000"/>
              <w:left w:val="single" w:sz="4" w:space="0" w:color="000000"/>
              <w:bottom w:val="single" w:sz="4" w:space="0" w:color="000000"/>
              <w:right w:val="single" w:sz="4" w:space="0" w:color="000000"/>
            </w:tcBorders>
            <w:hideMark/>
          </w:tcPr>
          <w:p w14:paraId="0D67A06F" w14:textId="77777777" w:rsidR="004223FE" w:rsidRPr="00772D05" w:rsidRDefault="004223FE">
            <w:pPr>
              <w:pStyle w:val="TableParagraph"/>
              <w:spacing w:line="250" w:lineRule="exact"/>
              <w:ind w:left="211"/>
              <w:jc w:val="center"/>
              <w:rPr>
                <w:sz w:val="20"/>
                <w:szCs w:val="20"/>
                <w:lang w:val="da-DK"/>
              </w:rPr>
            </w:pPr>
            <w:r w:rsidRPr="00772D05">
              <w:rPr>
                <w:sz w:val="20"/>
                <w:szCs w:val="20"/>
                <w:lang w:val="da-DK"/>
              </w:rPr>
              <w:t>22,3</w:t>
            </w:r>
          </w:p>
          <w:p w14:paraId="5B8271E7" w14:textId="77777777" w:rsidR="004223FE" w:rsidRPr="00772D05" w:rsidRDefault="004223FE">
            <w:pPr>
              <w:pStyle w:val="TableParagraph"/>
              <w:spacing w:before="7" w:line="256" w:lineRule="auto"/>
              <w:ind w:left="138"/>
              <w:jc w:val="center"/>
              <w:rPr>
                <w:sz w:val="20"/>
                <w:szCs w:val="20"/>
                <w:lang w:val="da-DK"/>
              </w:rPr>
            </w:pPr>
            <w:r w:rsidRPr="00772D05">
              <w:rPr>
                <w:sz w:val="20"/>
                <w:szCs w:val="20"/>
                <w:lang w:val="da-DK"/>
              </w:rPr>
              <w:t>(11,8)</w:t>
            </w:r>
          </w:p>
        </w:tc>
      </w:tr>
      <w:tr w:rsidR="004223FE" w:rsidRPr="00772D05" w14:paraId="2C8A1B0C"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7EE0E183"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LSM</w:t>
            </w:r>
          </w:p>
          <w:p w14:paraId="14386610"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forandring (SE)</w:t>
            </w:r>
          </w:p>
        </w:tc>
        <w:tc>
          <w:tcPr>
            <w:tcW w:w="486" w:type="pct"/>
            <w:tcBorders>
              <w:top w:val="single" w:sz="4" w:space="0" w:color="000000"/>
              <w:left w:val="single" w:sz="4" w:space="0" w:color="000000"/>
              <w:bottom w:val="single" w:sz="4" w:space="0" w:color="000000"/>
              <w:right w:val="single" w:sz="4" w:space="0" w:color="000000"/>
            </w:tcBorders>
            <w:hideMark/>
          </w:tcPr>
          <w:p w14:paraId="52B036DF" w14:textId="77777777" w:rsidR="004223FE" w:rsidRPr="00772D05" w:rsidRDefault="004223FE">
            <w:pPr>
              <w:pStyle w:val="TableParagraph"/>
              <w:spacing w:line="250" w:lineRule="exact"/>
              <w:ind w:left="261"/>
              <w:jc w:val="center"/>
              <w:rPr>
                <w:sz w:val="20"/>
                <w:szCs w:val="20"/>
                <w:lang w:val="da-DK"/>
              </w:rPr>
            </w:pPr>
            <w:r w:rsidRPr="00772D05">
              <w:rPr>
                <w:sz w:val="20"/>
                <w:szCs w:val="20"/>
                <w:lang w:val="da-DK"/>
              </w:rPr>
              <w:t>-4,5</w:t>
            </w:r>
          </w:p>
          <w:p w14:paraId="4D35F8A8" w14:textId="77777777" w:rsidR="004223FE" w:rsidRPr="00772D05" w:rsidRDefault="004223FE">
            <w:pPr>
              <w:pStyle w:val="TableParagraph"/>
              <w:spacing w:before="7" w:line="256" w:lineRule="auto"/>
              <w:ind w:left="170"/>
              <w:jc w:val="center"/>
              <w:rPr>
                <w:sz w:val="20"/>
                <w:szCs w:val="20"/>
                <w:lang w:val="da-DK"/>
              </w:rPr>
            </w:pPr>
            <w:r w:rsidRPr="00772D05">
              <w:rPr>
                <w:sz w:val="20"/>
                <w:szCs w:val="20"/>
                <w:lang w:val="da-DK"/>
              </w:rPr>
              <w:t>(0,83)</w:t>
            </w:r>
          </w:p>
        </w:tc>
        <w:tc>
          <w:tcPr>
            <w:tcW w:w="486" w:type="pct"/>
            <w:tcBorders>
              <w:top w:val="single" w:sz="4" w:space="0" w:color="000000"/>
              <w:left w:val="single" w:sz="4" w:space="0" w:color="000000"/>
              <w:bottom w:val="single" w:sz="4" w:space="0" w:color="000000"/>
              <w:right w:val="single" w:sz="4" w:space="0" w:color="000000"/>
            </w:tcBorders>
            <w:hideMark/>
          </w:tcPr>
          <w:p w14:paraId="2A91113C" w14:textId="77777777" w:rsidR="004223FE" w:rsidRPr="00772D05" w:rsidRDefault="004223FE">
            <w:pPr>
              <w:pStyle w:val="TableParagraph"/>
              <w:spacing w:line="250" w:lineRule="exact"/>
              <w:ind w:left="277"/>
              <w:jc w:val="center"/>
              <w:rPr>
                <w:sz w:val="20"/>
                <w:szCs w:val="20"/>
                <w:lang w:val="da-DK"/>
              </w:rPr>
            </w:pPr>
            <w:r w:rsidRPr="00772D05">
              <w:rPr>
                <w:sz w:val="20"/>
                <w:szCs w:val="20"/>
                <w:lang w:val="da-DK"/>
              </w:rPr>
              <w:t>-6,1</w:t>
            </w:r>
          </w:p>
          <w:p w14:paraId="1A4EFA39" w14:textId="77777777" w:rsidR="004223FE" w:rsidRPr="00772D05" w:rsidRDefault="004223FE">
            <w:pPr>
              <w:pStyle w:val="TableParagraph"/>
              <w:spacing w:before="7" w:line="256" w:lineRule="auto"/>
              <w:ind w:left="186"/>
              <w:jc w:val="center"/>
              <w:rPr>
                <w:sz w:val="20"/>
                <w:szCs w:val="20"/>
                <w:lang w:val="da-DK"/>
              </w:rPr>
            </w:pPr>
            <w:r w:rsidRPr="00772D05">
              <w:rPr>
                <w:sz w:val="20"/>
                <w:szCs w:val="20"/>
                <w:lang w:val="da-DK"/>
              </w:rPr>
              <w:t>(0,82)</w:t>
            </w:r>
          </w:p>
        </w:tc>
        <w:tc>
          <w:tcPr>
            <w:tcW w:w="625" w:type="pct"/>
            <w:tcBorders>
              <w:top w:val="single" w:sz="4" w:space="0" w:color="000000"/>
              <w:left w:val="single" w:sz="4" w:space="0" w:color="000000"/>
              <w:bottom w:val="single" w:sz="4" w:space="0" w:color="000000"/>
              <w:right w:val="single" w:sz="4" w:space="0" w:color="000000"/>
            </w:tcBorders>
            <w:hideMark/>
          </w:tcPr>
          <w:p w14:paraId="62E224DC" w14:textId="77777777" w:rsidR="004223FE" w:rsidRPr="00772D05" w:rsidRDefault="004223FE">
            <w:pPr>
              <w:pStyle w:val="TableParagraph"/>
              <w:spacing w:line="250" w:lineRule="exact"/>
              <w:ind w:left="239"/>
              <w:jc w:val="center"/>
              <w:rPr>
                <w:sz w:val="20"/>
                <w:szCs w:val="20"/>
                <w:lang w:val="da-DK"/>
              </w:rPr>
            </w:pPr>
            <w:r w:rsidRPr="00772D05">
              <w:rPr>
                <w:sz w:val="20"/>
                <w:szCs w:val="20"/>
                <w:lang w:val="da-DK"/>
              </w:rPr>
              <w:t>-6,8</w:t>
            </w:r>
          </w:p>
          <w:p w14:paraId="18AD090E" w14:textId="77777777" w:rsidR="004223FE" w:rsidRPr="00772D05" w:rsidRDefault="004223FE">
            <w:pPr>
              <w:pStyle w:val="TableParagraph"/>
              <w:spacing w:before="7" w:line="256" w:lineRule="auto"/>
              <w:ind w:left="147"/>
              <w:jc w:val="center"/>
              <w:rPr>
                <w:sz w:val="20"/>
                <w:szCs w:val="20"/>
                <w:lang w:val="da-DK"/>
              </w:rPr>
            </w:pPr>
            <w:r w:rsidRPr="00772D05">
              <w:rPr>
                <w:sz w:val="20"/>
                <w:szCs w:val="20"/>
                <w:lang w:val="da-DK"/>
              </w:rPr>
              <w:t>(0,82)</w:t>
            </w:r>
          </w:p>
        </w:tc>
        <w:tc>
          <w:tcPr>
            <w:tcW w:w="417" w:type="pct"/>
            <w:tcBorders>
              <w:top w:val="single" w:sz="4" w:space="0" w:color="000000"/>
              <w:left w:val="single" w:sz="4" w:space="0" w:color="000000"/>
              <w:bottom w:val="single" w:sz="4" w:space="0" w:color="000000"/>
              <w:right w:val="single" w:sz="4" w:space="0" w:color="000000"/>
            </w:tcBorders>
            <w:hideMark/>
          </w:tcPr>
          <w:p w14:paraId="41411E99" w14:textId="77777777" w:rsidR="004223FE" w:rsidRPr="00772D05" w:rsidRDefault="004223FE">
            <w:pPr>
              <w:pStyle w:val="TableParagraph"/>
              <w:spacing w:line="250" w:lineRule="exact"/>
              <w:ind w:left="281"/>
              <w:jc w:val="center"/>
              <w:rPr>
                <w:sz w:val="20"/>
                <w:szCs w:val="20"/>
                <w:lang w:val="da-DK"/>
              </w:rPr>
            </w:pPr>
            <w:r w:rsidRPr="00772D05">
              <w:rPr>
                <w:sz w:val="20"/>
                <w:szCs w:val="20"/>
                <w:lang w:val="da-DK"/>
              </w:rPr>
              <w:t>-4,4</w:t>
            </w:r>
          </w:p>
          <w:p w14:paraId="7A3FBC7A" w14:textId="77777777" w:rsidR="004223FE" w:rsidRPr="00772D05" w:rsidRDefault="004223FE">
            <w:pPr>
              <w:pStyle w:val="TableParagraph"/>
              <w:spacing w:before="7" w:line="256" w:lineRule="auto"/>
              <w:ind w:left="189"/>
              <w:jc w:val="center"/>
              <w:rPr>
                <w:sz w:val="20"/>
                <w:szCs w:val="20"/>
                <w:lang w:val="da-DK"/>
              </w:rPr>
            </w:pPr>
            <w:r w:rsidRPr="00772D05">
              <w:rPr>
                <w:sz w:val="20"/>
                <w:szCs w:val="20"/>
                <w:lang w:val="da-DK"/>
              </w:rPr>
              <w:t>(0,85)</w:t>
            </w:r>
          </w:p>
        </w:tc>
        <w:tc>
          <w:tcPr>
            <w:tcW w:w="486" w:type="pct"/>
            <w:tcBorders>
              <w:top w:val="single" w:sz="4" w:space="0" w:color="000000"/>
              <w:left w:val="single" w:sz="4" w:space="0" w:color="000000"/>
              <w:bottom w:val="single" w:sz="4" w:space="0" w:color="000000"/>
              <w:right w:val="single" w:sz="4" w:space="0" w:color="000000"/>
            </w:tcBorders>
            <w:hideMark/>
          </w:tcPr>
          <w:p w14:paraId="7A2E9FE9" w14:textId="77777777" w:rsidR="004223FE" w:rsidRPr="00772D05" w:rsidRDefault="004223FE">
            <w:pPr>
              <w:pStyle w:val="TableParagraph"/>
              <w:spacing w:line="250" w:lineRule="exact"/>
              <w:ind w:left="194"/>
              <w:jc w:val="center"/>
              <w:rPr>
                <w:sz w:val="20"/>
                <w:szCs w:val="20"/>
                <w:lang w:val="da-DK"/>
              </w:rPr>
            </w:pPr>
            <w:r w:rsidRPr="00772D05">
              <w:rPr>
                <w:sz w:val="20"/>
                <w:szCs w:val="20"/>
                <w:lang w:val="da-DK"/>
              </w:rPr>
              <w:t>-5,6</w:t>
            </w:r>
          </w:p>
          <w:p w14:paraId="69B996C4" w14:textId="77777777" w:rsidR="004223FE" w:rsidRPr="00772D05" w:rsidRDefault="004223FE">
            <w:pPr>
              <w:pStyle w:val="TableParagraph"/>
              <w:spacing w:before="7" w:line="256" w:lineRule="auto"/>
              <w:ind w:left="103"/>
              <w:jc w:val="center"/>
              <w:rPr>
                <w:sz w:val="20"/>
                <w:szCs w:val="20"/>
                <w:lang w:val="da-DK"/>
              </w:rPr>
            </w:pPr>
            <w:r w:rsidRPr="00772D05">
              <w:rPr>
                <w:sz w:val="20"/>
                <w:szCs w:val="20"/>
                <w:lang w:val="da-DK"/>
              </w:rPr>
              <w:t>(0,84)</w:t>
            </w:r>
          </w:p>
        </w:tc>
        <w:tc>
          <w:tcPr>
            <w:tcW w:w="486" w:type="pct"/>
            <w:tcBorders>
              <w:top w:val="single" w:sz="4" w:space="0" w:color="000000"/>
              <w:left w:val="single" w:sz="4" w:space="0" w:color="000000"/>
              <w:bottom w:val="single" w:sz="4" w:space="0" w:color="000000"/>
              <w:right w:val="single" w:sz="4" w:space="0" w:color="000000"/>
            </w:tcBorders>
            <w:hideMark/>
          </w:tcPr>
          <w:p w14:paraId="0FD9D76A" w14:textId="77777777" w:rsidR="004223FE" w:rsidRPr="00772D05" w:rsidRDefault="004223FE">
            <w:pPr>
              <w:pStyle w:val="TableParagraph"/>
              <w:spacing w:line="250" w:lineRule="exact"/>
              <w:ind w:left="211"/>
              <w:jc w:val="center"/>
              <w:rPr>
                <w:sz w:val="20"/>
                <w:szCs w:val="20"/>
                <w:lang w:val="da-DK"/>
              </w:rPr>
            </w:pPr>
            <w:r w:rsidRPr="00772D05">
              <w:rPr>
                <w:sz w:val="20"/>
                <w:szCs w:val="20"/>
                <w:lang w:val="da-DK"/>
              </w:rPr>
              <w:t>-6,5</w:t>
            </w:r>
          </w:p>
          <w:p w14:paraId="3329BACD" w14:textId="77777777" w:rsidR="004223FE" w:rsidRPr="00772D05" w:rsidRDefault="004223FE">
            <w:pPr>
              <w:pStyle w:val="TableParagraph"/>
              <w:spacing w:before="7" w:line="256" w:lineRule="auto"/>
              <w:ind w:left="119"/>
              <w:jc w:val="center"/>
              <w:rPr>
                <w:sz w:val="20"/>
                <w:szCs w:val="20"/>
                <w:lang w:val="da-DK"/>
              </w:rPr>
            </w:pPr>
            <w:r w:rsidRPr="00772D05">
              <w:rPr>
                <w:sz w:val="20"/>
                <w:szCs w:val="20"/>
                <w:lang w:val="da-DK"/>
              </w:rPr>
              <w:t>(0,84)</w:t>
            </w:r>
          </w:p>
        </w:tc>
        <w:tc>
          <w:tcPr>
            <w:tcW w:w="417" w:type="pct"/>
            <w:tcBorders>
              <w:top w:val="single" w:sz="4" w:space="0" w:color="000000"/>
              <w:left w:val="single" w:sz="4" w:space="0" w:color="000000"/>
              <w:bottom w:val="single" w:sz="4" w:space="0" w:color="000000"/>
              <w:right w:val="single" w:sz="4" w:space="0" w:color="000000"/>
            </w:tcBorders>
            <w:hideMark/>
          </w:tcPr>
          <w:p w14:paraId="62F01446" w14:textId="77777777" w:rsidR="004223FE" w:rsidRPr="00772D05" w:rsidRDefault="004223FE">
            <w:pPr>
              <w:pStyle w:val="TableParagraph"/>
              <w:spacing w:line="250" w:lineRule="exact"/>
              <w:ind w:left="268"/>
              <w:jc w:val="center"/>
              <w:rPr>
                <w:sz w:val="20"/>
                <w:szCs w:val="20"/>
                <w:lang w:val="da-DK"/>
              </w:rPr>
            </w:pPr>
            <w:r w:rsidRPr="00772D05">
              <w:rPr>
                <w:sz w:val="20"/>
                <w:szCs w:val="20"/>
                <w:lang w:val="da-DK"/>
              </w:rPr>
              <w:t>-2,6</w:t>
            </w:r>
          </w:p>
          <w:p w14:paraId="2F46BE69" w14:textId="77777777" w:rsidR="004223FE" w:rsidRPr="00772D05" w:rsidRDefault="004223FE">
            <w:pPr>
              <w:pStyle w:val="TableParagraph"/>
              <w:spacing w:before="7" w:line="256" w:lineRule="auto"/>
              <w:ind w:left="176"/>
              <w:jc w:val="center"/>
              <w:rPr>
                <w:sz w:val="20"/>
                <w:szCs w:val="20"/>
                <w:lang w:val="da-DK"/>
              </w:rPr>
            </w:pPr>
            <w:r w:rsidRPr="00772D05">
              <w:rPr>
                <w:sz w:val="20"/>
                <w:szCs w:val="20"/>
                <w:lang w:val="da-DK"/>
              </w:rPr>
              <w:t>(0,34)</w:t>
            </w:r>
          </w:p>
        </w:tc>
        <w:tc>
          <w:tcPr>
            <w:tcW w:w="625" w:type="pct"/>
            <w:tcBorders>
              <w:top w:val="single" w:sz="4" w:space="0" w:color="000000"/>
              <w:left w:val="single" w:sz="4" w:space="0" w:color="000000"/>
              <w:bottom w:val="single" w:sz="4" w:space="0" w:color="000000"/>
              <w:right w:val="single" w:sz="4" w:space="0" w:color="000000"/>
            </w:tcBorders>
            <w:hideMark/>
          </w:tcPr>
          <w:p w14:paraId="48039B16" w14:textId="77777777" w:rsidR="004223FE" w:rsidRPr="00772D05" w:rsidRDefault="004223FE">
            <w:pPr>
              <w:pStyle w:val="TableParagraph"/>
              <w:spacing w:line="250" w:lineRule="exact"/>
              <w:ind w:left="229"/>
              <w:jc w:val="center"/>
              <w:rPr>
                <w:sz w:val="20"/>
                <w:szCs w:val="20"/>
                <w:lang w:val="da-DK"/>
              </w:rPr>
            </w:pPr>
            <w:r w:rsidRPr="00772D05">
              <w:rPr>
                <w:sz w:val="20"/>
                <w:szCs w:val="20"/>
                <w:lang w:val="da-DK"/>
              </w:rPr>
              <w:t>-3,5</w:t>
            </w:r>
          </w:p>
          <w:p w14:paraId="4D6165C5" w14:textId="77777777" w:rsidR="004223FE" w:rsidRPr="00772D05" w:rsidRDefault="004223FE">
            <w:pPr>
              <w:pStyle w:val="TableParagraph"/>
              <w:spacing w:before="7" w:line="256" w:lineRule="auto"/>
              <w:ind w:left="138"/>
              <w:jc w:val="center"/>
              <w:rPr>
                <w:sz w:val="20"/>
                <w:szCs w:val="20"/>
                <w:lang w:val="da-DK"/>
              </w:rPr>
            </w:pPr>
            <w:r w:rsidRPr="00772D05">
              <w:rPr>
                <w:sz w:val="20"/>
                <w:szCs w:val="20"/>
                <w:lang w:val="da-DK"/>
              </w:rPr>
              <w:t>(0,34)</w:t>
            </w:r>
          </w:p>
        </w:tc>
      </w:tr>
      <w:tr w:rsidR="004223FE" w:rsidRPr="00772D05" w14:paraId="03121C5E"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493C6517"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lastRenderedPageBreak/>
              <w:t xml:space="preserve">LS </w:t>
            </w:r>
            <w:proofErr w:type="spellStart"/>
            <w:r w:rsidRPr="00772D05">
              <w:rPr>
                <w:sz w:val="20"/>
                <w:szCs w:val="20"/>
                <w:lang w:val="da-DK"/>
              </w:rPr>
              <w:t>Diff</w:t>
            </w:r>
            <w:proofErr w:type="spellEnd"/>
            <w:r w:rsidRPr="00772D05">
              <w:rPr>
                <w:sz w:val="20"/>
                <w:szCs w:val="20"/>
                <w:lang w:val="da-DK"/>
              </w:rPr>
              <w:t xml:space="preserve"> </w:t>
            </w:r>
            <w:proofErr w:type="spellStart"/>
            <w:r w:rsidRPr="00772D05">
              <w:rPr>
                <w:sz w:val="20"/>
                <w:szCs w:val="20"/>
                <w:lang w:val="da-DK"/>
              </w:rPr>
              <w:t>vs</w:t>
            </w:r>
            <w:proofErr w:type="spellEnd"/>
            <w:r w:rsidRPr="00772D05">
              <w:rPr>
                <w:sz w:val="20"/>
                <w:szCs w:val="20"/>
                <w:lang w:val="da-DK"/>
              </w:rPr>
              <w:t xml:space="preserve"> Placebo</w:t>
            </w:r>
          </w:p>
        </w:tc>
        <w:tc>
          <w:tcPr>
            <w:tcW w:w="486" w:type="pct"/>
            <w:tcBorders>
              <w:top w:val="single" w:sz="4" w:space="0" w:color="000000"/>
              <w:left w:val="single" w:sz="4" w:space="0" w:color="000000"/>
              <w:bottom w:val="single" w:sz="4" w:space="0" w:color="000000"/>
              <w:right w:val="single" w:sz="4" w:space="0" w:color="000000"/>
            </w:tcBorders>
          </w:tcPr>
          <w:p w14:paraId="2CFEF301"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4BBD4A6D" w14:textId="77777777" w:rsidR="004223FE" w:rsidRPr="00772D05" w:rsidRDefault="004223FE">
            <w:pPr>
              <w:pStyle w:val="TableParagraph"/>
              <w:spacing w:line="250" w:lineRule="exact"/>
              <w:ind w:left="56" w:right="56"/>
              <w:jc w:val="center"/>
              <w:rPr>
                <w:sz w:val="20"/>
                <w:szCs w:val="20"/>
                <w:lang w:val="da-DK"/>
              </w:rPr>
            </w:pPr>
            <w:r w:rsidRPr="00772D05">
              <w:rPr>
                <w:sz w:val="20"/>
                <w:szCs w:val="20"/>
                <w:lang w:val="da-DK"/>
              </w:rPr>
              <w:t>-1,6</w:t>
            </w:r>
          </w:p>
        </w:tc>
        <w:tc>
          <w:tcPr>
            <w:tcW w:w="625" w:type="pct"/>
            <w:tcBorders>
              <w:top w:val="single" w:sz="4" w:space="0" w:color="000000"/>
              <w:left w:val="single" w:sz="4" w:space="0" w:color="000000"/>
              <w:bottom w:val="single" w:sz="4" w:space="0" w:color="000000"/>
              <w:right w:val="single" w:sz="4" w:space="0" w:color="000000"/>
            </w:tcBorders>
            <w:hideMark/>
          </w:tcPr>
          <w:p w14:paraId="37DD0201"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-2,3</w:t>
            </w:r>
          </w:p>
        </w:tc>
        <w:tc>
          <w:tcPr>
            <w:tcW w:w="417" w:type="pct"/>
            <w:tcBorders>
              <w:top w:val="single" w:sz="4" w:space="0" w:color="000000"/>
              <w:left w:val="single" w:sz="4" w:space="0" w:color="000000"/>
              <w:bottom w:val="single" w:sz="4" w:space="0" w:color="000000"/>
              <w:right w:val="single" w:sz="4" w:space="0" w:color="000000"/>
            </w:tcBorders>
          </w:tcPr>
          <w:p w14:paraId="34A2A200"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5E2DB855"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-1,2</w:t>
            </w:r>
          </w:p>
        </w:tc>
        <w:tc>
          <w:tcPr>
            <w:tcW w:w="486" w:type="pct"/>
            <w:tcBorders>
              <w:top w:val="single" w:sz="4" w:space="0" w:color="000000"/>
              <w:left w:val="single" w:sz="4" w:space="0" w:color="000000"/>
              <w:bottom w:val="single" w:sz="4" w:space="0" w:color="000000"/>
              <w:right w:val="single" w:sz="4" w:space="0" w:color="000000"/>
            </w:tcBorders>
            <w:hideMark/>
          </w:tcPr>
          <w:p w14:paraId="1B058905" w14:textId="77777777" w:rsidR="004223FE" w:rsidRPr="00772D05" w:rsidRDefault="004223FE">
            <w:pPr>
              <w:pStyle w:val="TableParagraph"/>
              <w:spacing w:line="250" w:lineRule="exact"/>
              <w:ind w:left="63" w:right="63"/>
              <w:jc w:val="center"/>
              <w:rPr>
                <w:sz w:val="20"/>
                <w:szCs w:val="20"/>
                <w:lang w:val="da-DK"/>
              </w:rPr>
            </w:pPr>
            <w:r w:rsidRPr="00772D05">
              <w:rPr>
                <w:sz w:val="20"/>
                <w:szCs w:val="20"/>
                <w:lang w:val="da-DK"/>
              </w:rPr>
              <w:t>-2,1</w:t>
            </w:r>
          </w:p>
        </w:tc>
        <w:tc>
          <w:tcPr>
            <w:tcW w:w="417" w:type="pct"/>
            <w:tcBorders>
              <w:top w:val="single" w:sz="4" w:space="0" w:color="000000"/>
              <w:left w:val="single" w:sz="4" w:space="0" w:color="000000"/>
              <w:bottom w:val="single" w:sz="4" w:space="0" w:color="000000"/>
              <w:right w:val="single" w:sz="4" w:space="0" w:color="000000"/>
            </w:tcBorders>
          </w:tcPr>
          <w:p w14:paraId="3E664D1F" w14:textId="77777777" w:rsidR="004223FE" w:rsidRPr="00772D05" w:rsidRDefault="004223FE">
            <w:pPr>
              <w:jc w:val="cente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75A982F6" w14:textId="77777777" w:rsidR="004223FE" w:rsidRPr="00772D05" w:rsidRDefault="004223FE">
            <w:pPr>
              <w:pStyle w:val="TableParagraph"/>
              <w:spacing w:line="250" w:lineRule="exact"/>
              <w:ind w:left="72" w:right="72"/>
              <w:jc w:val="center"/>
              <w:rPr>
                <w:sz w:val="20"/>
                <w:szCs w:val="20"/>
                <w:lang w:val="da-DK"/>
              </w:rPr>
            </w:pPr>
            <w:r w:rsidRPr="00772D05">
              <w:rPr>
                <w:sz w:val="20"/>
                <w:szCs w:val="20"/>
                <w:lang w:val="da-DK"/>
              </w:rPr>
              <w:t>-0,9</w:t>
            </w:r>
          </w:p>
        </w:tc>
      </w:tr>
      <w:tr w:rsidR="004223FE" w:rsidRPr="00772D05" w14:paraId="5D0E9302"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tcPr>
          <w:p w14:paraId="68D70582" w14:textId="77777777" w:rsidR="004223FE" w:rsidRPr="00772D05" w:rsidRDefault="004223FE" w:rsidP="00772D05">
            <w:pPr>
              <w:pStyle w:val="TableParagraph"/>
              <w:spacing w:before="3" w:line="256" w:lineRule="auto"/>
              <w:ind w:right="132"/>
              <w:rPr>
                <w:sz w:val="20"/>
                <w:szCs w:val="20"/>
                <w:lang w:val="da-DK"/>
              </w:rPr>
            </w:pPr>
          </w:p>
          <w:p w14:paraId="1BFB3162" w14:textId="77777777" w:rsidR="004223FE" w:rsidRPr="00772D05" w:rsidRDefault="004223FE" w:rsidP="00772D05">
            <w:pPr>
              <w:pStyle w:val="TableParagraph"/>
              <w:spacing w:line="256" w:lineRule="auto"/>
              <w:ind w:right="132"/>
              <w:rPr>
                <w:sz w:val="20"/>
                <w:szCs w:val="20"/>
                <w:lang w:val="da-DK"/>
              </w:rPr>
            </w:pPr>
            <w:r w:rsidRPr="00772D05">
              <w:rPr>
                <w:sz w:val="20"/>
                <w:szCs w:val="20"/>
                <w:lang w:val="da-DK"/>
              </w:rPr>
              <w:t>95% CI</w:t>
            </w:r>
          </w:p>
        </w:tc>
        <w:tc>
          <w:tcPr>
            <w:tcW w:w="486" w:type="pct"/>
            <w:tcBorders>
              <w:top w:val="single" w:sz="4" w:space="0" w:color="000000"/>
              <w:left w:val="single" w:sz="4" w:space="0" w:color="000000"/>
              <w:bottom w:val="single" w:sz="4" w:space="0" w:color="000000"/>
              <w:right w:val="single" w:sz="4" w:space="0" w:color="000000"/>
            </w:tcBorders>
          </w:tcPr>
          <w:p w14:paraId="0EA24F53"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03C9EB03" w14:textId="77777777" w:rsidR="004223FE" w:rsidRPr="00772D05" w:rsidRDefault="004223FE">
            <w:pPr>
              <w:pStyle w:val="TableParagraph"/>
              <w:spacing w:line="250" w:lineRule="exact"/>
              <w:ind w:left="213"/>
              <w:jc w:val="center"/>
              <w:rPr>
                <w:sz w:val="20"/>
                <w:szCs w:val="20"/>
                <w:lang w:val="da-DK"/>
              </w:rPr>
            </w:pPr>
            <w:r w:rsidRPr="00772D05">
              <w:rPr>
                <w:sz w:val="20"/>
                <w:szCs w:val="20"/>
                <w:lang w:val="da-DK"/>
              </w:rPr>
              <w:t>[-3,0,</w:t>
            </w:r>
          </w:p>
          <w:p w14:paraId="74498CFB" w14:textId="77777777" w:rsidR="004223FE" w:rsidRPr="00772D05" w:rsidRDefault="004223FE">
            <w:pPr>
              <w:pStyle w:val="TableParagraph"/>
              <w:spacing w:before="7" w:line="256" w:lineRule="auto"/>
              <w:ind w:left="241"/>
              <w:jc w:val="center"/>
              <w:rPr>
                <w:sz w:val="20"/>
                <w:szCs w:val="20"/>
                <w:lang w:val="da-DK"/>
              </w:rPr>
            </w:pPr>
            <w:r w:rsidRPr="00772D05">
              <w:rPr>
                <w:sz w:val="20"/>
                <w:szCs w:val="20"/>
                <w:lang w:val="da-DK"/>
              </w:rPr>
              <w:t>-0,2]</w:t>
            </w:r>
          </w:p>
        </w:tc>
        <w:tc>
          <w:tcPr>
            <w:tcW w:w="625" w:type="pct"/>
            <w:tcBorders>
              <w:top w:val="single" w:sz="4" w:space="0" w:color="000000"/>
              <w:left w:val="single" w:sz="4" w:space="0" w:color="000000"/>
              <w:bottom w:val="single" w:sz="4" w:space="0" w:color="000000"/>
              <w:right w:val="single" w:sz="4" w:space="0" w:color="000000"/>
            </w:tcBorders>
            <w:hideMark/>
          </w:tcPr>
          <w:p w14:paraId="44B2708B" w14:textId="77777777" w:rsidR="004223FE" w:rsidRPr="00772D05" w:rsidRDefault="004223FE">
            <w:pPr>
              <w:pStyle w:val="TableParagraph"/>
              <w:spacing w:line="250" w:lineRule="exact"/>
              <w:ind w:left="175"/>
              <w:jc w:val="center"/>
              <w:rPr>
                <w:sz w:val="20"/>
                <w:szCs w:val="20"/>
                <w:lang w:val="da-DK"/>
              </w:rPr>
            </w:pPr>
            <w:r w:rsidRPr="00772D05">
              <w:rPr>
                <w:sz w:val="20"/>
                <w:szCs w:val="20"/>
                <w:lang w:val="da-DK"/>
              </w:rPr>
              <w:t>[-3,7,</w:t>
            </w:r>
          </w:p>
          <w:p w14:paraId="0C946BFA" w14:textId="77777777" w:rsidR="004223FE" w:rsidRPr="00772D05" w:rsidRDefault="004223FE">
            <w:pPr>
              <w:pStyle w:val="TableParagraph"/>
              <w:spacing w:before="7" w:line="256" w:lineRule="auto"/>
              <w:ind w:left="202"/>
              <w:jc w:val="center"/>
              <w:rPr>
                <w:sz w:val="20"/>
                <w:szCs w:val="20"/>
                <w:lang w:val="da-DK"/>
              </w:rPr>
            </w:pPr>
            <w:r w:rsidRPr="00772D05">
              <w:rPr>
                <w:sz w:val="20"/>
                <w:szCs w:val="20"/>
                <w:lang w:val="da-DK"/>
              </w:rPr>
              <w:t>-0,9]</w:t>
            </w:r>
          </w:p>
        </w:tc>
        <w:tc>
          <w:tcPr>
            <w:tcW w:w="417" w:type="pct"/>
            <w:tcBorders>
              <w:top w:val="single" w:sz="4" w:space="0" w:color="000000"/>
              <w:left w:val="single" w:sz="4" w:space="0" w:color="000000"/>
              <w:bottom w:val="single" w:sz="4" w:space="0" w:color="000000"/>
              <w:right w:val="single" w:sz="4" w:space="0" w:color="000000"/>
            </w:tcBorders>
          </w:tcPr>
          <w:p w14:paraId="34FF0361"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36316480" w14:textId="77777777" w:rsidR="004223FE" w:rsidRPr="00772D05" w:rsidRDefault="004223FE">
            <w:pPr>
              <w:pStyle w:val="TableParagraph"/>
              <w:spacing w:line="250" w:lineRule="exact"/>
              <w:ind w:left="130"/>
              <w:jc w:val="center"/>
              <w:rPr>
                <w:sz w:val="20"/>
                <w:szCs w:val="20"/>
                <w:lang w:val="da-DK"/>
              </w:rPr>
            </w:pPr>
            <w:r w:rsidRPr="00772D05">
              <w:rPr>
                <w:sz w:val="20"/>
                <w:szCs w:val="20"/>
                <w:lang w:val="da-DK"/>
              </w:rPr>
              <w:t>[-2,6,</w:t>
            </w:r>
          </w:p>
          <w:p w14:paraId="1FE94830" w14:textId="77777777" w:rsidR="004223FE" w:rsidRPr="00772D05" w:rsidRDefault="004223FE">
            <w:pPr>
              <w:pStyle w:val="TableParagraph"/>
              <w:spacing w:before="7" w:line="256" w:lineRule="auto"/>
              <w:ind w:left="194"/>
              <w:jc w:val="center"/>
              <w:rPr>
                <w:sz w:val="20"/>
                <w:szCs w:val="20"/>
                <w:lang w:val="da-DK"/>
              </w:rPr>
            </w:pPr>
            <w:r w:rsidRPr="00772D05">
              <w:rPr>
                <w:sz w:val="20"/>
                <w:szCs w:val="20"/>
                <w:lang w:val="da-DK"/>
              </w:rPr>
              <w:t>0,2]</w:t>
            </w:r>
          </w:p>
        </w:tc>
        <w:tc>
          <w:tcPr>
            <w:tcW w:w="486" w:type="pct"/>
            <w:tcBorders>
              <w:top w:val="single" w:sz="4" w:space="0" w:color="000000"/>
              <w:left w:val="single" w:sz="4" w:space="0" w:color="000000"/>
              <w:bottom w:val="single" w:sz="4" w:space="0" w:color="000000"/>
              <w:right w:val="single" w:sz="4" w:space="0" w:color="000000"/>
            </w:tcBorders>
            <w:hideMark/>
          </w:tcPr>
          <w:p w14:paraId="53830A11" w14:textId="77777777" w:rsidR="004223FE" w:rsidRPr="00772D05" w:rsidRDefault="004223FE">
            <w:pPr>
              <w:pStyle w:val="TableParagraph"/>
              <w:spacing w:line="250" w:lineRule="exact"/>
              <w:ind w:left="147"/>
              <w:jc w:val="center"/>
              <w:rPr>
                <w:sz w:val="20"/>
                <w:szCs w:val="20"/>
                <w:lang w:val="da-DK"/>
              </w:rPr>
            </w:pPr>
            <w:r w:rsidRPr="00772D05">
              <w:rPr>
                <w:sz w:val="20"/>
                <w:szCs w:val="20"/>
                <w:lang w:val="da-DK"/>
              </w:rPr>
              <w:t>[-3,5,</w:t>
            </w:r>
          </w:p>
          <w:p w14:paraId="65260398" w14:textId="77777777" w:rsidR="004223FE" w:rsidRPr="00772D05" w:rsidRDefault="004223FE">
            <w:pPr>
              <w:pStyle w:val="TableParagraph"/>
              <w:spacing w:before="7" w:line="256" w:lineRule="auto"/>
              <w:ind w:left="174"/>
              <w:jc w:val="center"/>
              <w:rPr>
                <w:sz w:val="20"/>
                <w:szCs w:val="20"/>
                <w:lang w:val="da-DK"/>
              </w:rPr>
            </w:pPr>
            <w:r w:rsidRPr="00772D05">
              <w:rPr>
                <w:sz w:val="20"/>
                <w:szCs w:val="20"/>
                <w:lang w:val="da-DK"/>
              </w:rPr>
              <w:t>-0,6]</w:t>
            </w:r>
          </w:p>
        </w:tc>
        <w:tc>
          <w:tcPr>
            <w:tcW w:w="417" w:type="pct"/>
            <w:tcBorders>
              <w:top w:val="single" w:sz="4" w:space="0" w:color="000000"/>
              <w:left w:val="single" w:sz="4" w:space="0" w:color="000000"/>
              <w:bottom w:val="single" w:sz="4" w:space="0" w:color="000000"/>
              <w:right w:val="single" w:sz="4" w:space="0" w:color="000000"/>
            </w:tcBorders>
          </w:tcPr>
          <w:p w14:paraId="7E64BAC0" w14:textId="77777777" w:rsidR="004223FE" w:rsidRPr="00772D05" w:rsidRDefault="004223FE">
            <w:pPr>
              <w:jc w:val="cente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795D6476" w14:textId="77777777" w:rsidR="004223FE" w:rsidRPr="00772D05" w:rsidRDefault="004223FE">
            <w:pPr>
              <w:pStyle w:val="TableParagraph"/>
              <w:spacing w:line="250" w:lineRule="exact"/>
              <w:ind w:left="165"/>
              <w:jc w:val="center"/>
              <w:rPr>
                <w:sz w:val="20"/>
                <w:szCs w:val="20"/>
                <w:lang w:val="da-DK"/>
              </w:rPr>
            </w:pPr>
            <w:r w:rsidRPr="00772D05">
              <w:rPr>
                <w:sz w:val="20"/>
                <w:szCs w:val="20"/>
                <w:lang w:val="da-DK"/>
              </w:rPr>
              <w:t>[-1,8,</w:t>
            </w:r>
          </w:p>
          <w:p w14:paraId="0EE407DE" w14:textId="77777777" w:rsidR="004223FE" w:rsidRPr="00772D05" w:rsidRDefault="004223FE">
            <w:pPr>
              <w:pStyle w:val="TableParagraph"/>
              <w:spacing w:before="7" w:line="256" w:lineRule="auto"/>
              <w:ind w:left="229"/>
              <w:jc w:val="center"/>
              <w:rPr>
                <w:sz w:val="20"/>
                <w:szCs w:val="20"/>
                <w:lang w:val="da-DK"/>
              </w:rPr>
            </w:pPr>
            <w:r w:rsidRPr="00772D05">
              <w:rPr>
                <w:sz w:val="20"/>
                <w:szCs w:val="20"/>
                <w:lang w:val="da-DK"/>
              </w:rPr>
              <w:t>0,0]</w:t>
            </w:r>
          </w:p>
        </w:tc>
      </w:tr>
      <w:tr w:rsidR="004223FE" w:rsidRPr="00772D05" w14:paraId="7F942843"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132A98E2" w14:textId="77777777" w:rsidR="004223FE" w:rsidRPr="00772D05" w:rsidRDefault="004223FE" w:rsidP="00772D05">
            <w:pPr>
              <w:pStyle w:val="TableParagraph"/>
              <w:spacing w:line="250" w:lineRule="exact"/>
              <w:ind w:right="132"/>
              <w:rPr>
                <w:sz w:val="20"/>
                <w:szCs w:val="20"/>
                <w:lang w:val="da-DK"/>
              </w:rPr>
            </w:pPr>
            <w:proofErr w:type="spellStart"/>
            <w:r w:rsidRPr="00772D05">
              <w:rPr>
                <w:sz w:val="20"/>
                <w:szCs w:val="20"/>
                <w:lang w:val="da-DK"/>
              </w:rPr>
              <w:t>p-værdi</w:t>
            </w:r>
            <w:proofErr w:type="spellEnd"/>
          </w:p>
        </w:tc>
        <w:tc>
          <w:tcPr>
            <w:tcW w:w="486" w:type="pct"/>
            <w:tcBorders>
              <w:top w:val="single" w:sz="4" w:space="0" w:color="000000"/>
              <w:left w:val="single" w:sz="4" w:space="0" w:color="000000"/>
              <w:bottom w:val="single" w:sz="4" w:space="0" w:color="000000"/>
              <w:right w:val="single" w:sz="4" w:space="0" w:color="000000"/>
            </w:tcBorders>
          </w:tcPr>
          <w:p w14:paraId="6437D1D1"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4C793636" w14:textId="77777777" w:rsidR="004223FE" w:rsidRPr="00772D05" w:rsidRDefault="004223FE">
            <w:pPr>
              <w:pStyle w:val="TableParagraph"/>
              <w:spacing w:line="250" w:lineRule="exact"/>
              <w:ind w:left="56" w:right="56"/>
              <w:jc w:val="center"/>
              <w:rPr>
                <w:sz w:val="20"/>
                <w:szCs w:val="20"/>
                <w:lang w:val="da-DK"/>
              </w:rPr>
            </w:pPr>
            <w:r w:rsidRPr="00772D05">
              <w:rPr>
                <w:sz w:val="20"/>
                <w:szCs w:val="20"/>
                <w:lang w:val="da-DK"/>
              </w:rPr>
              <w:t>0,0207</w:t>
            </w:r>
          </w:p>
        </w:tc>
        <w:tc>
          <w:tcPr>
            <w:tcW w:w="625" w:type="pct"/>
            <w:tcBorders>
              <w:top w:val="single" w:sz="4" w:space="0" w:color="000000"/>
              <w:left w:val="single" w:sz="4" w:space="0" w:color="000000"/>
              <w:bottom w:val="single" w:sz="4" w:space="0" w:color="000000"/>
              <w:right w:val="single" w:sz="4" w:space="0" w:color="000000"/>
            </w:tcBorders>
            <w:hideMark/>
          </w:tcPr>
          <w:p w14:paraId="6121960C"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0,0010</w:t>
            </w:r>
          </w:p>
        </w:tc>
        <w:tc>
          <w:tcPr>
            <w:tcW w:w="417" w:type="pct"/>
            <w:tcBorders>
              <w:top w:val="single" w:sz="4" w:space="0" w:color="000000"/>
              <w:left w:val="single" w:sz="4" w:space="0" w:color="000000"/>
              <w:bottom w:val="single" w:sz="4" w:space="0" w:color="000000"/>
              <w:right w:val="single" w:sz="4" w:space="0" w:color="000000"/>
            </w:tcBorders>
          </w:tcPr>
          <w:p w14:paraId="608641CB"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1996F71E"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0,0939</w:t>
            </w:r>
          </w:p>
        </w:tc>
        <w:tc>
          <w:tcPr>
            <w:tcW w:w="486" w:type="pct"/>
            <w:tcBorders>
              <w:top w:val="single" w:sz="4" w:space="0" w:color="000000"/>
              <w:left w:val="single" w:sz="4" w:space="0" w:color="000000"/>
              <w:bottom w:val="single" w:sz="4" w:space="0" w:color="000000"/>
              <w:right w:val="single" w:sz="4" w:space="0" w:color="000000"/>
            </w:tcBorders>
            <w:hideMark/>
          </w:tcPr>
          <w:p w14:paraId="4F9302BA" w14:textId="77777777" w:rsidR="004223FE" w:rsidRPr="00772D05" w:rsidRDefault="004223FE">
            <w:pPr>
              <w:pStyle w:val="TableParagraph"/>
              <w:spacing w:line="250" w:lineRule="exact"/>
              <w:ind w:left="63" w:right="63"/>
              <w:jc w:val="center"/>
              <w:rPr>
                <w:sz w:val="20"/>
                <w:szCs w:val="20"/>
                <w:lang w:val="da-DK"/>
              </w:rPr>
            </w:pPr>
            <w:r w:rsidRPr="00772D05">
              <w:rPr>
                <w:sz w:val="20"/>
                <w:szCs w:val="20"/>
                <w:lang w:val="da-DK"/>
              </w:rPr>
              <w:t>0,0047</w:t>
            </w:r>
          </w:p>
        </w:tc>
        <w:tc>
          <w:tcPr>
            <w:tcW w:w="417" w:type="pct"/>
            <w:tcBorders>
              <w:top w:val="single" w:sz="4" w:space="0" w:color="000000"/>
              <w:left w:val="single" w:sz="4" w:space="0" w:color="000000"/>
              <w:bottom w:val="single" w:sz="4" w:space="0" w:color="000000"/>
              <w:right w:val="single" w:sz="4" w:space="0" w:color="000000"/>
            </w:tcBorders>
          </w:tcPr>
          <w:p w14:paraId="55DC88B0" w14:textId="77777777" w:rsidR="004223FE" w:rsidRPr="00772D05" w:rsidRDefault="004223FE">
            <w:pPr>
              <w:jc w:val="cente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0874B017" w14:textId="77777777" w:rsidR="004223FE" w:rsidRPr="00772D05" w:rsidRDefault="004223FE">
            <w:pPr>
              <w:pStyle w:val="TableParagraph"/>
              <w:spacing w:line="250" w:lineRule="exact"/>
              <w:ind w:left="72" w:right="72"/>
              <w:jc w:val="center"/>
              <w:rPr>
                <w:sz w:val="20"/>
                <w:szCs w:val="20"/>
                <w:lang w:val="da-DK"/>
              </w:rPr>
            </w:pPr>
            <w:r w:rsidRPr="00772D05">
              <w:rPr>
                <w:sz w:val="20"/>
                <w:szCs w:val="20"/>
                <w:lang w:val="da-DK"/>
              </w:rPr>
              <w:t>0,0514</w:t>
            </w:r>
          </w:p>
        </w:tc>
      </w:tr>
      <w:tr w:rsidR="004223FE" w:rsidRPr="00772D05" w14:paraId="3FCCB337" w14:textId="77777777" w:rsidTr="00772D05">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71D97E3C" w14:textId="77777777" w:rsidR="004223FE" w:rsidRPr="00772D05" w:rsidRDefault="004223FE" w:rsidP="00772D05">
            <w:pPr>
              <w:pStyle w:val="TableParagraph"/>
              <w:spacing w:line="250" w:lineRule="exact"/>
              <w:ind w:right="132"/>
              <w:rPr>
                <w:b/>
                <w:sz w:val="20"/>
                <w:szCs w:val="20"/>
                <w:lang w:val="da-DK"/>
              </w:rPr>
            </w:pPr>
            <w:r w:rsidRPr="00772D05">
              <w:rPr>
                <w:b/>
                <w:sz w:val="20"/>
                <w:szCs w:val="20"/>
                <w:lang w:val="da-DK"/>
              </w:rPr>
              <w:t>UPDRS II (c)</w:t>
            </w:r>
          </w:p>
        </w:tc>
      </w:tr>
      <w:tr w:rsidR="004223FE" w:rsidRPr="00772D05" w14:paraId="2F8E09BF"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58B4A93C" w14:textId="56068634" w:rsidR="004223FE" w:rsidRPr="00772D05" w:rsidRDefault="004223FE" w:rsidP="00772D05">
            <w:pPr>
              <w:pStyle w:val="TableParagraph"/>
              <w:spacing w:line="250" w:lineRule="exact"/>
              <w:ind w:right="132"/>
              <w:rPr>
                <w:sz w:val="20"/>
                <w:szCs w:val="20"/>
                <w:lang w:val="da-DK"/>
              </w:rPr>
            </w:pPr>
            <w:r w:rsidRPr="00772D05">
              <w:rPr>
                <w:sz w:val="20"/>
                <w:szCs w:val="20"/>
                <w:lang w:val="da-DK"/>
              </w:rPr>
              <w:t>Udgangspunkt (b)</w:t>
            </w:r>
          </w:p>
        </w:tc>
        <w:tc>
          <w:tcPr>
            <w:tcW w:w="486" w:type="pct"/>
            <w:tcBorders>
              <w:top w:val="single" w:sz="4" w:space="0" w:color="000000"/>
              <w:left w:val="single" w:sz="4" w:space="0" w:color="000000"/>
              <w:bottom w:val="single" w:sz="4" w:space="0" w:color="000000"/>
              <w:right w:val="single" w:sz="4" w:space="0" w:color="000000"/>
            </w:tcBorders>
            <w:hideMark/>
          </w:tcPr>
          <w:p w14:paraId="25CD4C13" w14:textId="77777777" w:rsidR="004223FE" w:rsidRPr="00772D05" w:rsidRDefault="004223FE">
            <w:pPr>
              <w:pStyle w:val="TableParagraph"/>
              <w:spacing w:line="250" w:lineRule="exact"/>
              <w:ind w:left="243"/>
              <w:jc w:val="center"/>
              <w:rPr>
                <w:sz w:val="20"/>
                <w:szCs w:val="20"/>
                <w:lang w:val="da-DK"/>
              </w:rPr>
            </w:pPr>
            <w:r w:rsidRPr="00772D05">
              <w:rPr>
                <w:sz w:val="20"/>
                <w:szCs w:val="20"/>
                <w:lang w:val="da-DK"/>
              </w:rPr>
              <w:t>12,2</w:t>
            </w:r>
          </w:p>
          <w:p w14:paraId="4FEC303F" w14:textId="77777777" w:rsidR="004223FE" w:rsidRPr="00772D05" w:rsidRDefault="004223FE">
            <w:pPr>
              <w:pStyle w:val="TableParagraph"/>
              <w:spacing w:before="7" w:line="256" w:lineRule="auto"/>
              <w:ind w:left="225"/>
              <w:jc w:val="center"/>
              <w:rPr>
                <w:sz w:val="20"/>
                <w:szCs w:val="20"/>
                <w:lang w:val="da-DK"/>
              </w:rPr>
            </w:pPr>
            <w:r w:rsidRPr="00772D05">
              <w:rPr>
                <w:sz w:val="20"/>
                <w:szCs w:val="20"/>
                <w:lang w:val="da-DK"/>
              </w:rPr>
              <w:t>(5,9)</w:t>
            </w:r>
          </w:p>
        </w:tc>
        <w:tc>
          <w:tcPr>
            <w:tcW w:w="486" w:type="pct"/>
            <w:tcBorders>
              <w:top w:val="single" w:sz="4" w:space="0" w:color="000000"/>
              <w:left w:val="single" w:sz="4" w:space="0" w:color="000000"/>
              <w:bottom w:val="single" w:sz="4" w:space="0" w:color="000000"/>
              <w:right w:val="single" w:sz="4" w:space="0" w:color="000000"/>
            </w:tcBorders>
            <w:hideMark/>
          </w:tcPr>
          <w:p w14:paraId="3303B555" w14:textId="77777777" w:rsidR="004223FE" w:rsidRPr="00772D05" w:rsidRDefault="004223FE">
            <w:pPr>
              <w:pStyle w:val="TableParagraph"/>
              <w:spacing w:line="250" w:lineRule="exact"/>
              <w:ind w:left="259"/>
              <w:jc w:val="center"/>
              <w:rPr>
                <w:sz w:val="20"/>
                <w:szCs w:val="20"/>
                <w:lang w:val="da-DK"/>
              </w:rPr>
            </w:pPr>
            <w:r w:rsidRPr="00772D05">
              <w:rPr>
                <w:sz w:val="20"/>
                <w:szCs w:val="20"/>
                <w:lang w:val="da-DK"/>
              </w:rPr>
              <w:t>11,8</w:t>
            </w:r>
          </w:p>
          <w:p w14:paraId="30504C8E" w14:textId="77777777" w:rsidR="004223FE" w:rsidRPr="00772D05" w:rsidRDefault="004223FE">
            <w:pPr>
              <w:pStyle w:val="TableParagraph"/>
              <w:spacing w:before="7" w:line="256" w:lineRule="auto"/>
              <w:ind w:left="241"/>
              <w:jc w:val="center"/>
              <w:rPr>
                <w:sz w:val="20"/>
                <w:szCs w:val="20"/>
                <w:lang w:val="da-DK"/>
              </w:rPr>
            </w:pPr>
            <w:r w:rsidRPr="00772D05">
              <w:rPr>
                <w:sz w:val="20"/>
                <w:szCs w:val="20"/>
                <w:lang w:val="da-DK"/>
              </w:rPr>
              <w:t>(5,7)</w:t>
            </w:r>
          </w:p>
        </w:tc>
        <w:tc>
          <w:tcPr>
            <w:tcW w:w="625" w:type="pct"/>
            <w:tcBorders>
              <w:top w:val="single" w:sz="4" w:space="0" w:color="000000"/>
              <w:left w:val="single" w:sz="4" w:space="0" w:color="000000"/>
              <w:bottom w:val="single" w:sz="4" w:space="0" w:color="000000"/>
              <w:right w:val="single" w:sz="4" w:space="0" w:color="000000"/>
            </w:tcBorders>
            <w:hideMark/>
          </w:tcPr>
          <w:p w14:paraId="1395B2CA" w14:textId="77777777" w:rsidR="004223FE" w:rsidRPr="00772D05" w:rsidRDefault="004223FE">
            <w:pPr>
              <w:pStyle w:val="TableParagraph"/>
              <w:spacing w:line="250" w:lineRule="exact"/>
              <w:ind w:left="220"/>
              <w:jc w:val="center"/>
              <w:rPr>
                <w:sz w:val="20"/>
                <w:szCs w:val="20"/>
                <w:lang w:val="da-DK"/>
              </w:rPr>
            </w:pPr>
            <w:r w:rsidRPr="00772D05">
              <w:rPr>
                <w:sz w:val="20"/>
                <w:szCs w:val="20"/>
                <w:lang w:val="da-DK"/>
              </w:rPr>
              <w:t>12,1</w:t>
            </w:r>
          </w:p>
          <w:p w14:paraId="70F8A2A2" w14:textId="77777777" w:rsidR="004223FE" w:rsidRPr="00772D05" w:rsidRDefault="004223FE">
            <w:pPr>
              <w:pStyle w:val="TableParagraph"/>
              <w:spacing w:before="7" w:line="256" w:lineRule="auto"/>
              <w:ind w:left="202"/>
              <w:jc w:val="center"/>
              <w:rPr>
                <w:sz w:val="20"/>
                <w:szCs w:val="20"/>
                <w:lang w:val="da-DK"/>
              </w:rPr>
            </w:pPr>
            <w:r w:rsidRPr="00772D05">
              <w:rPr>
                <w:sz w:val="20"/>
                <w:szCs w:val="20"/>
                <w:lang w:val="da-DK"/>
              </w:rPr>
              <w:t>(5,9)</w:t>
            </w:r>
          </w:p>
        </w:tc>
        <w:tc>
          <w:tcPr>
            <w:tcW w:w="417" w:type="pct"/>
            <w:tcBorders>
              <w:top w:val="single" w:sz="4" w:space="0" w:color="000000"/>
              <w:left w:val="single" w:sz="4" w:space="0" w:color="000000"/>
              <w:bottom w:val="single" w:sz="4" w:space="0" w:color="000000"/>
              <w:right w:val="single" w:sz="4" w:space="0" w:color="000000"/>
            </w:tcBorders>
            <w:hideMark/>
          </w:tcPr>
          <w:p w14:paraId="0D8403FC" w14:textId="77777777" w:rsidR="004223FE" w:rsidRPr="00772D05" w:rsidRDefault="004223FE">
            <w:pPr>
              <w:pStyle w:val="TableParagraph"/>
              <w:spacing w:line="250" w:lineRule="exact"/>
              <w:ind w:left="0"/>
              <w:jc w:val="center"/>
              <w:rPr>
                <w:sz w:val="20"/>
                <w:szCs w:val="20"/>
                <w:lang w:val="da-DK"/>
              </w:rPr>
            </w:pPr>
            <w:r w:rsidRPr="00772D05">
              <w:rPr>
                <w:sz w:val="20"/>
                <w:szCs w:val="20"/>
                <w:lang w:val="da-DK"/>
              </w:rPr>
              <w:t>12,2</w:t>
            </w:r>
          </w:p>
          <w:p w14:paraId="1C999A03" w14:textId="77777777" w:rsidR="004223FE" w:rsidRPr="00772D05" w:rsidRDefault="004223FE">
            <w:pPr>
              <w:pStyle w:val="TableParagraph"/>
              <w:spacing w:before="7" w:line="256" w:lineRule="auto"/>
              <w:ind w:left="0"/>
              <w:jc w:val="center"/>
              <w:rPr>
                <w:sz w:val="20"/>
                <w:szCs w:val="20"/>
                <w:lang w:val="da-DK"/>
              </w:rPr>
            </w:pPr>
            <w:r w:rsidRPr="00772D05">
              <w:rPr>
                <w:sz w:val="20"/>
                <w:szCs w:val="20"/>
                <w:lang w:val="da-DK"/>
              </w:rPr>
              <w:t>(5,9)</w:t>
            </w:r>
          </w:p>
        </w:tc>
        <w:tc>
          <w:tcPr>
            <w:tcW w:w="486" w:type="pct"/>
            <w:tcBorders>
              <w:top w:val="single" w:sz="4" w:space="0" w:color="000000"/>
              <w:left w:val="single" w:sz="4" w:space="0" w:color="000000"/>
              <w:bottom w:val="single" w:sz="4" w:space="0" w:color="000000"/>
              <w:right w:val="single" w:sz="4" w:space="0" w:color="000000"/>
            </w:tcBorders>
            <w:hideMark/>
          </w:tcPr>
          <w:p w14:paraId="4BB63929" w14:textId="77777777" w:rsidR="004223FE" w:rsidRPr="00772D05" w:rsidRDefault="004223FE">
            <w:pPr>
              <w:pStyle w:val="TableParagraph"/>
              <w:spacing w:line="250" w:lineRule="exact"/>
              <w:ind w:left="0"/>
              <w:jc w:val="center"/>
              <w:rPr>
                <w:sz w:val="20"/>
                <w:szCs w:val="20"/>
                <w:lang w:val="da-DK"/>
              </w:rPr>
            </w:pPr>
            <w:r w:rsidRPr="00772D05">
              <w:rPr>
                <w:sz w:val="20"/>
                <w:szCs w:val="20"/>
                <w:lang w:val="da-DK"/>
              </w:rPr>
              <w:t>11,8</w:t>
            </w:r>
          </w:p>
          <w:p w14:paraId="28BBAC18" w14:textId="77777777" w:rsidR="004223FE" w:rsidRPr="00772D05" w:rsidRDefault="004223FE">
            <w:pPr>
              <w:pStyle w:val="TableParagraph"/>
              <w:spacing w:before="7" w:line="256" w:lineRule="auto"/>
              <w:ind w:left="0"/>
              <w:jc w:val="center"/>
              <w:rPr>
                <w:sz w:val="20"/>
                <w:szCs w:val="20"/>
                <w:lang w:val="da-DK"/>
              </w:rPr>
            </w:pPr>
            <w:r w:rsidRPr="00772D05">
              <w:rPr>
                <w:sz w:val="20"/>
                <w:szCs w:val="20"/>
                <w:lang w:val="da-DK"/>
              </w:rPr>
              <w:t>(5,7)</w:t>
            </w:r>
          </w:p>
        </w:tc>
        <w:tc>
          <w:tcPr>
            <w:tcW w:w="486" w:type="pct"/>
            <w:tcBorders>
              <w:top w:val="single" w:sz="4" w:space="0" w:color="000000"/>
              <w:left w:val="single" w:sz="4" w:space="0" w:color="000000"/>
              <w:bottom w:val="single" w:sz="4" w:space="0" w:color="000000"/>
              <w:right w:val="single" w:sz="4" w:space="0" w:color="000000"/>
            </w:tcBorders>
            <w:hideMark/>
          </w:tcPr>
          <w:p w14:paraId="42C5D229" w14:textId="77777777" w:rsidR="004223FE" w:rsidRPr="00772D05" w:rsidRDefault="004223FE">
            <w:pPr>
              <w:pStyle w:val="TableParagraph"/>
              <w:spacing w:line="250" w:lineRule="exact"/>
              <w:ind w:left="176"/>
              <w:jc w:val="center"/>
              <w:rPr>
                <w:sz w:val="20"/>
                <w:szCs w:val="20"/>
                <w:lang w:val="da-DK"/>
              </w:rPr>
            </w:pPr>
            <w:r w:rsidRPr="00772D05">
              <w:rPr>
                <w:sz w:val="20"/>
                <w:szCs w:val="20"/>
                <w:lang w:val="da-DK"/>
              </w:rPr>
              <w:t>12,1</w:t>
            </w:r>
          </w:p>
          <w:p w14:paraId="3A1C46A3" w14:textId="77777777" w:rsidR="004223FE" w:rsidRPr="00772D05" w:rsidRDefault="004223FE">
            <w:pPr>
              <w:pStyle w:val="TableParagraph"/>
              <w:spacing w:before="7" w:line="256" w:lineRule="auto"/>
              <w:ind w:left="176"/>
              <w:jc w:val="center"/>
              <w:rPr>
                <w:sz w:val="20"/>
                <w:szCs w:val="20"/>
                <w:lang w:val="da-DK"/>
              </w:rPr>
            </w:pPr>
            <w:r w:rsidRPr="00772D05">
              <w:rPr>
                <w:sz w:val="20"/>
                <w:szCs w:val="20"/>
                <w:lang w:val="da-DK"/>
              </w:rPr>
              <w:t>(5,9)</w:t>
            </w:r>
          </w:p>
        </w:tc>
        <w:tc>
          <w:tcPr>
            <w:tcW w:w="417" w:type="pct"/>
            <w:tcBorders>
              <w:top w:val="single" w:sz="4" w:space="0" w:color="000000"/>
              <w:left w:val="single" w:sz="4" w:space="0" w:color="000000"/>
              <w:bottom w:val="single" w:sz="4" w:space="0" w:color="000000"/>
              <w:right w:val="single" w:sz="4" w:space="0" w:color="000000"/>
            </w:tcBorders>
            <w:hideMark/>
          </w:tcPr>
          <w:p w14:paraId="69CEA996" w14:textId="77777777" w:rsidR="004223FE" w:rsidRPr="00772D05" w:rsidRDefault="004223FE">
            <w:pPr>
              <w:pStyle w:val="TableParagraph"/>
              <w:spacing w:line="250" w:lineRule="exact"/>
              <w:ind w:left="143" w:hanging="106"/>
              <w:jc w:val="center"/>
              <w:rPr>
                <w:sz w:val="20"/>
                <w:szCs w:val="20"/>
                <w:lang w:val="da-DK"/>
              </w:rPr>
            </w:pPr>
            <w:r w:rsidRPr="00772D05">
              <w:rPr>
                <w:sz w:val="20"/>
                <w:szCs w:val="20"/>
                <w:lang w:val="da-DK"/>
              </w:rPr>
              <w:t>10,4</w:t>
            </w:r>
          </w:p>
          <w:p w14:paraId="384CDF8C" w14:textId="77777777" w:rsidR="004223FE" w:rsidRPr="00772D05" w:rsidRDefault="004223FE">
            <w:pPr>
              <w:pStyle w:val="TableParagraph"/>
              <w:spacing w:before="7" w:line="256" w:lineRule="auto"/>
              <w:ind w:left="143" w:hanging="106"/>
              <w:jc w:val="center"/>
              <w:rPr>
                <w:sz w:val="20"/>
                <w:szCs w:val="20"/>
                <w:lang w:val="da-DK"/>
              </w:rPr>
            </w:pPr>
            <w:r w:rsidRPr="00772D05">
              <w:rPr>
                <w:sz w:val="20"/>
                <w:szCs w:val="20"/>
                <w:lang w:val="da-DK"/>
              </w:rPr>
              <w:t>(6,3)</w:t>
            </w:r>
          </w:p>
        </w:tc>
        <w:tc>
          <w:tcPr>
            <w:tcW w:w="625" w:type="pct"/>
            <w:tcBorders>
              <w:top w:val="single" w:sz="4" w:space="0" w:color="000000"/>
              <w:left w:val="single" w:sz="4" w:space="0" w:color="000000"/>
              <w:bottom w:val="single" w:sz="4" w:space="0" w:color="000000"/>
              <w:right w:val="single" w:sz="4" w:space="0" w:color="000000"/>
            </w:tcBorders>
            <w:hideMark/>
          </w:tcPr>
          <w:p w14:paraId="7828C197" w14:textId="77777777" w:rsidR="004223FE" w:rsidRPr="00772D05" w:rsidRDefault="004223FE">
            <w:pPr>
              <w:pStyle w:val="TableParagraph"/>
              <w:spacing w:line="250" w:lineRule="exact"/>
              <w:ind w:left="211"/>
              <w:jc w:val="center"/>
              <w:rPr>
                <w:sz w:val="20"/>
                <w:szCs w:val="20"/>
                <w:lang w:val="da-DK"/>
              </w:rPr>
            </w:pPr>
            <w:r w:rsidRPr="00772D05">
              <w:rPr>
                <w:sz w:val="20"/>
                <w:szCs w:val="20"/>
                <w:lang w:val="da-DK"/>
              </w:rPr>
              <w:t>10,0</w:t>
            </w:r>
          </w:p>
          <w:p w14:paraId="4E97C5DA" w14:textId="77777777" w:rsidR="004223FE" w:rsidRPr="00772D05" w:rsidRDefault="004223FE">
            <w:pPr>
              <w:pStyle w:val="TableParagraph"/>
              <w:spacing w:before="7" w:line="256" w:lineRule="auto"/>
              <w:ind w:left="193"/>
              <w:jc w:val="center"/>
              <w:rPr>
                <w:sz w:val="20"/>
                <w:szCs w:val="20"/>
                <w:lang w:val="da-DK"/>
              </w:rPr>
            </w:pPr>
            <w:r w:rsidRPr="00772D05">
              <w:rPr>
                <w:sz w:val="20"/>
                <w:szCs w:val="20"/>
                <w:lang w:val="da-DK"/>
              </w:rPr>
              <w:t>(5,6)</w:t>
            </w:r>
          </w:p>
        </w:tc>
      </w:tr>
      <w:tr w:rsidR="004223FE" w:rsidRPr="00772D05" w14:paraId="47980052"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7718BE26"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LSM</w:t>
            </w:r>
          </w:p>
          <w:p w14:paraId="0B43A8E0"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forandring (SE)</w:t>
            </w:r>
          </w:p>
        </w:tc>
        <w:tc>
          <w:tcPr>
            <w:tcW w:w="486" w:type="pct"/>
            <w:tcBorders>
              <w:top w:val="single" w:sz="4" w:space="0" w:color="000000"/>
              <w:left w:val="single" w:sz="4" w:space="0" w:color="000000"/>
              <w:bottom w:val="single" w:sz="4" w:space="0" w:color="000000"/>
              <w:right w:val="single" w:sz="4" w:space="0" w:color="000000"/>
            </w:tcBorders>
            <w:hideMark/>
          </w:tcPr>
          <w:p w14:paraId="3DB25099" w14:textId="77777777" w:rsidR="004223FE" w:rsidRPr="00772D05" w:rsidRDefault="004223FE">
            <w:pPr>
              <w:pStyle w:val="TableParagraph"/>
              <w:spacing w:line="250" w:lineRule="exact"/>
              <w:ind w:left="261"/>
              <w:jc w:val="center"/>
              <w:rPr>
                <w:sz w:val="20"/>
                <w:szCs w:val="20"/>
                <w:lang w:val="da-DK"/>
              </w:rPr>
            </w:pPr>
            <w:r w:rsidRPr="00772D05">
              <w:rPr>
                <w:sz w:val="20"/>
                <w:szCs w:val="20"/>
                <w:lang w:val="da-DK"/>
              </w:rPr>
              <w:t>-1,2</w:t>
            </w:r>
          </w:p>
          <w:p w14:paraId="7CCAD266" w14:textId="77777777" w:rsidR="004223FE" w:rsidRPr="00772D05" w:rsidRDefault="004223FE">
            <w:pPr>
              <w:pStyle w:val="TableParagraph"/>
              <w:spacing w:before="7" w:line="256" w:lineRule="auto"/>
              <w:ind w:left="225"/>
              <w:jc w:val="center"/>
              <w:rPr>
                <w:sz w:val="20"/>
                <w:szCs w:val="20"/>
                <w:lang w:val="da-DK"/>
              </w:rPr>
            </w:pPr>
            <w:r w:rsidRPr="00772D05">
              <w:rPr>
                <w:sz w:val="20"/>
                <w:szCs w:val="20"/>
                <w:lang w:val="da-DK"/>
              </w:rPr>
              <w:t>(0,4)</w:t>
            </w:r>
          </w:p>
        </w:tc>
        <w:tc>
          <w:tcPr>
            <w:tcW w:w="486" w:type="pct"/>
            <w:tcBorders>
              <w:top w:val="single" w:sz="4" w:space="0" w:color="000000"/>
              <w:left w:val="single" w:sz="4" w:space="0" w:color="000000"/>
              <w:bottom w:val="single" w:sz="4" w:space="0" w:color="000000"/>
              <w:right w:val="single" w:sz="4" w:space="0" w:color="000000"/>
            </w:tcBorders>
            <w:hideMark/>
          </w:tcPr>
          <w:p w14:paraId="0BF68493" w14:textId="77777777" w:rsidR="004223FE" w:rsidRPr="00772D05" w:rsidRDefault="004223FE">
            <w:pPr>
              <w:pStyle w:val="TableParagraph"/>
              <w:spacing w:line="250" w:lineRule="exact"/>
              <w:ind w:left="277"/>
              <w:jc w:val="center"/>
              <w:rPr>
                <w:sz w:val="20"/>
                <w:szCs w:val="20"/>
                <w:lang w:val="da-DK"/>
              </w:rPr>
            </w:pPr>
            <w:r w:rsidRPr="00772D05">
              <w:rPr>
                <w:sz w:val="20"/>
                <w:szCs w:val="20"/>
                <w:lang w:val="da-DK"/>
              </w:rPr>
              <w:t>-1,9</w:t>
            </w:r>
          </w:p>
          <w:p w14:paraId="0B48B613" w14:textId="77777777" w:rsidR="004223FE" w:rsidRPr="00772D05" w:rsidRDefault="004223FE">
            <w:pPr>
              <w:pStyle w:val="TableParagraph"/>
              <w:spacing w:before="7" w:line="256" w:lineRule="auto"/>
              <w:ind w:left="241"/>
              <w:jc w:val="center"/>
              <w:rPr>
                <w:sz w:val="20"/>
                <w:szCs w:val="20"/>
                <w:lang w:val="da-DK"/>
              </w:rPr>
            </w:pPr>
            <w:r w:rsidRPr="00772D05">
              <w:rPr>
                <w:sz w:val="20"/>
                <w:szCs w:val="20"/>
                <w:lang w:val="da-DK"/>
              </w:rPr>
              <w:t>(0,4)</w:t>
            </w:r>
          </w:p>
        </w:tc>
        <w:tc>
          <w:tcPr>
            <w:tcW w:w="625" w:type="pct"/>
            <w:tcBorders>
              <w:top w:val="single" w:sz="4" w:space="0" w:color="000000"/>
              <w:left w:val="single" w:sz="4" w:space="0" w:color="000000"/>
              <w:bottom w:val="single" w:sz="4" w:space="0" w:color="000000"/>
              <w:right w:val="single" w:sz="4" w:space="0" w:color="000000"/>
            </w:tcBorders>
            <w:hideMark/>
          </w:tcPr>
          <w:p w14:paraId="7F7DB2FE" w14:textId="77777777" w:rsidR="004223FE" w:rsidRPr="00772D05" w:rsidRDefault="004223FE">
            <w:pPr>
              <w:pStyle w:val="TableParagraph"/>
              <w:spacing w:line="250" w:lineRule="exact"/>
              <w:ind w:left="239"/>
              <w:jc w:val="center"/>
              <w:rPr>
                <w:sz w:val="20"/>
                <w:szCs w:val="20"/>
                <w:lang w:val="da-DK"/>
              </w:rPr>
            </w:pPr>
            <w:r w:rsidRPr="00772D05">
              <w:rPr>
                <w:sz w:val="20"/>
                <w:szCs w:val="20"/>
                <w:lang w:val="da-DK"/>
              </w:rPr>
              <w:t>-2,3</w:t>
            </w:r>
          </w:p>
          <w:p w14:paraId="1448AE0A" w14:textId="77777777" w:rsidR="004223FE" w:rsidRPr="00772D05" w:rsidRDefault="004223FE">
            <w:pPr>
              <w:pStyle w:val="TableParagraph"/>
              <w:spacing w:before="7" w:line="256" w:lineRule="auto"/>
              <w:ind w:left="202"/>
              <w:jc w:val="center"/>
              <w:rPr>
                <w:sz w:val="20"/>
                <w:szCs w:val="20"/>
                <w:lang w:val="da-DK"/>
              </w:rPr>
            </w:pPr>
            <w:r w:rsidRPr="00772D05">
              <w:rPr>
                <w:sz w:val="20"/>
                <w:szCs w:val="20"/>
                <w:lang w:val="da-DK"/>
              </w:rPr>
              <w:t>(0,4)</w:t>
            </w:r>
          </w:p>
        </w:tc>
        <w:tc>
          <w:tcPr>
            <w:tcW w:w="417" w:type="pct"/>
            <w:tcBorders>
              <w:top w:val="single" w:sz="4" w:space="0" w:color="000000"/>
              <w:left w:val="single" w:sz="4" w:space="0" w:color="000000"/>
              <w:bottom w:val="single" w:sz="4" w:space="0" w:color="000000"/>
              <w:right w:val="single" w:sz="4" w:space="0" w:color="000000"/>
            </w:tcBorders>
            <w:hideMark/>
          </w:tcPr>
          <w:p w14:paraId="43498189" w14:textId="77777777" w:rsidR="004223FE" w:rsidRPr="00772D05" w:rsidRDefault="004223FE">
            <w:pPr>
              <w:pStyle w:val="TableParagraph"/>
              <w:spacing w:line="250" w:lineRule="exact"/>
              <w:ind w:left="0"/>
              <w:jc w:val="center"/>
              <w:rPr>
                <w:sz w:val="20"/>
                <w:szCs w:val="20"/>
                <w:lang w:val="da-DK"/>
              </w:rPr>
            </w:pPr>
            <w:r w:rsidRPr="00772D05">
              <w:rPr>
                <w:sz w:val="20"/>
                <w:szCs w:val="20"/>
                <w:lang w:val="da-DK"/>
              </w:rPr>
              <w:t>-1,4</w:t>
            </w:r>
          </w:p>
          <w:p w14:paraId="75FB3EAE" w14:textId="77777777" w:rsidR="004223FE" w:rsidRPr="00772D05" w:rsidRDefault="004223FE">
            <w:pPr>
              <w:pStyle w:val="TableParagraph"/>
              <w:spacing w:before="7" w:line="256" w:lineRule="auto"/>
              <w:ind w:left="0"/>
              <w:jc w:val="center"/>
              <w:rPr>
                <w:sz w:val="20"/>
                <w:szCs w:val="20"/>
                <w:lang w:val="da-DK"/>
              </w:rPr>
            </w:pPr>
            <w:r w:rsidRPr="00772D05">
              <w:rPr>
                <w:sz w:val="20"/>
                <w:szCs w:val="20"/>
                <w:lang w:val="da-DK"/>
              </w:rPr>
              <w:t>(0,3)</w:t>
            </w:r>
          </w:p>
        </w:tc>
        <w:tc>
          <w:tcPr>
            <w:tcW w:w="486" w:type="pct"/>
            <w:tcBorders>
              <w:top w:val="single" w:sz="4" w:space="0" w:color="000000"/>
              <w:left w:val="single" w:sz="4" w:space="0" w:color="000000"/>
              <w:bottom w:val="single" w:sz="4" w:space="0" w:color="000000"/>
              <w:right w:val="single" w:sz="4" w:space="0" w:color="000000"/>
            </w:tcBorders>
            <w:hideMark/>
          </w:tcPr>
          <w:p w14:paraId="42A09837" w14:textId="77777777" w:rsidR="004223FE" w:rsidRPr="00772D05" w:rsidRDefault="004223FE">
            <w:pPr>
              <w:pStyle w:val="TableParagraph"/>
              <w:spacing w:line="250" w:lineRule="exact"/>
              <w:ind w:left="0"/>
              <w:jc w:val="center"/>
              <w:rPr>
                <w:sz w:val="20"/>
                <w:szCs w:val="20"/>
                <w:lang w:val="da-DK"/>
              </w:rPr>
            </w:pPr>
            <w:r w:rsidRPr="00772D05">
              <w:rPr>
                <w:sz w:val="20"/>
                <w:szCs w:val="20"/>
                <w:lang w:val="da-DK"/>
              </w:rPr>
              <w:t>-2,0</w:t>
            </w:r>
          </w:p>
          <w:p w14:paraId="25FC4B53" w14:textId="77777777" w:rsidR="004223FE" w:rsidRPr="00772D05" w:rsidRDefault="004223FE">
            <w:pPr>
              <w:pStyle w:val="TableParagraph"/>
              <w:spacing w:before="7" w:line="256" w:lineRule="auto"/>
              <w:ind w:left="0"/>
              <w:jc w:val="center"/>
              <w:rPr>
                <w:sz w:val="20"/>
                <w:szCs w:val="20"/>
                <w:lang w:val="da-DK"/>
              </w:rPr>
            </w:pPr>
            <w:r w:rsidRPr="00772D05">
              <w:rPr>
                <w:sz w:val="20"/>
                <w:szCs w:val="20"/>
                <w:lang w:val="da-DK"/>
              </w:rPr>
              <w:t>(0,3)</w:t>
            </w:r>
          </w:p>
        </w:tc>
        <w:tc>
          <w:tcPr>
            <w:tcW w:w="486" w:type="pct"/>
            <w:tcBorders>
              <w:top w:val="single" w:sz="4" w:space="0" w:color="000000"/>
              <w:left w:val="single" w:sz="4" w:space="0" w:color="000000"/>
              <w:bottom w:val="single" w:sz="4" w:space="0" w:color="000000"/>
              <w:right w:val="single" w:sz="4" w:space="0" w:color="000000"/>
            </w:tcBorders>
            <w:hideMark/>
          </w:tcPr>
          <w:p w14:paraId="5AE284B8" w14:textId="77777777" w:rsidR="004223FE" w:rsidRPr="00772D05" w:rsidRDefault="004223FE">
            <w:pPr>
              <w:pStyle w:val="TableParagraph"/>
              <w:spacing w:line="250" w:lineRule="exact"/>
              <w:ind w:left="176"/>
              <w:jc w:val="center"/>
              <w:rPr>
                <w:sz w:val="20"/>
                <w:szCs w:val="20"/>
                <w:lang w:val="da-DK"/>
              </w:rPr>
            </w:pPr>
            <w:r w:rsidRPr="00772D05">
              <w:rPr>
                <w:sz w:val="20"/>
                <w:szCs w:val="20"/>
                <w:lang w:val="da-DK"/>
              </w:rPr>
              <w:t>-2,5</w:t>
            </w:r>
          </w:p>
          <w:p w14:paraId="3F0A7151" w14:textId="77777777" w:rsidR="004223FE" w:rsidRPr="00772D05" w:rsidRDefault="004223FE">
            <w:pPr>
              <w:pStyle w:val="TableParagraph"/>
              <w:spacing w:before="7" w:line="256" w:lineRule="auto"/>
              <w:ind w:left="176"/>
              <w:jc w:val="center"/>
              <w:rPr>
                <w:sz w:val="20"/>
                <w:szCs w:val="20"/>
                <w:lang w:val="da-DK"/>
              </w:rPr>
            </w:pPr>
            <w:r w:rsidRPr="00772D05">
              <w:rPr>
                <w:sz w:val="20"/>
                <w:szCs w:val="20"/>
                <w:lang w:val="da-DK"/>
              </w:rPr>
              <w:t>(0,3)</w:t>
            </w:r>
          </w:p>
        </w:tc>
        <w:tc>
          <w:tcPr>
            <w:tcW w:w="417" w:type="pct"/>
            <w:tcBorders>
              <w:top w:val="single" w:sz="4" w:space="0" w:color="000000"/>
              <w:left w:val="single" w:sz="4" w:space="0" w:color="000000"/>
              <w:bottom w:val="single" w:sz="4" w:space="0" w:color="000000"/>
              <w:right w:val="single" w:sz="4" w:space="0" w:color="000000"/>
            </w:tcBorders>
            <w:hideMark/>
          </w:tcPr>
          <w:p w14:paraId="0EAA0E8A" w14:textId="77777777" w:rsidR="004223FE" w:rsidRPr="00772D05" w:rsidRDefault="004223FE">
            <w:pPr>
              <w:pStyle w:val="TableParagraph"/>
              <w:spacing w:line="250" w:lineRule="exact"/>
              <w:ind w:left="143" w:hanging="106"/>
              <w:jc w:val="center"/>
              <w:rPr>
                <w:sz w:val="20"/>
                <w:szCs w:val="20"/>
                <w:lang w:val="da-DK"/>
              </w:rPr>
            </w:pPr>
            <w:r w:rsidRPr="00772D05">
              <w:rPr>
                <w:sz w:val="20"/>
                <w:szCs w:val="20"/>
                <w:lang w:val="da-DK"/>
              </w:rPr>
              <w:t>-0,8</w:t>
            </w:r>
          </w:p>
          <w:p w14:paraId="2CFC7D01" w14:textId="77777777" w:rsidR="004223FE" w:rsidRPr="00772D05" w:rsidRDefault="004223FE">
            <w:pPr>
              <w:pStyle w:val="TableParagraph"/>
              <w:spacing w:before="7" w:line="256" w:lineRule="auto"/>
              <w:ind w:left="143" w:hanging="106"/>
              <w:jc w:val="center"/>
              <w:rPr>
                <w:sz w:val="20"/>
                <w:szCs w:val="20"/>
                <w:lang w:val="da-DK"/>
              </w:rPr>
            </w:pPr>
            <w:r w:rsidRPr="00772D05">
              <w:rPr>
                <w:sz w:val="20"/>
                <w:szCs w:val="20"/>
                <w:lang w:val="da-DK"/>
              </w:rPr>
              <w:t>(0,2)</w:t>
            </w:r>
          </w:p>
        </w:tc>
        <w:tc>
          <w:tcPr>
            <w:tcW w:w="625" w:type="pct"/>
            <w:tcBorders>
              <w:top w:val="single" w:sz="4" w:space="0" w:color="000000"/>
              <w:left w:val="single" w:sz="4" w:space="0" w:color="000000"/>
              <w:bottom w:val="single" w:sz="4" w:space="0" w:color="000000"/>
              <w:right w:val="single" w:sz="4" w:space="0" w:color="000000"/>
            </w:tcBorders>
            <w:hideMark/>
          </w:tcPr>
          <w:p w14:paraId="6D546408" w14:textId="77777777" w:rsidR="004223FE" w:rsidRPr="00772D05" w:rsidRDefault="004223FE">
            <w:pPr>
              <w:pStyle w:val="TableParagraph"/>
              <w:spacing w:line="250" w:lineRule="exact"/>
              <w:ind w:left="229"/>
              <w:jc w:val="center"/>
              <w:rPr>
                <w:sz w:val="20"/>
                <w:szCs w:val="20"/>
                <w:lang w:val="da-DK"/>
              </w:rPr>
            </w:pPr>
            <w:r w:rsidRPr="00772D05">
              <w:rPr>
                <w:sz w:val="20"/>
                <w:szCs w:val="20"/>
                <w:lang w:val="da-DK"/>
              </w:rPr>
              <w:t>-1,2</w:t>
            </w:r>
          </w:p>
          <w:p w14:paraId="598E6A7C" w14:textId="77777777" w:rsidR="004223FE" w:rsidRPr="00772D05" w:rsidRDefault="004223FE">
            <w:pPr>
              <w:pStyle w:val="TableParagraph"/>
              <w:spacing w:before="7" w:line="256" w:lineRule="auto"/>
              <w:ind w:left="193"/>
              <w:jc w:val="center"/>
              <w:rPr>
                <w:sz w:val="20"/>
                <w:szCs w:val="20"/>
                <w:lang w:val="da-DK"/>
              </w:rPr>
            </w:pPr>
            <w:r w:rsidRPr="00772D05">
              <w:rPr>
                <w:sz w:val="20"/>
                <w:szCs w:val="20"/>
                <w:lang w:val="da-DK"/>
              </w:rPr>
              <w:t>(0,2)</w:t>
            </w:r>
          </w:p>
        </w:tc>
      </w:tr>
      <w:tr w:rsidR="004223FE" w:rsidRPr="00772D05" w14:paraId="4AB63035"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2D512B7F"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 xml:space="preserve">LS </w:t>
            </w:r>
            <w:proofErr w:type="spellStart"/>
            <w:r w:rsidRPr="00772D05">
              <w:rPr>
                <w:sz w:val="20"/>
                <w:szCs w:val="20"/>
                <w:lang w:val="da-DK"/>
              </w:rPr>
              <w:t>Diff</w:t>
            </w:r>
            <w:proofErr w:type="spellEnd"/>
            <w:r w:rsidRPr="00772D05">
              <w:rPr>
                <w:sz w:val="20"/>
                <w:szCs w:val="20"/>
                <w:lang w:val="da-DK"/>
              </w:rPr>
              <w:t xml:space="preserve"> </w:t>
            </w:r>
            <w:proofErr w:type="spellStart"/>
            <w:r w:rsidRPr="00772D05">
              <w:rPr>
                <w:sz w:val="20"/>
                <w:szCs w:val="20"/>
                <w:lang w:val="da-DK"/>
              </w:rPr>
              <w:t>vs</w:t>
            </w:r>
            <w:proofErr w:type="spellEnd"/>
            <w:r w:rsidRPr="00772D05">
              <w:rPr>
                <w:sz w:val="20"/>
                <w:szCs w:val="20"/>
                <w:lang w:val="da-DK"/>
              </w:rPr>
              <w:t xml:space="preserve"> Placebo</w:t>
            </w:r>
          </w:p>
        </w:tc>
        <w:tc>
          <w:tcPr>
            <w:tcW w:w="486" w:type="pct"/>
            <w:tcBorders>
              <w:top w:val="single" w:sz="4" w:space="0" w:color="000000"/>
              <w:left w:val="single" w:sz="4" w:space="0" w:color="000000"/>
              <w:bottom w:val="single" w:sz="4" w:space="0" w:color="000000"/>
              <w:right w:val="single" w:sz="4" w:space="0" w:color="000000"/>
            </w:tcBorders>
          </w:tcPr>
          <w:p w14:paraId="1DFE7B95"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46D7D1CE" w14:textId="77777777" w:rsidR="004223FE" w:rsidRPr="00772D05" w:rsidRDefault="004223FE">
            <w:pPr>
              <w:pStyle w:val="TableParagraph"/>
              <w:spacing w:line="250" w:lineRule="exact"/>
              <w:ind w:left="56" w:right="56"/>
              <w:jc w:val="center"/>
              <w:rPr>
                <w:sz w:val="20"/>
                <w:szCs w:val="20"/>
                <w:lang w:val="da-DK"/>
              </w:rPr>
            </w:pPr>
            <w:r w:rsidRPr="00772D05">
              <w:rPr>
                <w:sz w:val="20"/>
                <w:szCs w:val="20"/>
                <w:lang w:val="da-DK"/>
              </w:rPr>
              <w:t>-0,7</w:t>
            </w:r>
          </w:p>
        </w:tc>
        <w:tc>
          <w:tcPr>
            <w:tcW w:w="625" w:type="pct"/>
            <w:tcBorders>
              <w:top w:val="single" w:sz="4" w:space="0" w:color="000000"/>
              <w:left w:val="single" w:sz="4" w:space="0" w:color="000000"/>
              <w:bottom w:val="single" w:sz="4" w:space="0" w:color="000000"/>
              <w:right w:val="single" w:sz="4" w:space="0" w:color="000000"/>
            </w:tcBorders>
            <w:hideMark/>
          </w:tcPr>
          <w:p w14:paraId="60989B09"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-1,1</w:t>
            </w:r>
          </w:p>
        </w:tc>
        <w:tc>
          <w:tcPr>
            <w:tcW w:w="417" w:type="pct"/>
            <w:tcBorders>
              <w:top w:val="single" w:sz="4" w:space="0" w:color="000000"/>
              <w:left w:val="single" w:sz="4" w:space="0" w:color="000000"/>
              <w:bottom w:val="single" w:sz="4" w:space="0" w:color="000000"/>
              <w:right w:val="single" w:sz="4" w:space="0" w:color="000000"/>
            </w:tcBorders>
          </w:tcPr>
          <w:p w14:paraId="598081E2"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32039E3C"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-0,6</w:t>
            </w:r>
          </w:p>
        </w:tc>
        <w:tc>
          <w:tcPr>
            <w:tcW w:w="486" w:type="pct"/>
            <w:tcBorders>
              <w:top w:val="single" w:sz="4" w:space="0" w:color="000000"/>
              <w:left w:val="single" w:sz="4" w:space="0" w:color="000000"/>
              <w:bottom w:val="single" w:sz="4" w:space="0" w:color="000000"/>
              <w:right w:val="single" w:sz="4" w:space="0" w:color="000000"/>
            </w:tcBorders>
            <w:hideMark/>
          </w:tcPr>
          <w:p w14:paraId="4FDA2330" w14:textId="77777777" w:rsidR="004223FE" w:rsidRPr="00772D05" w:rsidRDefault="004223FE">
            <w:pPr>
              <w:pStyle w:val="TableParagraph"/>
              <w:spacing w:line="250" w:lineRule="exact"/>
              <w:ind w:left="63" w:right="63"/>
              <w:jc w:val="center"/>
              <w:rPr>
                <w:sz w:val="20"/>
                <w:szCs w:val="20"/>
                <w:lang w:val="da-DK"/>
              </w:rPr>
            </w:pPr>
            <w:r w:rsidRPr="00772D05">
              <w:rPr>
                <w:sz w:val="20"/>
                <w:szCs w:val="20"/>
                <w:lang w:val="da-DK"/>
              </w:rPr>
              <w:t>-1,1</w:t>
            </w:r>
          </w:p>
        </w:tc>
        <w:tc>
          <w:tcPr>
            <w:tcW w:w="417" w:type="pct"/>
            <w:tcBorders>
              <w:top w:val="single" w:sz="4" w:space="0" w:color="000000"/>
              <w:left w:val="single" w:sz="4" w:space="0" w:color="000000"/>
              <w:bottom w:val="single" w:sz="4" w:space="0" w:color="000000"/>
              <w:right w:val="single" w:sz="4" w:space="0" w:color="000000"/>
            </w:tcBorders>
          </w:tcPr>
          <w:p w14:paraId="7E84B589" w14:textId="77777777" w:rsidR="004223FE" w:rsidRPr="00772D05" w:rsidRDefault="004223FE">
            <w:pPr>
              <w:jc w:val="cente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44354573" w14:textId="77777777" w:rsidR="004223FE" w:rsidRPr="00772D05" w:rsidRDefault="004223FE">
            <w:pPr>
              <w:pStyle w:val="TableParagraph"/>
              <w:spacing w:line="250" w:lineRule="exact"/>
              <w:ind w:left="72" w:right="72"/>
              <w:jc w:val="center"/>
              <w:rPr>
                <w:sz w:val="20"/>
                <w:szCs w:val="20"/>
                <w:lang w:val="da-DK"/>
              </w:rPr>
            </w:pPr>
            <w:r w:rsidRPr="00772D05">
              <w:rPr>
                <w:sz w:val="20"/>
                <w:szCs w:val="20"/>
                <w:lang w:val="da-DK"/>
              </w:rPr>
              <w:t>-0,4</w:t>
            </w:r>
          </w:p>
        </w:tc>
      </w:tr>
      <w:tr w:rsidR="004223FE" w:rsidRPr="00772D05" w14:paraId="7029D4EA"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tcPr>
          <w:p w14:paraId="4A643C84" w14:textId="77777777" w:rsidR="004223FE" w:rsidRPr="00772D05" w:rsidRDefault="004223FE" w:rsidP="00772D05">
            <w:pPr>
              <w:pStyle w:val="TableParagraph"/>
              <w:spacing w:before="3" w:line="256" w:lineRule="auto"/>
              <w:ind w:right="132"/>
              <w:rPr>
                <w:sz w:val="20"/>
                <w:szCs w:val="20"/>
                <w:lang w:val="da-DK"/>
              </w:rPr>
            </w:pPr>
          </w:p>
          <w:p w14:paraId="027276F0" w14:textId="77777777" w:rsidR="004223FE" w:rsidRPr="00772D05" w:rsidRDefault="004223FE" w:rsidP="00772D05">
            <w:pPr>
              <w:pStyle w:val="TableParagraph"/>
              <w:spacing w:line="256" w:lineRule="auto"/>
              <w:ind w:right="132"/>
              <w:rPr>
                <w:sz w:val="20"/>
                <w:szCs w:val="20"/>
                <w:lang w:val="da-DK"/>
              </w:rPr>
            </w:pPr>
            <w:r w:rsidRPr="00772D05">
              <w:rPr>
                <w:sz w:val="20"/>
                <w:szCs w:val="20"/>
                <w:lang w:val="da-DK"/>
              </w:rPr>
              <w:t>95% CI</w:t>
            </w:r>
          </w:p>
        </w:tc>
        <w:tc>
          <w:tcPr>
            <w:tcW w:w="486" w:type="pct"/>
            <w:tcBorders>
              <w:top w:val="single" w:sz="4" w:space="0" w:color="000000"/>
              <w:left w:val="single" w:sz="4" w:space="0" w:color="000000"/>
              <w:bottom w:val="single" w:sz="4" w:space="0" w:color="000000"/>
              <w:right w:val="single" w:sz="4" w:space="0" w:color="000000"/>
            </w:tcBorders>
          </w:tcPr>
          <w:p w14:paraId="7C4986A3"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2BBF16ED" w14:textId="77777777" w:rsidR="004223FE" w:rsidRPr="00772D05" w:rsidRDefault="004223FE">
            <w:pPr>
              <w:pStyle w:val="TableParagraph"/>
              <w:spacing w:line="250" w:lineRule="exact"/>
              <w:ind w:left="213"/>
              <w:jc w:val="center"/>
              <w:rPr>
                <w:sz w:val="20"/>
                <w:szCs w:val="20"/>
                <w:lang w:val="da-DK"/>
              </w:rPr>
            </w:pPr>
            <w:r w:rsidRPr="00772D05">
              <w:rPr>
                <w:sz w:val="20"/>
                <w:szCs w:val="20"/>
                <w:lang w:val="da-DK"/>
              </w:rPr>
              <w:t>[-1,3,</w:t>
            </w:r>
          </w:p>
          <w:p w14:paraId="5CDF484E" w14:textId="77777777" w:rsidR="004223FE" w:rsidRPr="00772D05" w:rsidRDefault="004223FE">
            <w:pPr>
              <w:pStyle w:val="TableParagraph"/>
              <w:spacing w:before="7" w:line="256" w:lineRule="auto"/>
              <w:ind w:left="241"/>
              <w:jc w:val="center"/>
              <w:rPr>
                <w:sz w:val="20"/>
                <w:szCs w:val="20"/>
                <w:lang w:val="da-DK"/>
              </w:rPr>
            </w:pPr>
            <w:r w:rsidRPr="00772D05">
              <w:rPr>
                <w:sz w:val="20"/>
                <w:szCs w:val="20"/>
                <w:lang w:val="da-DK"/>
              </w:rPr>
              <w:t>-0,0]</w:t>
            </w:r>
          </w:p>
        </w:tc>
        <w:tc>
          <w:tcPr>
            <w:tcW w:w="625" w:type="pct"/>
            <w:tcBorders>
              <w:top w:val="single" w:sz="4" w:space="0" w:color="000000"/>
              <w:left w:val="single" w:sz="4" w:space="0" w:color="000000"/>
              <w:bottom w:val="single" w:sz="4" w:space="0" w:color="000000"/>
              <w:right w:val="single" w:sz="4" w:space="0" w:color="000000"/>
            </w:tcBorders>
            <w:hideMark/>
          </w:tcPr>
          <w:p w14:paraId="7CE5B9BD" w14:textId="77777777" w:rsidR="004223FE" w:rsidRPr="00772D05" w:rsidRDefault="004223FE">
            <w:pPr>
              <w:pStyle w:val="TableParagraph"/>
              <w:spacing w:line="250" w:lineRule="exact"/>
              <w:ind w:left="175"/>
              <w:jc w:val="center"/>
              <w:rPr>
                <w:sz w:val="20"/>
                <w:szCs w:val="20"/>
                <w:lang w:val="da-DK"/>
              </w:rPr>
            </w:pPr>
            <w:r w:rsidRPr="00772D05">
              <w:rPr>
                <w:sz w:val="20"/>
                <w:szCs w:val="20"/>
                <w:lang w:val="da-DK"/>
              </w:rPr>
              <w:t>[-1,7,</w:t>
            </w:r>
          </w:p>
          <w:p w14:paraId="14138CF6" w14:textId="77777777" w:rsidR="004223FE" w:rsidRPr="00772D05" w:rsidRDefault="004223FE">
            <w:pPr>
              <w:pStyle w:val="TableParagraph"/>
              <w:spacing w:before="7" w:line="256" w:lineRule="auto"/>
              <w:ind w:left="202"/>
              <w:jc w:val="center"/>
              <w:rPr>
                <w:sz w:val="20"/>
                <w:szCs w:val="20"/>
                <w:lang w:val="da-DK"/>
              </w:rPr>
            </w:pPr>
            <w:r w:rsidRPr="00772D05">
              <w:rPr>
                <w:sz w:val="20"/>
                <w:szCs w:val="20"/>
                <w:lang w:val="da-DK"/>
              </w:rPr>
              <w:t>-0,5]</w:t>
            </w:r>
          </w:p>
        </w:tc>
        <w:tc>
          <w:tcPr>
            <w:tcW w:w="417" w:type="pct"/>
            <w:tcBorders>
              <w:top w:val="single" w:sz="4" w:space="0" w:color="000000"/>
              <w:left w:val="single" w:sz="4" w:space="0" w:color="000000"/>
              <w:bottom w:val="single" w:sz="4" w:space="0" w:color="000000"/>
              <w:right w:val="single" w:sz="4" w:space="0" w:color="000000"/>
            </w:tcBorders>
          </w:tcPr>
          <w:p w14:paraId="4D13723D"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7E1262D3" w14:textId="77777777" w:rsidR="004223FE" w:rsidRPr="00772D05" w:rsidRDefault="004223FE">
            <w:pPr>
              <w:pStyle w:val="TableParagraph"/>
              <w:spacing w:line="250" w:lineRule="exact"/>
              <w:ind w:left="130"/>
              <w:jc w:val="center"/>
              <w:rPr>
                <w:sz w:val="20"/>
                <w:szCs w:val="20"/>
                <w:lang w:val="da-DK"/>
              </w:rPr>
            </w:pPr>
            <w:r w:rsidRPr="00772D05">
              <w:rPr>
                <w:sz w:val="20"/>
                <w:szCs w:val="20"/>
                <w:lang w:val="da-DK"/>
              </w:rPr>
              <w:t>[-1,3,</w:t>
            </w:r>
          </w:p>
          <w:p w14:paraId="22664299" w14:textId="77777777" w:rsidR="004223FE" w:rsidRPr="00772D05" w:rsidRDefault="004223FE">
            <w:pPr>
              <w:pStyle w:val="TableParagraph"/>
              <w:spacing w:before="7" w:line="256" w:lineRule="auto"/>
              <w:ind w:left="194"/>
              <w:jc w:val="center"/>
              <w:rPr>
                <w:sz w:val="20"/>
                <w:szCs w:val="20"/>
                <w:lang w:val="da-DK"/>
              </w:rPr>
            </w:pPr>
            <w:r w:rsidRPr="00772D05">
              <w:rPr>
                <w:sz w:val="20"/>
                <w:szCs w:val="20"/>
                <w:lang w:val="da-DK"/>
              </w:rPr>
              <w:t>0,0]</w:t>
            </w:r>
          </w:p>
        </w:tc>
        <w:tc>
          <w:tcPr>
            <w:tcW w:w="486" w:type="pct"/>
            <w:tcBorders>
              <w:top w:val="single" w:sz="4" w:space="0" w:color="000000"/>
              <w:left w:val="single" w:sz="4" w:space="0" w:color="000000"/>
              <w:bottom w:val="single" w:sz="4" w:space="0" w:color="000000"/>
              <w:right w:val="single" w:sz="4" w:space="0" w:color="000000"/>
            </w:tcBorders>
            <w:hideMark/>
          </w:tcPr>
          <w:p w14:paraId="4815AA7E" w14:textId="77777777" w:rsidR="004223FE" w:rsidRPr="00772D05" w:rsidRDefault="004223FE">
            <w:pPr>
              <w:pStyle w:val="TableParagraph"/>
              <w:spacing w:line="250" w:lineRule="exact"/>
              <w:ind w:left="147"/>
              <w:jc w:val="center"/>
              <w:rPr>
                <w:sz w:val="20"/>
                <w:szCs w:val="20"/>
                <w:lang w:val="da-DK"/>
              </w:rPr>
            </w:pPr>
            <w:r w:rsidRPr="00772D05">
              <w:rPr>
                <w:sz w:val="20"/>
                <w:szCs w:val="20"/>
                <w:lang w:val="da-DK"/>
              </w:rPr>
              <w:t>[-1,8,</w:t>
            </w:r>
          </w:p>
          <w:p w14:paraId="023A857C" w14:textId="77777777" w:rsidR="004223FE" w:rsidRPr="00772D05" w:rsidRDefault="004223FE">
            <w:pPr>
              <w:pStyle w:val="TableParagraph"/>
              <w:spacing w:before="7" w:line="256" w:lineRule="auto"/>
              <w:ind w:left="174"/>
              <w:jc w:val="center"/>
              <w:rPr>
                <w:sz w:val="20"/>
                <w:szCs w:val="20"/>
                <w:lang w:val="da-DK"/>
              </w:rPr>
            </w:pPr>
            <w:r w:rsidRPr="00772D05">
              <w:rPr>
                <w:sz w:val="20"/>
                <w:szCs w:val="20"/>
                <w:lang w:val="da-DK"/>
              </w:rPr>
              <w:t>-0,4]</w:t>
            </w:r>
          </w:p>
        </w:tc>
        <w:tc>
          <w:tcPr>
            <w:tcW w:w="417" w:type="pct"/>
            <w:tcBorders>
              <w:top w:val="single" w:sz="4" w:space="0" w:color="000000"/>
              <w:left w:val="single" w:sz="4" w:space="0" w:color="000000"/>
              <w:bottom w:val="single" w:sz="4" w:space="0" w:color="000000"/>
              <w:right w:val="single" w:sz="4" w:space="0" w:color="000000"/>
            </w:tcBorders>
          </w:tcPr>
          <w:p w14:paraId="1A1F9421" w14:textId="77777777" w:rsidR="004223FE" w:rsidRPr="00772D05" w:rsidRDefault="004223FE">
            <w:pPr>
              <w:jc w:val="cente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488284AA" w14:textId="77777777" w:rsidR="004223FE" w:rsidRPr="00772D05" w:rsidRDefault="004223FE">
            <w:pPr>
              <w:pStyle w:val="TableParagraph"/>
              <w:spacing w:line="250" w:lineRule="exact"/>
              <w:ind w:left="165"/>
              <w:jc w:val="center"/>
              <w:rPr>
                <w:sz w:val="20"/>
                <w:szCs w:val="20"/>
                <w:lang w:val="da-DK"/>
              </w:rPr>
            </w:pPr>
            <w:r w:rsidRPr="00772D05">
              <w:rPr>
                <w:sz w:val="20"/>
                <w:szCs w:val="20"/>
                <w:lang w:val="da-DK"/>
              </w:rPr>
              <w:t>[-0,9,</w:t>
            </w:r>
          </w:p>
          <w:p w14:paraId="522853F6" w14:textId="77777777" w:rsidR="004223FE" w:rsidRPr="00772D05" w:rsidRDefault="004223FE">
            <w:pPr>
              <w:pStyle w:val="TableParagraph"/>
              <w:spacing w:before="7" w:line="256" w:lineRule="auto"/>
              <w:ind w:left="229"/>
              <w:jc w:val="center"/>
              <w:rPr>
                <w:sz w:val="20"/>
                <w:szCs w:val="20"/>
                <w:lang w:val="da-DK"/>
              </w:rPr>
            </w:pPr>
            <w:r w:rsidRPr="00772D05">
              <w:rPr>
                <w:sz w:val="20"/>
                <w:szCs w:val="20"/>
                <w:lang w:val="da-DK"/>
              </w:rPr>
              <w:t>0,0]</w:t>
            </w:r>
          </w:p>
        </w:tc>
      </w:tr>
      <w:tr w:rsidR="004223FE" w:rsidRPr="00772D05" w14:paraId="220E6C69"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0FD9F8F7" w14:textId="77777777" w:rsidR="004223FE" w:rsidRPr="00772D05" w:rsidRDefault="004223FE" w:rsidP="00772D05">
            <w:pPr>
              <w:pStyle w:val="TableParagraph"/>
              <w:spacing w:line="250" w:lineRule="exact"/>
              <w:ind w:right="132"/>
              <w:rPr>
                <w:sz w:val="20"/>
                <w:szCs w:val="20"/>
                <w:lang w:val="da-DK"/>
              </w:rPr>
            </w:pPr>
            <w:proofErr w:type="spellStart"/>
            <w:r w:rsidRPr="00772D05">
              <w:rPr>
                <w:sz w:val="20"/>
                <w:szCs w:val="20"/>
                <w:lang w:val="da-DK"/>
              </w:rPr>
              <w:t>p-værdi</w:t>
            </w:r>
            <w:proofErr w:type="spellEnd"/>
          </w:p>
        </w:tc>
        <w:tc>
          <w:tcPr>
            <w:tcW w:w="486" w:type="pct"/>
            <w:tcBorders>
              <w:top w:val="single" w:sz="4" w:space="0" w:color="000000"/>
              <w:left w:val="single" w:sz="4" w:space="0" w:color="000000"/>
              <w:bottom w:val="single" w:sz="4" w:space="0" w:color="000000"/>
              <w:right w:val="single" w:sz="4" w:space="0" w:color="000000"/>
            </w:tcBorders>
          </w:tcPr>
          <w:p w14:paraId="3830DB32"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4555E13C" w14:textId="77777777" w:rsidR="004223FE" w:rsidRPr="00772D05" w:rsidRDefault="004223FE">
            <w:pPr>
              <w:pStyle w:val="TableParagraph"/>
              <w:spacing w:line="250" w:lineRule="exact"/>
              <w:ind w:left="56" w:right="56"/>
              <w:jc w:val="center"/>
              <w:rPr>
                <w:sz w:val="20"/>
                <w:szCs w:val="20"/>
                <w:lang w:val="da-DK"/>
              </w:rPr>
            </w:pPr>
            <w:r w:rsidRPr="00772D05">
              <w:rPr>
                <w:sz w:val="20"/>
                <w:szCs w:val="20"/>
                <w:lang w:val="da-DK"/>
              </w:rPr>
              <w:t>0,0367</w:t>
            </w:r>
          </w:p>
        </w:tc>
        <w:tc>
          <w:tcPr>
            <w:tcW w:w="625" w:type="pct"/>
            <w:tcBorders>
              <w:top w:val="single" w:sz="4" w:space="0" w:color="000000"/>
              <w:left w:val="single" w:sz="4" w:space="0" w:color="000000"/>
              <w:bottom w:val="single" w:sz="4" w:space="0" w:color="000000"/>
              <w:right w:val="single" w:sz="4" w:space="0" w:color="000000"/>
            </w:tcBorders>
            <w:hideMark/>
          </w:tcPr>
          <w:p w14:paraId="0AAE8CFF"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0,0007</w:t>
            </w:r>
          </w:p>
        </w:tc>
        <w:tc>
          <w:tcPr>
            <w:tcW w:w="417" w:type="pct"/>
            <w:tcBorders>
              <w:top w:val="single" w:sz="4" w:space="0" w:color="000000"/>
              <w:left w:val="single" w:sz="4" w:space="0" w:color="000000"/>
              <w:bottom w:val="single" w:sz="4" w:space="0" w:color="000000"/>
              <w:right w:val="single" w:sz="4" w:space="0" w:color="000000"/>
            </w:tcBorders>
          </w:tcPr>
          <w:p w14:paraId="6563D013"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41326702"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0,0676</w:t>
            </w:r>
          </w:p>
        </w:tc>
        <w:tc>
          <w:tcPr>
            <w:tcW w:w="486" w:type="pct"/>
            <w:tcBorders>
              <w:top w:val="single" w:sz="4" w:space="0" w:color="000000"/>
              <w:left w:val="single" w:sz="4" w:space="0" w:color="000000"/>
              <w:bottom w:val="single" w:sz="4" w:space="0" w:color="000000"/>
              <w:right w:val="single" w:sz="4" w:space="0" w:color="000000"/>
            </w:tcBorders>
            <w:hideMark/>
          </w:tcPr>
          <w:p w14:paraId="45A6861A" w14:textId="77777777" w:rsidR="004223FE" w:rsidRPr="00772D05" w:rsidRDefault="004223FE">
            <w:pPr>
              <w:pStyle w:val="TableParagraph"/>
              <w:spacing w:line="250" w:lineRule="exact"/>
              <w:ind w:left="63" w:right="63"/>
              <w:jc w:val="center"/>
              <w:rPr>
                <w:sz w:val="20"/>
                <w:szCs w:val="20"/>
                <w:lang w:val="da-DK"/>
              </w:rPr>
            </w:pPr>
            <w:r w:rsidRPr="00772D05">
              <w:rPr>
                <w:sz w:val="20"/>
                <w:szCs w:val="20"/>
                <w:lang w:val="da-DK"/>
              </w:rPr>
              <w:t>0,0010</w:t>
            </w:r>
          </w:p>
        </w:tc>
        <w:tc>
          <w:tcPr>
            <w:tcW w:w="417" w:type="pct"/>
            <w:tcBorders>
              <w:top w:val="single" w:sz="4" w:space="0" w:color="000000"/>
              <w:left w:val="single" w:sz="4" w:space="0" w:color="000000"/>
              <w:bottom w:val="single" w:sz="4" w:space="0" w:color="000000"/>
              <w:right w:val="single" w:sz="4" w:space="0" w:color="000000"/>
            </w:tcBorders>
          </w:tcPr>
          <w:p w14:paraId="20736D23" w14:textId="77777777" w:rsidR="004223FE" w:rsidRPr="00772D05" w:rsidRDefault="004223FE">
            <w:pPr>
              <w:jc w:val="cente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072E9B74" w14:textId="77777777" w:rsidR="004223FE" w:rsidRPr="00772D05" w:rsidRDefault="004223FE">
            <w:pPr>
              <w:pStyle w:val="TableParagraph"/>
              <w:spacing w:line="250" w:lineRule="exact"/>
              <w:ind w:left="72" w:right="72"/>
              <w:jc w:val="center"/>
              <w:rPr>
                <w:sz w:val="20"/>
                <w:szCs w:val="20"/>
                <w:lang w:val="da-DK"/>
              </w:rPr>
            </w:pPr>
            <w:r w:rsidRPr="00772D05">
              <w:rPr>
                <w:sz w:val="20"/>
                <w:szCs w:val="20"/>
                <w:lang w:val="da-DK"/>
              </w:rPr>
              <w:t>0,0564</w:t>
            </w:r>
          </w:p>
        </w:tc>
      </w:tr>
      <w:tr w:rsidR="004223FE" w:rsidRPr="00772D05" w14:paraId="27E7378F" w14:textId="77777777" w:rsidTr="00772D05">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1E61C59F" w14:textId="77777777" w:rsidR="004223FE" w:rsidRPr="00772D05" w:rsidRDefault="004223FE" w:rsidP="00772D05">
            <w:pPr>
              <w:pStyle w:val="TableParagraph"/>
              <w:spacing w:line="250" w:lineRule="exact"/>
              <w:ind w:right="132"/>
              <w:rPr>
                <w:b/>
                <w:sz w:val="20"/>
                <w:szCs w:val="20"/>
                <w:lang w:val="da-DK"/>
              </w:rPr>
            </w:pPr>
            <w:r w:rsidRPr="00772D05">
              <w:rPr>
                <w:b/>
                <w:sz w:val="20"/>
                <w:szCs w:val="20"/>
                <w:lang w:val="da-DK"/>
              </w:rPr>
              <w:t xml:space="preserve">Respondent-analyse (post-hoc) (e) </w:t>
            </w:r>
            <w:proofErr w:type="gramStart"/>
            <w:r w:rsidRPr="00772D05">
              <w:rPr>
                <w:b/>
                <w:sz w:val="20"/>
                <w:szCs w:val="20"/>
                <w:lang w:val="da-DK"/>
              </w:rPr>
              <w:t>n(</w:t>
            </w:r>
            <w:proofErr w:type="gramEnd"/>
            <w:r w:rsidRPr="00772D05">
              <w:rPr>
                <w:b/>
                <w:sz w:val="20"/>
                <w:szCs w:val="20"/>
                <w:lang w:val="da-DK"/>
              </w:rPr>
              <w:t>%)</w:t>
            </w:r>
          </w:p>
        </w:tc>
      </w:tr>
      <w:tr w:rsidR="004223FE" w:rsidRPr="00772D05" w14:paraId="6719D468"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6C4B37C5"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ON tid</w:t>
            </w:r>
          </w:p>
          <w:p w14:paraId="1CA78411" w14:textId="77777777" w:rsidR="004223FE" w:rsidRPr="00772D05" w:rsidRDefault="004223FE" w:rsidP="00772D05">
            <w:pPr>
              <w:pStyle w:val="TableParagraph"/>
              <w:spacing w:line="250" w:lineRule="exact"/>
              <w:ind w:right="132"/>
              <w:rPr>
                <w:sz w:val="20"/>
                <w:szCs w:val="20"/>
                <w:lang w:val="da-DK"/>
              </w:rPr>
            </w:pPr>
            <w:r w:rsidRPr="00772D05">
              <w:rPr>
                <w:sz w:val="20"/>
                <w:szCs w:val="20"/>
                <w:lang w:val="da-DK"/>
              </w:rPr>
              <w:t>øgning</w:t>
            </w:r>
          </w:p>
          <w:p w14:paraId="5F822B9C" w14:textId="535766CF" w:rsidR="004223FE" w:rsidRPr="00772D05" w:rsidRDefault="004223FE" w:rsidP="00772D05">
            <w:pPr>
              <w:pStyle w:val="TableParagraph"/>
              <w:spacing w:line="250" w:lineRule="exact"/>
              <w:ind w:right="132"/>
              <w:rPr>
                <w:sz w:val="20"/>
                <w:szCs w:val="20"/>
                <w:lang w:val="da-DK"/>
              </w:rPr>
            </w:pPr>
            <w:r w:rsidRPr="00772D05">
              <w:rPr>
                <w:sz w:val="20"/>
                <w:szCs w:val="20"/>
                <w:lang w:val="da-DK"/>
              </w:rPr>
              <w:t xml:space="preserve">≥60 minutter </w:t>
            </w:r>
          </w:p>
        </w:tc>
        <w:tc>
          <w:tcPr>
            <w:tcW w:w="486" w:type="pct"/>
            <w:tcBorders>
              <w:top w:val="single" w:sz="4" w:space="0" w:color="000000"/>
              <w:left w:val="single" w:sz="4" w:space="0" w:color="000000"/>
              <w:bottom w:val="single" w:sz="4" w:space="0" w:color="000000"/>
              <w:right w:val="single" w:sz="4" w:space="0" w:color="000000"/>
            </w:tcBorders>
          </w:tcPr>
          <w:p w14:paraId="1FCFDA43" w14:textId="77777777" w:rsidR="004223FE" w:rsidRPr="00772D05" w:rsidRDefault="004223FE">
            <w:pPr>
              <w:pStyle w:val="TableParagraph"/>
              <w:spacing w:line="250" w:lineRule="exact"/>
              <w:ind w:left="40" w:right="40"/>
              <w:jc w:val="center"/>
              <w:rPr>
                <w:sz w:val="20"/>
                <w:szCs w:val="20"/>
                <w:lang w:val="da-DK"/>
              </w:rPr>
            </w:pPr>
            <w:r w:rsidRPr="00772D05">
              <w:rPr>
                <w:sz w:val="20"/>
                <w:szCs w:val="20"/>
                <w:lang w:val="da-DK"/>
              </w:rPr>
              <w:t>93</w:t>
            </w:r>
          </w:p>
          <w:p w14:paraId="03F506F9" w14:textId="77777777" w:rsidR="004223FE" w:rsidRPr="00772D05" w:rsidRDefault="004223FE">
            <w:pPr>
              <w:pStyle w:val="TableParagraph"/>
              <w:spacing w:before="7" w:line="256" w:lineRule="auto"/>
              <w:ind w:left="40" w:right="40"/>
              <w:jc w:val="center"/>
              <w:rPr>
                <w:sz w:val="20"/>
                <w:szCs w:val="20"/>
                <w:lang w:val="da-DK"/>
              </w:rPr>
            </w:pPr>
            <w:r w:rsidRPr="00772D05">
              <w:rPr>
                <w:sz w:val="20"/>
                <w:szCs w:val="20"/>
                <w:lang w:val="da-DK"/>
              </w:rPr>
              <w:t>(43,9)</w:t>
            </w:r>
          </w:p>
          <w:p w14:paraId="6A192EA2" w14:textId="77777777" w:rsidR="004223FE" w:rsidRPr="00772D05" w:rsidRDefault="004223FE">
            <w:pPr>
              <w:pStyle w:val="TableParagraph"/>
              <w:spacing w:before="7" w:line="256" w:lineRule="auto"/>
              <w:ind w:left="40" w:right="40"/>
              <w:jc w:val="center"/>
              <w:rPr>
                <w:sz w:val="20"/>
                <w:szCs w:val="20"/>
                <w:lang w:val="da-DK"/>
              </w:rPr>
            </w:pPr>
          </w:p>
        </w:tc>
        <w:tc>
          <w:tcPr>
            <w:tcW w:w="486" w:type="pct"/>
            <w:tcBorders>
              <w:top w:val="single" w:sz="4" w:space="0" w:color="000000"/>
              <w:left w:val="single" w:sz="4" w:space="0" w:color="000000"/>
              <w:bottom w:val="single" w:sz="4" w:space="0" w:color="000000"/>
              <w:right w:val="single" w:sz="4" w:space="0" w:color="000000"/>
            </w:tcBorders>
            <w:hideMark/>
          </w:tcPr>
          <w:p w14:paraId="631EF52F" w14:textId="77777777" w:rsidR="004223FE" w:rsidRPr="00772D05" w:rsidRDefault="004223FE">
            <w:pPr>
              <w:pStyle w:val="TableParagraph"/>
              <w:spacing w:line="250" w:lineRule="exact"/>
              <w:ind w:left="56" w:right="56"/>
              <w:jc w:val="center"/>
              <w:rPr>
                <w:sz w:val="20"/>
                <w:szCs w:val="20"/>
                <w:lang w:val="da-DK"/>
              </w:rPr>
            </w:pPr>
            <w:r w:rsidRPr="00772D05">
              <w:rPr>
                <w:sz w:val="20"/>
                <w:szCs w:val="20"/>
                <w:lang w:val="da-DK"/>
              </w:rPr>
              <w:t>119</w:t>
            </w:r>
          </w:p>
          <w:p w14:paraId="35B10157" w14:textId="77777777" w:rsidR="004223FE" w:rsidRPr="00772D05" w:rsidRDefault="004223FE">
            <w:pPr>
              <w:pStyle w:val="TableParagraph"/>
              <w:spacing w:before="7" w:line="256" w:lineRule="auto"/>
              <w:ind w:left="56" w:right="56"/>
              <w:jc w:val="center"/>
              <w:rPr>
                <w:sz w:val="20"/>
                <w:szCs w:val="20"/>
                <w:lang w:val="da-DK"/>
              </w:rPr>
            </w:pPr>
            <w:r w:rsidRPr="00772D05">
              <w:rPr>
                <w:sz w:val="20"/>
                <w:szCs w:val="20"/>
                <w:lang w:val="da-DK"/>
              </w:rPr>
              <w:t>(54,8)</w:t>
            </w:r>
          </w:p>
        </w:tc>
        <w:tc>
          <w:tcPr>
            <w:tcW w:w="625" w:type="pct"/>
            <w:tcBorders>
              <w:top w:val="single" w:sz="4" w:space="0" w:color="000000"/>
              <w:left w:val="single" w:sz="4" w:space="0" w:color="000000"/>
              <w:bottom w:val="single" w:sz="4" w:space="0" w:color="000000"/>
              <w:right w:val="single" w:sz="4" w:space="0" w:color="000000"/>
            </w:tcBorders>
            <w:hideMark/>
          </w:tcPr>
          <w:p w14:paraId="628D2458"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121</w:t>
            </w:r>
          </w:p>
          <w:p w14:paraId="5BB83795" w14:textId="77777777" w:rsidR="004223FE" w:rsidRPr="00772D05" w:rsidRDefault="004223FE">
            <w:pPr>
              <w:pStyle w:val="TableParagraph"/>
              <w:spacing w:before="7" w:line="256" w:lineRule="auto"/>
              <w:ind w:left="83" w:right="83"/>
              <w:jc w:val="center"/>
              <w:rPr>
                <w:sz w:val="20"/>
                <w:szCs w:val="20"/>
                <w:lang w:val="da-DK"/>
              </w:rPr>
            </w:pPr>
            <w:r w:rsidRPr="00772D05">
              <w:rPr>
                <w:sz w:val="20"/>
                <w:szCs w:val="20"/>
                <w:lang w:val="da-DK"/>
              </w:rPr>
              <w:t>(56,0)</w:t>
            </w:r>
          </w:p>
        </w:tc>
        <w:tc>
          <w:tcPr>
            <w:tcW w:w="417" w:type="pct"/>
            <w:tcBorders>
              <w:top w:val="single" w:sz="4" w:space="0" w:color="000000"/>
              <w:left w:val="single" w:sz="4" w:space="0" w:color="000000"/>
              <w:bottom w:val="single" w:sz="4" w:space="0" w:color="000000"/>
              <w:right w:val="single" w:sz="4" w:space="0" w:color="000000"/>
            </w:tcBorders>
            <w:hideMark/>
          </w:tcPr>
          <w:p w14:paraId="45393362" w14:textId="77777777" w:rsidR="004223FE" w:rsidRPr="00772D05" w:rsidRDefault="004223FE">
            <w:pPr>
              <w:pStyle w:val="TableParagraph"/>
              <w:spacing w:line="250" w:lineRule="exact"/>
              <w:ind w:left="32" w:right="32"/>
              <w:jc w:val="center"/>
              <w:rPr>
                <w:sz w:val="20"/>
                <w:szCs w:val="20"/>
                <w:lang w:val="da-DK"/>
              </w:rPr>
            </w:pPr>
            <w:r w:rsidRPr="00772D05">
              <w:rPr>
                <w:sz w:val="20"/>
                <w:szCs w:val="20"/>
                <w:lang w:val="da-DK"/>
              </w:rPr>
              <w:t>100</w:t>
            </w:r>
          </w:p>
          <w:p w14:paraId="3E7511CA" w14:textId="77777777" w:rsidR="004223FE" w:rsidRPr="00772D05" w:rsidRDefault="004223FE">
            <w:pPr>
              <w:pStyle w:val="TableParagraph"/>
              <w:spacing w:before="7" w:line="256" w:lineRule="auto"/>
              <w:ind w:left="32" w:right="32"/>
              <w:jc w:val="center"/>
              <w:rPr>
                <w:sz w:val="20"/>
                <w:szCs w:val="20"/>
                <w:lang w:val="da-DK"/>
              </w:rPr>
            </w:pPr>
            <w:r w:rsidRPr="00772D05">
              <w:rPr>
                <w:sz w:val="20"/>
                <w:szCs w:val="20"/>
                <w:lang w:val="da-DK"/>
              </w:rPr>
              <w:t>(47,2)</w:t>
            </w:r>
          </w:p>
        </w:tc>
        <w:tc>
          <w:tcPr>
            <w:tcW w:w="486" w:type="pct"/>
            <w:tcBorders>
              <w:top w:val="single" w:sz="4" w:space="0" w:color="000000"/>
              <w:left w:val="single" w:sz="4" w:space="0" w:color="000000"/>
              <w:bottom w:val="single" w:sz="4" w:space="0" w:color="000000"/>
              <w:right w:val="single" w:sz="4" w:space="0" w:color="000000"/>
            </w:tcBorders>
            <w:hideMark/>
          </w:tcPr>
          <w:p w14:paraId="2C384E65"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125</w:t>
            </w:r>
          </w:p>
          <w:p w14:paraId="072454A2" w14:textId="77777777" w:rsidR="004223FE" w:rsidRPr="00772D05" w:rsidRDefault="004223FE">
            <w:pPr>
              <w:pStyle w:val="TableParagraph"/>
              <w:spacing w:before="7" w:line="256" w:lineRule="auto"/>
              <w:ind w:left="46" w:right="46"/>
              <w:jc w:val="center"/>
              <w:rPr>
                <w:sz w:val="20"/>
                <w:szCs w:val="20"/>
                <w:lang w:val="da-DK"/>
              </w:rPr>
            </w:pPr>
            <w:r w:rsidRPr="00772D05">
              <w:rPr>
                <w:sz w:val="20"/>
                <w:szCs w:val="20"/>
                <w:lang w:val="da-DK"/>
              </w:rPr>
              <w:t>(57,6)</w:t>
            </w:r>
          </w:p>
        </w:tc>
        <w:tc>
          <w:tcPr>
            <w:tcW w:w="486" w:type="pct"/>
            <w:tcBorders>
              <w:top w:val="single" w:sz="4" w:space="0" w:color="000000"/>
              <w:left w:val="single" w:sz="4" w:space="0" w:color="000000"/>
              <w:bottom w:val="single" w:sz="4" w:space="0" w:color="000000"/>
              <w:right w:val="single" w:sz="4" w:space="0" w:color="000000"/>
            </w:tcBorders>
            <w:hideMark/>
          </w:tcPr>
          <w:p w14:paraId="17CF7976" w14:textId="77777777" w:rsidR="004223FE" w:rsidRPr="00772D05" w:rsidRDefault="004223FE">
            <w:pPr>
              <w:pStyle w:val="TableParagraph"/>
              <w:spacing w:line="250" w:lineRule="exact"/>
              <w:ind w:left="63" w:right="63"/>
              <w:jc w:val="center"/>
              <w:rPr>
                <w:sz w:val="20"/>
                <w:szCs w:val="20"/>
                <w:lang w:val="da-DK"/>
              </w:rPr>
            </w:pPr>
            <w:r w:rsidRPr="00772D05">
              <w:rPr>
                <w:sz w:val="20"/>
                <w:szCs w:val="20"/>
                <w:lang w:val="da-DK"/>
              </w:rPr>
              <w:t>117</w:t>
            </w:r>
          </w:p>
          <w:p w14:paraId="0D735699" w14:textId="77777777" w:rsidR="004223FE" w:rsidRPr="00772D05" w:rsidRDefault="004223FE">
            <w:pPr>
              <w:pStyle w:val="TableParagraph"/>
              <w:spacing w:before="7" w:line="256" w:lineRule="auto"/>
              <w:ind w:left="63" w:right="63"/>
              <w:jc w:val="center"/>
              <w:rPr>
                <w:sz w:val="20"/>
                <w:szCs w:val="20"/>
                <w:lang w:val="da-DK"/>
              </w:rPr>
            </w:pPr>
            <w:r w:rsidRPr="00772D05">
              <w:rPr>
                <w:sz w:val="20"/>
                <w:szCs w:val="20"/>
                <w:lang w:val="da-DK"/>
              </w:rPr>
              <w:t>(54,2)</w:t>
            </w:r>
          </w:p>
        </w:tc>
        <w:tc>
          <w:tcPr>
            <w:tcW w:w="417" w:type="pct"/>
            <w:tcBorders>
              <w:top w:val="single" w:sz="4" w:space="0" w:color="000000"/>
              <w:left w:val="single" w:sz="4" w:space="0" w:color="000000"/>
              <w:bottom w:val="single" w:sz="4" w:space="0" w:color="000000"/>
              <w:right w:val="single" w:sz="4" w:space="0" w:color="000000"/>
            </w:tcBorders>
            <w:hideMark/>
          </w:tcPr>
          <w:p w14:paraId="1CCDDDF0"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116</w:t>
            </w:r>
          </w:p>
          <w:p w14:paraId="20C7F610" w14:textId="77777777" w:rsidR="004223FE" w:rsidRPr="00772D05" w:rsidRDefault="004223FE">
            <w:pPr>
              <w:pStyle w:val="TableParagraph"/>
              <w:spacing w:before="7" w:line="256" w:lineRule="auto"/>
              <w:ind w:left="46" w:right="46"/>
              <w:jc w:val="center"/>
              <w:rPr>
                <w:sz w:val="20"/>
                <w:szCs w:val="20"/>
                <w:lang w:val="da-DK"/>
              </w:rPr>
            </w:pPr>
            <w:r w:rsidRPr="00772D05">
              <w:rPr>
                <w:sz w:val="20"/>
                <w:szCs w:val="20"/>
                <w:lang w:val="da-DK"/>
              </w:rPr>
              <w:t>(42,5)</w:t>
            </w:r>
          </w:p>
        </w:tc>
        <w:tc>
          <w:tcPr>
            <w:tcW w:w="625" w:type="pct"/>
            <w:tcBorders>
              <w:top w:val="single" w:sz="4" w:space="0" w:color="000000"/>
              <w:left w:val="single" w:sz="4" w:space="0" w:color="000000"/>
              <w:bottom w:val="single" w:sz="4" w:space="0" w:color="000000"/>
              <w:right w:val="single" w:sz="4" w:space="0" w:color="000000"/>
            </w:tcBorders>
            <w:hideMark/>
          </w:tcPr>
          <w:p w14:paraId="32378E4B" w14:textId="77777777" w:rsidR="004223FE" w:rsidRPr="00772D05" w:rsidRDefault="004223FE">
            <w:pPr>
              <w:pStyle w:val="TableParagraph"/>
              <w:spacing w:line="250" w:lineRule="exact"/>
              <w:ind w:left="72" w:right="72"/>
              <w:jc w:val="center"/>
              <w:rPr>
                <w:sz w:val="20"/>
                <w:szCs w:val="20"/>
                <w:lang w:val="da-DK"/>
              </w:rPr>
            </w:pPr>
            <w:r w:rsidRPr="00772D05">
              <w:rPr>
                <w:sz w:val="20"/>
                <w:szCs w:val="20"/>
                <w:lang w:val="da-DK"/>
              </w:rPr>
              <w:t>152</w:t>
            </w:r>
          </w:p>
          <w:p w14:paraId="185A9BDB" w14:textId="77777777" w:rsidR="004223FE" w:rsidRPr="00772D05" w:rsidRDefault="004223FE">
            <w:pPr>
              <w:pStyle w:val="TableParagraph"/>
              <w:spacing w:before="7" w:line="256" w:lineRule="auto"/>
              <w:ind w:left="72" w:right="72"/>
              <w:jc w:val="center"/>
              <w:rPr>
                <w:sz w:val="20"/>
                <w:szCs w:val="20"/>
                <w:lang w:val="da-DK"/>
              </w:rPr>
            </w:pPr>
            <w:r w:rsidRPr="00772D05">
              <w:rPr>
                <w:sz w:val="20"/>
                <w:szCs w:val="20"/>
                <w:lang w:val="da-DK"/>
              </w:rPr>
              <w:t>(56,3)</w:t>
            </w:r>
          </w:p>
        </w:tc>
      </w:tr>
      <w:tr w:rsidR="004223FE" w:rsidRPr="00772D05" w14:paraId="311EF473"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64F68E4B" w14:textId="77777777" w:rsidR="004223FE" w:rsidRPr="00772D05" w:rsidRDefault="004223FE" w:rsidP="00772D05">
            <w:pPr>
              <w:pStyle w:val="TableParagraph"/>
              <w:spacing w:line="250" w:lineRule="exact"/>
              <w:ind w:right="132"/>
              <w:rPr>
                <w:sz w:val="20"/>
                <w:szCs w:val="20"/>
                <w:lang w:val="da-DK"/>
              </w:rPr>
            </w:pPr>
            <w:proofErr w:type="spellStart"/>
            <w:r w:rsidRPr="00772D05">
              <w:rPr>
                <w:sz w:val="20"/>
                <w:szCs w:val="20"/>
                <w:lang w:val="da-DK"/>
              </w:rPr>
              <w:t>p-værdi</w:t>
            </w:r>
            <w:proofErr w:type="spellEnd"/>
          </w:p>
        </w:tc>
        <w:tc>
          <w:tcPr>
            <w:tcW w:w="486" w:type="pct"/>
            <w:tcBorders>
              <w:top w:val="single" w:sz="4" w:space="0" w:color="000000"/>
              <w:left w:val="single" w:sz="4" w:space="0" w:color="000000"/>
              <w:bottom w:val="single" w:sz="4" w:space="0" w:color="000000"/>
              <w:right w:val="single" w:sz="4" w:space="0" w:color="000000"/>
            </w:tcBorders>
          </w:tcPr>
          <w:p w14:paraId="61BDBE64"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473DF8CA" w14:textId="77777777" w:rsidR="004223FE" w:rsidRPr="00772D05" w:rsidRDefault="004223FE">
            <w:pPr>
              <w:pStyle w:val="TableParagraph"/>
              <w:spacing w:line="250" w:lineRule="exact"/>
              <w:ind w:left="56" w:right="56"/>
              <w:jc w:val="center"/>
              <w:rPr>
                <w:sz w:val="20"/>
                <w:szCs w:val="20"/>
                <w:lang w:val="da-DK"/>
              </w:rPr>
            </w:pPr>
            <w:r w:rsidRPr="00772D05">
              <w:rPr>
                <w:sz w:val="20"/>
                <w:szCs w:val="20"/>
                <w:lang w:val="da-DK"/>
              </w:rPr>
              <w:t>0,0233</w:t>
            </w:r>
          </w:p>
        </w:tc>
        <w:tc>
          <w:tcPr>
            <w:tcW w:w="625" w:type="pct"/>
            <w:tcBorders>
              <w:top w:val="single" w:sz="4" w:space="0" w:color="000000"/>
              <w:left w:val="single" w:sz="4" w:space="0" w:color="000000"/>
              <w:bottom w:val="single" w:sz="4" w:space="0" w:color="000000"/>
              <w:right w:val="single" w:sz="4" w:space="0" w:color="000000"/>
            </w:tcBorders>
            <w:hideMark/>
          </w:tcPr>
          <w:p w14:paraId="2F7E3DE4"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0,0122</w:t>
            </w:r>
          </w:p>
        </w:tc>
        <w:tc>
          <w:tcPr>
            <w:tcW w:w="417" w:type="pct"/>
            <w:tcBorders>
              <w:top w:val="single" w:sz="4" w:space="0" w:color="000000"/>
              <w:left w:val="single" w:sz="4" w:space="0" w:color="000000"/>
              <w:bottom w:val="single" w:sz="4" w:space="0" w:color="000000"/>
              <w:right w:val="single" w:sz="4" w:space="0" w:color="000000"/>
            </w:tcBorders>
          </w:tcPr>
          <w:p w14:paraId="19192BDF"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75B4CDE5"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0,0308</w:t>
            </w:r>
          </w:p>
        </w:tc>
        <w:tc>
          <w:tcPr>
            <w:tcW w:w="486" w:type="pct"/>
            <w:tcBorders>
              <w:top w:val="single" w:sz="4" w:space="0" w:color="000000"/>
              <w:left w:val="single" w:sz="4" w:space="0" w:color="000000"/>
              <w:bottom w:val="single" w:sz="4" w:space="0" w:color="000000"/>
              <w:right w:val="single" w:sz="4" w:space="0" w:color="000000"/>
            </w:tcBorders>
            <w:hideMark/>
          </w:tcPr>
          <w:p w14:paraId="344BB9C3" w14:textId="77777777" w:rsidR="004223FE" w:rsidRPr="00772D05" w:rsidRDefault="004223FE">
            <w:pPr>
              <w:pStyle w:val="TableParagraph"/>
              <w:spacing w:line="250" w:lineRule="exact"/>
              <w:ind w:left="63" w:right="63"/>
              <w:jc w:val="center"/>
              <w:rPr>
                <w:sz w:val="20"/>
                <w:szCs w:val="20"/>
                <w:lang w:val="da-DK"/>
              </w:rPr>
            </w:pPr>
            <w:r w:rsidRPr="00772D05">
              <w:rPr>
                <w:sz w:val="20"/>
                <w:szCs w:val="20"/>
                <w:lang w:val="da-DK"/>
              </w:rPr>
              <w:t>0,1481</w:t>
            </w:r>
          </w:p>
        </w:tc>
        <w:tc>
          <w:tcPr>
            <w:tcW w:w="417" w:type="pct"/>
            <w:tcBorders>
              <w:top w:val="single" w:sz="4" w:space="0" w:color="000000"/>
              <w:left w:val="single" w:sz="4" w:space="0" w:color="000000"/>
              <w:bottom w:val="single" w:sz="4" w:space="0" w:color="000000"/>
              <w:right w:val="single" w:sz="4" w:space="0" w:color="000000"/>
            </w:tcBorders>
          </w:tcPr>
          <w:p w14:paraId="58223326" w14:textId="77777777" w:rsidR="004223FE" w:rsidRPr="00772D05" w:rsidRDefault="004223FE">
            <w:pP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33111352" w14:textId="77777777" w:rsidR="004223FE" w:rsidRPr="00772D05" w:rsidRDefault="004223FE">
            <w:pPr>
              <w:pStyle w:val="TableParagraph"/>
              <w:spacing w:line="250" w:lineRule="exact"/>
              <w:ind w:left="72" w:right="72"/>
              <w:jc w:val="center"/>
              <w:rPr>
                <w:sz w:val="20"/>
                <w:szCs w:val="20"/>
                <w:lang w:val="da-DK"/>
              </w:rPr>
            </w:pPr>
            <w:r w:rsidRPr="00772D05">
              <w:rPr>
                <w:sz w:val="20"/>
                <w:szCs w:val="20"/>
                <w:lang w:val="da-DK"/>
              </w:rPr>
              <w:t>0,0013</w:t>
            </w:r>
          </w:p>
        </w:tc>
      </w:tr>
      <w:tr w:rsidR="004223FE" w:rsidRPr="00772D05" w14:paraId="768BC4EB"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0B94BA72" w14:textId="5B0FFEF2" w:rsidR="004223FE" w:rsidRPr="00772D05" w:rsidRDefault="004223FE" w:rsidP="00772D05">
            <w:pPr>
              <w:pStyle w:val="TableParagraph"/>
              <w:spacing w:line="244" w:lineRule="auto"/>
              <w:ind w:right="132"/>
              <w:rPr>
                <w:sz w:val="20"/>
                <w:szCs w:val="20"/>
                <w:lang w:val="da-DK"/>
              </w:rPr>
            </w:pPr>
            <w:r w:rsidRPr="00772D05">
              <w:rPr>
                <w:sz w:val="20"/>
                <w:szCs w:val="20"/>
                <w:lang w:val="da-DK"/>
              </w:rPr>
              <w:t>≥60 minutters øgning</w:t>
            </w:r>
          </w:p>
          <w:p w14:paraId="63C152A5" w14:textId="77777777" w:rsidR="004223FE" w:rsidRPr="00772D05" w:rsidRDefault="004223FE" w:rsidP="00772D05">
            <w:pPr>
              <w:pStyle w:val="TableParagraph"/>
              <w:spacing w:line="244" w:lineRule="auto"/>
              <w:ind w:right="132"/>
              <w:rPr>
                <w:sz w:val="20"/>
                <w:szCs w:val="20"/>
                <w:lang w:val="da-DK"/>
              </w:rPr>
            </w:pPr>
            <w:r w:rsidRPr="00772D05">
              <w:rPr>
                <w:sz w:val="20"/>
                <w:szCs w:val="20"/>
                <w:lang w:val="da-DK"/>
              </w:rPr>
              <w:t>ON tid og fald i OFF</w:t>
            </w:r>
          </w:p>
          <w:p w14:paraId="0A8C7CBB" w14:textId="77777777" w:rsidR="004223FE" w:rsidRPr="00772D05" w:rsidRDefault="004223FE" w:rsidP="00772D05">
            <w:pPr>
              <w:pStyle w:val="TableParagraph"/>
              <w:spacing w:line="244" w:lineRule="auto"/>
              <w:ind w:right="132"/>
              <w:rPr>
                <w:sz w:val="20"/>
                <w:szCs w:val="20"/>
                <w:lang w:val="da-DK"/>
              </w:rPr>
            </w:pPr>
            <w:r w:rsidRPr="00772D05">
              <w:rPr>
                <w:sz w:val="20"/>
                <w:szCs w:val="20"/>
                <w:lang w:val="da-DK"/>
              </w:rPr>
              <w:t>tid og ≥30 % forbedring</w:t>
            </w:r>
          </w:p>
          <w:p w14:paraId="4A99BDEB" w14:textId="77777777" w:rsidR="004223FE" w:rsidRPr="00772D05" w:rsidRDefault="004223FE" w:rsidP="00772D05">
            <w:pPr>
              <w:pStyle w:val="TableParagraph"/>
              <w:spacing w:line="244" w:lineRule="auto"/>
              <w:ind w:right="132"/>
              <w:rPr>
                <w:sz w:val="20"/>
                <w:szCs w:val="20"/>
                <w:highlight w:val="green"/>
                <w:lang w:val="da-DK"/>
              </w:rPr>
            </w:pPr>
            <w:r w:rsidRPr="00772D05">
              <w:rPr>
                <w:sz w:val="20"/>
                <w:szCs w:val="20"/>
                <w:lang w:val="da-DK"/>
              </w:rPr>
              <w:t>UPDRS III</w:t>
            </w:r>
          </w:p>
        </w:tc>
        <w:tc>
          <w:tcPr>
            <w:tcW w:w="486" w:type="pct"/>
            <w:tcBorders>
              <w:top w:val="single" w:sz="4" w:space="0" w:color="000000"/>
              <w:left w:val="single" w:sz="4" w:space="0" w:color="000000"/>
              <w:bottom w:val="single" w:sz="4" w:space="0" w:color="000000"/>
              <w:right w:val="single" w:sz="4" w:space="0" w:color="000000"/>
            </w:tcBorders>
          </w:tcPr>
          <w:p w14:paraId="0717ABC1" w14:textId="77777777" w:rsidR="004223FE" w:rsidRPr="00772D05" w:rsidRDefault="004223FE">
            <w:pPr>
              <w:pStyle w:val="TableParagraph"/>
              <w:spacing w:before="7" w:line="256" w:lineRule="auto"/>
              <w:ind w:left="0"/>
              <w:rPr>
                <w:sz w:val="20"/>
                <w:szCs w:val="20"/>
                <w:lang w:val="da-DK"/>
              </w:rPr>
            </w:pPr>
          </w:p>
          <w:p w14:paraId="3224B440" w14:textId="77777777" w:rsidR="004223FE" w:rsidRPr="00772D05" w:rsidRDefault="004223FE">
            <w:pPr>
              <w:pStyle w:val="TableParagraph"/>
              <w:spacing w:line="256" w:lineRule="auto"/>
              <w:ind w:left="40" w:right="40"/>
              <w:jc w:val="center"/>
              <w:rPr>
                <w:sz w:val="20"/>
                <w:szCs w:val="20"/>
                <w:lang w:val="da-DK"/>
              </w:rPr>
            </w:pPr>
            <w:r w:rsidRPr="00772D05">
              <w:rPr>
                <w:sz w:val="20"/>
                <w:szCs w:val="20"/>
                <w:lang w:val="da-DK"/>
              </w:rPr>
              <w:t>32</w:t>
            </w:r>
          </w:p>
          <w:p w14:paraId="4523CA60" w14:textId="77777777" w:rsidR="004223FE" w:rsidRPr="00772D05" w:rsidRDefault="004223FE">
            <w:pPr>
              <w:pStyle w:val="TableParagraph"/>
              <w:spacing w:before="7" w:line="256" w:lineRule="auto"/>
              <w:ind w:left="40" w:right="40"/>
              <w:jc w:val="center"/>
              <w:rPr>
                <w:sz w:val="20"/>
                <w:szCs w:val="20"/>
                <w:lang w:val="da-DK"/>
              </w:rPr>
            </w:pPr>
            <w:r w:rsidRPr="00772D05">
              <w:rPr>
                <w:sz w:val="20"/>
                <w:szCs w:val="20"/>
                <w:lang w:val="da-DK"/>
              </w:rPr>
              <w:t>(15,1)</w:t>
            </w:r>
          </w:p>
        </w:tc>
        <w:tc>
          <w:tcPr>
            <w:tcW w:w="486" w:type="pct"/>
            <w:tcBorders>
              <w:top w:val="single" w:sz="4" w:space="0" w:color="000000"/>
              <w:left w:val="single" w:sz="4" w:space="0" w:color="000000"/>
              <w:bottom w:val="single" w:sz="4" w:space="0" w:color="000000"/>
              <w:right w:val="single" w:sz="4" w:space="0" w:color="000000"/>
            </w:tcBorders>
          </w:tcPr>
          <w:p w14:paraId="09179786" w14:textId="77777777" w:rsidR="004223FE" w:rsidRPr="00772D05" w:rsidRDefault="004223FE">
            <w:pPr>
              <w:pStyle w:val="TableParagraph"/>
              <w:spacing w:before="7" w:line="256" w:lineRule="auto"/>
              <w:ind w:left="0"/>
              <w:rPr>
                <w:sz w:val="20"/>
                <w:szCs w:val="20"/>
                <w:lang w:val="da-DK"/>
              </w:rPr>
            </w:pPr>
          </w:p>
          <w:p w14:paraId="691CB091" w14:textId="77777777" w:rsidR="004223FE" w:rsidRPr="00772D05" w:rsidRDefault="004223FE">
            <w:pPr>
              <w:pStyle w:val="TableParagraph"/>
              <w:spacing w:line="256" w:lineRule="auto"/>
              <w:ind w:left="56" w:right="56"/>
              <w:jc w:val="center"/>
              <w:rPr>
                <w:sz w:val="20"/>
                <w:szCs w:val="20"/>
                <w:lang w:val="da-DK"/>
              </w:rPr>
            </w:pPr>
            <w:r w:rsidRPr="00772D05">
              <w:rPr>
                <w:sz w:val="20"/>
                <w:szCs w:val="20"/>
                <w:lang w:val="da-DK"/>
              </w:rPr>
              <w:t>52</w:t>
            </w:r>
          </w:p>
          <w:p w14:paraId="0CAE900F" w14:textId="77777777" w:rsidR="004223FE" w:rsidRPr="00772D05" w:rsidRDefault="004223FE">
            <w:pPr>
              <w:pStyle w:val="TableParagraph"/>
              <w:spacing w:before="7" w:line="256" w:lineRule="auto"/>
              <w:ind w:left="56" w:right="56"/>
              <w:jc w:val="center"/>
              <w:rPr>
                <w:sz w:val="20"/>
                <w:szCs w:val="20"/>
                <w:lang w:val="da-DK"/>
              </w:rPr>
            </w:pPr>
            <w:r w:rsidRPr="00772D05">
              <w:rPr>
                <w:sz w:val="20"/>
                <w:szCs w:val="20"/>
                <w:lang w:val="da-DK"/>
              </w:rPr>
              <w:t>(24,0)</w:t>
            </w:r>
          </w:p>
        </w:tc>
        <w:tc>
          <w:tcPr>
            <w:tcW w:w="625" w:type="pct"/>
            <w:tcBorders>
              <w:top w:val="single" w:sz="4" w:space="0" w:color="000000"/>
              <w:left w:val="single" w:sz="4" w:space="0" w:color="000000"/>
              <w:bottom w:val="single" w:sz="4" w:space="0" w:color="000000"/>
              <w:right w:val="single" w:sz="4" w:space="0" w:color="000000"/>
            </w:tcBorders>
          </w:tcPr>
          <w:p w14:paraId="1FD939B6" w14:textId="77777777" w:rsidR="004223FE" w:rsidRPr="00772D05" w:rsidRDefault="004223FE">
            <w:pPr>
              <w:pStyle w:val="TableParagraph"/>
              <w:spacing w:before="7" w:line="256" w:lineRule="auto"/>
              <w:ind w:left="0"/>
              <w:rPr>
                <w:sz w:val="20"/>
                <w:szCs w:val="20"/>
                <w:lang w:val="da-DK"/>
              </w:rPr>
            </w:pPr>
          </w:p>
          <w:p w14:paraId="6B87BFAD" w14:textId="77777777" w:rsidR="004223FE" w:rsidRPr="00772D05" w:rsidRDefault="004223FE">
            <w:pPr>
              <w:pStyle w:val="TableParagraph"/>
              <w:spacing w:line="256" w:lineRule="auto"/>
              <w:ind w:left="83" w:right="83"/>
              <w:jc w:val="center"/>
              <w:rPr>
                <w:sz w:val="20"/>
                <w:szCs w:val="20"/>
                <w:lang w:val="da-DK"/>
              </w:rPr>
            </w:pPr>
            <w:r w:rsidRPr="00772D05">
              <w:rPr>
                <w:sz w:val="20"/>
                <w:szCs w:val="20"/>
                <w:lang w:val="da-DK"/>
              </w:rPr>
              <w:t>56</w:t>
            </w:r>
          </w:p>
          <w:p w14:paraId="51D13167" w14:textId="77777777" w:rsidR="004223FE" w:rsidRPr="00772D05" w:rsidRDefault="004223FE">
            <w:pPr>
              <w:pStyle w:val="TableParagraph"/>
              <w:spacing w:before="7" w:line="256" w:lineRule="auto"/>
              <w:ind w:left="83" w:right="83"/>
              <w:jc w:val="center"/>
              <w:rPr>
                <w:sz w:val="20"/>
                <w:szCs w:val="20"/>
                <w:lang w:val="da-DK"/>
              </w:rPr>
            </w:pPr>
            <w:r w:rsidRPr="00772D05">
              <w:rPr>
                <w:sz w:val="20"/>
                <w:szCs w:val="20"/>
                <w:lang w:val="da-DK"/>
              </w:rPr>
              <w:t>(25,9)</w:t>
            </w:r>
          </w:p>
        </w:tc>
        <w:tc>
          <w:tcPr>
            <w:tcW w:w="417" w:type="pct"/>
            <w:tcBorders>
              <w:top w:val="single" w:sz="4" w:space="0" w:color="000000"/>
              <w:left w:val="single" w:sz="4" w:space="0" w:color="000000"/>
              <w:bottom w:val="single" w:sz="4" w:space="0" w:color="000000"/>
              <w:right w:val="single" w:sz="4" w:space="0" w:color="000000"/>
            </w:tcBorders>
          </w:tcPr>
          <w:p w14:paraId="61612970" w14:textId="77777777" w:rsidR="004223FE" w:rsidRPr="00772D05" w:rsidRDefault="004223FE">
            <w:pPr>
              <w:pStyle w:val="TableParagraph"/>
              <w:spacing w:line="256" w:lineRule="auto"/>
              <w:ind w:left="0"/>
              <w:rPr>
                <w:sz w:val="20"/>
                <w:szCs w:val="20"/>
                <w:lang w:val="da-DK"/>
              </w:rPr>
            </w:pPr>
          </w:p>
          <w:p w14:paraId="677F928A" w14:textId="77777777" w:rsidR="004223FE" w:rsidRPr="00772D05" w:rsidRDefault="004223FE">
            <w:pPr>
              <w:pStyle w:val="TableParagraph"/>
              <w:spacing w:line="256" w:lineRule="auto"/>
              <w:ind w:left="32" w:right="32"/>
              <w:jc w:val="center"/>
              <w:rPr>
                <w:sz w:val="20"/>
                <w:szCs w:val="20"/>
                <w:lang w:val="da-DK"/>
              </w:rPr>
            </w:pPr>
            <w:r w:rsidRPr="00772D05">
              <w:rPr>
                <w:sz w:val="20"/>
                <w:szCs w:val="20"/>
                <w:lang w:val="da-DK"/>
              </w:rPr>
              <w:t>28 (13,2)</w:t>
            </w:r>
          </w:p>
        </w:tc>
        <w:tc>
          <w:tcPr>
            <w:tcW w:w="486" w:type="pct"/>
            <w:tcBorders>
              <w:top w:val="single" w:sz="4" w:space="0" w:color="000000"/>
              <w:left w:val="single" w:sz="4" w:space="0" w:color="000000"/>
              <w:bottom w:val="single" w:sz="4" w:space="0" w:color="000000"/>
              <w:right w:val="single" w:sz="4" w:space="0" w:color="000000"/>
            </w:tcBorders>
          </w:tcPr>
          <w:p w14:paraId="2425A4B5" w14:textId="77777777" w:rsidR="004223FE" w:rsidRPr="00772D05" w:rsidRDefault="004223FE">
            <w:pPr>
              <w:pStyle w:val="TableParagraph"/>
              <w:spacing w:before="7" w:line="256" w:lineRule="auto"/>
              <w:ind w:left="0"/>
              <w:rPr>
                <w:sz w:val="20"/>
                <w:szCs w:val="20"/>
                <w:lang w:val="da-DK"/>
              </w:rPr>
            </w:pPr>
          </w:p>
          <w:p w14:paraId="532C6ECC" w14:textId="77777777" w:rsidR="004223FE" w:rsidRPr="00772D05" w:rsidRDefault="004223FE">
            <w:pPr>
              <w:pStyle w:val="TableParagraph"/>
              <w:spacing w:line="256" w:lineRule="auto"/>
              <w:ind w:left="46" w:right="46"/>
              <w:jc w:val="center"/>
              <w:rPr>
                <w:sz w:val="20"/>
                <w:szCs w:val="20"/>
                <w:lang w:val="da-DK"/>
              </w:rPr>
            </w:pPr>
            <w:r w:rsidRPr="00772D05">
              <w:rPr>
                <w:sz w:val="20"/>
                <w:szCs w:val="20"/>
                <w:lang w:val="da-DK"/>
              </w:rPr>
              <w:t>43</w:t>
            </w:r>
          </w:p>
          <w:p w14:paraId="6AA3670B" w14:textId="77777777" w:rsidR="004223FE" w:rsidRPr="00772D05" w:rsidRDefault="004223FE">
            <w:pPr>
              <w:pStyle w:val="TableParagraph"/>
              <w:spacing w:before="7" w:line="256" w:lineRule="auto"/>
              <w:ind w:left="46" w:right="46"/>
              <w:jc w:val="center"/>
              <w:rPr>
                <w:sz w:val="20"/>
                <w:szCs w:val="20"/>
                <w:lang w:val="da-DK"/>
              </w:rPr>
            </w:pPr>
            <w:r w:rsidRPr="00772D05">
              <w:rPr>
                <w:sz w:val="20"/>
                <w:szCs w:val="20"/>
                <w:lang w:val="da-DK"/>
              </w:rPr>
              <w:t>(19,8)</w:t>
            </w:r>
          </w:p>
        </w:tc>
        <w:tc>
          <w:tcPr>
            <w:tcW w:w="486" w:type="pct"/>
            <w:tcBorders>
              <w:top w:val="single" w:sz="4" w:space="0" w:color="000000"/>
              <w:left w:val="single" w:sz="4" w:space="0" w:color="000000"/>
              <w:bottom w:val="single" w:sz="4" w:space="0" w:color="000000"/>
              <w:right w:val="single" w:sz="4" w:space="0" w:color="000000"/>
            </w:tcBorders>
          </w:tcPr>
          <w:p w14:paraId="19B4F028" w14:textId="77777777" w:rsidR="004223FE" w:rsidRPr="00772D05" w:rsidRDefault="004223FE">
            <w:pPr>
              <w:pStyle w:val="TableParagraph"/>
              <w:spacing w:before="7" w:line="256" w:lineRule="auto"/>
              <w:ind w:left="0"/>
              <w:rPr>
                <w:sz w:val="20"/>
                <w:szCs w:val="20"/>
                <w:lang w:val="da-DK"/>
              </w:rPr>
            </w:pPr>
          </w:p>
          <w:p w14:paraId="4D6DFC3B" w14:textId="77777777" w:rsidR="004223FE" w:rsidRPr="00772D05" w:rsidRDefault="004223FE">
            <w:pPr>
              <w:pStyle w:val="TableParagraph"/>
              <w:spacing w:line="256" w:lineRule="auto"/>
              <w:ind w:left="63" w:right="63"/>
              <w:jc w:val="center"/>
              <w:rPr>
                <w:sz w:val="20"/>
                <w:szCs w:val="20"/>
                <w:lang w:val="da-DK"/>
              </w:rPr>
            </w:pPr>
            <w:r w:rsidRPr="00772D05">
              <w:rPr>
                <w:sz w:val="20"/>
                <w:szCs w:val="20"/>
                <w:lang w:val="da-DK"/>
              </w:rPr>
              <w:t>42</w:t>
            </w:r>
          </w:p>
          <w:p w14:paraId="0F724B23" w14:textId="77777777" w:rsidR="004223FE" w:rsidRPr="00772D05" w:rsidRDefault="004223FE">
            <w:pPr>
              <w:pStyle w:val="TableParagraph"/>
              <w:spacing w:before="7" w:line="256" w:lineRule="auto"/>
              <w:ind w:left="63" w:right="63"/>
              <w:jc w:val="center"/>
              <w:rPr>
                <w:sz w:val="20"/>
                <w:szCs w:val="20"/>
                <w:lang w:val="da-DK"/>
              </w:rPr>
            </w:pPr>
            <w:r w:rsidRPr="00772D05">
              <w:rPr>
                <w:sz w:val="20"/>
                <w:szCs w:val="20"/>
                <w:lang w:val="da-DK"/>
              </w:rPr>
              <w:t>(19,4)</w:t>
            </w:r>
          </w:p>
        </w:tc>
        <w:tc>
          <w:tcPr>
            <w:tcW w:w="417" w:type="pct"/>
            <w:tcBorders>
              <w:top w:val="single" w:sz="4" w:space="0" w:color="000000"/>
              <w:left w:val="single" w:sz="4" w:space="0" w:color="000000"/>
              <w:bottom w:val="single" w:sz="4" w:space="0" w:color="000000"/>
              <w:right w:val="single" w:sz="4" w:space="0" w:color="000000"/>
            </w:tcBorders>
          </w:tcPr>
          <w:p w14:paraId="2EB9402D" w14:textId="77777777" w:rsidR="004223FE" w:rsidRPr="00772D05" w:rsidRDefault="004223FE">
            <w:pPr>
              <w:pStyle w:val="TableParagraph"/>
              <w:spacing w:line="256" w:lineRule="auto"/>
              <w:ind w:left="0"/>
              <w:rPr>
                <w:sz w:val="20"/>
                <w:szCs w:val="20"/>
                <w:lang w:val="da-DK"/>
              </w:rPr>
            </w:pPr>
          </w:p>
          <w:p w14:paraId="13DFDC9C" w14:textId="77777777" w:rsidR="004223FE" w:rsidRPr="00772D05" w:rsidRDefault="004223FE">
            <w:pPr>
              <w:pStyle w:val="TableParagraph"/>
              <w:spacing w:line="256" w:lineRule="auto"/>
              <w:ind w:left="46" w:right="46"/>
              <w:jc w:val="center"/>
              <w:rPr>
                <w:sz w:val="20"/>
                <w:szCs w:val="20"/>
                <w:lang w:val="da-DK"/>
              </w:rPr>
            </w:pPr>
            <w:r w:rsidRPr="00772D05">
              <w:rPr>
                <w:sz w:val="20"/>
                <w:szCs w:val="20"/>
                <w:lang w:val="da-DK"/>
              </w:rPr>
              <w:t xml:space="preserve">24 </w:t>
            </w:r>
          </w:p>
          <w:p w14:paraId="0E1F137C" w14:textId="77777777" w:rsidR="004223FE" w:rsidRPr="00772D05" w:rsidRDefault="004223FE">
            <w:pPr>
              <w:pStyle w:val="TableParagraph"/>
              <w:spacing w:line="256" w:lineRule="auto"/>
              <w:ind w:left="46" w:right="46"/>
              <w:jc w:val="center"/>
              <w:rPr>
                <w:sz w:val="20"/>
                <w:szCs w:val="20"/>
                <w:lang w:val="da-DK"/>
              </w:rPr>
            </w:pPr>
            <w:r w:rsidRPr="00772D05">
              <w:rPr>
                <w:sz w:val="20"/>
                <w:szCs w:val="20"/>
                <w:lang w:val="da-DK"/>
              </w:rPr>
              <w:t>(8,8)</w:t>
            </w:r>
          </w:p>
        </w:tc>
        <w:tc>
          <w:tcPr>
            <w:tcW w:w="625" w:type="pct"/>
            <w:tcBorders>
              <w:top w:val="single" w:sz="4" w:space="0" w:color="000000"/>
              <w:left w:val="single" w:sz="4" w:space="0" w:color="000000"/>
              <w:bottom w:val="single" w:sz="4" w:space="0" w:color="000000"/>
              <w:right w:val="single" w:sz="4" w:space="0" w:color="000000"/>
            </w:tcBorders>
          </w:tcPr>
          <w:p w14:paraId="593B221C" w14:textId="77777777" w:rsidR="004223FE" w:rsidRPr="00772D05" w:rsidRDefault="004223FE">
            <w:pPr>
              <w:pStyle w:val="TableParagraph"/>
              <w:spacing w:before="7" w:line="256" w:lineRule="auto"/>
              <w:ind w:left="0"/>
              <w:rPr>
                <w:sz w:val="20"/>
                <w:szCs w:val="20"/>
                <w:lang w:val="da-DK"/>
              </w:rPr>
            </w:pPr>
          </w:p>
          <w:p w14:paraId="4C987080" w14:textId="77777777" w:rsidR="004223FE" w:rsidRPr="00772D05" w:rsidRDefault="004223FE">
            <w:pPr>
              <w:pStyle w:val="TableParagraph"/>
              <w:spacing w:line="256" w:lineRule="auto"/>
              <w:ind w:left="72" w:right="72"/>
              <w:jc w:val="center"/>
              <w:rPr>
                <w:sz w:val="20"/>
                <w:szCs w:val="20"/>
                <w:lang w:val="da-DK"/>
              </w:rPr>
            </w:pPr>
            <w:r w:rsidRPr="00772D05">
              <w:rPr>
                <w:sz w:val="20"/>
                <w:szCs w:val="20"/>
                <w:lang w:val="da-DK"/>
              </w:rPr>
              <w:t>49</w:t>
            </w:r>
          </w:p>
          <w:p w14:paraId="0F20C0A9" w14:textId="77777777" w:rsidR="004223FE" w:rsidRPr="00772D05" w:rsidRDefault="004223FE">
            <w:pPr>
              <w:pStyle w:val="TableParagraph"/>
              <w:spacing w:before="7" w:line="256" w:lineRule="auto"/>
              <w:ind w:left="72" w:right="72"/>
              <w:jc w:val="center"/>
              <w:rPr>
                <w:sz w:val="20"/>
                <w:szCs w:val="20"/>
                <w:lang w:val="da-DK"/>
              </w:rPr>
            </w:pPr>
            <w:r w:rsidRPr="00772D05">
              <w:rPr>
                <w:sz w:val="20"/>
                <w:szCs w:val="20"/>
                <w:lang w:val="da-DK"/>
              </w:rPr>
              <w:t>(18,1)</w:t>
            </w:r>
          </w:p>
        </w:tc>
      </w:tr>
      <w:tr w:rsidR="004223FE" w:rsidRPr="00772D05" w14:paraId="76FE2C10"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6B0E6E0B" w14:textId="77777777" w:rsidR="004223FE" w:rsidRPr="00772D05" w:rsidRDefault="004223FE" w:rsidP="00772D05">
            <w:pPr>
              <w:pStyle w:val="TableParagraph"/>
              <w:spacing w:line="250" w:lineRule="exact"/>
              <w:ind w:right="132"/>
              <w:rPr>
                <w:sz w:val="20"/>
                <w:szCs w:val="20"/>
                <w:highlight w:val="green"/>
                <w:lang w:val="da-DK"/>
              </w:rPr>
            </w:pPr>
            <w:proofErr w:type="spellStart"/>
            <w:r w:rsidRPr="00772D05">
              <w:rPr>
                <w:sz w:val="20"/>
                <w:szCs w:val="20"/>
                <w:lang w:val="da-DK"/>
              </w:rPr>
              <w:t>p-værdi</w:t>
            </w:r>
            <w:proofErr w:type="spellEnd"/>
          </w:p>
        </w:tc>
        <w:tc>
          <w:tcPr>
            <w:tcW w:w="486" w:type="pct"/>
            <w:tcBorders>
              <w:top w:val="single" w:sz="4" w:space="0" w:color="000000"/>
              <w:left w:val="single" w:sz="4" w:space="0" w:color="000000"/>
              <w:bottom w:val="single" w:sz="4" w:space="0" w:color="000000"/>
              <w:right w:val="single" w:sz="4" w:space="0" w:color="000000"/>
            </w:tcBorders>
          </w:tcPr>
          <w:p w14:paraId="23A093CF"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625330C2" w14:textId="77777777" w:rsidR="004223FE" w:rsidRPr="00772D05" w:rsidRDefault="004223FE">
            <w:pPr>
              <w:pStyle w:val="TableParagraph"/>
              <w:spacing w:line="250" w:lineRule="exact"/>
              <w:ind w:left="56" w:right="56"/>
              <w:jc w:val="center"/>
              <w:rPr>
                <w:sz w:val="20"/>
                <w:szCs w:val="20"/>
                <w:lang w:val="da-DK"/>
              </w:rPr>
            </w:pPr>
            <w:r w:rsidRPr="00772D05">
              <w:rPr>
                <w:sz w:val="20"/>
                <w:szCs w:val="20"/>
                <w:lang w:val="da-DK"/>
              </w:rPr>
              <w:t>0,0216</w:t>
            </w:r>
          </w:p>
        </w:tc>
        <w:tc>
          <w:tcPr>
            <w:tcW w:w="625" w:type="pct"/>
            <w:tcBorders>
              <w:top w:val="single" w:sz="4" w:space="0" w:color="000000"/>
              <w:left w:val="single" w:sz="4" w:space="0" w:color="000000"/>
              <w:bottom w:val="single" w:sz="4" w:space="0" w:color="000000"/>
              <w:right w:val="single" w:sz="4" w:space="0" w:color="000000"/>
            </w:tcBorders>
            <w:hideMark/>
          </w:tcPr>
          <w:p w14:paraId="2C826409" w14:textId="77777777" w:rsidR="004223FE" w:rsidRPr="00772D05" w:rsidRDefault="004223FE">
            <w:pPr>
              <w:pStyle w:val="TableParagraph"/>
              <w:spacing w:line="250" w:lineRule="exact"/>
              <w:ind w:left="83" w:right="83"/>
              <w:jc w:val="center"/>
              <w:rPr>
                <w:sz w:val="20"/>
                <w:szCs w:val="20"/>
                <w:lang w:val="da-DK"/>
              </w:rPr>
            </w:pPr>
            <w:r w:rsidRPr="00772D05">
              <w:rPr>
                <w:sz w:val="20"/>
                <w:szCs w:val="20"/>
                <w:lang w:val="da-DK"/>
              </w:rPr>
              <w:t>0,0061</w:t>
            </w:r>
          </w:p>
        </w:tc>
        <w:tc>
          <w:tcPr>
            <w:tcW w:w="417" w:type="pct"/>
            <w:tcBorders>
              <w:top w:val="single" w:sz="4" w:space="0" w:color="000000"/>
              <w:left w:val="single" w:sz="4" w:space="0" w:color="000000"/>
              <w:bottom w:val="single" w:sz="4" w:space="0" w:color="000000"/>
              <w:right w:val="single" w:sz="4" w:space="0" w:color="000000"/>
            </w:tcBorders>
          </w:tcPr>
          <w:p w14:paraId="214473C7" w14:textId="77777777" w:rsidR="004223FE" w:rsidRPr="00772D05" w:rsidRDefault="004223FE">
            <w:pPr>
              <w:jc w:val="cente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5A1A7035" w14:textId="77777777" w:rsidR="004223FE" w:rsidRPr="00772D05" w:rsidRDefault="004223FE">
            <w:pPr>
              <w:pStyle w:val="TableParagraph"/>
              <w:spacing w:line="250" w:lineRule="exact"/>
              <w:ind w:left="46" w:right="46"/>
              <w:jc w:val="center"/>
              <w:rPr>
                <w:sz w:val="20"/>
                <w:szCs w:val="20"/>
                <w:lang w:val="da-DK"/>
              </w:rPr>
            </w:pPr>
            <w:r w:rsidRPr="00772D05">
              <w:rPr>
                <w:sz w:val="20"/>
                <w:szCs w:val="20"/>
                <w:lang w:val="da-DK"/>
              </w:rPr>
              <w:t>0,0671</w:t>
            </w:r>
          </w:p>
        </w:tc>
        <w:tc>
          <w:tcPr>
            <w:tcW w:w="486" w:type="pct"/>
            <w:tcBorders>
              <w:top w:val="single" w:sz="4" w:space="0" w:color="000000"/>
              <w:left w:val="single" w:sz="4" w:space="0" w:color="000000"/>
              <w:bottom w:val="single" w:sz="4" w:space="0" w:color="000000"/>
              <w:right w:val="single" w:sz="4" w:space="0" w:color="000000"/>
            </w:tcBorders>
            <w:hideMark/>
          </w:tcPr>
          <w:p w14:paraId="434F9611" w14:textId="77777777" w:rsidR="004223FE" w:rsidRPr="00772D05" w:rsidRDefault="004223FE">
            <w:pPr>
              <w:pStyle w:val="TableParagraph"/>
              <w:spacing w:line="250" w:lineRule="exact"/>
              <w:ind w:left="63" w:right="63"/>
              <w:jc w:val="center"/>
              <w:rPr>
                <w:sz w:val="20"/>
                <w:szCs w:val="20"/>
                <w:lang w:val="da-DK"/>
              </w:rPr>
            </w:pPr>
            <w:r w:rsidRPr="00772D05">
              <w:rPr>
                <w:sz w:val="20"/>
                <w:szCs w:val="20"/>
                <w:lang w:val="da-DK"/>
              </w:rPr>
              <w:t>0,0827</w:t>
            </w:r>
          </w:p>
        </w:tc>
        <w:tc>
          <w:tcPr>
            <w:tcW w:w="417" w:type="pct"/>
            <w:tcBorders>
              <w:top w:val="single" w:sz="4" w:space="0" w:color="000000"/>
              <w:left w:val="single" w:sz="4" w:space="0" w:color="000000"/>
              <w:bottom w:val="single" w:sz="4" w:space="0" w:color="000000"/>
              <w:right w:val="single" w:sz="4" w:space="0" w:color="000000"/>
            </w:tcBorders>
          </w:tcPr>
          <w:p w14:paraId="5F3CEAD5" w14:textId="77777777" w:rsidR="004223FE" w:rsidRPr="00772D05" w:rsidRDefault="004223FE">
            <w:pPr>
              <w:jc w:val="cente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3F09D35B" w14:textId="77777777" w:rsidR="004223FE" w:rsidRPr="00772D05" w:rsidRDefault="004223FE">
            <w:pPr>
              <w:pStyle w:val="TableParagraph"/>
              <w:spacing w:line="250" w:lineRule="exact"/>
              <w:ind w:left="101"/>
              <w:jc w:val="center"/>
              <w:rPr>
                <w:sz w:val="20"/>
                <w:szCs w:val="20"/>
                <w:lang w:val="da-DK"/>
              </w:rPr>
            </w:pPr>
            <w:r w:rsidRPr="00772D05">
              <w:rPr>
                <w:sz w:val="20"/>
                <w:szCs w:val="20"/>
                <w:lang w:val="da-DK"/>
              </w:rPr>
              <w:t>0,0017</w:t>
            </w:r>
          </w:p>
        </w:tc>
      </w:tr>
      <w:tr w:rsidR="004223FE" w:rsidRPr="00772D05" w14:paraId="2E694D35"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hideMark/>
          </w:tcPr>
          <w:p w14:paraId="0FED5222" w14:textId="77777777" w:rsidR="004223FE" w:rsidRPr="00772D05" w:rsidRDefault="004223FE" w:rsidP="00772D05">
            <w:pPr>
              <w:pStyle w:val="TableParagraph"/>
              <w:spacing w:line="244" w:lineRule="auto"/>
              <w:ind w:right="132"/>
              <w:rPr>
                <w:sz w:val="20"/>
                <w:szCs w:val="20"/>
                <w:lang w:val="da-DK"/>
              </w:rPr>
            </w:pPr>
            <w:r w:rsidRPr="00772D05">
              <w:rPr>
                <w:sz w:val="20"/>
                <w:szCs w:val="20"/>
                <w:lang w:val="da-DK"/>
              </w:rPr>
              <w:t>CGI-C: patienter der</w:t>
            </w:r>
          </w:p>
          <w:p w14:paraId="1E74A09F" w14:textId="77777777" w:rsidR="004223FE" w:rsidRPr="00772D05" w:rsidRDefault="004223FE" w:rsidP="00772D05">
            <w:pPr>
              <w:pStyle w:val="TableParagraph"/>
              <w:spacing w:line="244" w:lineRule="auto"/>
              <w:ind w:right="132"/>
              <w:rPr>
                <w:sz w:val="20"/>
                <w:szCs w:val="20"/>
                <w:lang w:val="da-DK"/>
              </w:rPr>
            </w:pPr>
            <w:r w:rsidRPr="00772D05">
              <w:rPr>
                <w:sz w:val="20"/>
                <w:szCs w:val="20"/>
                <w:lang w:val="da-DK"/>
              </w:rPr>
              <w:t>viser stor/meget</w:t>
            </w:r>
          </w:p>
          <w:p w14:paraId="7B42A510" w14:textId="77777777" w:rsidR="004223FE" w:rsidRPr="00772D05" w:rsidRDefault="004223FE" w:rsidP="00772D05">
            <w:pPr>
              <w:pStyle w:val="TableParagraph"/>
              <w:spacing w:line="244" w:lineRule="auto"/>
              <w:ind w:right="132"/>
              <w:rPr>
                <w:sz w:val="20"/>
                <w:szCs w:val="20"/>
                <w:highlight w:val="green"/>
                <w:lang w:val="da-DK"/>
              </w:rPr>
            </w:pPr>
            <w:r w:rsidRPr="00772D05">
              <w:rPr>
                <w:sz w:val="20"/>
                <w:szCs w:val="20"/>
                <w:lang w:val="da-DK"/>
              </w:rPr>
              <w:t>stor forbedring</w:t>
            </w:r>
          </w:p>
        </w:tc>
        <w:tc>
          <w:tcPr>
            <w:tcW w:w="486" w:type="pct"/>
            <w:tcBorders>
              <w:top w:val="single" w:sz="4" w:space="0" w:color="000000"/>
              <w:left w:val="single" w:sz="4" w:space="0" w:color="000000"/>
              <w:bottom w:val="single" w:sz="4" w:space="0" w:color="000000"/>
              <w:right w:val="single" w:sz="4" w:space="0" w:color="000000"/>
            </w:tcBorders>
            <w:hideMark/>
          </w:tcPr>
          <w:p w14:paraId="46C34495" w14:textId="77777777" w:rsidR="004223FE" w:rsidRPr="00772D05" w:rsidRDefault="004223FE">
            <w:pPr>
              <w:pStyle w:val="TableParagraph"/>
              <w:spacing w:before="126" w:line="256" w:lineRule="auto"/>
              <w:ind w:left="40" w:right="40"/>
              <w:jc w:val="center"/>
              <w:rPr>
                <w:sz w:val="20"/>
                <w:szCs w:val="20"/>
                <w:lang w:val="da-DK"/>
              </w:rPr>
            </w:pPr>
            <w:r w:rsidRPr="00772D05">
              <w:rPr>
                <w:sz w:val="20"/>
                <w:szCs w:val="20"/>
                <w:lang w:val="da-DK"/>
              </w:rPr>
              <w:t>42</w:t>
            </w:r>
          </w:p>
          <w:p w14:paraId="4C2AE603" w14:textId="77777777" w:rsidR="004223FE" w:rsidRPr="00772D05" w:rsidRDefault="004223FE">
            <w:pPr>
              <w:pStyle w:val="TableParagraph"/>
              <w:spacing w:before="6" w:line="256" w:lineRule="auto"/>
              <w:ind w:left="40" w:right="40"/>
              <w:jc w:val="center"/>
              <w:rPr>
                <w:sz w:val="20"/>
                <w:szCs w:val="20"/>
                <w:lang w:val="da-DK"/>
              </w:rPr>
            </w:pPr>
            <w:r w:rsidRPr="00772D05">
              <w:rPr>
                <w:sz w:val="20"/>
                <w:szCs w:val="20"/>
                <w:lang w:val="da-DK"/>
              </w:rPr>
              <w:t>(19,8)</w:t>
            </w:r>
          </w:p>
        </w:tc>
        <w:tc>
          <w:tcPr>
            <w:tcW w:w="486" w:type="pct"/>
            <w:tcBorders>
              <w:top w:val="single" w:sz="4" w:space="0" w:color="000000"/>
              <w:left w:val="single" w:sz="4" w:space="0" w:color="000000"/>
              <w:bottom w:val="single" w:sz="4" w:space="0" w:color="000000"/>
              <w:right w:val="single" w:sz="4" w:space="0" w:color="000000"/>
            </w:tcBorders>
            <w:hideMark/>
          </w:tcPr>
          <w:p w14:paraId="24C6F1C9" w14:textId="77777777" w:rsidR="004223FE" w:rsidRPr="00772D05" w:rsidRDefault="004223FE">
            <w:pPr>
              <w:pStyle w:val="TableParagraph"/>
              <w:spacing w:before="126" w:line="256" w:lineRule="auto"/>
              <w:ind w:left="40" w:right="40"/>
              <w:jc w:val="center"/>
              <w:rPr>
                <w:sz w:val="20"/>
                <w:szCs w:val="20"/>
                <w:lang w:val="da-DK"/>
              </w:rPr>
            </w:pPr>
            <w:r w:rsidRPr="00772D05">
              <w:rPr>
                <w:sz w:val="20"/>
                <w:szCs w:val="20"/>
                <w:lang w:val="da-DK"/>
              </w:rPr>
              <w:t>72</w:t>
            </w:r>
          </w:p>
          <w:p w14:paraId="7F3666AF" w14:textId="77777777" w:rsidR="004223FE" w:rsidRPr="00772D05" w:rsidRDefault="004223FE">
            <w:pPr>
              <w:pStyle w:val="TableParagraph"/>
              <w:spacing w:before="6" w:line="256" w:lineRule="auto"/>
              <w:ind w:left="40" w:right="40"/>
              <w:jc w:val="center"/>
              <w:rPr>
                <w:sz w:val="20"/>
                <w:szCs w:val="20"/>
                <w:lang w:val="da-DK"/>
              </w:rPr>
            </w:pPr>
            <w:r w:rsidRPr="00772D05">
              <w:rPr>
                <w:sz w:val="20"/>
                <w:szCs w:val="20"/>
                <w:lang w:val="da-DK"/>
              </w:rPr>
              <w:t>(33,2)</w:t>
            </w:r>
          </w:p>
        </w:tc>
        <w:tc>
          <w:tcPr>
            <w:tcW w:w="625" w:type="pct"/>
            <w:tcBorders>
              <w:top w:val="single" w:sz="4" w:space="0" w:color="000000"/>
              <w:left w:val="single" w:sz="4" w:space="0" w:color="000000"/>
              <w:bottom w:val="single" w:sz="4" w:space="0" w:color="000000"/>
              <w:right w:val="single" w:sz="4" w:space="0" w:color="000000"/>
            </w:tcBorders>
            <w:hideMark/>
          </w:tcPr>
          <w:p w14:paraId="650E5064" w14:textId="77777777" w:rsidR="004223FE" w:rsidRPr="00772D05" w:rsidRDefault="004223FE">
            <w:pPr>
              <w:pStyle w:val="TableParagraph"/>
              <w:spacing w:before="126" w:line="256" w:lineRule="auto"/>
              <w:ind w:left="40" w:right="40"/>
              <w:jc w:val="center"/>
              <w:rPr>
                <w:sz w:val="20"/>
                <w:szCs w:val="20"/>
                <w:lang w:val="da-DK"/>
              </w:rPr>
            </w:pPr>
            <w:r w:rsidRPr="00772D05">
              <w:rPr>
                <w:sz w:val="20"/>
                <w:szCs w:val="20"/>
                <w:lang w:val="da-DK"/>
              </w:rPr>
              <w:t>78</w:t>
            </w:r>
          </w:p>
          <w:p w14:paraId="712F003D" w14:textId="77777777" w:rsidR="004223FE" w:rsidRPr="00772D05" w:rsidRDefault="004223FE">
            <w:pPr>
              <w:pStyle w:val="TableParagraph"/>
              <w:spacing w:before="6" w:line="256" w:lineRule="auto"/>
              <w:ind w:left="40" w:right="40"/>
              <w:jc w:val="center"/>
              <w:rPr>
                <w:sz w:val="20"/>
                <w:szCs w:val="20"/>
                <w:lang w:val="da-DK"/>
              </w:rPr>
            </w:pPr>
            <w:r w:rsidRPr="00772D05">
              <w:rPr>
                <w:sz w:val="20"/>
                <w:szCs w:val="20"/>
                <w:lang w:val="da-DK"/>
              </w:rPr>
              <w:t>(36,1)</w:t>
            </w:r>
          </w:p>
        </w:tc>
        <w:tc>
          <w:tcPr>
            <w:tcW w:w="417" w:type="pct"/>
            <w:tcBorders>
              <w:top w:val="single" w:sz="4" w:space="0" w:color="000000"/>
              <w:left w:val="single" w:sz="4" w:space="0" w:color="000000"/>
              <w:bottom w:val="single" w:sz="4" w:space="0" w:color="000000"/>
              <w:right w:val="single" w:sz="4" w:space="0" w:color="000000"/>
            </w:tcBorders>
            <w:hideMark/>
          </w:tcPr>
          <w:p w14:paraId="3329244A" w14:textId="77777777" w:rsidR="004223FE" w:rsidRPr="00772D05" w:rsidRDefault="004223FE">
            <w:pPr>
              <w:pStyle w:val="TableParagraph"/>
              <w:spacing w:line="256" w:lineRule="auto"/>
              <w:ind w:left="40" w:right="40"/>
              <w:jc w:val="center"/>
              <w:rPr>
                <w:sz w:val="20"/>
                <w:szCs w:val="20"/>
                <w:lang w:val="da-DK"/>
              </w:rPr>
            </w:pPr>
            <w:r w:rsidRPr="00772D05">
              <w:rPr>
                <w:sz w:val="20"/>
                <w:szCs w:val="20"/>
                <w:lang w:val="da-DK"/>
              </w:rPr>
              <w:t>46 (21,7)</w:t>
            </w:r>
          </w:p>
        </w:tc>
        <w:tc>
          <w:tcPr>
            <w:tcW w:w="486" w:type="pct"/>
            <w:tcBorders>
              <w:top w:val="single" w:sz="4" w:space="0" w:color="000000"/>
              <w:left w:val="single" w:sz="4" w:space="0" w:color="000000"/>
              <w:bottom w:val="single" w:sz="4" w:space="0" w:color="000000"/>
              <w:right w:val="single" w:sz="4" w:space="0" w:color="000000"/>
            </w:tcBorders>
            <w:hideMark/>
          </w:tcPr>
          <w:p w14:paraId="4C61F5BC" w14:textId="77777777" w:rsidR="004223FE" w:rsidRPr="00772D05" w:rsidRDefault="004223FE">
            <w:pPr>
              <w:pStyle w:val="TableParagraph"/>
              <w:spacing w:before="126" w:line="256" w:lineRule="auto"/>
              <w:ind w:left="40" w:right="40"/>
              <w:jc w:val="center"/>
              <w:rPr>
                <w:sz w:val="20"/>
                <w:szCs w:val="20"/>
                <w:lang w:val="da-DK"/>
              </w:rPr>
            </w:pPr>
            <w:r w:rsidRPr="00772D05">
              <w:rPr>
                <w:sz w:val="20"/>
                <w:szCs w:val="20"/>
                <w:lang w:val="da-DK"/>
              </w:rPr>
              <w:t>62</w:t>
            </w:r>
          </w:p>
          <w:p w14:paraId="651D18BE" w14:textId="77777777" w:rsidR="004223FE" w:rsidRPr="00772D05" w:rsidRDefault="004223FE">
            <w:pPr>
              <w:pStyle w:val="TableParagraph"/>
              <w:spacing w:before="6" w:line="256" w:lineRule="auto"/>
              <w:ind w:left="40" w:right="40"/>
              <w:jc w:val="center"/>
              <w:rPr>
                <w:sz w:val="20"/>
                <w:szCs w:val="20"/>
                <w:lang w:val="da-DK"/>
              </w:rPr>
            </w:pPr>
            <w:r w:rsidRPr="00772D05">
              <w:rPr>
                <w:sz w:val="20"/>
                <w:szCs w:val="20"/>
                <w:lang w:val="da-DK"/>
              </w:rPr>
              <w:t>(28,6)</w:t>
            </w:r>
          </w:p>
        </w:tc>
        <w:tc>
          <w:tcPr>
            <w:tcW w:w="486" w:type="pct"/>
            <w:tcBorders>
              <w:top w:val="single" w:sz="4" w:space="0" w:color="000000"/>
              <w:left w:val="single" w:sz="4" w:space="0" w:color="000000"/>
              <w:bottom w:val="single" w:sz="4" w:space="0" w:color="000000"/>
              <w:right w:val="single" w:sz="4" w:space="0" w:color="000000"/>
            </w:tcBorders>
            <w:hideMark/>
          </w:tcPr>
          <w:p w14:paraId="284B1CFF" w14:textId="77777777" w:rsidR="004223FE" w:rsidRPr="00772D05" w:rsidRDefault="004223FE">
            <w:pPr>
              <w:pStyle w:val="TableParagraph"/>
              <w:spacing w:before="126" w:line="256" w:lineRule="auto"/>
              <w:ind w:left="40" w:right="40"/>
              <w:jc w:val="center"/>
              <w:rPr>
                <w:sz w:val="20"/>
                <w:szCs w:val="20"/>
                <w:lang w:val="da-DK"/>
              </w:rPr>
            </w:pPr>
            <w:r w:rsidRPr="00772D05">
              <w:rPr>
                <w:sz w:val="20"/>
                <w:szCs w:val="20"/>
                <w:lang w:val="da-DK"/>
              </w:rPr>
              <w:t>64</w:t>
            </w:r>
          </w:p>
          <w:p w14:paraId="64A432A9" w14:textId="77777777" w:rsidR="004223FE" w:rsidRPr="00772D05" w:rsidRDefault="004223FE">
            <w:pPr>
              <w:pStyle w:val="TableParagraph"/>
              <w:spacing w:before="6" w:line="256" w:lineRule="auto"/>
              <w:ind w:left="40" w:right="40"/>
              <w:jc w:val="center"/>
              <w:rPr>
                <w:sz w:val="20"/>
                <w:szCs w:val="20"/>
                <w:lang w:val="da-DK"/>
              </w:rPr>
            </w:pPr>
            <w:r w:rsidRPr="00772D05">
              <w:rPr>
                <w:sz w:val="20"/>
                <w:szCs w:val="20"/>
                <w:lang w:val="da-DK"/>
              </w:rPr>
              <w:t>(29,6)</w:t>
            </w:r>
          </w:p>
        </w:tc>
        <w:tc>
          <w:tcPr>
            <w:tcW w:w="417" w:type="pct"/>
            <w:tcBorders>
              <w:top w:val="single" w:sz="4" w:space="0" w:color="000000"/>
              <w:left w:val="single" w:sz="4" w:space="0" w:color="000000"/>
              <w:bottom w:val="single" w:sz="4" w:space="0" w:color="000000"/>
              <w:right w:val="single" w:sz="4" w:space="0" w:color="000000"/>
            </w:tcBorders>
            <w:hideMark/>
          </w:tcPr>
          <w:p w14:paraId="0A3856F0" w14:textId="77777777" w:rsidR="004223FE" w:rsidRPr="00772D05" w:rsidRDefault="004223FE">
            <w:pPr>
              <w:pStyle w:val="TableParagraph"/>
              <w:spacing w:line="256" w:lineRule="auto"/>
              <w:ind w:left="40" w:right="40"/>
              <w:jc w:val="center"/>
              <w:rPr>
                <w:sz w:val="20"/>
                <w:szCs w:val="20"/>
                <w:lang w:val="da-DK"/>
              </w:rPr>
            </w:pPr>
            <w:r w:rsidRPr="00772D05">
              <w:rPr>
                <w:sz w:val="20"/>
                <w:szCs w:val="20"/>
                <w:lang w:val="da-DK"/>
              </w:rPr>
              <w:t xml:space="preserve">26 </w:t>
            </w:r>
          </w:p>
          <w:p w14:paraId="2E6BEAFD" w14:textId="77777777" w:rsidR="004223FE" w:rsidRPr="00772D05" w:rsidRDefault="004223FE">
            <w:pPr>
              <w:pStyle w:val="TableParagraph"/>
              <w:spacing w:line="256" w:lineRule="auto"/>
              <w:ind w:left="40" w:right="40"/>
              <w:jc w:val="center"/>
              <w:rPr>
                <w:sz w:val="20"/>
                <w:szCs w:val="20"/>
                <w:lang w:val="da-DK"/>
              </w:rPr>
            </w:pPr>
            <w:r w:rsidRPr="00772D05">
              <w:rPr>
                <w:sz w:val="20"/>
                <w:szCs w:val="20"/>
                <w:lang w:val="da-DK"/>
              </w:rPr>
              <w:t>(9,5)</w:t>
            </w:r>
          </w:p>
        </w:tc>
        <w:tc>
          <w:tcPr>
            <w:tcW w:w="625" w:type="pct"/>
            <w:tcBorders>
              <w:top w:val="single" w:sz="4" w:space="0" w:color="000000"/>
              <w:left w:val="single" w:sz="4" w:space="0" w:color="000000"/>
              <w:bottom w:val="single" w:sz="4" w:space="0" w:color="000000"/>
              <w:right w:val="single" w:sz="4" w:space="0" w:color="000000"/>
            </w:tcBorders>
            <w:hideMark/>
          </w:tcPr>
          <w:p w14:paraId="7D22AF6B" w14:textId="77777777" w:rsidR="004223FE" w:rsidRPr="00772D05" w:rsidRDefault="004223FE">
            <w:pPr>
              <w:pStyle w:val="TableParagraph"/>
              <w:spacing w:before="126" w:line="256" w:lineRule="auto"/>
              <w:ind w:left="40" w:right="40"/>
              <w:jc w:val="center"/>
              <w:rPr>
                <w:sz w:val="20"/>
                <w:szCs w:val="20"/>
                <w:lang w:val="da-DK"/>
              </w:rPr>
            </w:pPr>
            <w:r w:rsidRPr="00772D05">
              <w:rPr>
                <w:sz w:val="20"/>
                <w:szCs w:val="20"/>
                <w:lang w:val="da-DK"/>
              </w:rPr>
              <w:t>66</w:t>
            </w:r>
          </w:p>
          <w:p w14:paraId="36B08EF6" w14:textId="77777777" w:rsidR="004223FE" w:rsidRPr="00772D05" w:rsidRDefault="004223FE">
            <w:pPr>
              <w:pStyle w:val="TableParagraph"/>
              <w:spacing w:before="6" w:line="256" w:lineRule="auto"/>
              <w:ind w:left="40" w:right="40"/>
              <w:jc w:val="center"/>
              <w:rPr>
                <w:sz w:val="20"/>
                <w:szCs w:val="20"/>
                <w:lang w:val="da-DK"/>
              </w:rPr>
            </w:pPr>
            <w:r w:rsidRPr="00772D05">
              <w:rPr>
                <w:sz w:val="20"/>
                <w:szCs w:val="20"/>
                <w:lang w:val="da-DK"/>
              </w:rPr>
              <w:t>(24,4)</w:t>
            </w:r>
          </w:p>
        </w:tc>
      </w:tr>
      <w:tr w:rsidR="004223FE" w:rsidRPr="00772D05" w14:paraId="3D749B03" w14:textId="77777777" w:rsidTr="00772D05">
        <w:trPr>
          <w:trHeight w:val="20"/>
        </w:trPr>
        <w:tc>
          <w:tcPr>
            <w:tcW w:w="973" w:type="pct"/>
            <w:tcBorders>
              <w:top w:val="single" w:sz="4" w:space="0" w:color="000000"/>
              <w:left w:val="single" w:sz="4" w:space="0" w:color="000000"/>
              <w:bottom w:val="single" w:sz="4" w:space="0" w:color="000000"/>
              <w:right w:val="single" w:sz="4" w:space="0" w:color="000000"/>
            </w:tcBorders>
          </w:tcPr>
          <w:p w14:paraId="18C3BBEE" w14:textId="77777777" w:rsidR="004223FE" w:rsidRPr="00772D05" w:rsidRDefault="004223FE" w:rsidP="00772D05">
            <w:pPr>
              <w:pStyle w:val="TableParagraph"/>
              <w:spacing w:before="3" w:line="256" w:lineRule="auto"/>
              <w:ind w:right="132"/>
              <w:rPr>
                <w:sz w:val="20"/>
                <w:szCs w:val="20"/>
                <w:highlight w:val="green"/>
                <w:lang w:val="da-DK"/>
              </w:rPr>
            </w:pPr>
          </w:p>
          <w:p w14:paraId="280D4C7D" w14:textId="77777777" w:rsidR="004223FE" w:rsidRPr="00772D05" w:rsidRDefault="004223FE" w:rsidP="00772D05">
            <w:pPr>
              <w:pStyle w:val="TableParagraph"/>
              <w:spacing w:line="256" w:lineRule="auto"/>
              <w:ind w:right="132"/>
              <w:rPr>
                <w:sz w:val="20"/>
                <w:szCs w:val="20"/>
                <w:highlight w:val="green"/>
                <w:lang w:val="da-DK"/>
              </w:rPr>
            </w:pPr>
            <w:proofErr w:type="spellStart"/>
            <w:r w:rsidRPr="00772D05">
              <w:rPr>
                <w:sz w:val="20"/>
                <w:szCs w:val="20"/>
                <w:lang w:val="da-DK"/>
              </w:rPr>
              <w:t>p-værdi</w:t>
            </w:r>
            <w:proofErr w:type="spellEnd"/>
            <w:r w:rsidRPr="00772D05">
              <w:rPr>
                <w:sz w:val="20"/>
                <w:szCs w:val="20"/>
                <w:lang w:val="da-DK"/>
              </w:rPr>
              <w:t xml:space="preserve"> (f)</w:t>
            </w:r>
          </w:p>
        </w:tc>
        <w:tc>
          <w:tcPr>
            <w:tcW w:w="486" w:type="pct"/>
            <w:tcBorders>
              <w:top w:val="single" w:sz="4" w:space="0" w:color="000000"/>
              <w:left w:val="single" w:sz="4" w:space="0" w:color="000000"/>
              <w:bottom w:val="single" w:sz="4" w:space="0" w:color="000000"/>
              <w:right w:val="single" w:sz="4" w:space="0" w:color="000000"/>
            </w:tcBorders>
          </w:tcPr>
          <w:p w14:paraId="213C25A3"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1B7CA9F8" w14:textId="77777777" w:rsidR="004223FE" w:rsidRPr="00772D05" w:rsidRDefault="004223FE">
            <w:pPr>
              <w:pStyle w:val="TableParagraph"/>
              <w:spacing w:before="126" w:line="256" w:lineRule="auto"/>
              <w:ind w:left="56" w:right="56"/>
              <w:jc w:val="center"/>
              <w:rPr>
                <w:sz w:val="20"/>
                <w:szCs w:val="20"/>
                <w:lang w:val="da-DK"/>
              </w:rPr>
            </w:pPr>
            <w:r w:rsidRPr="00772D05">
              <w:rPr>
                <w:sz w:val="20"/>
                <w:szCs w:val="20"/>
                <w:lang w:val="da-DK"/>
              </w:rPr>
              <w:t>0,0017</w:t>
            </w:r>
          </w:p>
        </w:tc>
        <w:tc>
          <w:tcPr>
            <w:tcW w:w="625" w:type="pct"/>
            <w:tcBorders>
              <w:top w:val="single" w:sz="4" w:space="0" w:color="000000"/>
              <w:left w:val="single" w:sz="4" w:space="0" w:color="000000"/>
              <w:bottom w:val="single" w:sz="4" w:space="0" w:color="000000"/>
              <w:right w:val="single" w:sz="4" w:space="0" w:color="000000"/>
            </w:tcBorders>
            <w:hideMark/>
          </w:tcPr>
          <w:p w14:paraId="18915B13" w14:textId="77777777" w:rsidR="004223FE" w:rsidRPr="00772D05" w:rsidRDefault="004223FE">
            <w:pPr>
              <w:pStyle w:val="TableParagraph"/>
              <w:spacing w:before="126" w:line="256" w:lineRule="auto"/>
              <w:ind w:left="83" w:right="83"/>
              <w:jc w:val="center"/>
              <w:rPr>
                <w:sz w:val="20"/>
                <w:szCs w:val="20"/>
                <w:lang w:val="da-DK"/>
              </w:rPr>
            </w:pPr>
            <w:r w:rsidRPr="00772D05">
              <w:rPr>
                <w:sz w:val="20"/>
                <w:szCs w:val="20"/>
                <w:lang w:val="da-DK"/>
              </w:rPr>
              <w:t>0,0002</w:t>
            </w:r>
          </w:p>
        </w:tc>
        <w:tc>
          <w:tcPr>
            <w:tcW w:w="417" w:type="pct"/>
            <w:tcBorders>
              <w:top w:val="single" w:sz="4" w:space="0" w:color="000000"/>
              <w:left w:val="single" w:sz="4" w:space="0" w:color="000000"/>
              <w:bottom w:val="single" w:sz="4" w:space="0" w:color="000000"/>
              <w:right w:val="single" w:sz="4" w:space="0" w:color="000000"/>
            </w:tcBorders>
          </w:tcPr>
          <w:p w14:paraId="1B5FA26D" w14:textId="77777777" w:rsidR="004223FE" w:rsidRPr="00772D05" w:rsidRDefault="004223FE">
            <w:pPr>
              <w:rPr>
                <w:sz w:val="20"/>
              </w:rPr>
            </w:pPr>
          </w:p>
        </w:tc>
        <w:tc>
          <w:tcPr>
            <w:tcW w:w="486" w:type="pct"/>
            <w:tcBorders>
              <w:top w:val="single" w:sz="4" w:space="0" w:color="000000"/>
              <w:left w:val="single" w:sz="4" w:space="0" w:color="000000"/>
              <w:bottom w:val="single" w:sz="4" w:space="0" w:color="000000"/>
              <w:right w:val="single" w:sz="4" w:space="0" w:color="000000"/>
            </w:tcBorders>
            <w:hideMark/>
          </w:tcPr>
          <w:p w14:paraId="3EE6DDC1" w14:textId="77777777" w:rsidR="004223FE" w:rsidRPr="00772D05" w:rsidRDefault="004223FE">
            <w:pPr>
              <w:pStyle w:val="TableParagraph"/>
              <w:spacing w:before="126" w:line="256" w:lineRule="auto"/>
              <w:ind w:left="46" w:right="46"/>
              <w:jc w:val="center"/>
              <w:rPr>
                <w:sz w:val="20"/>
                <w:szCs w:val="20"/>
                <w:lang w:val="da-DK"/>
              </w:rPr>
            </w:pPr>
            <w:r w:rsidRPr="00772D05">
              <w:rPr>
                <w:sz w:val="20"/>
                <w:szCs w:val="20"/>
                <w:lang w:val="da-DK"/>
              </w:rPr>
              <w:t>0,0962</w:t>
            </w:r>
          </w:p>
        </w:tc>
        <w:tc>
          <w:tcPr>
            <w:tcW w:w="486" w:type="pct"/>
            <w:tcBorders>
              <w:top w:val="single" w:sz="4" w:space="0" w:color="000000"/>
              <w:left w:val="single" w:sz="4" w:space="0" w:color="000000"/>
              <w:bottom w:val="single" w:sz="4" w:space="0" w:color="000000"/>
              <w:right w:val="single" w:sz="4" w:space="0" w:color="000000"/>
            </w:tcBorders>
            <w:hideMark/>
          </w:tcPr>
          <w:p w14:paraId="39D60AC2" w14:textId="77777777" w:rsidR="004223FE" w:rsidRPr="00772D05" w:rsidRDefault="004223FE">
            <w:pPr>
              <w:pStyle w:val="TableParagraph"/>
              <w:spacing w:before="126" w:line="256" w:lineRule="auto"/>
              <w:ind w:left="63" w:right="63"/>
              <w:jc w:val="center"/>
              <w:rPr>
                <w:sz w:val="20"/>
                <w:szCs w:val="20"/>
                <w:lang w:val="da-DK"/>
              </w:rPr>
            </w:pPr>
            <w:r w:rsidRPr="00772D05">
              <w:rPr>
                <w:sz w:val="20"/>
                <w:szCs w:val="20"/>
                <w:lang w:val="da-DK"/>
              </w:rPr>
              <w:t>0,0575</w:t>
            </w:r>
          </w:p>
        </w:tc>
        <w:tc>
          <w:tcPr>
            <w:tcW w:w="417" w:type="pct"/>
            <w:tcBorders>
              <w:top w:val="single" w:sz="4" w:space="0" w:color="000000"/>
              <w:left w:val="single" w:sz="4" w:space="0" w:color="000000"/>
              <w:bottom w:val="single" w:sz="4" w:space="0" w:color="000000"/>
              <w:right w:val="single" w:sz="4" w:space="0" w:color="000000"/>
            </w:tcBorders>
          </w:tcPr>
          <w:p w14:paraId="63677F8E" w14:textId="77777777" w:rsidR="004223FE" w:rsidRPr="00772D05" w:rsidRDefault="004223FE">
            <w:pPr>
              <w:rPr>
                <w:sz w:val="20"/>
              </w:rPr>
            </w:pPr>
          </w:p>
        </w:tc>
        <w:tc>
          <w:tcPr>
            <w:tcW w:w="625" w:type="pct"/>
            <w:tcBorders>
              <w:top w:val="single" w:sz="4" w:space="0" w:color="000000"/>
              <w:left w:val="single" w:sz="4" w:space="0" w:color="000000"/>
              <w:bottom w:val="single" w:sz="4" w:space="0" w:color="000000"/>
              <w:right w:val="single" w:sz="4" w:space="0" w:color="000000"/>
            </w:tcBorders>
            <w:hideMark/>
          </w:tcPr>
          <w:p w14:paraId="14954494" w14:textId="77777777" w:rsidR="004223FE" w:rsidRPr="00772D05" w:rsidRDefault="004223FE">
            <w:pPr>
              <w:pStyle w:val="TableParagraph"/>
              <w:spacing w:line="250" w:lineRule="exact"/>
              <w:ind w:left="72" w:right="72"/>
              <w:jc w:val="center"/>
              <w:rPr>
                <w:sz w:val="20"/>
                <w:szCs w:val="20"/>
                <w:lang w:val="da-DK"/>
              </w:rPr>
            </w:pPr>
            <w:r w:rsidRPr="00772D05">
              <w:rPr>
                <w:sz w:val="20"/>
                <w:szCs w:val="20"/>
                <w:lang w:val="da-DK"/>
              </w:rPr>
              <w:t>&lt;0,0001</w:t>
            </w:r>
          </w:p>
        </w:tc>
      </w:tr>
      <w:tr w:rsidR="004223FE" w:rsidRPr="00772D05" w14:paraId="49AEDFBA" w14:textId="77777777" w:rsidTr="00772D05">
        <w:trPr>
          <w:trHeight w:val="20"/>
        </w:trPr>
        <w:tc>
          <w:tcPr>
            <w:tcW w:w="5000" w:type="pct"/>
            <w:gridSpan w:val="9"/>
            <w:tcBorders>
              <w:top w:val="single" w:sz="4" w:space="0" w:color="000000"/>
              <w:left w:val="single" w:sz="4" w:space="0" w:color="000000"/>
              <w:bottom w:val="single" w:sz="4" w:space="0" w:color="000000"/>
              <w:right w:val="single" w:sz="4" w:space="0" w:color="000000"/>
            </w:tcBorders>
            <w:hideMark/>
          </w:tcPr>
          <w:p w14:paraId="3D6B933D" w14:textId="77777777" w:rsidR="004223FE" w:rsidRPr="00772D05" w:rsidRDefault="004223FE" w:rsidP="00772D05">
            <w:pPr>
              <w:pStyle w:val="TableParagraph"/>
              <w:spacing w:line="256" w:lineRule="auto"/>
              <w:ind w:right="132"/>
              <w:rPr>
                <w:sz w:val="20"/>
                <w:szCs w:val="20"/>
                <w:lang w:val="da-DK"/>
              </w:rPr>
            </w:pPr>
            <w:r w:rsidRPr="00772D05">
              <w:rPr>
                <w:sz w:val="20"/>
                <w:szCs w:val="20"/>
                <w:lang w:val="da-DK"/>
              </w:rPr>
              <w:t xml:space="preserve">(a) Tilstræbt daglig dosis, (b) </w:t>
            </w:r>
            <w:proofErr w:type="spellStart"/>
            <w:r w:rsidRPr="00772D05">
              <w:rPr>
                <w:sz w:val="20"/>
                <w:szCs w:val="20"/>
                <w:lang w:val="da-DK"/>
              </w:rPr>
              <w:t>Gns</w:t>
            </w:r>
            <w:proofErr w:type="spellEnd"/>
            <w:r w:rsidRPr="00772D05">
              <w:rPr>
                <w:sz w:val="20"/>
                <w:szCs w:val="20"/>
                <w:lang w:val="da-DK"/>
              </w:rPr>
              <w:t>. (SD), (c) analyse-population (</w:t>
            </w:r>
            <w:proofErr w:type="spellStart"/>
            <w:r w:rsidRPr="00772D05">
              <w:rPr>
                <w:sz w:val="20"/>
                <w:szCs w:val="20"/>
                <w:lang w:val="da-DK"/>
              </w:rPr>
              <w:t>mITT</w:t>
            </w:r>
            <w:proofErr w:type="spellEnd"/>
            <w:r w:rsidRPr="00772D05">
              <w:rPr>
                <w:sz w:val="20"/>
                <w:szCs w:val="20"/>
                <w:lang w:val="da-DK"/>
              </w:rPr>
              <w:t xml:space="preserve">); MMRM model for forandring fra udgangspunkt til endepunkt inklusiv behandling, region og besøg som faste påvirkninger, og udgangspunktsværdi som en </w:t>
            </w:r>
            <w:proofErr w:type="spellStart"/>
            <w:r w:rsidRPr="00772D05">
              <w:rPr>
                <w:sz w:val="20"/>
                <w:szCs w:val="20"/>
                <w:lang w:val="da-DK"/>
              </w:rPr>
              <w:t>kovariant</w:t>
            </w:r>
            <w:proofErr w:type="spellEnd"/>
            <w:r w:rsidRPr="00772D05">
              <w:rPr>
                <w:sz w:val="20"/>
                <w:szCs w:val="20"/>
                <w:lang w:val="da-DK"/>
              </w:rPr>
              <w:t>; (d) tilstræbt daglig dosis på 100 mg; (e) analyse-population (</w:t>
            </w:r>
            <w:proofErr w:type="spellStart"/>
            <w:r w:rsidRPr="00772D05">
              <w:rPr>
                <w:sz w:val="20"/>
                <w:szCs w:val="20"/>
                <w:lang w:val="da-DK"/>
              </w:rPr>
              <w:t>mITT</w:t>
            </w:r>
            <w:proofErr w:type="spellEnd"/>
            <w:r w:rsidRPr="00772D05">
              <w:rPr>
                <w:sz w:val="20"/>
                <w:szCs w:val="20"/>
                <w:lang w:val="da-DK"/>
              </w:rPr>
              <w:t>): data er præsenteret som antallet (procentdel) af patienter i hver gruppe der opfylder respondent-definitionen, (f) chi-</w:t>
            </w:r>
            <w:proofErr w:type="spellStart"/>
            <w:r w:rsidRPr="00772D05">
              <w:rPr>
                <w:sz w:val="20"/>
                <w:szCs w:val="20"/>
                <w:lang w:val="da-DK"/>
              </w:rPr>
              <w:t>square</w:t>
            </w:r>
            <w:proofErr w:type="spellEnd"/>
            <w:r w:rsidRPr="00772D05">
              <w:rPr>
                <w:sz w:val="20"/>
                <w:szCs w:val="20"/>
                <w:lang w:val="da-DK"/>
              </w:rPr>
              <w:t xml:space="preserve"> test af sandsynlighedsratio hos behandlingsgruppen sammenlignet med placebo ved brug af en logistisk regressionsmodel med fastsat effekt for behandling og land.</w:t>
            </w:r>
          </w:p>
          <w:p w14:paraId="62FC5A22" w14:textId="77777777" w:rsidR="004223FE" w:rsidRPr="00772D05" w:rsidRDefault="004223FE" w:rsidP="00772D05">
            <w:pPr>
              <w:pStyle w:val="TableParagraph"/>
              <w:spacing w:line="256" w:lineRule="auto"/>
              <w:ind w:right="132"/>
              <w:rPr>
                <w:sz w:val="20"/>
                <w:szCs w:val="20"/>
              </w:rPr>
            </w:pPr>
            <w:r w:rsidRPr="00772D05">
              <w:rPr>
                <w:sz w:val="20"/>
                <w:szCs w:val="20"/>
              </w:rPr>
              <w:t xml:space="preserve">SE </w:t>
            </w:r>
            <w:proofErr w:type="spellStart"/>
            <w:r w:rsidRPr="00772D05">
              <w:rPr>
                <w:sz w:val="20"/>
                <w:szCs w:val="20"/>
              </w:rPr>
              <w:t>Standardfejl</w:t>
            </w:r>
            <w:proofErr w:type="spellEnd"/>
            <w:r w:rsidRPr="00772D05">
              <w:rPr>
                <w:sz w:val="20"/>
                <w:szCs w:val="20"/>
              </w:rPr>
              <w:t xml:space="preserve">, SD </w:t>
            </w:r>
            <w:proofErr w:type="spellStart"/>
            <w:r w:rsidRPr="00772D05">
              <w:rPr>
                <w:sz w:val="20"/>
                <w:szCs w:val="20"/>
              </w:rPr>
              <w:t>standardafvigelse</w:t>
            </w:r>
            <w:proofErr w:type="spellEnd"/>
            <w:r w:rsidRPr="00772D05">
              <w:rPr>
                <w:sz w:val="20"/>
                <w:szCs w:val="20"/>
              </w:rPr>
              <w:t>, LSM Least Square Mean, LS Diff. Least Square Difference vs placebo</w:t>
            </w:r>
          </w:p>
          <w:p w14:paraId="061AB56E" w14:textId="77777777" w:rsidR="004223FE" w:rsidRPr="00772D05" w:rsidRDefault="004223FE" w:rsidP="00772D05">
            <w:pPr>
              <w:pStyle w:val="TableParagraph"/>
              <w:spacing w:line="256" w:lineRule="auto"/>
              <w:ind w:right="132"/>
              <w:rPr>
                <w:sz w:val="20"/>
                <w:szCs w:val="20"/>
                <w:lang w:val="da-DK"/>
              </w:rPr>
            </w:pPr>
            <w:proofErr w:type="spellStart"/>
            <w:r w:rsidRPr="00772D05">
              <w:rPr>
                <w:sz w:val="20"/>
                <w:szCs w:val="20"/>
                <w:lang w:val="da-DK"/>
              </w:rPr>
              <w:t>mITT</w:t>
            </w:r>
            <w:proofErr w:type="spellEnd"/>
            <w:r w:rsidRPr="00772D05">
              <w:rPr>
                <w:sz w:val="20"/>
                <w:szCs w:val="20"/>
                <w:lang w:val="da-DK"/>
              </w:rPr>
              <w:t xml:space="preserve"> population: undersøgelse 016/018 - placebo (n=212), safinamid 50 mg/dag (n=217) og 100 mg/dag (n=216), og SETTLE - placebo (n=270), safinamid 50-100 mg/dag (n=273).</w:t>
            </w:r>
          </w:p>
        </w:tc>
      </w:tr>
    </w:tbl>
    <w:p w14:paraId="54C9C733" w14:textId="77777777" w:rsidR="004223FE" w:rsidRPr="00AE3725" w:rsidRDefault="004223FE" w:rsidP="006B5194">
      <w:pPr>
        <w:autoSpaceDE w:val="0"/>
        <w:autoSpaceDN w:val="0"/>
        <w:adjustRightInd w:val="0"/>
        <w:ind w:left="851"/>
        <w:rPr>
          <w:sz w:val="24"/>
          <w:szCs w:val="24"/>
          <w:highlight w:val="green"/>
        </w:rPr>
      </w:pPr>
    </w:p>
    <w:p w14:paraId="5BEBC731" w14:textId="77777777" w:rsidR="004223FE" w:rsidRPr="00AE3725" w:rsidRDefault="004223FE" w:rsidP="006B5194">
      <w:pPr>
        <w:autoSpaceDE w:val="0"/>
        <w:autoSpaceDN w:val="0"/>
        <w:adjustRightInd w:val="0"/>
        <w:ind w:left="851"/>
        <w:rPr>
          <w:sz w:val="24"/>
          <w:szCs w:val="24"/>
          <w:highlight w:val="green"/>
          <w:u w:val="single"/>
        </w:rPr>
      </w:pPr>
      <w:r w:rsidRPr="00AE3725">
        <w:rPr>
          <w:sz w:val="24"/>
          <w:szCs w:val="24"/>
          <w:u w:val="single"/>
        </w:rPr>
        <w:t>Pædiatrisk population</w:t>
      </w:r>
    </w:p>
    <w:p w14:paraId="2AC80EDA" w14:textId="77777777" w:rsidR="004223FE" w:rsidRPr="00AE3725" w:rsidRDefault="004223FE" w:rsidP="006B5194">
      <w:pPr>
        <w:autoSpaceDE w:val="0"/>
        <w:autoSpaceDN w:val="0"/>
        <w:adjustRightInd w:val="0"/>
        <w:ind w:left="851"/>
        <w:rPr>
          <w:sz w:val="24"/>
          <w:szCs w:val="24"/>
        </w:rPr>
      </w:pPr>
      <w:r w:rsidRPr="00AE3725">
        <w:rPr>
          <w:sz w:val="24"/>
          <w:szCs w:val="24"/>
        </w:rPr>
        <w:t xml:space="preserve">De </w:t>
      </w:r>
      <w:proofErr w:type="spellStart"/>
      <w:r w:rsidRPr="00AE3725">
        <w:rPr>
          <w:sz w:val="24"/>
          <w:szCs w:val="24"/>
        </w:rPr>
        <w:t>farmakodynamiske</w:t>
      </w:r>
      <w:proofErr w:type="spellEnd"/>
      <w:r w:rsidRPr="00AE3725">
        <w:rPr>
          <w:sz w:val="24"/>
          <w:szCs w:val="24"/>
        </w:rPr>
        <w:t xml:space="preserve"> virkninger af safinamid er ikke blevet vurderet hos børn og unge.</w:t>
      </w:r>
    </w:p>
    <w:p w14:paraId="7D70AEF7" w14:textId="77777777" w:rsidR="009260DE" w:rsidRPr="00AE3725" w:rsidRDefault="009260DE" w:rsidP="009260DE">
      <w:pPr>
        <w:tabs>
          <w:tab w:val="left" w:pos="851"/>
        </w:tabs>
        <w:ind w:left="851"/>
        <w:rPr>
          <w:sz w:val="24"/>
          <w:szCs w:val="24"/>
        </w:rPr>
      </w:pPr>
    </w:p>
    <w:p w14:paraId="66F53DE7" w14:textId="77777777" w:rsidR="009260DE" w:rsidRPr="00AE3725" w:rsidRDefault="009260DE" w:rsidP="009260DE">
      <w:pPr>
        <w:tabs>
          <w:tab w:val="left" w:pos="851"/>
        </w:tabs>
        <w:ind w:left="851" w:hanging="851"/>
        <w:rPr>
          <w:b/>
          <w:sz w:val="24"/>
          <w:szCs w:val="24"/>
        </w:rPr>
      </w:pPr>
      <w:r w:rsidRPr="00AE3725">
        <w:rPr>
          <w:b/>
          <w:sz w:val="24"/>
          <w:szCs w:val="24"/>
        </w:rPr>
        <w:t>5.2</w:t>
      </w:r>
      <w:r w:rsidRPr="00AE3725">
        <w:rPr>
          <w:b/>
          <w:sz w:val="24"/>
          <w:szCs w:val="24"/>
        </w:rPr>
        <w:tab/>
      </w:r>
      <w:proofErr w:type="spellStart"/>
      <w:r w:rsidRPr="00AE3725">
        <w:rPr>
          <w:b/>
          <w:sz w:val="24"/>
          <w:szCs w:val="24"/>
        </w:rPr>
        <w:t>Farmakokinetiske</w:t>
      </w:r>
      <w:proofErr w:type="spellEnd"/>
      <w:r w:rsidRPr="00AE3725">
        <w:rPr>
          <w:b/>
          <w:sz w:val="24"/>
          <w:szCs w:val="24"/>
        </w:rPr>
        <w:t xml:space="preserve"> egenskaber</w:t>
      </w:r>
    </w:p>
    <w:p w14:paraId="3CFA559B" w14:textId="77777777" w:rsidR="00772D05" w:rsidRDefault="00772D05" w:rsidP="006B5194">
      <w:pPr>
        <w:autoSpaceDE w:val="0"/>
        <w:autoSpaceDN w:val="0"/>
        <w:adjustRightInd w:val="0"/>
        <w:ind w:left="851"/>
        <w:rPr>
          <w:sz w:val="24"/>
          <w:szCs w:val="24"/>
          <w:u w:val="single"/>
        </w:rPr>
      </w:pPr>
    </w:p>
    <w:p w14:paraId="29696EEA" w14:textId="3E64D2DE" w:rsidR="004223FE" w:rsidRPr="00AE3725" w:rsidRDefault="004223FE" w:rsidP="006B5194">
      <w:pPr>
        <w:autoSpaceDE w:val="0"/>
        <w:autoSpaceDN w:val="0"/>
        <w:adjustRightInd w:val="0"/>
        <w:ind w:left="851"/>
        <w:rPr>
          <w:sz w:val="24"/>
          <w:szCs w:val="24"/>
          <w:u w:val="single"/>
        </w:rPr>
      </w:pPr>
      <w:r w:rsidRPr="00AE3725">
        <w:rPr>
          <w:sz w:val="24"/>
          <w:szCs w:val="24"/>
          <w:u w:val="single"/>
        </w:rPr>
        <w:t>Absorption</w:t>
      </w:r>
    </w:p>
    <w:p w14:paraId="4CD0C619" w14:textId="77777777" w:rsidR="004223FE" w:rsidRPr="00AE3725" w:rsidRDefault="004223FE" w:rsidP="006B5194">
      <w:pPr>
        <w:autoSpaceDE w:val="0"/>
        <w:autoSpaceDN w:val="0"/>
        <w:adjustRightInd w:val="0"/>
        <w:ind w:left="851"/>
        <w:rPr>
          <w:sz w:val="24"/>
          <w:szCs w:val="24"/>
          <w:u w:val="single"/>
        </w:rPr>
      </w:pPr>
    </w:p>
    <w:p w14:paraId="004C84AD" w14:textId="7036893C" w:rsidR="004223FE" w:rsidRPr="00AE3725" w:rsidRDefault="004223FE" w:rsidP="006B5194">
      <w:pPr>
        <w:autoSpaceDE w:val="0"/>
        <w:autoSpaceDN w:val="0"/>
        <w:adjustRightInd w:val="0"/>
        <w:ind w:left="851"/>
        <w:rPr>
          <w:sz w:val="24"/>
          <w:szCs w:val="24"/>
        </w:rPr>
      </w:pPr>
      <w:r w:rsidRPr="00AE3725">
        <w:rPr>
          <w:sz w:val="24"/>
          <w:szCs w:val="24"/>
        </w:rPr>
        <w:t xml:space="preserve">Safinamid absorption er hurtig efter enkelt eller multipel oral dosering og nåede </w:t>
      </w:r>
      <w:proofErr w:type="spellStart"/>
      <w:r w:rsidRPr="00AE3725">
        <w:rPr>
          <w:sz w:val="24"/>
          <w:szCs w:val="24"/>
        </w:rPr>
        <w:t>t</w:t>
      </w:r>
      <w:r w:rsidRPr="00AE3725">
        <w:rPr>
          <w:sz w:val="24"/>
          <w:szCs w:val="24"/>
          <w:vertAlign w:val="subscript"/>
        </w:rPr>
        <w:t>max</w:t>
      </w:r>
      <w:proofErr w:type="spellEnd"/>
      <w:r w:rsidRPr="00AE3725">
        <w:rPr>
          <w:sz w:val="24"/>
          <w:szCs w:val="24"/>
        </w:rPr>
        <w:t xml:space="preserve"> i tidsintervallet 1,8- 2,8 timer efter dosering under faste. Den absolutte biotilgængelighed er høj (95 %), og viser, at safinamid næsten absorberes fuldstændigt efter oral administration og førstepasseringsmetabolisme er ubetydelig. Den høje absorption klassificerer safinamid som en meget gennemtrængelig substans.</w:t>
      </w:r>
    </w:p>
    <w:p w14:paraId="128AA14A" w14:textId="426E4B5C" w:rsidR="000D3879" w:rsidRDefault="000D3879">
      <w:pPr>
        <w:rPr>
          <w:sz w:val="24"/>
          <w:szCs w:val="24"/>
          <w:u w:val="single"/>
        </w:rPr>
      </w:pPr>
      <w:r>
        <w:rPr>
          <w:sz w:val="24"/>
          <w:szCs w:val="24"/>
          <w:u w:val="single"/>
        </w:rPr>
        <w:br w:type="page"/>
      </w:r>
    </w:p>
    <w:p w14:paraId="1C4DF12D" w14:textId="77777777" w:rsidR="004223FE" w:rsidRPr="00AE3725" w:rsidRDefault="004223FE" w:rsidP="006B5194">
      <w:pPr>
        <w:autoSpaceDE w:val="0"/>
        <w:autoSpaceDN w:val="0"/>
        <w:adjustRightInd w:val="0"/>
        <w:ind w:left="851"/>
        <w:rPr>
          <w:sz w:val="24"/>
          <w:szCs w:val="24"/>
          <w:u w:val="single"/>
        </w:rPr>
      </w:pPr>
    </w:p>
    <w:p w14:paraId="6B5A4F73" w14:textId="77777777" w:rsidR="004223FE" w:rsidRPr="00AE3725" w:rsidRDefault="004223FE" w:rsidP="006B5194">
      <w:pPr>
        <w:autoSpaceDE w:val="0"/>
        <w:autoSpaceDN w:val="0"/>
        <w:adjustRightInd w:val="0"/>
        <w:ind w:left="851"/>
        <w:rPr>
          <w:sz w:val="24"/>
          <w:szCs w:val="24"/>
          <w:u w:val="single"/>
        </w:rPr>
      </w:pPr>
      <w:r w:rsidRPr="00AE3725">
        <w:rPr>
          <w:sz w:val="24"/>
          <w:szCs w:val="24"/>
          <w:u w:val="single"/>
        </w:rPr>
        <w:t>Fordeling</w:t>
      </w:r>
    </w:p>
    <w:p w14:paraId="02A6E680" w14:textId="77777777" w:rsidR="004223FE" w:rsidRPr="00AE3725" w:rsidRDefault="004223FE" w:rsidP="006B5194">
      <w:pPr>
        <w:autoSpaceDE w:val="0"/>
        <w:autoSpaceDN w:val="0"/>
        <w:adjustRightInd w:val="0"/>
        <w:ind w:left="851"/>
        <w:rPr>
          <w:sz w:val="24"/>
          <w:szCs w:val="24"/>
        </w:rPr>
      </w:pPr>
    </w:p>
    <w:p w14:paraId="57E55B98" w14:textId="77777777" w:rsidR="004223FE" w:rsidRPr="00AE3725" w:rsidRDefault="004223FE" w:rsidP="006B5194">
      <w:pPr>
        <w:autoSpaceDE w:val="0"/>
        <w:autoSpaceDN w:val="0"/>
        <w:adjustRightInd w:val="0"/>
        <w:ind w:left="851"/>
        <w:rPr>
          <w:sz w:val="24"/>
          <w:szCs w:val="24"/>
        </w:rPr>
      </w:pPr>
      <w:r w:rsidRPr="00AE3725">
        <w:rPr>
          <w:sz w:val="24"/>
          <w:szCs w:val="24"/>
        </w:rPr>
        <w:t>Fordelingsvolumen (</w:t>
      </w:r>
      <w:proofErr w:type="spellStart"/>
      <w:r w:rsidRPr="00AE3725">
        <w:rPr>
          <w:sz w:val="24"/>
          <w:szCs w:val="24"/>
        </w:rPr>
        <w:t>V</w:t>
      </w:r>
      <w:r w:rsidRPr="00AE3725">
        <w:rPr>
          <w:sz w:val="24"/>
          <w:szCs w:val="24"/>
          <w:vertAlign w:val="subscript"/>
        </w:rPr>
        <w:t>ss</w:t>
      </w:r>
      <w:proofErr w:type="spellEnd"/>
      <w:r w:rsidRPr="00AE3725">
        <w:rPr>
          <w:sz w:val="24"/>
          <w:szCs w:val="24"/>
        </w:rPr>
        <w:t xml:space="preserve">) er ca. 165 l, hvilket er 2,5 gange kroppens volumen og indikerer omfattende </w:t>
      </w:r>
      <w:proofErr w:type="spellStart"/>
      <w:r w:rsidRPr="00AE3725">
        <w:rPr>
          <w:sz w:val="24"/>
          <w:szCs w:val="24"/>
        </w:rPr>
        <w:t>ekstravaskulær</w:t>
      </w:r>
      <w:proofErr w:type="spellEnd"/>
      <w:r w:rsidRPr="00AE3725">
        <w:rPr>
          <w:sz w:val="24"/>
          <w:szCs w:val="24"/>
        </w:rPr>
        <w:t xml:space="preserve"> fordeling af safinamid. Total </w:t>
      </w:r>
      <w:proofErr w:type="spellStart"/>
      <w:r w:rsidRPr="00AE3725">
        <w:rPr>
          <w:sz w:val="24"/>
          <w:szCs w:val="24"/>
        </w:rPr>
        <w:t>clearance</w:t>
      </w:r>
      <w:proofErr w:type="spellEnd"/>
      <w:r w:rsidRPr="00AE3725">
        <w:rPr>
          <w:sz w:val="24"/>
          <w:szCs w:val="24"/>
        </w:rPr>
        <w:t xml:space="preserve"> blev bestemt til at være 4,6 l/t og klassificerer safinamid som en substans med lav </w:t>
      </w:r>
      <w:proofErr w:type="spellStart"/>
      <w:r w:rsidRPr="00AE3725">
        <w:rPr>
          <w:sz w:val="24"/>
          <w:szCs w:val="24"/>
        </w:rPr>
        <w:t>clearance</w:t>
      </w:r>
      <w:proofErr w:type="spellEnd"/>
      <w:r w:rsidRPr="00AE3725">
        <w:rPr>
          <w:sz w:val="24"/>
          <w:szCs w:val="24"/>
        </w:rPr>
        <w:t>.</w:t>
      </w:r>
    </w:p>
    <w:p w14:paraId="14F7BEAD" w14:textId="77777777" w:rsidR="004223FE" w:rsidRPr="00AE3725" w:rsidRDefault="004223FE" w:rsidP="006B5194">
      <w:pPr>
        <w:autoSpaceDE w:val="0"/>
        <w:autoSpaceDN w:val="0"/>
        <w:adjustRightInd w:val="0"/>
        <w:ind w:left="851"/>
        <w:rPr>
          <w:sz w:val="24"/>
          <w:szCs w:val="24"/>
        </w:rPr>
      </w:pPr>
    </w:p>
    <w:p w14:paraId="7F5A9EE7" w14:textId="77777777" w:rsidR="004223FE" w:rsidRPr="00AE3725" w:rsidRDefault="004223FE" w:rsidP="006B5194">
      <w:pPr>
        <w:autoSpaceDE w:val="0"/>
        <w:autoSpaceDN w:val="0"/>
        <w:adjustRightInd w:val="0"/>
        <w:ind w:left="851"/>
        <w:rPr>
          <w:sz w:val="24"/>
          <w:szCs w:val="24"/>
        </w:rPr>
      </w:pPr>
      <w:r w:rsidRPr="00AE3725">
        <w:rPr>
          <w:sz w:val="24"/>
          <w:szCs w:val="24"/>
        </w:rPr>
        <w:t>Plasmaproteinbinding af safinamid er 88-90 %.</w:t>
      </w:r>
    </w:p>
    <w:p w14:paraId="528EFCA0" w14:textId="77777777" w:rsidR="004223FE" w:rsidRPr="00AE3725" w:rsidRDefault="004223FE" w:rsidP="006B5194">
      <w:pPr>
        <w:autoSpaceDE w:val="0"/>
        <w:autoSpaceDN w:val="0"/>
        <w:adjustRightInd w:val="0"/>
        <w:ind w:left="851"/>
        <w:rPr>
          <w:sz w:val="24"/>
          <w:szCs w:val="24"/>
          <w:highlight w:val="green"/>
        </w:rPr>
      </w:pPr>
    </w:p>
    <w:p w14:paraId="527E77F1" w14:textId="77777777" w:rsidR="004223FE" w:rsidRPr="00AE3725" w:rsidRDefault="004223FE" w:rsidP="006B5194">
      <w:pPr>
        <w:autoSpaceDE w:val="0"/>
        <w:autoSpaceDN w:val="0"/>
        <w:adjustRightInd w:val="0"/>
        <w:ind w:left="851"/>
        <w:rPr>
          <w:sz w:val="24"/>
          <w:szCs w:val="24"/>
          <w:highlight w:val="green"/>
          <w:u w:val="single"/>
        </w:rPr>
      </w:pPr>
      <w:r w:rsidRPr="00AE3725">
        <w:rPr>
          <w:sz w:val="24"/>
          <w:szCs w:val="24"/>
          <w:u w:val="single"/>
        </w:rPr>
        <w:t>Biotransformation</w:t>
      </w:r>
    </w:p>
    <w:p w14:paraId="58CC2F04" w14:textId="77777777" w:rsidR="004223FE" w:rsidRPr="00AE3725" w:rsidRDefault="004223FE" w:rsidP="006B5194">
      <w:pPr>
        <w:autoSpaceDE w:val="0"/>
        <w:autoSpaceDN w:val="0"/>
        <w:adjustRightInd w:val="0"/>
        <w:ind w:left="851"/>
        <w:rPr>
          <w:sz w:val="24"/>
          <w:szCs w:val="24"/>
          <w:highlight w:val="green"/>
          <w:u w:val="single"/>
        </w:rPr>
      </w:pPr>
    </w:p>
    <w:p w14:paraId="2C349DD2" w14:textId="6AB2F5AB" w:rsidR="004223FE" w:rsidRPr="00AE3725" w:rsidRDefault="004223FE" w:rsidP="006B5194">
      <w:pPr>
        <w:autoSpaceDE w:val="0"/>
        <w:autoSpaceDN w:val="0"/>
        <w:adjustRightInd w:val="0"/>
        <w:ind w:left="851"/>
        <w:rPr>
          <w:sz w:val="24"/>
          <w:szCs w:val="24"/>
        </w:rPr>
      </w:pPr>
      <w:r w:rsidRPr="00AE3725">
        <w:rPr>
          <w:sz w:val="24"/>
          <w:szCs w:val="24"/>
        </w:rPr>
        <w:t xml:space="preserve">Hos mennesker elimineres safinamid næsten udelukkende via </w:t>
      </w:r>
      <w:proofErr w:type="spellStart"/>
      <w:r w:rsidRPr="00AE3725">
        <w:rPr>
          <w:sz w:val="24"/>
          <w:szCs w:val="24"/>
        </w:rPr>
        <w:t>metabolisering</w:t>
      </w:r>
      <w:proofErr w:type="spellEnd"/>
      <w:r w:rsidRPr="00AE3725">
        <w:rPr>
          <w:sz w:val="24"/>
          <w:szCs w:val="24"/>
        </w:rPr>
        <w:t xml:space="preserve"> (urinudskillelse af uforandret safinamid var &lt;10 %) hovedsageligt formidlet gennem højkapacitet-amidase, som endnu ikke er karakteriseret. </w:t>
      </w:r>
      <w:r w:rsidRPr="00AE3725">
        <w:rPr>
          <w:i/>
          <w:iCs/>
          <w:sz w:val="24"/>
          <w:szCs w:val="24"/>
        </w:rPr>
        <w:t xml:space="preserve">In </w:t>
      </w:r>
      <w:proofErr w:type="spellStart"/>
      <w:r w:rsidRPr="00AE3725">
        <w:rPr>
          <w:i/>
          <w:iCs/>
          <w:sz w:val="24"/>
          <w:szCs w:val="24"/>
        </w:rPr>
        <w:t>vitro</w:t>
      </w:r>
      <w:proofErr w:type="spellEnd"/>
      <w:r w:rsidRPr="00AE3725">
        <w:rPr>
          <w:sz w:val="24"/>
          <w:szCs w:val="24"/>
        </w:rPr>
        <w:t xml:space="preserve">-eksperimenter indikerer, at amidaser i humane </w:t>
      </w:r>
      <w:proofErr w:type="spellStart"/>
      <w:r w:rsidRPr="00AE3725">
        <w:rPr>
          <w:sz w:val="24"/>
          <w:szCs w:val="24"/>
        </w:rPr>
        <w:t>hepatocytter</w:t>
      </w:r>
      <w:proofErr w:type="spellEnd"/>
      <w:r w:rsidRPr="00AE3725">
        <w:rPr>
          <w:sz w:val="24"/>
          <w:szCs w:val="24"/>
        </w:rPr>
        <w:t xml:space="preserve"> førte til fuldstændig suppression af dannelsen af NW-1153. Amidase i blod, plasma, serum, simulerede gastriske væsker, simulerede </w:t>
      </w:r>
      <w:proofErr w:type="spellStart"/>
      <w:r w:rsidRPr="00AE3725">
        <w:rPr>
          <w:sz w:val="24"/>
          <w:szCs w:val="24"/>
        </w:rPr>
        <w:t>intestinale</w:t>
      </w:r>
      <w:proofErr w:type="spellEnd"/>
      <w:r w:rsidRPr="00AE3725">
        <w:rPr>
          <w:sz w:val="24"/>
          <w:szCs w:val="24"/>
        </w:rPr>
        <w:t xml:space="preserve"> væsker samt humant </w:t>
      </w:r>
      <w:proofErr w:type="spellStart"/>
      <w:r w:rsidRPr="00AE3725">
        <w:rPr>
          <w:sz w:val="24"/>
          <w:szCs w:val="24"/>
        </w:rPr>
        <w:t>carboxyleterase</w:t>
      </w:r>
      <w:proofErr w:type="spellEnd"/>
      <w:r w:rsidRPr="00AE3725">
        <w:rPr>
          <w:sz w:val="24"/>
          <w:szCs w:val="24"/>
        </w:rPr>
        <w:t xml:space="preserve"> hCE-1 og hCE-2 er ikke ansvarlig for biotransformationen af safinamid til NW-1153. Amidase FAAH kunne katalysere dannelsen af NW-1153 i mindre grad, og derfor er det sandsynligt, at andre amidaser er med i omdannelsen til NW-1153. Safinamids metabolisme afhænger ikke af </w:t>
      </w:r>
      <w:proofErr w:type="spellStart"/>
      <w:r w:rsidRPr="00AE3725">
        <w:rPr>
          <w:sz w:val="24"/>
          <w:szCs w:val="24"/>
        </w:rPr>
        <w:t>cytochrom</w:t>
      </w:r>
      <w:proofErr w:type="spellEnd"/>
      <w:r w:rsidRPr="00AE3725">
        <w:rPr>
          <w:sz w:val="24"/>
          <w:szCs w:val="24"/>
        </w:rPr>
        <w:t xml:space="preserve"> P450 (CYP)-baserede enzymer.</w:t>
      </w:r>
    </w:p>
    <w:p w14:paraId="7997544E" w14:textId="77777777" w:rsidR="004223FE" w:rsidRPr="00AE3725" w:rsidRDefault="004223FE" w:rsidP="006B5194">
      <w:pPr>
        <w:autoSpaceDE w:val="0"/>
        <w:autoSpaceDN w:val="0"/>
        <w:adjustRightInd w:val="0"/>
        <w:ind w:left="851"/>
        <w:rPr>
          <w:sz w:val="24"/>
          <w:szCs w:val="24"/>
        </w:rPr>
      </w:pPr>
    </w:p>
    <w:p w14:paraId="3D8A3E6E" w14:textId="77777777" w:rsidR="004223FE" w:rsidRPr="00AE3725" w:rsidRDefault="004223FE" w:rsidP="006B5194">
      <w:pPr>
        <w:autoSpaceDE w:val="0"/>
        <w:autoSpaceDN w:val="0"/>
        <w:adjustRightInd w:val="0"/>
        <w:ind w:left="851"/>
        <w:rPr>
          <w:sz w:val="24"/>
          <w:szCs w:val="24"/>
        </w:rPr>
      </w:pPr>
      <w:r w:rsidRPr="00AE3725">
        <w:rPr>
          <w:sz w:val="24"/>
          <w:szCs w:val="24"/>
        </w:rPr>
        <w:t xml:space="preserve">Klarlæggelse af metabolitstrukturer afslørede tre </w:t>
      </w:r>
      <w:proofErr w:type="spellStart"/>
      <w:r w:rsidRPr="00AE3725">
        <w:rPr>
          <w:sz w:val="24"/>
          <w:szCs w:val="24"/>
        </w:rPr>
        <w:t>metaboliseringsveje</w:t>
      </w:r>
      <w:proofErr w:type="spellEnd"/>
      <w:r w:rsidRPr="00AE3725">
        <w:rPr>
          <w:sz w:val="24"/>
          <w:szCs w:val="24"/>
        </w:rPr>
        <w:t xml:space="preserve"> for safinamid. Den primære vej involverer hydrolytisk oxidation af amiddelen, som fører til den primære metabolit '</w:t>
      </w:r>
      <w:proofErr w:type="spellStart"/>
      <w:r w:rsidRPr="00AE3725">
        <w:rPr>
          <w:sz w:val="24"/>
          <w:szCs w:val="24"/>
        </w:rPr>
        <w:t>safinamidsyre</w:t>
      </w:r>
      <w:proofErr w:type="spellEnd"/>
      <w:r w:rsidRPr="00AE3725">
        <w:rPr>
          <w:sz w:val="24"/>
          <w:szCs w:val="24"/>
        </w:rPr>
        <w:t xml:space="preserve">’ (NW-1153). Den anden vej involverer </w:t>
      </w:r>
      <w:proofErr w:type="spellStart"/>
      <w:r w:rsidRPr="00AE3725">
        <w:rPr>
          <w:sz w:val="24"/>
          <w:szCs w:val="24"/>
        </w:rPr>
        <w:t>oxidativ</w:t>
      </w:r>
      <w:proofErr w:type="spellEnd"/>
      <w:r w:rsidRPr="00AE3725">
        <w:rPr>
          <w:sz w:val="24"/>
          <w:szCs w:val="24"/>
        </w:rPr>
        <w:t xml:space="preserve"> spaltning af </w:t>
      </w:r>
      <w:proofErr w:type="spellStart"/>
      <w:r w:rsidRPr="00AE3725">
        <w:rPr>
          <w:sz w:val="24"/>
          <w:szCs w:val="24"/>
        </w:rPr>
        <w:t>etherbindingen</w:t>
      </w:r>
      <w:proofErr w:type="spellEnd"/>
      <w:r w:rsidRPr="00AE3725">
        <w:rPr>
          <w:sz w:val="24"/>
          <w:szCs w:val="24"/>
        </w:rPr>
        <w:t xml:space="preserve"> og danner ‘</w:t>
      </w:r>
      <w:r w:rsidRPr="00AE3725">
        <w:rPr>
          <w:i/>
          <w:iCs/>
          <w:sz w:val="24"/>
          <w:szCs w:val="24"/>
        </w:rPr>
        <w:t>O</w:t>
      </w:r>
      <w:r w:rsidRPr="00AE3725">
        <w:rPr>
          <w:sz w:val="24"/>
          <w:szCs w:val="24"/>
        </w:rPr>
        <w:t>-</w:t>
      </w:r>
      <w:proofErr w:type="spellStart"/>
      <w:r w:rsidRPr="00AE3725">
        <w:rPr>
          <w:sz w:val="24"/>
          <w:szCs w:val="24"/>
        </w:rPr>
        <w:t>debenzyleret</w:t>
      </w:r>
      <w:proofErr w:type="spellEnd"/>
      <w:r w:rsidRPr="00AE3725">
        <w:rPr>
          <w:sz w:val="24"/>
          <w:szCs w:val="24"/>
        </w:rPr>
        <w:t xml:space="preserve"> safinamid’ (NW-1199). Endelig dannes ‘</w:t>
      </w:r>
      <w:r w:rsidRPr="00AE3725">
        <w:rPr>
          <w:i/>
          <w:iCs/>
          <w:sz w:val="24"/>
          <w:szCs w:val="24"/>
        </w:rPr>
        <w:t>N</w:t>
      </w:r>
      <w:r w:rsidRPr="00AE3725">
        <w:rPr>
          <w:sz w:val="24"/>
          <w:szCs w:val="24"/>
        </w:rPr>
        <w:t xml:space="preserve">-dealkyleret syre (NW-1689) ved </w:t>
      </w:r>
      <w:proofErr w:type="spellStart"/>
      <w:r w:rsidRPr="00AE3725">
        <w:rPr>
          <w:sz w:val="24"/>
          <w:szCs w:val="24"/>
        </w:rPr>
        <w:t>oxidativ</w:t>
      </w:r>
      <w:proofErr w:type="spellEnd"/>
      <w:r w:rsidRPr="00AE3725">
        <w:rPr>
          <w:sz w:val="24"/>
          <w:szCs w:val="24"/>
        </w:rPr>
        <w:t xml:space="preserve"> spaltning af aminbinding af enten safinamid (mindre) eller den primære safinamid syremetabolit (NW-1153) (større). ‘</w:t>
      </w:r>
      <w:proofErr w:type="spellStart"/>
      <w:r w:rsidRPr="00AE3725">
        <w:rPr>
          <w:sz w:val="24"/>
          <w:szCs w:val="24"/>
        </w:rPr>
        <w:t>Den</w:t>
      </w:r>
      <w:r w:rsidRPr="00AE3725">
        <w:rPr>
          <w:i/>
          <w:iCs/>
          <w:sz w:val="24"/>
          <w:szCs w:val="24"/>
        </w:rPr>
        <w:t>N</w:t>
      </w:r>
      <w:proofErr w:type="spellEnd"/>
      <w:r w:rsidRPr="00AE3725">
        <w:rPr>
          <w:sz w:val="24"/>
          <w:szCs w:val="24"/>
        </w:rPr>
        <w:t xml:space="preserve">-dealkylerede syre’ (NW-1689) gennemgår konjugation med </w:t>
      </w:r>
      <w:proofErr w:type="spellStart"/>
      <w:r w:rsidRPr="00AE3725">
        <w:rPr>
          <w:sz w:val="24"/>
          <w:szCs w:val="24"/>
        </w:rPr>
        <w:t>glucuronsyre</w:t>
      </w:r>
      <w:proofErr w:type="spellEnd"/>
      <w:r w:rsidRPr="00AE3725">
        <w:rPr>
          <w:sz w:val="24"/>
          <w:szCs w:val="24"/>
        </w:rPr>
        <w:t xml:space="preserve"> og giver </w:t>
      </w:r>
      <w:proofErr w:type="spellStart"/>
      <w:r w:rsidRPr="00AE3725">
        <w:rPr>
          <w:sz w:val="24"/>
          <w:szCs w:val="24"/>
        </w:rPr>
        <w:t>acylglukuronid</w:t>
      </w:r>
      <w:proofErr w:type="spellEnd"/>
      <w:r w:rsidRPr="00AE3725">
        <w:rPr>
          <w:sz w:val="24"/>
          <w:szCs w:val="24"/>
        </w:rPr>
        <w:t xml:space="preserve">. Ingen af disse </w:t>
      </w:r>
      <w:proofErr w:type="spellStart"/>
      <w:r w:rsidRPr="00AE3725">
        <w:rPr>
          <w:sz w:val="24"/>
          <w:szCs w:val="24"/>
        </w:rPr>
        <w:t>matabolitter</w:t>
      </w:r>
      <w:proofErr w:type="spellEnd"/>
      <w:r w:rsidRPr="00AE3725">
        <w:rPr>
          <w:sz w:val="24"/>
          <w:szCs w:val="24"/>
        </w:rPr>
        <w:t xml:space="preserve"> er farmakologisk aktive.</w:t>
      </w:r>
    </w:p>
    <w:p w14:paraId="7B89D2CE" w14:textId="77777777" w:rsidR="004223FE" w:rsidRPr="00AE3725" w:rsidRDefault="004223FE" w:rsidP="006B5194">
      <w:pPr>
        <w:autoSpaceDE w:val="0"/>
        <w:autoSpaceDN w:val="0"/>
        <w:adjustRightInd w:val="0"/>
        <w:ind w:left="851"/>
        <w:rPr>
          <w:sz w:val="24"/>
          <w:szCs w:val="24"/>
          <w:highlight w:val="green"/>
        </w:rPr>
      </w:pPr>
    </w:p>
    <w:p w14:paraId="716928A9" w14:textId="77777777" w:rsidR="004223FE" w:rsidRPr="00AE3725" w:rsidRDefault="004223FE" w:rsidP="006B5194">
      <w:pPr>
        <w:autoSpaceDE w:val="0"/>
        <w:autoSpaceDN w:val="0"/>
        <w:adjustRightInd w:val="0"/>
        <w:ind w:left="851"/>
        <w:rPr>
          <w:sz w:val="24"/>
          <w:szCs w:val="24"/>
        </w:rPr>
      </w:pPr>
      <w:r w:rsidRPr="00AE3725">
        <w:rPr>
          <w:sz w:val="24"/>
          <w:szCs w:val="24"/>
        </w:rPr>
        <w:t xml:space="preserve">Safinamid ser ikke ud til signifikant at inducere eller hæmme enzymer ved klinisk relevante systemiske koncentrationer. </w:t>
      </w:r>
      <w:r w:rsidRPr="00AE3725">
        <w:rPr>
          <w:i/>
          <w:iCs/>
          <w:sz w:val="24"/>
          <w:szCs w:val="24"/>
        </w:rPr>
        <w:t xml:space="preserve">In </w:t>
      </w:r>
      <w:proofErr w:type="spellStart"/>
      <w:r w:rsidRPr="00AE3725">
        <w:rPr>
          <w:i/>
          <w:iCs/>
          <w:sz w:val="24"/>
          <w:szCs w:val="24"/>
        </w:rPr>
        <w:t>vitro</w:t>
      </w:r>
      <w:proofErr w:type="spellEnd"/>
      <w:r w:rsidRPr="00AE3725">
        <w:rPr>
          <w:sz w:val="24"/>
          <w:szCs w:val="24"/>
        </w:rPr>
        <w:t xml:space="preserve"> metabolismestudier indikerer, at der ikke er induktion eller hæmning i betydelig grad af </w:t>
      </w:r>
      <w:proofErr w:type="spellStart"/>
      <w:r w:rsidRPr="00AE3725">
        <w:rPr>
          <w:sz w:val="24"/>
          <w:szCs w:val="24"/>
        </w:rPr>
        <w:t>cytochrom</w:t>
      </w:r>
      <w:proofErr w:type="spellEnd"/>
      <w:r w:rsidRPr="00AE3725">
        <w:rPr>
          <w:sz w:val="24"/>
          <w:szCs w:val="24"/>
        </w:rPr>
        <w:t xml:space="preserve"> P450, CYP2A6, 2B6, 2C8, 2C9, 2C19, 2D6, 2E1 og 3A3/5 ved relevante koncentrationer (</w:t>
      </w:r>
      <w:proofErr w:type="spellStart"/>
      <w:r w:rsidRPr="00AE3725">
        <w:rPr>
          <w:sz w:val="24"/>
          <w:szCs w:val="24"/>
        </w:rPr>
        <w:t>C</w:t>
      </w:r>
      <w:r w:rsidRPr="00AE3725">
        <w:rPr>
          <w:sz w:val="24"/>
          <w:szCs w:val="24"/>
          <w:vertAlign w:val="subscript"/>
        </w:rPr>
        <w:t>max</w:t>
      </w:r>
      <w:proofErr w:type="spellEnd"/>
      <w:r w:rsidRPr="00AE3725">
        <w:rPr>
          <w:sz w:val="24"/>
          <w:szCs w:val="24"/>
        </w:rPr>
        <w:t xml:space="preserve"> af frit safinamid 0,4 </w:t>
      </w:r>
      <w:proofErr w:type="spellStart"/>
      <w:r w:rsidRPr="00AE3725">
        <w:rPr>
          <w:sz w:val="24"/>
          <w:szCs w:val="24"/>
        </w:rPr>
        <w:t>μM</w:t>
      </w:r>
      <w:proofErr w:type="spellEnd"/>
      <w:r w:rsidRPr="00AE3725">
        <w:rPr>
          <w:sz w:val="24"/>
          <w:szCs w:val="24"/>
        </w:rPr>
        <w:t xml:space="preserve"> ved 100 mg/dag) hos mennesker. Dedikerede lægemiddelinteraktionsstudier udført med </w:t>
      </w:r>
      <w:proofErr w:type="spellStart"/>
      <w:r w:rsidRPr="00AE3725">
        <w:rPr>
          <w:sz w:val="24"/>
          <w:szCs w:val="24"/>
        </w:rPr>
        <w:t>ketoconazol</w:t>
      </w:r>
      <w:proofErr w:type="spellEnd"/>
      <w:r w:rsidRPr="00AE3725">
        <w:rPr>
          <w:sz w:val="24"/>
          <w:szCs w:val="24"/>
        </w:rPr>
        <w:t>, L-</w:t>
      </w:r>
      <w:proofErr w:type="spellStart"/>
      <w:r w:rsidRPr="00AE3725">
        <w:rPr>
          <w:sz w:val="24"/>
          <w:szCs w:val="24"/>
        </w:rPr>
        <w:t>dopa</w:t>
      </w:r>
      <w:proofErr w:type="spellEnd"/>
      <w:r w:rsidRPr="00AE3725">
        <w:rPr>
          <w:sz w:val="24"/>
          <w:szCs w:val="24"/>
        </w:rPr>
        <w:t xml:space="preserve"> og CYP1A2- og CYP3A4-substrater (koffein og </w:t>
      </w:r>
      <w:proofErr w:type="spellStart"/>
      <w:r w:rsidRPr="00AE3725">
        <w:rPr>
          <w:sz w:val="24"/>
          <w:szCs w:val="24"/>
        </w:rPr>
        <w:t>midazolam</w:t>
      </w:r>
      <w:proofErr w:type="spellEnd"/>
      <w:r w:rsidRPr="00AE3725">
        <w:rPr>
          <w:sz w:val="24"/>
          <w:szCs w:val="24"/>
        </w:rPr>
        <w:t>), afslørede ingen klinisk signifikant effekt på farmakokinetikken af safinamid, eller L-</w:t>
      </w:r>
      <w:proofErr w:type="spellStart"/>
      <w:r w:rsidRPr="00AE3725">
        <w:rPr>
          <w:sz w:val="24"/>
          <w:szCs w:val="24"/>
        </w:rPr>
        <w:t>dopa</w:t>
      </w:r>
      <w:proofErr w:type="spellEnd"/>
      <w:r w:rsidRPr="00AE3725">
        <w:rPr>
          <w:sz w:val="24"/>
          <w:szCs w:val="24"/>
        </w:rPr>
        <w:t xml:space="preserve">, koffein og </w:t>
      </w:r>
      <w:proofErr w:type="spellStart"/>
      <w:r w:rsidRPr="00AE3725">
        <w:rPr>
          <w:sz w:val="24"/>
          <w:szCs w:val="24"/>
        </w:rPr>
        <w:t>midazolam</w:t>
      </w:r>
      <w:proofErr w:type="spellEnd"/>
      <w:r w:rsidRPr="00AE3725">
        <w:rPr>
          <w:sz w:val="24"/>
          <w:szCs w:val="24"/>
        </w:rPr>
        <w:t>.</w:t>
      </w:r>
    </w:p>
    <w:p w14:paraId="6A49D719" w14:textId="77777777" w:rsidR="004223FE" w:rsidRPr="00AE3725" w:rsidRDefault="004223FE" w:rsidP="006B5194">
      <w:pPr>
        <w:autoSpaceDE w:val="0"/>
        <w:autoSpaceDN w:val="0"/>
        <w:adjustRightInd w:val="0"/>
        <w:ind w:left="851"/>
        <w:rPr>
          <w:sz w:val="24"/>
          <w:szCs w:val="24"/>
        </w:rPr>
      </w:pPr>
    </w:p>
    <w:p w14:paraId="2DCDD617" w14:textId="77777777" w:rsidR="004223FE" w:rsidRPr="00AE3725" w:rsidRDefault="004223FE" w:rsidP="006B5194">
      <w:pPr>
        <w:autoSpaceDE w:val="0"/>
        <w:autoSpaceDN w:val="0"/>
        <w:adjustRightInd w:val="0"/>
        <w:ind w:left="851"/>
        <w:rPr>
          <w:sz w:val="24"/>
          <w:szCs w:val="24"/>
        </w:rPr>
      </w:pPr>
      <w:r w:rsidRPr="00AE3725">
        <w:rPr>
          <w:sz w:val="24"/>
          <w:szCs w:val="24"/>
        </w:rPr>
        <w:t>Et massebalancestudie viste, at plasma AUC</w:t>
      </w:r>
      <w:r w:rsidRPr="00AE3725">
        <w:rPr>
          <w:sz w:val="24"/>
          <w:szCs w:val="24"/>
          <w:vertAlign w:val="subscript"/>
        </w:rPr>
        <w:t>0-24t</w:t>
      </w:r>
      <w:r w:rsidRPr="00AE3725">
        <w:rPr>
          <w:sz w:val="24"/>
          <w:szCs w:val="24"/>
        </w:rPr>
        <w:t xml:space="preserve"> med uændret </w:t>
      </w:r>
      <w:r w:rsidRPr="00AE3725">
        <w:rPr>
          <w:sz w:val="24"/>
          <w:szCs w:val="24"/>
          <w:vertAlign w:val="superscript"/>
        </w:rPr>
        <w:t>14</w:t>
      </w:r>
      <w:r w:rsidRPr="00AE3725">
        <w:rPr>
          <w:sz w:val="24"/>
          <w:szCs w:val="24"/>
        </w:rPr>
        <w:t>C-safinamid udgjorde ca. 30 % af den samlede radioaktivitet AUC</w:t>
      </w:r>
      <w:r w:rsidRPr="00AE3725">
        <w:rPr>
          <w:sz w:val="24"/>
          <w:szCs w:val="24"/>
          <w:vertAlign w:val="subscript"/>
        </w:rPr>
        <w:t>0-24t</w:t>
      </w:r>
      <w:r w:rsidRPr="00AE3725">
        <w:rPr>
          <w:sz w:val="24"/>
          <w:szCs w:val="24"/>
        </w:rPr>
        <w:t>, hvilket indikerer en omfattende metabolisme.</w:t>
      </w:r>
    </w:p>
    <w:p w14:paraId="4C9AFB6F" w14:textId="77777777" w:rsidR="004223FE" w:rsidRPr="00AE3725" w:rsidRDefault="004223FE" w:rsidP="006B5194">
      <w:pPr>
        <w:autoSpaceDE w:val="0"/>
        <w:autoSpaceDN w:val="0"/>
        <w:adjustRightInd w:val="0"/>
        <w:ind w:left="851"/>
        <w:rPr>
          <w:sz w:val="24"/>
          <w:szCs w:val="24"/>
          <w:highlight w:val="green"/>
        </w:rPr>
      </w:pPr>
    </w:p>
    <w:p w14:paraId="70ACAB4F" w14:textId="77777777" w:rsidR="004223FE" w:rsidRPr="00AE3725" w:rsidRDefault="004223FE" w:rsidP="006B5194">
      <w:pPr>
        <w:autoSpaceDE w:val="0"/>
        <w:autoSpaceDN w:val="0"/>
        <w:adjustRightInd w:val="0"/>
        <w:ind w:left="851"/>
        <w:rPr>
          <w:sz w:val="24"/>
          <w:szCs w:val="24"/>
          <w:highlight w:val="green"/>
          <w:u w:val="single"/>
        </w:rPr>
      </w:pPr>
      <w:r w:rsidRPr="00AE3725">
        <w:rPr>
          <w:sz w:val="24"/>
          <w:szCs w:val="24"/>
          <w:u w:val="single"/>
        </w:rPr>
        <w:t>Transportører</w:t>
      </w:r>
    </w:p>
    <w:p w14:paraId="2B34FBAC" w14:textId="77777777" w:rsidR="004223FE" w:rsidRPr="00AE3725" w:rsidRDefault="004223FE" w:rsidP="006B5194">
      <w:pPr>
        <w:autoSpaceDE w:val="0"/>
        <w:autoSpaceDN w:val="0"/>
        <w:adjustRightInd w:val="0"/>
        <w:ind w:left="851"/>
        <w:rPr>
          <w:sz w:val="24"/>
          <w:szCs w:val="24"/>
          <w:highlight w:val="green"/>
        </w:rPr>
      </w:pPr>
    </w:p>
    <w:p w14:paraId="2AA7C6A2" w14:textId="77777777" w:rsidR="004223FE" w:rsidRPr="00AE3725" w:rsidRDefault="004223FE" w:rsidP="006B5194">
      <w:pPr>
        <w:autoSpaceDE w:val="0"/>
        <w:autoSpaceDN w:val="0"/>
        <w:adjustRightInd w:val="0"/>
        <w:ind w:left="851"/>
        <w:rPr>
          <w:sz w:val="24"/>
          <w:szCs w:val="24"/>
        </w:rPr>
      </w:pPr>
      <w:r w:rsidRPr="00AE3725">
        <w:rPr>
          <w:sz w:val="24"/>
          <w:szCs w:val="24"/>
        </w:rPr>
        <w:t xml:space="preserve">Indledende </w:t>
      </w:r>
      <w:r w:rsidRPr="00AE3725">
        <w:rPr>
          <w:i/>
          <w:iCs/>
          <w:sz w:val="24"/>
          <w:szCs w:val="24"/>
        </w:rPr>
        <w:t xml:space="preserve">in </w:t>
      </w:r>
      <w:proofErr w:type="spellStart"/>
      <w:r w:rsidRPr="00AE3725">
        <w:rPr>
          <w:i/>
          <w:iCs/>
          <w:sz w:val="24"/>
          <w:szCs w:val="24"/>
        </w:rPr>
        <w:t>vitro</w:t>
      </w:r>
      <w:proofErr w:type="spellEnd"/>
      <w:r w:rsidRPr="00AE3725">
        <w:rPr>
          <w:sz w:val="24"/>
          <w:szCs w:val="24"/>
        </w:rPr>
        <w:t xml:space="preserve">-studier har påvist, at safinamid ikke er et substrat for transportørerne P-gp, BCRP, OAT1B1, OAT1B3, OATP1A2 eller OAT2P1. Metabolit NW-1153 er ikke et substrat for OCT2 eller OAT1, men det er et substrat for OAT3. Denne interaktion har potentiale til at reducere </w:t>
      </w:r>
      <w:proofErr w:type="spellStart"/>
      <w:r w:rsidRPr="00AE3725">
        <w:rPr>
          <w:sz w:val="24"/>
          <w:szCs w:val="24"/>
        </w:rPr>
        <w:t>clearance</w:t>
      </w:r>
      <w:proofErr w:type="spellEnd"/>
      <w:r w:rsidRPr="00AE3725">
        <w:rPr>
          <w:sz w:val="24"/>
          <w:szCs w:val="24"/>
        </w:rPr>
        <w:t xml:space="preserve"> af NW-1153 og øge dets eksponering. Den systemiske eksponering af NW-1153 er dog lav (1/10 af safinamid), og da det </w:t>
      </w:r>
      <w:proofErr w:type="spellStart"/>
      <w:r w:rsidRPr="00AE3725">
        <w:rPr>
          <w:sz w:val="24"/>
          <w:szCs w:val="24"/>
        </w:rPr>
        <w:t>metaboliseres</w:t>
      </w:r>
      <w:proofErr w:type="spellEnd"/>
      <w:r w:rsidRPr="00AE3725">
        <w:rPr>
          <w:sz w:val="24"/>
          <w:szCs w:val="24"/>
        </w:rPr>
        <w:t xml:space="preserve"> til sekundære og tertiære metabolitter, er det usandsynligt, at det har nogen klinisk relevans.</w:t>
      </w:r>
    </w:p>
    <w:p w14:paraId="017C03D5" w14:textId="77777777" w:rsidR="004223FE" w:rsidRPr="00AE3725" w:rsidRDefault="004223FE" w:rsidP="006B5194">
      <w:pPr>
        <w:autoSpaceDE w:val="0"/>
        <w:autoSpaceDN w:val="0"/>
        <w:adjustRightInd w:val="0"/>
        <w:ind w:left="851"/>
        <w:rPr>
          <w:sz w:val="24"/>
          <w:szCs w:val="24"/>
        </w:rPr>
      </w:pPr>
    </w:p>
    <w:p w14:paraId="0DABA0BA" w14:textId="77777777" w:rsidR="004223FE" w:rsidRPr="00AE3725" w:rsidRDefault="004223FE" w:rsidP="006B5194">
      <w:pPr>
        <w:autoSpaceDE w:val="0"/>
        <w:autoSpaceDN w:val="0"/>
        <w:adjustRightInd w:val="0"/>
        <w:ind w:left="851"/>
        <w:rPr>
          <w:sz w:val="24"/>
          <w:szCs w:val="24"/>
        </w:rPr>
      </w:pPr>
      <w:r w:rsidRPr="00AE3725">
        <w:rPr>
          <w:sz w:val="24"/>
          <w:szCs w:val="24"/>
        </w:rPr>
        <w:lastRenderedPageBreak/>
        <w:t xml:space="preserve">Safinamid hæmmer BCRP i tyndtarmen midlertidigt (se pkt. 4.5). Ved koncentrationer på 50Μm hæmmede safinamid OATP1A2 og OATP2P1. Safinamids relevante plasmakoncentrationer er betydeligt lavere, og det er derfor usandsynligt, at en interaktion med samtidigt administration af substrater af disse transportører vil have klinisk relevans. NW-1153 hæmmer ikke OCT2, MATE1 eller MATE2-K ved koncentrationer op til 5μM. </w:t>
      </w:r>
    </w:p>
    <w:p w14:paraId="0C41C8B4" w14:textId="77777777" w:rsidR="004223FE" w:rsidRPr="00AE3725" w:rsidRDefault="004223FE" w:rsidP="006B5194">
      <w:pPr>
        <w:autoSpaceDE w:val="0"/>
        <w:autoSpaceDN w:val="0"/>
        <w:adjustRightInd w:val="0"/>
        <w:ind w:left="851"/>
        <w:rPr>
          <w:sz w:val="24"/>
          <w:szCs w:val="24"/>
          <w:highlight w:val="green"/>
        </w:rPr>
      </w:pPr>
    </w:p>
    <w:p w14:paraId="52BD6B28" w14:textId="77777777" w:rsidR="004223FE" w:rsidRPr="00AE3725" w:rsidRDefault="004223FE" w:rsidP="006B5194">
      <w:pPr>
        <w:autoSpaceDE w:val="0"/>
        <w:autoSpaceDN w:val="0"/>
        <w:adjustRightInd w:val="0"/>
        <w:ind w:left="851"/>
        <w:rPr>
          <w:sz w:val="24"/>
          <w:szCs w:val="24"/>
          <w:highlight w:val="green"/>
          <w:u w:val="single"/>
        </w:rPr>
      </w:pPr>
      <w:r w:rsidRPr="00AE3725">
        <w:rPr>
          <w:sz w:val="24"/>
          <w:szCs w:val="24"/>
          <w:u w:val="single"/>
        </w:rPr>
        <w:t>Linearitet/non-linearitet</w:t>
      </w:r>
    </w:p>
    <w:p w14:paraId="47C4C3D8" w14:textId="77777777" w:rsidR="004223FE" w:rsidRPr="00AE3725" w:rsidRDefault="004223FE" w:rsidP="006B5194">
      <w:pPr>
        <w:autoSpaceDE w:val="0"/>
        <w:autoSpaceDN w:val="0"/>
        <w:adjustRightInd w:val="0"/>
        <w:ind w:left="851"/>
        <w:rPr>
          <w:sz w:val="24"/>
          <w:szCs w:val="24"/>
          <w:highlight w:val="green"/>
          <w:u w:val="single"/>
        </w:rPr>
      </w:pPr>
    </w:p>
    <w:p w14:paraId="629A239D" w14:textId="77777777" w:rsidR="004223FE" w:rsidRPr="00AE3725" w:rsidRDefault="004223FE" w:rsidP="006B5194">
      <w:pPr>
        <w:autoSpaceDE w:val="0"/>
        <w:autoSpaceDN w:val="0"/>
        <w:adjustRightInd w:val="0"/>
        <w:ind w:left="851"/>
        <w:rPr>
          <w:sz w:val="24"/>
          <w:szCs w:val="24"/>
        </w:rPr>
      </w:pPr>
      <w:r w:rsidRPr="00AE3725">
        <w:rPr>
          <w:sz w:val="24"/>
          <w:szCs w:val="24"/>
        </w:rPr>
        <w:t xml:space="preserve">Safinamids </w:t>
      </w:r>
      <w:proofErr w:type="spellStart"/>
      <w:r w:rsidRPr="00AE3725">
        <w:rPr>
          <w:sz w:val="24"/>
          <w:szCs w:val="24"/>
        </w:rPr>
        <w:t>farmakokinetiske</w:t>
      </w:r>
      <w:proofErr w:type="spellEnd"/>
      <w:r w:rsidRPr="00AE3725">
        <w:rPr>
          <w:sz w:val="24"/>
          <w:szCs w:val="24"/>
        </w:rPr>
        <w:t xml:space="preserve"> profil er lineær efter enkle og gentagne doser. Der blev ikke observeret nogen tidsafhængighed.</w:t>
      </w:r>
    </w:p>
    <w:p w14:paraId="4E551853" w14:textId="77777777" w:rsidR="004223FE" w:rsidRPr="00AE3725" w:rsidRDefault="004223FE" w:rsidP="006B5194">
      <w:pPr>
        <w:autoSpaceDE w:val="0"/>
        <w:autoSpaceDN w:val="0"/>
        <w:adjustRightInd w:val="0"/>
        <w:ind w:left="851"/>
        <w:rPr>
          <w:sz w:val="24"/>
          <w:szCs w:val="24"/>
          <w:highlight w:val="green"/>
        </w:rPr>
      </w:pPr>
    </w:p>
    <w:p w14:paraId="3192FD46" w14:textId="77777777" w:rsidR="004223FE" w:rsidRPr="00AE3725" w:rsidRDefault="004223FE" w:rsidP="006B5194">
      <w:pPr>
        <w:autoSpaceDE w:val="0"/>
        <w:autoSpaceDN w:val="0"/>
        <w:adjustRightInd w:val="0"/>
        <w:ind w:left="851"/>
        <w:rPr>
          <w:sz w:val="24"/>
          <w:szCs w:val="24"/>
          <w:highlight w:val="green"/>
          <w:u w:val="single"/>
        </w:rPr>
      </w:pPr>
      <w:r w:rsidRPr="00AE3725">
        <w:rPr>
          <w:sz w:val="24"/>
          <w:szCs w:val="24"/>
          <w:u w:val="single"/>
        </w:rPr>
        <w:t>Elimination</w:t>
      </w:r>
    </w:p>
    <w:p w14:paraId="6F0B2717" w14:textId="77777777" w:rsidR="004223FE" w:rsidRPr="00AE3725" w:rsidRDefault="004223FE" w:rsidP="006B5194">
      <w:pPr>
        <w:autoSpaceDE w:val="0"/>
        <w:autoSpaceDN w:val="0"/>
        <w:adjustRightInd w:val="0"/>
        <w:ind w:left="851"/>
        <w:rPr>
          <w:sz w:val="24"/>
          <w:szCs w:val="24"/>
          <w:highlight w:val="green"/>
          <w:u w:val="single"/>
        </w:rPr>
      </w:pPr>
    </w:p>
    <w:p w14:paraId="19E79432" w14:textId="77777777" w:rsidR="004223FE" w:rsidRPr="00AE3725" w:rsidRDefault="004223FE" w:rsidP="006B5194">
      <w:pPr>
        <w:autoSpaceDE w:val="0"/>
        <w:autoSpaceDN w:val="0"/>
        <w:adjustRightInd w:val="0"/>
        <w:ind w:left="851"/>
        <w:rPr>
          <w:sz w:val="24"/>
          <w:szCs w:val="24"/>
        </w:rPr>
      </w:pPr>
      <w:r w:rsidRPr="00AE3725">
        <w:rPr>
          <w:sz w:val="24"/>
          <w:szCs w:val="24"/>
        </w:rPr>
        <w:t>Safinamid gennemgår næsten fuldstændig metabolisk omdannelse (&lt;10 % af den administrerede dosis blev fundet uændret i urinen). Substansrelateret radioaktivitet udskiltes overvejende i urinen (76 %), og kun i ringe grad i fæces (1,5 %) efter 192 timer. Den terminale halveringstid af den samlede radioaktivitet var cirka 80 timer.</w:t>
      </w:r>
    </w:p>
    <w:p w14:paraId="642CF8EF" w14:textId="77777777" w:rsidR="004223FE" w:rsidRPr="00AE3725" w:rsidRDefault="004223FE" w:rsidP="006B5194">
      <w:pPr>
        <w:autoSpaceDE w:val="0"/>
        <w:autoSpaceDN w:val="0"/>
        <w:adjustRightInd w:val="0"/>
        <w:ind w:left="851"/>
        <w:rPr>
          <w:sz w:val="24"/>
          <w:szCs w:val="24"/>
        </w:rPr>
      </w:pPr>
    </w:p>
    <w:p w14:paraId="2C56E090" w14:textId="6E87A392" w:rsidR="004223FE" w:rsidRPr="00AE3725" w:rsidRDefault="004223FE" w:rsidP="006B5194">
      <w:pPr>
        <w:autoSpaceDE w:val="0"/>
        <w:autoSpaceDN w:val="0"/>
        <w:adjustRightInd w:val="0"/>
        <w:ind w:left="851"/>
        <w:rPr>
          <w:sz w:val="24"/>
          <w:szCs w:val="24"/>
        </w:rPr>
      </w:pPr>
      <w:r w:rsidRPr="00AE3725">
        <w:rPr>
          <w:sz w:val="24"/>
          <w:szCs w:val="24"/>
        </w:rPr>
        <w:t xml:space="preserve">Eliminationshalveringstiden for safinamid er 20-30 timer. </w:t>
      </w:r>
      <w:proofErr w:type="spellStart"/>
      <w:r w:rsidRPr="00AE3725">
        <w:rPr>
          <w:sz w:val="24"/>
          <w:szCs w:val="24"/>
        </w:rPr>
        <w:t>Steady-state</w:t>
      </w:r>
      <w:proofErr w:type="spellEnd"/>
      <w:r w:rsidRPr="00AE3725">
        <w:rPr>
          <w:sz w:val="24"/>
          <w:szCs w:val="24"/>
        </w:rPr>
        <w:t xml:space="preserve"> nås inden for én uge.</w:t>
      </w:r>
    </w:p>
    <w:p w14:paraId="1BF1B1D5" w14:textId="77777777" w:rsidR="004223FE" w:rsidRPr="00AE3725" w:rsidRDefault="004223FE" w:rsidP="006B5194">
      <w:pPr>
        <w:autoSpaceDE w:val="0"/>
        <w:autoSpaceDN w:val="0"/>
        <w:adjustRightInd w:val="0"/>
        <w:ind w:left="851"/>
        <w:rPr>
          <w:sz w:val="24"/>
          <w:szCs w:val="24"/>
          <w:highlight w:val="green"/>
          <w:u w:val="single"/>
        </w:rPr>
      </w:pPr>
    </w:p>
    <w:p w14:paraId="223FF0BA" w14:textId="77777777" w:rsidR="004223FE" w:rsidRPr="00AE3725" w:rsidRDefault="004223FE" w:rsidP="006B5194">
      <w:pPr>
        <w:autoSpaceDE w:val="0"/>
        <w:autoSpaceDN w:val="0"/>
        <w:adjustRightInd w:val="0"/>
        <w:ind w:left="851"/>
        <w:rPr>
          <w:sz w:val="24"/>
          <w:szCs w:val="24"/>
          <w:highlight w:val="green"/>
          <w:u w:val="single"/>
        </w:rPr>
      </w:pPr>
      <w:r w:rsidRPr="00AE3725">
        <w:rPr>
          <w:sz w:val="24"/>
          <w:szCs w:val="24"/>
          <w:u w:val="single"/>
        </w:rPr>
        <w:t>Patienter med nedsat leverfunktion</w:t>
      </w:r>
    </w:p>
    <w:p w14:paraId="0A02D9D4" w14:textId="77777777" w:rsidR="004223FE" w:rsidRPr="00AE3725" w:rsidRDefault="004223FE" w:rsidP="006B5194">
      <w:pPr>
        <w:autoSpaceDE w:val="0"/>
        <w:autoSpaceDN w:val="0"/>
        <w:adjustRightInd w:val="0"/>
        <w:ind w:left="851"/>
        <w:rPr>
          <w:sz w:val="24"/>
          <w:szCs w:val="24"/>
          <w:highlight w:val="green"/>
          <w:u w:val="single"/>
        </w:rPr>
      </w:pPr>
    </w:p>
    <w:p w14:paraId="2A6B4DB8" w14:textId="77777777" w:rsidR="004223FE" w:rsidRPr="00AE3725" w:rsidRDefault="004223FE" w:rsidP="006B5194">
      <w:pPr>
        <w:autoSpaceDE w:val="0"/>
        <w:autoSpaceDN w:val="0"/>
        <w:adjustRightInd w:val="0"/>
        <w:ind w:left="851"/>
        <w:rPr>
          <w:sz w:val="24"/>
          <w:szCs w:val="24"/>
        </w:rPr>
      </w:pPr>
      <w:r w:rsidRPr="00AE3725">
        <w:rPr>
          <w:sz w:val="24"/>
          <w:szCs w:val="24"/>
        </w:rPr>
        <w:t>Safinamid-eksponering hos patienter med mild leversygdom steg marginalt (30 % i AUC), mens eksponering for patienter med moderat nedsat leverfunktion steg med cirka 80 % (se pkt. 4.2).</w:t>
      </w:r>
    </w:p>
    <w:p w14:paraId="71914C0E" w14:textId="77777777" w:rsidR="004223FE" w:rsidRPr="00AE3725" w:rsidRDefault="004223FE" w:rsidP="006B5194">
      <w:pPr>
        <w:autoSpaceDE w:val="0"/>
        <w:autoSpaceDN w:val="0"/>
        <w:adjustRightInd w:val="0"/>
        <w:ind w:left="851"/>
        <w:rPr>
          <w:sz w:val="24"/>
          <w:szCs w:val="24"/>
          <w:u w:val="single"/>
        </w:rPr>
      </w:pPr>
    </w:p>
    <w:p w14:paraId="6E1FA879" w14:textId="77777777" w:rsidR="004223FE" w:rsidRPr="00AE3725" w:rsidRDefault="004223FE" w:rsidP="006B5194">
      <w:pPr>
        <w:autoSpaceDE w:val="0"/>
        <w:autoSpaceDN w:val="0"/>
        <w:adjustRightInd w:val="0"/>
        <w:ind w:left="851"/>
        <w:rPr>
          <w:sz w:val="24"/>
          <w:szCs w:val="24"/>
          <w:u w:val="single"/>
        </w:rPr>
      </w:pPr>
      <w:r w:rsidRPr="00AE3725">
        <w:rPr>
          <w:sz w:val="24"/>
          <w:szCs w:val="24"/>
          <w:u w:val="single"/>
        </w:rPr>
        <w:t>Patienter med nedsat nyrefunktion</w:t>
      </w:r>
    </w:p>
    <w:p w14:paraId="4F8F1FAB" w14:textId="77777777" w:rsidR="004223FE" w:rsidRPr="00AE3725" w:rsidRDefault="004223FE" w:rsidP="006B5194">
      <w:pPr>
        <w:autoSpaceDE w:val="0"/>
        <w:autoSpaceDN w:val="0"/>
        <w:adjustRightInd w:val="0"/>
        <w:ind w:left="851"/>
        <w:rPr>
          <w:sz w:val="24"/>
          <w:szCs w:val="24"/>
        </w:rPr>
      </w:pPr>
    </w:p>
    <w:p w14:paraId="40BECABF" w14:textId="77777777" w:rsidR="004223FE" w:rsidRPr="00AE3725" w:rsidRDefault="004223FE" w:rsidP="006B5194">
      <w:pPr>
        <w:autoSpaceDE w:val="0"/>
        <w:autoSpaceDN w:val="0"/>
        <w:adjustRightInd w:val="0"/>
        <w:ind w:left="851"/>
        <w:rPr>
          <w:sz w:val="24"/>
          <w:szCs w:val="24"/>
        </w:rPr>
      </w:pPr>
      <w:r w:rsidRPr="00AE3725">
        <w:rPr>
          <w:sz w:val="24"/>
          <w:szCs w:val="24"/>
        </w:rPr>
        <w:t>Moderat eller svært nedsat nyrefunktion ændrede ikke eksponeringen for safinamid sammenlignet med raske forsøgspersoner (se pkt. 4.2).</w:t>
      </w:r>
    </w:p>
    <w:p w14:paraId="710968BB" w14:textId="77777777" w:rsidR="009260DE" w:rsidRPr="00AE3725" w:rsidRDefault="009260DE" w:rsidP="009260DE">
      <w:pPr>
        <w:tabs>
          <w:tab w:val="left" w:pos="851"/>
        </w:tabs>
        <w:ind w:left="851"/>
        <w:rPr>
          <w:sz w:val="24"/>
          <w:szCs w:val="24"/>
        </w:rPr>
      </w:pPr>
    </w:p>
    <w:p w14:paraId="1103B005" w14:textId="77777777" w:rsidR="009260DE" w:rsidRPr="00AE3725" w:rsidRDefault="009260DE" w:rsidP="009260DE">
      <w:pPr>
        <w:tabs>
          <w:tab w:val="left" w:pos="851"/>
        </w:tabs>
        <w:ind w:left="851" w:hanging="851"/>
        <w:rPr>
          <w:b/>
          <w:sz w:val="24"/>
          <w:szCs w:val="24"/>
        </w:rPr>
      </w:pPr>
      <w:r w:rsidRPr="00AE3725">
        <w:rPr>
          <w:b/>
          <w:sz w:val="24"/>
          <w:szCs w:val="24"/>
        </w:rPr>
        <w:t>5.3</w:t>
      </w:r>
      <w:r w:rsidRPr="00AE3725">
        <w:rPr>
          <w:b/>
          <w:sz w:val="24"/>
          <w:szCs w:val="24"/>
        </w:rPr>
        <w:tab/>
      </w:r>
      <w:r w:rsidR="00BD7931" w:rsidRPr="00AE3725">
        <w:rPr>
          <w:b/>
          <w:sz w:val="24"/>
          <w:szCs w:val="24"/>
        </w:rPr>
        <w:t>Non-</w:t>
      </w:r>
      <w:r w:rsidRPr="00AE3725">
        <w:rPr>
          <w:b/>
          <w:sz w:val="24"/>
          <w:szCs w:val="24"/>
        </w:rPr>
        <w:t>kliniske sikkerhedsdata</w:t>
      </w:r>
    </w:p>
    <w:p w14:paraId="00966255" w14:textId="77777777" w:rsidR="004223FE" w:rsidRPr="00AE3725" w:rsidRDefault="004223FE" w:rsidP="006B5194">
      <w:pPr>
        <w:autoSpaceDE w:val="0"/>
        <w:autoSpaceDN w:val="0"/>
        <w:adjustRightInd w:val="0"/>
        <w:ind w:left="851"/>
        <w:rPr>
          <w:sz w:val="24"/>
          <w:szCs w:val="24"/>
        </w:rPr>
      </w:pPr>
      <w:r w:rsidRPr="00AE3725">
        <w:rPr>
          <w:sz w:val="24"/>
          <w:szCs w:val="24"/>
        </w:rPr>
        <w:t>Der blev observeret nethindedegeneration hos gnavere efter gentagne doseringer med safinamid, som resulterede i systemisk eksponering, som lå under den forventede systemiske eksponering hos patienter, der fik maksimal terapeutisk dosis. Der observeredes ingen nethindedegeneration hos aber trods højere systemisk eksponering end hos gnavere eller hos patienter med maksimal human dosis.</w:t>
      </w:r>
    </w:p>
    <w:p w14:paraId="24470E7A" w14:textId="77777777" w:rsidR="004223FE" w:rsidRPr="00AE3725" w:rsidRDefault="004223FE" w:rsidP="006B5194">
      <w:pPr>
        <w:autoSpaceDE w:val="0"/>
        <w:autoSpaceDN w:val="0"/>
        <w:adjustRightInd w:val="0"/>
        <w:ind w:left="851"/>
        <w:rPr>
          <w:sz w:val="24"/>
          <w:szCs w:val="24"/>
        </w:rPr>
      </w:pPr>
    </w:p>
    <w:p w14:paraId="55032F9E" w14:textId="77777777" w:rsidR="004223FE" w:rsidRPr="00AE3725" w:rsidRDefault="004223FE" w:rsidP="006B5194">
      <w:pPr>
        <w:autoSpaceDE w:val="0"/>
        <w:autoSpaceDN w:val="0"/>
        <w:adjustRightInd w:val="0"/>
        <w:ind w:left="851"/>
        <w:rPr>
          <w:sz w:val="24"/>
          <w:szCs w:val="24"/>
        </w:rPr>
      </w:pPr>
      <w:r w:rsidRPr="00AE3725">
        <w:rPr>
          <w:sz w:val="24"/>
          <w:szCs w:val="24"/>
        </w:rPr>
        <w:t xml:space="preserve">Langtidsstudier i dyr har vist kramper (1,6 til 12,8 gange human klinisk eksponering, baseret på plasma-AUC). Der blev kun observeret leverhypertrofi og ændringer i fedt i gnaveres lever ved eksponeringer svarende til mennesker. </w:t>
      </w:r>
      <w:proofErr w:type="spellStart"/>
      <w:r w:rsidRPr="00AE3725">
        <w:rPr>
          <w:sz w:val="24"/>
          <w:szCs w:val="24"/>
        </w:rPr>
        <w:t>Phospholipider</w:t>
      </w:r>
      <w:proofErr w:type="spellEnd"/>
      <w:r w:rsidRPr="00AE3725">
        <w:rPr>
          <w:sz w:val="24"/>
          <w:szCs w:val="24"/>
        </w:rPr>
        <w:t xml:space="preserve"> blev hovedsageligt set i lunger hos gnavere (ved en eksponering svarende til mennesker) og aber (ved en eksponering 12 gange højere end hos mennesker).</w:t>
      </w:r>
    </w:p>
    <w:p w14:paraId="7646A8CF" w14:textId="77777777" w:rsidR="004223FE" w:rsidRPr="00AE3725" w:rsidRDefault="004223FE" w:rsidP="006B5194">
      <w:pPr>
        <w:autoSpaceDE w:val="0"/>
        <w:autoSpaceDN w:val="0"/>
        <w:adjustRightInd w:val="0"/>
        <w:ind w:left="851"/>
        <w:rPr>
          <w:sz w:val="24"/>
          <w:szCs w:val="24"/>
        </w:rPr>
      </w:pPr>
    </w:p>
    <w:p w14:paraId="0FC6FEA5" w14:textId="77777777" w:rsidR="004223FE" w:rsidRPr="00AE3725" w:rsidRDefault="004223FE" w:rsidP="006B5194">
      <w:pPr>
        <w:autoSpaceDE w:val="0"/>
        <w:autoSpaceDN w:val="0"/>
        <w:adjustRightInd w:val="0"/>
        <w:ind w:left="851"/>
        <w:rPr>
          <w:sz w:val="24"/>
          <w:szCs w:val="24"/>
        </w:rPr>
      </w:pPr>
      <w:r w:rsidRPr="00AE3725">
        <w:rPr>
          <w:sz w:val="24"/>
          <w:szCs w:val="24"/>
        </w:rPr>
        <w:t xml:space="preserve">Safinamid viste ikke genotoksisk potentiale i </w:t>
      </w:r>
      <w:r w:rsidRPr="00AE3725">
        <w:rPr>
          <w:i/>
          <w:iCs/>
          <w:sz w:val="24"/>
          <w:szCs w:val="24"/>
        </w:rPr>
        <w:t xml:space="preserve">in </w:t>
      </w:r>
      <w:proofErr w:type="spellStart"/>
      <w:r w:rsidRPr="00AE3725">
        <w:rPr>
          <w:i/>
          <w:iCs/>
          <w:sz w:val="24"/>
          <w:szCs w:val="24"/>
        </w:rPr>
        <w:t>vivo</w:t>
      </w:r>
      <w:proofErr w:type="spellEnd"/>
      <w:r w:rsidRPr="00AE3725">
        <w:rPr>
          <w:sz w:val="24"/>
          <w:szCs w:val="24"/>
        </w:rPr>
        <w:t xml:space="preserve"> og i adskillige </w:t>
      </w:r>
      <w:r w:rsidRPr="00AE3725">
        <w:rPr>
          <w:i/>
          <w:iCs/>
          <w:sz w:val="24"/>
          <w:szCs w:val="24"/>
        </w:rPr>
        <w:t xml:space="preserve">in </w:t>
      </w:r>
      <w:proofErr w:type="spellStart"/>
      <w:r w:rsidRPr="00AE3725">
        <w:rPr>
          <w:i/>
          <w:iCs/>
          <w:sz w:val="24"/>
          <w:szCs w:val="24"/>
        </w:rPr>
        <w:t>vitro</w:t>
      </w:r>
      <w:proofErr w:type="spellEnd"/>
      <w:r w:rsidRPr="00AE3725">
        <w:rPr>
          <w:sz w:val="24"/>
          <w:szCs w:val="24"/>
        </w:rPr>
        <w:t>-systemer med bakterier eller pattedyrceller.</w:t>
      </w:r>
    </w:p>
    <w:p w14:paraId="6023B3B7" w14:textId="77777777" w:rsidR="004223FE" w:rsidRPr="00AE3725" w:rsidRDefault="004223FE" w:rsidP="006B5194">
      <w:pPr>
        <w:autoSpaceDE w:val="0"/>
        <w:autoSpaceDN w:val="0"/>
        <w:adjustRightInd w:val="0"/>
        <w:ind w:left="851"/>
        <w:rPr>
          <w:sz w:val="24"/>
          <w:szCs w:val="24"/>
        </w:rPr>
      </w:pPr>
    </w:p>
    <w:p w14:paraId="54B26106" w14:textId="77777777" w:rsidR="004223FE" w:rsidRPr="00AE3725" w:rsidRDefault="004223FE" w:rsidP="006B5194">
      <w:pPr>
        <w:autoSpaceDE w:val="0"/>
        <w:autoSpaceDN w:val="0"/>
        <w:adjustRightInd w:val="0"/>
        <w:ind w:left="851"/>
        <w:rPr>
          <w:sz w:val="24"/>
          <w:szCs w:val="24"/>
        </w:rPr>
      </w:pPr>
      <w:r w:rsidRPr="00AE3725">
        <w:rPr>
          <w:sz w:val="24"/>
          <w:szCs w:val="24"/>
        </w:rPr>
        <w:t xml:space="preserve">De opnåede resultater fra </w:t>
      </w:r>
      <w:proofErr w:type="spellStart"/>
      <w:r w:rsidRPr="00AE3725">
        <w:rPr>
          <w:sz w:val="24"/>
          <w:szCs w:val="24"/>
        </w:rPr>
        <w:t>karcinogenicitetsstudier</w:t>
      </w:r>
      <w:proofErr w:type="spellEnd"/>
      <w:r w:rsidRPr="00AE3725">
        <w:rPr>
          <w:sz w:val="24"/>
          <w:szCs w:val="24"/>
        </w:rPr>
        <w:t xml:space="preserve"> hos mus og rotter viste ingen tegn på </w:t>
      </w:r>
      <w:proofErr w:type="spellStart"/>
      <w:r w:rsidRPr="00AE3725">
        <w:rPr>
          <w:sz w:val="24"/>
          <w:szCs w:val="24"/>
        </w:rPr>
        <w:t>tumorigent</w:t>
      </w:r>
      <w:proofErr w:type="spellEnd"/>
      <w:r w:rsidRPr="00AE3725">
        <w:rPr>
          <w:sz w:val="24"/>
          <w:szCs w:val="24"/>
        </w:rPr>
        <w:t xml:space="preserve"> potentiale relateret til safinamid ved systemisk eksponering på op til 2,3 til 4,0 </w:t>
      </w:r>
      <w:r w:rsidRPr="00AE3725">
        <w:rPr>
          <w:sz w:val="24"/>
          <w:szCs w:val="24"/>
        </w:rPr>
        <w:lastRenderedPageBreak/>
        <w:t>gange respektive den forventede systemiske eksponering hos patienter, der fik den maksimale terapeutiske dosis.</w:t>
      </w:r>
    </w:p>
    <w:p w14:paraId="5A411272" w14:textId="77777777" w:rsidR="004223FE" w:rsidRPr="00AE3725" w:rsidRDefault="004223FE" w:rsidP="006B5194">
      <w:pPr>
        <w:autoSpaceDE w:val="0"/>
        <w:autoSpaceDN w:val="0"/>
        <w:adjustRightInd w:val="0"/>
        <w:ind w:left="851"/>
        <w:rPr>
          <w:sz w:val="24"/>
          <w:szCs w:val="24"/>
        </w:rPr>
      </w:pPr>
    </w:p>
    <w:p w14:paraId="0D6D9581" w14:textId="77777777" w:rsidR="004223FE" w:rsidRPr="00AE3725" w:rsidRDefault="004223FE" w:rsidP="006B5194">
      <w:pPr>
        <w:autoSpaceDE w:val="0"/>
        <w:autoSpaceDN w:val="0"/>
        <w:adjustRightInd w:val="0"/>
        <w:ind w:left="851"/>
        <w:rPr>
          <w:sz w:val="24"/>
          <w:szCs w:val="24"/>
        </w:rPr>
      </w:pPr>
      <w:r w:rsidRPr="00AE3725">
        <w:rPr>
          <w:sz w:val="24"/>
          <w:szCs w:val="24"/>
        </w:rPr>
        <w:t xml:space="preserve">Fertilitetsstudier med hunrotter viste reduceret antal implantationer og </w:t>
      </w:r>
      <w:proofErr w:type="spellStart"/>
      <w:r w:rsidRPr="00AE3725">
        <w:rPr>
          <w:sz w:val="24"/>
          <w:szCs w:val="24"/>
        </w:rPr>
        <w:t>corpora</w:t>
      </w:r>
      <w:proofErr w:type="spellEnd"/>
      <w:r w:rsidRPr="00AE3725">
        <w:rPr>
          <w:sz w:val="24"/>
          <w:szCs w:val="24"/>
        </w:rPr>
        <w:t xml:space="preserve"> </w:t>
      </w:r>
      <w:proofErr w:type="spellStart"/>
      <w:r w:rsidRPr="00AE3725">
        <w:rPr>
          <w:sz w:val="24"/>
          <w:szCs w:val="24"/>
        </w:rPr>
        <w:t>lutea</w:t>
      </w:r>
      <w:proofErr w:type="spellEnd"/>
      <w:r w:rsidRPr="00AE3725">
        <w:rPr>
          <w:sz w:val="24"/>
          <w:szCs w:val="24"/>
        </w:rPr>
        <w:t xml:space="preserve"> ved eksponeringer på over 3 gange den forventede humane eksponering. Hanrotter viste en moderat unormal morfologi og reduceret hastighed af sædceller ved eksponeringer over 1,4 gange den forventede humane eksponering. Fertiliteten hos hanrotter var upåvirket.</w:t>
      </w:r>
    </w:p>
    <w:p w14:paraId="400D3388" w14:textId="77777777" w:rsidR="004223FE" w:rsidRPr="00AE3725" w:rsidRDefault="004223FE" w:rsidP="006B5194">
      <w:pPr>
        <w:autoSpaceDE w:val="0"/>
        <w:autoSpaceDN w:val="0"/>
        <w:adjustRightInd w:val="0"/>
        <w:ind w:left="851"/>
        <w:rPr>
          <w:sz w:val="24"/>
          <w:szCs w:val="24"/>
          <w:highlight w:val="green"/>
        </w:rPr>
      </w:pPr>
    </w:p>
    <w:p w14:paraId="557EAEB0" w14:textId="77777777" w:rsidR="004223FE" w:rsidRPr="00AE3725" w:rsidRDefault="004223FE" w:rsidP="006B5194">
      <w:pPr>
        <w:autoSpaceDE w:val="0"/>
        <w:autoSpaceDN w:val="0"/>
        <w:adjustRightInd w:val="0"/>
        <w:ind w:left="851"/>
        <w:rPr>
          <w:sz w:val="24"/>
          <w:szCs w:val="24"/>
        </w:rPr>
      </w:pPr>
      <w:r w:rsidRPr="00AE3725">
        <w:rPr>
          <w:sz w:val="24"/>
          <w:szCs w:val="24"/>
        </w:rPr>
        <w:t xml:space="preserve">I studier med </w:t>
      </w:r>
      <w:proofErr w:type="spellStart"/>
      <w:r w:rsidRPr="00AE3725">
        <w:rPr>
          <w:sz w:val="24"/>
          <w:szCs w:val="24"/>
        </w:rPr>
        <w:t>embryoføtal</w:t>
      </w:r>
      <w:proofErr w:type="spellEnd"/>
      <w:r w:rsidRPr="00AE3725">
        <w:rPr>
          <w:sz w:val="24"/>
          <w:szCs w:val="24"/>
        </w:rPr>
        <w:t xml:space="preserve"> udvikling hos rotter og kaniner induceredes misdannelser ved safinamid-eksponeringer hhv. 2 og 3 gange højere end humane kliniske eksponeringer. Kombinationen af safinamid med </w:t>
      </w:r>
      <w:proofErr w:type="spellStart"/>
      <w:r w:rsidRPr="00AE3725">
        <w:rPr>
          <w:sz w:val="24"/>
          <w:szCs w:val="24"/>
        </w:rPr>
        <w:t>levodopa</w:t>
      </w:r>
      <w:proofErr w:type="spellEnd"/>
      <w:r w:rsidRPr="00AE3725">
        <w:rPr>
          <w:sz w:val="24"/>
          <w:szCs w:val="24"/>
        </w:rPr>
        <w:t>/</w:t>
      </w:r>
      <w:proofErr w:type="spellStart"/>
      <w:r w:rsidRPr="00AE3725">
        <w:rPr>
          <w:sz w:val="24"/>
          <w:szCs w:val="24"/>
        </w:rPr>
        <w:t>carbidopa</w:t>
      </w:r>
      <w:proofErr w:type="spellEnd"/>
      <w:r w:rsidRPr="00AE3725">
        <w:rPr>
          <w:sz w:val="24"/>
          <w:szCs w:val="24"/>
        </w:rPr>
        <w:t xml:space="preserve"> resulterede i yderligere effekter i studiet af embryo- og fosterudvikling med en højere </w:t>
      </w:r>
      <w:proofErr w:type="spellStart"/>
      <w:r w:rsidRPr="00AE3725">
        <w:rPr>
          <w:sz w:val="24"/>
          <w:szCs w:val="24"/>
        </w:rPr>
        <w:t>incidens</w:t>
      </w:r>
      <w:proofErr w:type="spellEnd"/>
      <w:r w:rsidRPr="00AE3725">
        <w:rPr>
          <w:sz w:val="24"/>
          <w:szCs w:val="24"/>
        </w:rPr>
        <w:t xml:space="preserve"> af </w:t>
      </w:r>
      <w:proofErr w:type="spellStart"/>
      <w:r w:rsidRPr="00AE3725">
        <w:rPr>
          <w:sz w:val="24"/>
          <w:szCs w:val="24"/>
        </w:rPr>
        <w:t>føtale</w:t>
      </w:r>
      <w:proofErr w:type="spellEnd"/>
      <w:r w:rsidRPr="00AE3725">
        <w:rPr>
          <w:sz w:val="24"/>
          <w:szCs w:val="24"/>
        </w:rPr>
        <w:t xml:space="preserve"> skeletabnormiteter end set med begge behandlinger alene.</w:t>
      </w:r>
    </w:p>
    <w:p w14:paraId="78007E4F" w14:textId="77777777" w:rsidR="004223FE" w:rsidRPr="00AE3725" w:rsidRDefault="004223FE" w:rsidP="006B5194">
      <w:pPr>
        <w:autoSpaceDE w:val="0"/>
        <w:autoSpaceDN w:val="0"/>
        <w:adjustRightInd w:val="0"/>
        <w:ind w:left="851"/>
        <w:rPr>
          <w:sz w:val="24"/>
          <w:szCs w:val="24"/>
        </w:rPr>
      </w:pPr>
    </w:p>
    <w:p w14:paraId="45FA9DE0" w14:textId="77777777" w:rsidR="004223FE" w:rsidRPr="00AE3725" w:rsidRDefault="004223FE" w:rsidP="006B5194">
      <w:pPr>
        <w:autoSpaceDE w:val="0"/>
        <w:autoSpaceDN w:val="0"/>
        <w:adjustRightInd w:val="0"/>
        <w:ind w:left="851"/>
        <w:rPr>
          <w:sz w:val="24"/>
          <w:szCs w:val="24"/>
        </w:rPr>
      </w:pPr>
      <w:r w:rsidRPr="00AE3725">
        <w:rPr>
          <w:sz w:val="24"/>
          <w:szCs w:val="24"/>
        </w:rPr>
        <w:t xml:space="preserve">I et præ- og </w:t>
      </w:r>
      <w:proofErr w:type="spellStart"/>
      <w:r w:rsidRPr="00AE3725">
        <w:rPr>
          <w:sz w:val="24"/>
          <w:szCs w:val="24"/>
        </w:rPr>
        <w:t>postnatalt</w:t>
      </w:r>
      <w:proofErr w:type="spellEnd"/>
      <w:r w:rsidRPr="00AE3725">
        <w:rPr>
          <w:sz w:val="24"/>
          <w:szCs w:val="24"/>
        </w:rPr>
        <w:t xml:space="preserve"> udviklingsstudie med rotter, observeredes dødelighed hos unger, manglende mælk i maven og neonatal </w:t>
      </w:r>
      <w:proofErr w:type="spellStart"/>
      <w:r w:rsidRPr="00AE3725">
        <w:rPr>
          <w:sz w:val="24"/>
          <w:szCs w:val="24"/>
        </w:rPr>
        <w:t>hepatotoksicitet</w:t>
      </w:r>
      <w:proofErr w:type="spellEnd"/>
      <w:r w:rsidRPr="00AE3725">
        <w:rPr>
          <w:sz w:val="24"/>
          <w:szCs w:val="24"/>
        </w:rPr>
        <w:t xml:space="preserve"> ved dosisniveauer svarende til den forventede kliniske eksponering. Toksiske effekter på leveren og ledsagende symptomer som gul/orange hud og kranium i unger udsat for safinamid under amning, er hovedsagelig medieret via in </w:t>
      </w:r>
      <w:proofErr w:type="spellStart"/>
      <w:r w:rsidRPr="00AE3725">
        <w:rPr>
          <w:sz w:val="24"/>
          <w:szCs w:val="24"/>
        </w:rPr>
        <w:t>utero</w:t>
      </w:r>
      <w:proofErr w:type="spellEnd"/>
      <w:r w:rsidRPr="00AE3725">
        <w:rPr>
          <w:sz w:val="24"/>
          <w:szCs w:val="24"/>
        </w:rPr>
        <w:t xml:space="preserve"> eksponering, men eksponering via modermælken har kun mindre betydning.</w:t>
      </w:r>
    </w:p>
    <w:p w14:paraId="518ED52D" w14:textId="77777777" w:rsidR="009260DE" w:rsidRPr="00AE3725" w:rsidRDefault="009260DE" w:rsidP="009260DE">
      <w:pPr>
        <w:tabs>
          <w:tab w:val="left" w:pos="851"/>
        </w:tabs>
        <w:ind w:left="851"/>
        <w:rPr>
          <w:sz w:val="24"/>
          <w:szCs w:val="24"/>
        </w:rPr>
      </w:pPr>
    </w:p>
    <w:p w14:paraId="6F9512A9" w14:textId="77777777" w:rsidR="009260DE" w:rsidRPr="00AE3725" w:rsidRDefault="009260DE" w:rsidP="009260DE">
      <w:pPr>
        <w:tabs>
          <w:tab w:val="left" w:pos="851"/>
        </w:tabs>
        <w:ind w:left="851"/>
        <w:rPr>
          <w:sz w:val="24"/>
          <w:szCs w:val="24"/>
        </w:rPr>
      </w:pPr>
    </w:p>
    <w:p w14:paraId="44F9CC23" w14:textId="77777777" w:rsidR="009260DE" w:rsidRPr="00AE3725" w:rsidRDefault="009260DE" w:rsidP="009260DE">
      <w:pPr>
        <w:tabs>
          <w:tab w:val="left" w:pos="851"/>
        </w:tabs>
        <w:ind w:left="851" w:hanging="851"/>
        <w:rPr>
          <w:b/>
          <w:sz w:val="24"/>
          <w:szCs w:val="24"/>
        </w:rPr>
      </w:pPr>
      <w:r w:rsidRPr="00AE3725">
        <w:rPr>
          <w:b/>
          <w:sz w:val="24"/>
          <w:szCs w:val="24"/>
        </w:rPr>
        <w:t>6.</w:t>
      </w:r>
      <w:r w:rsidRPr="00AE3725">
        <w:rPr>
          <w:b/>
          <w:sz w:val="24"/>
          <w:szCs w:val="24"/>
        </w:rPr>
        <w:tab/>
        <w:t>FARMACEUTISKE OPLYSNINGER</w:t>
      </w:r>
    </w:p>
    <w:p w14:paraId="3E194689" w14:textId="77777777" w:rsidR="009260DE" w:rsidRPr="00AE3725" w:rsidRDefault="009260DE" w:rsidP="009260DE">
      <w:pPr>
        <w:tabs>
          <w:tab w:val="left" w:pos="851"/>
        </w:tabs>
        <w:ind w:left="851"/>
        <w:rPr>
          <w:sz w:val="24"/>
          <w:szCs w:val="24"/>
        </w:rPr>
      </w:pPr>
    </w:p>
    <w:p w14:paraId="6AB3DE38" w14:textId="77777777" w:rsidR="009260DE" w:rsidRPr="00AE3725" w:rsidRDefault="009260DE" w:rsidP="009260DE">
      <w:pPr>
        <w:tabs>
          <w:tab w:val="left" w:pos="851"/>
        </w:tabs>
        <w:ind w:left="851" w:hanging="851"/>
        <w:rPr>
          <w:b/>
          <w:sz w:val="24"/>
          <w:szCs w:val="24"/>
        </w:rPr>
      </w:pPr>
      <w:r w:rsidRPr="00AE3725">
        <w:rPr>
          <w:b/>
          <w:sz w:val="24"/>
          <w:szCs w:val="24"/>
        </w:rPr>
        <w:t>6.1</w:t>
      </w:r>
      <w:r w:rsidRPr="00AE3725">
        <w:rPr>
          <w:b/>
          <w:sz w:val="24"/>
          <w:szCs w:val="24"/>
        </w:rPr>
        <w:tab/>
        <w:t>Hjælpestoffer</w:t>
      </w:r>
    </w:p>
    <w:p w14:paraId="2899E6C3" w14:textId="77777777" w:rsidR="00772D05" w:rsidRDefault="00772D05" w:rsidP="006B5194">
      <w:pPr>
        <w:autoSpaceDE w:val="0"/>
        <w:autoSpaceDN w:val="0"/>
        <w:adjustRightInd w:val="0"/>
        <w:ind w:left="851"/>
        <w:rPr>
          <w:sz w:val="24"/>
          <w:szCs w:val="24"/>
          <w:u w:val="single"/>
        </w:rPr>
      </w:pPr>
    </w:p>
    <w:p w14:paraId="74B49983" w14:textId="649AFAF1" w:rsidR="004223FE" w:rsidRPr="00AE3725" w:rsidRDefault="004223FE" w:rsidP="006B5194">
      <w:pPr>
        <w:autoSpaceDE w:val="0"/>
        <w:autoSpaceDN w:val="0"/>
        <w:adjustRightInd w:val="0"/>
        <w:ind w:left="851"/>
        <w:rPr>
          <w:sz w:val="24"/>
          <w:szCs w:val="24"/>
          <w:u w:val="single"/>
        </w:rPr>
      </w:pPr>
      <w:r w:rsidRPr="00AE3725">
        <w:rPr>
          <w:sz w:val="24"/>
          <w:szCs w:val="24"/>
          <w:u w:val="single"/>
        </w:rPr>
        <w:t>Tabletkerne:</w:t>
      </w:r>
    </w:p>
    <w:p w14:paraId="4F722136" w14:textId="77777777" w:rsidR="004223FE" w:rsidRPr="00AE3725" w:rsidRDefault="004223FE" w:rsidP="006B5194">
      <w:pPr>
        <w:autoSpaceDE w:val="0"/>
        <w:autoSpaceDN w:val="0"/>
        <w:adjustRightInd w:val="0"/>
        <w:ind w:left="851"/>
        <w:rPr>
          <w:sz w:val="24"/>
          <w:szCs w:val="24"/>
        </w:rPr>
      </w:pPr>
      <w:r w:rsidRPr="00AE3725">
        <w:rPr>
          <w:sz w:val="24"/>
          <w:szCs w:val="24"/>
        </w:rPr>
        <w:t>Mikrokrystallinsk cellulose</w:t>
      </w:r>
    </w:p>
    <w:p w14:paraId="687100BD" w14:textId="77777777" w:rsidR="004223FE" w:rsidRPr="00AE3725" w:rsidRDefault="004223FE" w:rsidP="006B5194">
      <w:pPr>
        <w:autoSpaceDE w:val="0"/>
        <w:autoSpaceDN w:val="0"/>
        <w:adjustRightInd w:val="0"/>
        <w:ind w:left="851"/>
        <w:rPr>
          <w:sz w:val="24"/>
          <w:szCs w:val="24"/>
          <w:highlight w:val="yellow"/>
          <w:lang w:val="en-GB"/>
        </w:rPr>
      </w:pPr>
      <w:proofErr w:type="spellStart"/>
      <w:r w:rsidRPr="00AE3725">
        <w:rPr>
          <w:sz w:val="24"/>
          <w:szCs w:val="24"/>
          <w:lang w:val="en-GB"/>
        </w:rPr>
        <w:t>Crospovidon</w:t>
      </w:r>
      <w:proofErr w:type="spellEnd"/>
      <w:r w:rsidRPr="00AE3725">
        <w:rPr>
          <w:sz w:val="24"/>
          <w:szCs w:val="24"/>
          <w:lang w:val="en-GB"/>
        </w:rPr>
        <w:t>, type A</w:t>
      </w:r>
    </w:p>
    <w:p w14:paraId="5236309F" w14:textId="77777777" w:rsidR="004223FE" w:rsidRPr="00AE3725" w:rsidRDefault="004223FE" w:rsidP="006B5194">
      <w:pPr>
        <w:autoSpaceDE w:val="0"/>
        <w:autoSpaceDN w:val="0"/>
        <w:adjustRightInd w:val="0"/>
        <w:ind w:left="851"/>
        <w:rPr>
          <w:sz w:val="24"/>
          <w:szCs w:val="24"/>
          <w:lang w:val="en-GB"/>
        </w:rPr>
      </w:pPr>
      <w:r w:rsidRPr="00AE3725">
        <w:rPr>
          <w:sz w:val="24"/>
          <w:szCs w:val="24"/>
          <w:lang w:val="en-GB"/>
        </w:rPr>
        <w:t xml:space="preserve">Silica, </w:t>
      </w:r>
      <w:proofErr w:type="spellStart"/>
      <w:r w:rsidRPr="00AE3725">
        <w:rPr>
          <w:sz w:val="24"/>
          <w:szCs w:val="24"/>
          <w:lang w:val="en-GB"/>
        </w:rPr>
        <w:t>kolloid</w:t>
      </w:r>
      <w:proofErr w:type="spellEnd"/>
      <w:r w:rsidRPr="00AE3725">
        <w:rPr>
          <w:sz w:val="24"/>
          <w:szCs w:val="24"/>
          <w:lang w:val="en-GB"/>
        </w:rPr>
        <w:t xml:space="preserve"> </w:t>
      </w:r>
      <w:proofErr w:type="spellStart"/>
      <w:r w:rsidRPr="00AE3725">
        <w:rPr>
          <w:sz w:val="24"/>
          <w:szCs w:val="24"/>
          <w:lang w:val="en-GB"/>
        </w:rPr>
        <w:t>vandfri</w:t>
      </w:r>
      <w:proofErr w:type="spellEnd"/>
      <w:r w:rsidRPr="00AE3725">
        <w:rPr>
          <w:sz w:val="24"/>
          <w:szCs w:val="24"/>
          <w:lang w:val="en-GB"/>
        </w:rPr>
        <w:t xml:space="preserve"> </w:t>
      </w:r>
    </w:p>
    <w:p w14:paraId="03F41510" w14:textId="77777777" w:rsidR="004223FE" w:rsidRPr="00AE3725" w:rsidRDefault="004223FE" w:rsidP="006B5194">
      <w:pPr>
        <w:autoSpaceDE w:val="0"/>
        <w:autoSpaceDN w:val="0"/>
        <w:adjustRightInd w:val="0"/>
        <w:ind w:left="851"/>
        <w:rPr>
          <w:sz w:val="24"/>
          <w:szCs w:val="24"/>
          <w:lang w:val="en-GB"/>
        </w:rPr>
      </w:pPr>
      <w:proofErr w:type="spellStart"/>
      <w:r w:rsidRPr="00AE3725">
        <w:rPr>
          <w:sz w:val="24"/>
          <w:szCs w:val="24"/>
          <w:lang w:val="en-GB"/>
        </w:rPr>
        <w:t>Magnesiumstearat</w:t>
      </w:r>
      <w:proofErr w:type="spellEnd"/>
    </w:p>
    <w:p w14:paraId="45D8BD5C" w14:textId="77777777" w:rsidR="004223FE" w:rsidRPr="00AE3725" w:rsidRDefault="004223FE" w:rsidP="006B5194">
      <w:pPr>
        <w:autoSpaceDE w:val="0"/>
        <w:autoSpaceDN w:val="0"/>
        <w:adjustRightInd w:val="0"/>
        <w:ind w:left="851"/>
        <w:rPr>
          <w:sz w:val="24"/>
          <w:szCs w:val="24"/>
          <w:lang w:val="en-GB"/>
        </w:rPr>
      </w:pPr>
    </w:p>
    <w:p w14:paraId="26E55541" w14:textId="77777777" w:rsidR="004223FE" w:rsidRPr="00AE3725" w:rsidRDefault="004223FE" w:rsidP="006B5194">
      <w:pPr>
        <w:autoSpaceDE w:val="0"/>
        <w:autoSpaceDN w:val="0"/>
        <w:adjustRightInd w:val="0"/>
        <w:ind w:left="851"/>
        <w:rPr>
          <w:sz w:val="24"/>
          <w:szCs w:val="24"/>
          <w:u w:val="single"/>
          <w:lang w:val="en-GB"/>
        </w:rPr>
      </w:pPr>
      <w:proofErr w:type="spellStart"/>
      <w:r w:rsidRPr="00AE3725">
        <w:rPr>
          <w:sz w:val="24"/>
          <w:szCs w:val="24"/>
          <w:u w:val="single"/>
          <w:lang w:val="en-GB"/>
        </w:rPr>
        <w:t>Filmovertræk</w:t>
      </w:r>
      <w:proofErr w:type="spellEnd"/>
      <w:r w:rsidRPr="00AE3725">
        <w:rPr>
          <w:sz w:val="24"/>
          <w:szCs w:val="24"/>
          <w:u w:val="single"/>
          <w:lang w:val="en-GB"/>
        </w:rPr>
        <w:t>:</w:t>
      </w:r>
    </w:p>
    <w:p w14:paraId="4704687E" w14:textId="77777777" w:rsidR="004223FE" w:rsidRPr="00AE3725" w:rsidRDefault="004223FE" w:rsidP="006B5194">
      <w:pPr>
        <w:autoSpaceDE w:val="0"/>
        <w:autoSpaceDN w:val="0"/>
        <w:adjustRightInd w:val="0"/>
        <w:ind w:left="851"/>
        <w:rPr>
          <w:sz w:val="24"/>
          <w:szCs w:val="24"/>
          <w:lang w:val="en-GB"/>
        </w:rPr>
      </w:pPr>
      <w:r w:rsidRPr="00AE3725">
        <w:rPr>
          <w:sz w:val="24"/>
          <w:szCs w:val="24"/>
          <w:lang w:val="en-GB"/>
        </w:rPr>
        <w:t>Hypromellose (E464)</w:t>
      </w:r>
    </w:p>
    <w:p w14:paraId="0F29875D" w14:textId="77777777" w:rsidR="004223FE" w:rsidRPr="00AE3725" w:rsidRDefault="004223FE" w:rsidP="006B5194">
      <w:pPr>
        <w:autoSpaceDE w:val="0"/>
        <w:autoSpaceDN w:val="0"/>
        <w:adjustRightInd w:val="0"/>
        <w:ind w:left="851"/>
        <w:rPr>
          <w:sz w:val="24"/>
          <w:szCs w:val="24"/>
          <w:lang w:val="en-GB"/>
        </w:rPr>
      </w:pPr>
      <w:r w:rsidRPr="00AE3725">
        <w:rPr>
          <w:sz w:val="24"/>
          <w:szCs w:val="24"/>
          <w:lang w:val="en-GB"/>
        </w:rPr>
        <w:t>Macrogol 6000 (E1521)</w:t>
      </w:r>
    </w:p>
    <w:p w14:paraId="473AA93E" w14:textId="77777777" w:rsidR="004223FE" w:rsidRPr="00AE3725" w:rsidRDefault="004223FE" w:rsidP="006B5194">
      <w:pPr>
        <w:autoSpaceDE w:val="0"/>
        <w:autoSpaceDN w:val="0"/>
        <w:adjustRightInd w:val="0"/>
        <w:ind w:left="851"/>
        <w:rPr>
          <w:sz w:val="24"/>
          <w:szCs w:val="24"/>
          <w:lang w:val="en-GB"/>
        </w:rPr>
      </w:pPr>
      <w:proofErr w:type="spellStart"/>
      <w:r w:rsidRPr="00AE3725">
        <w:rPr>
          <w:sz w:val="24"/>
          <w:szCs w:val="24"/>
          <w:lang w:val="en-GB"/>
        </w:rPr>
        <w:t>Kaliumaluminiumsilikat</w:t>
      </w:r>
      <w:proofErr w:type="spellEnd"/>
      <w:r w:rsidRPr="00AE3725">
        <w:rPr>
          <w:sz w:val="24"/>
          <w:szCs w:val="24"/>
          <w:lang w:val="en-GB"/>
        </w:rPr>
        <w:t xml:space="preserve"> (E555)</w:t>
      </w:r>
    </w:p>
    <w:p w14:paraId="307B7AAE" w14:textId="77777777" w:rsidR="004223FE" w:rsidRPr="00AE3725" w:rsidRDefault="004223FE" w:rsidP="006B5194">
      <w:pPr>
        <w:autoSpaceDE w:val="0"/>
        <w:autoSpaceDN w:val="0"/>
        <w:adjustRightInd w:val="0"/>
        <w:ind w:left="851"/>
        <w:rPr>
          <w:sz w:val="24"/>
          <w:szCs w:val="24"/>
          <w:lang w:val="en-GB"/>
        </w:rPr>
      </w:pPr>
      <w:proofErr w:type="spellStart"/>
      <w:r w:rsidRPr="00AE3725">
        <w:rPr>
          <w:sz w:val="24"/>
          <w:szCs w:val="24"/>
          <w:lang w:val="en-GB"/>
        </w:rPr>
        <w:t>Titandioxid</w:t>
      </w:r>
      <w:proofErr w:type="spellEnd"/>
      <w:r w:rsidRPr="00AE3725">
        <w:rPr>
          <w:sz w:val="24"/>
          <w:szCs w:val="24"/>
          <w:lang w:val="en-GB"/>
        </w:rPr>
        <w:t xml:space="preserve"> (E171)</w:t>
      </w:r>
    </w:p>
    <w:p w14:paraId="0C1E1FCF" w14:textId="77777777" w:rsidR="004223FE" w:rsidRPr="00AE3725" w:rsidRDefault="004223FE" w:rsidP="006B5194">
      <w:pPr>
        <w:autoSpaceDE w:val="0"/>
        <w:autoSpaceDN w:val="0"/>
        <w:adjustRightInd w:val="0"/>
        <w:ind w:left="851"/>
        <w:rPr>
          <w:sz w:val="24"/>
          <w:szCs w:val="24"/>
        </w:rPr>
      </w:pPr>
      <w:r w:rsidRPr="00AE3725">
        <w:rPr>
          <w:sz w:val="24"/>
          <w:szCs w:val="24"/>
        </w:rPr>
        <w:t>Jernoxid rød (E172)</w:t>
      </w:r>
    </w:p>
    <w:p w14:paraId="4E4F6309" w14:textId="77777777" w:rsidR="009260DE" w:rsidRPr="00AE3725" w:rsidRDefault="009260DE" w:rsidP="009260DE">
      <w:pPr>
        <w:tabs>
          <w:tab w:val="left" w:pos="851"/>
        </w:tabs>
        <w:ind w:left="851"/>
        <w:rPr>
          <w:sz w:val="24"/>
          <w:szCs w:val="24"/>
        </w:rPr>
      </w:pPr>
    </w:p>
    <w:p w14:paraId="5697412F" w14:textId="77777777" w:rsidR="009260DE" w:rsidRPr="00AE3725" w:rsidRDefault="009260DE" w:rsidP="009260DE">
      <w:pPr>
        <w:tabs>
          <w:tab w:val="left" w:pos="851"/>
        </w:tabs>
        <w:ind w:left="851" w:hanging="851"/>
        <w:rPr>
          <w:b/>
          <w:sz w:val="24"/>
          <w:szCs w:val="24"/>
        </w:rPr>
      </w:pPr>
      <w:r w:rsidRPr="00AE3725">
        <w:rPr>
          <w:b/>
          <w:sz w:val="24"/>
          <w:szCs w:val="24"/>
        </w:rPr>
        <w:t>6.2</w:t>
      </w:r>
      <w:r w:rsidRPr="00AE3725">
        <w:rPr>
          <w:b/>
          <w:sz w:val="24"/>
          <w:szCs w:val="24"/>
        </w:rPr>
        <w:tab/>
        <w:t>Uforligeligheder</w:t>
      </w:r>
    </w:p>
    <w:p w14:paraId="04D7AF8B" w14:textId="77777777" w:rsidR="004223FE" w:rsidRPr="00AE3725" w:rsidRDefault="004223FE" w:rsidP="006B5194">
      <w:pPr>
        <w:autoSpaceDE w:val="0"/>
        <w:autoSpaceDN w:val="0"/>
        <w:adjustRightInd w:val="0"/>
        <w:ind w:left="851"/>
        <w:rPr>
          <w:sz w:val="24"/>
          <w:szCs w:val="24"/>
        </w:rPr>
      </w:pPr>
      <w:r w:rsidRPr="00AE3725">
        <w:rPr>
          <w:sz w:val="24"/>
          <w:szCs w:val="24"/>
        </w:rPr>
        <w:t>Ikke relevant</w:t>
      </w:r>
    </w:p>
    <w:p w14:paraId="1036AF30" w14:textId="77777777" w:rsidR="009260DE" w:rsidRPr="00AE3725" w:rsidRDefault="009260DE" w:rsidP="009260DE">
      <w:pPr>
        <w:tabs>
          <w:tab w:val="left" w:pos="851"/>
        </w:tabs>
        <w:ind w:left="851"/>
        <w:rPr>
          <w:sz w:val="24"/>
          <w:szCs w:val="24"/>
        </w:rPr>
      </w:pPr>
    </w:p>
    <w:p w14:paraId="1CEB6C9A" w14:textId="77777777" w:rsidR="009260DE" w:rsidRPr="00AE3725" w:rsidRDefault="009260DE" w:rsidP="009260DE">
      <w:pPr>
        <w:tabs>
          <w:tab w:val="left" w:pos="851"/>
        </w:tabs>
        <w:ind w:left="851" w:hanging="851"/>
        <w:rPr>
          <w:b/>
          <w:sz w:val="24"/>
          <w:szCs w:val="24"/>
        </w:rPr>
      </w:pPr>
      <w:r w:rsidRPr="00AE3725">
        <w:rPr>
          <w:b/>
          <w:sz w:val="24"/>
          <w:szCs w:val="24"/>
        </w:rPr>
        <w:t>6.3</w:t>
      </w:r>
      <w:r w:rsidRPr="00AE3725">
        <w:rPr>
          <w:b/>
          <w:sz w:val="24"/>
          <w:szCs w:val="24"/>
        </w:rPr>
        <w:tab/>
        <w:t>Opbevaringstid</w:t>
      </w:r>
    </w:p>
    <w:p w14:paraId="571A91C3" w14:textId="77777777" w:rsidR="004223FE" w:rsidRPr="00AE3725" w:rsidRDefault="004223FE" w:rsidP="006B5194">
      <w:pPr>
        <w:autoSpaceDE w:val="0"/>
        <w:autoSpaceDN w:val="0"/>
        <w:adjustRightInd w:val="0"/>
        <w:ind w:left="851"/>
        <w:rPr>
          <w:sz w:val="24"/>
          <w:szCs w:val="24"/>
        </w:rPr>
      </w:pPr>
      <w:r w:rsidRPr="00AE3725">
        <w:rPr>
          <w:sz w:val="24"/>
          <w:szCs w:val="24"/>
        </w:rPr>
        <w:t>3 år</w:t>
      </w:r>
    </w:p>
    <w:p w14:paraId="604B001C" w14:textId="77777777" w:rsidR="009260DE" w:rsidRPr="00AE3725" w:rsidRDefault="009260DE" w:rsidP="009260DE">
      <w:pPr>
        <w:tabs>
          <w:tab w:val="left" w:pos="851"/>
        </w:tabs>
        <w:ind w:left="851"/>
        <w:rPr>
          <w:sz w:val="24"/>
          <w:szCs w:val="24"/>
        </w:rPr>
      </w:pPr>
    </w:p>
    <w:p w14:paraId="3850148E" w14:textId="77777777" w:rsidR="009260DE" w:rsidRPr="00AE3725" w:rsidRDefault="009260DE" w:rsidP="009260DE">
      <w:pPr>
        <w:tabs>
          <w:tab w:val="left" w:pos="851"/>
        </w:tabs>
        <w:ind w:left="851" w:hanging="851"/>
        <w:rPr>
          <w:b/>
          <w:sz w:val="24"/>
          <w:szCs w:val="24"/>
        </w:rPr>
      </w:pPr>
      <w:r w:rsidRPr="00AE3725">
        <w:rPr>
          <w:b/>
          <w:sz w:val="24"/>
          <w:szCs w:val="24"/>
        </w:rPr>
        <w:t>6.4</w:t>
      </w:r>
      <w:r w:rsidRPr="00AE3725">
        <w:rPr>
          <w:b/>
          <w:sz w:val="24"/>
          <w:szCs w:val="24"/>
        </w:rPr>
        <w:tab/>
        <w:t>Særlige opbevaringsforhold</w:t>
      </w:r>
    </w:p>
    <w:p w14:paraId="32600085" w14:textId="77777777" w:rsidR="004223FE" w:rsidRPr="00AE3725" w:rsidRDefault="004223FE" w:rsidP="006B5194">
      <w:pPr>
        <w:autoSpaceDE w:val="0"/>
        <w:autoSpaceDN w:val="0"/>
        <w:adjustRightInd w:val="0"/>
        <w:ind w:left="851"/>
        <w:rPr>
          <w:sz w:val="24"/>
          <w:szCs w:val="24"/>
        </w:rPr>
      </w:pPr>
      <w:r w:rsidRPr="00AE3725">
        <w:rPr>
          <w:sz w:val="24"/>
          <w:szCs w:val="24"/>
        </w:rPr>
        <w:t>Dette lægemiddel kræver ingen særlige forholdsregler vedrørende opbevaringen.</w:t>
      </w:r>
    </w:p>
    <w:p w14:paraId="462459C4" w14:textId="77777777" w:rsidR="009260DE" w:rsidRPr="00AE3725" w:rsidRDefault="009260DE" w:rsidP="009260DE">
      <w:pPr>
        <w:tabs>
          <w:tab w:val="left" w:pos="851"/>
        </w:tabs>
        <w:ind w:left="851"/>
        <w:rPr>
          <w:sz w:val="24"/>
          <w:szCs w:val="24"/>
        </w:rPr>
      </w:pPr>
    </w:p>
    <w:p w14:paraId="7B9486D9" w14:textId="77777777" w:rsidR="009260DE" w:rsidRPr="00AE3725" w:rsidRDefault="009260DE" w:rsidP="009260DE">
      <w:pPr>
        <w:tabs>
          <w:tab w:val="left" w:pos="851"/>
        </w:tabs>
        <w:ind w:left="851" w:hanging="851"/>
        <w:rPr>
          <w:b/>
          <w:sz w:val="24"/>
          <w:szCs w:val="24"/>
        </w:rPr>
      </w:pPr>
      <w:r w:rsidRPr="00AE3725">
        <w:rPr>
          <w:b/>
          <w:sz w:val="24"/>
          <w:szCs w:val="24"/>
        </w:rPr>
        <w:t>6.5</w:t>
      </w:r>
      <w:r w:rsidRPr="00AE3725">
        <w:rPr>
          <w:b/>
          <w:sz w:val="24"/>
          <w:szCs w:val="24"/>
        </w:rPr>
        <w:tab/>
        <w:t>Emballagetype og pakningsstørrelser</w:t>
      </w:r>
    </w:p>
    <w:p w14:paraId="09DEA80C" w14:textId="77777777" w:rsidR="004223FE" w:rsidRPr="00AE3725" w:rsidRDefault="004223FE" w:rsidP="006B5194">
      <w:pPr>
        <w:autoSpaceDE w:val="0"/>
        <w:autoSpaceDN w:val="0"/>
        <w:adjustRightInd w:val="0"/>
        <w:ind w:left="851"/>
        <w:rPr>
          <w:sz w:val="24"/>
          <w:szCs w:val="24"/>
        </w:rPr>
      </w:pPr>
      <w:r w:rsidRPr="00AE3725">
        <w:rPr>
          <w:sz w:val="24"/>
          <w:szCs w:val="24"/>
        </w:rPr>
        <w:t>PVC/PVDC/Aluminium blisterpakning med 14, 28, 30, 90 og 100 tabletter.</w:t>
      </w:r>
    </w:p>
    <w:p w14:paraId="3DE18909" w14:textId="77777777" w:rsidR="004223FE" w:rsidRPr="00AE3725" w:rsidRDefault="004223FE" w:rsidP="006B5194">
      <w:pPr>
        <w:autoSpaceDE w:val="0"/>
        <w:autoSpaceDN w:val="0"/>
        <w:adjustRightInd w:val="0"/>
        <w:ind w:left="851"/>
        <w:rPr>
          <w:sz w:val="24"/>
          <w:szCs w:val="24"/>
        </w:rPr>
      </w:pPr>
    </w:p>
    <w:p w14:paraId="1052EC59" w14:textId="77777777" w:rsidR="004223FE" w:rsidRPr="00AE3725" w:rsidRDefault="004223FE" w:rsidP="006B5194">
      <w:pPr>
        <w:autoSpaceDE w:val="0"/>
        <w:autoSpaceDN w:val="0"/>
        <w:adjustRightInd w:val="0"/>
        <w:ind w:left="851"/>
        <w:rPr>
          <w:sz w:val="24"/>
          <w:szCs w:val="24"/>
        </w:rPr>
      </w:pPr>
      <w:r w:rsidRPr="00AE3725">
        <w:rPr>
          <w:sz w:val="24"/>
          <w:szCs w:val="24"/>
        </w:rPr>
        <w:lastRenderedPageBreak/>
        <w:t>Ikke alle pakningsstørrelser er nødvendigvis markedsført.</w:t>
      </w:r>
    </w:p>
    <w:p w14:paraId="61237D28" w14:textId="77777777" w:rsidR="009260DE" w:rsidRPr="00AE3725" w:rsidRDefault="009260DE" w:rsidP="009260DE">
      <w:pPr>
        <w:tabs>
          <w:tab w:val="left" w:pos="851"/>
        </w:tabs>
        <w:ind w:left="851"/>
        <w:rPr>
          <w:sz w:val="24"/>
          <w:szCs w:val="24"/>
        </w:rPr>
      </w:pPr>
    </w:p>
    <w:p w14:paraId="29854618" w14:textId="77777777" w:rsidR="009260DE" w:rsidRPr="00AE3725" w:rsidRDefault="009260DE" w:rsidP="009260DE">
      <w:pPr>
        <w:tabs>
          <w:tab w:val="left" w:pos="851"/>
        </w:tabs>
        <w:ind w:left="851" w:hanging="851"/>
        <w:rPr>
          <w:b/>
          <w:sz w:val="24"/>
          <w:szCs w:val="24"/>
        </w:rPr>
      </w:pPr>
      <w:r w:rsidRPr="00AE3725">
        <w:rPr>
          <w:b/>
          <w:sz w:val="24"/>
          <w:szCs w:val="24"/>
        </w:rPr>
        <w:t>6.6</w:t>
      </w:r>
      <w:r w:rsidRPr="00AE3725">
        <w:rPr>
          <w:b/>
          <w:sz w:val="24"/>
          <w:szCs w:val="24"/>
        </w:rPr>
        <w:tab/>
        <w:t xml:space="preserve">Regler for </w:t>
      </w:r>
      <w:r w:rsidR="00BD7931" w:rsidRPr="00AE3725">
        <w:rPr>
          <w:b/>
          <w:sz w:val="24"/>
          <w:szCs w:val="24"/>
        </w:rPr>
        <w:t>bortskaffelse</w:t>
      </w:r>
      <w:r w:rsidRPr="00AE3725">
        <w:rPr>
          <w:b/>
          <w:sz w:val="24"/>
          <w:szCs w:val="24"/>
        </w:rPr>
        <w:t xml:space="preserve"> og anden håndtering</w:t>
      </w:r>
    </w:p>
    <w:p w14:paraId="4B812AED" w14:textId="77777777" w:rsidR="004223FE" w:rsidRPr="00AE3725" w:rsidRDefault="004223FE" w:rsidP="006B5194">
      <w:pPr>
        <w:autoSpaceDE w:val="0"/>
        <w:autoSpaceDN w:val="0"/>
        <w:adjustRightInd w:val="0"/>
        <w:ind w:left="851"/>
        <w:rPr>
          <w:sz w:val="24"/>
          <w:szCs w:val="24"/>
        </w:rPr>
      </w:pPr>
      <w:r w:rsidRPr="00AE3725">
        <w:rPr>
          <w:sz w:val="24"/>
          <w:szCs w:val="24"/>
        </w:rPr>
        <w:t>Ingen særlige forholdsregler ved bortskaffelse.</w:t>
      </w:r>
    </w:p>
    <w:p w14:paraId="14ED1294" w14:textId="77777777" w:rsidR="009260DE" w:rsidRPr="00AE3725" w:rsidRDefault="009260DE" w:rsidP="000730CA">
      <w:pPr>
        <w:tabs>
          <w:tab w:val="left" w:pos="851"/>
        </w:tabs>
        <w:ind w:left="851"/>
        <w:rPr>
          <w:sz w:val="24"/>
          <w:szCs w:val="24"/>
        </w:rPr>
      </w:pPr>
    </w:p>
    <w:p w14:paraId="65EE773A" w14:textId="77777777" w:rsidR="009260DE" w:rsidRPr="00AE3725" w:rsidRDefault="009260DE" w:rsidP="009260DE">
      <w:pPr>
        <w:tabs>
          <w:tab w:val="left" w:pos="851"/>
        </w:tabs>
        <w:ind w:left="851" w:hanging="851"/>
        <w:rPr>
          <w:b/>
          <w:sz w:val="24"/>
          <w:szCs w:val="24"/>
        </w:rPr>
      </w:pPr>
      <w:r w:rsidRPr="00AE3725">
        <w:rPr>
          <w:b/>
          <w:sz w:val="24"/>
          <w:szCs w:val="24"/>
        </w:rPr>
        <w:t>7.</w:t>
      </w:r>
      <w:r w:rsidRPr="00AE3725">
        <w:rPr>
          <w:b/>
          <w:sz w:val="24"/>
          <w:szCs w:val="24"/>
        </w:rPr>
        <w:tab/>
        <w:t>INDEHAVER AF MARKEDSFØRINGSTILLADELSEN</w:t>
      </w:r>
    </w:p>
    <w:p w14:paraId="2B6F548B" w14:textId="77777777" w:rsidR="004223FE" w:rsidRPr="00AE3725" w:rsidRDefault="004223FE" w:rsidP="006B5194">
      <w:pPr>
        <w:autoSpaceDE w:val="0"/>
        <w:autoSpaceDN w:val="0"/>
        <w:adjustRightInd w:val="0"/>
        <w:ind w:left="851"/>
        <w:rPr>
          <w:bCs/>
          <w:sz w:val="24"/>
          <w:szCs w:val="24"/>
        </w:rPr>
      </w:pPr>
      <w:proofErr w:type="spellStart"/>
      <w:r w:rsidRPr="00AE3725">
        <w:rPr>
          <w:bCs/>
          <w:sz w:val="24"/>
          <w:szCs w:val="24"/>
        </w:rPr>
        <w:t>Vivanta</w:t>
      </w:r>
      <w:proofErr w:type="spellEnd"/>
      <w:r w:rsidRPr="00AE3725">
        <w:rPr>
          <w:bCs/>
          <w:sz w:val="24"/>
          <w:szCs w:val="24"/>
        </w:rPr>
        <w:t xml:space="preserve"> Generics </w:t>
      </w:r>
      <w:proofErr w:type="spellStart"/>
      <w:r w:rsidRPr="00AE3725">
        <w:rPr>
          <w:bCs/>
          <w:sz w:val="24"/>
          <w:szCs w:val="24"/>
        </w:rPr>
        <w:t>s.r.o</w:t>
      </w:r>
      <w:proofErr w:type="spellEnd"/>
      <w:r w:rsidRPr="00AE3725">
        <w:rPr>
          <w:bCs/>
          <w:sz w:val="24"/>
          <w:szCs w:val="24"/>
        </w:rPr>
        <w:t xml:space="preserve">. </w:t>
      </w:r>
    </w:p>
    <w:p w14:paraId="690B346E" w14:textId="77777777" w:rsidR="004223FE" w:rsidRPr="00AE3725" w:rsidRDefault="004223FE" w:rsidP="006B5194">
      <w:pPr>
        <w:autoSpaceDE w:val="0"/>
        <w:autoSpaceDN w:val="0"/>
        <w:adjustRightInd w:val="0"/>
        <w:ind w:left="851"/>
        <w:rPr>
          <w:bCs/>
          <w:sz w:val="24"/>
          <w:szCs w:val="24"/>
        </w:rPr>
      </w:pPr>
      <w:proofErr w:type="spellStart"/>
      <w:r w:rsidRPr="00AE3725">
        <w:rPr>
          <w:bCs/>
          <w:sz w:val="24"/>
          <w:szCs w:val="24"/>
        </w:rPr>
        <w:t>Trtinova</w:t>
      </w:r>
      <w:proofErr w:type="spellEnd"/>
      <w:r w:rsidRPr="00AE3725">
        <w:rPr>
          <w:bCs/>
          <w:sz w:val="24"/>
          <w:szCs w:val="24"/>
        </w:rPr>
        <w:t xml:space="preserve"> 260/1, </w:t>
      </w:r>
      <w:proofErr w:type="spellStart"/>
      <w:r w:rsidRPr="00AE3725">
        <w:rPr>
          <w:bCs/>
          <w:sz w:val="24"/>
          <w:szCs w:val="24"/>
        </w:rPr>
        <w:t>Cakovice</w:t>
      </w:r>
      <w:proofErr w:type="spellEnd"/>
      <w:r w:rsidRPr="00AE3725">
        <w:rPr>
          <w:bCs/>
          <w:sz w:val="24"/>
          <w:szCs w:val="24"/>
        </w:rPr>
        <w:t xml:space="preserve">, </w:t>
      </w:r>
    </w:p>
    <w:p w14:paraId="6DE75B4A" w14:textId="77777777" w:rsidR="004223FE" w:rsidRPr="00AE3725" w:rsidRDefault="004223FE" w:rsidP="006B5194">
      <w:pPr>
        <w:autoSpaceDE w:val="0"/>
        <w:autoSpaceDN w:val="0"/>
        <w:adjustRightInd w:val="0"/>
        <w:ind w:left="851"/>
        <w:rPr>
          <w:bCs/>
          <w:sz w:val="24"/>
          <w:szCs w:val="24"/>
        </w:rPr>
      </w:pPr>
      <w:r w:rsidRPr="00AE3725">
        <w:rPr>
          <w:bCs/>
          <w:sz w:val="24"/>
          <w:szCs w:val="24"/>
        </w:rPr>
        <w:t xml:space="preserve">19600, </w:t>
      </w:r>
      <w:proofErr w:type="spellStart"/>
      <w:r w:rsidRPr="00AE3725">
        <w:rPr>
          <w:bCs/>
          <w:sz w:val="24"/>
          <w:szCs w:val="24"/>
        </w:rPr>
        <w:t>Prague</w:t>
      </w:r>
      <w:proofErr w:type="spellEnd"/>
      <w:r w:rsidRPr="00AE3725">
        <w:rPr>
          <w:bCs/>
          <w:sz w:val="24"/>
          <w:szCs w:val="24"/>
        </w:rPr>
        <w:t xml:space="preserve"> 9 </w:t>
      </w:r>
    </w:p>
    <w:p w14:paraId="5FA62556" w14:textId="77777777" w:rsidR="004223FE" w:rsidRPr="00AE3725" w:rsidRDefault="004223FE" w:rsidP="006B5194">
      <w:pPr>
        <w:autoSpaceDE w:val="0"/>
        <w:autoSpaceDN w:val="0"/>
        <w:adjustRightInd w:val="0"/>
        <w:ind w:left="851"/>
        <w:rPr>
          <w:bCs/>
          <w:sz w:val="24"/>
          <w:szCs w:val="24"/>
        </w:rPr>
      </w:pPr>
      <w:r w:rsidRPr="00AE3725">
        <w:rPr>
          <w:bCs/>
          <w:sz w:val="24"/>
          <w:szCs w:val="24"/>
        </w:rPr>
        <w:t>Tjekkiet</w:t>
      </w:r>
    </w:p>
    <w:p w14:paraId="33E49682" w14:textId="77777777" w:rsidR="00641C65" w:rsidRPr="00AE3725" w:rsidRDefault="00641C65" w:rsidP="009260DE">
      <w:pPr>
        <w:tabs>
          <w:tab w:val="left" w:pos="851"/>
        </w:tabs>
        <w:ind w:left="851"/>
        <w:rPr>
          <w:sz w:val="24"/>
          <w:szCs w:val="24"/>
        </w:rPr>
      </w:pPr>
    </w:p>
    <w:p w14:paraId="636ED9E2" w14:textId="77777777" w:rsidR="009260DE" w:rsidRPr="00AE3725" w:rsidRDefault="009260DE" w:rsidP="009260DE">
      <w:pPr>
        <w:tabs>
          <w:tab w:val="left" w:pos="851"/>
        </w:tabs>
        <w:ind w:left="851" w:hanging="851"/>
        <w:rPr>
          <w:b/>
          <w:sz w:val="24"/>
          <w:szCs w:val="24"/>
        </w:rPr>
      </w:pPr>
      <w:r w:rsidRPr="00AE3725">
        <w:rPr>
          <w:b/>
          <w:sz w:val="24"/>
          <w:szCs w:val="24"/>
        </w:rPr>
        <w:t>8.</w:t>
      </w:r>
      <w:r w:rsidRPr="00AE3725">
        <w:rPr>
          <w:b/>
          <w:sz w:val="24"/>
          <w:szCs w:val="24"/>
        </w:rPr>
        <w:tab/>
        <w:t>MARKEDSFØRINGSTILLADELSESNUMMER (</w:t>
      </w:r>
      <w:r w:rsidR="00BF6243" w:rsidRPr="00AE3725">
        <w:rPr>
          <w:b/>
          <w:sz w:val="24"/>
          <w:szCs w:val="24"/>
        </w:rPr>
        <w:t>-</w:t>
      </w:r>
      <w:r w:rsidRPr="00AE3725">
        <w:rPr>
          <w:b/>
          <w:sz w:val="24"/>
          <w:szCs w:val="24"/>
        </w:rPr>
        <w:t>NUMRE)</w:t>
      </w:r>
    </w:p>
    <w:p w14:paraId="2EA99915" w14:textId="4B6D949D" w:rsidR="009260DE" w:rsidRPr="00AE3725" w:rsidRDefault="004223FE" w:rsidP="00772D05">
      <w:pPr>
        <w:tabs>
          <w:tab w:val="left" w:pos="851"/>
          <w:tab w:val="left" w:pos="1985"/>
        </w:tabs>
        <w:ind w:left="851"/>
        <w:rPr>
          <w:sz w:val="24"/>
          <w:szCs w:val="24"/>
        </w:rPr>
      </w:pPr>
      <w:r w:rsidRPr="00AE3725">
        <w:rPr>
          <w:sz w:val="24"/>
          <w:szCs w:val="24"/>
        </w:rPr>
        <w:t xml:space="preserve">50 mg: </w:t>
      </w:r>
      <w:r w:rsidR="00772D05">
        <w:rPr>
          <w:sz w:val="24"/>
          <w:szCs w:val="24"/>
        </w:rPr>
        <w:tab/>
      </w:r>
      <w:r w:rsidRPr="00AE3725">
        <w:rPr>
          <w:sz w:val="24"/>
          <w:szCs w:val="24"/>
        </w:rPr>
        <w:t>70370</w:t>
      </w:r>
    </w:p>
    <w:p w14:paraId="40DA1E46" w14:textId="45EB2B3E" w:rsidR="004223FE" w:rsidRPr="00AE3725" w:rsidRDefault="004223FE" w:rsidP="00772D05">
      <w:pPr>
        <w:tabs>
          <w:tab w:val="left" w:pos="851"/>
          <w:tab w:val="left" w:pos="1985"/>
        </w:tabs>
        <w:ind w:left="851"/>
        <w:rPr>
          <w:sz w:val="24"/>
          <w:szCs w:val="24"/>
        </w:rPr>
      </w:pPr>
      <w:r w:rsidRPr="00AE3725">
        <w:rPr>
          <w:sz w:val="24"/>
          <w:szCs w:val="24"/>
        </w:rPr>
        <w:t xml:space="preserve">100 mg: </w:t>
      </w:r>
      <w:r w:rsidR="00772D05">
        <w:rPr>
          <w:sz w:val="24"/>
          <w:szCs w:val="24"/>
        </w:rPr>
        <w:tab/>
      </w:r>
      <w:r w:rsidRPr="00AE3725">
        <w:rPr>
          <w:sz w:val="24"/>
          <w:szCs w:val="24"/>
        </w:rPr>
        <w:t>70371</w:t>
      </w:r>
    </w:p>
    <w:p w14:paraId="3B627646" w14:textId="77777777" w:rsidR="009260DE" w:rsidRPr="00AE3725" w:rsidRDefault="009260DE" w:rsidP="009260DE">
      <w:pPr>
        <w:tabs>
          <w:tab w:val="left" w:pos="851"/>
        </w:tabs>
        <w:ind w:left="851"/>
        <w:jc w:val="both"/>
        <w:rPr>
          <w:sz w:val="24"/>
          <w:szCs w:val="24"/>
        </w:rPr>
      </w:pPr>
    </w:p>
    <w:p w14:paraId="4B602562" w14:textId="77777777" w:rsidR="009260DE" w:rsidRPr="00AE3725" w:rsidRDefault="009260DE" w:rsidP="009260DE">
      <w:pPr>
        <w:tabs>
          <w:tab w:val="left" w:pos="851"/>
        </w:tabs>
        <w:ind w:left="851" w:hanging="851"/>
        <w:rPr>
          <w:b/>
          <w:sz w:val="24"/>
          <w:szCs w:val="24"/>
        </w:rPr>
      </w:pPr>
      <w:r w:rsidRPr="00AE3725">
        <w:rPr>
          <w:b/>
          <w:sz w:val="24"/>
          <w:szCs w:val="24"/>
        </w:rPr>
        <w:t>9.</w:t>
      </w:r>
      <w:r w:rsidRPr="00AE3725">
        <w:rPr>
          <w:b/>
          <w:sz w:val="24"/>
          <w:szCs w:val="24"/>
        </w:rPr>
        <w:tab/>
        <w:t>DATO FOR FØRSTE MARKEDSFØRINGSTILLADELSE</w:t>
      </w:r>
    </w:p>
    <w:p w14:paraId="42870528" w14:textId="547BFE91" w:rsidR="009260DE" w:rsidRPr="00AE3725" w:rsidRDefault="00091A83" w:rsidP="009260DE">
      <w:pPr>
        <w:tabs>
          <w:tab w:val="left" w:pos="851"/>
        </w:tabs>
        <w:ind w:left="851"/>
        <w:rPr>
          <w:sz w:val="24"/>
          <w:szCs w:val="24"/>
        </w:rPr>
      </w:pPr>
      <w:r>
        <w:rPr>
          <w:sz w:val="24"/>
          <w:szCs w:val="24"/>
        </w:rPr>
        <w:t>23. april 2025</w:t>
      </w:r>
    </w:p>
    <w:p w14:paraId="50DDA03A" w14:textId="77777777" w:rsidR="009260DE" w:rsidRPr="00AE3725" w:rsidRDefault="009260DE" w:rsidP="009260DE">
      <w:pPr>
        <w:tabs>
          <w:tab w:val="left" w:pos="851"/>
        </w:tabs>
        <w:ind w:left="851"/>
        <w:rPr>
          <w:sz w:val="24"/>
          <w:szCs w:val="24"/>
        </w:rPr>
      </w:pPr>
    </w:p>
    <w:p w14:paraId="6158C2F6" w14:textId="77777777" w:rsidR="009260DE" w:rsidRPr="00AE3725" w:rsidRDefault="009260DE" w:rsidP="009260DE">
      <w:pPr>
        <w:tabs>
          <w:tab w:val="left" w:pos="851"/>
        </w:tabs>
        <w:ind w:left="851" w:hanging="851"/>
        <w:rPr>
          <w:b/>
          <w:sz w:val="24"/>
          <w:szCs w:val="24"/>
        </w:rPr>
      </w:pPr>
      <w:r w:rsidRPr="00AE3725">
        <w:rPr>
          <w:b/>
          <w:sz w:val="24"/>
          <w:szCs w:val="24"/>
        </w:rPr>
        <w:t>10.</w:t>
      </w:r>
      <w:r w:rsidRPr="00AE3725">
        <w:rPr>
          <w:b/>
          <w:sz w:val="24"/>
          <w:szCs w:val="24"/>
        </w:rPr>
        <w:tab/>
        <w:t>DATO FOR ÆNDRING AF TEKSTEN</w:t>
      </w:r>
    </w:p>
    <w:p w14:paraId="253C34CE" w14:textId="2740A8C8" w:rsidR="009260DE" w:rsidRPr="00AE3725" w:rsidRDefault="004223FE" w:rsidP="009260DE">
      <w:pPr>
        <w:tabs>
          <w:tab w:val="left" w:pos="851"/>
        </w:tabs>
        <w:ind w:left="851"/>
        <w:rPr>
          <w:sz w:val="24"/>
          <w:szCs w:val="24"/>
        </w:rPr>
      </w:pPr>
      <w:r w:rsidRPr="00AE3725">
        <w:rPr>
          <w:sz w:val="24"/>
          <w:szCs w:val="24"/>
        </w:rPr>
        <w:t>-</w:t>
      </w:r>
    </w:p>
    <w:sectPr w:rsidR="009260DE" w:rsidRPr="00AE372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C479" w14:textId="77777777" w:rsidR="001561DD" w:rsidRDefault="001561DD">
      <w:r>
        <w:separator/>
      </w:r>
    </w:p>
  </w:endnote>
  <w:endnote w:type="continuationSeparator" w:id="0">
    <w:p w14:paraId="7C5A5FD9" w14:textId="77777777" w:rsidR="001561DD" w:rsidRDefault="0015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8805" w14:textId="77777777" w:rsidR="001561DD" w:rsidRDefault="001561DD">
    <w:pPr>
      <w:pStyle w:val="Sidefod"/>
      <w:pBdr>
        <w:bottom w:val="single" w:sz="6" w:space="1" w:color="auto"/>
      </w:pBdr>
    </w:pPr>
  </w:p>
  <w:p w14:paraId="54A714C3" w14:textId="77777777" w:rsidR="001561DD" w:rsidRDefault="001561DD" w:rsidP="00C42586">
    <w:pPr>
      <w:pStyle w:val="Sidefod"/>
      <w:tabs>
        <w:tab w:val="clear" w:pos="4819"/>
        <w:tab w:val="left" w:pos="8505"/>
      </w:tabs>
      <w:rPr>
        <w:i/>
        <w:sz w:val="18"/>
        <w:szCs w:val="18"/>
      </w:rPr>
    </w:pPr>
  </w:p>
  <w:p w14:paraId="28D45AE0" w14:textId="0B591C64" w:rsidR="001561DD" w:rsidRPr="00B373D7" w:rsidRDefault="001561D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D3879">
      <w:rPr>
        <w:i/>
        <w:noProof/>
        <w:sz w:val="18"/>
        <w:szCs w:val="18"/>
      </w:rPr>
      <w:t>Safinamide Vivanta, filmovertrukne tabletter 50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178DF" w14:textId="77777777" w:rsidR="001561DD" w:rsidRDefault="001561DD">
      <w:r>
        <w:separator/>
      </w:r>
    </w:p>
  </w:footnote>
  <w:footnote w:type="continuationSeparator" w:id="0">
    <w:p w14:paraId="6FC2E215" w14:textId="77777777" w:rsidR="001561DD" w:rsidRDefault="00156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32"/>
    <w:rsid w:val="000259B9"/>
    <w:rsid w:val="00041491"/>
    <w:rsid w:val="00050D16"/>
    <w:rsid w:val="000730CA"/>
    <w:rsid w:val="00074F2A"/>
    <w:rsid w:val="00091A83"/>
    <w:rsid w:val="000A1CA8"/>
    <w:rsid w:val="000A466B"/>
    <w:rsid w:val="000B058C"/>
    <w:rsid w:val="000D3879"/>
    <w:rsid w:val="000D68B0"/>
    <w:rsid w:val="000E4EE6"/>
    <w:rsid w:val="001454E2"/>
    <w:rsid w:val="001561DD"/>
    <w:rsid w:val="00206CE8"/>
    <w:rsid w:val="0021526C"/>
    <w:rsid w:val="002815F4"/>
    <w:rsid w:val="00283A2B"/>
    <w:rsid w:val="002B30AD"/>
    <w:rsid w:val="002C1EC0"/>
    <w:rsid w:val="002C2C01"/>
    <w:rsid w:val="003A29AE"/>
    <w:rsid w:val="003A32D7"/>
    <w:rsid w:val="003B4074"/>
    <w:rsid w:val="003C769A"/>
    <w:rsid w:val="003D3A90"/>
    <w:rsid w:val="003F1838"/>
    <w:rsid w:val="004223FE"/>
    <w:rsid w:val="004251C1"/>
    <w:rsid w:val="0045746C"/>
    <w:rsid w:val="0049104B"/>
    <w:rsid w:val="004E3B12"/>
    <w:rsid w:val="00532310"/>
    <w:rsid w:val="00550175"/>
    <w:rsid w:val="00565F0F"/>
    <w:rsid w:val="00594A86"/>
    <w:rsid w:val="00596D86"/>
    <w:rsid w:val="00637F5A"/>
    <w:rsid w:val="00641C65"/>
    <w:rsid w:val="006560B1"/>
    <w:rsid w:val="006756DD"/>
    <w:rsid w:val="006B5194"/>
    <w:rsid w:val="0071241E"/>
    <w:rsid w:val="00737275"/>
    <w:rsid w:val="00740EEC"/>
    <w:rsid w:val="00772D05"/>
    <w:rsid w:val="0078011A"/>
    <w:rsid w:val="00782AF4"/>
    <w:rsid w:val="00790EE7"/>
    <w:rsid w:val="007B6649"/>
    <w:rsid w:val="0082576E"/>
    <w:rsid w:val="0089346F"/>
    <w:rsid w:val="00907F75"/>
    <w:rsid w:val="009260DE"/>
    <w:rsid w:val="0093258A"/>
    <w:rsid w:val="009C7BA3"/>
    <w:rsid w:val="009D1F5A"/>
    <w:rsid w:val="00A10294"/>
    <w:rsid w:val="00AE3725"/>
    <w:rsid w:val="00B003BF"/>
    <w:rsid w:val="00B373D7"/>
    <w:rsid w:val="00B55271"/>
    <w:rsid w:val="00B82032"/>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11149"/>
  <w15:chartTrackingRefBased/>
  <w15:docId w15:val="{8326EDEF-B53B-4C5C-98B0-EA9355A6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4223FE"/>
    <w:rPr>
      <w:color w:val="0563C1" w:themeColor="hyperlink"/>
      <w:u w:val="single"/>
    </w:rPr>
  </w:style>
  <w:style w:type="paragraph" w:customStyle="1" w:styleId="TableParagraph">
    <w:name w:val="Table Paragraph"/>
    <w:basedOn w:val="Normal"/>
    <w:uiPriority w:val="1"/>
    <w:qFormat/>
    <w:rsid w:val="004223FE"/>
    <w:pPr>
      <w:widowControl w:val="0"/>
      <w:autoSpaceDE w:val="0"/>
      <w:autoSpaceDN w:val="0"/>
      <w:ind w:left="65"/>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1191">
      <w:bodyDiv w:val="1"/>
      <w:marLeft w:val="0"/>
      <w:marRight w:val="0"/>
      <w:marTop w:val="0"/>
      <w:marBottom w:val="0"/>
      <w:divBdr>
        <w:top w:val="none" w:sz="0" w:space="0" w:color="auto"/>
        <w:left w:val="none" w:sz="0" w:space="0" w:color="auto"/>
        <w:bottom w:val="none" w:sz="0" w:space="0" w:color="auto"/>
        <w:right w:val="none" w:sz="0" w:space="0" w:color="auto"/>
      </w:divBdr>
    </w:div>
    <w:div w:id="14196769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7621718">
      <w:bodyDiv w:val="1"/>
      <w:marLeft w:val="0"/>
      <w:marRight w:val="0"/>
      <w:marTop w:val="0"/>
      <w:marBottom w:val="0"/>
      <w:divBdr>
        <w:top w:val="none" w:sz="0" w:space="0" w:color="auto"/>
        <w:left w:val="none" w:sz="0" w:space="0" w:color="auto"/>
        <w:bottom w:val="none" w:sz="0" w:space="0" w:color="auto"/>
        <w:right w:val="none" w:sz="0" w:space="0" w:color="auto"/>
      </w:divBdr>
    </w:div>
    <w:div w:id="440298643">
      <w:bodyDiv w:val="1"/>
      <w:marLeft w:val="0"/>
      <w:marRight w:val="0"/>
      <w:marTop w:val="0"/>
      <w:marBottom w:val="0"/>
      <w:divBdr>
        <w:top w:val="none" w:sz="0" w:space="0" w:color="auto"/>
        <w:left w:val="none" w:sz="0" w:space="0" w:color="auto"/>
        <w:bottom w:val="none" w:sz="0" w:space="0" w:color="auto"/>
        <w:right w:val="none" w:sz="0" w:space="0" w:color="auto"/>
      </w:divBdr>
    </w:div>
    <w:div w:id="511453581">
      <w:bodyDiv w:val="1"/>
      <w:marLeft w:val="0"/>
      <w:marRight w:val="0"/>
      <w:marTop w:val="0"/>
      <w:marBottom w:val="0"/>
      <w:divBdr>
        <w:top w:val="none" w:sz="0" w:space="0" w:color="auto"/>
        <w:left w:val="none" w:sz="0" w:space="0" w:color="auto"/>
        <w:bottom w:val="none" w:sz="0" w:space="0" w:color="auto"/>
        <w:right w:val="none" w:sz="0" w:space="0" w:color="auto"/>
      </w:divBdr>
    </w:div>
    <w:div w:id="630794959">
      <w:bodyDiv w:val="1"/>
      <w:marLeft w:val="0"/>
      <w:marRight w:val="0"/>
      <w:marTop w:val="0"/>
      <w:marBottom w:val="0"/>
      <w:divBdr>
        <w:top w:val="none" w:sz="0" w:space="0" w:color="auto"/>
        <w:left w:val="none" w:sz="0" w:space="0" w:color="auto"/>
        <w:bottom w:val="none" w:sz="0" w:space="0" w:color="auto"/>
        <w:right w:val="none" w:sz="0" w:space="0" w:color="auto"/>
      </w:divBdr>
    </w:div>
    <w:div w:id="651447794">
      <w:bodyDiv w:val="1"/>
      <w:marLeft w:val="0"/>
      <w:marRight w:val="0"/>
      <w:marTop w:val="0"/>
      <w:marBottom w:val="0"/>
      <w:divBdr>
        <w:top w:val="none" w:sz="0" w:space="0" w:color="auto"/>
        <w:left w:val="none" w:sz="0" w:space="0" w:color="auto"/>
        <w:bottom w:val="none" w:sz="0" w:space="0" w:color="auto"/>
        <w:right w:val="none" w:sz="0" w:space="0" w:color="auto"/>
      </w:divBdr>
    </w:div>
    <w:div w:id="661667248">
      <w:bodyDiv w:val="1"/>
      <w:marLeft w:val="0"/>
      <w:marRight w:val="0"/>
      <w:marTop w:val="0"/>
      <w:marBottom w:val="0"/>
      <w:divBdr>
        <w:top w:val="none" w:sz="0" w:space="0" w:color="auto"/>
        <w:left w:val="none" w:sz="0" w:space="0" w:color="auto"/>
        <w:bottom w:val="none" w:sz="0" w:space="0" w:color="auto"/>
        <w:right w:val="none" w:sz="0" w:space="0" w:color="auto"/>
      </w:divBdr>
    </w:div>
    <w:div w:id="781267986">
      <w:bodyDiv w:val="1"/>
      <w:marLeft w:val="0"/>
      <w:marRight w:val="0"/>
      <w:marTop w:val="0"/>
      <w:marBottom w:val="0"/>
      <w:divBdr>
        <w:top w:val="none" w:sz="0" w:space="0" w:color="auto"/>
        <w:left w:val="none" w:sz="0" w:space="0" w:color="auto"/>
        <w:bottom w:val="none" w:sz="0" w:space="0" w:color="auto"/>
        <w:right w:val="none" w:sz="0" w:space="0" w:color="auto"/>
      </w:divBdr>
    </w:div>
    <w:div w:id="1021007271">
      <w:bodyDiv w:val="1"/>
      <w:marLeft w:val="0"/>
      <w:marRight w:val="0"/>
      <w:marTop w:val="0"/>
      <w:marBottom w:val="0"/>
      <w:divBdr>
        <w:top w:val="none" w:sz="0" w:space="0" w:color="auto"/>
        <w:left w:val="none" w:sz="0" w:space="0" w:color="auto"/>
        <w:bottom w:val="none" w:sz="0" w:space="0" w:color="auto"/>
        <w:right w:val="none" w:sz="0" w:space="0" w:color="auto"/>
      </w:divBdr>
    </w:div>
    <w:div w:id="1252273010">
      <w:bodyDiv w:val="1"/>
      <w:marLeft w:val="0"/>
      <w:marRight w:val="0"/>
      <w:marTop w:val="0"/>
      <w:marBottom w:val="0"/>
      <w:divBdr>
        <w:top w:val="none" w:sz="0" w:space="0" w:color="auto"/>
        <w:left w:val="none" w:sz="0" w:space="0" w:color="auto"/>
        <w:bottom w:val="none" w:sz="0" w:space="0" w:color="auto"/>
        <w:right w:val="none" w:sz="0" w:space="0" w:color="auto"/>
      </w:divBdr>
    </w:div>
    <w:div w:id="1253319526">
      <w:bodyDiv w:val="1"/>
      <w:marLeft w:val="0"/>
      <w:marRight w:val="0"/>
      <w:marTop w:val="0"/>
      <w:marBottom w:val="0"/>
      <w:divBdr>
        <w:top w:val="none" w:sz="0" w:space="0" w:color="auto"/>
        <w:left w:val="none" w:sz="0" w:space="0" w:color="auto"/>
        <w:bottom w:val="none" w:sz="0" w:space="0" w:color="auto"/>
        <w:right w:val="none" w:sz="0" w:space="0" w:color="auto"/>
      </w:divBdr>
    </w:div>
    <w:div w:id="1464688517">
      <w:bodyDiv w:val="1"/>
      <w:marLeft w:val="0"/>
      <w:marRight w:val="0"/>
      <w:marTop w:val="0"/>
      <w:marBottom w:val="0"/>
      <w:divBdr>
        <w:top w:val="none" w:sz="0" w:space="0" w:color="auto"/>
        <w:left w:val="none" w:sz="0" w:space="0" w:color="auto"/>
        <w:bottom w:val="none" w:sz="0" w:space="0" w:color="auto"/>
        <w:right w:val="none" w:sz="0" w:space="0" w:color="auto"/>
      </w:divBdr>
    </w:div>
    <w:div w:id="1741826099">
      <w:bodyDiv w:val="1"/>
      <w:marLeft w:val="0"/>
      <w:marRight w:val="0"/>
      <w:marTop w:val="0"/>
      <w:marBottom w:val="0"/>
      <w:divBdr>
        <w:top w:val="none" w:sz="0" w:space="0" w:color="auto"/>
        <w:left w:val="none" w:sz="0" w:space="0" w:color="auto"/>
        <w:bottom w:val="none" w:sz="0" w:space="0" w:color="auto"/>
        <w:right w:val="none" w:sz="0" w:space="0" w:color="auto"/>
      </w:divBdr>
    </w:div>
    <w:div w:id="1752040582">
      <w:bodyDiv w:val="1"/>
      <w:marLeft w:val="0"/>
      <w:marRight w:val="0"/>
      <w:marTop w:val="0"/>
      <w:marBottom w:val="0"/>
      <w:divBdr>
        <w:top w:val="none" w:sz="0" w:space="0" w:color="auto"/>
        <w:left w:val="none" w:sz="0" w:space="0" w:color="auto"/>
        <w:bottom w:val="none" w:sz="0" w:space="0" w:color="auto"/>
        <w:right w:val="none" w:sz="0" w:space="0" w:color="auto"/>
      </w:divBdr>
    </w:div>
    <w:div w:id="1794595511">
      <w:bodyDiv w:val="1"/>
      <w:marLeft w:val="0"/>
      <w:marRight w:val="0"/>
      <w:marTop w:val="0"/>
      <w:marBottom w:val="0"/>
      <w:divBdr>
        <w:top w:val="none" w:sz="0" w:space="0" w:color="auto"/>
        <w:left w:val="none" w:sz="0" w:space="0" w:color="auto"/>
        <w:bottom w:val="none" w:sz="0" w:space="0" w:color="auto"/>
        <w:right w:val="none" w:sz="0" w:space="0" w:color="auto"/>
      </w:divBdr>
    </w:div>
    <w:div w:id="1803959512">
      <w:bodyDiv w:val="1"/>
      <w:marLeft w:val="0"/>
      <w:marRight w:val="0"/>
      <w:marTop w:val="0"/>
      <w:marBottom w:val="0"/>
      <w:divBdr>
        <w:top w:val="none" w:sz="0" w:space="0" w:color="auto"/>
        <w:left w:val="none" w:sz="0" w:space="0" w:color="auto"/>
        <w:bottom w:val="none" w:sz="0" w:space="0" w:color="auto"/>
        <w:right w:val="none" w:sz="0" w:space="0" w:color="auto"/>
      </w:divBdr>
    </w:div>
    <w:div w:id="1858421492">
      <w:bodyDiv w:val="1"/>
      <w:marLeft w:val="0"/>
      <w:marRight w:val="0"/>
      <w:marTop w:val="0"/>
      <w:marBottom w:val="0"/>
      <w:divBdr>
        <w:top w:val="none" w:sz="0" w:space="0" w:color="auto"/>
        <w:left w:val="none" w:sz="0" w:space="0" w:color="auto"/>
        <w:bottom w:val="none" w:sz="0" w:space="0" w:color="auto"/>
        <w:right w:val="none" w:sz="0" w:space="0" w:color="auto"/>
      </w:divBdr>
    </w:div>
    <w:div w:id="1966230842">
      <w:bodyDiv w:val="1"/>
      <w:marLeft w:val="0"/>
      <w:marRight w:val="0"/>
      <w:marTop w:val="0"/>
      <w:marBottom w:val="0"/>
      <w:divBdr>
        <w:top w:val="none" w:sz="0" w:space="0" w:color="auto"/>
        <w:left w:val="none" w:sz="0" w:space="0" w:color="auto"/>
        <w:bottom w:val="none" w:sz="0" w:space="0" w:color="auto"/>
        <w:right w:val="none" w:sz="0" w:space="0" w:color="auto"/>
      </w:divBdr>
    </w:div>
    <w:div w:id="1992245428">
      <w:bodyDiv w:val="1"/>
      <w:marLeft w:val="0"/>
      <w:marRight w:val="0"/>
      <w:marTop w:val="0"/>
      <w:marBottom w:val="0"/>
      <w:divBdr>
        <w:top w:val="none" w:sz="0" w:space="0" w:color="auto"/>
        <w:left w:val="none" w:sz="0" w:space="0" w:color="auto"/>
        <w:bottom w:val="none" w:sz="0" w:space="0" w:color="auto"/>
        <w:right w:val="none" w:sz="0" w:space="0" w:color="auto"/>
      </w:divBdr>
    </w:div>
    <w:div w:id="213709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53</TotalTime>
  <Pages>15</Pages>
  <Words>4194</Words>
  <Characters>28498</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2023093628, MT</dc:description>
  <cp:lastModifiedBy>Gitte Jørgensen</cp:lastModifiedBy>
  <cp:revision>7</cp:revision>
  <cp:lastPrinted>2012-08-22T08:53:00Z</cp:lastPrinted>
  <dcterms:created xsi:type="dcterms:W3CDTF">2025-04-22T12:36:00Z</dcterms:created>
  <dcterms:modified xsi:type="dcterms:W3CDTF">2025-04-23T11:26:00Z</dcterms:modified>
</cp:coreProperties>
</file>