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7C434E" w:rsidRDefault="0021526C" w:rsidP="009260DE">
      <w:pPr>
        <w:rPr>
          <w:sz w:val="24"/>
          <w:szCs w:val="24"/>
        </w:rPr>
      </w:pPr>
      <w:r w:rsidRPr="007C434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C434E">
        <w:rPr>
          <w:sz w:val="24"/>
          <w:szCs w:val="24"/>
        </w:rPr>
        <w:br w:type="textWrapping" w:clear="all"/>
      </w:r>
    </w:p>
    <w:p w:rsidR="009260DE" w:rsidRPr="007C434E" w:rsidRDefault="009260DE" w:rsidP="009260DE">
      <w:pPr>
        <w:pStyle w:val="Titel"/>
        <w:tabs>
          <w:tab w:val="right" w:pos="9356"/>
        </w:tabs>
        <w:jc w:val="left"/>
        <w:rPr>
          <w:b w:val="0"/>
          <w:szCs w:val="24"/>
          <w:lang w:eastAsia="en-US"/>
        </w:rPr>
      </w:pPr>
      <w:r w:rsidRPr="007C434E">
        <w:rPr>
          <w:b w:val="0"/>
          <w:szCs w:val="24"/>
          <w:lang w:eastAsia="en-US"/>
        </w:rPr>
        <w:tab/>
      </w:r>
      <w:r w:rsidR="00E271CE">
        <w:rPr>
          <w:szCs w:val="24"/>
        </w:rPr>
        <w:t>13</w:t>
      </w:r>
      <w:r w:rsidR="007975B2">
        <w:rPr>
          <w:szCs w:val="24"/>
        </w:rPr>
        <w:t>. november 202</w:t>
      </w:r>
      <w:r w:rsidR="002C5FBD">
        <w:rPr>
          <w:szCs w:val="24"/>
        </w:rPr>
        <w:t>4</w:t>
      </w:r>
    </w:p>
    <w:p w:rsidR="009260DE" w:rsidRPr="007C434E" w:rsidRDefault="009260DE" w:rsidP="009260DE">
      <w:pPr>
        <w:pStyle w:val="Titel"/>
        <w:tabs>
          <w:tab w:val="left" w:pos="8222"/>
        </w:tabs>
        <w:jc w:val="left"/>
        <w:rPr>
          <w:b w:val="0"/>
          <w:szCs w:val="24"/>
        </w:rPr>
      </w:pPr>
    </w:p>
    <w:p w:rsidR="009260DE" w:rsidRPr="007C434E" w:rsidRDefault="009260DE" w:rsidP="009260DE">
      <w:pPr>
        <w:pStyle w:val="Titel"/>
        <w:jc w:val="left"/>
        <w:rPr>
          <w:b w:val="0"/>
          <w:szCs w:val="24"/>
        </w:rPr>
      </w:pPr>
    </w:p>
    <w:p w:rsidR="009260DE" w:rsidRPr="007C434E" w:rsidRDefault="009260DE" w:rsidP="009260DE">
      <w:pPr>
        <w:pStyle w:val="Titel"/>
        <w:jc w:val="left"/>
        <w:rPr>
          <w:b w:val="0"/>
          <w:szCs w:val="24"/>
        </w:rPr>
      </w:pPr>
    </w:p>
    <w:p w:rsidR="009260DE" w:rsidRPr="007C434E" w:rsidRDefault="009260DE" w:rsidP="009260DE">
      <w:pPr>
        <w:jc w:val="center"/>
        <w:rPr>
          <w:b/>
          <w:sz w:val="24"/>
          <w:szCs w:val="24"/>
        </w:rPr>
      </w:pPr>
      <w:r w:rsidRPr="007C434E">
        <w:rPr>
          <w:b/>
          <w:sz w:val="24"/>
          <w:szCs w:val="24"/>
        </w:rPr>
        <w:t>PRODUKTRESUMÉ</w:t>
      </w:r>
    </w:p>
    <w:p w:rsidR="009260DE" w:rsidRPr="007C434E" w:rsidRDefault="009260DE" w:rsidP="009260DE">
      <w:pPr>
        <w:jc w:val="center"/>
        <w:rPr>
          <w:b/>
          <w:sz w:val="24"/>
          <w:szCs w:val="24"/>
        </w:rPr>
      </w:pPr>
    </w:p>
    <w:p w:rsidR="009260DE" w:rsidRPr="007C434E" w:rsidRDefault="009260DE" w:rsidP="009260DE">
      <w:pPr>
        <w:jc w:val="center"/>
        <w:rPr>
          <w:b/>
          <w:sz w:val="24"/>
          <w:szCs w:val="24"/>
        </w:rPr>
      </w:pPr>
      <w:r w:rsidRPr="007C434E">
        <w:rPr>
          <w:b/>
          <w:sz w:val="24"/>
          <w:szCs w:val="24"/>
        </w:rPr>
        <w:t>for</w:t>
      </w:r>
    </w:p>
    <w:p w:rsidR="000B058C" w:rsidRPr="007C434E" w:rsidRDefault="000B058C" w:rsidP="009260DE">
      <w:pPr>
        <w:jc w:val="center"/>
        <w:rPr>
          <w:b/>
          <w:sz w:val="24"/>
          <w:szCs w:val="24"/>
        </w:rPr>
      </w:pPr>
    </w:p>
    <w:p w:rsidR="009260DE" w:rsidRPr="007C434E" w:rsidRDefault="00D20A4E" w:rsidP="009260DE">
      <w:pPr>
        <w:jc w:val="center"/>
        <w:rPr>
          <w:b/>
          <w:sz w:val="24"/>
          <w:szCs w:val="24"/>
        </w:rPr>
      </w:pPr>
      <w:proofErr w:type="spellStart"/>
      <w:r w:rsidRPr="007C434E">
        <w:rPr>
          <w:b/>
          <w:sz w:val="24"/>
          <w:szCs w:val="24"/>
        </w:rPr>
        <w:t>Salbutamol</w:t>
      </w:r>
      <w:proofErr w:type="spellEnd"/>
      <w:r w:rsidRPr="007C434E">
        <w:rPr>
          <w:b/>
          <w:sz w:val="24"/>
          <w:szCs w:val="24"/>
        </w:rPr>
        <w:t xml:space="preserve"> "</w:t>
      </w:r>
      <w:proofErr w:type="spellStart"/>
      <w:r w:rsidRPr="007C434E">
        <w:rPr>
          <w:b/>
          <w:sz w:val="24"/>
          <w:szCs w:val="24"/>
        </w:rPr>
        <w:t>Neutec</w:t>
      </w:r>
      <w:proofErr w:type="spellEnd"/>
      <w:r w:rsidRPr="007C434E">
        <w:rPr>
          <w:b/>
          <w:sz w:val="24"/>
          <w:szCs w:val="24"/>
        </w:rPr>
        <w:t xml:space="preserve">", inhalationsvæske til </w:t>
      </w:r>
      <w:proofErr w:type="spellStart"/>
      <w:r w:rsidRPr="007C434E">
        <w:rPr>
          <w:b/>
          <w:sz w:val="24"/>
          <w:szCs w:val="24"/>
        </w:rPr>
        <w:t>nebulisator</w:t>
      </w:r>
      <w:proofErr w:type="spellEnd"/>
      <w:r w:rsidRPr="007C434E">
        <w:rPr>
          <w:b/>
          <w:sz w:val="24"/>
          <w:szCs w:val="24"/>
        </w:rPr>
        <w:t>, opløsning</w:t>
      </w:r>
    </w:p>
    <w:p w:rsidR="009260DE" w:rsidRPr="007C434E" w:rsidRDefault="009260DE" w:rsidP="009260DE">
      <w:pPr>
        <w:jc w:val="both"/>
        <w:rPr>
          <w:sz w:val="24"/>
          <w:szCs w:val="24"/>
        </w:rPr>
      </w:pPr>
    </w:p>
    <w:p w:rsidR="009260DE" w:rsidRPr="007C434E" w:rsidRDefault="009260DE" w:rsidP="009260DE">
      <w:pPr>
        <w:jc w:val="both"/>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0.</w:t>
      </w:r>
      <w:r w:rsidRPr="007C434E">
        <w:rPr>
          <w:b/>
          <w:sz w:val="24"/>
          <w:szCs w:val="24"/>
        </w:rPr>
        <w:tab/>
        <w:t>D.SP.NR.</w:t>
      </w:r>
    </w:p>
    <w:p w:rsidR="009260DE" w:rsidRPr="007C434E" w:rsidRDefault="006F58C9" w:rsidP="009260DE">
      <w:pPr>
        <w:tabs>
          <w:tab w:val="left" w:pos="851"/>
        </w:tabs>
        <w:ind w:left="851"/>
        <w:rPr>
          <w:sz w:val="24"/>
          <w:szCs w:val="24"/>
        </w:rPr>
      </w:pPr>
      <w:r w:rsidRPr="007C434E">
        <w:rPr>
          <w:sz w:val="24"/>
          <w:szCs w:val="24"/>
        </w:rPr>
        <w:t>32255</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1.</w:t>
      </w:r>
      <w:r w:rsidRPr="007C434E">
        <w:rPr>
          <w:b/>
          <w:sz w:val="24"/>
          <w:szCs w:val="24"/>
        </w:rPr>
        <w:tab/>
        <w:t>LÆGEMIDLETS NAVN</w:t>
      </w:r>
    </w:p>
    <w:p w:rsidR="009260DE" w:rsidRPr="007C434E" w:rsidRDefault="00D20A4E" w:rsidP="009260DE">
      <w:pPr>
        <w:tabs>
          <w:tab w:val="left" w:pos="851"/>
        </w:tabs>
        <w:ind w:left="851"/>
        <w:rPr>
          <w:sz w:val="24"/>
          <w:szCs w:val="24"/>
        </w:rPr>
      </w:pPr>
      <w:proofErr w:type="spellStart"/>
      <w:r w:rsidRPr="007C434E">
        <w:rPr>
          <w:sz w:val="24"/>
          <w:szCs w:val="24"/>
        </w:rPr>
        <w:t>Salbutamol</w:t>
      </w:r>
      <w:proofErr w:type="spellEnd"/>
      <w:r w:rsidRPr="007C434E">
        <w:rPr>
          <w:sz w:val="24"/>
          <w:szCs w:val="24"/>
        </w:rPr>
        <w:t xml:space="preserve"> "</w:t>
      </w:r>
      <w:proofErr w:type="spellStart"/>
      <w:r w:rsidRPr="007C434E">
        <w:rPr>
          <w:sz w:val="24"/>
          <w:szCs w:val="24"/>
        </w:rPr>
        <w:t>Neutec</w:t>
      </w:r>
      <w:proofErr w:type="spellEnd"/>
      <w:r w:rsidRPr="007C434E">
        <w:rPr>
          <w:sz w:val="24"/>
          <w:szCs w:val="24"/>
        </w:rPr>
        <w:t>"</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2.</w:t>
      </w:r>
      <w:r w:rsidRPr="007C434E">
        <w:rPr>
          <w:b/>
          <w:sz w:val="24"/>
          <w:szCs w:val="24"/>
        </w:rPr>
        <w:tab/>
        <w:t>KVALITATIV OG KVANTITATIV SAMMENSÆTNING</w:t>
      </w:r>
    </w:p>
    <w:p w:rsidR="00840A0D" w:rsidRPr="007C434E" w:rsidRDefault="00840A0D" w:rsidP="00AA14EB">
      <w:pPr>
        <w:ind w:left="851"/>
        <w:rPr>
          <w:sz w:val="24"/>
          <w:szCs w:val="24"/>
        </w:rPr>
      </w:pPr>
      <w:r w:rsidRPr="007C434E">
        <w:rPr>
          <w:sz w:val="24"/>
          <w:szCs w:val="24"/>
        </w:rPr>
        <w:t xml:space="preserve">Hver 2,5 ml enkeltdosisbeholder indeholder 2,5 mg </w:t>
      </w:r>
      <w:proofErr w:type="spellStart"/>
      <w:r w:rsidRPr="007C434E">
        <w:rPr>
          <w:sz w:val="24"/>
          <w:szCs w:val="24"/>
        </w:rPr>
        <w:t>salbutamol</w:t>
      </w:r>
      <w:proofErr w:type="spellEnd"/>
      <w:r w:rsidRPr="007C434E">
        <w:rPr>
          <w:sz w:val="24"/>
          <w:szCs w:val="24"/>
        </w:rPr>
        <w:t xml:space="preserve"> (som </w:t>
      </w:r>
      <w:proofErr w:type="spellStart"/>
      <w:r w:rsidRPr="007C434E">
        <w:rPr>
          <w:sz w:val="24"/>
          <w:szCs w:val="24"/>
        </w:rPr>
        <w:t>salbutamolsulfat</w:t>
      </w:r>
      <w:proofErr w:type="spellEnd"/>
      <w:r w:rsidRPr="007C434E">
        <w:rPr>
          <w:sz w:val="24"/>
          <w:szCs w:val="24"/>
        </w:rPr>
        <w:t xml:space="preserve">), svarende til 1 mg </w:t>
      </w:r>
      <w:proofErr w:type="spellStart"/>
      <w:r w:rsidRPr="007C434E">
        <w:rPr>
          <w:sz w:val="24"/>
          <w:szCs w:val="24"/>
        </w:rPr>
        <w:t>salbutamol</w:t>
      </w:r>
      <w:proofErr w:type="spellEnd"/>
      <w:r w:rsidRPr="007C434E">
        <w:rPr>
          <w:sz w:val="24"/>
          <w:szCs w:val="24"/>
        </w:rPr>
        <w:t xml:space="preserve"> pr. 1 ml.</w:t>
      </w:r>
    </w:p>
    <w:p w:rsidR="00840A0D" w:rsidRPr="007C434E" w:rsidRDefault="00840A0D" w:rsidP="00AA14EB">
      <w:pPr>
        <w:ind w:left="851"/>
        <w:rPr>
          <w:sz w:val="24"/>
          <w:szCs w:val="24"/>
        </w:rPr>
      </w:pPr>
    </w:p>
    <w:p w:rsidR="00840A0D" w:rsidRPr="007C434E" w:rsidRDefault="00840A0D" w:rsidP="00AA14EB">
      <w:pPr>
        <w:ind w:left="851"/>
        <w:rPr>
          <w:sz w:val="24"/>
          <w:szCs w:val="24"/>
        </w:rPr>
      </w:pPr>
      <w:r w:rsidRPr="007C434E">
        <w:rPr>
          <w:sz w:val="24"/>
          <w:szCs w:val="24"/>
        </w:rPr>
        <w:t>Alle hjælpestoffer er anført under pkt. 6.1.</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3.</w:t>
      </w:r>
      <w:r w:rsidRPr="007C434E">
        <w:rPr>
          <w:b/>
          <w:sz w:val="24"/>
          <w:szCs w:val="24"/>
        </w:rPr>
        <w:tab/>
        <w:t>LÆGEMIDDELFORM</w:t>
      </w:r>
    </w:p>
    <w:p w:rsidR="00840A0D" w:rsidRPr="007C434E" w:rsidRDefault="00840A0D" w:rsidP="00AA14EB">
      <w:pPr>
        <w:ind w:left="851"/>
        <w:rPr>
          <w:sz w:val="24"/>
          <w:szCs w:val="24"/>
        </w:rPr>
      </w:pPr>
      <w:r w:rsidRPr="007C434E">
        <w:rPr>
          <w:sz w:val="24"/>
          <w:szCs w:val="24"/>
        </w:rPr>
        <w:t xml:space="preserve">Inhalationsvæske til </w:t>
      </w:r>
      <w:proofErr w:type="spellStart"/>
      <w:r w:rsidRPr="007C434E">
        <w:rPr>
          <w:sz w:val="24"/>
          <w:szCs w:val="24"/>
        </w:rPr>
        <w:t>nebulisator</w:t>
      </w:r>
      <w:proofErr w:type="spellEnd"/>
      <w:r w:rsidRPr="007C434E">
        <w:rPr>
          <w:sz w:val="24"/>
          <w:szCs w:val="24"/>
        </w:rPr>
        <w:t>, opløsning</w:t>
      </w:r>
    </w:p>
    <w:p w:rsidR="00840A0D" w:rsidRPr="007C434E" w:rsidRDefault="00840A0D" w:rsidP="00AA14EB">
      <w:pPr>
        <w:ind w:left="851"/>
        <w:rPr>
          <w:sz w:val="24"/>
          <w:szCs w:val="24"/>
        </w:rPr>
      </w:pPr>
      <w:r w:rsidRPr="007C434E">
        <w:rPr>
          <w:sz w:val="24"/>
          <w:szCs w:val="24"/>
        </w:rPr>
        <w:t>En klar, farveløs opløsning.</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w:t>
      </w:r>
      <w:r w:rsidRPr="007C434E">
        <w:rPr>
          <w:b/>
          <w:sz w:val="24"/>
          <w:szCs w:val="24"/>
        </w:rPr>
        <w:tab/>
        <w:t>KLINISKE OPLYSNINGER</w:t>
      </w:r>
    </w:p>
    <w:p w:rsidR="009260DE" w:rsidRPr="007C434E" w:rsidRDefault="009260DE" w:rsidP="009260DE">
      <w:pPr>
        <w:tabs>
          <w:tab w:val="left" w:pos="851"/>
        </w:tabs>
        <w:ind w:left="851"/>
        <w:rPr>
          <w:b/>
          <w:sz w:val="24"/>
          <w:szCs w:val="24"/>
        </w:rPr>
      </w:pPr>
    </w:p>
    <w:p w:rsidR="009260DE" w:rsidRPr="007C434E" w:rsidRDefault="009260DE" w:rsidP="009260DE">
      <w:pPr>
        <w:tabs>
          <w:tab w:val="left" w:pos="851"/>
        </w:tabs>
        <w:ind w:left="851" w:hanging="851"/>
        <w:rPr>
          <w:b/>
          <w:sz w:val="24"/>
          <w:szCs w:val="24"/>
          <w:u w:val="single"/>
        </w:rPr>
      </w:pPr>
      <w:r w:rsidRPr="007C434E">
        <w:rPr>
          <w:b/>
          <w:sz w:val="24"/>
          <w:szCs w:val="24"/>
        </w:rPr>
        <w:t>4.1</w:t>
      </w:r>
      <w:r w:rsidRPr="007C434E">
        <w:rPr>
          <w:b/>
          <w:sz w:val="24"/>
          <w:szCs w:val="24"/>
        </w:rPr>
        <w:tab/>
        <w:t>Terapeutiske indikationer</w:t>
      </w: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w:t>
      </w:r>
      <w:r w:rsidR="00E039D5">
        <w:rPr>
          <w:sz w:val="24"/>
          <w:szCs w:val="24"/>
        </w:rPr>
        <w:t>"</w:t>
      </w:r>
      <w:proofErr w:type="spellStart"/>
      <w:r w:rsidR="00E039D5">
        <w:rPr>
          <w:sz w:val="24"/>
          <w:szCs w:val="24"/>
        </w:rPr>
        <w:t>Neutec</w:t>
      </w:r>
      <w:proofErr w:type="spellEnd"/>
      <w:r w:rsidR="00E039D5">
        <w:rPr>
          <w:sz w:val="24"/>
          <w:szCs w:val="24"/>
        </w:rPr>
        <w:t>"</w:t>
      </w:r>
      <w:r w:rsidRPr="007C434E">
        <w:rPr>
          <w:sz w:val="24"/>
          <w:szCs w:val="24"/>
        </w:rPr>
        <w:t xml:space="preserve"> er indiceret hos voksne, unge og børn i alderen 4-11 år.</w:t>
      </w:r>
    </w:p>
    <w:p w:rsidR="00840A0D" w:rsidRPr="007C434E" w:rsidRDefault="00840A0D" w:rsidP="00AA14EB">
      <w:pPr>
        <w:ind w:left="851"/>
        <w:rPr>
          <w:sz w:val="24"/>
          <w:szCs w:val="24"/>
        </w:rPr>
      </w:pP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w:t>
      </w:r>
      <w:r w:rsidR="00E039D5">
        <w:rPr>
          <w:sz w:val="24"/>
          <w:szCs w:val="24"/>
        </w:rPr>
        <w:t>"</w:t>
      </w:r>
      <w:proofErr w:type="spellStart"/>
      <w:r w:rsidR="00E039D5">
        <w:rPr>
          <w:sz w:val="24"/>
          <w:szCs w:val="24"/>
        </w:rPr>
        <w:t>Neutec</w:t>
      </w:r>
      <w:proofErr w:type="spellEnd"/>
      <w:r w:rsidR="00E039D5">
        <w:rPr>
          <w:sz w:val="24"/>
          <w:szCs w:val="24"/>
        </w:rPr>
        <w:t>"</w:t>
      </w:r>
      <w:r w:rsidRPr="007C434E">
        <w:rPr>
          <w:sz w:val="24"/>
          <w:szCs w:val="24"/>
        </w:rPr>
        <w:t xml:space="preserve"> er indiceret til symptomatisk behandling af akut reversibel luftvejsobstruktion hos patienter med astma eller hos patienter med svær kronisk obstruktiv lungesygdom (KOL), når brug af en dosisinhalator eller pulverinhalator ikke virker eller ikke kan lade sig gøre.</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4.2</w:t>
      </w:r>
      <w:r w:rsidRPr="007C434E">
        <w:rPr>
          <w:b/>
          <w:sz w:val="24"/>
          <w:szCs w:val="24"/>
        </w:rPr>
        <w:tab/>
        <w:t xml:space="preserve">Dosering og </w:t>
      </w:r>
      <w:r w:rsidR="002C1EC0" w:rsidRPr="007C434E">
        <w:rPr>
          <w:b/>
          <w:sz w:val="24"/>
          <w:szCs w:val="24"/>
        </w:rPr>
        <w:t>administration</w:t>
      </w:r>
    </w:p>
    <w:p w:rsidR="007C434E" w:rsidRDefault="007C434E" w:rsidP="00AA14EB">
      <w:pPr>
        <w:ind w:left="851"/>
        <w:rPr>
          <w:sz w:val="24"/>
          <w:szCs w:val="24"/>
        </w:rPr>
      </w:pPr>
    </w:p>
    <w:p w:rsidR="00840A0D" w:rsidRPr="007C434E" w:rsidRDefault="00840A0D" w:rsidP="00AA14EB">
      <w:pPr>
        <w:ind w:left="851"/>
        <w:rPr>
          <w:sz w:val="24"/>
          <w:szCs w:val="24"/>
          <w:u w:val="single"/>
        </w:rPr>
      </w:pPr>
      <w:r w:rsidRPr="007C434E">
        <w:rPr>
          <w:sz w:val="24"/>
          <w:szCs w:val="24"/>
          <w:u w:val="single"/>
        </w:rPr>
        <w:t>Dosering</w:t>
      </w:r>
    </w:p>
    <w:p w:rsidR="00840A0D" w:rsidRPr="007C434E" w:rsidRDefault="00840A0D" w:rsidP="00AA14EB">
      <w:pPr>
        <w:ind w:left="851"/>
        <w:rPr>
          <w:sz w:val="24"/>
          <w:szCs w:val="24"/>
        </w:rPr>
      </w:pPr>
    </w:p>
    <w:p w:rsidR="00840A0D" w:rsidRPr="007C434E" w:rsidRDefault="00840A0D" w:rsidP="00AA14EB">
      <w:pPr>
        <w:ind w:left="851"/>
        <w:rPr>
          <w:i/>
          <w:iCs/>
          <w:sz w:val="24"/>
          <w:szCs w:val="24"/>
        </w:rPr>
      </w:pPr>
      <w:r w:rsidRPr="007C434E">
        <w:rPr>
          <w:i/>
          <w:sz w:val="24"/>
          <w:szCs w:val="24"/>
        </w:rPr>
        <w:t>Voksne og unge i alderen 12 år eller derover</w:t>
      </w:r>
    </w:p>
    <w:p w:rsidR="00840A0D" w:rsidRPr="007C434E" w:rsidRDefault="00840A0D" w:rsidP="00AA14EB">
      <w:pPr>
        <w:ind w:left="851"/>
        <w:rPr>
          <w:sz w:val="24"/>
          <w:szCs w:val="24"/>
        </w:rPr>
      </w:pPr>
      <w:r w:rsidRPr="007C434E">
        <w:rPr>
          <w:sz w:val="24"/>
          <w:szCs w:val="24"/>
        </w:rPr>
        <w:t xml:space="preserve">Startdosen af </w:t>
      </w:r>
      <w:proofErr w:type="spellStart"/>
      <w:r w:rsidRPr="007C434E">
        <w:rPr>
          <w:sz w:val="24"/>
          <w:szCs w:val="24"/>
        </w:rPr>
        <w:t>salbutamol</w:t>
      </w:r>
      <w:proofErr w:type="spellEnd"/>
      <w:r w:rsidRPr="007C434E">
        <w:rPr>
          <w:sz w:val="24"/>
          <w:szCs w:val="24"/>
        </w:rPr>
        <w:t xml:space="preserve"> ved våd inhalation er 2,5 mg; dosen kan øges til 5 mg. Behandlingen kan gentages op til fire gange dagligt. Ved dosering hos voksne til </w:t>
      </w:r>
      <w:r w:rsidRPr="007C434E">
        <w:rPr>
          <w:sz w:val="24"/>
          <w:szCs w:val="24"/>
        </w:rPr>
        <w:lastRenderedPageBreak/>
        <w:t>behandling af svær luftvejsobstruktion kan der gives op til 40 mg pr. dag under tæt lægeligt tilsyn på et hospital.</w:t>
      </w:r>
    </w:p>
    <w:p w:rsidR="00840A0D" w:rsidRPr="007C434E" w:rsidRDefault="00840A0D" w:rsidP="00AA14EB">
      <w:pPr>
        <w:ind w:left="851"/>
        <w:rPr>
          <w:sz w:val="24"/>
          <w:szCs w:val="24"/>
        </w:rPr>
      </w:pPr>
    </w:p>
    <w:p w:rsidR="00840A0D" w:rsidRPr="007C434E" w:rsidRDefault="00840A0D" w:rsidP="00AA14EB">
      <w:pPr>
        <w:ind w:left="851"/>
        <w:rPr>
          <w:bCs/>
          <w:i/>
          <w:iCs/>
          <w:sz w:val="24"/>
          <w:szCs w:val="24"/>
        </w:rPr>
      </w:pPr>
      <w:r w:rsidRPr="007C434E">
        <w:rPr>
          <w:i/>
          <w:sz w:val="24"/>
          <w:szCs w:val="24"/>
        </w:rPr>
        <w:t>Pædiatrisk population</w:t>
      </w:r>
    </w:p>
    <w:p w:rsidR="00840A0D" w:rsidRPr="007C434E" w:rsidRDefault="00840A0D" w:rsidP="00AA14EB">
      <w:pPr>
        <w:ind w:left="851"/>
        <w:rPr>
          <w:sz w:val="24"/>
          <w:szCs w:val="24"/>
        </w:rPr>
      </w:pPr>
      <w:r w:rsidRPr="007C434E">
        <w:rPr>
          <w:sz w:val="24"/>
          <w:szCs w:val="24"/>
        </w:rPr>
        <w:t xml:space="preserve">For børn i alderen 4-11 år: Startdosen af </w:t>
      </w:r>
      <w:proofErr w:type="spellStart"/>
      <w:r w:rsidRPr="007C434E">
        <w:rPr>
          <w:sz w:val="24"/>
          <w:szCs w:val="24"/>
        </w:rPr>
        <w:t>salbutamol</w:t>
      </w:r>
      <w:proofErr w:type="spellEnd"/>
      <w:r w:rsidRPr="007C434E">
        <w:rPr>
          <w:sz w:val="24"/>
          <w:szCs w:val="24"/>
        </w:rPr>
        <w:t xml:space="preserve"> ved våd inhalation er 2,5 mg; dosen kan øges til 5 mg. Behandlingen kan gentages op til fire gange dagligt.</w:t>
      </w:r>
    </w:p>
    <w:p w:rsidR="00840A0D" w:rsidRPr="007C434E" w:rsidRDefault="00840A0D" w:rsidP="00AA14EB">
      <w:pPr>
        <w:ind w:left="851"/>
        <w:rPr>
          <w:sz w:val="24"/>
          <w:szCs w:val="24"/>
        </w:rPr>
      </w:pPr>
    </w:p>
    <w:p w:rsidR="00840A0D" w:rsidRPr="007C434E" w:rsidRDefault="00840A0D" w:rsidP="00AA14EB">
      <w:pPr>
        <w:ind w:left="851"/>
        <w:rPr>
          <w:sz w:val="24"/>
          <w:szCs w:val="24"/>
        </w:rPr>
      </w:pPr>
      <w:r w:rsidRPr="007C434E">
        <w:rPr>
          <w:sz w:val="24"/>
          <w:szCs w:val="24"/>
        </w:rPr>
        <w:t>Andre lægemiddelformer kan være mere egnede til administration hos børn under 4 år.</w:t>
      </w:r>
    </w:p>
    <w:p w:rsidR="00840A0D" w:rsidRPr="007C434E" w:rsidRDefault="00840A0D" w:rsidP="00AA14EB">
      <w:pPr>
        <w:ind w:left="851"/>
        <w:rPr>
          <w:sz w:val="24"/>
          <w:szCs w:val="24"/>
        </w:rPr>
      </w:pPr>
    </w:p>
    <w:p w:rsidR="00840A0D" w:rsidRPr="007C434E" w:rsidRDefault="00840A0D" w:rsidP="00AA14EB">
      <w:pPr>
        <w:ind w:left="851"/>
        <w:rPr>
          <w:sz w:val="24"/>
          <w:szCs w:val="24"/>
        </w:rPr>
      </w:pPr>
      <w:r w:rsidRPr="007C434E">
        <w:rPr>
          <w:sz w:val="24"/>
          <w:szCs w:val="24"/>
        </w:rPr>
        <w:t xml:space="preserve">Da forbigående </w:t>
      </w:r>
      <w:proofErr w:type="spellStart"/>
      <w:r w:rsidRPr="007C434E">
        <w:rPr>
          <w:sz w:val="24"/>
          <w:szCs w:val="24"/>
        </w:rPr>
        <w:t>hypoxæmi</w:t>
      </w:r>
      <w:proofErr w:type="spellEnd"/>
      <w:r w:rsidRPr="007C434E">
        <w:rPr>
          <w:sz w:val="24"/>
          <w:szCs w:val="24"/>
        </w:rPr>
        <w:t xml:space="preserve"> kan forekomme, bør supplerende iltbehandling overvejes.</w:t>
      </w:r>
    </w:p>
    <w:p w:rsidR="00840A0D" w:rsidRPr="007C434E" w:rsidRDefault="00840A0D" w:rsidP="00AA14EB">
      <w:pPr>
        <w:ind w:left="851"/>
        <w:rPr>
          <w:sz w:val="24"/>
          <w:szCs w:val="24"/>
        </w:rPr>
      </w:pPr>
    </w:p>
    <w:p w:rsidR="00840A0D" w:rsidRPr="007C434E" w:rsidRDefault="00840A0D" w:rsidP="00AA14EB">
      <w:pPr>
        <w:ind w:left="851"/>
        <w:rPr>
          <w:sz w:val="24"/>
          <w:szCs w:val="24"/>
          <w:u w:val="single"/>
        </w:rPr>
      </w:pPr>
      <w:r w:rsidRPr="007C434E">
        <w:rPr>
          <w:sz w:val="24"/>
          <w:szCs w:val="24"/>
          <w:u w:val="single"/>
        </w:rPr>
        <w:t>Administration</w:t>
      </w:r>
    </w:p>
    <w:p w:rsidR="00840A0D" w:rsidRPr="007C434E" w:rsidRDefault="00840A0D" w:rsidP="00AA14EB">
      <w:pPr>
        <w:ind w:left="851"/>
        <w:rPr>
          <w:sz w:val="24"/>
          <w:szCs w:val="24"/>
        </w:rPr>
      </w:pPr>
    </w:p>
    <w:p w:rsidR="00840A0D" w:rsidRPr="007C434E" w:rsidRDefault="00840A0D" w:rsidP="00AA14EB">
      <w:pPr>
        <w:ind w:left="851"/>
        <w:rPr>
          <w:sz w:val="24"/>
          <w:szCs w:val="24"/>
        </w:rPr>
      </w:pPr>
      <w:r w:rsidRPr="007C434E">
        <w:rPr>
          <w:sz w:val="24"/>
          <w:szCs w:val="24"/>
        </w:rPr>
        <w:t xml:space="preserve">Formuleringer af </w:t>
      </w:r>
      <w:proofErr w:type="spellStart"/>
      <w:r w:rsidRPr="007C434E">
        <w:rPr>
          <w:sz w:val="24"/>
          <w:szCs w:val="24"/>
        </w:rPr>
        <w:t>salbutamol</w:t>
      </w:r>
      <w:proofErr w:type="spellEnd"/>
      <w:r w:rsidRPr="007C434E">
        <w:rPr>
          <w:sz w:val="24"/>
          <w:szCs w:val="24"/>
        </w:rPr>
        <w:t xml:space="preserve"> til inhalation administreres alene ved inhalation, idet lægemidlet indåndes gennem munden ved hjælp af en </w:t>
      </w:r>
      <w:proofErr w:type="spellStart"/>
      <w:r w:rsidRPr="007C434E">
        <w:rPr>
          <w:sz w:val="24"/>
          <w:szCs w:val="24"/>
        </w:rPr>
        <w:t>nebulisator</w:t>
      </w:r>
      <w:proofErr w:type="spellEnd"/>
      <w:r w:rsidRPr="007C434E">
        <w:rPr>
          <w:sz w:val="24"/>
          <w:szCs w:val="24"/>
        </w:rPr>
        <w:t>. Opløsningen må ikke injiceres eller sluges.</w:t>
      </w:r>
    </w:p>
    <w:p w:rsidR="00840A0D" w:rsidRPr="007C434E" w:rsidRDefault="00840A0D" w:rsidP="00AA14EB">
      <w:pPr>
        <w:ind w:left="851"/>
        <w:rPr>
          <w:sz w:val="24"/>
          <w:szCs w:val="24"/>
        </w:rPr>
      </w:pP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har en virkningsvarighed på 4-6 timer hos de fleste patienter.</w:t>
      </w: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w:t>
      </w:r>
      <w:r w:rsidR="00E039D5">
        <w:rPr>
          <w:sz w:val="24"/>
          <w:szCs w:val="24"/>
        </w:rPr>
        <w:t>"</w:t>
      </w:r>
      <w:proofErr w:type="spellStart"/>
      <w:r w:rsidR="00E039D5">
        <w:rPr>
          <w:sz w:val="24"/>
          <w:szCs w:val="24"/>
        </w:rPr>
        <w:t>Neutec</w:t>
      </w:r>
      <w:proofErr w:type="spellEnd"/>
      <w:r w:rsidR="00E039D5">
        <w:rPr>
          <w:sz w:val="24"/>
          <w:szCs w:val="24"/>
        </w:rPr>
        <w:t>"</w:t>
      </w:r>
      <w:r w:rsidRPr="007C434E">
        <w:rPr>
          <w:sz w:val="24"/>
          <w:szCs w:val="24"/>
        </w:rPr>
        <w:t xml:space="preserve"> er beregnet til at blive anvendt ufortyndet.</w:t>
      </w:r>
    </w:p>
    <w:p w:rsidR="00840A0D" w:rsidRPr="007C434E" w:rsidRDefault="00840A0D" w:rsidP="00AA14EB">
      <w:pPr>
        <w:ind w:left="851"/>
        <w:rPr>
          <w:sz w:val="24"/>
          <w:szCs w:val="24"/>
        </w:rPr>
      </w:pP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w:t>
      </w:r>
      <w:r w:rsidR="00E039D5">
        <w:rPr>
          <w:sz w:val="24"/>
          <w:szCs w:val="24"/>
        </w:rPr>
        <w:t>"</w:t>
      </w:r>
      <w:proofErr w:type="spellStart"/>
      <w:r w:rsidR="00E039D5">
        <w:rPr>
          <w:sz w:val="24"/>
          <w:szCs w:val="24"/>
        </w:rPr>
        <w:t>Neutec</w:t>
      </w:r>
      <w:proofErr w:type="spellEnd"/>
      <w:r w:rsidR="00E039D5">
        <w:rPr>
          <w:sz w:val="24"/>
          <w:szCs w:val="24"/>
        </w:rPr>
        <w:t>"</w:t>
      </w:r>
      <w:r w:rsidRPr="007C434E">
        <w:rPr>
          <w:sz w:val="24"/>
          <w:szCs w:val="24"/>
        </w:rPr>
        <w:t xml:space="preserve"> kan administreres gennem en egnet </w:t>
      </w:r>
      <w:proofErr w:type="spellStart"/>
      <w:r w:rsidRPr="007C434E">
        <w:rPr>
          <w:sz w:val="24"/>
          <w:szCs w:val="24"/>
        </w:rPr>
        <w:t>nebulisator</w:t>
      </w:r>
      <w:proofErr w:type="spellEnd"/>
      <w:r w:rsidRPr="007C434E">
        <w:rPr>
          <w:sz w:val="24"/>
          <w:szCs w:val="24"/>
        </w:rPr>
        <w:t xml:space="preserve">, f.eks. en </w:t>
      </w:r>
      <w:proofErr w:type="spellStart"/>
      <w:r w:rsidRPr="007C434E">
        <w:rPr>
          <w:sz w:val="24"/>
          <w:szCs w:val="24"/>
        </w:rPr>
        <w:t>jetnebulisator</w:t>
      </w:r>
      <w:proofErr w:type="spellEnd"/>
      <w:r w:rsidRPr="007C434E">
        <w:rPr>
          <w:sz w:val="24"/>
          <w:szCs w:val="24"/>
        </w:rPr>
        <w:t xml:space="preserve"> eller en </w:t>
      </w:r>
      <w:proofErr w:type="spellStart"/>
      <w:r w:rsidRPr="007C434E">
        <w:rPr>
          <w:sz w:val="24"/>
          <w:szCs w:val="24"/>
        </w:rPr>
        <w:t>mesh-nebulisator</w:t>
      </w:r>
      <w:proofErr w:type="spellEnd"/>
      <w:r w:rsidRPr="007C434E">
        <w:rPr>
          <w:sz w:val="24"/>
          <w:szCs w:val="24"/>
        </w:rPr>
        <w:t xml:space="preserve">, når en enkeltdosisampul er åbnet og indholdet overført til </w:t>
      </w:r>
      <w:proofErr w:type="spellStart"/>
      <w:r w:rsidRPr="007C434E">
        <w:rPr>
          <w:sz w:val="24"/>
          <w:szCs w:val="24"/>
        </w:rPr>
        <w:t>nebulisatorkammeret</w:t>
      </w:r>
      <w:proofErr w:type="spellEnd"/>
      <w:r w:rsidRPr="007C434E">
        <w:rPr>
          <w:sz w:val="24"/>
          <w:szCs w:val="24"/>
        </w:rPr>
        <w:t xml:space="preserve">. Brug af opløsningen til forstøvning er ikke begrænset til de givne eksempler, men kan også baseres på sundhedspersonens erfaring. For at få fuld vejledning i brug af </w:t>
      </w:r>
      <w:proofErr w:type="spellStart"/>
      <w:r w:rsidRPr="007C434E">
        <w:rPr>
          <w:sz w:val="24"/>
          <w:szCs w:val="24"/>
        </w:rPr>
        <w:t>nebulisatoren</w:t>
      </w:r>
      <w:proofErr w:type="spellEnd"/>
      <w:r w:rsidRPr="007C434E">
        <w:rPr>
          <w:sz w:val="24"/>
          <w:szCs w:val="24"/>
        </w:rPr>
        <w:t xml:space="preserve"> bør patienten opfordres til at læse indlægssedlen for den pågældende enhed omhyggeligt forud for inhalationen.</w:t>
      </w:r>
    </w:p>
    <w:p w:rsidR="00840A0D" w:rsidRPr="007C434E" w:rsidRDefault="00840A0D" w:rsidP="00AA14EB">
      <w:pPr>
        <w:ind w:left="851"/>
        <w:rPr>
          <w:sz w:val="24"/>
          <w:szCs w:val="24"/>
        </w:rPr>
      </w:pPr>
    </w:p>
    <w:p w:rsidR="00840A0D" w:rsidRPr="007C434E" w:rsidRDefault="00840A0D" w:rsidP="00AA14EB">
      <w:pPr>
        <w:ind w:left="851"/>
        <w:rPr>
          <w:sz w:val="24"/>
          <w:szCs w:val="24"/>
        </w:rPr>
      </w:pPr>
      <w:r w:rsidRPr="007C434E">
        <w:rPr>
          <w:sz w:val="24"/>
          <w:szCs w:val="24"/>
        </w:rPr>
        <w:t xml:space="preserve">Karakteristikaene for frigivelse af aktivt stof er blevet undersøgt </w:t>
      </w:r>
      <w:r w:rsidRPr="007C434E">
        <w:rPr>
          <w:i/>
          <w:sz w:val="24"/>
          <w:szCs w:val="24"/>
        </w:rPr>
        <w:t xml:space="preserve">in </w:t>
      </w:r>
      <w:proofErr w:type="spellStart"/>
      <w:r w:rsidRPr="007C434E">
        <w:rPr>
          <w:i/>
          <w:sz w:val="24"/>
          <w:szCs w:val="24"/>
        </w:rPr>
        <w:t>vitro</w:t>
      </w:r>
      <w:proofErr w:type="spellEnd"/>
      <w:r w:rsidRPr="007C434E">
        <w:rPr>
          <w:sz w:val="24"/>
          <w:szCs w:val="24"/>
        </w:rPr>
        <w:t xml:space="preserve"> ved brug af en </w:t>
      </w:r>
      <w:proofErr w:type="spellStart"/>
      <w:r w:rsidRPr="007C434E">
        <w:rPr>
          <w:sz w:val="24"/>
          <w:szCs w:val="24"/>
        </w:rPr>
        <w:t>jetnebulisator</w:t>
      </w:r>
      <w:proofErr w:type="spellEnd"/>
      <w:r w:rsidRPr="007C434E">
        <w:rPr>
          <w:sz w:val="24"/>
          <w:szCs w:val="24"/>
        </w:rPr>
        <w:t xml:space="preserve"> og en </w:t>
      </w:r>
      <w:proofErr w:type="spellStart"/>
      <w:r w:rsidRPr="007C434E">
        <w:rPr>
          <w:sz w:val="24"/>
          <w:szCs w:val="24"/>
        </w:rPr>
        <w:t>mesh-nebulisator</w:t>
      </w:r>
      <w:proofErr w:type="spellEnd"/>
      <w:r w:rsidRPr="007C434E">
        <w:rPr>
          <w:sz w:val="24"/>
          <w:szCs w:val="24"/>
        </w:rPr>
        <w:t>:</w:t>
      </w:r>
    </w:p>
    <w:p w:rsidR="00840A0D" w:rsidRPr="007C434E" w:rsidRDefault="00840A0D" w:rsidP="00AA14EB">
      <w:pPr>
        <w:ind w:left="851"/>
        <w:rPr>
          <w:sz w:val="24"/>
          <w:szCs w:val="24"/>
        </w:rPr>
      </w:pPr>
    </w:p>
    <w:tbl>
      <w:tblPr>
        <w:tblStyle w:val="Tabel-Gitter"/>
        <w:tblW w:w="5000" w:type="pct"/>
        <w:tblInd w:w="0" w:type="dxa"/>
        <w:tblLook w:val="04A0" w:firstRow="1" w:lastRow="0" w:firstColumn="1" w:lastColumn="0" w:noHBand="0" w:noVBand="1"/>
      </w:tblPr>
      <w:tblGrid>
        <w:gridCol w:w="1812"/>
        <w:gridCol w:w="1219"/>
        <w:gridCol w:w="1362"/>
        <w:gridCol w:w="1646"/>
        <w:gridCol w:w="2123"/>
        <w:gridCol w:w="1466"/>
      </w:tblGrid>
      <w:tr w:rsidR="00840A0D" w:rsidRPr="007C434E" w:rsidTr="00AA14EB">
        <w:tc>
          <w:tcPr>
            <w:tcW w:w="1014"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b/>
                <w:bCs/>
                <w:sz w:val="22"/>
                <w:szCs w:val="22"/>
              </w:rPr>
            </w:pPr>
            <w:proofErr w:type="spellStart"/>
            <w:r w:rsidRPr="007C434E">
              <w:rPr>
                <w:b/>
                <w:sz w:val="22"/>
                <w:szCs w:val="22"/>
              </w:rPr>
              <w:t>Nebulisator</w:t>
            </w:r>
            <w:proofErr w:type="spellEnd"/>
          </w:p>
        </w:tc>
        <w:tc>
          <w:tcPr>
            <w:tcW w:w="704"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b/>
                <w:bCs/>
                <w:sz w:val="22"/>
                <w:szCs w:val="22"/>
              </w:rPr>
            </w:pPr>
            <w:r w:rsidRPr="007C434E">
              <w:rPr>
                <w:b/>
                <w:sz w:val="22"/>
                <w:szCs w:val="22"/>
              </w:rPr>
              <w:t>Aktivt stof</w:t>
            </w:r>
          </w:p>
        </w:tc>
        <w:tc>
          <w:tcPr>
            <w:tcW w:w="782" w:type="pct"/>
            <w:tcBorders>
              <w:top w:val="single" w:sz="4" w:space="0" w:color="auto"/>
              <w:left w:val="single" w:sz="4" w:space="0" w:color="auto"/>
              <w:bottom w:val="single" w:sz="4" w:space="0" w:color="auto"/>
              <w:right w:val="single" w:sz="4" w:space="0" w:color="auto"/>
            </w:tcBorders>
            <w:hideMark/>
          </w:tcPr>
          <w:p w:rsidR="00840A0D" w:rsidRPr="007C434E" w:rsidRDefault="00840A0D" w:rsidP="007C434E">
            <w:pPr>
              <w:widowControl w:val="0"/>
              <w:tabs>
                <w:tab w:val="left" w:pos="1304"/>
              </w:tabs>
              <w:jc w:val="center"/>
              <w:rPr>
                <w:b/>
                <w:bCs/>
                <w:sz w:val="22"/>
                <w:szCs w:val="22"/>
              </w:rPr>
            </w:pPr>
            <w:proofErr w:type="spellStart"/>
            <w:r w:rsidRPr="007C434E">
              <w:rPr>
                <w:b/>
                <w:sz w:val="22"/>
                <w:szCs w:val="22"/>
              </w:rPr>
              <w:t>Vejrtræk-nings</w:t>
            </w:r>
            <w:r w:rsidR="007C434E">
              <w:rPr>
                <w:b/>
                <w:sz w:val="22"/>
                <w:szCs w:val="22"/>
              </w:rPr>
              <w:softHyphen/>
            </w:r>
            <w:r w:rsidRPr="007C434E">
              <w:rPr>
                <w:b/>
                <w:sz w:val="22"/>
                <w:szCs w:val="22"/>
              </w:rPr>
              <w:t>mønster</w:t>
            </w:r>
            <w:proofErr w:type="spellEnd"/>
          </w:p>
        </w:tc>
        <w:tc>
          <w:tcPr>
            <w:tcW w:w="833"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b/>
                <w:bCs/>
                <w:sz w:val="22"/>
                <w:szCs w:val="22"/>
              </w:rPr>
            </w:pPr>
            <w:r w:rsidRPr="007C434E">
              <w:rPr>
                <w:b/>
                <w:sz w:val="22"/>
                <w:szCs w:val="22"/>
              </w:rPr>
              <w:t>massemedian af den aerodynamiske diameter</w:t>
            </w:r>
          </w:p>
          <w:p w:rsidR="00840A0D" w:rsidRPr="007C434E" w:rsidRDefault="00840A0D">
            <w:pPr>
              <w:widowControl w:val="0"/>
              <w:tabs>
                <w:tab w:val="left" w:pos="1304"/>
              </w:tabs>
              <w:jc w:val="center"/>
              <w:rPr>
                <w:b/>
                <w:bCs/>
                <w:sz w:val="22"/>
                <w:szCs w:val="22"/>
              </w:rPr>
            </w:pPr>
            <w:r w:rsidRPr="007C434E">
              <w:rPr>
                <w:sz w:val="22"/>
                <w:szCs w:val="22"/>
              </w:rPr>
              <w:t>(mikrometer)</w:t>
            </w:r>
          </w:p>
        </w:tc>
        <w:tc>
          <w:tcPr>
            <w:tcW w:w="833"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b/>
                <w:bCs/>
                <w:sz w:val="22"/>
                <w:szCs w:val="22"/>
              </w:rPr>
            </w:pPr>
            <w:r w:rsidRPr="007C434E">
              <w:rPr>
                <w:b/>
                <w:sz w:val="22"/>
                <w:szCs w:val="22"/>
              </w:rPr>
              <w:t>Frigivelseshastighed for aktivt stof</w:t>
            </w:r>
          </w:p>
          <w:p w:rsidR="00840A0D" w:rsidRPr="007C434E" w:rsidRDefault="00840A0D">
            <w:pPr>
              <w:widowControl w:val="0"/>
              <w:tabs>
                <w:tab w:val="left" w:pos="1304"/>
              </w:tabs>
              <w:jc w:val="center"/>
              <w:rPr>
                <w:sz w:val="22"/>
                <w:szCs w:val="22"/>
              </w:rPr>
            </w:pPr>
            <w:r w:rsidRPr="007C434E">
              <w:rPr>
                <w:sz w:val="22"/>
                <w:szCs w:val="22"/>
              </w:rPr>
              <w:t>(mg/min)</w:t>
            </w:r>
          </w:p>
        </w:tc>
        <w:tc>
          <w:tcPr>
            <w:tcW w:w="834"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b/>
                <w:sz w:val="22"/>
                <w:szCs w:val="22"/>
              </w:rPr>
            </w:pPr>
            <w:r w:rsidRPr="007C434E">
              <w:rPr>
                <w:b/>
                <w:sz w:val="22"/>
                <w:szCs w:val="22"/>
              </w:rPr>
              <w:t>Total mængde frigivet aktivt stof</w:t>
            </w:r>
          </w:p>
          <w:p w:rsidR="00840A0D" w:rsidRPr="007C434E" w:rsidRDefault="00840A0D">
            <w:pPr>
              <w:widowControl w:val="0"/>
              <w:tabs>
                <w:tab w:val="left" w:pos="1304"/>
              </w:tabs>
              <w:jc w:val="center"/>
              <w:rPr>
                <w:sz w:val="22"/>
                <w:szCs w:val="22"/>
              </w:rPr>
            </w:pPr>
            <w:r w:rsidRPr="007C434E">
              <w:rPr>
                <w:sz w:val="22"/>
                <w:szCs w:val="22"/>
              </w:rPr>
              <w:t>(mg/2,5 ml)</w:t>
            </w:r>
          </w:p>
        </w:tc>
      </w:tr>
      <w:tr w:rsidR="00840A0D" w:rsidRPr="007C434E" w:rsidTr="00AA14EB">
        <w:tc>
          <w:tcPr>
            <w:tcW w:w="1014"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2"/>
                <w:szCs w:val="22"/>
              </w:rPr>
            </w:pPr>
            <w:proofErr w:type="spellStart"/>
            <w:r w:rsidRPr="007C434E">
              <w:rPr>
                <w:sz w:val="22"/>
                <w:szCs w:val="22"/>
              </w:rPr>
              <w:t>Jetnebulisator</w:t>
            </w:r>
            <w:proofErr w:type="spellEnd"/>
            <w:r w:rsidRPr="007C434E">
              <w:rPr>
                <w:sz w:val="22"/>
                <w:szCs w:val="22"/>
              </w:rPr>
              <w:t>*</w:t>
            </w:r>
          </w:p>
        </w:tc>
        <w:tc>
          <w:tcPr>
            <w:tcW w:w="704"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proofErr w:type="spellStart"/>
            <w:r w:rsidRPr="007C434E">
              <w:rPr>
                <w:sz w:val="22"/>
                <w:szCs w:val="22"/>
              </w:rPr>
              <w:t>Salbutamol</w:t>
            </w:r>
            <w:proofErr w:type="spellEnd"/>
          </w:p>
        </w:tc>
        <w:tc>
          <w:tcPr>
            <w:tcW w:w="782"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Voksen</w:t>
            </w:r>
          </w:p>
        </w:tc>
        <w:tc>
          <w:tcPr>
            <w:tcW w:w="833"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4,5</w:t>
            </w:r>
          </w:p>
        </w:tc>
        <w:tc>
          <w:tcPr>
            <w:tcW w:w="833"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0,13</w:t>
            </w:r>
          </w:p>
        </w:tc>
        <w:tc>
          <w:tcPr>
            <w:tcW w:w="834"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0,39</w:t>
            </w:r>
          </w:p>
        </w:tc>
      </w:tr>
      <w:tr w:rsidR="00840A0D" w:rsidRPr="007C434E" w:rsidTr="00AA14EB">
        <w:tc>
          <w:tcPr>
            <w:tcW w:w="1014"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2"/>
                <w:szCs w:val="22"/>
              </w:rPr>
            </w:pPr>
          </w:p>
        </w:tc>
        <w:tc>
          <w:tcPr>
            <w:tcW w:w="782"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Barn</w:t>
            </w: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0,07</w:t>
            </w:r>
          </w:p>
        </w:tc>
        <w:tc>
          <w:tcPr>
            <w:tcW w:w="834"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0,21</w:t>
            </w:r>
          </w:p>
        </w:tc>
      </w:tr>
      <w:tr w:rsidR="00840A0D" w:rsidRPr="007C434E" w:rsidTr="00AA14EB">
        <w:tc>
          <w:tcPr>
            <w:tcW w:w="1014"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2"/>
                <w:szCs w:val="22"/>
              </w:rPr>
            </w:pPr>
            <w:proofErr w:type="spellStart"/>
            <w:r w:rsidRPr="007C434E">
              <w:rPr>
                <w:sz w:val="22"/>
                <w:szCs w:val="22"/>
              </w:rPr>
              <w:t>Mesh-nebulisator</w:t>
            </w:r>
            <w:proofErr w:type="spellEnd"/>
            <w:r w:rsidRPr="007C434E">
              <w:rPr>
                <w:sz w:val="22"/>
                <w:szCs w:val="22"/>
              </w:rPr>
              <w:t>**</w:t>
            </w:r>
          </w:p>
        </w:tc>
        <w:tc>
          <w:tcPr>
            <w:tcW w:w="704"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proofErr w:type="spellStart"/>
            <w:r w:rsidRPr="007C434E">
              <w:rPr>
                <w:sz w:val="22"/>
                <w:szCs w:val="22"/>
              </w:rPr>
              <w:t>Salbutamol</w:t>
            </w:r>
            <w:proofErr w:type="spellEnd"/>
          </w:p>
        </w:tc>
        <w:tc>
          <w:tcPr>
            <w:tcW w:w="782"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Voksen</w:t>
            </w:r>
          </w:p>
        </w:tc>
        <w:tc>
          <w:tcPr>
            <w:tcW w:w="833"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5,2</w:t>
            </w:r>
          </w:p>
        </w:tc>
        <w:tc>
          <w:tcPr>
            <w:tcW w:w="833"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0,18</w:t>
            </w:r>
          </w:p>
        </w:tc>
        <w:tc>
          <w:tcPr>
            <w:tcW w:w="834"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0,95</w:t>
            </w:r>
          </w:p>
        </w:tc>
      </w:tr>
      <w:tr w:rsidR="00840A0D" w:rsidRPr="007C434E" w:rsidTr="00AA14EB">
        <w:tc>
          <w:tcPr>
            <w:tcW w:w="1014"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2"/>
                <w:szCs w:val="22"/>
              </w:rPr>
            </w:pPr>
          </w:p>
        </w:tc>
        <w:tc>
          <w:tcPr>
            <w:tcW w:w="782"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Barn</w:t>
            </w: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0,16</w:t>
            </w:r>
          </w:p>
        </w:tc>
        <w:tc>
          <w:tcPr>
            <w:tcW w:w="834"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jc w:val="center"/>
              <w:rPr>
                <w:sz w:val="22"/>
                <w:szCs w:val="22"/>
              </w:rPr>
            </w:pPr>
            <w:r w:rsidRPr="007C434E">
              <w:rPr>
                <w:sz w:val="22"/>
                <w:szCs w:val="22"/>
              </w:rPr>
              <w:t>0,82</w:t>
            </w:r>
          </w:p>
        </w:tc>
      </w:tr>
    </w:tbl>
    <w:p w:rsidR="00840A0D" w:rsidRPr="007C434E" w:rsidRDefault="00840A0D" w:rsidP="007C434E">
      <w:pPr>
        <w:ind w:left="284" w:hanging="284"/>
        <w:rPr>
          <w:sz w:val="24"/>
          <w:szCs w:val="24"/>
        </w:rPr>
      </w:pPr>
      <w:r w:rsidRPr="007C434E">
        <w:rPr>
          <w:sz w:val="24"/>
          <w:szCs w:val="24"/>
          <w:vertAlign w:val="superscript"/>
        </w:rPr>
        <w:t>*</w:t>
      </w:r>
      <w:r w:rsidRPr="007C434E">
        <w:rPr>
          <w:sz w:val="24"/>
          <w:szCs w:val="24"/>
        </w:rPr>
        <w:t xml:space="preserve"> </w:t>
      </w:r>
      <w:r w:rsidR="007C434E">
        <w:rPr>
          <w:sz w:val="24"/>
          <w:szCs w:val="24"/>
        </w:rPr>
        <w:tab/>
      </w:r>
      <w:r w:rsidRPr="007C434E">
        <w:rPr>
          <w:sz w:val="24"/>
          <w:szCs w:val="24"/>
        </w:rPr>
        <w:t>En PARI LC Plus-</w:t>
      </w:r>
      <w:proofErr w:type="spellStart"/>
      <w:r w:rsidRPr="007C434E">
        <w:rPr>
          <w:sz w:val="24"/>
          <w:szCs w:val="24"/>
        </w:rPr>
        <w:t>nebulisator</w:t>
      </w:r>
      <w:proofErr w:type="spellEnd"/>
      <w:r w:rsidRPr="007C434E">
        <w:rPr>
          <w:sz w:val="24"/>
          <w:szCs w:val="24"/>
        </w:rPr>
        <w:t xml:space="preserve"> og en PARI BOY</w:t>
      </w:r>
      <w:r w:rsidRPr="007C434E">
        <w:rPr>
          <w:sz w:val="24"/>
          <w:szCs w:val="24"/>
          <w:vertAlign w:val="superscript"/>
        </w:rPr>
        <w:t>®</w:t>
      </w:r>
      <w:r w:rsidRPr="007C434E">
        <w:rPr>
          <w:sz w:val="24"/>
          <w:szCs w:val="24"/>
        </w:rPr>
        <w:t xml:space="preserve"> SX-kompressor blev anvendt i </w:t>
      </w:r>
      <w:r w:rsidRPr="007C434E">
        <w:rPr>
          <w:i/>
          <w:sz w:val="24"/>
          <w:szCs w:val="24"/>
        </w:rPr>
        <w:t xml:space="preserve">in </w:t>
      </w:r>
      <w:proofErr w:type="spellStart"/>
      <w:r w:rsidRPr="007C434E">
        <w:rPr>
          <w:i/>
          <w:sz w:val="24"/>
          <w:szCs w:val="24"/>
        </w:rPr>
        <w:t>vitro</w:t>
      </w:r>
      <w:proofErr w:type="spellEnd"/>
      <w:r w:rsidRPr="007C434E">
        <w:rPr>
          <w:sz w:val="24"/>
          <w:szCs w:val="24"/>
        </w:rPr>
        <w:t>-undersøgelserne</w:t>
      </w:r>
    </w:p>
    <w:p w:rsidR="00840A0D" w:rsidRPr="007C434E" w:rsidRDefault="00840A0D" w:rsidP="007C434E">
      <w:pPr>
        <w:ind w:left="284" w:hanging="284"/>
        <w:rPr>
          <w:sz w:val="24"/>
          <w:szCs w:val="24"/>
        </w:rPr>
      </w:pPr>
      <w:r w:rsidRPr="007C434E">
        <w:rPr>
          <w:sz w:val="24"/>
          <w:szCs w:val="24"/>
          <w:vertAlign w:val="superscript"/>
        </w:rPr>
        <w:t>**</w:t>
      </w:r>
      <w:r w:rsidR="007C434E">
        <w:rPr>
          <w:sz w:val="24"/>
          <w:szCs w:val="24"/>
          <w:vertAlign w:val="superscript"/>
        </w:rPr>
        <w:tab/>
      </w:r>
      <w:r w:rsidRPr="007C434E">
        <w:rPr>
          <w:sz w:val="24"/>
          <w:szCs w:val="24"/>
        </w:rPr>
        <w:t xml:space="preserve">En </w:t>
      </w:r>
      <w:proofErr w:type="spellStart"/>
      <w:r w:rsidRPr="007C434E">
        <w:rPr>
          <w:sz w:val="24"/>
          <w:szCs w:val="24"/>
        </w:rPr>
        <w:t>Deepro</w:t>
      </w:r>
      <w:proofErr w:type="spellEnd"/>
      <w:r w:rsidRPr="007C434E">
        <w:rPr>
          <w:sz w:val="24"/>
          <w:szCs w:val="24"/>
        </w:rPr>
        <w:t xml:space="preserve"> HCM-86C-nebulisator blev anvendt i</w:t>
      </w:r>
      <w:r w:rsidRPr="007C434E">
        <w:rPr>
          <w:i/>
          <w:sz w:val="24"/>
          <w:szCs w:val="24"/>
        </w:rPr>
        <w:t xml:space="preserve"> in </w:t>
      </w:r>
      <w:proofErr w:type="spellStart"/>
      <w:r w:rsidRPr="007C434E">
        <w:rPr>
          <w:i/>
          <w:sz w:val="24"/>
          <w:szCs w:val="24"/>
        </w:rPr>
        <w:t>vitro</w:t>
      </w:r>
      <w:proofErr w:type="spellEnd"/>
      <w:r w:rsidRPr="007C434E">
        <w:rPr>
          <w:sz w:val="24"/>
          <w:szCs w:val="24"/>
        </w:rPr>
        <w:t>-undersøgelserne</w:t>
      </w:r>
    </w:p>
    <w:p w:rsidR="00840A0D" w:rsidRPr="007C434E" w:rsidRDefault="00840A0D" w:rsidP="00AA14EB">
      <w:pPr>
        <w:ind w:left="851"/>
        <w:rPr>
          <w:sz w:val="24"/>
          <w:szCs w:val="24"/>
        </w:rPr>
      </w:pPr>
    </w:p>
    <w:p w:rsidR="00840A0D" w:rsidRPr="007C434E" w:rsidRDefault="00840A0D" w:rsidP="00AA14EB">
      <w:pPr>
        <w:ind w:left="851"/>
        <w:rPr>
          <w:sz w:val="24"/>
          <w:szCs w:val="24"/>
        </w:rPr>
      </w:pPr>
      <w:r w:rsidRPr="007C434E">
        <w:rPr>
          <w:sz w:val="24"/>
          <w:szCs w:val="24"/>
        </w:rPr>
        <w:t xml:space="preserve">Der er ingen tilgængelige oplysninger om mønstrene for </w:t>
      </w:r>
      <w:proofErr w:type="spellStart"/>
      <w:r w:rsidRPr="007C434E">
        <w:rPr>
          <w:sz w:val="24"/>
          <w:szCs w:val="24"/>
        </w:rPr>
        <w:t>pulmonal</w:t>
      </w:r>
      <w:proofErr w:type="spellEnd"/>
      <w:r w:rsidRPr="007C434E">
        <w:rPr>
          <w:sz w:val="24"/>
          <w:szCs w:val="24"/>
        </w:rPr>
        <w:t xml:space="preserve"> inhalation og deponering for de </w:t>
      </w:r>
      <w:proofErr w:type="spellStart"/>
      <w:r w:rsidRPr="007C434E">
        <w:rPr>
          <w:sz w:val="24"/>
          <w:szCs w:val="24"/>
        </w:rPr>
        <w:t>nebulisatorsystemer</w:t>
      </w:r>
      <w:proofErr w:type="spellEnd"/>
      <w:r w:rsidRPr="007C434E">
        <w:rPr>
          <w:sz w:val="24"/>
          <w:szCs w:val="24"/>
        </w:rPr>
        <w:t>, der ikke er blevet undersøgt.</w:t>
      </w:r>
    </w:p>
    <w:p w:rsidR="00840A0D" w:rsidRPr="007C434E" w:rsidRDefault="00840A0D" w:rsidP="00AA14EB">
      <w:pPr>
        <w:ind w:left="851"/>
        <w:rPr>
          <w:sz w:val="24"/>
          <w:szCs w:val="24"/>
        </w:rPr>
      </w:pPr>
      <w:r w:rsidRPr="007C434E">
        <w:rPr>
          <w:sz w:val="24"/>
          <w:szCs w:val="24"/>
        </w:rPr>
        <w:t xml:space="preserve">Brug af et andet ikketestet </w:t>
      </w:r>
      <w:proofErr w:type="spellStart"/>
      <w:r w:rsidRPr="007C434E">
        <w:rPr>
          <w:sz w:val="24"/>
          <w:szCs w:val="24"/>
        </w:rPr>
        <w:t>nebulisatorsystem</w:t>
      </w:r>
      <w:proofErr w:type="spellEnd"/>
      <w:r w:rsidRPr="007C434E">
        <w:rPr>
          <w:sz w:val="24"/>
          <w:szCs w:val="24"/>
        </w:rPr>
        <w:t xml:space="preserve"> kan ændre den </w:t>
      </w:r>
      <w:proofErr w:type="spellStart"/>
      <w:r w:rsidRPr="007C434E">
        <w:rPr>
          <w:sz w:val="24"/>
          <w:szCs w:val="24"/>
        </w:rPr>
        <w:t>pulmonale</w:t>
      </w:r>
      <w:proofErr w:type="spellEnd"/>
      <w:r w:rsidRPr="007C434E">
        <w:rPr>
          <w:sz w:val="24"/>
          <w:szCs w:val="24"/>
        </w:rPr>
        <w:t xml:space="preserve"> deponering af det aktive stof, hvilket kan ændre virkningen og sikkerheden ved produktet. I så fald kan det være nødvendigt at justere dosen.</w:t>
      </w:r>
    </w:p>
    <w:p w:rsidR="00840A0D" w:rsidRPr="007C434E" w:rsidRDefault="00840A0D" w:rsidP="00AA14EB">
      <w:pPr>
        <w:ind w:left="851"/>
        <w:rPr>
          <w:sz w:val="24"/>
          <w:szCs w:val="24"/>
        </w:rPr>
      </w:pPr>
    </w:p>
    <w:p w:rsidR="00840A0D" w:rsidRPr="007C434E" w:rsidRDefault="00840A0D" w:rsidP="00AA14EB">
      <w:pPr>
        <w:ind w:left="851"/>
        <w:rPr>
          <w:sz w:val="24"/>
          <w:szCs w:val="24"/>
        </w:rPr>
      </w:pPr>
      <w:r w:rsidRPr="007C434E">
        <w:rPr>
          <w:sz w:val="24"/>
          <w:szCs w:val="24"/>
        </w:rPr>
        <w:t xml:space="preserve">Da mange </w:t>
      </w:r>
      <w:proofErr w:type="spellStart"/>
      <w:r w:rsidRPr="007C434E">
        <w:rPr>
          <w:sz w:val="24"/>
          <w:szCs w:val="24"/>
        </w:rPr>
        <w:t>nebulisatorer</w:t>
      </w:r>
      <w:proofErr w:type="spellEnd"/>
      <w:r w:rsidRPr="007C434E">
        <w:rPr>
          <w:sz w:val="24"/>
          <w:szCs w:val="24"/>
        </w:rPr>
        <w:t xml:space="preserve"> opererer med kontinuerligt flow, er det sandsynligt, at forstøvet lægemiddel vil blive frigivet i det lokale miljø. </w:t>
      </w:r>
      <w:proofErr w:type="spellStart"/>
      <w:r w:rsidRPr="007C434E">
        <w:rPr>
          <w:sz w:val="24"/>
          <w:szCs w:val="24"/>
        </w:rPr>
        <w:t>Salbutamol</w:t>
      </w:r>
      <w:proofErr w:type="spellEnd"/>
      <w:r w:rsidRPr="007C434E">
        <w:rPr>
          <w:sz w:val="24"/>
          <w:szCs w:val="24"/>
        </w:rPr>
        <w:t xml:space="preserve"> </w:t>
      </w:r>
      <w:r w:rsidR="00E039D5">
        <w:rPr>
          <w:sz w:val="24"/>
          <w:szCs w:val="24"/>
        </w:rPr>
        <w:t>"</w:t>
      </w:r>
      <w:proofErr w:type="spellStart"/>
      <w:r w:rsidR="00E039D5">
        <w:rPr>
          <w:sz w:val="24"/>
          <w:szCs w:val="24"/>
        </w:rPr>
        <w:t>Neutec</w:t>
      </w:r>
      <w:proofErr w:type="spellEnd"/>
      <w:r w:rsidR="00E039D5">
        <w:rPr>
          <w:sz w:val="24"/>
          <w:szCs w:val="24"/>
        </w:rPr>
        <w:t>"</w:t>
      </w:r>
      <w:r w:rsidRPr="007C434E">
        <w:rPr>
          <w:sz w:val="24"/>
          <w:szCs w:val="24"/>
        </w:rPr>
        <w:t xml:space="preserve"> bør derfor </w:t>
      </w:r>
      <w:r w:rsidRPr="007C434E">
        <w:rPr>
          <w:sz w:val="24"/>
          <w:szCs w:val="24"/>
        </w:rPr>
        <w:lastRenderedPageBreak/>
        <w:t xml:space="preserve">administreres i et velventileret lokale, navnlig på hospitaler, hvor flere patienter måske bruger </w:t>
      </w:r>
      <w:proofErr w:type="spellStart"/>
      <w:r w:rsidRPr="007C434E">
        <w:rPr>
          <w:sz w:val="24"/>
          <w:szCs w:val="24"/>
        </w:rPr>
        <w:t>nebulisatorer</w:t>
      </w:r>
      <w:proofErr w:type="spellEnd"/>
      <w:r w:rsidRPr="007C434E">
        <w:rPr>
          <w:sz w:val="24"/>
          <w:szCs w:val="24"/>
        </w:rPr>
        <w:t xml:space="preserve"> på samme område samtidigt.</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4.3</w:t>
      </w:r>
      <w:r w:rsidRPr="007C434E">
        <w:rPr>
          <w:b/>
          <w:sz w:val="24"/>
          <w:szCs w:val="24"/>
        </w:rPr>
        <w:tab/>
        <w:t>Kontraindikationer</w:t>
      </w:r>
    </w:p>
    <w:p w:rsidR="00840A0D" w:rsidRPr="007C434E" w:rsidRDefault="00840A0D" w:rsidP="00AA14EB">
      <w:pPr>
        <w:ind w:left="851"/>
        <w:rPr>
          <w:sz w:val="24"/>
          <w:szCs w:val="24"/>
        </w:rPr>
      </w:pPr>
      <w:r w:rsidRPr="007C434E">
        <w:rPr>
          <w:sz w:val="24"/>
          <w:szCs w:val="24"/>
        </w:rPr>
        <w:t>Overfølsomhed over for det aktive stof eller over for et eller flere af hjælpestofferne i pkt. 6.1</w:t>
      </w:r>
      <w:r w:rsidR="007C434E">
        <w:rPr>
          <w:sz w:val="24"/>
          <w:szCs w:val="24"/>
        </w:rPr>
        <w:t>.</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4.4</w:t>
      </w:r>
      <w:r w:rsidRPr="007C434E">
        <w:rPr>
          <w:b/>
          <w:sz w:val="24"/>
          <w:szCs w:val="24"/>
        </w:rPr>
        <w:tab/>
        <w:t>Særlige advarsler og forsigtighedsregler vedrørende brugen</w:t>
      </w:r>
    </w:p>
    <w:p w:rsidR="007C434E" w:rsidRDefault="007C434E" w:rsidP="00AA14EB">
      <w:pPr>
        <w:ind w:left="851"/>
        <w:rPr>
          <w:sz w:val="24"/>
          <w:szCs w:val="24"/>
        </w:rPr>
      </w:pPr>
    </w:p>
    <w:p w:rsidR="00840A0D" w:rsidRPr="007C434E" w:rsidRDefault="00840A0D" w:rsidP="00AA14EB">
      <w:pPr>
        <w:ind w:left="851"/>
        <w:rPr>
          <w:b/>
          <w:bCs/>
          <w:iCs/>
          <w:sz w:val="24"/>
          <w:szCs w:val="24"/>
          <w:u w:val="single"/>
        </w:rPr>
      </w:pPr>
      <w:r w:rsidRPr="007C434E">
        <w:rPr>
          <w:sz w:val="24"/>
          <w:szCs w:val="24"/>
          <w:u w:val="single"/>
        </w:rPr>
        <w:t>Generelle betragtninger</w:t>
      </w:r>
    </w:p>
    <w:p w:rsidR="00840A0D" w:rsidRPr="007C434E" w:rsidRDefault="00840A0D" w:rsidP="00AA14EB">
      <w:pPr>
        <w:ind w:left="851"/>
        <w:rPr>
          <w:iCs/>
          <w:sz w:val="24"/>
          <w:szCs w:val="24"/>
        </w:rPr>
      </w:pPr>
    </w:p>
    <w:p w:rsidR="002C5FBD" w:rsidRDefault="002C5FBD" w:rsidP="002C5FBD">
      <w:pPr>
        <w:ind w:left="851"/>
        <w:rPr>
          <w:sz w:val="24"/>
          <w:szCs w:val="24"/>
        </w:rPr>
      </w:pPr>
      <w:r w:rsidRPr="0043301C">
        <w:rPr>
          <w:sz w:val="24"/>
          <w:szCs w:val="24"/>
        </w:rPr>
        <w:t xml:space="preserve">Patienter, som får ordineret regelmæssig antiinflammatorisk behandling (f.eks. inhalerede </w:t>
      </w:r>
      <w:proofErr w:type="spellStart"/>
      <w:r w:rsidRPr="0043301C">
        <w:rPr>
          <w:sz w:val="24"/>
          <w:szCs w:val="24"/>
        </w:rPr>
        <w:t>kortikosteroider</w:t>
      </w:r>
      <w:proofErr w:type="spellEnd"/>
      <w:r w:rsidRPr="0043301C">
        <w:rPr>
          <w:sz w:val="24"/>
          <w:szCs w:val="24"/>
        </w:rPr>
        <w:t xml:space="preserve">), bør rådes til at fortsætte med at tage deres antiinflammatoriske medicin, selv når symptomerne aftager, og de ikke kræver </w:t>
      </w:r>
      <w:proofErr w:type="spellStart"/>
      <w:r w:rsidRPr="0043301C">
        <w:rPr>
          <w:sz w:val="24"/>
          <w:szCs w:val="24"/>
        </w:rPr>
        <w:t>Salbutamol</w:t>
      </w:r>
      <w:proofErr w:type="spellEnd"/>
      <w:r w:rsidRPr="0043301C">
        <w:rPr>
          <w:sz w:val="24"/>
          <w:szCs w:val="24"/>
        </w:rPr>
        <w:t xml:space="preserve"> </w:t>
      </w:r>
      <w:proofErr w:type="spellStart"/>
      <w:r w:rsidRPr="0043301C">
        <w:rPr>
          <w:sz w:val="24"/>
          <w:szCs w:val="24"/>
        </w:rPr>
        <w:t>Neutec</w:t>
      </w:r>
      <w:proofErr w:type="spellEnd"/>
      <w:r w:rsidRPr="0043301C">
        <w:rPr>
          <w:sz w:val="24"/>
          <w:szCs w:val="24"/>
        </w:rPr>
        <w:t>.</w:t>
      </w:r>
    </w:p>
    <w:p w:rsidR="002C5FBD" w:rsidRDefault="002C5FBD" w:rsidP="002C5FBD">
      <w:pPr>
        <w:ind w:left="851"/>
        <w:rPr>
          <w:sz w:val="24"/>
          <w:szCs w:val="24"/>
        </w:rPr>
      </w:pPr>
    </w:p>
    <w:p w:rsidR="002C5FBD" w:rsidRDefault="002C5FBD" w:rsidP="002C5FBD">
      <w:pPr>
        <w:ind w:left="851"/>
        <w:rPr>
          <w:sz w:val="24"/>
          <w:szCs w:val="24"/>
        </w:rPr>
      </w:pPr>
      <w:r w:rsidRPr="007C434E">
        <w:rPr>
          <w:sz w:val="24"/>
          <w:szCs w:val="24"/>
        </w:rPr>
        <w:t>Et stigende forbrug af korttidsvirkende inhalerede beta-2-agonister til symptomkontrol er tegn på forringet astmakontrol</w:t>
      </w:r>
      <w:r w:rsidRPr="0043301C">
        <w:rPr>
          <w:sz w:val="24"/>
          <w:szCs w:val="24"/>
        </w:rPr>
        <w:t>, og patienter bør informeres om at søge læge hurtigst muligt</w:t>
      </w:r>
      <w:r w:rsidRPr="007C434E">
        <w:rPr>
          <w:sz w:val="24"/>
          <w:szCs w:val="24"/>
        </w:rPr>
        <w:t>. Hvis enten den sædvanlige lindring eller den sædvanlige virkningsvarighed reduceres, bør patientens behandlingsplan revurderes.</w:t>
      </w:r>
    </w:p>
    <w:p w:rsidR="002C5FBD" w:rsidRDefault="002C5FBD" w:rsidP="002C5FBD">
      <w:pPr>
        <w:ind w:left="851"/>
        <w:rPr>
          <w:sz w:val="24"/>
          <w:szCs w:val="24"/>
        </w:rPr>
      </w:pPr>
    </w:p>
    <w:p w:rsidR="002C5FBD" w:rsidRDefault="002C5FBD" w:rsidP="002C5FBD">
      <w:pPr>
        <w:ind w:left="851"/>
        <w:rPr>
          <w:iCs/>
          <w:sz w:val="24"/>
          <w:szCs w:val="24"/>
        </w:rPr>
      </w:pPr>
      <w:r w:rsidRPr="0043301C">
        <w:rPr>
          <w:iCs/>
          <w:sz w:val="24"/>
          <w:szCs w:val="24"/>
        </w:rPr>
        <w:t xml:space="preserve">Overforbrug af korttidsvirkende beta-agonister kan skjule udviklingen af den underliggende sygdom og bidrage til forværring af astmakontrol, hvilket fører til en øget risiko for alvorlige </w:t>
      </w:r>
      <w:proofErr w:type="spellStart"/>
      <w:r w:rsidRPr="0043301C">
        <w:rPr>
          <w:iCs/>
          <w:sz w:val="24"/>
          <w:szCs w:val="24"/>
        </w:rPr>
        <w:t>astmaeksacerbationer</w:t>
      </w:r>
      <w:proofErr w:type="spellEnd"/>
      <w:r w:rsidRPr="0043301C">
        <w:rPr>
          <w:iCs/>
          <w:sz w:val="24"/>
          <w:szCs w:val="24"/>
        </w:rPr>
        <w:t xml:space="preserve"> og dødelighed.</w:t>
      </w:r>
    </w:p>
    <w:p w:rsidR="002C5FBD" w:rsidRDefault="002C5FBD" w:rsidP="002C5FBD">
      <w:pPr>
        <w:ind w:left="851"/>
        <w:rPr>
          <w:iCs/>
          <w:sz w:val="24"/>
          <w:szCs w:val="24"/>
        </w:rPr>
      </w:pPr>
    </w:p>
    <w:p w:rsidR="002C5FBD" w:rsidRPr="007C434E" w:rsidRDefault="002C5FBD" w:rsidP="002C5FBD">
      <w:pPr>
        <w:ind w:left="851"/>
        <w:rPr>
          <w:iCs/>
          <w:sz w:val="24"/>
          <w:szCs w:val="24"/>
        </w:rPr>
      </w:pPr>
      <w:r w:rsidRPr="0043301C">
        <w:rPr>
          <w:iCs/>
          <w:sz w:val="24"/>
          <w:szCs w:val="24"/>
        </w:rPr>
        <w:t xml:space="preserve">Patienter, der mere end to gange om ugen tager </w:t>
      </w:r>
      <w:proofErr w:type="spellStart"/>
      <w:r w:rsidRPr="0043301C">
        <w:rPr>
          <w:iCs/>
          <w:sz w:val="24"/>
          <w:szCs w:val="24"/>
        </w:rPr>
        <w:t>salbutamol</w:t>
      </w:r>
      <w:proofErr w:type="spellEnd"/>
      <w:r w:rsidRPr="0043301C">
        <w:rPr>
          <w:iCs/>
          <w:sz w:val="24"/>
          <w:szCs w:val="24"/>
        </w:rPr>
        <w:t xml:space="preserve"> "efter behov", undtagen profylaktisk før træning, bør revurderes (f.eks. symptomer i dagtimerne, opvågning om natten og aktivitetsbegrænsning på grund af astma) for korrekt behandlingsjustering, da disse patienter er i risiko for </w:t>
      </w:r>
      <w:proofErr w:type="spellStart"/>
      <w:r w:rsidRPr="0043301C">
        <w:rPr>
          <w:iCs/>
          <w:sz w:val="24"/>
          <w:szCs w:val="24"/>
        </w:rPr>
        <w:t>salbutamol</w:t>
      </w:r>
      <w:proofErr w:type="spellEnd"/>
      <w:r w:rsidRPr="0043301C">
        <w:rPr>
          <w:iCs/>
          <w:sz w:val="24"/>
          <w:szCs w:val="24"/>
        </w:rPr>
        <w:t>-overforbrug.</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proofErr w:type="spellStart"/>
      <w:r w:rsidRPr="007C434E">
        <w:rPr>
          <w:sz w:val="24"/>
          <w:szCs w:val="24"/>
        </w:rPr>
        <w:t>Bronkodilatatorer</w:t>
      </w:r>
      <w:proofErr w:type="spellEnd"/>
      <w:r w:rsidRPr="007C434E">
        <w:rPr>
          <w:sz w:val="24"/>
          <w:szCs w:val="24"/>
        </w:rPr>
        <w:t xml:space="preserve"> bør ikke være den eneste eller væsentligste behandling hos patienter med persisterende astma. Hos patienter med persisterende astma anbefales vedligeholdelses</w:t>
      </w:r>
      <w:r w:rsidR="007C434E">
        <w:rPr>
          <w:sz w:val="24"/>
          <w:szCs w:val="24"/>
        </w:rPr>
        <w:softHyphen/>
      </w:r>
      <w:r w:rsidRPr="007C434E">
        <w:rPr>
          <w:sz w:val="24"/>
          <w:szCs w:val="24"/>
        </w:rPr>
        <w:t xml:space="preserve">behandling som f.eks. inhalerede </w:t>
      </w:r>
      <w:proofErr w:type="spellStart"/>
      <w:r w:rsidRPr="007C434E">
        <w:rPr>
          <w:sz w:val="24"/>
          <w:szCs w:val="24"/>
        </w:rPr>
        <w:t>glukokortikoider</w:t>
      </w:r>
      <w:proofErr w:type="spellEnd"/>
      <w:r w:rsidRPr="007C434E">
        <w:rPr>
          <w:sz w:val="24"/>
          <w:szCs w:val="24"/>
        </w:rPr>
        <w:t xml:space="preserve"> til opnåelse og opretholdelse af astmakontrollen. Manglende respons på behandling med </w:t>
      </w:r>
      <w:proofErr w:type="spellStart"/>
      <w:r w:rsidRPr="007C434E">
        <w:rPr>
          <w:sz w:val="24"/>
          <w:szCs w:val="24"/>
        </w:rPr>
        <w:t>salbutamol</w:t>
      </w:r>
      <w:proofErr w:type="spellEnd"/>
      <w:r w:rsidRPr="007C434E">
        <w:rPr>
          <w:sz w:val="24"/>
          <w:szCs w:val="24"/>
        </w:rPr>
        <w:t xml:space="preserve"> kan være tegn på, at der er behov for akut lægehjælp eller lægebehandling.</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 xml:space="preserve">En pludselig og gradvis forringelse af astmakontrollen er potentielt livstruende, og det bør overvejes at starte på eller øge dosen af </w:t>
      </w:r>
      <w:proofErr w:type="spellStart"/>
      <w:r w:rsidRPr="007C434E">
        <w:rPr>
          <w:sz w:val="24"/>
          <w:szCs w:val="24"/>
        </w:rPr>
        <w:t>kortikosteroider</w:t>
      </w:r>
      <w:proofErr w:type="spellEnd"/>
      <w:r w:rsidRPr="007C434E">
        <w:rPr>
          <w:sz w:val="24"/>
          <w:szCs w:val="24"/>
        </w:rPr>
        <w:t>.</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 xml:space="preserve">En ansvarlig voksen skal overvåge behandlingen med </w:t>
      </w:r>
      <w:proofErr w:type="spellStart"/>
      <w:r w:rsidRPr="007C434E">
        <w:rPr>
          <w:sz w:val="24"/>
          <w:szCs w:val="24"/>
        </w:rPr>
        <w:t>salbutamol</w:t>
      </w:r>
      <w:proofErr w:type="spellEnd"/>
      <w:r w:rsidRPr="007C434E">
        <w:rPr>
          <w:sz w:val="24"/>
          <w:szCs w:val="24"/>
        </w:rPr>
        <w:t xml:space="preserve"> hos børn.</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bør administreres med forsigtighed hos patienter med </w:t>
      </w:r>
      <w:proofErr w:type="spellStart"/>
      <w:r w:rsidRPr="007C434E">
        <w:rPr>
          <w:sz w:val="24"/>
          <w:szCs w:val="24"/>
        </w:rPr>
        <w:t>hypertyreose</w:t>
      </w:r>
      <w:proofErr w:type="spellEnd"/>
      <w:r w:rsidRPr="007C434E">
        <w:rPr>
          <w:sz w:val="24"/>
          <w:szCs w:val="24"/>
        </w:rPr>
        <w:t>.</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 xml:space="preserve">Inhalerede </w:t>
      </w:r>
      <w:proofErr w:type="spellStart"/>
      <w:r w:rsidRPr="007C434E">
        <w:rPr>
          <w:sz w:val="24"/>
          <w:szCs w:val="24"/>
        </w:rPr>
        <w:t>salbutamol</w:t>
      </w:r>
      <w:proofErr w:type="spellEnd"/>
      <w:r w:rsidRPr="007C434E">
        <w:rPr>
          <w:sz w:val="24"/>
          <w:szCs w:val="24"/>
        </w:rPr>
        <w:t>-formuleringer må ikke anvendes til at forebygge eller hæmme for tidlig fødsel eller truende abort.</w:t>
      </w:r>
    </w:p>
    <w:p w:rsidR="00840A0D" w:rsidRPr="007C434E" w:rsidRDefault="00840A0D" w:rsidP="00AA14EB">
      <w:pPr>
        <w:ind w:left="851"/>
        <w:rPr>
          <w:sz w:val="24"/>
          <w:szCs w:val="24"/>
          <w:lang w:eastAsia="en-GB"/>
        </w:rPr>
      </w:pPr>
    </w:p>
    <w:p w:rsidR="00840A0D" w:rsidRPr="007C434E" w:rsidRDefault="00840A0D" w:rsidP="00AA14EB">
      <w:pPr>
        <w:ind w:left="851"/>
        <w:rPr>
          <w:b/>
          <w:bCs/>
          <w:sz w:val="24"/>
          <w:szCs w:val="24"/>
          <w:u w:val="single"/>
        </w:rPr>
      </w:pPr>
      <w:r w:rsidRPr="007C434E">
        <w:rPr>
          <w:sz w:val="24"/>
          <w:szCs w:val="24"/>
          <w:u w:val="single"/>
        </w:rPr>
        <w:t xml:space="preserve">Akut snævervinklet </w:t>
      </w:r>
      <w:proofErr w:type="spellStart"/>
      <w:r w:rsidRPr="007C434E">
        <w:rPr>
          <w:sz w:val="24"/>
          <w:szCs w:val="24"/>
          <w:u w:val="single"/>
        </w:rPr>
        <w:t>glaukom</w:t>
      </w:r>
      <w:proofErr w:type="spellEnd"/>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 xml:space="preserve">Der er rapporteret om et lille antal tilfælde af akut snævervinklet </w:t>
      </w:r>
      <w:proofErr w:type="spellStart"/>
      <w:r w:rsidRPr="007C434E">
        <w:rPr>
          <w:sz w:val="24"/>
          <w:szCs w:val="24"/>
        </w:rPr>
        <w:t>glaukom</w:t>
      </w:r>
      <w:proofErr w:type="spellEnd"/>
      <w:r w:rsidRPr="007C434E">
        <w:rPr>
          <w:sz w:val="24"/>
          <w:szCs w:val="24"/>
        </w:rPr>
        <w:t xml:space="preserve"> hos patienter i behandling med en kombination af forstøvet </w:t>
      </w:r>
      <w:proofErr w:type="spellStart"/>
      <w:r w:rsidRPr="007C434E">
        <w:rPr>
          <w:sz w:val="24"/>
          <w:szCs w:val="24"/>
        </w:rPr>
        <w:t>salbutamol</w:t>
      </w:r>
      <w:proofErr w:type="spellEnd"/>
      <w:r w:rsidRPr="007C434E">
        <w:rPr>
          <w:sz w:val="24"/>
          <w:szCs w:val="24"/>
        </w:rPr>
        <w:t xml:space="preserve"> og </w:t>
      </w:r>
      <w:proofErr w:type="spellStart"/>
      <w:r w:rsidRPr="007C434E">
        <w:rPr>
          <w:sz w:val="24"/>
          <w:szCs w:val="24"/>
        </w:rPr>
        <w:t>ipratropiumbromid</w:t>
      </w:r>
      <w:proofErr w:type="spellEnd"/>
      <w:r w:rsidRPr="007C434E">
        <w:rPr>
          <w:sz w:val="24"/>
          <w:szCs w:val="24"/>
        </w:rPr>
        <w:t xml:space="preserve">. En kombination af forstøvet </w:t>
      </w:r>
      <w:proofErr w:type="spellStart"/>
      <w:r w:rsidRPr="007C434E">
        <w:rPr>
          <w:sz w:val="24"/>
          <w:szCs w:val="24"/>
        </w:rPr>
        <w:t>salbutamol</w:t>
      </w:r>
      <w:proofErr w:type="spellEnd"/>
      <w:r w:rsidRPr="007C434E">
        <w:rPr>
          <w:sz w:val="24"/>
          <w:szCs w:val="24"/>
        </w:rPr>
        <w:t xml:space="preserve"> og forstøvede </w:t>
      </w:r>
      <w:proofErr w:type="spellStart"/>
      <w:r w:rsidRPr="007C434E">
        <w:rPr>
          <w:sz w:val="24"/>
          <w:szCs w:val="24"/>
        </w:rPr>
        <w:t>antikolinergika</w:t>
      </w:r>
      <w:proofErr w:type="spellEnd"/>
      <w:r w:rsidRPr="007C434E">
        <w:rPr>
          <w:sz w:val="24"/>
          <w:szCs w:val="24"/>
        </w:rPr>
        <w:t xml:space="preserve"> bør derfor anvendes </w:t>
      </w:r>
      <w:r w:rsidRPr="007C434E">
        <w:rPr>
          <w:sz w:val="24"/>
          <w:szCs w:val="24"/>
        </w:rPr>
        <w:lastRenderedPageBreak/>
        <w:t>med forsigtighed. Patienterne skal have tilstrækkelig vejledning i korrekt administration, idet det skal indskærpes, at opløsningen eller tågen ikke må komme ind i øjnene.</w:t>
      </w:r>
    </w:p>
    <w:p w:rsidR="00840A0D" w:rsidRPr="007C434E" w:rsidRDefault="00840A0D" w:rsidP="00AA14EB">
      <w:pPr>
        <w:ind w:left="851"/>
        <w:rPr>
          <w:sz w:val="24"/>
          <w:szCs w:val="24"/>
          <w:lang w:eastAsia="en-GB"/>
        </w:rPr>
      </w:pPr>
    </w:p>
    <w:p w:rsidR="00840A0D" w:rsidRPr="007C434E" w:rsidRDefault="00840A0D" w:rsidP="00AA14EB">
      <w:pPr>
        <w:ind w:left="851"/>
        <w:rPr>
          <w:b/>
          <w:bCs/>
          <w:sz w:val="24"/>
          <w:szCs w:val="24"/>
          <w:u w:val="single"/>
        </w:rPr>
      </w:pPr>
      <w:r w:rsidRPr="007C434E">
        <w:rPr>
          <w:sz w:val="24"/>
          <w:szCs w:val="24"/>
          <w:u w:val="single"/>
        </w:rPr>
        <w:t xml:space="preserve">Alvorlig </w:t>
      </w:r>
      <w:proofErr w:type="spellStart"/>
      <w:r w:rsidRPr="007C434E">
        <w:rPr>
          <w:sz w:val="24"/>
          <w:szCs w:val="24"/>
          <w:u w:val="single"/>
        </w:rPr>
        <w:t>hypokaliæmi</w:t>
      </w:r>
      <w:proofErr w:type="spellEnd"/>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 xml:space="preserve">Behandling med beta-2-agonister kan medføre potentielt alvorlig </w:t>
      </w:r>
      <w:proofErr w:type="spellStart"/>
      <w:r w:rsidRPr="007C434E">
        <w:rPr>
          <w:sz w:val="24"/>
          <w:szCs w:val="24"/>
        </w:rPr>
        <w:t>hypokaliæmi</w:t>
      </w:r>
      <w:proofErr w:type="spellEnd"/>
      <w:r w:rsidRPr="007C434E">
        <w:rPr>
          <w:sz w:val="24"/>
          <w:szCs w:val="24"/>
        </w:rPr>
        <w:t xml:space="preserve">, navnlig ved parenteral og forstøvet administration. Der skal udvises særlig forsigtighed ved akut svær astma, da denne bivirkning kan forstærkes ved samtidig behandling med </w:t>
      </w:r>
      <w:proofErr w:type="spellStart"/>
      <w:r w:rsidRPr="007C434E">
        <w:rPr>
          <w:sz w:val="24"/>
          <w:szCs w:val="24"/>
        </w:rPr>
        <w:t>xanthinderivater</w:t>
      </w:r>
      <w:proofErr w:type="spellEnd"/>
      <w:r w:rsidRPr="007C434E">
        <w:rPr>
          <w:sz w:val="24"/>
          <w:szCs w:val="24"/>
        </w:rPr>
        <w:t xml:space="preserve">, steroider og </w:t>
      </w:r>
      <w:proofErr w:type="spellStart"/>
      <w:r w:rsidRPr="007C434E">
        <w:rPr>
          <w:sz w:val="24"/>
          <w:szCs w:val="24"/>
        </w:rPr>
        <w:t>diuretika</w:t>
      </w:r>
      <w:proofErr w:type="spellEnd"/>
      <w:r w:rsidRPr="007C434E">
        <w:rPr>
          <w:sz w:val="24"/>
          <w:szCs w:val="24"/>
        </w:rPr>
        <w:t xml:space="preserve"> samt ved </w:t>
      </w:r>
      <w:proofErr w:type="spellStart"/>
      <w:r w:rsidRPr="007C434E">
        <w:rPr>
          <w:sz w:val="24"/>
          <w:szCs w:val="24"/>
        </w:rPr>
        <w:t>hypoksi</w:t>
      </w:r>
      <w:proofErr w:type="spellEnd"/>
      <w:r w:rsidRPr="007C434E">
        <w:rPr>
          <w:sz w:val="24"/>
          <w:szCs w:val="24"/>
        </w:rPr>
        <w:t>. I disse tilfælde anbefales det at overvåge kaliumniveauet i serum.</w:t>
      </w:r>
    </w:p>
    <w:p w:rsidR="00840A0D" w:rsidRPr="007C434E" w:rsidRDefault="00840A0D" w:rsidP="00AA14EB">
      <w:pPr>
        <w:ind w:left="851"/>
        <w:rPr>
          <w:sz w:val="24"/>
          <w:szCs w:val="24"/>
          <w:lang w:eastAsia="en-GB"/>
        </w:rPr>
      </w:pPr>
    </w:p>
    <w:p w:rsidR="00840A0D" w:rsidRPr="007C434E" w:rsidRDefault="00840A0D" w:rsidP="00AA14EB">
      <w:pPr>
        <w:ind w:left="851"/>
        <w:rPr>
          <w:bCs/>
          <w:sz w:val="24"/>
          <w:szCs w:val="24"/>
          <w:u w:val="single"/>
        </w:rPr>
      </w:pPr>
      <w:r w:rsidRPr="007C434E">
        <w:rPr>
          <w:sz w:val="24"/>
          <w:szCs w:val="24"/>
          <w:u w:val="single"/>
        </w:rPr>
        <w:t>Metaboliske forandringer</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Ligesom andre beta-</w:t>
      </w:r>
      <w:proofErr w:type="spellStart"/>
      <w:r w:rsidRPr="007C434E">
        <w:rPr>
          <w:sz w:val="24"/>
          <w:szCs w:val="24"/>
        </w:rPr>
        <w:t>adrenoceptoragonister</w:t>
      </w:r>
      <w:proofErr w:type="spellEnd"/>
      <w:r w:rsidRPr="007C434E">
        <w:rPr>
          <w:sz w:val="24"/>
          <w:szCs w:val="24"/>
        </w:rPr>
        <w:t xml:space="preserve"> kan </w:t>
      </w:r>
      <w:proofErr w:type="spellStart"/>
      <w:r w:rsidRPr="007C434E">
        <w:rPr>
          <w:sz w:val="24"/>
          <w:szCs w:val="24"/>
        </w:rPr>
        <w:t>salbutamol</w:t>
      </w:r>
      <w:proofErr w:type="spellEnd"/>
      <w:r w:rsidRPr="007C434E">
        <w:rPr>
          <w:sz w:val="24"/>
          <w:szCs w:val="24"/>
        </w:rPr>
        <w:t xml:space="preserve"> inducere reversible metaboliske forandringer, f.eks. forhøjet blodsukker. Patienter med diabetes kan være ude af stand til at kompensere for dette, og der er rapporteret om udvikling af </w:t>
      </w:r>
      <w:proofErr w:type="spellStart"/>
      <w:r w:rsidRPr="007C434E">
        <w:rPr>
          <w:sz w:val="24"/>
          <w:szCs w:val="24"/>
        </w:rPr>
        <w:t>ketoacidose</w:t>
      </w:r>
      <w:proofErr w:type="spellEnd"/>
      <w:r w:rsidRPr="007C434E">
        <w:rPr>
          <w:sz w:val="24"/>
          <w:szCs w:val="24"/>
        </w:rPr>
        <w:t xml:space="preserve">. Samtidig administration af </w:t>
      </w:r>
      <w:proofErr w:type="spellStart"/>
      <w:r w:rsidRPr="007C434E">
        <w:rPr>
          <w:sz w:val="24"/>
          <w:szCs w:val="24"/>
        </w:rPr>
        <w:t>kortikosteroider</w:t>
      </w:r>
      <w:proofErr w:type="spellEnd"/>
      <w:r w:rsidRPr="007C434E">
        <w:rPr>
          <w:sz w:val="24"/>
          <w:szCs w:val="24"/>
        </w:rPr>
        <w:t xml:space="preserve"> kan forstærke denne effekt kraftigt.</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 xml:space="preserve">Der er i meget sjældne tilfælde rapporteret om </w:t>
      </w:r>
      <w:proofErr w:type="spellStart"/>
      <w:r w:rsidRPr="007C434E">
        <w:rPr>
          <w:sz w:val="24"/>
          <w:szCs w:val="24"/>
        </w:rPr>
        <w:t>laktacidose</w:t>
      </w:r>
      <w:proofErr w:type="spellEnd"/>
      <w:r w:rsidRPr="007C434E">
        <w:rPr>
          <w:sz w:val="24"/>
          <w:szCs w:val="24"/>
        </w:rPr>
        <w:t xml:space="preserve"> i forbindelse med høje terapeutiske doser af intravenøse og forstøvede korttidsvirkende beta-agonister, og det har hovedsagelig været hos patienter i behandling for akut astmaforværring (se pkt. 4.8). Forhøjet laktatniveau kan føre til dyspnø og kompensatorisk hyperventilation, hvilket kan fejlfortolkes som et tegn på behandlingssvigt og føre til en uhensigtsmæssig intensivering af behandlingen med korttidsvirkende beta-agonister. Det anbefales derfor, at patienterne overvåges for udvikling af forhøjet serumlaktat og deraf følgende metabolisk </w:t>
      </w:r>
      <w:proofErr w:type="spellStart"/>
      <w:r w:rsidRPr="007C434E">
        <w:rPr>
          <w:sz w:val="24"/>
          <w:szCs w:val="24"/>
        </w:rPr>
        <w:t>acidose</w:t>
      </w:r>
      <w:proofErr w:type="spellEnd"/>
      <w:r w:rsidRPr="007C434E">
        <w:rPr>
          <w:sz w:val="24"/>
          <w:szCs w:val="24"/>
        </w:rPr>
        <w:t>.</w:t>
      </w:r>
    </w:p>
    <w:p w:rsidR="00840A0D" w:rsidRPr="007C434E" w:rsidRDefault="00840A0D" w:rsidP="00AA14EB">
      <w:pPr>
        <w:ind w:left="851"/>
        <w:rPr>
          <w:sz w:val="24"/>
          <w:szCs w:val="24"/>
          <w:lang w:eastAsia="en-GB"/>
        </w:rPr>
      </w:pPr>
    </w:p>
    <w:p w:rsidR="00840A0D" w:rsidRPr="007C434E" w:rsidRDefault="00840A0D" w:rsidP="00AA14EB">
      <w:pPr>
        <w:ind w:left="851"/>
        <w:rPr>
          <w:b/>
          <w:bCs/>
          <w:sz w:val="24"/>
          <w:szCs w:val="24"/>
          <w:u w:val="single"/>
        </w:rPr>
      </w:pPr>
      <w:proofErr w:type="spellStart"/>
      <w:r w:rsidRPr="007C434E">
        <w:rPr>
          <w:sz w:val="24"/>
          <w:szCs w:val="24"/>
          <w:u w:val="single"/>
        </w:rPr>
        <w:t>Kardiovaskulære</w:t>
      </w:r>
      <w:proofErr w:type="spellEnd"/>
      <w:r w:rsidRPr="007C434E">
        <w:rPr>
          <w:sz w:val="24"/>
          <w:szCs w:val="24"/>
          <w:u w:val="single"/>
        </w:rPr>
        <w:t xml:space="preserve"> bivirkninger</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proofErr w:type="spellStart"/>
      <w:r w:rsidRPr="007C434E">
        <w:rPr>
          <w:sz w:val="24"/>
          <w:szCs w:val="24"/>
        </w:rPr>
        <w:t>Kardiovaskulære</w:t>
      </w:r>
      <w:proofErr w:type="spellEnd"/>
      <w:r w:rsidRPr="007C434E">
        <w:rPr>
          <w:sz w:val="24"/>
          <w:szCs w:val="24"/>
        </w:rPr>
        <w:t xml:space="preserve"> bivirkninger kan ses ved </w:t>
      </w:r>
      <w:proofErr w:type="spellStart"/>
      <w:r w:rsidRPr="007C434E">
        <w:rPr>
          <w:sz w:val="24"/>
          <w:szCs w:val="24"/>
        </w:rPr>
        <w:t>sympatomimetiske</w:t>
      </w:r>
      <w:proofErr w:type="spellEnd"/>
      <w:r w:rsidRPr="007C434E">
        <w:rPr>
          <w:sz w:val="24"/>
          <w:szCs w:val="24"/>
        </w:rPr>
        <w:t xml:space="preserve"> lægemidler, herunder </w:t>
      </w:r>
      <w:proofErr w:type="spellStart"/>
      <w:r w:rsidRPr="007C434E">
        <w:rPr>
          <w:sz w:val="24"/>
          <w:szCs w:val="24"/>
        </w:rPr>
        <w:t>salbutamol</w:t>
      </w:r>
      <w:proofErr w:type="spellEnd"/>
      <w:r w:rsidRPr="007C434E">
        <w:rPr>
          <w:sz w:val="24"/>
          <w:szCs w:val="24"/>
        </w:rPr>
        <w:t xml:space="preserve">. I henhold til data efter markedsføringen og offentliggjort litteratur er der en vis evidens for, at der kan forekomme </w:t>
      </w:r>
      <w:proofErr w:type="spellStart"/>
      <w:r w:rsidRPr="007C434E">
        <w:rPr>
          <w:sz w:val="24"/>
          <w:szCs w:val="24"/>
        </w:rPr>
        <w:t>myokardieiskæmi</w:t>
      </w:r>
      <w:proofErr w:type="spellEnd"/>
      <w:r w:rsidRPr="007C434E">
        <w:rPr>
          <w:sz w:val="24"/>
          <w:szCs w:val="24"/>
        </w:rPr>
        <w:t xml:space="preserve"> ved brug af </w:t>
      </w:r>
      <w:proofErr w:type="spellStart"/>
      <w:r w:rsidRPr="007C434E">
        <w:rPr>
          <w:sz w:val="24"/>
          <w:szCs w:val="24"/>
        </w:rPr>
        <w:t>salbutamol</w:t>
      </w:r>
      <w:proofErr w:type="spellEnd"/>
      <w:r w:rsidRPr="007C434E">
        <w:rPr>
          <w:sz w:val="24"/>
          <w:szCs w:val="24"/>
        </w:rPr>
        <w:t xml:space="preserve">. Patienter med underliggende svær hjertesygdom (f.eks. iskæmisk hjertesygdom, </w:t>
      </w:r>
      <w:proofErr w:type="spellStart"/>
      <w:r w:rsidRPr="007C434E">
        <w:rPr>
          <w:sz w:val="24"/>
          <w:szCs w:val="24"/>
        </w:rPr>
        <w:t>arytmi</w:t>
      </w:r>
      <w:proofErr w:type="spellEnd"/>
      <w:r w:rsidRPr="007C434E">
        <w:rPr>
          <w:sz w:val="24"/>
          <w:szCs w:val="24"/>
        </w:rPr>
        <w:t xml:space="preserve"> eller svær hjerteinsufficiens), der tager </w:t>
      </w:r>
      <w:proofErr w:type="spellStart"/>
      <w:r w:rsidRPr="007C434E">
        <w:rPr>
          <w:sz w:val="24"/>
          <w:szCs w:val="24"/>
        </w:rPr>
        <w:t>salbutamol</w:t>
      </w:r>
      <w:proofErr w:type="spellEnd"/>
      <w:r w:rsidRPr="007C434E">
        <w:rPr>
          <w:sz w:val="24"/>
          <w:szCs w:val="24"/>
        </w:rPr>
        <w:t>, skal opfordres til at søge lægehjælp, hvis de oplever brystsmerter eller andre symptomer på forværring af hjertesygdom. Man skal være særligt opmærksom ved vurdering af symptomer som f.eks. dyspnø og brystsmerter, da disse symptomer kan have enten luftvejs- eller hjerterelateret oprindelse.</w:t>
      </w:r>
    </w:p>
    <w:p w:rsidR="00840A0D" w:rsidRPr="007C434E" w:rsidRDefault="00840A0D" w:rsidP="00AA14EB">
      <w:pPr>
        <w:ind w:left="851"/>
        <w:rPr>
          <w:sz w:val="24"/>
          <w:szCs w:val="24"/>
          <w:lang w:eastAsia="en-GB"/>
        </w:rPr>
      </w:pPr>
    </w:p>
    <w:p w:rsidR="00840A0D" w:rsidRPr="007C434E" w:rsidRDefault="00840A0D" w:rsidP="00AA14EB">
      <w:pPr>
        <w:ind w:left="851"/>
        <w:rPr>
          <w:bCs/>
          <w:sz w:val="24"/>
          <w:szCs w:val="24"/>
          <w:u w:val="single"/>
        </w:rPr>
      </w:pPr>
      <w:r w:rsidRPr="007C434E">
        <w:rPr>
          <w:sz w:val="24"/>
          <w:szCs w:val="24"/>
          <w:u w:val="single"/>
        </w:rPr>
        <w:t xml:space="preserve">Paradoksal </w:t>
      </w:r>
      <w:proofErr w:type="spellStart"/>
      <w:r w:rsidRPr="007C434E">
        <w:rPr>
          <w:sz w:val="24"/>
          <w:szCs w:val="24"/>
          <w:u w:val="single"/>
        </w:rPr>
        <w:t>bronkospasme</w:t>
      </w:r>
      <w:proofErr w:type="spellEnd"/>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 xml:space="preserve">Som med andre inhalationsbehandlinger kan der forekomme paradoksal </w:t>
      </w:r>
      <w:proofErr w:type="spellStart"/>
      <w:r w:rsidRPr="007C434E">
        <w:rPr>
          <w:sz w:val="24"/>
          <w:szCs w:val="24"/>
        </w:rPr>
        <w:t>bronkospasme</w:t>
      </w:r>
      <w:proofErr w:type="spellEnd"/>
      <w:r w:rsidRPr="007C434E">
        <w:rPr>
          <w:sz w:val="24"/>
          <w:szCs w:val="24"/>
        </w:rPr>
        <w:t xml:space="preserve"> med øjeblikkeligt tiltagende </w:t>
      </w:r>
      <w:proofErr w:type="spellStart"/>
      <w:r w:rsidRPr="007C434E">
        <w:rPr>
          <w:sz w:val="24"/>
          <w:szCs w:val="24"/>
        </w:rPr>
        <w:t>hvæsen</w:t>
      </w:r>
      <w:proofErr w:type="spellEnd"/>
      <w:r w:rsidRPr="007C434E">
        <w:rPr>
          <w:sz w:val="24"/>
          <w:szCs w:val="24"/>
        </w:rPr>
        <w:t xml:space="preserve"> efter administration. Dette bør behandles med det samme med en anden formulering eller en anden hurtigtvirkende </w:t>
      </w:r>
      <w:proofErr w:type="spellStart"/>
      <w:r w:rsidRPr="007C434E">
        <w:rPr>
          <w:sz w:val="24"/>
          <w:szCs w:val="24"/>
        </w:rPr>
        <w:t>bronkodilatator</w:t>
      </w:r>
      <w:proofErr w:type="spellEnd"/>
      <w:r w:rsidRPr="007C434E">
        <w:rPr>
          <w:sz w:val="24"/>
          <w:szCs w:val="24"/>
        </w:rPr>
        <w:t xml:space="preserve">, hvis en sådan er umiddelbart tilgængelig. Den pågældende </w:t>
      </w:r>
      <w:proofErr w:type="spellStart"/>
      <w:r w:rsidRPr="007C434E">
        <w:rPr>
          <w:sz w:val="24"/>
          <w:szCs w:val="24"/>
        </w:rPr>
        <w:t>salbutamol</w:t>
      </w:r>
      <w:proofErr w:type="spellEnd"/>
      <w:r w:rsidRPr="007C434E">
        <w:rPr>
          <w:sz w:val="24"/>
          <w:szCs w:val="24"/>
        </w:rPr>
        <w:t xml:space="preserve">-formulering bør seponeres, og en anden hurtigtvirkende </w:t>
      </w:r>
      <w:proofErr w:type="spellStart"/>
      <w:r w:rsidRPr="007C434E">
        <w:rPr>
          <w:sz w:val="24"/>
          <w:szCs w:val="24"/>
        </w:rPr>
        <w:t>bronkodilatator</w:t>
      </w:r>
      <w:proofErr w:type="spellEnd"/>
      <w:r w:rsidRPr="007C434E">
        <w:rPr>
          <w:sz w:val="24"/>
          <w:szCs w:val="24"/>
        </w:rPr>
        <w:t xml:space="preserve"> bør om nødvendigt påbegyndes i stedet og anvendes fremadrettet.</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4.5</w:t>
      </w:r>
      <w:r w:rsidRPr="007C434E">
        <w:rPr>
          <w:b/>
          <w:sz w:val="24"/>
          <w:szCs w:val="24"/>
        </w:rPr>
        <w:tab/>
        <w:t>Interaktion med andre lægemidler og andre former for interaktion</w:t>
      </w: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og ikkeselektive betablokkere som f.eks. </w:t>
      </w:r>
      <w:proofErr w:type="spellStart"/>
      <w:r w:rsidRPr="007C434E">
        <w:rPr>
          <w:sz w:val="24"/>
          <w:szCs w:val="24"/>
        </w:rPr>
        <w:t>propranolol</w:t>
      </w:r>
      <w:proofErr w:type="spellEnd"/>
      <w:r w:rsidRPr="007C434E">
        <w:rPr>
          <w:sz w:val="24"/>
          <w:szCs w:val="24"/>
        </w:rPr>
        <w:t xml:space="preserve"> bør normalt ikke ordineres samtidigt.</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lastRenderedPageBreak/>
        <w:t xml:space="preserve">Der er rapporteret om et lille antal tilfælde, hvor kombineret behandling med forstøvet </w:t>
      </w:r>
      <w:proofErr w:type="spellStart"/>
      <w:r w:rsidRPr="007C434E">
        <w:rPr>
          <w:sz w:val="24"/>
          <w:szCs w:val="24"/>
        </w:rPr>
        <w:t>salbutamol</w:t>
      </w:r>
      <w:proofErr w:type="spellEnd"/>
      <w:r w:rsidRPr="007C434E">
        <w:rPr>
          <w:sz w:val="24"/>
          <w:szCs w:val="24"/>
        </w:rPr>
        <w:t xml:space="preserve"> og </w:t>
      </w:r>
      <w:proofErr w:type="spellStart"/>
      <w:r w:rsidRPr="007C434E">
        <w:rPr>
          <w:sz w:val="24"/>
          <w:szCs w:val="24"/>
        </w:rPr>
        <w:t>ipratropiumbromid</w:t>
      </w:r>
      <w:proofErr w:type="spellEnd"/>
      <w:r w:rsidRPr="007C434E">
        <w:rPr>
          <w:sz w:val="24"/>
          <w:szCs w:val="24"/>
        </w:rPr>
        <w:t xml:space="preserve"> har udløst snævervinklet </w:t>
      </w:r>
      <w:proofErr w:type="spellStart"/>
      <w:r w:rsidRPr="007C434E">
        <w:rPr>
          <w:sz w:val="24"/>
          <w:szCs w:val="24"/>
        </w:rPr>
        <w:t>glaukom</w:t>
      </w:r>
      <w:proofErr w:type="spellEnd"/>
      <w:r w:rsidRPr="007C434E">
        <w:rPr>
          <w:sz w:val="24"/>
          <w:szCs w:val="24"/>
        </w:rPr>
        <w:t>. Denne kombination bør undgås hos prædisponerede patienter.</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proofErr w:type="spellStart"/>
      <w:r w:rsidRPr="007C434E">
        <w:rPr>
          <w:sz w:val="24"/>
          <w:szCs w:val="24"/>
        </w:rPr>
        <w:t>Hypokaliæmi</w:t>
      </w:r>
      <w:proofErr w:type="spellEnd"/>
      <w:r w:rsidRPr="007C434E">
        <w:rPr>
          <w:sz w:val="24"/>
          <w:szCs w:val="24"/>
        </w:rPr>
        <w:t xml:space="preserve"> kan blive forstærket ved samtidig behandling med </w:t>
      </w:r>
      <w:proofErr w:type="spellStart"/>
      <w:r w:rsidRPr="007C434E">
        <w:rPr>
          <w:sz w:val="24"/>
          <w:szCs w:val="24"/>
        </w:rPr>
        <w:t>xanthinderivater</w:t>
      </w:r>
      <w:proofErr w:type="spellEnd"/>
      <w:r w:rsidRPr="007C434E">
        <w:rPr>
          <w:sz w:val="24"/>
          <w:szCs w:val="24"/>
        </w:rPr>
        <w:t xml:space="preserve">, steroider eller </w:t>
      </w:r>
      <w:proofErr w:type="spellStart"/>
      <w:r w:rsidRPr="007C434E">
        <w:rPr>
          <w:sz w:val="24"/>
          <w:szCs w:val="24"/>
        </w:rPr>
        <w:t>diuretika</w:t>
      </w:r>
      <w:proofErr w:type="spellEnd"/>
      <w:r w:rsidRPr="007C434E">
        <w:rPr>
          <w:sz w:val="24"/>
          <w:szCs w:val="24"/>
        </w:rPr>
        <w:t xml:space="preserve"> (se pkt. 4.4).</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4.6</w:t>
      </w:r>
      <w:r w:rsidRPr="007C434E">
        <w:rPr>
          <w:b/>
          <w:sz w:val="24"/>
          <w:szCs w:val="24"/>
        </w:rPr>
        <w:tab/>
      </w:r>
      <w:r w:rsidR="0071241E" w:rsidRPr="007C434E">
        <w:rPr>
          <w:b/>
          <w:sz w:val="24"/>
          <w:szCs w:val="24"/>
        </w:rPr>
        <w:t>Fertilitet, g</w:t>
      </w:r>
      <w:r w:rsidRPr="007C434E">
        <w:rPr>
          <w:b/>
          <w:sz w:val="24"/>
          <w:szCs w:val="24"/>
        </w:rPr>
        <w:t>raviditet og amning</w:t>
      </w:r>
    </w:p>
    <w:p w:rsidR="007C434E" w:rsidRDefault="007C434E" w:rsidP="00AA14EB">
      <w:pPr>
        <w:ind w:left="851"/>
        <w:rPr>
          <w:sz w:val="24"/>
          <w:szCs w:val="24"/>
        </w:rPr>
      </w:pPr>
    </w:p>
    <w:p w:rsidR="00840A0D" w:rsidRPr="007C434E" w:rsidRDefault="00840A0D" w:rsidP="00AA14EB">
      <w:pPr>
        <w:ind w:left="851"/>
        <w:rPr>
          <w:iCs/>
          <w:sz w:val="24"/>
          <w:szCs w:val="24"/>
          <w:u w:val="single"/>
        </w:rPr>
      </w:pPr>
      <w:r w:rsidRPr="007C434E">
        <w:rPr>
          <w:sz w:val="24"/>
          <w:szCs w:val="24"/>
          <w:u w:val="single"/>
        </w:rPr>
        <w:t>Graviditet</w:t>
      </w:r>
    </w:p>
    <w:p w:rsidR="00840A0D" w:rsidRPr="007C434E" w:rsidRDefault="00840A0D" w:rsidP="00AA14EB">
      <w:pPr>
        <w:ind w:left="851"/>
        <w:rPr>
          <w:sz w:val="24"/>
          <w:szCs w:val="24"/>
        </w:rPr>
      </w:pP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passerer placentabarrieren. Baseret på erfaringer med anvendelse af korttidsvirkende beta-agonister i starten af graviditet forventes der ingen skadelige virkninger ved de doser, der normalt anvendes til inhalationsbehandling. Høje systemiske doser i slutningen af graviditet kan medføre hæmning af sammentrækninger i livmoderen og forårsage beta-2-specifikke </w:t>
      </w:r>
      <w:proofErr w:type="spellStart"/>
      <w:r w:rsidRPr="007C434E">
        <w:rPr>
          <w:sz w:val="24"/>
          <w:szCs w:val="24"/>
        </w:rPr>
        <w:t>føtale</w:t>
      </w:r>
      <w:proofErr w:type="spellEnd"/>
      <w:r w:rsidRPr="007C434E">
        <w:rPr>
          <w:sz w:val="24"/>
          <w:szCs w:val="24"/>
        </w:rPr>
        <w:t xml:space="preserve">/neonatale reaktioner, f.eks. </w:t>
      </w:r>
      <w:proofErr w:type="spellStart"/>
      <w:r w:rsidRPr="007C434E">
        <w:rPr>
          <w:sz w:val="24"/>
          <w:szCs w:val="24"/>
        </w:rPr>
        <w:t>takykardi</w:t>
      </w:r>
      <w:proofErr w:type="spellEnd"/>
      <w:r w:rsidRPr="007C434E">
        <w:rPr>
          <w:sz w:val="24"/>
          <w:szCs w:val="24"/>
        </w:rPr>
        <w:t xml:space="preserve"> og hypoglykæmi. Med inhalationsbehandling ved de anbefalede doser forventes der ingen forekomst af disse bivirkninger i slutningen af graviditet. Dyreforsøg har påvist reproduktionstoksicitet ved høje doser (se pkt. 5.3).</w:t>
      </w:r>
    </w:p>
    <w:p w:rsidR="00840A0D" w:rsidRPr="007C434E" w:rsidRDefault="00840A0D" w:rsidP="00AA14EB">
      <w:pPr>
        <w:ind w:left="851"/>
        <w:rPr>
          <w:sz w:val="24"/>
          <w:szCs w:val="24"/>
        </w:rPr>
      </w:pP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kan anvendes under graviditet, hvis lægen skønner det nødvendigt. Høje doser bør kun anvendes, hvis det er strengt nødvendigt.</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u w:val="single"/>
        </w:rPr>
      </w:pPr>
      <w:r w:rsidRPr="007C434E">
        <w:rPr>
          <w:sz w:val="24"/>
          <w:szCs w:val="24"/>
          <w:u w:val="single"/>
        </w:rPr>
        <w:t>Amning</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 xml:space="preserve">Hvorvidt </w:t>
      </w:r>
      <w:proofErr w:type="spellStart"/>
      <w:r w:rsidRPr="007C434E">
        <w:rPr>
          <w:sz w:val="24"/>
          <w:szCs w:val="24"/>
        </w:rPr>
        <w:t>salbutamol</w:t>
      </w:r>
      <w:proofErr w:type="spellEnd"/>
      <w:r w:rsidRPr="007C434E">
        <w:rPr>
          <w:sz w:val="24"/>
          <w:szCs w:val="24"/>
        </w:rPr>
        <w:t xml:space="preserve"> udskilles i brystmælk og udgør en risiko for barnet, kan ikke vurderes ud fra forhåndenværende data.</w:t>
      </w:r>
    </w:p>
    <w:p w:rsidR="00840A0D" w:rsidRPr="007C434E" w:rsidRDefault="00840A0D" w:rsidP="00AA14EB">
      <w:pPr>
        <w:ind w:left="851"/>
        <w:rPr>
          <w:sz w:val="24"/>
          <w:szCs w:val="24"/>
          <w:lang w:eastAsia="en-GB"/>
        </w:rPr>
      </w:pPr>
    </w:p>
    <w:p w:rsidR="00840A0D" w:rsidRPr="007C434E" w:rsidRDefault="00840A0D" w:rsidP="00AA14EB">
      <w:pPr>
        <w:ind w:left="851"/>
        <w:rPr>
          <w:iCs/>
          <w:sz w:val="24"/>
          <w:szCs w:val="24"/>
          <w:u w:val="single"/>
        </w:rPr>
      </w:pPr>
      <w:r w:rsidRPr="007C434E">
        <w:rPr>
          <w:sz w:val="24"/>
          <w:szCs w:val="24"/>
          <w:u w:val="single"/>
        </w:rPr>
        <w:t>Fertilitet</w:t>
      </w:r>
    </w:p>
    <w:p w:rsidR="00840A0D" w:rsidRPr="007C434E" w:rsidRDefault="00840A0D" w:rsidP="00AA14EB">
      <w:pPr>
        <w:ind w:left="851"/>
        <w:rPr>
          <w:sz w:val="24"/>
          <w:szCs w:val="24"/>
          <w:lang w:eastAsia="en-GB"/>
        </w:rPr>
      </w:pPr>
    </w:p>
    <w:p w:rsidR="00840A0D" w:rsidRPr="007C434E" w:rsidRDefault="00840A0D" w:rsidP="00AA14EB">
      <w:pPr>
        <w:ind w:left="851"/>
        <w:rPr>
          <w:sz w:val="24"/>
          <w:szCs w:val="24"/>
        </w:rPr>
      </w:pPr>
      <w:r w:rsidRPr="007C434E">
        <w:rPr>
          <w:sz w:val="24"/>
          <w:szCs w:val="24"/>
        </w:rPr>
        <w:t xml:space="preserve">Der foreligger ingen data om </w:t>
      </w:r>
      <w:proofErr w:type="spellStart"/>
      <w:r w:rsidRPr="007C434E">
        <w:rPr>
          <w:sz w:val="24"/>
          <w:szCs w:val="24"/>
        </w:rPr>
        <w:t>salbutamols</w:t>
      </w:r>
      <w:proofErr w:type="spellEnd"/>
      <w:r w:rsidRPr="007C434E">
        <w:rPr>
          <w:sz w:val="24"/>
          <w:szCs w:val="24"/>
        </w:rPr>
        <w:t xml:space="preserve"> indvirkning på fertiliteten hos mennesker. I dyreforsøg sås ingen indvirkning på fertiliteten (se pkt. 5.3).</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4.7</w:t>
      </w:r>
      <w:r w:rsidRPr="007C434E">
        <w:rPr>
          <w:b/>
          <w:sz w:val="24"/>
          <w:szCs w:val="24"/>
        </w:rPr>
        <w:tab/>
        <w:t xml:space="preserve">Virkning på evnen til at føre motorkøretøj </w:t>
      </w:r>
      <w:r w:rsidR="0071241E" w:rsidRPr="007C434E">
        <w:rPr>
          <w:b/>
          <w:sz w:val="24"/>
          <w:szCs w:val="24"/>
        </w:rPr>
        <w:t>og</w:t>
      </w:r>
      <w:r w:rsidRPr="007C434E">
        <w:rPr>
          <w:b/>
          <w:sz w:val="24"/>
          <w:szCs w:val="24"/>
        </w:rPr>
        <w:t xml:space="preserve"> betjene maskiner</w:t>
      </w:r>
    </w:p>
    <w:p w:rsidR="00840A0D" w:rsidRPr="007C434E" w:rsidRDefault="00840A0D" w:rsidP="00AA14EB">
      <w:pPr>
        <w:ind w:left="851"/>
        <w:rPr>
          <w:sz w:val="24"/>
          <w:szCs w:val="24"/>
        </w:rPr>
      </w:pPr>
      <w:r w:rsidRPr="007C434E">
        <w:rPr>
          <w:sz w:val="24"/>
          <w:szCs w:val="24"/>
        </w:rPr>
        <w:t>Ikke mærkning.</w:t>
      </w:r>
    </w:p>
    <w:p w:rsidR="00840A0D" w:rsidRPr="007C434E" w:rsidRDefault="00840A0D" w:rsidP="00AA14EB">
      <w:pPr>
        <w:ind w:left="851"/>
        <w:rPr>
          <w:sz w:val="24"/>
          <w:szCs w:val="24"/>
        </w:rPr>
      </w:pPr>
      <w:proofErr w:type="spellStart"/>
      <w:r w:rsidRPr="007C434E">
        <w:rPr>
          <w:sz w:val="24"/>
          <w:szCs w:val="24"/>
        </w:rPr>
        <w:t>Salbutamol</w:t>
      </w:r>
      <w:proofErr w:type="spellEnd"/>
      <w:r w:rsidRPr="007C434E">
        <w:rPr>
          <w:sz w:val="24"/>
          <w:szCs w:val="24"/>
        </w:rPr>
        <w:t xml:space="preserve"> </w:t>
      </w:r>
      <w:r w:rsidR="00E039D5">
        <w:rPr>
          <w:sz w:val="24"/>
          <w:szCs w:val="24"/>
        </w:rPr>
        <w:t>"</w:t>
      </w:r>
      <w:proofErr w:type="spellStart"/>
      <w:r w:rsidR="00E039D5">
        <w:rPr>
          <w:sz w:val="24"/>
          <w:szCs w:val="24"/>
        </w:rPr>
        <w:t>Neutec</w:t>
      </w:r>
      <w:proofErr w:type="spellEnd"/>
      <w:r w:rsidR="00E039D5">
        <w:rPr>
          <w:sz w:val="24"/>
          <w:szCs w:val="24"/>
        </w:rPr>
        <w:t>"</w:t>
      </w:r>
      <w:r w:rsidRPr="007C434E">
        <w:rPr>
          <w:sz w:val="24"/>
          <w:szCs w:val="24"/>
        </w:rPr>
        <w:t xml:space="preserve"> påvirker ikke eller kun i ubetydelig grad evnen til at føre motorkøretøj og betjene maskiner.</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4.8</w:t>
      </w:r>
      <w:r w:rsidRPr="007C434E">
        <w:rPr>
          <w:b/>
          <w:sz w:val="24"/>
          <w:szCs w:val="24"/>
        </w:rPr>
        <w:tab/>
        <w:t>Bivirkninger</w:t>
      </w:r>
    </w:p>
    <w:p w:rsidR="00840A0D" w:rsidRPr="007C434E" w:rsidRDefault="00840A0D" w:rsidP="007C434E">
      <w:pPr>
        <w:ind w:left="851"/>
        <w:rPr>
          <w:color w:val="000000"/>
          <w:sz w:val="24"/>
          <w:szCs w:val="24"/>
        </w:rPr>
      </w:pPr>
      <w:r w:rsidRPr="007C434E">
        <w:rPr>
          <w:color w:val="000000"/>
          <w:sz w:val="24"/>
          <w:szCs w:val="24"/>
        </w:rPr>
        <w:t>Bivirkninger er anført nedenfor efter systemorganklasse og hyppighed. Hyppigheden defineres som følger: meget almindelig (≥ 1/10), almindelig (≥ 1/100 til &lt; 1/10), ikke almindelig (≥ 1/1.000 til &lt; 1/100), sjælden (≥ 1/10.000 til &lt; 1/1.000) og meget sjælden (&lt; 1/10.000), herunder enkeltstående indberetninger. Meget almindelige og almindelige bivirkninger er generelt bestemt ud fra kliniske forsøgsdata. Sjældne og meget sjældne bivirkninger er generelt bestemt ud fra spontane data.</w:t>
      </w:r>
    </w:p>
    <w:p w:rsidR="00840A0D" w:rsidRPr="007C434E" w:rsidRDefault="00840A0D" w:rsidP="007C434E">
      <w:pPr>
        <w:ind w:left="851"/>
        <w:rPr>
          <w:color w:val="000000"/>
          <w:sz w:val="24"/>
          <w:szCs w:val="24"/>
        </w:rPr>
      </w:pPr>
    </w:p>
    <w:tbl>
      <w:tblPr>
        <w:tblStyle w:val="Tabel-Gitter"/>
        <w:tblW w:w="5000" w:type="pct"/>
        <w:tblInd w:w="0" w:type="dxa"/>
        <w:tblLook w:val="04A0" w:firstRow="1" w:lastRow="0" w:firstColumn="1" w:lastColumn="0" w:noHBand="0" w:noVBand="1"/>
      </w:tblPr>
      <w:tblGrid>
        <w:gridCol w:w="4067"/>
        <w:gridCol w:w="3422"/>
        <w:gridCol w:w="2139"/>
      </w:tblGrid>
      <w:tr w:rsidR="00840A0D" w:rsidRPr="007C434E" w:rsidTr="007C434E">
        <w:trPr>
          <w:tblHeader/>
        </w:trPr>
        <w:tc>
          <w:tcPr>
            <w:tcW w:w="2112"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b/>
                <w:bCs/>
                <w:sz w:val="24"/>
                <w:szCs w:val="24"/>
              </w:rPr>
            </w:pPr>
            <w:r w:rsidRPr="007C434E">
              <w:rPr>
                <w:b/>
                <w:sz w:val="24"/>
                <w:szCs w:val="24"/>
              </w:rPr>
              <w:t>Systemorganklasse</w:t>
            </w: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b/>
                <w:bCs/>
                <w:sz w:val="24"/>
                <w:szCs w:val="24"/>
              </w:rPr>
            </w:pPr>
            <w:r w:rsidRPr="007C434E">
              <w:rPr>
                <w:b/>
                <w:sz w:val="24"/>
                <w:szCs w:val="24"/>
              </w:rPr>
              <w:t>Bivirkning</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b/>
                <w:bCs/>
                <w:sz w:val="24"/>
                <w:szCs w:val="24"/>
              </w:rPr>
            </w:pPr>
            <w:r w:rsidRPr="007C434E">
              <w:rPr>
                <w:b/>
                <w:sz w:val="24"/>
                <w:szCs w:val="24"/>
              </w:rPr>
              <w:t>Hyppighed</w:t>
            </w:r>
          </w:p>
        </w:tc>
      </w:tr>
      <w:tr w:rsidR="00840A0D" w:rsidRPr="007C434E" w:rsidTr="007C434E">
        <w:tc>
          <w:tcPr>
            <w:tcW w:w="2112"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Immunsystemet</w:t>
            </w: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Angioødem</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Urticaria</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Bronkospasme</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Hypotension</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Kollaps</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Metabolisme og ernæring</w:t>
            </w: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Hypokaliæmi</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Sjælden</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Laktacidose</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Nervesystemet</w:t>
            </w: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Tremor</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Almindelig</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Hovedpine</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Almindelig</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Psykomotorisk</w:t>
            </w:r>
            <w:proofErr w:type="spellEnd"/>
            <w:r w:rsidRPr="007C434E">
              <w:rPr>
                <w:sz w:val="24"/>
                <w:szCs w:val="24"/>
              </w:rPr>
              <w:t xml:space="preserve"> hyperaktivitet</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Hjerte</w:t>
            </w: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Takykardi</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Almindelig</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Hjertebanken</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Ikke almindelig</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Arytmier</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Atrieflimren</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Supraventrikulær</w:t>
            </w:r>
            <w:proofErr w:type="spellEnd"/>
            <w:r w:rsidRPr="007C434E">
              <w:rPr>
                <w:sz w:val="24"/>
                <w:szCs w:val="24"/>
              </w:rPr>
              <w:t xml:space="preserve"> </w:t>
            </w:r>
            <w:proofErr w:type="spellStart"/>
            <w:r w:rsidRPr="007C434E">
              <w:rPr>
                <w:sz w:val="24"/>
                <w:szCs w:val="24"/>
              </w:rPr>
              <w:t>takykardi</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Ekstrasystoler</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Myokardieiskæmi</w:t>
            </w:r>
            <w:proofErr w:type="spellEnd"/>
            <w:r w:rsidRPr="007C434E">
              <w:rPr>
                <w:sz w:val="24"/>
                <w:szCs w:val="24"/>
              </w:rPr>
              <w:t xml:space="preserve"> </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Ikke kendt</w:t>
            </w:r>
          </w:p>
        </w:tc>
      </w:tr>
      <w:tr w:rsidR="00840A0D" w:rsidRPr="007C434E" w:rsidTr="007C434E">
        <w:tc>
          <w:tcPr>
            <w:tcW w:w="2112"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Vaskulære</w:t>
            </w:r>
            <w:proofErr w:type="spellEnd"/>
            <w:r w:rsidRPr="007C434E">
              <w:rPr>
                <w:sz w:val="24"/>
                <w:szCs w:val="24"/>
              </w:rPr>
              <w:t xml:space="preserve"> sygdomme</w:t>
            </w: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Vasodilatation</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Sjælden</w:t>
            </w:r>
          </w:p>
        </w:tc>
      </w:tr>
      <w:tr w:rsidR="00840A0D" w:rsidRPr="007C434E" w:rsidTr="007C434E">
        <w:tc>
          <w:tcPr>
            <w:tcW w:w="2112"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 xml:space="preserve">Luftveje, thorax og </w:t>
            </w:r>
            <w:proofErr w:type="spellStart"/>
            <w:r w:rsidRPr="007C434E">
              <w:rPr>
                <w:sz w:val="24"/>
                <w:szCs w:val="24"/>
              </w:rPr>
              <w:t>mediastinum</w:t>
            </w:r>
            <w:proofErr w:type="spellEnd"/>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 xml:space="preserve">Paradoksal </w:t>
            </w:r>
            <w:proofErr w:type="spellStart"/>
            <w:r w:rsidRPr="007C434E">
              <w:rPr>
                <w:sz w:val="24"/>
                <w:szCs w:val="24"/>
              </w:rPr>
              <w:t>bronkospasme</w:t>
            </w:r>
            <w:proofErr w:type="spellEnd"/>
            <w:r w:rsidRPr="007C434E">
              <w:rPr>
                <w:sz w:val="24"/>
                <w:szCs w:val="24"/>
              </w:rPr>
              <w:t xml:space="preserve"> </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Meget sjælden</w:t>
            </w:r>
          </w:p>
        </w:tc>
      </w:tr>
      <w:tr w:rsidR="00840A0D" w:rsidRPr="007C434E" w:rsidTr="007C434E">
        <w:tc>
          <w:tcPr>
            <w:tcW w:w="2112" w:type="pct"/>
            <w:vMerge w:val="restar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Mave-tarm-kanalen</w:t>
            </w: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proofErr w:type="spellStart"/>
            <w:r w:rsidRPr="007C434E">
              <w:rPr>
                <w:sz w:val="24"/>
                <w:szCs w:val="24"/>
              </w:rPr>
              <w:t>Stomatitis</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Ikke almindelig</w:t>
            </w:r>
          </w:p>
        </w:tc>
      </w:tr>
      <w:tr w:rsidR="00840A0D" w:rsidRPr="007C434E" w:rsidTr="007C434E">
        <w:tc>
          <w:tcPr>
            <w:tcW w:w="2112" w:type="pct"/>
            <w:vMerge/>
            <w:tcBorders>
              <w:top w:val="single" w:sz="4" w:space="0" w:color="auto"/>
              <w:left w:val="single" w:sz="4" w:space="0" w:color="auto"/>
              <w:bottom w:val="single" w:sz="4" w:space="0" w:color="auto"/>
              <w:right w:val="single" w:sz="4" w:space="0" w:color="auto"/>
            </w:tcBorders>
            <w:vAlign w:val="center"/>
            <w:hideMark/>
          </w:tcPr>
          <w:p w:rsidR="00840A0D" w:rsidRPr="007C434E" w:rsidRDefault="00840A0D">
            <w:pPr>
              <w:rPr>
                <w:sz w:val="24"/>
                <w:szCs w:val="24"/>
              </w:rPr>
            </w:pP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Irritation i svælget</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Ikke almindelig</w:t>
            </w:r>
          </w:p>
        </w:tc>
      </w:tr>
      <w:tr w:rsidR="00840A0D" w:rsidRPr="007C434E" w:rsidTr="007C434E">
        <w:tc>
          <w:tcPr>
            <w:tcW w:w="2112"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Knogler, led, muskler og bindevæv</w:t>
            </w:r>
          </w:p>
        </w:tc>
        <w:tc>
          <w:tcPr>
            <w:tcW w:w="1777"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Muskelkramper</w:t>
            </w:r>
          </w:p>
        </w:tc>
        <w:tc>
          <w:tcPr>
            <w:tcW w:w="1111" w:type="pct"/>
            <w:tcBorders>
              <w:top w:val="single" w:sz="4" w:space="0" w:color="auto"/>
              <w:left w:val="single" w:sz="4" w:space="0" w:color="auto"/>
              <w:bottom w:val="single" w:sz="4" w:space="0" w:color="auto"/>
              <w:right w:val="single" w:sz="4" w:space="0" w:color="auto"/>
            </w:tcBorders>
            <w:hideMark/>
          </w:tcPr>
          <w:p w:rsidR="00840A0D" w:rsidRPr="007C434E" w:rsidRDefault="00840A0D">
            <w:pPr>
              <w:widowControl w:val="0"/>
              <w:tabs>
                <w:tab w:val="left" w:pos="1304"/>
              </w:tabs>
              <w:rPr>
                <w:sz w:val="24"/>
                <w:szCs w:val="24"/>
              </w:rPr>
            </w:pPr>
            <w:r w:rsidRPr="007C434E">
              <w:rPr>
                <w:sz w:val="24"/>
                <w:szCs w:val="24"/>
              </w:rPr>
              <w:t>Ikke almindelig</w:t>
            </w:r>
          </w:p>
        </w:tc>
      </w:tr>
    </w:tbl>
    <w:p w:rsidR="00840A0D" w:rsidRPr="007C434E" w:rsidRDefault="00840A0D" w:rsidP="00840A0D">
      <w:pPr>
        <w:widowControl w:val="0"/>
        <w:tabs>
          <w:tab w:val="left" w:pos="1304"/>
        </w:tabs>
        <w:ind w:left="567" w:hanging="567"/>
        <w:rPr>
          <w:sz w:val="24"/>
          <w:szCs w:val="24"/>
        </w:rPr>
      </w:pPr>
    </w:p>
    <w:p w:rsidR="00840A0D" w:rsidRPr="007C434E" w:rsidRDefault="00840A0D" w:rsidP="007C434E">
      <w:pPr>
        <w:ind w:left="851"/>
        <w:rPr>
          <w:sz w:val="24"/>
          <w:szCs w:val="24"/>
        </w:rPr>
      </w:pPr>
      <w:r w:rsidRPr="007C434E">
        <w:rPr>
          <w:sz w:val="24"/>
          <w:szCs w:val="24"/>
        </w:rPr>
        <w:t xml:space="preserve">Hvad angår bivirkninger inden for metabolisme og ernæring, kan der forekomme potentielt alvorlig </w:t>
      </w:r>
      <w:proofErr w:type="spellStart"/>
      <w:r w:rsidRPr="007C434E">
        <w:rPr>
          <w:sz w:val="24"/>
          <w:szCs w:val="24"/>
        </w:rPr>
        <w:t>hypokaliæmi</w:t>
      </w:r>
      <w:proofErr w:type="spellEnd"/>
      <w:r w:rsidRPr="007C434E">
        <w:rPr>
          <w:sz w:val="24"/>
          <w:szCs w:val="24"/>
        </w:rPr>
        <w:t xml:space="preserve"> ved behandling med beta-2-agonister. Desuden er der i meget sjældne tilfælde rapporteret om </w:t>
      </w:r>
      <w:proofErr w:type="spellStart"/>
      <w:r w:rsidRPr="007C434E">
        <w:rPr>
          <w:sz w:val="24"/>
          <w:szCs w:val="24"/>
        </w:rPr>
        <w:t>laktacidose</w:t>
      </w:r>
      <w:proofErr w:type="spellEnd"/>
      <w:r w:rsidRPr="007C434E">
        <w:rPr>
          <w:sz w:val="24"/>
          <w:szCs w:val="24"/>
        </w:rPr>
        <w:t xml:space="preserve"> hos patienter, der har fået intravenøst og forstøvet </w:t>
      </w:r>
      <w:proofErr w:type="spellStart"/>
      <w:r w:rsidRPr="007C434E">
        <w:rPr>
          <w:sz w:val="24"/>
          <w:szCs w:val="24"/>
        </w:rPr>
        <w:t>salbutamol</w:t>
      </w:r>
      <w:proofErr w:type="spellEnd"/>
      <w:r w:rsidRPr="007C434E">
        <w:rPr>
          <w:sz w:val="24"/>
          <w:szCs w:val="24"/>
        </w:rPr>
        <w:t xml:space="preserve"> til behandling af akut astmaforværring.</w:t>
      </w:r>
    </w:p>
    <w:p w:rsidR="00840A0D" w:rsidRPr="007C434E" w:rsidRDefault="00840A0D" w:rsidP="007C434E">
      <w:pPr>
        <w:ind w:left="851"/>
        <w:rPr>
          <w:sz w:val="24"/>
          <w:szCs w:val="24"/>
        </w:rPr>
      </w:pPr>
    </w:p>
    <w:p w:rsidR="00840A0D" w:rsidRPr="007C434E" w:rsidRDefault="00840A0D" w:rsidP="007C434E">
      <w:pPr>
        <w:ind w:left="851"/>
        <w:rPr>
          <w:sz w:val="24"/>
          <w:szCs w:val="24"/>
          <w:u w:val="single"/>
        </w:rPr>
      </w:pPr>
      <w:r w:rsidRPr="007C434E">
        <w:rPr>
          <w:sz w:val="24"/>
          <w:szCs w:val="24"/>
        </w:rPr>
        <w:t xml:space="preserve">Hvad angår bivirkninger inden for luftveje og thorax, kan der ligesom ved andre inhalationsbehandlinger forekomme paradoksal </w:t>
      </w:r>
      <w:proofErr w:type="spellStart"/>
      <w:r w:rsidRPr="007C434E">
        <w:rPr>
          <w:sz w:val="24"/>
          <w:szCs w:val="24"/>
        </w:rPr>
        <w:t>bronkospasme</w:t>
      </w:r>
      <w:proofErr w:type="spellEnd"/>
      <w:r w:rsidRPr="007C434E">
        <w:rPr>
          <w:sz w:val="24"/>
          <w:szCs w:val="24"/>
        </w:rPr>
        <w:t xml:space="preserve"> med øjeblikkeligt tiltagende </w:t>
      </w:r>
      <w:proofErr w:type="spellStart"/>
      <w:r w:rsidRPr="007C434E">
        <w:rPr>
          <w:sz w:val="24"/>
          <w:szCs w:val="24"/>
        </w:rPr>
        <w:t>hvæsen</w:t>
      </w:r>
      <w:proofErr w:type="spellEnd"/>
      <w:r w:rsidRPr="007C434E">
        <w:rPr>
          <w:sz w:val="24"/>
          <w:szCs w:val="24"/>
        </w:rPr>
        <w:t xml:space="preserve"> efter administration. Dette skal behandles med det samme med en anden formulering eller en anden hurtigtvirkende </w:t>
      </w:r>
      <w:proofErr w:type="spellStart"/>
      <w:r w:rsidRPr="007C434E">
        <w:rPr>
          <w:sz w:val="24"/>
          <w:szCs w:val="24"/>
        </w:rPr>
        <w:t>bronkodilatator</w:t>
      </w:r>
      <w:proofErr w:type="spellEnd"/>
      <w:r w:rsidRPr="007C434E">
        <w:rPr>
          <w:sz w:val="24"/>
          <w:szCs w:val="24"/>
        </w:rPr>
        <w:t xml:space="preserve">. </w:t>
      </w:r>
      <w:proofErr w:type="spellStart"/>
      <w:r w:rsidRPr="007C434E">
        <w:rPr>
          <w:sz w:val="24"/>
          <w:szCs w:val="24"/>
        </w:rPr>
        <w:t>Salbutamol</w:t>
      </w:r>
      <w:proofErr w:type="spellEnd"/>
      <w:r w:rsidRPr="007C434E">
        <w:rPr>
          <w:sz w:val="24"/>
          <w:szCs w:val="24"/>
        </w:rPr>
        <w:t xml:space="preserve"> bør seponeres øjeblikkeligt, og patienten bør undersøges og om nødvendigt påbegynde en anden behandling.</w:t>
      </w:r>
    </w:p>
    <w:p w:rsidR="00840A0D" w:rsidRPr="007C434E" w:rsidRDefault="00840A0D" w:rsidP="007C434E">
      <w:pPr>
        <w:ind w:left="851"/>
        <w:rPr>
          <w:sz w:val="24"/>
          <w:szCs w:val="24"/>
          <w:u w:val="single"/>
        </w:rPr>
      </w:pPr>
    </w:p>
    <w:p w:rsidR="00840A0D" w:rsidRPr="007C434E" w:rsidRDefault="00840A0D" w:rsidP="007C434E">
      <w:pPr>
        <w:ind w:left="851"/>
        <w:rPr>
          <w:sz w:val="24"/>
          <w:szCs w:val="24"/>
          <w:u w:val="single"/>
        </w:rPr>
      </w:pPr>
      <w:r w:rsidRPr="007C434E">
        <w:rPr>
          <w:sz w:val="24"/>
          <w:szCs w:val="24"/>
          <w:u w:val="single"/>
        </w:rPr>
        <w:t>Indberetning af formodede bivirkninger</w:t>
      </w:r>
    </w:p>
    <w:p w:rsidR="00840A0D" w:rsidRPr="007C434E" w:rsidRDefault="00840A0D" w:rsidP="007C434E">
      <w:pPr>
        <w:ind w:left="851"/>
        <w:rPr>
          <w:sz w:val="24"/>
          <w:szCs w:val="24"/>
        </w:rPr>
      </w:pPr>
      <w:r w:rsidRPr="007C434E">
        <w:rPr>
          <w:sz w:val="24"/>
          <w:szCs w:val="24"/>
        </w:rPr>
        <w:t>Når lægemidlet er godkendt, er indberetning af formodede bivirkninger vigtig. Det muliggør løbende overvågning af benefit/</w:t>
      </w:r>
      <w:proofErr w:type="spellStart"/>
      <w:r w:rsidRPr="007C434E">
        <w:rPr>
          <w:sz w:val="24"/>
          <w:szCs w:val="24"/>
        </w:rPr>
        <w:t>risk</w:t>
      </w:r>
      <w:proofErr w:type="spellEnd"/>
      <w:r w:rsidRPr="007C434E">
        <w:rPr>
          <w:sz w:val="24"/>
          <w:szCs w:val="24"/>
        </w:rPr>
        <w:t xml:space="preserve">-forholdet for lægemidlet. Sundhedspersoner anmodes om at indberette alle formodede bivirkninger til </w:t>
      </w:r>
    </w:p>
    <w:p w:rsidR="00840A0D" w:rsidRPr="007C434E" w:rsidRDefault="00840A0D" w:rsidP="007C434E">
      <w:pPr>
        <w:ind w:left="851"/>
        <w:rPr>
          <w:sz w:val="24"/>
          <w:szCs w:val="24"/>
        </w:rPr>
      </w:pPr>
    </w:p>
    <w:p w:rsidR="00840A0D" w:rsidRPr="007C434E" w:rsidRDefault="00840A0D" w:rsidP="007C434E">
      <w:pPr>
        <w:ind w:left="851"/>
        <w:rPr>
          <w:sz w:val="24"/>
          <w:szCs w:val="24"/>
        </w:rPr>
      </w:pPr>
      <w:r w:rsidRPr="007C434E">
        <w:rPr>
          <w:sz w:val="24"/>
          <w:szCs w:val="24"/>
        </w:rPr>
        <w:t xml:space="preserve">Lægemiddelstyrelsen, </w:t>
      </w:r>
    </w:p>
    <w:p w:rsidR="00840A0D" w:rsidRPr="007C434E" w:rsidRDefault="00840A0D" w:rsidP="007C434E">
      <w:pPr>
        <w:ind w:left="851"/>
        <w:rPr>
          <w:sz w:val="24"/>
          <w:szCs w:val="24"/>
        </w:rPr>
      </w:pPr>
      <w:r w:rsidRPr="007C434E">
        <w:rPr>
          <w:sz w:val="24"/>
          <w:szCs w:val="24"/>
        </w:rPr>
        <w:t xml:space="preserve">Axel Heides Gade 1, </w:t>
      </w:r>
    </w:p>
    <w:p w:rsidR="00840A0D" w:rsidRPr="007C434E" w:rsidRDefault="00840A0D" w:rsidP="007C434E">
      <w:pPr>
        <w:ind w:left="851"/>
        <w:rPr>
          <w:sz w:val="24"/>
          <w:szCs w:val="24"/>
        </w:rPr>
      </w:pPr>
      <w:r w:rsidRPr="007C434E">
        <w:rPr>
          <w:sz w:val="24"/>
          <w:szCs w:val="24"/>
        </w:rPr>
        <w:t xml:space="preserve">2300 København S, </w:t>
      </w:r>
    </w:p>
    <w:p w:rsidR="00840A0D" w:rsidRPr="007C434E" w:rsidRDefault="00840A0D" w:rsidP="007C434E">
      <w:pPr>
        <w:ind w:left="851"/>
        <w:rPr>
          <w:noProof/>
          <w:sz w:val="24"/>
          <w:szCs w:val="24"/>
        </w:rPr>
      </w:pPr>
      <w:r w:rsidRPr="007C434E">
        <w:rPr>
          <w:noProof/>
          <w:sz w:val="24"/>
          <w:szCs w:val="24"/>
        </w:rPr>
        <w:t xml:space="preserve">Websted: </w:t>
      </w:r>
      <w:hyperlink r:id="rId8" w:history="1">
        <w:r w:rsidRPr="007C434E">
          <w:rPr>
            <w:rStyle w:val="Hyperlink"/>
            <w:noProof/>
            <w:sz w:val="24"/>
            <w:szCs w:val="24"/>
          </w:rPr>
          <w:t>www.meldenbivirkning.dk</w:t>
        </w:r>
      </w:hyperlink>
      <w:r w:rsidRPr="007C434E">
        <w:rPr>
          <w:noProof/>
          <w:sz w:val="24"/>
          <w:szCs w:val="24"/>
        </w:rPr>
        <w:t>.</w:t>
      </w:r>
    </w:p>
    <w:p w:rsidR="009260DE" w:rsidRPr="007C434E" w:rsidRDefault="009260DE" w:rsidP="00A10294">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4.9</w:t>
      </w:r>
      <w:r w:rsidRPr="007C434E">
        <w:rPr>
          <w:b/>
          <w:sz w:val="24"/>
          <w:szCs w:val="24"/>
        </w:rPr>
        <w:tab/>
        <w:t>Overdosering</w:t>
      </w:r>
    </w:p>
    <w:p w:rsidR="00840A0D" w:rsidRPr="007C434E" w:rsidRDefault="00840A0D" w:rsidP="007C434E">
      <w:pPr>
        <w:ind w:left="851"/>
        <w:rPr>
          <w:i/>
          <w:sz w:val="24"/>
          <w:szCs w:val="24"/>
        </w:rPr>
      </w:pPr>
      <w:r w:rsidRPr="007C434E">
        <w:rPr>
          <w:sz w:val="24"/>
          <w:szCs w:val="24"/>
        </w:rPr>
        <w:t>Doser over den anbefalede maksimale daglige dosis (40 mg) har forårsaget mild til moderat toksicitet hos alle patientgrupper i henhold til rapporter efter markedsføring vedrørende andre lægemidler med det samme aktive stof.</w:t>
      </w:r>
    </w:p>
    <w:p w:rsidR="00840A0D" w:rsidRPr="007C434E" w:rsidRDefault="00840A0D" w:rsidP="007C434E">
      <w:pPr>
        <w:ind w:left="851"/>
        <w:rPr>
          <w:i/>
          <w:iCs/>
          <w:sz w:val="24"/>
          <w:szCs w:val="24"/>
        </w:rPr>
      </w:pPr>
    </w:p>
    <w:p w:rsidR="00840A0D" w:rsidRPr="007C434E" w:rsidRDefault="00840A0D" w:rsidP="007C434E">
      <w:pPr>
        <w:ind w:left="851"/>
        <w:rPr>
          <w:iCs/>
          <w:sz w:val="24"/>
          <w:szCs w:val="24"/>
          <w:u w:val="single"/>
        </w:rPr>
      </w:pPr>
      <w:r w:rsidRPr="007C434E">
        <w:rPr>
          <w:sz w:val="24"/>
          <w:szCs w:val="24"/>
          <w:u w:val="single"/>
        </w:rPr>
        <w:t>Symptomer</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r w:rsidRPr="007C434E">
        <w:rPr>
          <w:sz w:val="24"/>
          <w:szCs w:val="24"/>
        </w:rPr>
        <w:t xml:space="preserve">De hyppigste tegn og symptomer på overdosering af </w:t>
      </w:r>
      <w:proofErr w:type="spellStart"/>
      <w:r w:rsidRPr="007C434E">
        <w:rPr>
          <w:sz w:val="24"/>
          <w:szCs w:val="24"/>
        </w:rPr>
        <w:t>salbutamol</w:t>
      </w:r>
      <w:proofErr w:type="spellEnd"/>
      <w:r w:rsidRPr="007C434E">
        <w:rPr>
          <w:sz w:val="24"/>
          <w:szCs w:val="24"/>
        </w:rPr>
        <w:t xml:space="preserve"> er forbigående farmakologiske beta-agonist-medierede hændelser: </w:t>
      </w:r>
      <w:proofErr w:type="spellStart"/>
      <w:r w:rsidRPr="007C434E">
        <w:rPr>
          <w:sz w:val="24"/>
          <w:szCs w:val="24"/>
        </w:rPr>
        <w:t>takykardi</w:t>
      </w:r>
      <w:proofErr w:type="spellEnd"/>
      <w:r w:rsidRPr="007C434E">
        <w:rPr>
          <w:sz w:val="24"/>
          <w:szCs w:val="24"/>
        </w:rPr>
        <w:t xml:space="preserve">, </w:t>
      </w:r>
      <w:proofErr w:type="spellStart"/>
      <w:r w:rsidRPr="007C434E">
        <w:rPr>
          <w:sz w:val="24"/>
          <w:szCs w:val="24"/>
        </w:rPr>
        <w:t>palpitationer</w:t>
      </w:r>
      <w:proofErr w:type="spellEnd"/>
      <w:r w:rsidRPr="007C434E">
        <w:rPr>
          <w:sz w:val="24"/>
          <w:szCs w:val="24"/>
        </w:rPr>
        <w:t xml:space="preserve">, </w:t>
      </w:r>
      <w:proofErr w:type="spellStart"/>
      <w:r w:rsidRPr="007C434E">
        <w:rPr>
          <w:sz w:val="24"/>
          <w:szCs w:val="24"/>
        </w:rPr>
        <w:t>arytmi</w:t>
      </w:r>
      <w:proofErr w:type="spellEnd"/>
      <w:r w:rsidRPr="007C434E">
        <w:rPr>
          <w:sz w:val="24"/>
          <w:szCs w:val="24"/>
        </w:rPr>
        <w:t xml:space="preserve">, </w:t>
      </w:r>
      <w:r w:rsidRPr="007C434E">
        <w:rPr>
          <w:sz w:val="24"/>
          <w:szCs w:val="24"/>
        </w:rPr>
        <w:lastRenderedPageBreak/>
        <w:t xml:space="preserve">rastløshed, søvnforstyrrelser, brystsmerter og kraftig </w:t>
      </w:r>
      <w:proofErr w:type="spellStart"/>
      <w:r w:rsidRPr="007C434E">
        <w:rPr>
          <w:sz w:val="24"/>
          <w:szCs w:val="24"/>
        </w:rPr>
        <w:t>tremor</w:t>
      </w:r>
      <w:proofErr w:type="spellEnd"/>
      <w:r w:rsidRPr="007C434E">
        <w:rPr>
          <w:sz w:val="24"/>
          <w:szCs w:val="24"/>
        </w:rPr>
        <w:t xml:space="preserve"> i hele kroppen, navnlig hænderne. Kvalme, svimmelhed, øget systolisk blodtryk og nedsat diastolisk blodtryk kan forekomme.</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r w:rsidRPr="007C434E">
        <w:rPr>
          <w:sz w:val="24"/>
          <w:szCs w:val="24"/>
        </w:rPr>
        <w:t xml:space="preserve">Der er indimellem set psykotiske reaktioner efter overdosering af </w:t>
      </w:r>
      <w:proofErr w:type="spellStart"/>
      <w:r w:rsidRPr="007C434E">
        <w:rPr>
          <w:sz w:val="24"/>
          <w:szCs w:val="24"/>
        </w:rPr>
        <w:t>salbutamol</w:t>
      </w:r>
      <w:proofErr w:type="spellEnd"/>
      <w:r w:rsidRPr="007C434E">
        <w:rPr>
          <w:sz w:val="24"/>
          <w:szCs w:val="24"/>
        </w:rPr>
        <w:t>.</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proofErr w:type="spellStart"/>
      <w:r w:rsidRPr="007C434E">
        <w:rPr>
          <w:sz w:val="24"/>
          <w:szCs w:val="24"/>
        </w:rPr>
        <w:t>Hypokaliæmi</w:t>
      </w:r>
      <w:proofErr w:type="spellEnd"/>
      <w:r w:rsidRPr="007C434E">
        <w:rPr>
          <w:sz w:val="24"/>
          <w:szCs w:val="24"/>
        </w:rPr>
        <w:t xml:space="preserve">, </w:t>
      </w:r>
      <w:proofErr w:type="spellStart"/>
      <w:r w:rsidRPr="007C434E">
        <w:rPr>
          <w:sz w:val="24"/>
          <w:szCs w:val="24"/>
        </w:rPr>
        <w:t>hyperglykæmi</w:t>
      </w:r>
      <w:proofErr w:type="spellEnd"/>
      <w:r w:rsidRPr="007C434E">
        <w:rPr>
          <w:sz w:val="24"/>
          <w:szCs w:val="24"/>
        </w:rPr>
        <w:t xml:space="preserve">, </w:t>
      </w:r>
      <w:proofErr w:type="spellStart"/>
      <w:r w:rsidRPr="007C434E">
        <w:rPr>
          <w:sz w:val="24"/>
          <w:szCs w:val="24"/>
        </w:rPr>
        <w:t>hyperlipidæmi</w:t>
      </w:r>
      <w:proofErr w:type="spellEnd"/>
      <w:r w:rsidRPr="007C434E">
        <w:rPr>
          <w:sz w:val="24"/>
          <w:szCs w:val="24"/>
        </w:rPr>
        <w:t xml:space="preserve"> og </w:t>
      </w:r>
      <w:proofErr w:type="spellStart"/>
      <w:r w:rsidRPr="007C434E">
        <w:rPr>
          <w:sz w:val="24"/>
          <w:szCs w:val="24"/>
        </w:rPr>
        <w:t>hyperketonæmi</w:t>
      </w:r>
      <w:proofErr w:type="spellEnd"/>
      <w:r w:rsidRPr="007C434E">
        <w:rPr>
          <w:sz w:val="24"/>
          <w:szCs w:val="24"/>
        </w:rPr>
        <w:t xml:space="preserve"> kan forekomme efter overdosering af </w:t>
      </w:r>
      <w:proofErr w:type="spellStart"/>
      <w:r w:rsidRPr="007C434E">
        <w:rPr>
          <w:sz w:val="24"/>
          <w:szCs w:val="24"/>
        </w:rPr>
        <w:t>salbutamol</w:t>
      </w:r>
      <w:proofErr w:type="spellEnd"/>
      <w:r w:rsidRPr="007C434E">
        <w:rPr>
          <w:sz w:val="24"/>
          <w:szCs w:val="24"/>
        </w:rPr>
        <w:t xml:space="preserve">. </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r w:rsidRPr="007C434E">
        <w:rPr>
          <w:sz w:val="24"/>
          <w:szCs w:val="24"/>
        </w:rPr>
        <w:t xml:space="preserve">Der er rapporteret om </w:t>
      </w:r>
      <w:proofErr w:type="spellStart"/>
      <w:r w:rsidRPr="007C434E">
        <w:rPr>
          <w:sz w:val="24"/>
          <w:szCs w:val="24"/>
        </w:rPr>
        <w:t>laktacidose</w:t>
      </w:r>
      <w:proofErr w:type="spellEnd"/>
      <w:r w:rsidRPr="007C434E">
        <w:rPr>
          <w:sz w:val="24"/>
          <w:szCs w:val="24"/>
        </w:rPr>
        <w:t xml:space="preserve"> i forbindelse med høje terapeutiske doser og ved overdosering af korttidsvirkende beta-agonister, og derfor kan det ved overdosering være indiceret at overvåge for forhøjet serumlaktat og deraf følgende metabolisk </w:t>
      </w:r>
      <w:proofErr w:type="spellStart"/>
      <w:r w:rsidRPr="007C434E">
        <w:rPr>
          <w:sz w:val="24"/>
          <w:szCs w:val="24"/>
        </w:rPr>
        <w:t>acidose</w:t>
      </w:r>
      <w:proofErr w:type="spellEnd"/>
      <w:r w:rsidRPr="007C434E">
        <w:rPr>
          <w:sz w:val="24"/>
          <w:szCs w:val="24"/>
        </w:rPr>
        <w:t xml:space="preserve"> (navnlig hvis der ses </w:t>
      </w:r>
      <w:proofErr w:type="spellStart"/>
      <w:r w:rsidRPr="007C434E">
        <w:rPr>
          <w:sz w:val="24"/>
          <w:szCs w:val="24"/>
        </w:rPr>
        <w:t>persistens</w:t>
      </w:r>
      <w:proofErr w:type="spellEnd"/>
      <w:r w:rsidRPr="007C434E">
        <w:rPr>
          <w:sz w:val="24"/>
          <w:szCs w:val="24"/>
        </w:rPr>
        <w:t xml:space="preserve"> eller forværring af </w:t>
      </w:r>
      <w:proofErr w:type="spellStart"/>
      <w:r w:rsidRPr="007C434E">
        <w:rPr>
          <w:sz w:val="24"/>
          <w:szCs w:val="24"/>
        </w:rPr>
        <w:t>takypnø</w:t>
      </w:r>
      <w:proofErr w:type="spellEnd"/>
      <w:r w:rsidRPr="007C434E">
        <w:rPr>
          <w:sz w:val="24"/>
          <w:szCs w:val="24"/>
        </w:rPr>
        <w:t xml:space="preserve"> på trods af ophør af andre tegn på </w:t>
      </w:r>
      <w:proofErr w:type="spellStart"/>
      <w:r w:rsidRPr="007C434E">
        <w:rPr>
          <w:sz w:val="24"/>
          <w:szCs w:val="24"/>
        </w:rPr>
        <w:t>bronkospasme</w:t>
      </w:r>
      <w:proofErr w:type="spellEnd"/>
      <w:r w:rsidRPr="007C434E">
        <w:rPr>
          <w:sz w:val="24"/>
          <w:szCs w:val="24"/>
        </w:rPr>
        <w:t xml:space="preserve"> som f.eks. </w:t>
      </w:r>
      <w:proofErr w:type="spellStart"/>
      <w:r w:rsidRPr="007C434E">
        <w:rPr>
          <w:sz w:val="24"/>
          <w:szCs w:val="24"/>
        </w:rPr>
        <w:t>hvæsen</w:t>
      </w:r>
      <w:proofErr w:type="spellEnd"/>
      <w:r w:rsidRPr="007C434E">
        <w:rPr>
          <w:sz w:val="24"/>
          <w:szCs w:val="24"/>
        </w:rPr>
        <w:t>).</w:t>
      </w:r>
    </w:p>
    <w:p w:rsidR="00840A0D" w:rsidRPr="007C434E" w:rsidRDefault="00840A0D" w:rsidP="007C434E">
      <w:pPr>
        <w:ind w:left="851"/>
        <w:rPr>
          <w:sz w:val="24"/>
          <w:szCs w:val="24"/>
          <w:lang w:eastAsia="en-GB"/>
        </w:rPr>
      </w:pPr>
    </w:p>
    <w:p w:rsidR="00840A0D" w:rsidRPr="007C434E" w:rsidRDefault="00840A0D" w:rsidP="007C434E">
      <w:pPr>
        <w:ind w:left="851"/>
        <w:rPr>
          <w:iCs/>
          <w:sz w:val="24"/>
          <w:szCs w:val="24"/>
          <w:u w:val="single"/>
        </w:rPr>
      </w:pPr>
      <w:r w:rsidRPr="007C434E">
        <w:rPr>
          <w:sz w:val="24"/>
          <w:szCs w:val="24"/>
          <w:u w:val="single"/>
        </w:rPr>
        <w:t>Behandling</w:t>
      </w:r>
    </w:p>
    <w:p w:rsidR="00840A0D" w:rsidRPr="007C434E" w:rsidRDefault="00840A0D" w:rsidP="007C434E">
      <w:pPr>
        <w:ind w:left="851"/>
        <w:rPr>
          <w:iCs/>
          <w:sz w:val="24"/>
          <w:szCs w:val="24"/>
          <w:lang w:eastAsia="en-GB"/>
        </w:rPr>
      </w:pPr>
    </w:p>
    <w:p w:rsidR="00840A0D" w:rsidRPr="007C434E" w:rsidRDefault="00840A0D" w:rsidP="007C434E">
      <w:pPr>
        <w:ind w:left="851"/>
        <w:rPr>
          <w:sz w:val="24"/>
          <w:szCs w:val="24"/>
        </w:rPr>
      </w:pPr>
      <w:r w:rsidRPr="007C434E">
        <w:rPr>
          <w:sz w:val="24"/>
          <w:szCs w:val="24"/>
        </w:rPr>
        <w:t>Behandlingen ved overdosering af et beta-2-sympatomimetisk aktivt stof er primært symptomatisk. Alt efter de givne omstændigheder kan følgende foranstaltninger overvejes:</w:t>
      </w:r>
    </w:p>
    <w:p w:rsidR="00840A0D" w:rsidRPr="007C434E" w:rsidRDefault="00840A0D" w:rsidP="007C434E">
      <w:pPr>
        <w:pStyle w:val="Listeafsnit"/>
        <w:numPr>
          <w:ilvl w:val="0"/>
          <w:numId w:val="6"/>
        </w:numPr>
        <w:ind w:left="1276" w:hanging="425"/>
        <w:rPr>
          <w:sz w:val="24"/>
          <w:szCs w:val="24"/>
        </w:rPr>
      </w:pPr>
      <w:r w:rsidRPr="007C434E">
        <w:rPr>
          <w:sz w:val="24"/>
          <w:szCs w:val="24"/>
        </w:rPr>
        <w:t>Maveskylning (hvis relevant).</w:t>
      </w:r>
    </w:p>
    <w:p w:rsidR="00840A0D" w:rsidRPr="007C434E" w:rsidRDefault="00840A0D" w:rsidP="007C434E">
      <w:pPr>
        <w:pStyle w:val="Listeafsnit"/>
        <w:numPr>
          <w:ilvl w:val="0"/>
          <w:numId w:val="6"/>
        </w:numPr>
        <w:ind w:left="1276" w:hanging="425"/>
        <w:rPr>
          <w:sz w:val="24"/>
          <w:szCs w:val="24"/>
        </w:rPr>
      </w:pPr>
      <w:r w:rsidRPr="007C434E">
        <w:rPr>
          <w:sz w:val="24"/>
          <w:szCs w:val="24"/>
        </w:rPr>
        <w:t>Aktivt kul.</w:t>
      </w:r>
    </w:p>
    <w:p w:rsidR="00840A0D" w:rsidRPr="007C434E" w:rsidRDefault="00840A0D" w:rsidP="007C434E">
      <w:pPr>
        <w:pStyle w:val="Listeafsnit"/>
        <w:numPr>
          <w:ilvl w:val="0"/>
          <w:numId w:val="6"/>
        </w:numPr>
        <w:ind w:left="1276" w:hanging="425"/>
        <w:rPr>
          <w:sz w:val="24"/>
          <w:szCs w:val="24"/>
        </w:rPr>
      </w:pPr>
      <w:r w:rsidRPr="007C434E">
        <w:rPr>
          <w:sz w:val="24"/>
          <w:szCs w:val="24"/>
        </w:rPr>
        <w:t xml:space="preserve">Indgivelse af </w:t>
      </w:r>
      <w:proofErr w:type="spellStart"/>
      <w:r w:rsidRPr="007C434E">
        <w:rPr>
          <w:sz w:val="24"/>
          <w:szCs w:val="24"/>
        </w:rPr>
        <w:t>diazepam</w:t>
      </w:r>
      <w:proofErr w:type="spellEnd"/>
      <w:r w:rsidRPr="007C434E">
        <w:rPr>
          <w:sz w:val="24"/>
          <w:szCs w:val="24"/>
        </w:rPr>
        <w:t xml:space="preserve"> ved agitation.</w:t>
      </w:r>
    </w:p>
    <w:p w:rsidR="00840A0D" w:rsidRPr="007C434E" w:rsidRDefault="00840A0D" w:rsidP="007C434E">
      <w:pPr>
        <w:pStyle w:val="Listeafsnit"/>
        <w:numPr>
          <w:ilvl w:val="0"/>
          <w:numId w:val="6"/>
        </w:numPr>
        <w:ind w:left="1276" w:hanging="425"/>
        <w:rPr>
          <w:sz w:val="24"/>
          <w:szCs w:val="24"/>
        </w:rPr>
      </w:pPr>
      <w:r w:rsidRPr="007C434E">
        <w:rPr>
          <w:sz w:val="24"/>
          <w:szCs w:val="24"/>
        </w:rPr>
        <w:t xml:space="preserve">I tilfælde af hjerterelaterede symptomer ved overdosering af </w:t>
      </w:r>
      <w:proofErr w:type="spellStart"/>
      <w:r w:rsidRPr="007C434E">
        <w:rPr>
          <w:sz w:val="24"/>
          <w:szCs w:val="24"/>
        </w:rPr>
        <w:t>salbutamol</w:t>
      </w:r>
      <w:proofErr w:type="spellEnd"/>
      <w:r w:rsidRPr="007C434E">
        <w:rPr>
          <w:sz w:val="24"/>
          <w:szCs w:val="24"/>
        </w:rPr>
        <w:t xml:space="preserve"> kan en </w:t>
      </w:r>
      <w:proofErr w:type="spellStart"/>
      <w:r w:rsidRPr="007C434E">
        <w:rPr>
          <w:sz w:val="24"/>
          <w:szCs w:val="24"/>
        </w:rPr>
        <w:t>kardioselektiv</w:t>
      </w:r>
      <w:proofErr w:type="spellEnd"/>
      <w:r w:rsidRPr="007C434E">
        <w:rPr>
          <w:sz w:val="24"/>
          <w:szCs w:val="24"/>
        </w:rPr>
        <w:t xml:space="preserve"> betablokker overvejes, men beta-2-blokkere bør anvendes med forsigtighed og om muligt undgås hos patienter med tidligere </w:t>
      </w:r>
      <w:proofErr w:type="spellStart"/>
      <w:r w:rsidRPr="007C434E">
        <w:rPr>
          <w:sz w:val="24"/>
          <w:szCs w:val="24"/>
        </w:rPr>
        <w:t>bronkospasme</w:t>
      </w:r>
      <w:proofErr w:type="spellEnd"/>
      <w:r w:rsidRPr="007C434E">
        <w:rPr>
          <w:sz w:val="24"/>
          <w:szCs w:val="24"/>
        </w:rPr>
        <w:t xml:space="preserve">. Hos disse patienter er ekg-overvågning indiceret. </w:t>
      </w:r>
    </w:p>
    <w:p w:rsidR="00840A0D" w:rsidRPr="007C434E" w:rsidRDefault="00840A0D" w:rsidP="007C434E">
      <w:pPr>
        <w:pStyle w:val="Listeafsnit"/>
        <w:numPr>
          <w:ilvl w:val="0"/>
          <w:numId w:val="6"/>
        </w:numPr>
        <w:ind w:left="1276" w:hanging="425"/>
        <w:rPr>
          <w:sz w:val="24"/>
          <w:szCs w:val="24"/>
        </w:rPr>
      </w:pPr>
      <w:r w:rsidRPr="007C434E">
        <w:rPr>
          <w:sz w:val="24"/>
          <w:szCs w:val="24"/>
        </w:rPr>
        <w:t>Ved et fald i blodtrykket anbefales volumensubstitution (f.eks. plasmaekspandere).</w:t>
      </w:r>
    </w:p>
    <w:p w:rsidR="00840A0D" w:rsidRPr="007C434E" w:rsidRDefault="00840A0D" w:rsidP="007C434E">
      <w:pPr>
        <w:pStyle w:val="Listeafsnit"/>
        <w:numPr>
          <w:ilvl w:val="0"/>
          <w:numId w:val="6"/>
        </w:numPr>
        <w:ind w:left="1276" w:hanging="425"/>
        <w:rPr>
          <w:sz w:val="24"/>
          <w:szCs w:val="24"/>
        </w:rPr>
      </w:pPr>
      <w:r w:rsidRPr="007C434E">
        <w:rPr>
          <w:sz w:val="24"/>
          <w:szCs w:val="24"/>
        </w:rPr>
        <w:t xml:space="preserve">Hvis der udvikles </w:t>
      </w:r>
      <w:proofErr w:type="spellStart"/>
      <w:r w:rsidRPr="007C434E">
        <w:rPr>
          <w:sz w:val="24"/>
          <w:szCs w:val="24"/>
        </w:rPr>
        <w:t>hypokaliæmi</w:t>
      </w:r>
      <w:proofErr w:type="spellEnd"/>
      <w:r w:rsidRPr="007C434E">
        <w:rPr>
          <w:sz w:val="24"/>
          <w:szCs w:val="24"/>
        </w:rPr>
        <w:t>, bør kaliumniveauet i serum overvåges, ligesom der om nødvendigt bør administreres elektrolytter.</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4.10</w:t>
      </w:r>
      <w:r w:rsidRPr="007C434E">
        <w:rPr>
          <w:b/>
          <w:sz w:val="24"/>
          <w:szCs w:val="24"/>
        </w:rPr>
        <w:tab/>
        <w:t>Udlevering</w:t>
      </w:r>
    </w:p>
    <w:p w:rsidR="009260DE" w:rsidRPr="007C434E" w:rsidRDefault="00840A0D" w:rsidP="009260DE">
      <w:pPr>
        <w:tabs>
          <w:tab w:val="left" w:pos="851"/>
        </w:tabs>
        <w:ind w:left="851"/>
        <w:rPr>
          <w:sz w:val="24"/>
          <w:szCs w:val="24"/>
        </w:rPr>
      </w:pPr>
      <w:r w:rsidRPr="007C434E">
        <w:rPr>
          <w:sz w:val="24"/>
          <w:szCs w:val="24"/>
        </w:rPr>
        <w:t>B</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5.</w:t>
      </w:r>
      <w:r w:rsidRPr="007C434E">
        <w:rPr>
          <w:b/>
          <w:sz w:val="24"/>
          <w:szCs w:val="24"/>
        </w:rPr>
        <w:tab/>
        <w:t>FARMAKOLOGISKE EGENSKABER</w:t>
      </w:r>
    </w:p>
    <w:p w:rsidR="009260DE" w:rsidRPr="007C434E" w:rsidRDefault="009260DE" w:rsidP="009260DE">
      <w:pPr>
        <w:tabs>
          <w:tab w:val="left" w:pos="851"/>
        </w:tabs>
        <w:ind w:left="851"/>
        <w:rPr>
          <w:sz w:val="24"/>
          <w:szCs w:val="24"/>
        </w:rPr>
      </w:pPr>
    </w:p>
    <w:p w:rsidR="009260DE" w:rsidRPr="007C434E" w:rsidRDefault="009260DE" w:rsidP="009260DE">
      <w:pPr>
        <w:tabs>
          <w:tab w:val="num" w:pos="851"/>
        </w:tabs>
        <w:ind w:left="851" w:hanging="851"/>
        <w:rPr>
          <w:b/>
          <w:sz w:val="24"/>
          <w:szCs w:val="24"/>
        </w:rPr>
      </w:pPr>
      <w:r w:rsidRPr="007C434E">
        <w:rPr>
          <w:b/>
          <w:sz w:val="24"/>
          <w:szCs w:val="24"/>
        </w:rPr>
        <w:t>5.1</w:t>
      </w:r>
      <w:r w:rsidRPr="007C434E">
        <w:rPr>
          <w:b/>
          <w:sz w:val="24"/>
          <w:szCs w:val="24"/>
        </w:rPr>
        <w:tab/>
      </w:r>
      <w:proofErr w:type="spellStart"/>
      <w:r w:rsidRPr="007C434E">
        <w:rPr>
          <w:b/>
          <w:sz w:val="24"/>
          <w:szCs w:val="24"/>
        </w:rPr>
        <w:t>Farmakodynamiske</w:t>
      </w:r>
      <w:proofErr w:type="spellEnd"/>
      <w:r w:rsidRPr="007C434E">
        <w:rPr>
          <w:b/>
          <w:sz w:val="24"/>
          <w:szCs w:val="24"/>
        </w:rPr>
        <w:t xml:space="preserve"> egenskaber</w:t>
      </w:r>
    </w:p>
    <w:p w:rsidR="00840A0D" w:rsidRPr="007C434E" w:rsidRDefault="00840A0D" w:rsidP="007C434E">
      <w:pPr>
        <w:ind w:left="851"/>
        <w:rPr>
          <w:sz w:val="24"/>
          <w:szCs w:val="24"/>
        </w:rPr>
      </w:pPr>
      <w:proofErr w:type="spellStart"/>
      <w:r w:rsidRPr="007C434E">
        <w:rPr>
          <w:sz w:val="24"/>
          <w:szCs w:val="24"/>
        </w:rPr>
        <w:t>Farmakoterapeutisk</w:t>
      </w:r>
      <w:proofErr w:type="spellEnd"/>
      <w:r w:rsidRPr="007C434E">
        <w:rPr>
          <w:sz w:val="24"/>
          <w:szCs w:val="24"/>
        </w:rPr>
        <w:t xml:space="preserve"> klassifikation: </w:t>
      </w:r>
      <w:proofErr w:type="spellStart"/>
      <w:r w:rsidRPr="007C434E">
        <w:rPr>
          <w:sz w:val="24"/>
          <w:szCs w:val="24"/>
        </w:rPr>
        <w:t>Adrenergica</w:t>
      </w:r>
      <w:proofErr w:type="spellEnd"/>
      <w:r w:rsidRPr="007C434E">
        <w:rPr>
          <w:sz w:val="24"/>
          <w:szCs w:val="24"/>
        </w:rPr>
        <w:t xml:space="preserve"> til inhalation. Selektive beta-2-adreno</w:t>
      </w:r>
      <w:r w:rsidR="003B1AAE">
        <w:rPr>
          <w:sz w:val="24"/>
          <w:szCs w:val="24"/>
        </w:rPr>
        <w:softHyphen/>
      </w:r>
      <w:r w:rsidRPr="007C434E">
        <w:rPr>
          <w:sz w:val="24"/>
          <w:szCs w:val="24"/>
        </w:rPr>
        <w:t>receptor agonister</w:t>
      </w:r>
      <w:r w:rsidR="007C434E">
        <w:rPr>
          <w:sz w:val="24"/>
          <w:szCs w:val="24"/>
        </w:rPr>
        <w:t xml:space="preserve">, </w:t>
      </w:r>
      <w:r w:rsidRPr="007C434E">
        <w:rPr>
          <w:sz w:val="24"/>
          <w:szCs w:val="24"/>
        </w:rPr>
        <w:t>ATC-kode: R03AC02</w:t>
      </w:r>
      <w:r w:rsidR="007C434E">
        <w:rPr>
          <w:sz w:val="24"/>
          <w:szCs w:val="24"/>
        </w:rPr>
        <w:t>.</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u w:val="single"/>
        </w:rPr>
      </w:pPr>
      <w:r w:rsidRPr="007C434E">
        <w:rPr>
          <w:sz w:val="24"/>
          <w:szCs w:val="24"/>
          <w:u w:val="single"/>
        </w:rPr>
        <w:t xml:space="preserve">Virkningsmekanisme og </w:t>
      </w:r>
      <w:proofErr w:type="spellStart"/>
      <w:r w:rsidRPr="007C434E">
        <w:rPr>
          <w:sz w:val="24"/>
          <w:szCs w:val="24"/>
          <w:u w:val="single"/>
        </w:rPr>
        <w:t>farmakodynamisk</w:t>
      </w:r>
      <w:proofErr w:type="spellEnd"/>
      <w:r w:rsidRPr="007C434E">
        <w:rPr>
          <w:sz w:val="24"/>
          <w:szCs w:val="24"/>
          <w:u w:val="single"/>
        </w:rPr>
        <w:t xml:space="preserve"> virkning</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proofErr w:type="spellStart"/>
      <w:r w:rsidRPr="007C434E">
        <w:rPr>
          <w:sz w:val="24"/>
          <w:szCs w:val="24"/>
        </w:rPr>
        <w:t>Salbutamol</w:t>
      </w:r>
      <w:proofErr w:type="spellEnd"/>
      <w:r w:rsidRPr="007C434E">
        <w:rPr>
          <w:sz w:val="24"/>
          <w:szCs w:val="24"/>
        </w:rPr>
        <w:t xml:space="preserve"> er en selektiv beta-2-adrenoceptoragonist. Ved terapeutiske doser virker </w:t>
      </w:r>
      <w:proofErr w:type="spellStart"/>
      <w:r w:rsidRPr="007C434E">
        <w:rPr>
          <w:sz w:val="24"/>
          <w:szCs w:val="24"/>
        </w:rPr>
        <w:t>salbutamol</w:t>
      </w:r>
      <w:proofErr w:type="spellEnd"/>
      <w:r w:rsidRPr="007C434E">
        <w:rPr>
          <w:sz w:val="24"/>
          <w:szCs w:val="24"/>
        </w:rPr>
        <w:t xml:space="preserve"> på beta-2-adrenoceptorerne i de bronkiale muskler og medfører korttidsvarende (4-6 timer) </w:t>
      </w:r>
      <w:proofErr w:type="spellStart"/>
      <w:r w:rsidRPr="007C434E">
        <w:rPr>
          <w:sz w:val="24"/>
          <w:szCs w:val="24"/>
        </w:rPr>
        <w:t>bronkodilatation</w:t>
      </w:r>
      <w:proofErr w:type="spellEnd"/>
      <w:r w:rsidRPr="007C434E">
        <w:rPr>
          <w:sz w:val="24"/>
          <w:szCs w:val="24"/>
        </w:rPr>
        <w:t xml:space="preserve"> med hurtigt indsættende virkning (inden for 5 minutter) ved reversibel luftvejsobstruktion.</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5.2</w:t>
      </w:r>
      <w:r w:rsidRPr="007C434E">
        <w:rPr>
          <w:b/>
          <w:sz w:val="24"/>
          <w:szCs w:val="24"/>
        </w:rPr>
        <w:tab/>
      </w:r>
      <w:proofErr w:type="spellStart"/>
      <w:r w:rsidRPr="007C434E">
        <w:rPr>
          <w:b/>
          <w:sz w:val="24"/>
          <w:szCs w:val="24"/>
        </w:rPr>
        <w:t>Farmakokinetiske</w:t>
      </w:r>
      <w:proofErr w:type="spellEnd"/>
      <w:r w:rsidRPr="007C434E">
        <w:rPr>
          <w:b/>
          <w:sz w:val="24"/>
          <w:szCs w:val="24"/>
        </w:rPr>
        <w:t xml:space="preserve"> egenskaber</w:t>
      </w:r>
    </w:p>
    <w:p w:rsidR="00840A0D" w:rsidRPr="007C434E" w:rsidRDefault="00840A0D" w:rsidP="007C434E">
      <w:pPr>
        <w:ind w:left="851"/>
        <w:rPr>
          <w:sz w:val="24"/>
          <w:szCs w:val="24"/>
        </w:rPr>
      </w:pPr>
      <w:proofErr w:type="spellStart"/>
      <w:r w:rsidRPr="007C434E">
        <w:rPr>
          <w:sz w:val="24"/>
          <w:szCs w:val="24"/>
        </w:rPr>
        <w:t>Salbutamol</w:t>
      </w:r>
      <w:proofErr w:type="spellEnd"/>
      <w:r w:rsidRPr="007C434E">
        <w:rPr>
          <w:sz w:val="24"/>
          <w:szCs w:val="24"/>
        </w:rPr>
        <w:t xml:space="preserve"> </w:t>
      </w:r>
      <w:proofErr w:type="spellStart"/>
      <w:r w:rsidRPr="007C434E">
        <w:rPr>
          <w:sz w:val="24"/>
          <w:szCs w:val="24"/>
        </w:rPr>
        <w:t>metaboliseres</w:t>
      </w:r>
      <w:proofErr w:type="spellEnd"/>
      <w:r w:rsidRPr="007C434E">
        <w:rPr>
          <w:sz w:val="24"/>
          <w:szCs w:val="24"/>
        </w:rPr>
        <w:t xml:space="preserve"> primært i leveren. 90 % af en oral dosis udskilles via urinen og 10 % via fæces inden for 24 timer. Den mængde, der udskilles via urinen, udgør ca. 40 % </w:t>
      </w:r>
      <w:proofErr w:type="spellStart"/>
      <w:r w:rsidRPr="007C434E">
        <w:rPr>
          <w:sz w:val="24"/>
          <w:szCs w:val="24"/>
        </w:rPr>
        <w:t>uomdannet</w:t>
      </w:r>
      <w:proofErr w:type="spellEnd"/>
      <w:r w:rsidRPr="007C434E">
        <w:rPr>
          <w:sz w:val="24"/>
          <w:szCs w:val="24"/>
        </w:rPr>
        <w:t xml:space="preserve"> </w:t>
      </w:r>
      <w:proofErr w:type="spellStart"/>
      <w:r w:rsidRPr="007C434E">
        <w:rPr>
          <w:sz w:val="24"/>
          <w:szCs w:val="24"/>
        </w:rPr>
        <w:t>salbutamol</w:t>
      </w:r>
      <w:proofErr w:type="spellEnd"/>
      <w:r w:rsidRPr="007C434E">
        <w:rPr>
          <w:sz w:val="24"/>
          <w:szCs w:val="24"/>
        </w:rPr>
        <w:t>.</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5.3</w:t>
      </w:r>
      <w:r w:rsidRPr="007C434E">
        <w:rPr>
          <w:b/>
          <w:sz w:val="24"/>
          <w:szCs w:val="24"/>
        </w:rPr>
        <w:tab/>
      </w:r>
      <w:r w:rsidR="00BD7931" w:rsidRPr="007C434E">
        <w:rPr>
          <w:b/>
          <w:sz w:val="24"/>
          <w:szCs w:val="24"/>
        </w:rPr>
        <w:t>Non-</w:t>
      </w:r>
      <w:r w:rsidRPr="007C434E">
        <w:rPr>
          <w:b/>
          <w:sz w:val="24"/>
          <w:szCs w:val="24"/>
        </w:rPr>
        <w:t>kliniske sikkerhedsdata</w:t>
      </w:r>
    </w:p>
    <w:p w:rsidR="00840A0D" w:rsidRPr="007C434E" w:rsidRDefault="00840A0D" w:rsidP="007C434E">
      <w:pPr>
        <w:ind w:left="851"/>
        <w:rPr>
          <w:sz w:val="24"/>
          <w:szCs w:val="24"/>
        </w:rPr>
      </w:pPr>
      <w:r w:rsidRPr="007C434E">
        <w:rPr>
          <w:sz w:val="24"/>
          <w:szCs w:val="24"/>
        </w:rPr>
        <w:t xml:space="preserve">Non-kliniske data viser ingen speciel risiko for mennesker vurderet ud fra konventionelle studier af sikkerhedsfarmakologi, toksicitet efter gentagne doser, genotoksicitet og </w:t>
      </w:r>
      <w:proofErr w:type="spellStart"/>
      <w:r w:rsidRPr="007C434E">
        <w:rPr>
          <w:sz w:val="24"/>
          <w:szCs w:val="24"/>
        </w:rPr>
        <w:t>karcinogent</w:t>
      </w:r>
      <w:proofErr w:type="spellEnd"/>
      <w:r w:rsidRPr="007C434E">
        <w:rPr>
          <w:sz w:val="24"/>
          <w:szCs w:val="24"/>
        </w:rPr>
        <w:t xml:space="preserve"> potentiale. De virkninger, der er observeret i toksicitetsstudier, er relateret til </w:t>
      </w:r>
      <w:proofErr w:type="spellStart"/>
      <w:r w:rsidRPr="007C434E">
        <w:rPr>
          <w:sz w:val="24"/>
          <w:szCs w:val="24"/>
        </w:rPr>
        <w:t>salbutamols</w:t>
      </w:r>
      <w:proofErr w:type="spellEnd"/>
      <w:r w:rsidRPr="007C434E">
        <w:rPr>
          <w:sz w:val="24"/>
          <w:szCs w:val="24"/>
        </w:rPr>
        <w:t xml:space="preserve"> beta-</w:t>
      </w:r>
      <w:proofErr w:type="spellStart"/>
      <w:r w:rsidRPr="007C434E">
        <w:rPr>
          <w:sz w:val="24"/>
          <w:szCs w:val="24"/>
        </w:rPr>
        <w:t>adrenerge</w:t>
      </w:r>
      <w:proofErr w:type="spellEnd"/>
      <w:r w:rsidRPr="007C434E">
        <w:rPr>
          <w:sz w:val="24"/>
          <w:szCs w:val="24"/>
        </w:rPr>
        <w:t xml:space="preserve"> aktivitet. Ved oral indgivelse til drægtige rotter af 0,5; 2,32; 10,75 og 50 mg/kg/dag i hele drægtighedsperioden sås ingen signifikant negativ effekt på fertilitet, </w:t>
      </w:r>
      <w:proofErr w:type="spellStart"/>
      <w:r w:rsidRPr="007C434E">
        <w:rPr>
          <w:sz w:val="24"/>
          <w:szCs w:val="24"/>
        </w:rPr>
        <w:t>embryoføtal</w:t>
      </w:r>
      <w:proofErr w:type="spellEnd"/>
      <w:r w:rsidRPr="007C434E">
        <w:rPr>
          <w:sz w:val="24"/>
          <w:szCs w:val="24"/>
        </w:rPr>
        <w:t xml:space="preserve"> udvikling, kuldstørrelse, fødselsvægt eller vækst, bortset fra et reduceret antal overlevende unger på dag 21 efter fødslen ved en dosis på 50 mg/kg/dag. Hos musefostre er der set ganespalte ved doser på fire gange den maksimale orale dosis til mennesker. Der sås ingen </w:t>
      </w:r>
      <w:proofErr w:type="spellStart"/>
      <w:r w:rsidRPr="007C434E">
        <w:rPr>
          <w:sz w:val="24"/>
          <w:szCs w:val="24"/>
        </w:rPr>
        <w:t>teratogen</w:t>
      </w:r>
      <w:proofErr w:type="spellEnd"/>
      <w:r w:rsidRPr="007C434E">
        <w:rPr>
          <w:sz w:val="24"/>
          <w:szCs w:val="24"/>
        </w:rPr>
        <w:t xml:space="preserve"> effekt ved relevante doser hos rotter og kaniner.</w:t>
      </w:r>
    </w:p>
    <w:p w:rsidR="003B1AAE" w:rsidRDefault="003B1AAE">
      <w:pPr>
        <w:rPr>
          <w:sz w:val="24"/>
          <w:szCs w:val="24"/>
        </w:rPr>
      </w:pP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6.</w:t>
      </w:r>
      <w:r w:rsidRPr="007C434E">
        <w:rPr>
          <w:b/>
          <w:sz w:val="24"/>
          <w:szCs w:val="24"/>
        </w:rPr>
        <w:tab/>
        <w:t>FARMACEUTISKE OPLYSNINGER</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6.1</w:t>
      </w:r>
      <w:r w:rsidRPr="007C434E">
        <w:rPr>
          <w:b/>
          <w:sz w:val="24"/>
          <w:szCs w:val="24"/>
        </w:rPr>
        <w:tab/>
        <w:t>Hjælpestoffer</w:t>
      </w:r>
    </w:p>
    <w:p w:rsidR="00840A0D" w:rsidRPr="007C434E" w:rsidRDefault="00840A0D" w:rsidP="007C434E">
      <w:pPr>
        <w:ind w:left="851"/>
        <w:rPr>
          <w:sz w:val="24"/>
          <w:szCs w:val="24"/>
        </w:rPr>
      </w:pPr>
      <w:proofErr w:type="spellStart"/>
      <w:r w:rsidRPr="007C434E">
        <w:rPr>
          <w:sz w:val="24"/>
          <w:szCs w:val="24"/>
        </w:rPr>
        <w:t>Natriumchlorid</w:t>
      </w:r>
      <w:proofErr w:type="spellEnd"/>
    </w:p>
    <w:p w:rsidR="00840A0D" w:rsidRPr="007C434E" w:rsidRDefault="00840A0D" w:rsidP="007C434E">
      <w:pPr>
        <w:ind w:left="851"/>
        <w:rPr>
          <w:sz w:val="24"/>
          <w:szCs w:val="24"/>
        </w:rPr>
      </w:pPr>
      <w:r w:rsidRPr="007C434E">
        <w:rPr>
          <w:sz w:val="24"/>
          <w:szCs w:val="24"/>
        </w:rPr>
        <w:t>Svovlsyre (til pH-justering)</w:t>
      </w:r>
    </w:p>
    <w:p w:rsidR="00840A0D" w:rsidRPr="007C434E" w:rsidRDefault="00840A0D" w:rsidP="007C434E">
      <w:pPr>
        <w:ind w:left="851"/>
        <w:rPr>
          <w:sz w:val="24"/>
          <w:szCs w:val="24"/>
        </w:rPr>
      </w:pPr>
      <w:r w:rsidRPr="007C434E">
        <w:rPr>
          <w:sz w:val="24"/>
          <w:szCs w:val="24"/>
        </w:rPr>
        <w:t>Vand til injektionsvæsker</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6.2</w:t>
      </w:r>
      <w:r w:rsidRPr="007C434E">
        <w:rPr>
          <w:b/>
          <w:sz w:val="24"/>
          <w:szCs w:val="24"/>
        </w:rPr>
        <w:tab/>
        <w:t>Uforligeligheder</w:t>
      </w:r>
    </w:p>
    <w:p w:rsidR="00840A0D" w:rsidRPr="007C434E" w:rsidRDefault="00840A0D" w:rsidP="007C434E">
      <w:pPr>
        <w:ind w:left="851"/>
        <w:rPr>
          <w:sz w:val="24"/>
          <w:szCs w:val="24"/>
        </w:rPr>
      </w:pPr>
      <w:r w:rsidRPr="007C434E">
        <w:rPr>
          <w:sz w:val="24"/>
          <w:szCs w:val="24"/>
        </w:rPr>
        <w:t>Ingen kendte.</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6.3</w:t>
      </w:r>
      <w:r w:rsidRPr="007C434E">
        <w:rPr>
          <w:b/>
          <w:sz w:val="24"/>
          <w:szCs w:val="24"/>
        </w:rPr>
        <w:tab/>
        <w:t>Opbevaringstid</w:t>
      </w:r>
    </w:p>
    <w:p w:rsidR="00840A0D" w:rsidRPr="007C434E" w:rsidRDefault="00840A0D" w:rsidP="007C434E">
      <w:pPr>
        <w:ind w:left="851"/>
        <w:rPr>
          <w:sz w:val="24"/>
          <w:szCs w:val="24"/>
        </w:rPr>
      </w:pPr>
      <w:r w:rsidRPr="007C434E">
        <w:rPr>
          <w:sz w:val="24"/>
          <w:szCs w:val="24"/>
        </w:rPr>
        <w:t>3 år</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6.4</w:t>
      </w:r>
      <w:r w:rsidRPr="007C434E">
        <w:rPr>
          <w:b/>
          <w:sz w:val="24"/>
          <w:szCs w:val="24"/>
        </w:rPr>
        <w:tab/>
        <w:t>Særlige opbevaringsforhold</w:t>
      </w:r>
    </w:p>
    <w:p w:rsidR="00840A0D" w:rsidRPr="007C434E" w:rsidRDefault="00840A0D" w:rsidP="007C434E">
      <w:pPr>
        <w:ind w:left="851"/>
        <w:rPr>
          <w:sz w:val="24"/>
          <w:szCs w:val="24"/>
        </w:rPr>
      </w:pPr>
      <w:r w:rsidRPr="007C434E">
        <w:rPr>
          <w:sz w:val="24"/>
          <w:szCs w:val="24"/>
        </w:rPr>
        <w:t>Opbevares ved temperaturer under 30 °C.</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r w:rsidRPr="007C434E">
        <w:rPr>
          <w:sz w:val="24"/>
          <w:szCs w:val="24"/>
        </w:rPr>
        <w:t>Opbevar enkeltdosisbeholderne i folieposen og/eller æsken for at beskytte mod lys og fugt.</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6.5</w:t>
      </w:r>
      <w:r w:rsidRPr="007C434E">
        <w:rPr>
          <w:b/>
          <w:sz w:val="24"/>
          <w:szCs w:val="24"/>
        </w:rPr>
        <w:tab/>
        <w:t>Emballagetype og pakningsstørrelser</w:t>
      </w:r>
    </w:p>
    <w:p w:rsidR="00840A0D" w:rsidRPr="007C434E" w:rsidRDefault="00840A0D" w:rsidP="007C434E">
      <w:pPr>
        <w:ind w:left="851"/>
        <w:rPr>
          <w:noProof/>
          <w:sz w:val="24"/>
          <w:szCs w:val="24"/>
        </w:rPr>
      </w:pPr>
      <w:r w:rsidRPr="007C434E">
        <w:rPr>
          <w:sz w:val="24"/>
          <w:szCs w:val="24"/>
        </w:rPr>
        <w:t>Enkeltdosisbeholdere i pakninger med 20 stk.</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proofErr w:type="spellStart"/>
      <w:r w:rsidRPr="007C434E">
        <w:rPr>
          <w:sz w:val="24"/>
          <w:szCs w:val="24"/>
        </w:rPr>
        <w:t>Salbutamol</w:t>
      </w:r>
      <w:proofErr w:type="spellEnd"/>
      <w:r w:rsidRPr="007C434E">
        <w:rPr>
          <w:sz w:val="24"/>
          <w:szCs w:val="24"/>
        </w:rPr>
        <w:t xml:space="preserve"> </w:t>
      </w:r>
      <w:r w:rsidR="00E039D5">
        <w:rPr>
          <w:sz w:val="24"/>
          <w:szCs w:val="24"/>
        </w:rPr>
        <w:t>"</w:t>
      </w:r>
      <w:proofErr w:type="spellStart"/>
      <w:r w:rsidR="00E039D5">
        <w:rPr>
          <w:sz w:val="24"/>
          <w:szCs w:val="24"/>
        </w:rPr>
        <w:t>Neutec</w:t>
      </w:r>
      <w:proofErr w:type="spellEnd"/>
      <w:r w:rsidR="00E039D5">
        <w:rPr>
          <w:sz w:val="24"/>
          <w:szCs w:val="24"/>
        </w:rPr>
        <w:t>"</w:t>
      </w:r>
      <w:r w:rsidRPr="007C434E">
        <w:rPr>
          <w:sz w:val="24"/>
          <w:szCs w:val="24"/>
        </w:rPr>
        <w:t xml:space="preserve"> fås i gennemsigtige enkeltdosisbeholdere af </w:t>
      </w:r>
      <w:proofErr w:type="spellStart"/>
      <w:r w:rsidRPr="007C434E">
        <w:rPr>
          <w:sz w:val="24"/>
          <w:szCs w:val="24"/>
        </w:rPr>
        <w:t>lavdensitetspolyetylen</w:t>
      </w:r>
      <w:proofErr w:type="spellEnd"/>
      <w:r w:rsidRPr="007C434E">
        <w:rPr>
          <w:sz w:val="24"/>
          <w:szCs w:val="24"/>
        </w:rPr>
        <w:t xml:space="preserve"> til engangsbrug (i strimler med 5 stk.), </w:t>
      </w:r>
      <w:r w:rsidRPr="007C434E">
        <w:rPr>
          <w:color w:val="000000"/>
          <w:sz w:val="24"/>
          <w:szCs w:val="24"/>
        </w:rPr>
        <w:t>der er beskyttet af en alufoliepose.</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6.6</w:t>
      </w:r>
      <w:r w:rsidRPr="007C434E">
        <w:rPr>
          <w:b/>
          <w:sz w:val="24"/>
          <w:szCs w:val="24"/>
        </w:rPr>
        <w:tab/>
        <w:t xml:space="preserve">Regler for </w:t>
      </w:r>
      <w:r w:rsidR="00BD7931" w:rsidRPr="007C434E">
        <w:rPr>
          <w:b/>
          <w:sz w:val="24"/>
          <w:szCs w:val="24"/>
        </w:rPr>
        <w:t>bortskaffelse</w:t>
      </w:r>
      <w:r w:rsidRPr="007C434E">
        <w:rPr>
          <w:b/>
          <w:sz w:val="24"/>
          <w:szCs w:val="24"/>
        </w:rPr>
        <w:t xml:space="preserve"> og anden håndtering</w:t>
      </w:r>
    </w:p>
    <w:p w:rsidR="00840A0D" w:rsidRPr="007C434E" w:rsidRDefault="00840A0D" w:rsidP="007C434E">
      <w:pPr>
        <w:ind w:left="851"/>
        <w:rPr>
          <w:sz w:val="24"/>
          <w:szCs w:val="24"/>
        </w:rPr>
      </w:pPr>
      <w:r w:rsidRPr="007C434E">
        <w:rPr>
          <w:sz w:val="24"/>
          <w:szCs w:val="24"/>
        </w:rPr>
        <w:t>Enkeltdosisbeholderne indeholder ingen konserveringsmidler, og derfor er det vigtigt, at indholdet bruges med det samme efter åbning, og at der anvendes en ny enkeltdosisbeholder ved hver administration for at undgå mikrobiel kontaminering. Delvist brugte, åbne eller beskadigede enkeltdosisbeholdere skal bortskaffes.</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r w:rsidRPr="007C434E">
        <w:rPr>
          <w:sz w:val="24"/>
          <w:szCs w:val="24"/>
        </w:rPr>
        <w:t>Produktet må ikke anvendes, hvis det er misfarvet.</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r w:rsidRPr="007C434E">
        <w:rPr>
          <w:sz w:val="24"/>
          <w:szCs w:val="24"/>
        </w:rPr>
        <w:t xml:space="preserve">Eventuel ubrugt opløsning i </w:t>
      </w:r>
      <w:proofErr w:type="spellStart"/>
      <w:r w:rsidRPr="007C434E">
        <w:rPr>
          <w:sz w:val="24"/>
          <w:szCs w:val="24"/>
        </w:rPr>
        <w:t>nebulisatorkammeret</w:t>
      </w:r>
      <w:proofErr w:type="spellEnd"/>
      <w:r w:rsidRPr="007C434E">
        <w:rPr>
          <w:sz w:val="24"/>
          <w:szCs w:val="24"/>
        </w:rPr>
        <w:t xml:space="preserve"> skal bortskaffes.</w:t>
      </w:r>
    </w:p>
    <w:p w:rsidR="00840A0D" w:rsidRPr="007C434E" w:rsidRDefault="00840A0D" w:rsidP="007C434E">
      <w:pPr>
        <w:ind w:left="851"/>
        <w:rPr>
          <w:sz w:val="24"/>
          <w:szCs w:val="24"/>
          <w:lang w:eastAsia="en-GB"/>
        </w:rPr>
      </w:pPr>
    </w:p>
    <w:p w:rsidR="00840A0D" w:rsidRPr="007C434E" w:rsidRDefault="00840A0D" w:rsidP="007C434E">
      <w:pPr>
        <w:ind w:left="851"/>
        <w:rPr>
          <w:sz w:val="24"/>
          <w:szCs w:val="24"/>
        </w:rPr>
      </w:pPr>
      <w:r w:rsidRPr="007C434E">
        <w:rPr>
          <w:sz w:val="24"/>
          <w:szCs w:val="24"/>
        </w:rPr>
        <w:t>Ingen særlige forholdsregler ved bortskaffelse.</w:t>
      </w:r>
    </w:p>
    <w:p w:rsidR="00840A0D" w:rsidRPr="007C434E" w:rsidRDefault="00840A0D" w:rsidP="007C434E">
      <w:pPr>
        <w:ind w:left="851"/>
        <w:rPr>
          <w:sz w:val="24"/>
          <w:szCs w:val="24"/>
        </w:rPr>
      </w:pPr>
      <w:r w:rsidRPr="007C434E">
        <w:rPr>
          <w:sz w:val="24"/>
          <w:szCs w:val="24"/>
        </w:rPr>
        <w:t>Ikke anvendt lægemiddel samt affald heraf skal bortskaffes i henhold til lokale retningslinjer.</w:t>
      </w:r>
    </w:p>
    <w:p w:rsidR="009260DE" w:rsidRPr="007C434E" w:rsidRDefault="009260DE" w:rsidP="000730CA">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lastRenderedPageBreak/>
        <w:t>7.</w:t>
      </w:r>
      <w:r w:rsidRPr="007C434E">
        <w:rPr>
          <w:b/>
          <w:sz w:val="24"/>
          <w:szCs w:val="24"/>
        </w:rPr>
        <w:tab/>
        <w:t>INDEHAVER AF MARKEDSFØRINGSTILLADELSEN</w:t>
      </w:r>
    </w:p>
    <w:p w:rsidR="00840A0D" w:rsidRPr="007C434E" w:rsidRDefault="00840A0D" w:rsidP="007C434E">
      <w:pPr>
        <w:ind w:left="851"/>
        <w:rPr>
          <w:sz w:val="24"/>
          <w:szCs w:val="24"/>
          <w:lang w:val="de-DE"/>
        </w:rPr>
      </w:pPr>
      <w:proofErr w:type="spellStart"/>
      <w:r w:rsidRPr="007C434E">
        <w:rPr>
          <w:sz w:val="24"/>
          <w:szCs w:val="24"/>
          <w:lang w:val="de-DE"/>
        </w:rPr>
        <w:t>Neutec</w:t>
      </w:r>
      <w:proofErr w:type="spellEnd"/>
      <w:r w:rsidRPr="007C434E">
        <w:rPr>
          <w:sz w:val="24"/>
          <w:szCs w:val="24"/>
          <w:lang w:val="de-DE"/>
        </w:rPr>
        <w:t xml:space="preserve"> </w:t>
      </w:r>
      <w:proofErr w:type="spellStart"/>
      <w:r w:rsidRPr="007C434E">
        <w:rPr>
          <w:sz w:val="24"/>
          <w:szCs w:val="24"/>
          <w:lang w:val="de-DE"/>
        </w:rPr>
        <w:t>Inhaler</w:t>
      </w:r>
      <w:proofErr w:type="spellEnd"/>
      <w:r w:rsidRPr="007C434E">
        <w:rPr>
          <w:sz w:val="24"/>
          <w:szCs w:val="24"/>
          <w:lang w:val="de-DE"/>
        </w:rPr>
        <w:t xml:space="preserve"> </w:t>
      </w:r>
      <w:proofErr w:type="spellStart"/>
      <w:r w:rsidRPr="007C434E">
        <w:rPr>
          <w:sz w:val="24"/>
          <w:szCs w:val="24"/>
          <w:lang w:val="de-DE"/>
        </w:rPr>
        <w:t>Ireland</w:t>
      </w:r>
      <w:proofErr w:type="spellEnd"/>
      <w:r w:rsidRPr="007C434E">
        <w:rPr>
          <w:sz w:val="24"/>
          <w:szCs w:val="24"/>
          <w:lang w:val="de-DE"/>
        </w:rPr>
        <w:t xml:space="preserve"> Limited</w:t>
      </w:r>
    </w:p>
    <w:p w:rsidR="00840A0D" w:rsidRPr="007C434E" w:rsidRDefault="00840A0D" w:rsidP="007C434E">
      <w:pPr>
        <w:ind w:left="851"/>
        <w:rPr>
          <w:sz w:val="24"/>
          <w:szCs w:val="24"/>
          <w:lang w:val="de-DE"/>
        </w:rPr>
      </w:pPr>
      <w:r w:rsidRPr="007C434E">
        <w:rPr>
          <w:sz w:val="24"/>
          <w:szCs w:val="24"/>
          <w:lang w:val="de-DE"/>
        </w:rPr>
        <w:t xml:space="preserve">22 Northumberland Road, </w:t>
      </w:r>
      <w:proofErr w:type="spellStart"/>
      <w:r w:rsidRPr="007C434E">
        <w:rPr>
          <w:sz w:val="24"/>
          <w:szCs w:val="24"/>
          <w:lang w:val="de-DE"/>
        </w:rPr>
        <w:t>Ballsbridge</w:t>
      </w:r>
      <w:proofErr w:type="spellEnd"/>
    </w:p>
    <w:p w:rsidR="00840A0D" w:rsidRPr="007C434E" w:rsidRDefault="00840A0D" w:rsidP="007C434E">
      <w:pPr>
        <w:ind w:left="851"/>
        <w:rPr>
          <w:sz w:val="24"/>
          <w:szCs w:val="24"/>
          <w:lang w:val="de-DE"/>
        </w:rPr>
      </w:pPr>
      <w:r w:rsidRPr="007C434E">
        <w:rPr>
          <w:sz w:val="24"/>
          <w:szCs w:val="24"/>
          <w:lang w:val="de-DE"/>
        </w:rPr>
        <w:t>Dublin 4, Co. Dublin</w:t>
      </w:r>
    </w:p>
    <w:p w:rsidR="00840A0D" w:rsidRPr="007C434E" w:rsidRDefault="00840A0D" w:rsidP="007C434E">
      <w:pPr>
        <w:ind w:left="851"/>
        <w:rPr>
          <w:sz w:val="24"/>
          <w:szCs w:val="24"/>
          <w:lang w:val="de-DE"/>
        </w:rPr>
      </w:pPr>
      <w:r w:rsidRPr="007C434E">
        <w:rPr>
          <w:sz w:val="24"/>
          <w:szCs w:val="24"/>
          <w:lang w:val="de-DE"/>
        </w:rPr>
        <w:t>D04 ED73</w:t>
      </w:r>
    </w:p>
    <w:p w:rsidR="00840A0D" w:rsidRPr="007C434E" w:rsidRDefault="00840A0D" w:rsidP="007C434E">
      <w:pPr>
        <w:ind w:left="851"/>
        <w:rPr>
          <w:sz w:val="24"/>
          <w:szCs w:val="24"/>
          <w:lang w:val="de-DE"/>
        </w:rPr>
      </w:pPr>
      <w:r w:rsidRPr="007C434E">
        <w:rPr>
          <w:sz w:val="24"/>
          <w:szCs w:val="24"/>
          <w:lang w:val="de-DE"/>
        </w:rPr>
        <w:t>Irland</w:t>
      </w:r>
    </w:p>
    <w:p w:rsidR="00641C65" w:rsidRPr="007C434E" w:rsidRDefault="00641C65"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8.</w:t>
      </w:r>
      <w:r w:rsidRPr="007C434E">
        <w:rPr>
          <w:b/>
          <w:sz w:val="24"/>
          <w:szCs w:val="24"/>
        </w:rPr>
        <w:tab/>
        <w:t>MARKEDSFØRINGSTILLADELSESNUMMER (</w:t>
      </w:r>
      <w:r w:rsidR="00BF6243" w:rsidRPr="007C434E">
        <w:rPr>
          <w:b/>
          <w:sz w:val="24"/>
          <w:szCs w:val="24"/>
        </w:rPr>
        <w:t>-</w:t>
      </w:r>
      <w:r w:rsidRPr="007C434E">
        <w:rPr>
          <w:b/>
          <w:sz w:val="24"/>
          <w:szCs w:val="24"/>
        </w:rPr>
        <w:t>NUMRE)</w:t>
      </w:r>
    </w:p>
    <w:p w:rsidR="009260DE" w:rsidRPr="007C434E" w:rsidRDefault="00840A0D" w:rsidP="009260DE">
      <w:pPr>
        <w:tabs>
          <w:tab w:val="left" w:pos="851"/>
        </w:tabs>
        <w:ind w:left="851"/>
        <w:rPr>
          <w:sz w:val="24"/>
          <w:szCs w:val="24"/>
        </w:rPr>
      </w:pPr>
      <w:r w:rsidRPr="007C434E">
        <w:rPr>
          <w:sz w:val="24"/>
          <w:szCs w:val="24"/>
        </w:rPr>
        <w:t>65208</w:t>
      </w:r>
    </w:p>
    <w:p w:rsidR="009260DE" w:rsidRPr="007C434E" w:rsidRDefault="009260DE" w:rsidP="009260DE">
      <w:pPr>
        <w:tabs>
          <w:tab w:val="left" w:pos="851"/>
        </w:tabs>
        <w:ind w:left="851"/>
        <w:jc w:val="both"/>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9.</w:t>
      </w:r>
      <w:r w:rsidRPr="007C434E">
        <w:rPr>
          <w:b/>
          <w:sz w:val="24"/>
          <w:szCs w:val="24"/>
        </w:rPr>
        <w:tab/>
        <w:t>DATO FOR FØRSTE MARKEDSFØRINGSTILLADELSE</w:t>
      </w:r>
    </w:p>
    <w:p w:rsidR="009260DE" w:rsidRPr="007C434E" w:rsidRDefault="007975B2" w:rsidP="009260DE">
      <w:pPr>
        <w:tabs>
          <w:tab w:val="left" w:pos="851"/>
        </w:tabs>
        <w:ind w:left="851"/>
        <w:rPr>
          <w:sz w:val="24"/>
          <w:szCs w:val="24"/>
        </w:rPr>
      </w:pPr>
      <w:r>
        <w:rPr>
          <w:sz w:val="24"/>
          <w:szCs w:val="24"/>
        </w:rPr>
        <w:t>16. november 2023</w:t>
      </w:r>
    </w:p>
    <w:p w:rsidR="009260DE" w:rsidRPr="007C434E" w:rsidRDefault="009260DE" w:rsidP="009260DE">
      <w:pPr>
        <w:tabs>
          <w:tab w:val="left" w:pos="851"/>
        </w:tabs>
        <w:ind w:left="851"/>
        <w:rPr>
          <w:sz w:val="24"/>
          <w:szCs w:val="24"/>
        </w:rPr>
      </w:pPr>
    </w:p>
    <w:p w:rsidR="009260DE" w:rsidRPr="007C434E" w:rsidRDefault="009260DE" w:rsidP="009260DE">
      <w:pPr>
        <w:tabs>
          <w:tab w:val="left" w:pos="851"/>
        </w:tabs>
        <w:ind w:left="851" w:hanging="851"/>
        <w:rPr>
          <w:b/>
          <w:sz w:val="24"/>
          <w:szCs w:val="24"/>
        </w:rPr>
      </w:pPr>
      <w:r w:rsidRPr="007C434E">
        <w:rPr>
          <w:b/>
          <w:sz w:val="24"/>
          <w:szCs w:val="24"/>
        </w:rPr>
        <w:t>10.</w:t>
      </w:r>
      <w:r w:rsidRPr="007C434E">
        <w:rPr>
          <w:b/>
          <w:sz w:val="24"/>
          <w:szCs w:val="24"/>
        </w:rPr>
        <w:tab/>
        <w:t>DATO FOR ÆNDRING AF TEKSTEN</w:t>
      </w:r>
    </w:p>
    <w:p w:rsidR="009260DE" w:rsidRPr="007C434E" w:rsidRDefault="00E271CE" w:rsidP="009260DE">
      <w:pPr>
        <w:tabs>
          <w:tab w:val="left" w:pos="851"/>
        </w:tabs>
        <w:ind w:left="851"/>
        <w:rPr>
          <w:sz w:val="24"/>
          <w:szCs w:val="24"/>
        </w:rPr>
      </w:pPr>
      <w:r>
        <w:rPr>
          <w:sz w:val="24"/>
          <w:szCs w:val="24"/>
        </w:rPr>
        <w:t>13</w:t>
      </w:r>
      <w:bookmarkStart w:id="0" w:name="_GoBack"/>
      <w:bookmarkEnd w:id="0"/>
      <w:r w:rsidR="002C5FBD">
        <w:rPr>
          <w:sz w:val="24"/>
          <w:szCs w:val="24"/>
        </w:rPr>
        <w:t>. november 2024</w:t>
      </w:r>
    </w:p>
    <w:sectPr w:rsidR="009260DE" w:rsidRPr="007C434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0E3" w:rsidRDefault="003D20E3">
      <w:r>
        <w:separator/>
      </w:r>
    </w:p>
  </w:endnote>
  <w:endnote w:type="continuationSeparator" w:id="0">
    <w:p w:rsidR="003D20E3" w:rsidRDefault="003D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B1AAE">
      <w:rPr>
        <w:i/>
        <w:noProof/>
        <w:sz w:val="18"/>
        <w:szCs w:val="18"/>
      </w:rPr>
      <w:t>Salbutamol Neutec, inhalationsvæske til nebulisator, opløsning 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0E3" w:rsidRDefault="003D20E3">
      <w:r>
        <w:separator/>
      </w:r>
    </w:p>
  </w:footnote>
  <w:footnote w:type="continuationSeparator" w:id="0">
    <w:p w:rsidR="003D20E3" w:rsidRDefault="003D2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1E826A7"/>
    <w:multiLevelType w:val="hybridMultilevel"/>
    <w:tmpl w:val="D7020AEC"/>
    <w:lvl w:ilvl="0" w:tplc="6B867FF8">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C973510"/>
    <w:multiLevelType w:val="hybridMultilevel"/>
    <w:tmpl w:val="AB7A1CE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E3"/>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C5FBD"/>
    <w:rsid w:val="003A29AE"/>
    <w:rsid w:val="003A32D7"/>
    <w:rsid w:val="003B1AAE"/>
    <w:rsid w:val="003B4074"/>
    <w:rsid w:val="003C769A"/>
    <w:rsid w:val="003D20E3"/>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F58C9"/>
    <w:rsid w:val="0071241E"/>
    <w:rsid w:val="00714DBC"/>
    <w:rsid w:val="00737275"/>
    <w:rsid w:val="00740EEC"/>
    <w:rsid w:val="0078011A"/>
    <w:rsid w:val="00782AF4"/>
    <w:rsid w:val="00790EE7"/>
    <w:rsid w:val="007975B2"/>
    <w:rsid w:val="007B6649"/>
    <w:rsid w:val="007C434E"/>
    <w:rsid w:val="0082576E"/>
    <w:rsid w:val="00840A0D"/>
    <w:rsid w:val="0089346F"/>
    <w:rsid w:val="00907F75"/>
    <w:rsid w:val="009260DE"/>
    <w:rsid w:val="0093258A"/>
    <w:rsid w:val="009C7BA3"/>
    <w:rsid w:val="009D1F5A"/>
    <w:rsid w:val="00A10294"/>
    <w:rsid w:val="00AA14EB"/>
    <w:rsid w:val="00B003BF"/>
    <w:rsid w:val="00B26512"/>
    <w:rsid w:val="00B373D7"/>
    <w:rsid w:val="00B55271"/>
    <w:rsid w:val="00BD7931"/>
    <w:rsid w:val="00BF6243"/>
    <w:rsid w:val="00C36276"/>
    <w:rsid w:val="00C42586"/>
    <w:rsid w:val="00C45F6B"/>
    <w:rsid w:val="00C60CCD"/>
    <w:rsid w:val="00C84483"/>
    <w:rsid w:val="00C95551"/>
    <w:rsid w:val="00CB20D7"/>
    <w:rsid w:val="00D020B0"/>
    <w:rsid w:val="00D11748"/>
    <w:rsid w:val="00D20A4E"/>
    <w:rsid w:val="00D237F6"/>
    <w:rsid w:val="00D34D98"/>
    <w:rsid w:val="00D366CF"/>
    <w:rsid w:val="00D76320"/>
    <w:rsid w:val="00D93992"/>
    <w:rsid w:val="00E039D5"/>
    <w:rsid w:val="00E108AA"/>
    <w:rsid w:val="00E271CE"/>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F3CD7"/>
  <w15:chartTrackingRefBased/>
  <w15:docId w15:val="{B1840346-851F-4177-B5F7-0D4E1E79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840A0D"/>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840A0D"/>
    <w:rPr>
      <w:color w:val="0000FF"/>
      <w:u w:val="single"/>
    </w:rPr>
  </w:style>
  <w:style w:type="paragraph" w:styleId="Brdtekst">
    <w:name w:val="Body Text"/>
    <w:basedOn w:val="Normal"/>
    <w:link w:val="BrdtekstTegn"/>
    <w:semiHidden/>
    <w:unhideWhenUsed/>
    <w:rsid w:val="00840A0D"/>
    <w:rPr>
      <w:i/>
      <w:color w:val="008000"/>
      <w:sz w:val="22"/>
    </w:rPr>
  </w:style>
  <w:style w:type="character" w:customStyle="1" w:styleId="BrdtekstTegn">
    <w:name w:val="Brødtekst Tegn"/>
    <w:basedOn w:val="Standardskrifttypeiafsnit"/>
    <w:link w:val="Brdtekst"/>
    <w:semiHidden/>
    <w:rsid w:val="00840A0D"/>
    <w:rPr>
      <w:i/>
      <w:color w:val="008000"/>
      <w:sz w:val="22"/>
      <w:lang w:eastAsia="en-US"/>
    </w:rPr>
  </w:style>
  <w:style w:type="paragraph" w:customStyle="1" w:styleId="paragraph">
    <w:name w:val="paragraph"/>
    <w:basedOn w:val="Normal"/>
    <w:rsid w:val="00840A0D"/>
    <w:pPr>
      <w:spacing w:before="100" w:beforeAutospacing="1" w:after="100" w:afterAutospacing="1"/>
    </w:pPr>
    <w:rPr>
      <w:sz w:val="24"/>
      <w:szCs w:val="24"/>
      <w:lang w:eastAsia="en-GB"/>
    </w:rPr>
  </w:style>
  <w:style w:type="paragraph" w:styleId="Listeafsnit">
    <w:name w:val="List Paragraph"/>
    <w:basedOn w:val="Normal"/>
    <w:uiPriority w:val="34"/>
    <w:qFormat/>
    <w:rsid w:val="007C4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42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568579">
      <w:bodyDiv w:val="1"/>
      <w:marLeft w:val="0"/>
      <w:marRight w:val="0"/>
      <w:marTop w:val="0"/>
      <w:marBottom w:val="0"/>
      <w:divBdr>
        <w:top w:val="none" w:sz="0" w:space="0" w:color="auto"/>
        <w:left w:val="none" w:sz="0" w:space="0" w:color="auto"/>
        <w:bottom w:val="none" w:sz="0" w:space="0" w:color="auto"/>
        <w:right w:val="none" w:sz="0" w:space="0" w:color="auto"/>
      </w:divBdr>
    </w:div>
    <w:div w:id="180093960">
      <w:bodyDiv w:val="1"/>
      <w:marLeft w:val="0"/>
      <w:marRight w:val="0"/>
      <w:marTop w:val="0"/>
      <w:marBottom w:val="0"/>
      <w:divBdr>
        <w:top w:val="none" w:sz="0" w:space="0" w:color="auto"/>
        <w:left w:val="none" w:sz="0" w:space="0" w:color="auto"/>
        <w:bottom w:val="none" w:sz="0" w:space="0" w:color="auto"/>
        <w:right w:val="none" w:sz="0" w:space="0" w:color="auto"/>
      </w:divBdr>
    </w:div>
    <w:div w:id="215363610">
      <w:bodyDiv w:val="1"/>
      <w:marLeft w:val="0"/>
      <w:marRight w:val="0"/>
      <w:marTop w:val="0"/>
      <w:marBottom w:val="0"/>
      <w:divBdr>
        <w:top w:val="none" w:sz="0" w:space="0" w:color="auto"/>
        <w:left w:val="none" w:sz="0" w:space="0" w:color="auto"/>
        <w:bottom w:val="none" w:sz="0" w:space="0" w:color="auto"/>
        <w:right w:val="none" w:sz="0" w:space="0" w:color="auto"/>
      </w:divBdr>
    </w:div>
    <w:div w:id="313488201">
      <w:bodyDiv w:val="1"/>
      <w:marLeft w:val="0"/>
      <w:marRight w:val="0"/>
      <w:marTop w:val="0"/>
      <w:marBottom w:val="0"/>
      <w:divBdr>
        <w:top w:val="none" w:sz="0" w:space="0" w:color="auto"/>
        <w:left w:val="none" w:sz="0" w:space="0" w:color="auto"/>
        <w:bottom w:val="none" w:sz="0" w:space="0" w:color="auto"/>
        <w:right w:val="none" w:sz="0" w:space="0" w:color="auto"/>
      </w:divBdr>
    </w:div>
    <w:div w:id="589655974">
      <w:bodyDiv w:val="1"/>
      <w:marLeft w:val="0"/>
      <w:marRight w:val="0"/>
      <w:marTop w:val="0"/>
      <w:marBottom w:val="0"/>
      <w:divBdr>
        <w:top w:val="none" w:sz="0" w:space="0" w:color="auto"/>
        <w:left w:val="none" w:sz="0" w:space="0" w:color="auto"/>
        <w:bottom w:val="none" w:sz="0" w:space="0" w:color="auto"/>
        <w:right w:val="none" w:sz="0" w:space="0" w:color="auto"/>
      </w:divBdr>
    </w:div>
    <w:div w:id="780759963">
      <w:bodyDiv w:val="1"/>
      <w:marLeft w:val="0"/>
      <w:marRight w:val="0"/>
      <w:marTop w:val="0"/>
      <w:marBottom w:val="0"/>
      <w:divBdr>
        <w:top w:val="none" w:sz="0" w:space="0" w:color="auto"/>
        <w:left w:val="none" w:sz="0" w:space="0" w:color="auto"/>
        <w:bottom w:val="none" w:sz="0" w:space="0" w:color="auto"/>
        <w:right w:val="none" w:sz="0" w:space="0" w:color="auto"/>
      </w:divBdr>
    </w:div>
    <w:div w:id="911355778">
      <w:bodyDiv w:val="1"/>
      <w:marLeft w:val="0"/>
      <w:marRight w:val="0"/>
      <w:marTop w:val="0"/>
      <w:marBottom w:val="0"/>
      <w:divBdr>
        <w:top w:val="none" w:sz="0" w:space="0" w:color="auto"/>
        <w:left w:val="none" w:sz="0" w:space="0" w:color="auto"/>
        <w:bottom w:val="none" w:sz="0" w:space="0" w:color="auto"/>
        <w:right w:val="none" w:sz="0" w:space="0" w:color="auto"/>
      </w:divBdr>
    </w:div>
    <w:div w:id="1298100793">
      <w:bodyDiv w:val="1"/>
      <w:marLeft w:val="0"/>
      <w:marRight w:val="0"/>
      <w:marTop w:val="0"/>
      <w:marBottom w:val="0"/>
      <w:divBdr>
        <w:top w:val="none" w:sz="0" w:space="0" w:color="auto"/>
        <w:left w:val="none" w:sz="0" w:space="0" w:color="auto"/>
        <w:bottom w:val="none" w:sz="0" w:space="0" w:color="auto"/>
        <w:right w:val="none" w:sz="0" w:space="0" w:color="auto"/>
      </w:divBdr>
    </w:div>
    <w:div w:id="1327589394">
      <w:bodyDiv w:val="1"/>
      <w:marLeft w:val="0"/>
      <w:marRight w:val="0"/>
      <w:marTop w:val="0"/>
      <w:marBottom w:val="0"/>
      <w:divBdr>
        <w:top w:val="none" w:sz="0" w:space="0" w:color="auto"/>
        <w:left w:val="none" w:sz="0" w:space="0" w:color="auto"/>
        <w:bottom w:val="none" w:sz="0" w:space="0" w:color="auto"/>
        <w:right w:val="none" w:sz="0" w:space="0" w:color="auto"/>
      </w:divBdr>
    </w:div>
    <w:div w:id="1359089271">
      <w:bodyDiv w:val="1"/>
      <w:marLeft w:val="0"/>
      <w:marRight w:val="0"/>
      <w:marTop w:val="0"/>
      <w:marBottom w:val="0"/>
      <w:divBdr>
        <w:top w:val="none" w:sz="0" w:space="0" w:color="auto"/>
        <w:left w:val="none" w:sz="0" w:space="0" w:color="auto"/>
        <w:bottom w:val="none" w:sz="0" w:space="0" w:color="auto"/>
        <w:right w:val="none" w:sz="0" w:space="0" w:color="auto"/>
      </w:divBdr>
    </w:div>
    <w:div w:id="1423602912">
      <w:bodyDiv w:val="1"/>
      <w:marLeft w:val="0"/>
      <w:marRight w:val="0"/>
      <w:marTop w:val="0"/>
      <w:marBottom w:val="0"/>
      <w:divBdr>
        <w:top w:val="none" w:sz="0" w:space="0" w:color="auto"/>
        <w:left w:val="none" w:sz="0" w:space="0" w:color="auto"/>
        <w:bottom w:val="none" w:sz="0" w:space="0" w:color="auto"/>
        <w:right w:val="none" w:sz="0" w:space="0" w:color="auto"/>
      </w:divBdr>
    </w:div>
    <w:div w:id="1446120758">
      <w:bodyDiv w:val="1"/>
      <w:marLeft w:val="0"/>
      <w:marRight w:val="0"/>
      <w:marTop w:val="0"/>
      <w:marBottom w:val="0"/>
      <w:divBdr>
        <w:top w:val="none" w:sz="0" w:space="0" w:color="auto"/>
        <w:left w:val="none" w:sz="0" w:space="0" w:color="auto"/>
        <w:bottom w:val="none" w:sz="0" w:space="0" w:color="auto"/>
        <w:right w:val="none" w:sz="0" w:space="0" w:color="auto"/>
      </w:divBdr>
    </w:div>
    <w:div w:id="1509365188">
      <w:bodyDiv w:val="1"/>
      <w:marLeft w:val="0"/>
      <w:marRight w:val="0"/>
      <w:marTop w:val="0"/>
      <w:marBottom w:val="0"/>
      <w:divBdr>
        <w:top w:val="none" w:sz="0" w:space="0" w:color="auto"/>
        <w:left w:val="none" w:sz="0" w:space="0" w:color="auto"/>
        <w:bottom w:val="none" w:sz="0" w:space="0" w:color="auto"/>
        <w:right w:val="none" w:sz="0" w:space="0" w:color="auto"/>
      </w:divBdr>
    </w:div>
    <w:div w:id="1648318798">
      <w:bodyDiv w:val="1"/>
      <w:marLeft w:val="0"/>
      <w:marRight w:val="0"/>
      <w:marTop w:val="0"/>
      <w:marBottom w:val="0"/>
      <w:divBdr>
        <w:top w:val="none" w:sz="0" w:space="0" w:color="auto"/>
        <w:left w:val="none" w:sz="0" w:space="0" w:color="auto"/>
        <w:bottom w:val="none" w:sz="0" w:space="0" w:color="auto"/>
        <w:right w:val="none" w:sz="0" w:space="0" w:color="auto"/>
      </w:divBdr>
    </w:div>
    <w:div w:id="1654404806">
      <w:bodyDiv w:val="1"/>
      <w:marLeft w:val="0"/>
      <w:marRight w:val="0"/>
      <w:marTop w:val="0"/>
      <w:marBottom w:val="0"/>
      <w:divBdr>
        <w:top w:val="none" w:sz="0" w:space="0" w:color="auto"/>
        <w:left w:val="none" w:sz="0" w:space="0" w:color="auto"/>
        <w:bottom w:val="none" w:sz="0" w:space="0" w:color="auto"/>
        <w:right w:val="none" w:sz="0" w:space="0" w:color="auto"/>
      </w:divBdr>
    </w:div>
    <w:div w:id="1672484106">
      <w:bodyDiv w:val="1"/>
      <w:marLeft w:val="0"/>
      <w:marRight w:val="0"/>
      <w:marTop w:val="0"/>
      <w:marBottom w:val="0"/>
      <w:divBdr>
        <w:top w:val="none" w:sz="0" w:space="0" w:color="auto"/>
        <w:left w:val="none" w:sz="0" w:space="0" w:color="auto"/>
        <w:bottom w:val="none" w:sz="0" w:space="0" w:color="auto"/>
        <w:right w:val="none" w:sz="0" w:space="0" w:color="auto"/>
      </w:divBdr>
    </w:div>
    <w:div w:id="1725982418">
      <w:bodyDiv w:val="1"/>
      <w:marLeft w:val="0"/>
      <w:marRight w:val="0"/>
      <w:marTop w:val="0"/>
      <w:marBottom w:val="0"/>
      <w:divBdr>
        <w:top w:val="none" w:sz="0" w:space="0" w:color="auto"/>
        <w:left w:val="none" w:sz="0" w:space="0" w:color="auto"/>
        <w:bottom w:val="none" w:sz="0" w:space="0" w:color="auto"/>
        <w:right w:val="none" w:sz="0" w:space="0" w:color="auto"/>
      </w:divBdr>
    </w:div>
    <w:div w:id="1811435011">
      <w:bodyDiv w:val="1"/>
      <w:marLeft w:val="0"/>
      <w:marRight w:val="0"/>
      <w:marTop w:val="0"/>
      <w:marBottom w:val="0"/>
      <w:divBdr>
        <w:top w:val="none" w:sz="0" w:space="0" w:color="auto"/>
        <w:left w:val="none" w:sz="0" w:space="0" w:color="auto"/>
        <w:bottom w:val="none" w:sz="0" w:space="0" w:color="auto"/>
        <w:right w:val="none" w:sz="0" w:space="0" w:color="auto"/>
      </w:divBdr>
    </w:div>
    <w:div w:id="1988388742">
      <w:bodyDiv w:val="1"/>
      <w:marLeft w:val="0"/>
      <w:marRight w:val="0"/>
      <w:marTop w:val="0"/>
      <w:marBottom w:val="0"/>
      <w:divBdr>
        <w:top w:val="none" w:sz="0" w:space="0" w:color="auto"/>
        <w:left w:val="none" w:sz="0" w:space="0" w:color="auto"/>
        <w:bottom w:val="none" w:sz="0" w:space="0" w:color="auto"/>
        <w:right w:val="none" w:sz="0" w:space="0" w:color="auto"/>
      </w:divBdr>
    </w:div>
    <w:div w:id="211512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9</Pages>
  <Words>2357</Words>
  <Characters>15985</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2024012946_x000d_
SPC opdat. pkt. 4.4</dc:description>
  <cp:lastModifiedBy>Marianne Ott Jensen</cp:lastModifiedBy>
  <cp:revision>4</cp:revision>
  <cp:lastPrinted>2012-08-22T08:53:00Z</cp:lastPrinted>
  <dcterms:created xsi:type="dcterms:W3CDTF">2024-11-05T08:38:00Z</dcterms:created>
  <dcterms:modified xsi:type="dcterms:W3CDTF">2024-11-13T10:50:00Z</dcterms:modified>
</cp:coreProperties>
</file>