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A79" w:rsidRDefault="00422A79" w:rsidP="00422A79">
      <w:pPr>
        <w:pStyle w:val="Titel"/>
        <w:tabs>
          <w:tab w:val="left" w:pos="7938"/>
        </w:tabs>
        <w:jc w:val="left"/>
        <w:rPr>
          <w:b w:val="0"/>
        </w:rPr>
      </w:pPr>
      <w:r>
        <w:rPr>
          <w:szCs w:val="24"/>
        </w:rPr>
        <w:fldChar w:fldCharType="begin"/>
      </w:r>
      <w:r>
        <w:rPr>
          <w:szCs w:val="24"/>
        </w:rPr>
        <w:instrText xml:space="preserve"> INCLUDEPICTURE  "cid:image001.jpg@01D1601C.B3FB0BA0" \* MERGEFORMATINET </w:instrText>
      </w:r>
      <w:r>
        <w:rPr>
          <w:szCs w:val="24"/>
        </w:rPr>
        <w:fldChar w:fldCharType="separate"/>
      </w:r>
      <w:r>
        <w:rPr>
          <w:szCs w:val="24"/>
        </w:rPr>
        <w:fldChar w:fldCharType="begin"/>
      </w:r>
      <w:r>
        <w:rPr>
          <w:szCs w:val="24"/>
        </w:rPr>
        <w:instrText xml:space="preserve"> INCLUDEPICTURE  "cid:image001.jpg@01D1601C.B3FB0BA0" \* MERGEFORMATINET </w:instrText>
      </w:r>
      <w:r>
        <w:rPr>
          <w:szCs w:val="24"/>
        </w:rPr>
        <w:fldChar w:fldCharType="separate"/>
      </w:r>
      <w:r>
        <w:rPr>
          <w:szCs w:val="24"/>
        </w:rPr>
        <w:fldChar w:fldCharType="begin"/>
      </w:r>
      <w:r>
        <w:rPr>
          <w:szCs w:val="24"/>
        </w:rPr>
        <w:instrText xml:space="preserve"> INCLUDEPICTURE  "cid:image001.jpg@01D1601C.B3FB0BA0" \* MERGEFORMATINET </w:instrText>
      </w:r>
      <w:r>
        <w:rPr>
          <w:szCs w:val="24"/>
        </w:rPr>
        <w:fldChar w:fldCharType="separate"/>
      </w:r>
      <w:r w:rsidR="00D93BE6">
        <w:rPr>
          <w:szCs w:val="24"/>
        </w:rPr>
        <w:fldChar w:fldCharType="begin"/>
      </w:r>
      <w:r w:rsidR="00D93BE6">
        <w:rPr>
          <w:szCs w:val="24"/>
        </w:rPr>
        <w:instrText xml:space="preserve"> INCLUDEPICTURE  "cid:image001.jpg@01D1601C.B3FB0BA0" \* MERGEFORMATINET </w:instrText>
      </w:r>
      <w:r w:rsidR="00D93BE6">
        <w:rPr>
          <w:szCs w:val="24"/>
        </w:rPr>
        <w:fldChar w:fldCharType="separate"/>
      </w:r>
      <w:r w:rsidR="00C27746">
        <w:rPr>
          <w:szCs w:val="24"/>
        </w:rPr>
        <w:fldChar w:fldCharType="begin"/>
      </w:r>
      <w:r w:rsidR="00C27746">
        <w:rPr>
          <w:szCs w:val="24"/>
        </w:rPr>
        <w:instrText xml:space="preserve"> INCLUDEPICTURE  "cid:image001.jpg@01D1601C.B3FB0BA0" \* MERGEFORMATINET </w:instrText>
      </w:r>
      <w:r w:rsidR="00C27746">
        <w:rPr>
          <w:szCs w:val="24"/>
        </w:rPr>
        <w:fldChar w:fldCharType="separate"/>
      </w:r>
      <w:r w:rsidR="001713B0">
        <w:rPr>
          <w:szCs w:val="24"/>
        </w:rPr>
        <w:fldChar w:fldCharType="begin"/>
      </w:r>
      <w:r w:rsidR="001713B0">
        <w:rPr>
          <w:szCs w:val="24"/>
        </w:rPr>
        <w:instrText xml:space="preserve"> INCLUDEPICTURE  "cid:image001.jpg@01D1601C.B3FB0BA0" \* MERGEFORMATINET </w:instrText>
      </w:r>
      <w:r w:rsidR="001713B0">
        <w:rPr>
          <w:szCs w:val="24"/>
        </w:rPr>
        <w:fldChar w:fldCharType="separate"/>
      </w:r>
      <w:r w:rsidR="00DA102F">
        <w:rPr>
          <w:szCs w:val="24"/>
        </w:rPr>
        <w:fldChar w:fldCharType="begin"/>
      </w:r>
      <w:r w:rsidR="00DA102F">
        <w:rPr>
          <w:szCs w:val="24"/>
        </w:rPr>
        <w:instrText xml:space="preserve"> INCLUDEPICTURE  "cid:image001.jpg@01</w:instrText>
      </w:r>
      <w:r w:rsidR="00DA102F">
        <w:rPr>
          <w:szCs w:val="24"/>
        </w:rPr>
        <w:instrText xml:space="preserve">D1601C.B3FB0BA0" \* MERGEFORMATINET </w:instrText>
      </w:r>
      <w:r w:rsidR="00DA102F">
        <w:rPr>
          <w:szCs w:val="24"/>
        </w:rPr>
        <w:fldChar w:fldCharType="separate"/>
      </w:r>
      <w:r w:rsidR="00DA102F">
        <w:rPr>
          <w:szCs w:val="24"/>
        </w:rPr>
        <w:fldChar w:fldCharType="begin"/>
      </w:r>
      <w:r w:rsidR="00DA102F">
        <w:rPr>
          <w:szCs w:val="24"/>
        </w:rPr>
        <w:instrText xml:space="preserve"> </w:instrText>
      </w:r>
      <w:r w:rsidR="00DA102F">
        <w:rPr>
          <w:szCs w:val="24"/>
        </w:rPr>
        <w:instrText>INCLUDEPICTURE  "cid:image001.jpg@01D1601C.B3FB0BA0" \* MERGEFORMATINET</w:instrText>
      </w:r>
      <w:r w:rsidR="00DA102F">
        <w:rPr>
          <w:szCs w:val="24"/>
        </w:rPr>
        <w:instrText xml:space="preserve"> </w:instrText>
      </w:r>
      <w:r w:rsidR="00DA102F">
        <w:rPr>
          <w:szCs w:val="24"/>
        </w:rPr>
        <w:fldChar w:fldCharType="separate"/>
      </w:r>
      <w:r w:rsidR="00DA102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3" o:spid="_x0000_i1025" type="#_x0000_t75" style="width:191.25pt;height:54pt">
            <v:imagedata r:id="rId7" r:href="rId8"/>
          </v:shape>
        </w:pict>
      </w:r>
      <w:r w:rsidR="00DA102F">
        <w:rPr>
          <w:szCs w:val="24"/>
        </w:rPr>
        <w:fldChar w:fldCharType="end"/>
      </w:r>
      <w:r w:rsidR="00DA102F">
        <w:rPr>
          <w:szCs w:val="24"/>
        </w:rPr>
        <w:fldChar w:fldCharType="end"/>
      </w:r>
      <w:r w:rsidR="001713B0">
        <w:rPr>
          <w:szCs w:val="24"/>
        </w:rPr>
        <w:fldChar w:fldCharType="end"/>
      </w:r>
      <w:r w:rsidR="00C27746">
        <w:rPr>
          <w:szCs w:val="24"/>
        </w:rPr>
        <w:fldChar w:fldCharType="end"/>
      </w:r>
      <w:r w:rsidR="00D93BE6">
        <w:rPr>
          <w:szCs w:val="24"/>
        </w:rPr>
        <w:fldChar w:fldCharType="end"/>
      </w:r>
      <w:r>
        <w:rPr>
          <w:szCs w:val="24"/>
        </w:rPr>
        <w:fldChar w:fldCharType="end"/>
      </w:r>
      <w:r>
        <w:rPr>
          <w:szCs w:val="24"/>
        </w:rPr>
        <w:fldChar w:fldCharType="end"/>
      </w:r>
      <w:r>
        <w:rPr>
          <w:szCs w:val="24"/>
        </w:rPr>
        <w:fldChar w:fldCharType="end"/>
      </w:r>
    </w:p>
    <w:p w:rsidR="00422A79" w:rsidRDefault="00422A79" w:rsidP="00422A79">
      <w:pPr>
        <w:pStyle w:val="Titel"/>
        <w:tabs>
          <w:tab w:val="left" w:pos="6804"/>
        </w:tabs>
        <w:jc w:val="right"/>
      </w:pPr>
    </w:p>
    <w:p w:rsidR="00422A79" w:rsidRDefault="00DA102F" w:rsidP="00422A79">
      <w:pPr>
        <w:pStyle w:val="Titel"/>
        <w:tabs>
          <w:tab w:val="left" w:pos="6804"/>
        </w:tabs>
        <w:jc w:val="right"/>
      </w:pPr>
      <w:r>
        <w:t>2. december 2020</w:t>
      </w:r>
    </w:p>
    <w:p w:rsidR="00D93BE6" w:rsidRDefault="00D93BE6" w:rsidP="00422A79">
      <w:pPr>
        <w:pStyle w:val="Titel"/>
        <w:tabs>
          <w:tab w:val="left" w:pos="6804"/>
        </w:tabs>
        <w:jc w:val="right"/>
      </w:pPr>
    </w:p>
    <w:p w:rsidR="00422A79" w:rsidRDefault="00422A79" w:rsidP="00422A79">
      <w:pPr>
        <w:pStyle w:val="Titel"/>
        <w:tabs>
          <w:tab w:val="left" w:pos="6804"/>
        </w:tabs>
        <w:jc w:val="left"/>
        <w:rPr>
          <w:b w:val="0"/>
        </w:rPr>
      </w:pPr>
    </w:p>
    <w:p w:rsidR="00422A79" w:rsidRDefault="00422A79" w:rsidP="00422A79">
      <w:pPr>
        <w:jc w:val="center"/>
        <w:rPr>
          <w:b/>
        </w:rPr>
      </w:pPr>
      <w:r>
        <w:rPr>
          <w:b/>
        </w:rPr>
        <w:t>PRODUKTRESUMÉ</w:t>
      </w:r>
    </w:p>
    <w:p w:rsidR="00422A79" w:rsidRDefault="00422A79" w:rsidP="00422A79">
      <w:pPr>
        <w:jc w:val="center"/>
        <w:rPr>
          <w:b/>
        </w:rPr>
      </w:pPr>
    </w:p>
    <w:p w:rsidR="00422A79" w:rsidRDefault="00422A79" w:rsidP="00422A79">
      <w:pPr>
        <w:jc w:val="center"/>
        <w:rPr>
          <w:b/>
        </w:rPr>
      </w:pPr>
      <w:r>
        <w:rPr>
          <w:b/>
        </w:rPr>
        <w:t>for</w:t>
      </w:r>
    </w:p>
    <w:p w:rsidR="00422A79" w:rsidRDefault="00422A79" w:rsidP="00422A79">
      <w:pPr>
        <w:jc w:val="center"/>
        <w:rPr>
          <w:b/>
        </w:rPr>
      </w:pPr>
    </w:p>
    <w:p w:rsidR="00422A79" w:rsidRPr="00D93BE6" w:rsidRDefault="00785CA6" w:rsidP="00422A79">
      <w:pPr>
        <w:jc w:val="center"/>
        <w:rPr>
          <w:b/>
          <w:lang w:val="en-US"/>
        </w:rPr>
      </w:pPr>
      <w:r w:rsidRPr="00D93BE6">
        <w:rPr>
          <w:b/>
          <w:lang w:val="en-US"/>
        </w:rPr>
        <w:t>Salmeterol ”2care4”</w:t>
      </w:r>
      <w:r w:rsidR="00422A79" w:rsidRPr="00D93BE6">
        <w:rPr>
          <w:b/>
          <w:lang w:val="en-US"/>
        </w:rPr>
        <w:t>, inhalationsspray, suspension</w:t>
      </w:r>
      <w:r w:rsidR="00D93BE6" w:rsidRPr="00D93BE6">
        <w:rPr>
          <w:b/>
          <w:lang w:val="en-US"/>
        </w:rPr>
        <w:t xml:space="preserve"> (2care4)</w:t>
      </w:r>
    </w:p>
    <w:p w:rsidR="00422A79" w:rsidRPr="00D93BE6" w:rsidRDefault="00422A79" w:rsidP="00422A79">
      <w:pPr>
        <w:jc w:val="both"/>
        <w:rPr>
          <w:lang w:val="en-US"/>
        </w:rPr>
      </w:pPr>
    </w:p>
    <w:p w:rsidR="00422A79" w:rsidRPr="00D93BE6" w:rsidRDefault="00422A79" w:rsidP="00422A79">
      <w:pPr>
        <w:ind w:left="851" w:hanging="851"/>
        <w:jc w:val="both"/>
        <w:rPr>
          <w:szCs w:val="24"/>
          <w:lang w:val="en-US"/>
        </w:rPr>
      </w:pPr>
    </w:p>
    <w:p w:rsidR="00422A79" w:rsidRPr="008A60D2" w:rsidRDefault="00422A79" w:rsidP="00422A79">
      <w:pPr>
        <w:numPr>
          <w:ilvl w:val="0"/>
          <w:numId w:val="6"/>
        </w:numPr>
        <w:tabs>
          <w:tab w:val="clear" w:pos="855"/>
        </w:tabs>
        <w:ind w:left="851" w:hanging="851"/>
        <w:rPr>
          <w:b/>
          <w:szCs w:val="24"/>
        </w:rPr>
      </w:pPr>
      <w:r w:rsidRPr="008A60D2">
        <w:rPr>
          <w:b/>
          <w:szCs w:val="24"/>
        </w:rPr>
        <w:t>D.SP.NR.</w:t>
      </w:r>
    </w:p>
    <w:p w:rsidR="00422A79" w:rsidRPr="008A60D2" w:rsidRDefault="00422A79" w:rsidP="00422A79">
      <w:pPr>
        <w:ind w:left="851" w:hanging="851"/>
        <w:rPr>
          <w:szCs w:val="24"/>
        </w:rPr>
      </w:pPr>
      <w:r w:rsidRPr="008A60D2">
        <w:rPr>
          <w:szCs w:val="24"/>
        </w:rPr>
        <w:tab/>
        <w:t>8496</w:t>
      </w:r>
    </w:p>
    <w:p w:rsidR="00422A79" w:rsidRPr="008A60D2" w:rsidRDefault="00422A79" w:rsidP="00422A79">
      <w:pPr>
        <w:ind w:left="851" w:hanging="851"/>
        <w:rPr>
          <w:szCs w:val="24"/>
        </w:rPr>
      </w:pPr>
    </w:p>
    <w:p w:rsidR="00422A79" w:rsidRPr="008A60D2" w:rsidRDefault="00422A79" w:rsidP="00422A79">
      <w:pPr>
        <w:numPr>
          <w:ilvl w:val="0"/>
          <w:numId w:val="6"/>
        </w:numPr>
        <w:tabs>
          <w:tab w:val="clear" w:pos="855"/>
        </w:tabs>
        <w:ind w:left="851" w:hanging="851"/>
        <w:rPr>
          <w:b/>
          <w:szCs w:val="24"/>
        </w:rPr>
      </w:pPr>
      <w:r w:rsidRPr="008A60D2">
        <w:rPr>
          <w:b/>
          <w:szCs w:val="24"/>
        </w:rPr>
        <w:t>LÆGEMIDLETS NAVN</w:t>
      </w:r>
    </w:p>
    <w:p w:rsidR="00422A79" w:rsidRPr="008A60D2" w:rsidRDefault="00422A79" w:rsidP="00422A79">
      <w:pPr>
        <w:ind w:left="851" w:hanging="851"/>
        <w:rPr>
          <w:szCs w:val="24"/>
        </w:rPr>
      </w:pPr>
      <w:r w:rsidRPr="008A60D2">
        <w:rPr>
          <w:szCs w:val="24"/>
        </w:rPr>
        <w:tab/>
      </w:r>
      <w:r w:rsidR="00785CA6">
        <w:rPr>
          <w:szCs w:val="24"/>
        </w:rPr>
        <w:t>Salmeterol ”2care4”</w:t>
      </w:r>
    </w:p>
    <w:p w:rsidR="00422A79" w:rsidRPr="008A60D2" w:rsidRDefault="00422A79" w:rsidP="00422A79">
      <w:pPr>
        <w:ind w:left="851" w:hanging="851"/>
        <w:rPr>
          <w:szCs w:val="24"/>
        </w:rPr>
      </w:pPr>
      <w:r w:rsidRPr="008A60D2">
        <w:rPr>
          <w:szCs w:val="24"/>
        </w:rPr>
        <w:tab/>
      </w:r>
    </w:p>
    <w:p w:rsidR="00422A79" w:rsidRPr="008A60D2" w:rsidRDefault="00422A79" w:rsidP="00422A79">
      <w:pPr>
        <w:numPr>
          <w:ilvl w:val="0"/>
          <w:numId w:val="6"/>
        </w:numPr>
        <w:tabs>
          <w:tab w:val="clear" w:pos="855"/>
        </w:tabs>
        <w:ind w:left="851" w:hanging="851"/>
        <w:rPr>
          <w:b/>
          <w:szCs w:val="24"/>
        </w:rPr>
      </w:pPr>
      <w:r w:rsidRPr="008A60D2">
        <w:rPr>
          <w:b/>
          <w:szCs w:val="24"/>
        </w:rPr>
        <w:t>KVALITATIV OG KVANTITATIV SAMMENSÆTNING</w:t>
      </w:r>
    </w:p>
    <w:p w:rsidR="00422A79" w:rsidRPr="008A60D2" w:rsidRDefault="00422A79" w:rsidP="00422A79">
      <w:pPr>
        <w:spacing w:after="240"/>
        <w:ind w:left="851" w:hanging="851"/>
        <w:rPr>
          <w:szCs w:val="24"/>
        </w:rPr>
      </w:pPr>
      <w:r w:rsidRPr="008A60D2">
        <w:rPr>
          <w:szCs w:val="24"/>
        </w:rPr>
        <w:tab/>
        <w:t>Salmeterol 25 mikrogram/dosis som salmeterolxinafoat. Det</w:t>
      </w:r>
      <w:r>
        <w:rPr>
          <w:szCs w:val="24"/>
        </w:rPr>
        <w:t>te</w:t>
      </w:r>
      <w:r w:rsidRPr="008A60D2">
        <w:rPr>
          <w:szCs w:val="24"/>
        </w:rPr>
        <w:t xml:space="preserve"> svarer til en inhaleret dosis på 21 mikrogram salmeterol som salmeterolxinafoat.</w:t>
      </w:r>
    </w:p>
    <w:p w:rsidR="00422A79" w:rsidRPr="008A60D2" w:rsidRDefault="00422A79" w:rsidP="00422A79">
      <w:pPr>
        <w:spacing w:line="260" w:lineRule="exact"/>
        <w:ind w:left="851" w:hanging="851"/>
        <w:rPr>
          <w:szCs w:val="24"/>
        </w:rPr>
      </w:pPr>
      <w:r>
        <w:rPr>
          <w:szCs w:val="24"/>
        </w:rPr>
        <w:tab/>
        <w:t>A</w:t>
      </w:r>
      <w:r w:rsidRPr="008A60D2">
        <w:rPr>
          <w:szCs w:val="24"/>
        </w:rPr>
        <w:t>lle hjælpestoffer er anført under pkt. 6.1.</w:t>
      </w:r>
    </w:p>
    <w:p w:rsidR="00422A79" w:rsidRPr="008A60D2" w:rsidRDefault="00422A79" w:rsidP="00422A79">
      <w:pPr>
        <w:ind w:left="851" w:hanging="851"/>
        <w:rPr>
          <w:szCs w:val="24"/>
        </w:rPr>
      </w:pPr>
    </w:p>
    <w:p w:rsidR="00422A79" w:rsidRPr="008A60D2" w:rsidRDefault="00422A79" w:rsidP="00422A79">
      <w:pPr>
        <w:numPr>
          <w:ilvl w:val="0"/>
          <w:numId w:val="6"/>
        </w:numPr>
        <w:tabs>
          <w:tab w:val="clear" w:pos="855"/>
        </w:tabs>
        <w:ind w:left="851" w:hanging="851"/>
        <w:rPr>
          <w:b/>
          <w:szCs w:val="24"/>
        </w:rPr>
      </w:pPr>
      <w:r w:rsidRPr="008A60D2">
        <w:rPr>
          <w:b/>
          <w:szCs w:val="24"/>
        </w:rPr>
        <w:t>LÆGEMIDDELFORM</w:t>
      </w:r>
    </w:p>
    <w:p w:rsidR="00422A79" w:rsidRPr="008A60D2" w:rsidRDefault="00422A79" w:rsidP="00422A79">
      <w:pPr>
        <w:suppressAutoHyphens/>
        <w:ind w:left="851"/>
        <w:rPr>
          <w:spacing w:val="-3"/>
          <w:szCs w:val="24"/>
        </w:rPr>
      </w:pPr>
      <w:r w:rsidRPr="008A60D2">
        <w:rPr>
          <w:spacing w:val="-3"/>
          <w:szCs w:val="24"/>
        </w:rPr>
        <w:t>Inhalationsspray, suspension</w:t>
      </w:r>
      <w:r w:rsidR="00D93BE6">
        <w:rPr>
          <w:spacing w:val="-3"/>
          <w:szCs w:val="24"/>
        </w:rPr>
        <w:t xml:space="preserve"> (</w:t>
      </w:r>
      <w:r w:rsidR="00D93BE6" w:rsidRPr="00D93BE6">
        <w:rPr>
          <w:spacing w:val="-3"/>
          <w:szCs w:val="24"/>
        </w:rPr>
        <w:t>2care4</w:t>
      </w:r>
      <w:r w:rsidR="00D93BE6">
        <w:rPr>
          <w:spacing w:val="-3"/>
          <w:szCs w:val="24"/>
        </w:rPr>
        <w:t>)</w:t>
      </w:r>
      <w:r w:rsidRPr="008A60D2">
        <w:rPr>
          <w:spacing w:val="-3"/>
          <w:szCs w:val="24"/>
        </w:rPr>
        <w:t>.</w:t>
      </w:r>
    </w:p>
    <w:p w:rsidR="00422A79" w:rsidRPr="008A60D2" w:rsidRDefault="00422A79" w:rsidP="00422A79">
      <w:pPr>
        <w:ind w:left="851" w:hanging="851"/>
        <w:rPr>
          <w:szCs w:val="24"/>
        </w:rPr>
      </w:pPr>
    </w:p>
    <w:p w:rsidR="00422A79" w:rsidRPr="008A60D2" w:rsidRDefault="00422A79" w:rsidP="00422A79">
      <w:pPr>
        <w:ind w:left="851" w:hanging="851"/>
        <w:rPr>
          <w:szCs w:val="24"/>
        </w:rPr>
      </w:pPr>
    </w:p>
    <w:p w:rsidR="00422A79" w:rsidRPr="008A60D2" w:rsidRDefault="00422A79" w:rsidP="00422A79">
      <w:pPr>
        <w:numPr>
          <w:ilvl w:val="0"/>
          <w:numId w:val="6"/>
        </w:numPr>
        <w:tabs>
          <w:tab w:val="clear" w:pos="855"/>
        </w:tabs>
        <w:ind w:left="851" w:hanging="851"/>
        <w:rPr>
          <w:b/>
          <w:szCs w:val="24"/>
        </w:rPr>
      </w:pPr>
      <w:r w:rsidRPr="008A60D2">
        <w:rPr>
          <w:b/>
          <w:szCs w:val="24"/>
        </w:rPr>
        <w:t>KLINISKE OPLYSNINGER</w:t>
      </w:r>
    </w:p>
    <w:p w:rsidR="00422A79" w:rsidRPr="008A60D2" w:rsidRDefault="00422A79" w:rsidP="00422A79">
      <w:pPr>
        <w:ind w:left="851" w:hanging="851"/>
        <w:rPr>
          <w:b/>
          <w:szCs w:val="24"/>
        </w:rPr>
      </w:pPr>
    </w:p>
    <w:p w:rsidR="00422A79" w:rsidRPr="008A60D2" w:rsidRDefault="00422A79" w:rsidP="00422A79">
      <w:pPr>
        <w:numPr>
          <w:ilvl w:val="1"/>
          <w:numId w:val="6"/>
        </w:numPr>
        <w:tabs>
          <w:tab w:val="clear" w:pos="855"/>
        </w:tabs>
        <w:ind w:left="851" w:hanging="851"/>
        <w:rPr>
          <w:b/>
          <w:szCs w:val="24"/>
          <w:u w:val="single"/>
        </w:rPr>
      </w:pPr>
      <w:r w:rsidRPr="008A60D2">
        <w:rPr>
          <w:b/>
          <w:szCs w:val="24"/>
        </w:rPr>
        <w:t>Terapeutiske indikationer</w:t>
      </w:r>
    </w:p>
    <w:p w:rsidR="00422A79" w:rsidRPr="004332B0" w:rsidRDefault="00422A79" w:rsidP="00422A79">
      <w:pPr>
        <w:ind w:left="851"/>
        <w:rPr>
          <w:b/>
          <w:u w:val="single"/>
        </w:rPr>
      </w:pPr>
      <w:r>
        <w:rPr>
          <w:b/>
          <w:u w:val="single"/>
        </w:rPr>
        <w:t>Astma</w:t>
      </w:r>
    </w:p>
    <w:p w:rsidR="00422A79" w:rsidRDefault="00785CA6" w:rsidP="00422A79">
      <w:pPr>
        <w:ind w:left="851"/>
      </w:pPr>
      <w:r>
        <w:t>Salmeterol ”2care4”</w:t>
      </w:r>
      <w:r w:rsidR="00422A79">
        <w:t xml:space="preserve"> er indiceret til f</w:t>
      </w:r>
      <w:r w:rsidR="00422A79" w:rsidRPr="008A60D2">
        <w:t xml:space="preserve">ast symptomatisk tillægsbehandling ved reversibel luftvejsobstruktion hos patienter med astma, herunder natlig astma, hvor tilstrækkelig kontrol ikke opnås med inhalationssteroider, i henhold til gældende retningslinjer for behandling. </w:t>
      </w:r>
    </w:p>
    <w:p w:rsidR="00422A79" w:rsidRDefault="00422A79" w:rsidP="00422A79">
      <w:pPr>
        <w:ind w:left="851"/>
      </w:pPr>
    </w:p>
    <w:p w:rsidR="00422A79" w:rsidRDefault="00785CA6" w:rsidP="00422A79">
      <w:pPr>
        <w:ind w:left="851"/>
      </w:pPr>
      <w:r>
        <w:t>Salmeterol ”2care4”</w:t>
      </w:r>
      <w:r w:rsidR="00422A79">
        <w:t xml:space="preserve"> er også indiceret til f</w:t>
      </w:r>
      <w:r w:rsidR="00422A79" w:rsidRPr="008A60D2">
        <w:t xml:space="preserve">orebyggelse ved anstrengelsesudløst astma. </w:t>
      </w:r>
    </w:p>
    <w:p w:rsidR="00422A79" w:rsidRDefault="00422A79" w:rsidP="00422A79">
      <w:pPr>
        <w:ind w:left="851"/>
      </w:pPr>
    </w:p>
    <w:p w:rsidR="00422A79" w:rsidRDefault="00422A79" w:rsidP="00422A79">
      <w:pPr>
        <w:ind w:left="851"/>
        <w:rPr>
          <w:b/>
          <w:u w:val="single"/>
        </w:rPr>
      </w:pPr>
      <w:r>
        <w:rPr>
          <w:b/>
          <w:u w:val="single"/>
        </w:rPr>
        <w:t>Kronisk obstruktiv lungesygdom (KOL)</w:t>
      </w:r>
    </w:p>
    <w:p w:rsidR="00422A79" w:rsidRPr="004332B0" w:rsidRDefault="00785CA6" w:rsidP="00422A79">
      <w:pPr>
        <w:ind w:left="851"/>
        <w:rPr>
          <w:b/>
          <w:u w:val="single"/>
        </w:rPr>
      </w:pPr>
      <w:r>
        <w:t>Salmeterol ”2care4”</w:t>
      </w:r>
      <w:r w:rsidR="00422A79">
        <w:t xml:space="preserve"> er indiceret til b</w:t>
      </w:r>
      <w:r w:rsidR="00422A79" w:rsidRPr="008A60D2">
        <w:t>ehandling af</w:t>
      </w:r>
      <w:r w:rsidR="00422A79">
        <w:t xml:space="preserve"> patienter med KOL</w:t>
      </w:r>
      <w:r w:rsidR="00422A79" w:rsidRPr="008A60D2">
        <w:t>.</w:t>
      </w:r>
    </w:p>
    <w:p w:rsidR="00422A79" w:rsidRDefault="00422A79" w:rsidP="00422A79"/>
    <w:p w:rsidR="00422A79" w:rsidRPr="008A60D2" w:rsidRDefault="00422A79" w:rsidP="00422A79">
      <w:pPr>
        <w:numPr>
          <w:ilvl w:val="1"/>
          <w:numId w:val="6"/>
        </w:numPr>
        <w:tabs>
          <w:tab w:val="clear" w:pos="855"/>
        </w:tabs>
        <w:ind w:left="851" w:hanging="851"/>
        <w:rPr>
          <w:b/>
          <w:szCs w:val="24"/>
        </w:rPr>
      </w:pPr>
      <w:r w:rsidRPr="008A60D2">
        <w:rPr>
          <w:b/>
          <w:szCs w:val="24"/>
        </w:rPr>
        <w:t>Dosering og indgivelsesmåde</w:t>
      </w:r>
    </w:p>
    <w:p w:rsidR="00422A79" w:rsidRPr="0002281E" w:rsidRDefault="00422A79" w:rsidP="00422A79">
      <w:pPr>
        <w:ind w:left="851"/>
        <w:rPr>
          <w:noProof/>
          <w:szCs w:val="24"/>
          <w:u w:val="single"/>
        </w:rPr>
      </w:pPr>
      <w:r>
        <w:rPr>
          <w:noProof/>
          <w:szCs w:val="24"/>
          <w:u w:val="single"/>
        </w:rPr>
        <w:t>Dosering</w:t>
      </w:r>
    </w:p>
    <w:p w:rsidR="00422A79" w:rsidRDefault="00422A79" w:rsidP="00422A79">
      <w:pPr>
        <w:ind w:left="851" w:hanging="851"/>
        <w:rPr>
          <w:i/>
          <w:noProof/>
          <w:szCs w:val="24"/>
          <w:u w:val="single"/>
        </w:rPr>
      </w:pPr>
      <w:r w:rsidRPr="008A60D2">
        <w:rPr>
          <w:b/>
          <w:noProof/>
          <w:szCs w:val="24"/>
          <w:u w:val="single"/>
        </w:rPr>
        <w:br/>
      </w:r>
      <w:r w:rsidRPr="008A13D2">
        <w:rPr>
          <w:i/>
          <w:noProof/>
          <w:szCs w:val="24"/>
          <w:u w:val="single"/>
        </w:rPr>
        <w:t>Astma</w:t>
      </w:r>
    </w:p>
    <w:p w:rsidR="00422A79" w:rsidRPr="008A13D2" w:rsidRDefault="00422A79" w:rsidP="00422A79">
      <w:pPr>
        <w:ind w:left="851" w:hanging="851"/>
        <w:rPr>
          <w:i/>
          <w:noProof/>
          <w:szCs w:val="24"/>
          <w:u w:val="single"/>
        </w:rPr>
      </w:pPr>
    </w:p>
    <w:p w:rsidR="00422A79" w:rsidRPr="0044582D" w:rsidRDefault="00422A79" w:rsidP="00422A79">
      <w:pPr>
        <w:ind w:left="851"/>
        <w:rPr>
          <w:i/>
          <w:noProof/>
          <w:szCs w:val="24"/>
        </w:rPr>
      </w:pPr>
      <w:r w:rsidRPr="0044582D">
        <w:rPr>
          <w:i/>
          <w:noProof/>
          <w:szCs w:val="24"/>
        </w:rPr>
        <w:t>Voksne og unge fra 12 år:</w:t>
      </w:r>
    </w:p>
    <w:p w:rsidR="00422A79" w:rsidRPr="008A60D2" w:rsidRDefault="00422A79" w:rsidP="00422A79">
      <w:pPr>
        <w:ind w:left="851" w:hanging="851"/>
        <w:rPr>
          <w:noProof/>
          <w:szCs w:val="24"/>
        </w:rPr>
      </w:pPr>
      <w:r w:rsidRPr="008A60D2">
        <w:rPr>
          <w:noProof/>
          <w:szCs w:val="24"/>
        </w:rPr>
        <w:tab/>
        <w:t xml:space="preserve">2 pust à 25 mikrogram salmeterol </w:t>
      </w:r>
      <w:r>
        <w:rPr>
          <w:noProof/>
          <w:szCs w:val="24"/>
        </w:rPr>
        <w:t>2</w:t>
      </w:r>
      <w:r w:rsidRPr="008A60D2">
        <w:rPr>
          <w:noProof/>
          <w:szCs w:val="24"/>
        </w:rPr>
        <w:t xml:space="preserve"> gange daglig</w:t>
      </w:r>
      <w:r>
        <w:rPr>
          <w:noProof/>
          <w:szCs w:val="24"/>
        </w:rPr>
        <w:t>.</w:t>
      </w:r>
    </w:p>
    <w:p w:rsidR="00422A79" w:rsidRPr="008A60D2" w:rsidRDefault="00422A79" w:rsidP="00422A79">
      <w:pPr>
        <w:ind w:left="851"/>
        <w:rPr>
          <w:noProof/>
          <w:szCs w:val="24"/>
        </w:rPr>
      </w:pPr>
      <w:r w:rsidRPr="008A60D2">
        <w:rPr>
          <w:noProof/>
          <w:szCs w:val="24"/>
        </w:rPr>
        <w:t xml:space="preserve">Hos patienter med svær astma kan dosis øges til 4 pust salmeterol </w:t>
      </w:r>
      <w:r>
        <w:rPr>
          <w:noProof/>
          <w:szCs w:val="24"/>
        </w:rPr>
        <w:t>2</w:t>
      </w:r>
      <w:r w:rsidRPr="008A60D2">
        <w:rPr>
          <w:noProof/>
          <w:szCs w:val="24"/>
        </w:rPr>
        <w:t xml:space="preserve"> gange daglig.</w:t>
      </w:r>
    </w:p>
    <w:p w:rsidR="00422A79" w:rsidRPr="008A60D2" w:rsidRDefault="00422A79" w:rsidP="00422A79">
      <w:pPr>
        <w:ind w:left="851" w:hanging="851"/>
        <w:rPr>
          <w:noProof/>
          <w:szCs w:val="24"/>
        </w:rPr>
      </w:pPr>
    </w:p>
    <w:p w:rsidR="00422A79" w:rsidRPr="008A60D2" w:rsidRDefault="00422A79" w:rsidP="00422A79">
      <w:pPr>
        <w:keepNext/>
        <w:ind w:left="851"/>
        <w:rPr>
          <w:i/>
          <w:noProof/>
          <w:szCs w:val="24"/>
        </w:rPr>
      </w:pPr>
      <w:r w:rsidRPr="008A60D2">
        <w:rPr>
          <w:i/>
          <w:noProof/>
          <w:szCs w:val="24"/>
        </w:rPr>
        <w:lastRenderedPageBreak/>
        <w:t>Børn fra 4 år:</w:t>
      </w:r>
    </w:p>
    <w:p w:rsidR="00422A79" w:rsidRPr="008A60D2" w:rsidRDefault="00422A79" w:rsidP="00422A79">
      <w:pPr>
        <w:ind w:left="851" w:hanging="851"/>
        <w:rPr>
          <w:noProof/>
          <w:szCs w:val="24"/>
        </w:rPr>
      </w:pPr>
      <w:r w:rsidRPr="008A60D2">
        <w:rPr>
          <w:noProof/>
          <w:szCs w:val="24"/>
        </w:rPr>
        <w:tab/>
        <w:t xml:space="preserve">2 pust à 25 mikrogram salmeterol </w:t>
      </w:r>
      <w:r>
        <w:rPr>
          <w:noProof/>
          <w:szCs w:val="24"/>
        </w:rPr>
        <w:t>2</w:t>
      </w:r>
      <w:r w:rsidRPr="008A60D2">
        <w:rPr>
          <w:noProof/>
          <w:szCs w:val="24"/>
        </w:rPr>
        <w:t xml:space="preserve"> gange daglig</w:t>
      </w:r>
      <w:r>
        <w:rPr>
          <w:noProof/>
          <w:szCs w:val="24"/>
        </w:rPr>
        <w:t>.</w:t>
      </w:r>
    </w:p>
    <w:p w:rsidR="00422A79" w:rsidRPr="008A60D2" w:rsidRDefault="00422A79" w:rsidP="00422A79">
      <w:pPr>
        <w:ind w:left="851" w:hanging="851"/>
        <w:rPr>
          <w:noProof/>
          <w:szCs w:val="24"/>
        </w:rPr>
      </w:pPr>
    </w:p>
    <w:p w:rsidR="00422A79" w:rsidRPr="008A60D2" w:rsidRDefault="00422A79" w:rsidP="00422A79">
      <w:pPr>
        <w:ind w:left="851"/>
        <w:rPr>
          <w:noProof/>
          <w:szCs w:val="24"/>
        </w:rPr>
      </w:pPr>
      <w:r w:rsidRPr="008A60D2">
        <w:rPr>
          <w:i/>
          <w:noProof/>
          <w:szCs w:val="24"/>
        </w:rPr>
        <w:t>Børn under 4 år:</w:t>
      </w:r>
      <w:r w:rsidRPr="008A60D2">
        <w:rPr>
          <w:i/>
          <w:noProof/>
          <w:szCs w:val="24"/>
        </w:rPr>
        <w:br/>
      </w:r>
      <w:r w:rsidR="00785CA6">
        <w:rPr>
          <w:noProof/>
          <w:szCs w:val="24"/>
        </w:rPr>
        <w:t>Salmeterol ”2care4”</w:t>
      </w:r>
      <w:r w:rsidRPr="008A60D2">
        <w:rPr>
          <w:noProof/>
          <w:szCs w:val="24"/>
        </w:rPr>
        <w:t xml:space="preserve"> anbefales ikke til </w:t>
      </w:r>
      <w:r>
        <w:rPr>
          <w:noProof/>
          <w:szCs w:val="24"/>
        </w:rPr>
        <w:t>anvendelse</w:t>
      </w:r>
      <w:r w:rsidRPr="008A60D2">
        <w:rPr>
          <w:noProof/>
          <w:szCs w:val="24"/>
        </w:rPr>
        <w:t xml:space="preserve"> hos børn under 4 år </w:t>
      </w:r>
      <w:r>
        <w:rPr>
          <w:noProof/>
          <w:szCs w:val="24"/>
        </w:rPr>
        <w:t>på grund af</w:t>
      </w:r>
      <w:r w:rsidRPr="008A60D2">
        <w:rPr>
          <w:noProof/>
          <w:szCs w:val="24"/>
        </w:rPr>
        <w:t xml:space="preserve"> utilstrækkelige data vedrørende sikkerhed og </w:t>
      </w:r>
      <w:r>
        <w:rPr>
          <w:noProof/>
          <w:szCs w:val="24"/>
        </w:rPr>
        <w:t>virkning</w:t>
      </w:r>
      <w:r w:rsidRPr="008A60D2">
        <w:rPr>
          <w:noProof/>
          <w:szCs w:val="24"/>
        </w:rPr>
        <w:t>.</w:t>
      </w:r>
    </w:p>
    <w:p w:rsidR="00422A79" w:rsidRPr="008A60D2" w:rsidRDefault="00422A79" w:rsidP="00422A79">
      <w:pPr>
        <w:ind w:left="851" w:hanging="851"/>
        <w:rPr>
          <w:szCs w:val="24"/>
        </w:rPr>
      </w:pPr>
    </w:p>
    <w:p w:rsidR="00422A79" w:rsidRPr="008A13D2" w:rsidRDefault="00422A79" w:rsidP="00422A79">
      <w:pPr>
        <w:ind w:left="851"/>
        <w:rPr>
          <w:i/>
          <w:szCs w:val="24"/>
          <w:u w:val="single"/>
        </w:rPr>
      </w:pPr>
      <w:r w:rsidRPr="008A13D2">
        <w:rPr>
          <w:i/>
          <w:szCs w:val="24"/>
          <w:u w:val="single"/>
        </w:rPr>
        <w:t>Kronisk Obstruktiv Lungesygdom (KOL)</w:t>
      </w:r>
    </w:p>
    <w:p w:rsidR="00422A79" w:rsidRPr="008A60D2" w:rsidRDefault="00422A79" w:rsidP="00422A79">
      <w:pPr>
        <w:ind w:left="851" w:hanging="851"/>
        <w:rPr>
          <w:i/>
          <w:szCs w:val="24"/>
        </w:rPr>
      </w:pPr>
    </w:p>
    <w:p w:rsidR="00422A79" w:rsidRDefault="00422A79" w:rsidP="00422A79">
      <w:pPr>
        <w:ind w:left="851"/>
        <w:rPr>
          <w:i/>
          <w:szCs w:val="24"/>
        </w:rPr>
      </w:pPr>
      <w:r w:rsidRPr="008A60D2">
        <w:rPr>
          <w:i/>
          <w:szCs w:val="24"/>
        </w:rPr>
        <w:t>Voksne</w:t>
      </w:r>
      <w:r>
        <w:rPr>
          <w:i/>
          <w:szCs w:val="24"/>
        </w:rPr>
        <w:t xml:space="preserve"> over 18 år:</w:t>
      </w:r>
    </w:p>
    <w:p w:rsidR="00422A79" w:rsidRPr="008A60D2" w:rsidRDefault="00422A79" w:rsidP="00422A79">
      <w:pPr>
        <w:ind w:left="851"/>
        <w:rPr>
          <w:noProof/>
          <w:szCs w:val="24"/>
        </w:rPr>
      </w:pPr>
      <w:r w:rsidRPr="008A60D2">
        <w:rPr>
          <w:noProof/>
          <w:szCs w:val="24"/>
        </w:rPr>
        <w:t>2 pust à 25 mikrogram salmeterol 2 gange daglig</w:t>
      </w:r>
      <w:r>
        <w:rPr>
          <w:noProof/>
          <w:szCs w:val="24"/>
        </w:rPr>
        <w:t>.</w:t>
      </w:r>
    </w:p>
    <w:p w:rsidR="00422A79" w:rsidRDefault="00422A79" w:rsidP="00422A79">
      <w:pPr>
        <w:ind w:left="851" w:hanging="851"/>
        <w:rPr>
          <w:i/>
          <w:szCs w:val="24"/>
        </w:rPr>
      </w:pPr>
      <w:r>
        <w:rPr>
          <w:i/>
          <w:szCs w:val="24"/>
        </w:rPr>
        <w:br/>
        <w:t>Pædiatrisk population</w:t>
      </w:r>
      <w:r w:rsidRPr="008A60D2">
        <w:rPr>
          <w:i/>
          <w:szCs w:val="24"/>
        </w:rPr>
        <w:t xml:space="preserve"> </w:t>
      </w:r>
    </w:p>
    <w:p w:rsidR="00422A79" w:rsidRPr="008A60D2" w:rsidRDefault="00422A79" w:rsidP="00422A79">
      <w:pPr>
        <w:ind w:left="851"/>
        <w:rPr>
          <w:noProof/>
          <w:szCs w:val="24"/>
        </w:rPr>
      </w:pPr>
      <w:r w:rsidRPr="008A60D2">
        <w:rPr>
          <w:noProof/>
          <w:szCs w:val="24"/>
        </w:rPr>
        <w:t>Der er ingen relevant indikati</w:t>
      </w:r>
      <w:r>
        <w:rPr>
          <w:noProof/>
          <w:szCs w:val="24"/>
        </w:rPr>
        <w:t xml:space="preserve">on for anvendelse af </w:t>
      </w:r>
      <w:r w:rsidR="00785CA6">
        <w:rPr>
          <w:noProof/>
          <w:szCs w:val="24"/>
        </w:rPr>
        <w:t>Salmeterol ”2care4”</w:t>
      </w:r>
      <w:r>
        <w:rPr>
          <w:noProof/>
          <w:szCs w:val="24"/>
        </w:rPr>
        <w:t xml:space="preserve"> inhalationsspray i den pædiatriske population ved indikation for KOL</w:t>
      </w:r>
      <w:r w:rsidRPr="008A60D2">
        <w:rPr>
          <w:noProof/>
          <w:szCs w:val="24"/>
        </w:rPr>
        <w:t>.</w:t>
      </w:r>
    </w:p>
    <w:p w:rsidR="00422A79" w:rsidRDefault="00422A79" w:rsidP="00422A79">
      <w:pPr>
        <w:ind w:left="1304" w:hanging="453"/>
        <w:rPr>
          <w:i/>
          <w:szCs w:val="24"/>
        </w:rPr>
      </w:pPr>
    </w:p>
    <w:p w:rsidR="00422A79" w:rsidRDefault="00422A79" w:rsidP="00422A79">
      <w:pPr>
        <w:ind w:left="1304" w:hanging="453"/>
        <w:rPr>
          <w:szCs w:val="24"/>
          <w:u w:val="single"/>
        </w:rPr>
      </w:pPr>
      <w:r w:rsidRPr="008A13D2">
        <w:rPr>
          <w:szCs w:val="24"/>
          <w:u w:val="single"/>
        </w:rPr>
        <w:t>Specielle p</w:t>
      </w:r>
      <w:r>
        <w:rPr>
          <w:szCs w:val="24"/>
          <w:u w:val="single"/>
        </w:rPr>
        <w:t>opulationer</w:t>
      </w:r>
    </w:p>
    <w:p w:rsidR="00422A79" w:rsidRPr="008A60D2" w:rsidRDefault="00422A79" w:rsidP="00422A79">
      <w:pPr>
        <w:ind w:left="1304" w:hanging="453"/>
        <w:rPr>
          <w:szCs w:val="24"/>
        </w:rPr>
      </w:pPr>
      <w:r w:rsidRPr="008A60D2">
        <w:rPr>
          <w:szCs w:val="24"/>
        </w:rPr>
        <w:t>Dosisjustering er ikke nødvendig hos ældre eller hos patienter med nedsat nyrefunktion.</w:t>
      </w:r>
    </w:p>
    <w:p w:rsidR="00422A79" w:rsidRPr="008A60D2" w:rsidRDefault="00422A79" w:rsidP="00422A79">
      <w:pPr>
        <w:ind w:left="851"/>
        <w:rPr>
          <w:szCs w:val="24"/>
        </w:rPr>
      </w:pPr>
      <w:r w:rsidRPr="008A60D2">
        <w:rPr>
          <w:szCs w:val="24"/>
        </w:rPr>
        <w:t xml:space="preserve">Der er ingen oplysninger om </w:t>
      </w:r>
      <w:r>
        <w:rPr>
          <w:szCs w:val="24"/>
        </w:rPr>
        <w:t>anvendelse</w:t>
      </w:r>
      <w:r w:rsidRPr="008A60D2">
        <w:rPr>
          <w:szCs w:val="24"/>
        </w:rPr>
        <w:t xml:space="preserve"> hos patienter med nedsat leverfunktion.</w:t>
      </w:r>
    </w:p>
    <w:p w:rsidR="00422A79" w:rsidRDefault="00422A79" w:rsidP="00422A79">
      <w:pPr>
        <w:ind w:left="851"/>
        <w:rPr>
          <w:szCs w:val="24"/>
        </w:rPr>
      </w:pPr>
    </w:p>
    <w:p w:rsidR="00422A79" w:rsidRDefault="00422A79" w:rsidP="00422A79">
      <w:pPr>
        <w:ind w:left="851"/>
        <w:rPr>
          <w:szCs w:val="24"/>
        </w:rPr>
      </w:pPr>
      <w:r>
        <w:rPr>
          <w:szCs w:val="24"/>
          <w:u w:val="single"/>
        </w:rPr>
        <w:t>Administration</w:t>
      </w:r>
    </w:p>
    <w:p w:rsidR="00422A79" w:rsidRPr="008A60D2" w:rsidRDefault="00422A79" w:rsidP="00422A79">
      <w:pPr>
        <w:ind w:left="851"/>
        <w:rPr>
          <w:noProof/>
          <w:szCs w:val="24"/>
        </w:rPr>
      </w:pPr>
      <w:r w:rsidRPr="008A60D2">
        <w:rPr>
          <w:noProof/>
          <w:szCs w:val="24"/>
        </w:rPr>
        <w:t>Kun til inhalation.</w:t>
      </w:r>
    </w:p>
    <w:p w:rsidR="00422A79" w:rsidRPr="008A60D2" w:rsidRDefault="00422A79" w:rsidP="00422A79">
      <w:pPr>
        <w:ind w:left="851" w:hanging="851"/>
        <w:rPr>
          <w:noProof/>
          <w:szCs w:val="24"/>
        </w:rPr>
      </w:pPr>
    </w:p>
    <w:p w:rsidR="00422A79" w:rsidRPr="008A60D2" w:rsidRDefault="00785CA6" w:rsidP="00422A79">
      <w:pPr>
        <w:ind w:left="851"/>
        <w:rPr>
          <w:noProof/>
          <w:szCs w:val="24"/>
        </w:rPr>
      </w:pPr>
      <w:r>
        <w:rPr>
          <w:noProof/>
          <w:szCs w:val="24"/>
        </w:rPr>
        <w:t>Salmeterol ”2care4”</w:t>
      </w:r>
      <w:r w:rsidR="00422A79" w:rsidRPr="008A60D2">
        <w:rPr>
          <w:noProof/>
          <w:szCs w:val="24"/>
        </w:rPr>
        <w:t xml:space="preserve"> </w:t>
      </w:r>
      <w:r w:rsidR="00422A79">
        <w:rPr>
          <w:noProof/>
          <w:szCs w:val="24"/>
        </w:rPr>
        <w:t xml:space="preserve">inhalationsspray </w:t>
      </w:r>
      <w:r w:rsidR="00422A79" w:rsidRPr="008A60D2">
        <w:rPr>
          <w:noProof/>
          <w:szCs w:val="24"/>
        </w:rPr>
        <w:t xml:space="preserve">skal </w:t>
      </w:r>
      <w:r w:rsidR="00422A79">
        <w:rPr>
          <w:noProof/>
          <w:szCs w:val="24"/>
        </w:rPr>
        <w:t>anvendes regelmæssigt</w:t>
      </w:r>
      <w:r w:rsidR="00422A79" w:rsidRPr="008A60D2">
        <w:rPr>
          <w:noProof/>
          <w:szCs w:val="24"/>
        </w:rPr>
        <w:t>. Den fulde effekt indtræder først efter inhalation af flere doser. Da der kan være bivirkninger forbundet med overdreven brug af denne slags medicin, bør dosis og doseringshyppighed kun øges efter aftale med lægen.</w:t>
      </w:r>
    </w:p>
    <w:p w:rsidR="00422A79" w:rsidRDefault="00422A79" w:rsidP="00422A79">
      <w:pPr>
        <w:rPr>
          <w:b/>
          <w:noProof/>
          <w:szCs w:val="24"/>
          <w:u w:val="single"/>
        </w:rPr>
      </w:pPr>
    </w:p>
    <w:p w:rsidR="00422A79" w:rsidRDefault="00422A79" w:rsidP="00422A79">
      <w:pPr>
        <w:ind w:firstLine="851"/>
        <w:rPr>
          <w:b/>
          <w:szCs w:val="24"/>
        </w:rPr>
      </w:pPr>
      <w:r>
        <w:rPr>
          <w:b/>
          <w:szCs w:val="24"/>
        </w:rPr>
        <w:t>Brugervejledning:</w:t>
      </w:r>
    </w:p>
    <w:p w:rsidR="00422A79" w:rsidRPr="008A60D2" w:rsidRDefault="00422A79" w:rsidP="00422A79">
      <w:pPr>
        <w:ind w:left="851"/>
        <w:rPr>
          <w:szCs w:val="24"/>
        </w:rPr>
      </w:pPr>
      <w:r w:rsidRPr="008A60D2">
        <w:rPr>
          <w:szCs w:val="24"/>
        </w:rPr>
        <w:t xml:space="preserve">Patienten skal instrueres </w:t>
      </w:r>
      <w:r>
        <w:rPr>
          <w:szCs w:val="24"/>
        </w:rPr>
        <w:t>grundigt</w:t>
      </w:r>
      <w:r w:rsidRPr="008A60D2">
        <w:rPr>
          <w:szCs w:val="24"/>
        </w:rPr>
        <w:t xml:space="preserve"> i, hvordan sprayen skal bruges, som beskrevet i indlægssedlen i pakningen.</w:t>
      </w:r>
    </w:p>
    <w:p w:rsidR="00422A79" w:rsidRPr="008A60D2" w:rsidRDefault="00422A79" w:rsidP="00422A79">
      <w:pPr>
        <w:ind w:left="851" w:hanging="851"/>
        <w:rPr>
          <w:szCs w:val="24"/>
        </w:rPr>
      </w:pPr>
    </w:p>
    <w:p w:rsidR="00422A79" w:rsidRDefault="00422A79" w:rsidP="00422A79">
      <w:pPr>
        <w:numPr>
          <w:ilvl w:val="0"/>
          <w:numId w:val="10"/>
        </w:numPr>
        <w:tabs>
          <w:tab w:val="clear" w:pos="720"/>
          <w:tab w:val="left" w:pos="1418"/>
        </w:tabs>
        <w:ind w:left="1418" w:hanging="567"/>
        <w:rPr>
          <w:szCs w:val="24"/>
        </w:rPr>
      </w:pPr>
      <w:r w:rsidRPr="008A60D2">
        <w:rPr>
          <w:szCs w:val="24"/>
        </w:rPr>
        <w:t>Beskyttelseshætten tages af ved at klemme om siderne.</w:t>
      </w:r>
    </w:p>
    <w:p w:rsidR="00422A79" w:rsidRPr="008A60D2" w:rsidRDefault="00422A79" w:rsidP="00422A79">
      <w:pPr>
        <w:numPr>
          <w:ilvl w:val="0"/>
          <w:numId w:val="10"/>
        </w:numPr>
        <w:tabs>
          <w:tab w:val="clear" w:pos="720"/>
          <w:tab w:val="left" w:pos="1418"/>
        </w:tabs>
        <w:ind w:left="1418" w:hanging="567"/>
        <w:rPr>
          <w:szCs w:val="24"/>
        </w:rPr>
      </w:pPr>
      <w:r>
        <w:rPr>
          <w:szCs w:val="24"/>
        </w:rPr>
        <w:t>Patienten skal sørge for, at inhalationssprayen – også mundstykket - tjekkes indvendigt og udvendigt, så den er helt ren.</w:t>
      </w:r>
    </w:p>
    <w:p w:rsidR="00422A79" w:rsidRPr="008A60D2" w:rsidRDefault="00422A79" w:rsidP="00422A79">
      <w:pPr>
        <w:numPr>
          <w:ilvl w:val="0"/>
          <w:numId w:val="10"/>
        </w:numPr>
        <w:tabs>
          <w:tab w:val="clear" w:pos="720"/>
          <w:tab w:val="left" w:pos="1418"/>
        </w:tabs>
        <w:ind w:left="1418" w:hanging="567"/>
        <w:rPr>
          <w:szCs w:val="24"/>
        </w:rPr>
      </w:pPr>
      <w:r>
        <w:rPr>
          <w:szCs w:val="24"/>
        </w:rPr>
        <w:t>Inhalationss</w:t>
      </w:r>
      <w:r w:rsidRPr="008A60D2">
        <w:rPr>
          <w:szCs w:val="24"/>
        </w:rPr>
        <w:t>prayen skal rystes grundigt</w:t>
      </w:r>
      <w:r>
        <w:rPr>
          <w:szCs w:val="24"/>
        </w:rPr>
        <w:t xml:space="preserve"> både for at sikre, at der ikke er noget, der ikke skal være der, og for at få blandet indholdet ordentligt</w:t>
      </w:r>
      <w:r w:rsidRPr="008A60D2">
        <w:rPr>
          <w:szCs w:val="24"/>
        </w:rPr>
        <w:t xml:space="preserve">. Før første pust, eller hvis </w:t>
      </w:r>
      <w:r>
        <w:rPr>
          <w:szCs w:val="24"/>
        </w:rPr>
        <w:t>inhalations</w:t>
      </w:r>
      <w:r w:rsidRPr="008A60D2">
        <w:rPr>
          <w:szCs w:val="24"/>
        </w:rPr>
        <w:t xml:space="preserve">sprayen ikke har været brugt i en uge, trykkes </w:t>
      </w:r>
      <w:r>
        <w:rPr>
          <w:szCs w:val="24"/>
        </w:rPr>
        <w:t>to</w:t>
      </w:r>
      <w:r w:rsidRPr="008A60D2">
        <w:rPr>
          <w:szCs w:val="24"/>
        </w:rPr>
        <w:t xml:space="preserve"> pust ud i luften</w:t>
      </w:r>
      <w:r>
        <w:rPr>
          <w:szCs w:val="24"/>
        </w:rPr>
        <w:t xml:space="preserve"> for at sikre, at inhalationssprayen virker</w:t>
      </w:r>
      <w:r w:rsidRPr="008A60D2">
        <w:rPr>
          <w:szCs w:val="24"/>
        </w:rPr>
        <w:t>.</w:t>
      </w:r>
    </w:p>
    <w:p w:rsidR="00422A79" w:rsidRPr="008A60D2" w:rsidRDefault="00422A79" w:rsidP="00422A79">
      <w:pPr>
        <w:numPr>
          <w:ilvl w:val="0"/>
          <w:numId w:val="10"/>
        </w:numPr>
        <w:tabs>
          <w:tab w:val="clear" w:pos="720"/>
          <w:tab w:val="left" w:pos="1418"/>
        </w:tabs>
        <w:ind w:left="1418" w:hanging="567"/>
        <w:rPr>
          <w:szCs w:val="24"/>
        </w:rPr>
      </w:pPr>
      <w:r>
        <w:rPr>
          <w:szCs w:val="24"/>
        </w:rPr>
        <w:t>Inhalationss</w:t>
      </w:r>
      <w:r w:rsidRPr="008A60D2">
        <w:rPr>
          <w:szCs w:val="24"/>
        </w:rPr>
        <w:t>prayen skal holdes lodret</w:t>
      </w:r>
      <w:r>
        <w:rPr>
          <w:szCs w:val="24"/>
        </w:rPr>
        <w:t xml:space="preserve"> f.eks. mellem pege- og tommelfinger.</w:t>
      </w:r>
    </w:p>
    <w:p w:rsidR="00422A79" w:rsidRPr="008A60D2" w:rsidRDefault="00422A79" w:rsidP="00422A79">
      <w:pPr>
        <w:numPr>
          <w:ilvl w:val="0"/>
          <w:numId w:val="10"/>
        </w:numPr>
        <w:tabs>
          <w:tab w:val="clear" w:pos="720"/>
          <w:tab w:val="left" w:pos="1418"/>
        </w:tabs>
        <w:ind w:left="1418" w:hanging="567"/>
        <w:rPr>
          <w:szCs w:val="24"/>
        </w:rPr>
      </w:pPr>
      <w:r w:rsidRPr="008A60D2">
        <w:rPr>
          <w:szCs w:val="24"/>
        </w:rPr>
        <w:t xml:space="preserve">Patienten skal </w:t>
      </w:r>
      <w:r>
        <w:rPr>
          <w:szCs w:val="24"/>
        </w:rPr>
        <w:t>foretage den dybeste udånding, som føles behagelig</w:t>
      </w:r>
      <w:r w:rsidRPr="008A60D2">
        <w:rPr>
          <w:szCs w:val="24"/>
        </w:rPr>
        <w:t xml:space="preserve"> og derefter </w:t>
      </w:r>
      <w:r>
        <w:rPr>
          <w:szCs w:val="24"/>
        </w:rPr>
        <w:t>anbringe</w:t>
      </w:r>
      <w:r w:rsidRPr="008A60D2">
        <w:rPr>
          <w:szCs w:val="24"/>
        </w:rPr>
        <w:t xml:space="preserve"> mundstykket mellem tænderne og lade læberne slutte tæt omkring det uden at bide i </w:t>
      </w:r>
      <w:r>
        <w:rPr>
          <w:szCs w:val="24"/>
        </w:rPr>
        <w:t>mundstykket</w:t>
      </w:r>
      <w:r w:rsidRPr="008A60D2">
        <w:rPr>
          <w:szCs w:val="24"/>
        </w:rPr>
        <w:t>.</w:t>
      </w:r>
    </w:p>
    <w:p w:rsidR="00422A79" w:rsidRPr="008A60D2" w:rsidRDefault="00422A79" w:rsidP="00422A79">
      <w:pPr>
        <w:numPr>
          <w:ilvl w:val="0"/>
          <w:numId w:val="10"/>
        </w:numPr>
        <w:tabs>
          <w:tab w:val="clear" w:pos="720"/>
          <w:tab w:val="left" w:pos="1418"/>
        </w:tabs>
        <w:ind w:left="1418" w:hanging="567"/>
        <w:rPr>
          <w:szCs w:val="24"/>
        </w:rPr>
      </w:pPr>
      <w:r w:rsidRPr="008A60D2">
        <w:rPr>
          <w:szCs w:val="24"/>
        </w:rPr>
        <w:t>Beholderen skal trykkes ned i starten af en indånding gennem munden, og dosis inhaleres roligt og dybt.</w:t>
      </w:r>
    </w:p>
    <w:p w:rsidR="00422A79" w:rsidRPr="008A60D2" w:rsidRDefault="00422A79" w:rsidP="00422A79">
      <w:pPr>
        <w:numPr>
          <w:ilvl w:val="0"/>
          <w:numId w:val="10"/>
        </w:numPr>
        <w:tabs>
          <w:tab w:val="clear" w:pos="720"/>
          <w:tab w:val="left" w:pos="1418"/>
        </w:tabs>
        <w:ind w:left="1418" w:hanging="567"/>
        <w:rPr>
          <w:szCs w:val="24"/>
        </w:rPr>
      </w:pPr>
      <w:r>
        <w:rPr>
          <w:szCs w:val="24"/>
        </w:rPr>
        <w:t>Mens p</w:t>
      </w:r>
      <w:r w:rsidRPr="008A60D2">
        <w:rPr>
          <w:szCs w:val="24"/>
        </w:rPr>
        <w:t>atienten holde</w:t>
      </w:r>
      <w:r>
        <w:rPr>
          <w:szCs w:val="24"/>
        </w:rPr>
        <w:t>r</w:t>
      </w:r>
      <w:r w:rsidRPr="008A60D2">
        <w:rPr>
          <w:szCs w:val="24"/>
        </w:rPr>
        <w:t xml:space="preserve"> vejret</w:t>
      </w:r>
      <w:r>
        <w:rPr>
          <w:szCs w:val="24"/>
        </w:rPr>
        <w:t>,</w:t>
      </w:r>
      <w:r w:rsidRPr="008A60D2">
        <w:rPr>
          <w:szCs w:val="24"/>
        </w:rPr>
        <w:t xml:space="preserve"> fjerne</w:t>
      </w:r>
      <w:r>
        <w:rPr>
          <w:szCs w:val="24"/>
        </w:rPr>
        <w:t>s</w:t>
      </w:r>
      <w:r w:rsidRPr="008A60D2">
        <w:rPr>
          <w:szCs w:val="24"/>
        </w:rPr>
        <w:t xml:space="preserve"> </w:t>
      </w:r>
      <w:r>
        <w:rPr>
          <w:szCs w:val="24"/>
        </w:rPr>
        <w:t>inhalations</w:t>
      </w:r>
      <w:r w:rsidRPr="008A60D2">
        <w:rPr>
          <w:szCs w:val="24"/>
        </w:rPr>
        <w:t>sprayen fra munden.</w:t>
      </w:r>
      <w:r>
        <w:rPr>
          <w:szCs w:val="24"/>
        </w:rPr>
        <w:t xml:space="preserve"> Patienten skal holde vejret i nogle få sekunder.</w:t>
      </w:r>
    </w:p>
    <w:p w:rsidR="00422A79" w:rsidRPr="008A60D2" w:rsidRDefault="00422A79" w:rsidP="00422A79">
      <w:pPr>
        <w:numPr>
          <w:ilvl w:val="0"/>
          <w:numId w:val="10"/>
        </w:numPr>
        <w:tabs>
          <w:tab w:val="clear" w:pos="720"/>
          <w:tab w:val="left" w:pos="1418"/>
        </w:tabs>
        <w:ind w:left="1418" w:hanging="567"/>
        <w:rPr>
          <w:szCs w:val="24"/>
        </w:rPr>
      </w:pPr>
      <w:r w:rsidRPr="008A60D2">
        <w:rPr>
          <w:szCs w:val="24"/>
        </w:rPr>
        <w:t xml:space="preserve">Hvis patienten får ordineret endnu et pust, skal </w:t>
      </w:r>
      <w:r>
        <w:rPr>
          <w:szCs w:val="24"/>
        </w:rPr>
        <w:t>inhalations</w:t>
      </w:r>
      <w:r w:rsidRPr="008A60D2">
        <w:rPr>
          <w:szCs w:val="24"/>
        </w:rPr>
        <w:t xml:space="preserve">sprayen holdes lodret, og der skal gå ½ minut, før pkt. </w:t>
      </w:r>
      <w:r>
        <w:rPr>
          <w:szCs w:val="24"/>
        </w:rPr>
        <w:t>3-7</w:t>
      </w:r>
      <w:r w:rsidRPr="008A60D2">
        <w:rPr>
          <w:szCs w:val="24"/>
        </w:rPr>
        <w:t xml:space="preserve"> gentages.</w:t>
      </w:r>
    </w:p>
    <w:p w:rsidR="00422A79" w:rsidRDefault="00422A79" w:rsidP="00422A79">
      <w:pPr>
        <w:numPr>
          <w:ilvl w:val="0"/>
          <w:numId w:val="10"/>
        </w:numPr>
        <w:tabs>
          <w:tab w:val="clear" w:pos="720"/>
          <w:tab w:val="left" w:pos="1418"/>
        </w:tabs>
        <w:ind w:left="1418" w:hanging="567"/>
        <w:rPr>
          <w:szCs w:val="24"/>
        </w:rPr>
      </w:pPr>
      <w:r w:rsidRPr="008A60D2">
        <w:rPr>
          <w:szCs w:val="24"/>
        </w:rPr>
        <w:t>Beskyttelseshætten skal altid sættes på efter brug</w:t>
      </w:r>
      <w:r>
        <w:rPr>
          <w:szCs w:val="24"/>
        </w:rPr>
        <w:t xml:space="preserve"> for at holde mundstykket rent</w:t>
      </w:r>
      <w:r w:rsidRPr="008A60D2">
        <w:rPr>
          <w:szCs w:val="24"/>
        </w:rPr>
        <w:t>.</w:t>
      </w:r>
    </w:p>
    <w:p w:rsidR="00422A79" w:rsidRDefault="00422A79" w:rsidP="00422A79">
      <w:pPr>
        <w:numPr>
          <w:ilvl w:val="0"/>
          <w:numId w:val="10"/>
        </w:numPr>
        <w:tabs>
          <w:tab w:val="clear" w:pos="720"/>
          <w:tab w:val="left" w:pos="1418"/>
        </w:tabs>
        <w:ind w:left="1418" w:hanging="567"/>
        <w:rPr>
          <w:szCs w:val="24"/>
        </w:rPr>
      </w:pPr>
      <w:r>
        <w:rPr>
          <w:szCs w:val="24"/>
        </w:rPr>
        <w:t xml:space="preserve">Beskyttelseshætten trykkes på med et klik. </w:t>
      </w:r>
    </w:p>
    <w:p w:rsidR="00422A79" w:rsidRDefault="00422A79" w:rsidP="00422A79">
      <w:pPr>
        <w:tabs>
          <w:tab w:val="left" w:pos="1418"/>
        </w:tabs>
        <w:ind w:left="851"/>
        <w:rPr>
          <w:szCs w:val="24"/>
        </w:rPr>
      </w:pPr>
    </w:p>
    <w:p w:rsidR="00422A79" w:rsidRPr="0002281E" w:rsidRDefault="00422A79" w:rsidP="00422A79">
      <w:pPr>
        <w:ind w:left="851"/>
        <w:rPr>
          <w:b/>
          <w:szCs w:val="24"/>
        </w:rPr>
      </w:pPr>
      <w:r w:rsidRPr="0002281E">
        <w:rPr>
          <w:b/>
          <w:szCs w:val="24"/>
        </w:rPr>
        <w:t>V</w:t>
      </w:r>
      <w:r>
        <w:rPr>
          <w:b/>
          <w:szCs w:val="24"/>
        </w:rPr>
        <w:t>igtigt</w:t>
      </w:r>
    </w:p>
    <w:p w:rsidR="00422A79" w:rsidRDefault="00422A79" w:rsidP="00422A79">
      <w:pPr>
        <w:ind w:left="851"/>
        <w:rPr>
          <w:szCs w:val="24"/>
        </w:rPr>
      </w:pPr>
      <w:r w:rsidRPr="008A60D2">
        <w:rPr>
          <w:szCs w:val="24"/>
        </w:rPr>
        <w:t xml:space="preserve">Patienterne skal være særlig omhyggelige med pkt. </w:t>
      </w:r>
      <w:r>
        <w:rPr>
          <w:szCs w:val="24"/>
        </w:rPr>
        <w:t>5, 6 og 7</w:t>
      </w:r>
      <w:r w:rsidRPr="008A60D2">
        <w:rPr>
          <w:szCs w:val="24"/>
        </w:rPr>
        <w:t>. Det er vigtigt, at patienterne trækker vejret så langsomt som muligt, lige før de tager medicinen.</w:t>
      </w:r>
    </w:p>
    <w:p w:rsidR="00422A79" w:rsidRDefault="00422A79" w:rsidP="00422A79">
      <w:pPr>
        <w:ind w:left="851"/>
        <w:rPr>
          <w:szCs w:val="24"/>
        </w:rPr>
      </w:pPr>
    </w:p>
    <w:p w:rsidR="00422A79" w:rsidRPr="008A60D2" w:rsidRDefault="00422A79" w:rsidP="00422A79">
      <w:pPr>
        <w:ind w:left="851"/>
        <w:rPr>
          <w:szCs w:val="24"/>
        </w:rPr>
      </w:pPr>
      <w:r w:rsidRPr="008A60D2">
        <w:rPr>
          <w:szCs w:val="24"/>
        </w:rPr>
        <w:t xml:space="preserve">Patienterne bør øve sig foran et spejl de første gange. Hvis der kommer en sky op af </w:t>
      </w:r>
      <w:r>
        <w:rPr>
          <w:szCs w:val="24"/>
        </w:rPr>
        <w:t>inhalations</w:t>
      </w:r>
      <w:r w:rsidRPr="008A60D2">
        <w:rPr>
          <w:szCs w:val="24"/>
        </w:rPr>
        <w:t>sprayen eller ud ved mundvigene, skal de</w:t>
      </w:r>
      <w:r>
        <w:rPr>
          <w:szCs w:val="24"/>
        </w:rPr>
        <w:t xml:space="preserve"> starte forfra fra </w:t>
      </w:r>
      <w:r w:rsidRPr="008A60D2">
        <w:rPr>
          <w:szCs w:val="24"/>
        </w:rPr>
        <w:t>pkt. 2.</w:t>
      </w:r>
    </w:p>
    <w:p w:rsidR="00422A79" w:rsidRPr="008A60D2" w:rsidRDefault="00422A79" w:rsidP="00422A79">
      <w:pPr>
        <w:ind w:left="851" w:hanging="851"/>
        <w:rPr>
          <w:szCs w:val="24"/>
        </w:rPr>
      </w:pPr>
    </w:p>
    <w:p w:rsidR="00422A79" w:rsidRPr="008A60D2" w:rsidRDefault="00422A79" w:rsidP="00422A79">
      <w:pPr>
        <w:ind w:left="851"/>
        <w:rPr>
          <w:szCs w:val="24"/>
        </w:rPr>
      </w:pPr>
      <w:r w:rsidRPr="008A60D2">
        <w:rPr>
          <w:szCs w:val="24"/>
        </w:rPr>
        <w:t xml:space="preserve">Børn og ældre, der kan have svært ved at aktivere </w:t>
      </w:r>
      <w:r>
        <w:rPr>
          <w:szCs w:val="24"/>
        </w:rPr>
        <w:t>inhalations</w:t>
      </w:r>
      <w:r w:rsidRPr="008A60D2">
        <w:rPr>
          <w:szCs w:val="24"/>
        </w:rPr>
        <w:t>sprayen, samtidig med at de inhalerer, kan have gavn af en spacer, Volumatic.</w:t>
      </w:r>
    </w:p>
    <w:p w:rsidR="00422A79" w:rsidRPr="008A60D2" w:rsidRDefault="00422A79" w:rsidP="00422A79">
      <w:pPr>
        <w:ind w:left="851" w:hanging="851"/>
        <w:rPr>
          <w:szCs w:val="24"/>
        </w:rPr>
      </w:pPr>
    </w:p>
    <w:p w:rsidR="00422A79" w:rsidRDefault="00422A79" w:rsidP="00422A79">
      <w:pPr>
        <w:ind w:left="851"/>
        <w:rPr>
          <w:b/>
          <w:szCs w:val="24"/>
        </w:rPr>
      </w:pPr>
      <w:r w:rsidRPr="008A60D2">
        <w:rPr>
          <w:b/>
          <w:szCs w:val="24"/>
        </w:rPr>
        <w:t xml:space="preserve">Rengøring af </w:t>
      </w:r>
      <w:r>
        <w:rPr>
          <w:b/>
          <w:szCs w:val="24"/>
        </w:rPr>
        <w:t>inhalationsspray</w:t>
      </w:r>
    </w:p>
    <w:p w:rsidR="00422A79" w:rsidRPr="008A60D2" w:rsidRDefault="00422A79" w:rsidP="00422A79">
      <w:pPr>
        <w:ind w:left="851"/>
        <w:rPr>
          <w:szCs w:val="24"/>
        </w:rPr>
      </w:pPr>
      <w:r>
        <w:rPr>
          <w:szCs w:val="24"/>
        </w:rPr>
        <w:t>Inhalationss</w:t>
      </w:r>
      <w:r w:rsidRPr="008A60D2">
        <w:rPr>
          <w:szCs w:val="24"/>
        </w:rPr>
        <w:t>prayen skal rengøres mindst en gang om ugen.</w:t>
      </w:r>
    </w:p>
    <w:p w:rsidR="00422A79" w:rsidRPr="008A60D2" w:rsidRDefault="00422A79" w:rsidP="00422A79">
      <w:pPr>
        <w:numPr>
          <w:ilvl w:val="0"/>
          <w:numId w:val="11"/>
        </w:numPr>
        <w:tabs>
          <w:tab w:val="clear" w:pos="1211"/>
        </w:tabs>
        <w:rPr>
          <w:szCs w:val="24"/>
        </w:rPr>
      </w:pPr>
      <w:r w:rsidRPr="008A60D2">
        <w:rPr>
          <w:szCs w:val="24"/>
        </w:rPr>
        <w:t>Beskyttelseshætten tages af mundstykket.</w:t>
      </w:r>
    </w:p>
    <w:p w:rsidR="00422A79" w:rsidRPr="008A60D2" w:rsidRDefault="00422A79" w:rsidP="00422A79">
      <w:pPr>
        <w:numPr>
          <w:ilvl w:val="0"/>
          <w:numId w:val="11"/>
        </w:numPr>
        <w:tabs>
          <w:tab w:val="clear" w:pos="1211"/>
        </w:tabs>
        <w:rPr>
          <w:szCs w:val="24"/>
        </w:rPr>
      </w:pPr>
      <w:r w:rsidRPr="008A60D2">
        <w:rPr>
          <w:szCs w:val="24"/>
        </w:rPr>
        <w:t>Mundstykke og plasthylster tørres med en tør klud</w:t>
      </w:r>
      <w:r>
        <w:rPr>
          <w:szCs w:val="24"/>
        </w:rPr>
        <w:t xml:space="preserve"> eller serviet</w:t>
      </w:r>
      <w:r w:rsidRPr="008A60D2">
        <w:rPr>
          <w:szCs w:val="24"/>
        </w:rPr>
        <w:t>.</w:t>
      </w:r>
    </w:p>
    <w:p w:rsidR="00422A79" w:rsidRDefault="00422A79" w:rsidP="00422A79">
      <w:pPr>
        <w:numPr>
          <w:ilvl w:val="0"/>
          <w:numId w:val="11"/>
        </w:numPr>
        <w:rPr>
          <w:szCs w:val="24"/>
        </w:rPr>
      </w:pPr>
      <w:r w:rsidRPr="008A60D2">
        <w:rPr>
          <w:szCs w:val="24"/>
        </w:rPr>
        <w:t>Beskyttelseshætten sættes på igen.</w:t>
      </w:r>
    </w:p>
    <w:p w:rsidR="00422A79" w:rsidRDefault="00422A79" w:rsidP="00422A79">
      <w:pPr>
        <w:ind w:left="851"/>
        <w:rPr>
          <w:szCs w:val="24"/>
        </w:rPr>
      </w:pPr>
    </w:p>
    <w:p w:rsidR="00422A79" w:rsidRPr="008A60D2" w:rsidRDefault="00422A79" w:rsidP="00422A79">
      <w:pPr>
        <w:ind w:left="851"/>
        <w:rPr>
          <w:szCs w:val="24"/>
        </w:rPr>
      </w:pPr>
      <w:r w:rsidRPr="008A60D2">
        <w:rPr>
          <w:szCs w:val="24"/>
        </w:rPr>
        <w:t xml:space="preserve">Trykbeholderen må </w:t>
      </w:r>
      <w:r>
        <w:rPr>
          <w:szCs w:val="24"/>
        </w:rPr>
        <w:t>ikke</w:t>
      </w:r>
      <w:r w:rsidRPr="008A60D2">
        <w:rPr>
          <w:szCs w:val="24"/>
        </w:rPr>
        <w:t xml:space="preserve"> fjernes fra plasthylstret</w:t>
      </w:r>
      <w:r>
        <w:rPr>
          <w:szCs w:val="24"/>
        </w:rPr>
        <w:t xml:space="preserve"> under rengøringen</w:t>
      </w:r>
      <w:r w:rsidRPr="008A60D2">
        <w:rPr>
          <w:szCs w:val="24"/>
        </w:rPr>
        <w:t>.</w:t>
      </w:r>
    </w:p>
    <w:p w:rsidR="00422A79" w:rsidRPr="008A60D2" w:rsidRDefault="00422A79" w:rsidP="00422A79">
      <w:pPr>
        <w:ind w:left="851" w:hanging="851"/>
        <w:rPr>
          <w:szCs w:val="24"/>
        </w:rPr>
      </w:pPr>
    </w:p>
    <w:p w:rsidR="00422A79" w:rsidRPr="008A60D2" w:rsidRDefault="00422A79" w:rsidP="00422A79">
      <w:pPr>
        <w:ind w:left="851"/>
        <w:rPr>
          <w:szCs w:val="24"/>
        </w:rPr>
      </w:pPr>
      <w:r w:rsidRPr="008A13D2">
        <w:rPr>
          <w:b/>
          <w:szCs w:val="24"/>
        </w:rPr>
        <w:t>Trykbeholderen må ikke komme i vand</w:t>
      </w:r>
      <w:r w:rsidRPr="008A60D2">
        <w:rPr>
          <w:szCs w:val="24"/>
        </w:rPr>
        <w:t>.</w:t>
      </w:r>
    </w:p>
    <w:p w:rsidR="00422A79" w:rsidRPr="008A60D2" w:rsidRDefault="00422A79" w:rsidP="00422A79">
      <w:pPr>
        <w:ind w:left="851" w:hanging="851"/>
        <w:rPr>
          <w:szCs w:val="24"/>
        </w:rPr>
      </w:pPr>
    </w:p>
    <w:p w:rsidR="00422A79" w:rsidRPr="008A60D2" w:rsidRDefault="00422A79" w:rsidP="00422A79">
      <w:pPr>
        <w:numPr>
          <w:ilvl w:val="1"/>
          <w:numId w:val="6"/>
        </w:numPr>
        <w:tabs>
          <w:tab w:val="clear" w:pos="855"/>
        </w:tabs>
        <w:ind w:left="851" w:hanging="851"/>
        <w:rPr>
          <w:b/>
          <w:szCs w:val="24"/>
        </w:rPr>
      </w:pPr>
      <w:r w:rsidRPr="008A60D2">
        <w:rPr>
          <w:b/>
          <w:szCs w:val="24"/>
        </w:rPr>
        <w:t>Kontraindikationer</w:t>
      </w:r>
    </w:p>
    <w:p w:rsidR="00422A79" w:rsidRPr="008A60D2" w:rsidRDefault="00422A79" w:rsidP="00422A79">
      <w:pPr>
        <w:ind w:left="851" w:hanging="851"/>
        <w:rPr>
          <w:szCs w:val="24"/>
        </w:rPr>
      </w:pPr>
      <w:r w:rsidRPr="008A60D2">
        <w:rPr>
          <w:szCs w:val="24"/>
        </w:rPr>
        <w:tab/>
        <w:t xml:space="preserve">Overfølsomhed over for </w:t>
      </w:r>
      <w:r>
        <w:rPr>
          <w:szCs w:val="24"/>
        </w:rPr>
        <w:t>det aktive stof</w:t>
      </w:r>
      <w:r w:rsidRPr="008A60D2">
        <w:rPr>
          <w:szCs w:val="24"/>
        </w:rPr>
        <w:t xml:space="preserve"> eller over for </w:t>
      </w:r>
      <w:r>
        <w:rPr>
          <w:szCs w:val="24"/>
        </w:rPr>
        <w:t>et eller flere af hjælpestofferne anført i</w:t>
      </w:r>
      <w:r w:rsidRPr="008A60D2">
        <w:rPr>
          <w:szCs w:val="24"/>
        </w:rPr>
        <w:t xml:space="preserve"> pkt. 6.1.</w:t>
      </w:r>
    </w:p>
    <w:p w:rsidR="00422A79" w:rsidRPr="008A60D2" w:rsidRDefault="00422A79" w:rsidP="00422A79">
      <w:pPr>
        <w:ind w:left="851" w:hanging="851"/>
        <w:rPr>
          <w:szCs w:val="24"/>
        </w:rPr>
      </w:pPr>
    </w:p>
    <w:p w:rsidR="00422A79" w:rsidRPr="008A60D2" w:rsidRDefault="00422A79" w:rsidP="00422A79">
      <w:pPr>
        <w:numPr>
          <w:ilvl w:val="1"/>
          <w:numId w:val="6"/>
        </w:numPr>
        <w:tabs>
          <w:tab w:val="clear" w:pos="855"/>
        </w:tabs>
        <w:ind w:left="851" w:hanging="851"/>
        <w:rPr>
          <w:b/>
          <w:szCs w:val="24"/>
        </w:rPr>
      </w:pPr>
      <w:r w:rsidRPr="008A60D2">
        <w:rPr>
          <w:b/>
          <w:szCs w:val="24"/>
        </w:rPr>
        <w:t>Særlige advarsler og forsigtighedsregler vedrørende brugen</w:t>
      </w:r>
    </w:p>
    <w:p w:rsidR="00422A79" w:rsidRPr="008A60D2" w:rsidRDefault="00422A79" w:rsidP="00422A79">
      <w:pPr>
        <w:suppressAutoHyphens/>
        <w:ind w:left="851" w:hanging="851"/>
        <w:rPr>
          <w:szCs w:val="24"/>
        </w:rPr>
      </w:pPr>
      <w:r w:rsidRPr="008A60D2">
        <w:rPr>
          <w:szCs w:val="24"/>
        </w:rPr>
        <w:tab/>
        <w:t>Behandling af astma bør følge et trinvist skema</w:t>
      </w:r>
      <w:r>
        <w:rPr>
          <w:szCs w:val="24"/>
        </w:rPr>
        <w:t>.</w:t>
      </w:r>
    </w:p>
    <w:p w:rsidR="00422A79" w:rsidRPr="008A60D2" w:rsidRDefault="00422A79" w:rsidP="00422A79">
      <w:pPr>
        <w:suppressAutoHyphens/>
        <w:ind w:left="851" w:hanging="851"/>
        <w:rPr>
          <w:szCs w:val="24"/>
        </w:rPr>
      </w:pPr>
    </w:p>
    <w:p w:rsidR="00422A79" w:rsidRDefault="00785CA6" w:rsidP="00422A79">
      <w:pPr>
        <w:suppressAutoHyphens/>
        <w:ind w:left="851"/>
        <w:rPr>
          <w:szCs w:val="24"/>
        </w:rPr>
      </w:pPr>
      <w:r>
        <w:rPr>
          <w:szCs w:val="24"/>
        </w:rPr>
        <w:t>Salmeterol ”2care4”</w:t>
      </w:r>
      <w:r w:rsidR="00422A79">
        <w:rPr>
          <w:szCs w:val="24"/>
        </w:rPr>
        <w:t xml:space="preserve"> bør ikke anvendes (og er ikke tilstrækkeligt) som førstevalgsbehandling ved astma.</w:t>
      </w:r>
    </w:p>
    <w:p w:rsidR="00422A79" w:rsidRDefault="00422A79" w:rsidP="00422A79">
      <w:pPr>
        <w:suppressAutoHyphens/>
        <w:ind w:left="851"/>
        <w:rPr>
          <w:szCs w:val="24"/>
        </w:rPr>
      </w:pPr>
    </w:p>
    <w:p w:rsidR="00422A79" w:rsidRPr="008A60D2" w:rsidRDefault="00785CA6" w:rsidP="00422A79">
      <w:pPr>
        <w:suppressAutoHyphens/>
        <w:ind w:left="851"/>
        <w:rPr>
          <w:szCs w:val="24"/>
        </w:rPr>
      </w:pPr>
      <w:r>
        <w:rPr>
          <w:szCs w:val="24"/>
        </w:rPr>
        <w:t>Salmeterol ”2care4”</w:t>
      </w:r>
      <w:r w:rsidR="00422A79" w:rsidRPr="008A60D2">
        <w:rPr>
          <w:szCs w:val="24"/>
        </w:rPr>
        <w:t xml:space="preserve"> kan ikke erstatte orale steroider eller inhalationssteroider</w:t>
      </w:r>
      <w:r w:rsidR="00422A79">
        <w:rPr>
          <w:szCs w:val="24"/>
        </w:rPr>
        <w:t xml:space="preserve"> ved astma</w:t>
      </w:r>
      <w:r w:rsidR="00422A79" w:rsidRPr="008A60D2">
        <w:rPr>
          <w:szCs w:val="24"/>
        </w:rPr>
        <w:t xml:space="preserve">, men skal bruges i kombination med disse. </w:t>
      </w:r>
      <w:r w:rsidR="00422A79">
        <w:rPr>
          <w:szCs w:val="24"/>
        </w:rPr>
        <w:t>Astmap</w:t>
      </w:r>
      <w:r w:rsidR="00422A79" w:rsidRPr="008A60D2">
        <w:rPr>
          <w:szCs w:val="24"/>
        </w:rPr>
        <w:t>atienter skal advares om, at de ikke må holde op med at tage deres steroider eller nedsætte dosis deraf uden at have aftalt det med lægen, selv om de har fået det bedre.</w:t>
      </w:r>
    </w:p>
    <w:p w:rsidR="00422A79" w:rsidRPr="008A60D2" w:rsidRDefault="00422A79" w:rsidP="00422A79">
      <w:pPr>
        <w:suppressAutoHyphens/>
        <w:ind w:left="851" w:hanging="851"/>
        <w:rPr>
          <w:szCs w:val="24"/>
        </w:rPr>
      </w:pPr>
    </w:p>
    <w:p w:rsidR="00422A79" w:rsidRDefault="00422A79" w:rsidP="00422A79">
      <w:pPr>
        <w:suppressAutoHyphens/>
        <w:ind w:left="851"/>
        <w:rPr>
          <w:szCs w:val="24"/>
        </w:rPr>
      </w:pPr>
      <w:r w:rsidRPr="008A60D2">
        <w:rPr>
          <w:szCs w:val="24"/>
        </w:rPr>
        <w:t xml:space="preserve">Øget brug af korttidsvirkende bronkodilatatorer betyder dårligere astmakontrol. </w:t>
      </w:r>
      <w:r>
        <w:rPr>
          <w:szCs w:val="24"/>
        </w:rPr>
        <w:t>Patienten skal instrueres i at søge læge, hvis dette sker.</w:t>
      </w:r>
    </w:p>
    <w:p w:rsidR="00422A79" w:rsidRDefault="00422A79" w:rsidP="00422A79">
      <w:pPr>
        <w:suppressAutoHyphens/>
        <w:ind w:left="851"/>
        <w:rPr>
          <w:szCs w:val="24"/>
        </w:rPr>
      </w:pPr>
    </w:p>
    <w:p w:rsidR="00422A79" w:rsidRDefault="00422A79" w:rsidP="00422A79">
      <w:pPr>
        <w:suppressAutoHyphens/>
        <w:ind w:left="851"/>
        <w:rPr>
          <w:szCs w:val="24"/>
        </w:rPr>
      </w:pPr>
      <w:r>
        <w:rPr>
          <w:szCs w:val="24"/>
        </w:rPr>
        <w:t xml:space="preserve">Selvom </w:t>
      </w:r>
      <w:r w:rsidR="00785CA6">
        <w:rPr>
          <w:szCs w:val="24"/>
        </w:rPr>
        <w:t>Salmeterol ”2care4”</w:t>
      </w:r>
      <w:r>
        <w:rPr>
          <w:szCs w:val="24"/>
        </w:rPr>
        <w:t xml:space="preserve"> kan ordineres som tillægsbehandling, når behandling med inhalationssteroider ikke fører til ordentlig astmakontrol, bør patienter ikke påbegynde behandling med </w:t>
      </w:r>
      <w:r w:rsidR="00785CA6">
        <w:rPr>
          <w:szCs w:val="24"/>
        </w:rPr>
        <w:t>Salmeterol ”2care4”</w:t>
      </w:r>
      <w:r>
        <w:rPr>
          <w:szCs w:val="24"/>
        </w:rPr>
        <w:t xml:space="preserve"> under en akut svær eksacerbation af astma, eller hvis de har en signifikant forværring eller akut forværring af deres astma.</w:t>
      </w:r>
    </w:p>
    <w:p w:rsidR="00422A79" w:rsidRDefault="00422A79" w:rsidP="00422A79">
      <w:pPr>
        <w:suppressAutoHyphens/>
        <w:ind w:left="851" w:hanging="851"/>
        <w:rPr>
          <w:szCs w:val="24"/>
        </w:rPr>
      </w:pPr>
    </w:p>
    <w:p w:rsidR="00422A79" w:rsidRDefault="00422A79" w:rsidP="00422A79">
      <w:pPr>
        <w:suppressAutoHyphens/>
        <w:ind w:left="851" w:hanging="851"/>
        <w:rPr>
          <w:szCs w:val="24"/>
        </w:rPr>
      </w:pPr>
      <w:r>
        <w:rPr>
          <w:szCs w:val="24"/>
        </w:rPr>
        <w:tab/>
        <w:t xml:space="preserve">Alvorlige bivirkninger ved astma og eksacerbationer kan optræde under behandling med </w:t>
      </w:r>
      <w:r w:rsidR="00785CA6">
        <w:rPr>
          <w:szCs w:val="24"/>
        </w:rPr>
        <w:t>Salmeterol ”2care4”</w:t>
      </w:r>
      <w:r>
        <w:rPr>
          <w:szCs w:val="24"/>
        </w:rPr>
        <w:t xml:space="preserve">. Patienter bør få at vide, at de skal fortsætte behandlingen, men søge læge, hvis astmasymptomerne ikke kommer under kontrol eller bliver forværret efter initiering af </w:t>
      </w:r>
      <w:r w:rsidR="00785CA6">
        <w:rPr>
          <w:szCs w:val="24"/>
        </w:rPr>
        <w:t>Salmeterol ”2care4”</w:t>
      </w:r>
      <w:r>
        <w:rPr>
          <w:szCs w:val="24"/>
        </w:rPr>
        <w:t>.</w:t>
      </w:r>
    </w:p>
    <w:p w:rsidR="00422A79" w:rsidRPr="008A60D2" w:rsidRDefault="00422A79" w:rsidP="00422A79">
      <w:pPr>
        <w:suppressAutoHyphens/>
        <w:ind w:left="851"/>
        <w:rPr>
          <w:szCs w:val="24"/>
        </w:rPr>
      </w:pPr>
    </w:p>
    <w:p w:rsidR="00422A79" w:rsidRPr="008A60D2" w:rsidRDefault="00422A79" w:rsidP="00422A79">
      <w:pPr>
        <w:suppressAutoHyphens/>
        <w:ind w:left="851"/>
        <w:rPr>
          <w:szCs w:val="24"/>
        </w:rPr>
      </w:pPr>
      <w:r w:rsidRPr="008A60D2">
        <w:rPr>
          <w:szCs w:val="24"/>
        </w:rPr>
        <w:t xml:space="preserve">Salmeterol bør ikke initieres hos patienter med pludselig og tiltagende forværring af astmasymptomer, som er potentielt livstruende. Patienten bør </w:t>
      </w:r>
      <w:r>
        <w:rPr>
          <w:szCs w:val="24"/>
        </w:rPr>
        <w:t>hurtigst muligt</w:t>
      </w:r>
      <w:r w:rsidRPr="008A60D2">
        <w:rPr>
          <w:szCs w:val="24"/>
        </w:rPr>
        <w:t xml:space="preserve"> tilses af en læge, og sådanne symptomer bør føre til overvejelse om højere steroiddosis. Patienten kan eventuelt dagligt måle peak-flow. Vedligeholdelsesbehandling af astma </w:t>
      </w:r>
      <w:r>
        <w:rPr>
          <w:szCs w:val="24"/>
        </w:rPr>
        <w:t xml:space="preserve">med salmeterol </w:t>
      </w:r>
      <w:r w:rsidRPr="008A60D2">
        <w:rPr>
          <w:szCs w:val="24"/>
        </w:rPr>
        <w:t>bør ske i kombination med inhalationssteroider eller orale steroider. Langtidsvirkende bronkodilatatorer bør ikke være eneste forebyggende behandling eller den primære behandling af astma (se pkt. 4.1).</w:t>
      </w:r>
    </w:p>
    <w:p w:rsidR="00422A79" w:rsidRPr="008A60D2" w:rsidRDefault="00422A79" w:rsidP="00422A79">
      <w:pPr>
        <w:suppressAutoHyphens/>
        <w:ind w:left="851" w:hanging="851"/>
        <w:rPr>
          <w:szCs w:val="24"/>
        </w:rPr>
      </w:pPr>
    </w:p>
    <w:p w:rsidR="00422A79" w:rsidRDefault="00422A79" w:rsidP="00422A79">
      <w:pPr>
        <w:suppressAutoHyphens/>
        <w:ind w:left="851"/>
        <w:rPr>
          <w:szCs w:val="24"/>
        </w:rPr>
      </w:pPr>
      <w:r>
        <w:rPr>
          <w:szCs w:val="24"/>
        </w:rPr>
        <w:lastRenderedPageBreak/>
        <w:t xml:space="preserve">Når astmasymptomerne er under kontrol, kan det overvejes at nedsætte dosis af </w:t>
      </w:r>
      <w:r w:rsidR="00785CA6">
        <w:rPr>
          <w:szCs w:val="24"/>
        </w:rPr>
        <w:t>Salmeterol ”2care4”</w:t>
      </w:r>
      <w:r>
        <w:rPr>
          <w:szCs w:val="24"/>
        </w:rPr>
        <w:t xml:space="preserve"> gradvist. Det er vigtigt, at patienten monitoreres jævnligt, mens behandlingen trappes ned til den laveste effektive dosis.</w:t>
      </w:r>
    </w:p>
    <w:p w:rsidR="00422A79" w:rsidRDefault="00422A79" w:rsidP="00422A79">
      <w:pPr>
        <w:suppressAutoHyphens/>
        <w:ind w:left="851"/>
        <w:rPr>
          <w:szCs w:val="24"/>
        </w:rPr>
      </w:pPr>
    </w:p>
    <w:p w:rsidR="00422A79" w:rsidRPr="000063E7" w:rsidRDefault="00422A79" w:rsidP="00422A79">
      <w:pPr>
        <w:ind w:left="851"/>
        <w:rPr>
          <w:szCs w:val="24"/>
          <w:u w:val="single"/>
        </w:rPr>
      </w:pPr>
      <w:r w:rsidRPr="000063E7">
        <w:rPr>
          <w:szCs w:val="24"/>
          <w:u w:val="single"/>
        </w:rPr>
        <w:t>Paradoks bronkospasme</w:t>
      </w:r>
    </w:p>
    <w:p w:rsidR="00422A79" w:rsidRPr="008A60D2" w:rsidRDefault="00422A79" w:rsidP="00422A79">
      <w:pPr>
        <w:ind w:left="851"/>
        <w:rPr>
          <w:szCs w:val="24"/>
        </w:rPr>
      </w:pPr>
      <w:r w:rsidRPr="008A60D2">
        <w:rPr>
          <w:szCs w:val="24"/>
        </w:rPr>
        <w:t>Som ved al anden inhalationsterapi kan der forekomme paradoks bronkospasme med akut øget hvæsen</w:t>
      </w:r>
      <w:r>
        <w:rPr>
          <w:szCs w:val="24"/>
        </w:rPr>
        <w:t>de vejrtrækning</w:t>
      </w:r>
      <w:r w:rsidRPr="008A60D2">
        <w:rPr>
          <w:szCs w:val="24"/>
        </w:rPr>
        <w:t xml:space="preserve"> og fald i peak flow (PEFR) efter indtagelse af dosis. Dette skal straks behandles med en hurtigvirkende inhaleret bronkodilatator. </w:t>
      </w:r>
      <w:r w:rsidR="00785CA6">
        <w:rPr>
          <w:szCs w:val="24"/>
        </w:rPr>
        <w:t>Salmeterol ”2care4”</w:t>
      </w:r>
      <w:r w:rsidRPr="008A60D2">
        <w:rPr>
          <w:szCs w:val="24"/>
        </w:rPr>
        <w:t xml:space="preserve"> skal straks seponeres, patienten undersøges, og om nødvendigt gives anden behandling (se pkt. 4.</w:t>
      </w:r>
      <w:r>
        <w:rPr>
          <w:szCs w:val="24"/>
        </w:rPr>
        <w:t>8</w:t>
      </w:r>
      <w:r w:rsidRPr="008A60D2">
        <w:rPr>
          <w:szCs w:val="24"/>
        </w:rPr>
        <w:t>).</w:t>
      </w:r>
    </w:p>
    <w:p w:rsidR="00422A79" w:rsidRDefault="00422A79" w:rsidP="00422A79">
      <w:pPr>
        <w:ind w:left="851"/>
        <w:rPr>
          <w:szCs w:val="24"/>
        </w:rPr>
      </w:pPr>
    </w:p>
    <w:p w:rsidR="00422A79" w:rsidRDefault="00422A79" w:rsidP="00422A79">
      <w:pPr>
        <w:ind w:left="851"/>
        <w:rPr>
          <w:szCs w:val="24"/>
        </w:rPr>
      </w:pPr>
      <w:r>
        <w:rPr>
          <w:szCs w:val="24"/>
        </w:rPr>
        <w:t>De farmakologiske bivirkninger ved beta</w:t>
      </w:r>
      <w:r>
        <w:rPr>
          <w:szCs w:val="24"/>
          <w:vertAlign w:val="subscript"/>
        </w:rPr>
        <w:t>2</w:t>
      </w:r>
      <w:r>
        <w:rPr>
          <w:szCs w:val="24"/>
        </w:rPr>
        <w:t xml:space="preserve">-agonist behandling, såsom tremor, palpitationer og hovedpine er rapporteret, men de synes at være forbigående og aftagende ved regelmæssig behandling. (se pkt. 4.8). </w:t>
      </w:r>
    </w:p>
    <w:p w:rsidR="00422A79" w:rsidRPr="000063E7" w:rsidRDefault="00422A79" w:rsidP="00422A79">
      <w:pPr>
        <w:rPr>
          <w:szCs w:val="24"/>
        </w:rPr>
      </w:pPr>
    </w:p>
    <w:p w:rsidR="00422A79" w:rsidRPr="000063E7" w:rsidRDefault="00422A79" w:rsidP="00422A79">
      <w:pPr>
        <w:keepNext/>
        <w:ind w:left="851"/>
        <w:rPr>
          <w:szCs w:val="24"/>
          <w:u w:val="single"/>
        </w:rPr>
      </w:pPr>
      <w:r w:rsidRPr="000063E7">
        <w:rPr>
          <w:szCs w:val="24"/>
          <w:u w:val="single"/>
        </w:rPr>
        <w:t xml:space="preserve">Kardiovaskulære </w:t>
      </w:r>
      <w:r>
        <w:rPr>
          <w:szCs w:val="24"/>
          <w:u w:val="single"/>
        </w:rPr>
        <w:t>på</w:t>
      </w:r>
      <w:r w:rsidRPr="000063E7">
        <w:rPr>
          <w:szCs w:val="24"/>
          <w:u w:val="single"/>
        </w:rPr>
        <w:t>virkninger</w:t>
      </w:r>
    </w:p>
    <w:p w:rsidR="00422A79" w:rsidRDefault="00422A79" w:rsidP="00422A79">
      <w:pPr>
        <w:suppressAutoHyphens/>
        <w:ind w:left="851"/>
        <w:rPr>
          <w:szCs w:val="24"/>
        </w:rPr>
      </w:pPr>
      <w:r w:rsidRPr="008A60D2">
        <w:rPr>
          <w:szCs w:val="24"/>
        </w:rPr>
        <w:t>Kardiovaskulære påvirkninger</w:t>
      </w:r>
      <w:r>
        <w:rPr>
          <w:szCs w:val="24"/>
        </w:rPr>
        <w:t>,</w:t>
      </w:r>
      <w:r w:rsidRPr="008A60D2">
        <w:rPr>
          <w:szCs w:val="24"/>
        </w:rPr>
        <w:t xml:space="preserve"> </w:t>
      </w:r>
      <w:r>
        <w:rPr>
          <w:szCs w:val="24"/>
        </w:rPr>
        <w:t>så</w:t>
      </w:r>
      <w:r w:rsidRPr="008A60D2">
        <w:rPr>
          <w:szCs w:val="24"/>
        </w:rPr>
        <w:t xml:space="preserve">som </w:t>
      </w:r>
      <w:r>
        <w:rPr>
          <w:szCs w:val="24"/>
        </w:rPr>
        <w:t>øget</w:t>
      </w:r>
      <w:r w:rsidRPr="008A60D2">
        <w:rPr>
          <w:szCs w:val="24"/>
        </w:rPr>
        <w:t xml:space="preserve"> systolisk blodtryk og øget puls</w:t>
      </w:r>
      <w:r>
        <w:rPr>
          <w:szCs w:val="24"/>
        </w:rPr>
        <w:t>,</w:t>
      </w:r>
      <w:r w:rsidRPr="008A60D2">
        <w:rPr>
          <w:szCs w:val="24"/>
        </w:rPr>
        <w:t xml:space="preserve"> kan lejlighedsvis forekomme ved anvendelse af alle sympatomimetika, især ved </w:t>
      </w:r>
      <w:r>
        <w:rPr>
          <w:szCs w:val="24"/>
        </w:rPr>
        <w:t>højere</w:t>
      </w:r>
      <w:r w:rsidRPr="008A60D2">
        <w:rPr>
          <w:szCs w:val="24"/>
        </w:rPr>
        <w:t xml:space="preserve"> doser end de anbefalede. </w:t>
      </w:r>
      <w:r>
        <w:rPr>
          <w:szCs w:val="24"/>
        </w:rPr>
        <w:t>S</w:t>
      </w:r>
      <w:r w:rsidRPr="008A60D2">
        <w:rPr>
          <w:szCs w:val="24"/>
        </w:rPr>
        <w:t xml:space="preserve">almeterol </w:t>
      </w:r>
      <w:r>
        <w:rPr>
          <w:szCs w:val="24"/>
        </w:rPr>
        <w:t xml:space="preserve">skal derfor </w:t>
      </w:r>
      <w:r w:rsidRPr="008A60D2">
        <w:rPr>
          <w:szCs w:val="24"/>
        </w:rPr>
        <w:t xml:space="preserve">gives med forsigtighed </w:t>
      </w:r>
      <w:r>
        <w:rPr>
          <w:szCs w:val="24"/>
        </w:rPr>
        <w:t>til</w:t>
      </w:r>
      <w:r w:rsidRPr="008A60D2">
        <w:rPr>
          <w:szCs w:val="24"/>
        </w:rPr>
        <w:t xml:space="preserve"> patienter med </w:t>
      </w:r>
      <w:r>
        <w:rPr>
          <w:szCs w:val="24"/>
        </w:rPr>
        <w:t xml:space="preserve">eksisterende </w:t>
      </w:r>
      <w:r w:rsidRPr="008A60D2">
        <w:rPr>
          <w:szCs w:val="24"/>
        </w:rPr>
        <w:t>hjerte-kar-sygdom.</w:t>
      </w:r>
    </w:p>
    <w:p w:rsidR="00422A79" w:rsidRPr="008A60D2" w:rsidRDefault="00422A79" w:rsidP="00422A79">
      <w:pPr>
        <w:suppressAutoHyphens/>
        <w:ind w:left="851"/>
        <w:rPr>
          <w:szCs w:val="24"/>
        </w:rPr>
      </w:pPr>
    </w:p>
    <w:p w:rsidR="00422A79" w:rsidRPr="004332B0" w:rsidRDefault="00422A79" w:rsidP="00422A79">
      <w:pPr>
        <w:suppressAutoHyphens/>
        <w:ind w:left="851"/>
        <w:rPr>
          <w:szCs w:val="24"/>
          <w:u w:val="single"/>
        </w:rPr>
      </w:pPr>
      <w:r w:rsidRPr="004332B0">
        <w:rPr>
          <w:szCs w:val="24"/>
          <w:u w:val="single"/>
        </w:rPr>
        <w:t>Tyreotoksikose</w:t>
      </w:r>
    </w:p>
    <w:p w:rsidR="00422A79" w:rsidRPr="008A60D2" w:rsidRDefault="00785CA6" w:rsidP="00422A79">
      <w:pPr>
        <w:suppressAutoHyphens/>
        <w:ind w:left="851"/>
        <w:rPr>
          <w:szCs w:val="24"/>
        </w:rPr>
      </w:pPr>
      <w:r>
        <w:rPr>
          <w:szCs w:val="24"/>
        </w:rPr>
        <w:t>Salmeterol ”2care4”</w:t>
      </w:r>
      <w:r w:rsidR="00422A79" w:rsidRPr="008A60D2">
        <w:rPr>
          <w:szCs w:val="24"/>
        </w:rPr>
        <w:t xml:space="preserve"> bør gives med forsigtighed til patienter med tyreotoksikose.</w:t>
      </w:r>
    </w:p>
    <w:p w:rsidR="00422A79" w:rsidRPr="008A60D2" w:rsidRDefault="00422A79" w:rsidP="00422A79">
      <w:pPr>
        <w:suppressAutoHyphens/>
        <w:ind w:left="851" w:hanging="851"/>
        <w:rPr>
          <w:szCs w:val="24"/>
        </w:rPr>
      </w:pPr>
    </w:p>
    <w:p w:rsidR="00422A79" w:rsidRPr="004332B0" w:rsidRDefault="00422A79" w:rsidP="00422A79">
      <w:pPr>
        <w:suppressAutoHyphens/>
        <w:ind w:left="851"/>
        <w:rPr>
          <w:szCs w:val="24"/>
          <w:u w:val="single"/>
        </w:rPr>
      </w:pPr>
      <w:r>
        <w:rPr>
          <w:szCs w:val="24"/>
          <w:u w:val="single"/>
        </w:rPr>
        <w:t>Blodglukoseniveau</w:t>
      </w:r>
    </w:p>
    <w:p w:rsidR="00422A79" w:rsidRPr="008A60D2" w:rsidRDefault="00422A79" w:rsidP="00422A79">
      <w:pPr>
        <w:suppressAutoHyphens/>
        <w:ind w:left="851"/>
        <w:rPr>
          <w:szCs w:val="24"/>
        </w:rPr>
      </w:pPr>
      <w:r w:rsidRPr="008A60D2">
        <w:rPr>
          <w:szCs w:val="24"/>
        </w:rPr>
        <w:t xml:space="preserve">I meget sjældne tilfælde </w:t>
      </w:r>
      <w:r>
        <w:rPr>
          <w:szCs w:val="24"/>
        </w:rPr>
        <w:t>er der set</w:t>
      </w:r>
      <w:r w:rsidRPr="008A60D2">
        <w:rPr>
          <w:szCs w:val="24"/>
        </w:rPr>
        <w:t xml:space="preserve"> forhøjet blodglukoseniveau (se pkt. 4.8), som skal tages med i overvejelserne, </w:t>
      </w:r>
      <w:r>
        <w:rPr>
          <w:szCs w:val="24"/>
        </w:rPr>
        <w:t>ved ordination</w:t>
      </w:r>
      <w:r w:rsidRPr="008A60D2">
        <w:rPr>
          <w:szCs w:val="24"/>
        </w:rPr>
        <w:t xml:space="preserve"> til patienter med diabetes mellitus.</w:t>
      </w:r>
    </w:p>
    <w:p w:rsidR="00422A79" w:rsidRPr="008A60D2" w:rsidRDefault="00422A79" w:rsidP="00422A79">
      <w:pPr>
        <w:pStyle w:val="NormalWeb"/>
        <w:spacing w:before="0" w:beforeAutospacing="0" w:after="0" w:afterAutospacing="0"/>
        <w:ind w:left="851" w:hanging="851"/>
      </w:pPr>
    </w:p>
    <w:p w:rsidR="00422A79" w:rsidRPr="004332B0" w:rsidRDefault="00422A79" w:rsidP="00422A79">
      <w:pPr>
        <w:suppressAutoHyphens/>
        <w:ind w:left="851"/>
        <w:rPr>
          <w:szCs w:val="24"/>
          <w:u w:val="single"/>
        </w:rPr>
      </w:pPr>
      <w:r>
        <w:rPr>
          <w:szCs w:val="24"/>
          <w:u w:val="single"/>
        </w:rPr>
        <w:t>Hypokaliæmi</w:t>
      </w:r>
    </w:p>
    <w:p w:rsidR="00422A79" w:rsidRPr="008A60D2" w:rsidRDefault="00422A79" w:rsidP="00422A79">
      <w:pPr>
        <w:suppressAutoHyphens/>
        <w:ind w:left="851"/>
        <w:rPr>
          <w:szCs w:val="24"/>
        </w:rPr>
      </w:pPr>
      <w:r w:rsidRPr="008A60D2">
        <w:rPr>
          <w:szCs w:val="24"/>
        </w:rPr>
        <w:t>Behandling med ß</w:t>
      </w:r>
      <w:r w:rsidRPr="008A60D2">
        <w:rPr>
          <w:szCs w:val="24"/>
          <w:vertAlign w:val="subscript"/>
        </w:rPr>
        <w:t>2</w:t>
      </w:r>
      <w:r w:rsidRPr="008A60D2">
        <w:rPr>
          <w:szCs w:val="24"/>
        </w:rPr>
        <w:t>-agonister kan medføre potentielt alvorlig hypokaliæmi. Særlig forsigtighed udvises ved akut svær astma, da hypoxia og samtidig behandling med xantinderivater, steroider og diuretika kan øge risikoen for hypokaliæmi. I disse tilfælde bør kaliumindholdet i blodet måles.</w:t>
      </w:r>
    </w:p>
    <w:p w:rsidR="00422A79" w:rsidRDefault="00422A79" w:rsidP="00422A79">
      <w:pPr>
        <w:suppressAutoHyphens/>
        <w:ind w:left="851" w:hanging="851"/>
        <w:rPr>
          <w:szCs w:val="24"/>
        </w:rPr>
      </w:pPr>
    </w:p>
    <w:p w:rsidR="00422A79" w:rsidRPr="004332B0" w:rsidRDefault="00422A79" w:rsidP="00422A79">
      <w:pPr>
        <w:suppressAutoHyphens/>
        <w:ind w:left="851" w:hanging="851"/>
        <w:rPr>
          <w:szCs w:val="24"/>
          <w:u w:val="single"/>
        </w:rPr>
      </w:pPr>
      <w:r>
        <w:rPr>
          <w:szCs w:val="24"/>
        </w:rPr>
        <w:tab/>
      </w:r>
      <w:r>
        <w:rPr>
          <w:szCs w:val="24"/>
          <w:u w:val="single"/>
        </w:rPr>
        <w:t>Respirationsrelaterede hændelser</w:t>
      </w:r>
    </w:p>
    <w:p w:rsidR="00422A79" w:rsidRDefault="00422A79" w:rsidP="00422A79">
      <w:pPr>
        <w:suppressAutoHyphens/>
        <w:ind w:left="851" w:hanging="851"/>
        <w:rPr>
          <w:szCs w:val="24"/>
        </w:rPr>
      </w:pPr>
      <w:r>
        <w:rPr>
          <w:szCs w:val="24"/>
        </w:rPr>
        <w:tab/>
        <w:t xml:space="preserve">Data fra et stort klinisk studie (Salmeterol Multi-Center Asthma Research Trial, SMART) antyder, at afroamerikanske astmapatienter havde øget risiko for alvorlige respirationsrelaterede hændelser eller død ved anvendelse af salmeterol sammenlignet med placebo (se pkt. 5.1). Det vides ikke, om dette er farmakogenetisk begrundet, eller det skyldes andre faktorer. Sorte patienter (af afrikansk eller afrocaribisk oprindelse) bør derfor fortsætte behandlingen, men søge læge, hvis deres astmasymptomer ikke kommer under kontrol eller bliver forværret under behandlingen med </w:t>
      </w:r>
      <w:r w:rsidR="00785CA6">
        <w:rPr>
          <w:szCs w:val="24"/>
        </w:rPr>
        <w:t>Salmeterol ”2care4”</w:t>
      </w:r>
      <w:r>
        <w:rPr>
          <w:szCs w:val="24"/>
        </w:rPr>
        <w:t>.</w:t>
      </w:r>
    </w:p>
    <w:p w:rsidR="00422A79" w:rsidRPr="008A60D2" w:rsidRDefault="00422A79" w:rsidP="00422A79">
      <w:pPr>
        <w:suppressAutoHyphens/>
        <w:ind w:left="851" w:hanging="851"/>
        <w:rPr>
          <w:szCs w:val="24"/>
        </w:rPr>
      </w:pPr>
    </w:p>
    <w:p w:rsidR="00422A79" w:rsidRPr="004332B0" w:rsidRDefault="00422A79" w:rsidP="00422A79">
      <w:pPr>
        <w:suppressAutoHyphens/>
        <w:ind w:left="851"/>
        <w:rPr>
          <w:szCs w:val="24"/>
          <w:u w:val="single"/>
        </w:rPr>
      </w:pPr>
      <w:r>
        <w:rPr>
          <w:szCs w:val="24"/>
          <w:u w:val="single"/>
        </w:rPr>
        <w:t>Ketoconazol</w:t>
      </w:r>
    </w:p>
    <w:p w:rsidR="00422A79" w:rsidRDefault="00422A79" w:rsidP="00422A79">
      <w:pPr>
        <w:suppressAutoHyphens/>
        <w:ind w:left="851"/>
        <w:rPr>
          <w:szCs w:val="24"/>
        </w:rPr>
      </w:pPr>
      <w:r>
        <w:rPr>
          <w:szCs w:val="24"/>
        </w:rPr>
        <w:t>Samtidig anvendelse af systemisk ketoconazol øger den systemiske påvirkning af salmeterol. Det kan føre til øget forekomst af systemisk påvirkning (f.eks. forlænget QT-interval og palpitationer). Samtidig anvendelse af ketoconazol eller andre potente CYP3A4-hæmmere bør derfor undgås, med mindre fordelene opvejer den potentielt øgede risiko for systemiske bivirkninger ved behandling med salmeterol (se pkt. 4.5).</w:t>
      </w:r>
    </w:p>
    <w:p w:rsidR="00422A79" w:rsidRDefault="00422A79" w:rsidP="00422A79">
      <w:pPr>
        <w:suppressAutoHyphens/>
        <w:ind w:left="851"/>
        <w:rPr>
          <w:szCs w:val="24"/>
        </w:rPr>
      </w:pPr>
    </w:p>
    <w:p w:rsidR="00422A79" w:rsidRPr="004332B0" w:rsidRDefault="00422A79" w:rsidP="00422A79">
      <w:pPr>
        <w:suppressAutoHyphens/>
        <w:ind w:left="851"/>
        <w:rPr>
          <w:szCs w:val="24"/>
          <w:u w:val="single"/>
        </w:rPr>
      </w:pPr>
      <w:r>
        <w:rPr>
          <w:szCs w:val="24"/>
          <w:u w:val="single"/>
        </w:rPr>
        <w:t>Inhalationsteknik</w:t>
      </w:r>
    </w:p>
    <w:p w:rsidR="00422A79" w:rsidRPr="008A60D2" w:rsidRDefault="00422A79" w:rsidP="00422A79">
      <w:pPr>
        <w:suppressAutoHyphens/>
        <w:ind w:left="851"/>
        <w:rPr>
          <w:szCs w:val="24"/>
        </w:rPr>
      </w:pPr>
      <w:r w:rsidRPr="008A60D2">
        <w:rPr>
          <w:szCs w:val="24"/>
        </w:rPr>
        <w:t xml:space="preserve">Patienterne skal instrueres </w:t>
      </w:r>
      <w:r>
        <w:rPr>
          <w:szCs w:val="24"/>
        </w:rPr>
        <w:t>grundigt</w:t>
      </w:r>
      <w:r w:rsidRPr="008A60D2">
        <w:rPr>
          <w:szCs w:val="24"/>
        </w:rPr>
        <w:t xml:space="preserve"> i, hvordan deres spray skal </w:t>
      </w:r>
      <w:r>
        <w:rPr>
          <w:szCs w:val="24"/>
        </w:rPr>
        <w:t>anvendes</w:t>
      </w:r>
      <w:r w:rsidRPr="008A60D2">
        <w:rPr>
          <w:szCs w:val="24"/>
        </w:rPr>
        <w:t>, og deres inhalationsteknik skal checkes for at sikre optimal dosering.</w:t>
      </w:r>
    </w:p>
    <w:p w:rsidR="00422A79" w:rsidRPr="008A60D2" w:rsidRDefault="00422A79" w:rsidP="00422A79">
      <w:pPr>
        <w:suppressAutoHyphens/>
        <w:ind w:left="851" w:hanging="851"/>
        <w:rPr>
          <w:szCs w:val="24"/>
        </w:rPr>
      </w:pPr>
    </w:p>
    <w:p w:rsidR="00422A79" w:rsidRPr="008A60D2" w:rsidRDefault="00422A79" w:rsidP="00422A79">
      <w:pPr>
        <w:ind w:left="851"/>
        <w:rPr>
          <w:szCs w:val="24"/>
        </w:rPr>
      </w:pPr>
      <w:r w:rsidRPr="008A60D2">
        <w:rPr>
          <w:szCs w:val="24"/>
        </w:rPr>
        <w:lastRenderedPageBreak/>
        <w:t>Da systemisk absorption hovedsageligt foregår i lungerne, kan der forekomme ændret</w:t>
      </w:r>
      <w:r>
        <w:rPr>
          <w:szCs w:val="24"/>
        </w:rPr>
        <w:t xml:space="preserve"> fordeling til lungerne</w:t>
      </w:r>
      <w:r w:rsidRPr="008A60D2">
        <w:rPr>
          <w:szCs w:val="24"/>
        </w:rPr>
        <w:t xml:space="preserve"> ved administration via spacer. Dosisjustering bør overvejes, da det eventuelt kan føre til øget risiko for systemiske bivirkninger.</w:t>
      </w:r>
    </w:p>
    <w:p w:rsidR="00422A79" w:rsidRDefault="00422A79" w:rsidP="00422A79">
      <w:pPr>
        <w:ind w:left="851" w:hanging="851"/>
        <w:rPr>
          <w:szCs w:val="24"/>
        </w:rPr>
      </w:pPr>
    </w:p>
    <w:p w:rsidR="00422A79" w:rsidRPr="008A60D2" w:rsidRDefault="00422A79" w:rsidP="00422A79">
      <w:pPr>
        <w:numPr>
          <w:ilvl w:val="1"/>
          <w:numId w:val="6"/>
        </w:numPr>
        <w:tabs>
          <w:tab w:val="clear" w:pos="855"/>
        </w:tabs>
        <w:ind w:left="851" w:hanging="851"/>
        <w:rPr>
          <w:b/>
          <w:szCs w:val="24"/>
        </w:rPr>
      </w:pPr>
      <w:r w:rsidRPr="008A60D2">
        <w:rPr>
          <w:b/>
          <w:szCs w:val="24"/>
        </w:rPr>
        <w:t>Interaktion med andre lægemidler og andre former for interaktion</w:t>
      </w:r>
    </w:p>
    <w:p w:rsidR="00422A79" w:rsidRPr="008A60D2" w:rsidRDefault="00422A79" w:rsidP="00422A79">
      <w:pPr>
        <w:ind w:left="851"/>
      </w:pPr>
      <w:r>
        <w:t>Beta</w:t>
      </w:r>
      <w:r w:rsidRPr="008A60D2">
        <w:t>-</w:t>
      </w:r>
      <w:r>
        <w:t xml:space="preserve">adrenerge </w:t>
      </w:r>
      <w:r w:rsidRPr="008A60D2">
        <w:t xml:space="preserve">blokkere </w:t>
      </w:r>
      <w:r>
        <w:t xml:space="preserve">kan nedsætte eller modvirke virkningen af salmeterol. </w:t>
      </w:r>
      <w:r w:rsidRPr="008A60D2">
        <w:t xml:space="preserve">Både selektive og ikke selektive </w:t>
      </w:r>
      <w:r>
        <w:t>beta</w:t>
      </w:r>
      <w:r w:rsidRPr="008A60D2">
        <w:t>blokkere bør kun gives på tvingende indikation.</w:t>
      </w:r>
    </w:p>
    <w:p w:rsidR="00422A79" w:rsidRPr="008A60D2" w:rsidRDefault="00422A79" w:rsidP="00422A79"/>
    <w:p w:rsidR="00422A79" w:rsidRPr="008A60D2" w:rsidRDefault="00422A79" w:rsidP="00422A79">
      <w:pPr>
        <w:ind w:left="851"/>
      </w:pPr>
      <w:r w:rsidRPr="008A60D2">
        <w:t xml:space="preserve">Behandling med </w:t>
      </w:r>
      <w:r w:rsidRPr="008A60D2">
        <w:rPr>
          <w:szCs w:val="24"/>
        </w:rPr>
        <w:t>ß</w:t>
      </w:r>
      <w:r w:rsidRPr="008A60D2">
        <w:rPr>
          <w:szCs w:val="24"/>
          <w:vertAlign w:val="subscript"/>
        </w:rPr>
        <w:t>2</w:t>
      </w:r>
      <w:r w:rsidRPr="008A60D2">
        <w:t xml:space="preserve">-agonister kan medføre potentielt alvorlig hypokaliæmi. Særlig forsigtighed tilrådes ved akut svær astma, idet den hypokaliæmiske virkning kan forstærkes ved samtidig behandling med xantinderivater, steroider og diuretika. </w:t>
      </w:r>
    </w:p>
    <w:p w:rsidR="00422A79" w:rsidRDefault="00422A79" w:rsidP="00422A79">
      <w:pPr>
        <w:ind w:left="851"/>
      </w:pPr>
    </w:p>
    <w:p w:rsidR="00422A79" w:rsidRPr="0002281E" w:rsidRDefault="00422A79" w:rsidP="00422A79">
      <w:pPr>
        <w:ind w:left="851"/>
        <w:rPr>
          <w:u w:val="single"/>
        </w:rPr>
      </w:pPr>
      <w:r w:rsidRPr="0002281E">
        <w:rPr>
          <w:u w:val="single"/>
        </w:rPr>
        <w:t>Potente CYP3A4-hæmmere</w:t>
      </w:r>
    </w:p>
    <w:p w:rsidR="00422A79" w:rsidRDefault="00422A79" w:rsidP="00422A79">
      <w:pPr>
        <w:ind w:left="851"/>
      </w:pPr>
      <w:r>
        <w:t>Samtidig administration af ketoconazol (400 mg oralt 1 gang daglig) og salmeterol (50 mikrogram inhaleret 2 gange daglig) hos 15 raske frivillige i 7 dage resulterede i signifikant øget plasmakoncentration af salmeterol (1,4 gange C</w:t>
      </w:r>
      <w:r w:rsidRPr="004332B0">
        <w:rPr>
          <w:vertAlign w:val="subscript"/>
        </w:rPr>
        <w:t>max</w:t>
      </w:r>
      <w:r>
        <w:t xml:space="preserve"> og 15 gange AUC). Dette kan føre til øget forekomst af andre systemiske bivirkninger ved behandling med salmeterol (f.eks. forlængelse af QT-interval og palpitationer) sammenlignet med salmeterol eller ketoconazol anvendt alene (se pkt. 4.4).</w:t>
      </w:r>
    </w:p>
    <w:p w:rsidR="00422A79" w:rsidRDefault="00422A79" w:rsidP="00422A79">
      <w:pPr>
        <w:ind w:left="851"/>
      </w:pPr>
    </w:p>
    <w:p w:rsidR="00422A79" w:rsidRDefault="00422A79" w:rsidP="00422A79">
      <w:pPr>
        <w:ind w:left="851"/>
      </w:pPr>
      <w:r>
        <w:t>Der sås ikke klinisk signifikant påvirkning af blodtryk, hjerteslag, blodglucose og serumkalium. Samtidig administration af ketoconazol forlængede ikke salmeterols halveringstid og øgede heller ikke ved gentagne doser plasmakoncentrationen af salmeterol.</w:t>
      </w:r>
    </w:p>
    <w:p w:rsidR="00422A79" w:rsidRDefault="00422A79" w:rsidP="00422A79">
      <w:pPr>
        <w:ind w:left="851"/>
      </w:pPr>
    </w:p>
    <w:p w:rsidR="00422A79" w:rsidRDefault="00422A79" w:rsidP="00422A79">
      <w:pPr>
        <w:ind w:left="851"/>
      </w:pPr>
      <w:r>
        <w:t>Samtidig administration af ketoconazol bør undgås, med mindre fordelene opvejer den potentielt øgede risiko for systemiske bivirkninger ved behandling med salmeterol. Der er sandsynligvis en lignende risiko for interaktion i forbindelse med andre potente CYP3A4-hæmmere (f.eks. itraconazol, telithromycin, ritonavir).</w:t>
      </w:r>
    </w:p>
    <w:p w:rsidR="00422A79" w:rsidRDefault="00422A79" w:rsidP="00422A79">
      <w:pPr>
        <w:ind w:left="851"/>
      </w:pPr>
    </w:p>
    <w:p w:rsidR="00422A79" w:rsidRPr="0002281E" w:rsidRDefault="00422A79" w:rsidP="00422A79">
      <w:pPr>
        <w:ind w:left="851"/>
        <w:rPr>
          <w:u w:val="single"/>
        </w:rPr>
      </w:pPr>
      <w:r w:rsidRPr="0002281E">
        <w:rPr>
          <w:u w:val="single"/>
        </w:rPr>
        <w:t>Moderate CYP3A4-hæmmere</w:t>
      </w:r>
    </w:p>
    <w:p w:rsidR="00422A79" w:rsidRDefault="00422A79" w:rsidP="00422A79">
      <w:pPr>
        <w:ind w:left="851"/>
      </w:pPr>
      <w:r>
        <w:t>Samtidig administration af erytromycin (500 mg oralt 3 gange daglig) og salmeterol (50 mikrogram inhaleret 2 gange daglig) hos 15 raske frivillige i 6 dage resulterede i let, dog ikke statistisk signifikant, øget systemisk påvirkning af salmeterol (1,4 gange C</w:t>
      </w:r>
      <w:r w:rsidRPr="004332B0">
        <w:rPr>
          <w:vertAlign w:val="subscript"/>
        </w:rPr>
        <w:t>max</w:t>
      </w:r>
      <w:r>
        <w:t xml:space="preserve"> og 1,2 gange AUC). Der sås ikke alvorlige bivirkninger i forbindelse med samtidig administration af erytromycin.  </w:t>
      </w:r>
    </w:p>
    <w:p w:rsidR="00422A79" w:rsidRDefault="00422A79" w:rsidP="00422A79">
      <w:pPr>
        <w:ind w:left="851"/>
      </w:pPr>
    </w:p>
    <w:p w:rsidR="00422A79" w:rsidRPr="008A60D2" w:rsidRDefault="00422A79" w:rsidP="00422A79">
      <w:pPr>
        <w:numPr>
          <w:ilvl w:val="1"/>
          <w:numId w:val="6"/>
        </w:numPr>
        <w:tabs>
          <w:tab w:val="clear" w:pos="855"/>
        </w:tabs>
        <w:ind w:left="851" w:hanging="851"/>
        <w:rPr>
          <w:b/>
          <w:szCs w:val="24"/>
        </w:rPr>
      </w:pPr>
      <w:r w:rsidRPr="008A60D2">
        <w:rPr>
          <w:b/>
          <w:szCs w:val="24"/>
        </w:rPr>
        <w:t>Graviditet og amning</w:t>
      </w:r>
    </w:p>
    <w:p w:rsidR="00422A79" w:rsidRPr="004332B0" w:rsidRDefault="00422A79" w:rsidP="00422A79">
      <w:pPr>
        <w:ind w:left="855"/>
        <w:rPr>
          <w:u w:val="single"/>
        </w:rPr>
      </w:pPr>
      <w:r>
        <w:rPr>
          <w:u w:val="single"/>
        </w:rPr>
        <w:t>Graviditet</w:t>
      </w:r>
    </w:p>
    <w:p w:rsidR="00422A79" w:rsidRDefault="00422A79" w:rsidP="00422A79">
      <w:pPr>
        <w:ind w:left="855"/>
      </w:pPr>
      <w:r>
        <w:t>En moderat mængde kliniske data fra gravide kvinder (mellem 300-1.000 graviditeter) tyder ikke på misdannelser eller føtal/neonatal toksicitet af salmeterol.</w:t>
      </w:r>
    </w:p>
    <w:p w:rsidR="00422A79" w:rsidRDefault="00422A79" w:rsidP="00422A79">
      <w:pPr>
        <w:ind w:left="855"/>
      </w:pPr>
    </w:p>
    <w:p w:rsidR="00422A79" w:rsidRDefault="00422A79" w:rsidP="00422A79">
      <w:pPr>
        <w:ind w:left="855"/>
      </w:pPr>
      <w:r>
        <w:t>Dyrestudier indikerer hverken direkte eller indirekte skadelige virkninger hvad angår reproduktivitetstoksicitet undtagen ved meget høje doser, hvor der er set skader på fostret (se pkt. 5.3).</w:t>
      </w:r>
    </w:p>
    <w:p w:rsidR="00422A79" w:rsidRDefault="00422A79" w:rsidP="00422A79">
      <w:pPr>
        <w:ind w:left="855"/>
      </w:pPr>
    </w:p>
    <w:p w:rsidR="00422A79" w:rsidRDefault="00422A79" w:rsidP="00422A79">
      <w:pPr>
        <w:ind w:left="855"/>
      </w:pPr>
      <w:r>
        <w:t xml:space="preserve">For en sikkerheds skyld bør </w:t>
      </w:r>
      <w:r w:rsidR="00785CA6">
        <w:t>Salmeterol ”2care4”</w:t>
      </w:r>
      <w:r>
        <w:t xml:space="preserve"> undgås under graviditeten.</w:t>
      </w:r>
    </w:p>
    <w:p w:rsidR="00422A79" w:rsidRPr="00371106" w:rsidRDefault="00422A79" w:rsidP="00422A79">
      <w:pPr>
        <w:ind w:left="855"/>
      </w:pPr>
    </w:p>
    <w:p w:rsidR="00422A79" w:rsidRPr="004332B0" w:rsidRDefault="00422A79" w:rsidP="00422A79">
      <w:pPr>
        <w:ind w:left="855"/>
        <w:rPr>
          <w:u w:val="single"/>
        </w:rPr>
      </w:pPr>
      <w:r w:rsidRPr="004332B0">
        <w:rPr>
          <w:u w:val="single"/>
        </w:rPr>
        <w:t>Amning</w:t>
      </w:r>
    </w:p>
    <w:p w:rsidR="00422A79" w:rsidRDefault="00422A79" w:rsidP="00422A79">
      <w:pPr>
        <w:ind w:left="855"/>
      </w:pPr>
      <w:r>
        <w:t>Farmakodynamiske/toksikologiske data fra dyrestudier viser, at salmeterol udskilles i mælk. En risiko for børn, der ammes, kan ikke udelukkes.</w:t>
      </w:r>
    </w:p>
    <w:p w:rsidR="00422A79" w:rsidRDefault="00422A79" w:rsidP="00422A79">
      <w:pPr>
        <w:ind w:left="855"/>
      </w:pPr>
    </w:p>
    <w:p w:rsidR="00422A79" w:rsidRDefault="00422A79" w:rsidP="00422A79">
      <w:pPr>
        <w:ind w:left="855"/>
      </w:pPr>
      <w:r>
        <w:t xml:space="preserve">Det skal besluttes, om amning eller behandling med </w:t>
      </w:r>
      <w:r w:rsidR="00785CA6">
        <w:t>Salmeterol ”2care4”</w:t>
      </w:r>
      <w:r>
        <w:t xml:space="preserve"> skal ophøre, idet der tages højde for fordelene ved amning for barnet i forhold til de terapeutiske fordele for moderen.  </w:t>
      </w:r>
    </w:p>
    <w:p w:rsidR="00422A79" w:rsidRPr="008A60D2" w:rsidRDefault="00422A79" w:rsidP="00422A79">
      <w:pPr>
        <w:ind w:left="855"/>
      </w:pPr>
    </w:p>
    <w:p w:rsidR="00422A79" w:rsidRPr="008A60D2" w:rsidRDefault="00422A79" w:rsidP="00422A79">
      <w:pPr>
        <w:ind w:left="855"/>
      </w:pPr>
      <w:r>
        <w:t>Studier</w:t>
      </w:r>
      <w:r w:rsidRPr="008A60D2">
        <w:t xml:space="preserve"> med HFA 134a afslørede ingen påvirkning af reproduktion eller laktation hos voksne rotter, </w:t>
      </w:r>
      <w:r>
        <w:t xml:space="preserve">eller hos </w:t>
      </w:r>
      <w:r w:rsidRPr="008A60D2">
        <w:t>to på hinanden følgende generationer af rotter eller på fosterudviklingen hos rotter og kaniner.</w:t>
      </w:r>
    </w:p>
    <w:p w:rsidR="00422A79" w:rsidRPr="008A60D2" w:rsidRDefault="00422A79" w:rsidP="00422A79"/>
    <w:p w:rsidR="00422A79" w:rsidRPr="008A60D2" w:rsidRDefault="00422A79" w:rsidP="00422A79">
      <w:pPr>
        <w:numPr>
          <w:ilvl w:val="1"/>
          <w:numId w:val="6"/>
        </w:numPr>
        <w:tabs>
          <w:tab w:val="clear" w:pos="855"/>
        </w:tabs>
        <w:ind w:left="851" w:hanging="851"/>
        <w:rPr>
          <w:b/>
          <w:szCs w:val="24"/>
        </w:rPr>
      </w:pPr>
      <w:r w:rsidRPr="008A60D2">
        <w:rPr>
          <w:b/>
          <w:szCs w:val="24"/>
        </w:rPr>
        <w:t>Virkninger på evnen til at føre motorkøretøj eller betjene maskiner</w:t>
      </w:r>
    </w:p>
    <w:p w:rsidR="00422A79" w:rsidRDefault="00422A79" w:rsidP="00422A79">
      <w:pPr>
        <w:ind w:left="851"/>
        <w:rPr>
          <w:szCs w:val="24"/>
        </w:rPr>
      </w:pPr>
      <w:r>
        <w:rPr>
          <w:szCs w:val="24"/>
        </w:rPr>
        <w:t>Ikke mærkning.</w:t>
      </w:r>
    </w:p>
    <w:p w:rsidR="00422A79" w:rsidRPr="008A60D2" w:rsidRDefault="00422A79" w:rsidP="00422A79">
      <w:pPr>
        <w:ind w:left="851"/>
        <w:rPr>
          <w:szCs w:val="24"/>
        </w:rPr>
      </w:pPr>
      <w:r w:rsidRPr="008A60D2">
        <w:rPr>
          <w:szCs w:val="24"/>
        </w:rPr>
        <w:t>Der er ikke foretaget undersøgelser af indflydelsen på evnen til at føre bil eller betjene maskiner.</w:t>
      </w:r>
    </w:p>
    <w:p w:rsidR="00422A79" w:rsidRPr="008A60D2" w:rsidRDefault="00422A79" w:rsidP="00422A79">
      <w:pPr>
        <w:ind w:left="851" w:hanging="851"/>
        <w:rPr>
          <w:szCs w:val="24"/>
        </w:rPr>
      </w:pPr>
    </w:p>
    <w:p w:rsidR="00422A79" w:rsidRPr="008A60D2" w:rsidRDefault="00422A79" w:rsidP="00422A79">
      <w:pPr>
        <w:numPr>
          <w:ilvl w:val="1"/>
          <w:numId w:val="6"/>
        </w:numPr>
        <w:tabs>
          <w:tab w:val="clear" w:pos="855"/>
        </w:tabs>
        <w:ind w:left="851" w:hanging="851"/>
        <w:rPr>
          <w:b/>
          <w:szCs w:val="24"/>
        </w:rPr>
      </w:pPr>
      <w:r w:rsidRPr="008A60D2">
        <w:rPr>
          <w:b/>
          <w:szCs w:val="24"/>
        </w:rPr>
        <w:t>Bivirkninger</w:t>
      </w:r>
    </w:p>
    <w:p w:rsidR="00422A79" w:rsidRPr="008A60D2" w:rsidRDefault="00422A79" w:rsidP="00422A79">
      <w:pPr>
        <w:ind w:left="851" w:hanging="851"/>
        <w:rPr>
          <w:szCs w:val="24"/>
        </w:rPr>
      </w:pPr>
      <w:r w:rsidRPr="008A60D2">
        <w:rPr>
          <w:szCs w:val="24"/>
        </w:rPr>
        <w:tab/>
      </w:r>
      <w:r w:rsidRPr="008A60D2">
        <w:rPr>
          <w:spacing w:val="-3"/>
          <w:szCs w:val="24"/>
        </w:rPr>
        <w:t>Bivirkningerne er inddelt i henhold til organklasser og efter hyppighed.</w:t>
      </w:r>
      <w:r w:rsidRPr="008A60D2">
        <w:rPr>
          <w:b/>
          <w:spacing w:val="-3"/>
          <w:szCs w:val="24"/>
        </w:rPr>
        <w:t xml:space="preserve"> </w:t>
      </w:r>
      <w:r w:rsidRPr="008A60D2">
        <w:rPr>
          <w:szCs w:val="24"/>
        </w:rPr>
        <w:t>Hyppigheden defineres således: Meget almindelig (</w:t>
      </w:r>
      <w:r>
        <w:rPr>
          <w:szCs w:val="24"/>
        </w:rPr>
        <w:t xml:space="preserve">≥ </w:t>
      </w:r>
      <w:r w:rsidRPr="008A60D2">
        <w:rPr>
          <w:szCs w:val="24"/>
        </w:rPr>
        <w:t>1/10), almindelig (</w:t>
      </w:r>
      <w:r>
        <w:rPr>
          <w:szCs w:val="24"/>
        </w:rPr>
        <w:t xml:space="preserve">≥ </w:t>
      </w:r>
      <w:r w:rsidRPr="008A60D2">
        <w:rPr>
          <w:szCs w:val="24"/>
        </w:rPr>
        <w:t xml:space="preserve">1/100 </w:t>
      </w:r>
      <w:r>
        <w:rPr>
          <w:szCs w:val="24"/>
        </w:rPr>
        <w:t>til</w:t>
      </w:r>
      <w:r w:rsidRPr="008A60D2">
        <w:rPr>
          <w:szCs w:val="24"/>
        </w:rPr>
        <w:t xml:space="preserve"> &lt;1/10), ikke almindelig (</w:t>
      </w:r>
      <w:r>
        <w:rPr>
          <w:szCs w:val="24"/>
        </w:rPr>
        <w:t xml:space="preserve">≥ </w:t>
      </w:r>
      <w:r w:rsidRPr="008A60D2">
        <w:rPr>
          <w:szCs w:val="24"/>
        </w:rPr>
        <w:t xml:space="preserve">1/1000 </w:t>
      </w:r>
      <w:r>
        <w:rPr>
          <w:szCs w:val="24"/>
        </w:rPr>
        <w:t>til</w:t>
      </w:r>
      <w:r w:rsidRPr="008A60D2">
        <w:rPr>
          <w:szCs w:val="24"/>
        </w:rPr>
        <w:t xml:space="preserve"> &lt;1/100), sjælden (</w:t>
      </w:r>
      <w:r>
        <w:rPr>
          <w:szCs w:val="24"/>
        </w:rPr>
        <w:t xml:space="preserve">≥ </w:t>
      </w:r>
      <w:r w:rsidRPr="008A60D2">
        <w:rPr>
          <w:szCs w:val="24"/>
        </w:rPr>
        <w:t xml:space="preserve">1/10.000 </w:t>
      </w:r>
      <w:r>
        <w:rPr>
          <w:szCs w:val="24"/>
        </w:rPr>
        <w:t>til</w:t>
      </w:r>
      <w:r w:rsidRPr="008A60D2">
        <w:rPr>
          <w:szCs w:val="24"/>
        </w:rPr>
        <w:t xml:space="preserve"> &lt;1000) og meget sjælden (&lt;1/10.000, inklusive enkeltstående rapporter). Almindelige og ikke almindelige bivirkninger er generelt fundet i kliniske </w:t>
      </w:r>
      <w:r>
        <w:rPr>
          <w:szCs w:val="24"/>
        </w:rPr>
        <w:t>studier</w:t>
      </w:r>
      <w:r w:rsidRPr="008A60D2">
        <w:rPr>
          <w:szCs w:val="24"/>
        </w:rPr>
        <w:t>. Der er ikke taget hensyn til forekomst i placebo. Meget sjældne bivirkninger er generelt fundet fra indberetninger efter markedsføring.</w:t>
      </w:r>
    </w:p>
    <w:p w:rsidR="00422A79" w:rsidRPr="008A60D2" w:rsidRDefault="00422A79" w:rsidP="00422A79">
      <w:pPr>
        <w:ind w:left="851" w:hanging="851"/>
        <w:rPr>
          <w:szCs w:val="24"/>
        </w:rPr>
      </w:pPr>
    </w:p>
    <w:p w:rsidR="00422A79" w:rsidRDefault="00422A79" w:rsidP="00422A79">
      <w:pPr>
        <w:ind w:left="851"/>
        <w:rPr>
          <w:szCs w:val="24"/>
        </w:rPr>
      </w:pPr>
      <w:r w:rsidRPr="008A60D2">
        <w:rPr>
          <w:szCs w:val="24"/>
        </w:rPr>
        <w:t>Hyppigheden er vurderet ud fra anvendelse af den anbefalede dosis på 50 mikrogram to gange daglig. Hyppighed i forbindelse med 100 mikrogram to gange daglig er medtaget, hvor det har været hensigtsmæssigt.</w:t>
      </w:r>
    </w:p>
    <w:p w:rsidR="00422A79" w:rsidRDefault="00422A79" w:rsidP="00422A79">
      <w:pPr>
        <w:ind w:left="851"/>
        <w:rPr>
          <w:szCs w:val="24"/>
        </w:rPr>
      </w:pPr>
    </w:p>
    <w:p w:rsidR="00422A79" w:rsidRPr="008A60D2" w:rsidRDefault="00422A79" w:rsidP="00422A79">
      <w:pPr>
        <w:ind w:left="851"/>
        <w:rPr>
          <w:szCs w:val="24"/>
        </w:rPr>
      </w:pPr>
    </w:p>
    <w:p w:rsidR="00422A79" w:rsidRPr="008A60D2" w:rsidRDefault="00422A79" w:rsidP="00422A79">
      <w:pPr>
        <w:ind w:left="851" w:hanging="851"/>
        <w:rPr>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1"/>
        <w:gridCol w:w="3827"/>
        <w:gridCol w:w="2551"/>
      </w:tblGrid>
      <w:tr w:rsidR="00422A79" w:rsidRPr="008A60D2" w:rsidTr="003B4BCE">
        <w:trPr>
          <w:tblHeader/>
        </w:trPr>
        <w:tc>
          <w:tcPr>
            <w:tcW w:w="2541" w:type="dxa"/>
            <w:shd w:val="pct15" w:color="auto" w:fill="FFFFFF"/>
          </w:tcPr>
          <w:p w:rsidR="00422A79" w:rsidRPr="008A60D2" w:rsidRDefault="00422A79" w:rsidP="003B4BCE">
            <w:pPr>
              <w:rPr>
                <w:b/>
                <w:i/>
                <w:szCs w:val="24"/>
              </w:rPr>
            </w:pPr>
            <w:r w:rsidRPr="008A60D2">
              <w:rPr>
                <w:b/>
                <w:i/>
                <w:szCs w:val="24"/>
              </w:rPr>
              <w:br w:type="page"/>
              <w:t>Organklasse</w:t>
            </w:r>
          </w:p>
        </w:tc>
        <w:tc>
          <w:tcPr>
            <w:tcW w:w="3827" w:type="dxa"/>
            <w:shd w:val="pct15" w:color="auto" w:fill="FFFFFF"/>
          </w:tcPr>
          <w:p w:rsidR="00422A79" w:rsidRPr="008A60D2" w:rsidRDefault="00422A79" w:rsidP="003B4BCE">
            <w:pPr>
              <w:rPr>
                <w:b/>
                <w:i/>
                <w:szCs w:val="24"/>
              </w:rPr>
            </w:pPr>
            <w:r w:rsidRPr="008A60D2">
              <w:rPr>
                <w:b/>
                <w:i/>
                <w:szCs w:val="24"/>
              </w:rPr>
              <w:t>Bivirkning</w:t>
            </w:r>
          </w:p>
        </w:tc>
        <w:tc>
          <w:tcPr>
            <w:tcW w:w="2551" w:type="dxa"/>
            <w:shd w:val="pct15" w:color="auto" w:fill="FFFFFF"/>
          </w:tcPr>
          <w:p w:rsidR="00422A79" w:rsidRPr="008A60D2" w:rsidRDefault="00422A79" w:rsidP="003B4BCE">
            <w:pPr>
              <w:rPr>
                <w:b/>
                <w:i/>
                <w:szCs w:val="24"/>
              </w:rPr>
            </w:pPr>
            <w:r w:rsidRPr="008A60D2">
              <w:rPr>
                <w:b/>
                <w:i/>
                <w:szCs w:val="24"/>
              </w:rPr>
              <w:t>Hyppighed</w:t>
            </w:r>
          </w:p>
        </w:tc>
      </w:tr>
      <w:tr w:rsidR="00422A79" w:rsidRPr="008A60D2" w:rsidTr="003B4BCE">
        <w:tc>
          <w:tcPr>
            <w:tcW w:w="2541" w:type="dxa"/>
          </w:tcPr>
          <w:p w:rsidR="00422A79" w:rsidRPr="008A60D2" w:rsidRDefault="00422A79" w:rsidP="003B4BCE">
            <w:pPr>
              <w:rPr>
                <w:b/>
                <w:i/>
                <w:szCs w:val="24"/>
              </w:rPr>
            </w:pPr>
            <w:r>
              <w:rPr>
                <w:b/>
                <w:i/>
                <w:szCs w:val="24"/>
              </w:rPr>
              <w:t>I</w:t>
            </w:r>
            <w:r w:rsidRPr="008A60D2">
              <w:rPr>
                <w:b/>
                <w:i/>
                <w:szCs w:val="24"/>
              </w:rPr>
              <w:t>mmunsystemet</w:t>
            </w:r>
          </w:p>
        </w:tc>
        <w:tc>
          <w:tcPr>
            <w:tcW w:w="3827" w:type="dxa"/>
          </w:tcPr>
          <w:p w:rsidR="00422A79" w:rsidRDefault="00422A79" w:rsidP="003B4BCE">
            <w:pPr>
              <w:rPr>
                <w:b/>
                <w:i/>
                <w:szCs w:val="24"/>
              </w:rPr>
            </w:pPr>
            <w:r w:rsidRPr="008A60D2">
              <w:rPr>
                <w:b/>
                <w:i/>
                <w:szCs w:val="24"/>
              </w:rPr>
              <w:t xml:space="preserve">Allergiske reaktioner, </w:t>
            </w:r>
            <w:r>
              <w:rPr>
                <w:b/>
                <w:i/>
                <w:szCs w:val="24"/>
              </w:rPr>
              <w:t>f.eks.</w:t>
            </w:r>
            <w:r w:rsidRPr="008A60D2">
              <w:rPr>
                <w:b/>
                <w:i/>
                <w:szCs w:val="24"/>
              </w:rPr>
              <w:br/>
              <w:t>udslæt (kløe og rødme)</w:t>
            </w:r>
          </w:p>
          <w:p w:rsidR="00422A79" w:rsidRDefault="00422A79" w:rsidP="003B4BCE">
            <w:pPr>
              <w:rPr>
                <w:b/>
                <w:i/>
                <w:szCs w:val="24"/>
              </w:rPr>
            </w:pPr>
          </w:p>
          <w:p w:rsidR="00422A79" w:rsidRPr="008A60D2" w:rsidRDefault="00422A79" w:rsidP="003B4BCE">
            <w:pPr>
              <w:rPr>
                <w:b/>
                <w:i/>
                <w:szCs w:val="24"/>
              </w:rPr>
            </w:pPr>
            <w:r w:rsidRPr="008A60D2">
              <w:rPr>
                <w:b/>
                <w:i/>
                <w:szCs w:val="24"/>
              </w:rPr>
              <w:t xml:space="preserve">Anafylaktiske reaktioner, </w:t>
            </w:r>
            <w:r>
              <w:rPr>
                <w:b/>
                <w:i/>
                <w:szCs w:val="24"/>
              </w:rPr>
              <w:t>f.eks.</w:t>
            </w:r>
            <w:r w:rsidRPr="008A60D2">
              <w:rPr>
                <w:b/>
                <w:i/>
                <w:szCs w:val="24"/>
              </w:rPr>
              <w:t xml:space="preserve"> ødem og angioødem, bronkospasme og anafylaktisk shock</w:t>
            </w:r>
          </w:p>
        </w:tc>
        <w:tc>
          <w:tcPr>
            <w:tcW w:w="2551" w:type="dxa"/>
          </w:tcPr>
          <w:p w:rsidR="00422A79" w:rsidRPr="008A60D2" w:rsidRDefault="00422A79" w:rsidP="003B4BCE">
            <w:pPr>
              <w:rPr>
                <w:b/>
                <w:i/>
                <w:szCs w:val="24"/>
                <w:lang w:val="en-GB"/>
              </w:rPr>
            </w:pPr>
            <w:r w:rsidRPr="008A60D2">
              <w:rPr>
                <w:b/>
                <w:i/>
                <w:szCs w:val="24"/>
                <w:lang w:val="en-GB"/>
              </w:rPr>
              <w:t>Ikke almindelig</w:t>
            </w:r>
            <w:r w:rsidRPr="008A60D2">
              <w:rPr>
                <w:b/>
                <w:i/>
                <w:szCs w:val="24"/>
                <w:lang w:val="en-GB"/>
              </w:rPr>
              <w:br/>
            </w:r>
          </w:p>
          <w:p w:rsidR="00422A79" w:rsidRDefault="00422A79" w:rsidP="003B4BCE">
            <w:pPr>
              <w:rPr>
                <w:b/>
                <w:i/>
                <w:szCs w:val="24"/>
                <w:lang w:val="en-GB"/>
              </w:rPr>
            </w:pPr>
          </w:p>
          <w:p w:rsidR="00422A79" w:rsidRPr="008A60D2" w:rsidRDefault="00422A79" w:rsidP="003B4BCE">
            <w:pPr>
              <w:rPr>
                <w:b/>
                <w:i/>
                <w:szCs w:val="24"/>
                <w:lang w:val="en-GB"/>
              </w:rPr>
            </w:pPr>
            <w:r w:rsidRPr="008A60D2">
              <w:rPr>
                <w:b/>
                <w:i/>
                <w:szCs w:val="24"/>
                <w:lang w:val="en-GB"/>
              </w:rPr>
              <w:t>Meget sjælden</w:t>
            </w:r>
          </w:p>
        </w:tc>
      </w:tr>
      <w:tr w:rsidR="00422A79" w:rsidRPr="008A60D2" w:rsidTr="003B4BCE">
        <w:tc>
          <w:tcPr>
            <w:tcW w:w="2541" w:type="dxa"/>
            <w:tcBorders>
              <w:bottom w:val="nil"/>
            </w:tcBorders>
          </w:tcPr>
          <w:p w:rsidR="00422A79" w:rsidRPr="008A60D2" w:rsidRDefault="00422A79" w:rsidP="003B4BCE">
            <w:pPr>
              <w:rPr>
                <w:b/>
                <w:i/>
                <w:szCs w:val="24"/>
                <w:lang w:val="en-GB"/>
              </w:rPr>
            </w:pPr>
            <w:r w:rsidRPr="008A60D2">
              <w:rPr>
                <w:b/>
                <w:i/>
                <w:szCs w:val="24"/>
                <w:lang w:val="en-GB"/>
              </w:rPr>
              <w:t>Metabolis</w:t>
            </w:r>
            <w:r>
              <w:rPr>
                <w:b/>
                <w:i/>
                <w:szCs w:val="24"/>
                <w:lang w:val="en-GB"/>
              </w:rPr>
              <w:t>m</w:t>
            </w:r>
            <w:r w:rsidRPr="008A60D2">
              <w:rPr>
                <w:b/>
                <w:i/>
                <w:szCs w:val="24"/>
                <w:lang w:val="en-GB"/>
              </w:rPr>
              <w:t>e og ernæring</w:t>
            </w:r>
          </w:p>
        </w:tc>
        <w:tc>
          <w:tcPr>
            <w:tcW w:w="3827" w:type="dxa"/>
          </w:tcPr>
          <w:p w:rsidR="00422A79" w:rsidRPr="008A60D2" w:rsidRDefault="00422A79" w:rsidP="003B4BCE">
            <w:pPr>
              <w:rPr>
                <w:b/>
                <w:i/>
                <w:szCs w:val="24"/>
                <w:lang w:val="en-GB"/>
              </w:rPr>
            </w:pPr>
            <w:r w:rsidRPr="008A60D2">
              <w:rPr>
                <w:b/>
                <w:i/>
                <w:szCs w:val="24"/>
                <w:lang w:val="en-GB"/>
              </w:rPr>
              <w:t>Hypokaliæmi</w:t>
            </w:r>
          </w:p>
          <w:p w:rsidR="00422A79" w:rsidRPr="008A60D2" w:rsidRDefault="00422A79" w:rsidP="003B4BCE">
            <w:pPr>
              <w:rPr>
                <w:b/>
                <w:i/>
                <w:szCs w:val="24"/>
                <w:lang w:val="en-GB"/>
              </w:rPr>
            </w:pPr>
          </w:p>
          <w:p w:rsidR="00422A79" w:rsidRPr="008A60D2" w:rsidRDefault="00422A79" w:rsidP="003B4BCE">
            <w:pPr>
              <w:rPr>
                <w:b/>
                <w:i/>
                <w:szCs w:val="24"/>
                <w:lang w:val="en-GB"/>
              </w:rPr>
            </w:pPr>
            <w:r w:rsidRPr="008A60D2">
              <w:rPr>
                <w:b/>
                <w:i/>
                <w:szCs w:val="24"/>
                <w:lang w:val="en-GB"/>
              </w:rPr>
              <w:t>Hyperglykæmi</w:t>
            </w:r>
          </w:p>
        </w:tc>
        <w:tc>
          <w:tcPr>
            <w:tcW w:w="2551" w:type="dxa"/>
          </w:tcPr>
          <w:p w:rsidR="00422A79" w:rsidRPr="008A60D2" w:rsidRDefault="00422A79" w:rsidP="003B4BCE">
            <w:pPr>
              <w:rPr>
                <w:b/>
                <w:i/>
                <w:szCs w:val="24"/>
                <w:lang w:val="en-GB"/>
              </w:rPr>
            </w:pPr>
            <w:r w:rsidRPr="008A60D2">
              <w:rPr>
                <w:b/>
                <w:i/>
                <w:szCs w:val="24"/>
                <w:lang w:val="en-GB"/>
              </w:rPr>
              <w:t>Sjælden</w:t>
            </w:r>
          </w:p>
          <w:p w:rsidR="00422A79" w:rsidRPr="008A60D2" w:rsidRDefault="00422A79" w:rsidP="003B4BCE">
            <w:pPr>
              <w:rPr>
                <w:b/>
                <w:i/>
                <w:szCs w:val="24"/>
                <w:lang w:val="en-GB"/>
              </w:rPr>
            </w:pPr>
          </w:p>
          <w:p w:rsidR="00422A79" w:rsidRPr="008A60D2" w:rsidDel="00277434" w:rsidRDefault="00422A79" w:rsidP="003B4BCE">
            <w:pPr>
              <w:rPr>
                <w:b/>
                <w:i/>
                <w:szCs w:val="24"/>
                <w:lang w:val="en-GB"/>
              </w:rPr>
            </w:pPr>
            <w:r w:rsidRPr="008A60D2">
              <w:rPr>
                <w:b/>
                <w:i/>
                <w:szCs w:val="24"/>
                <w:lang w:val="en-GB"/>
              </w:rPr>
              <w:t>Meget sjælden</w:t>
            </w:r>
          </w:p>
        </w:tc>
      </w:tr>
      <w:tr w:rsidR="00422A79" w:rsidRPr="008A60D2" w:rsidTr="003B4BCE">
        <w:tc>
          <w:tcPr>
            <w:tcW w:w="2541" w:type="dxa"/>
            <w:tcBorders>
              <w:bottom w:val="nil"/>
            </w:tcBorders>
          </w:tcPr>
          <w:p w:rsidR="00422A79" w:rsidRPr="008A60D2" w:rsidRDefault="00422A79" w:rsidP="003B4BCE">
            <w:pPr>
              <w:rPr>
                <w:b/>
                <w:i/>
                <w:szCs w:val="24"/>
                <w:lang w:val="en-GB"/>
              </w:rPr>
            </w:pPr>
            <w:r w:rsidRPr="008A60D2">
              <w:rPr>
                <w:b/>
                <w:i/>
                <w:szCs w:val="24"/>
                <w:lang w:val="en-GB"/>
              </w:rPr>
              <w:t>Psykiske</w:t>
            </w:r>
            <w:r>
              <w:rPr>
                <w:b/>
                <w:i/>
                <w:szCs w:val="24"/>
                <w:lang w:val="en-GB"/>
              </w:rPr>
              <w:t xml:space="preserve"> forstyrrel</w:t>
            </w:r>
            <w:r w:rsidRPr="008A60D2">
              <w:rPr>
                <w:b/>
                <w:i/>
                <w:szCs w:val="24"/>
                <w:lang w:val="en-GB"/>
              </w:rPr>
              <w:t>ser</w:t>
            </w:r>
          </w:p>
        </w:tc>
        <w:tc>
          <w:tcPr>
            <w:tcW w:w="3827" w:type="dxa"/>
          </w:tcPr>
          <w:p w:rsidR="00422A79" w:rsidRPr="008A60D2" w:rsidRDefault="00422A79" w:rsidP="003B4BCE">
            <w:pPr>
              <w:rPr>
                <w:b/>
                <w:i/>
                <w:szCs w:val="24"/>
                <w:lang w:val="en-GB"/>
              </w:rPr>
            </w:pPr>
            <w:r w:rsidRPr="008A60D2">
              <w:rPr>
                <w:b/>
                <w:i/>
                <w:szCs w:val="24"/>
                <w:lang w:val="en-GB"/>
              </w:rPr>
              <w:t>Nervøsitet</w:t>
            </w:r>
            <w:r w:rsidRPr="008A60D2">
              <w:rPr>
                <w:b/>
                <w:i/>
                <w:szCs w:val="24"/>
                <w:lang w:val="en-GB"/>
              </w:rPr>
              <w:br/>
            </w:r>
            <w:r w:rsidRPr="008A60D2">
              <w:rPr>
                <w:b/>
                <w:i/>
                <w:szCs w:val="24"/>
                <w:lang w:val="en-GB"/>
              </w:rPr>
              <w:br/>
              <w:t>Søvnløshed/Søvnforstyrrelser</w:t>
            </w:r>
          </w:p>
        </w:tc>
        <w:tc>
          <w:tcPr>
            <w:tcW w:w="2551" w:type="dxa"/>
          </w:tcPr>
          <w:p w:rsidR="00422A79" w:rsidRPr="008A60D2" w:rsidRDefault="00422A79" w:rsidP="003B4BCE">
            <w:pPr>
              <w:rPr>
                <w:b/>
                <w:i/>
                <w:szCs w:val="24"/>
                <w:lang w:val="en-GB"/>
              </w:rPr>
            </w:pPr>
            <w:r w:rsidRPr="008A60D2">
              <w:rPr>
                <w:b/>
                <w:i/>
                <w:szCs w:val="24"/>
                <w:lang w:val="en-GB"/>
              </w:rPr>
              <w:t>Ikke almindelig</w:t>
            </w:r>
            <w:r w:rsidRPr="008A60D2">
              <w:rPr>
                <w:b/>
                <w:i/>
                <w:szCs w:val="24"/>
                <w:lang w:val="en-GB"/>
              </w:rPr>
              <w:br/>
            </w:r>
            <w:r w:rsidRPr="008A60D2">
              <w:rPr>
                <w:b/>
                <w:i/>
                <w:szCs w:val="24"/>
                <w:lang w:val="en-GB"/>
              </w:rPr>
              <w:br/>
              <w:t>Sjælden</w:t>
            </w:r>
          </w:p>
        </w:tc>
      </w:tr>
      <w:tr w:rsidR="00422A79" w:rsidRPr="008A60D2" w:rsidTr="003B4BCE">
        <w:tc>
          <w:tcPr>
            <w:tcW w:w="2541" w:type="dxa"/>
            <w:tcBorders>
              <w:bottom w:val="nil"/>
            </w:tcBorders>
          </w:tcPr>
          <w:p w:rsidR="00422A79" w:rsidRPr="008A60D2" w:rsidRDefault="00422A79" w:rsidP="003B4BCE">
            <w:pPr>
              <w:rPr>
                <w:b/>
                <w:i/>
                <w:szCs w:val="24"/>
              </w:rPr>
            </w:pPr>
            <w:r>
              <w:rPr>
                <w:b/>
                <w:i/>
                <w:szCs w:val="24"/>
              </w:rPr>
              <w:t>N</w:t>
            </w:r>
            <w:r w:rsidRPr="008A60D2">
              <w:rPr>
                <w:b/>
                <w:i/>
                <w:szCs w:val="24"/>
              </w:rPr>
              <w:t>ervesystem</w:t>
            </w:r>
            <w:r>
              <w:rPr>
                <w:b/>
                <w:i/>
                <w:szCs w:val="24"/>
              </w:rPr>
              <w:t>et</w:t>
            </w:r>
          </w:p>
        </w:tc>
        <w:tc>
          <w:tcPr>
            <w:tcW w:w="3827" w:type="dxa"/>
          </w:tcPr>
          <w:p w:rsidR="00422A79" w:rsidRDefault="00422A79" w:rsidP="003B4BCE">
            <w:pPr>
              <w:rPr>
                <w:b/>
                <w:i/>
                <w:szCs w:val="24"/>
              </w:rPr>
            </w:pPr>
            <w:r w:rsidRPr="008A60D2">
              <w:rPr>
                <w:b/>
                <w:i/>
                <w:szCs w:val="24"/>
              </w:rPr>
              <w:t>Hovedpine</w:t>
            </w:r>
            <w:r>
              <w:rPr>
                <w:b/>
                <w:i/>
                <w:szCs w:val="24"/>
              </w:rPr>
              <w:t xml:space="preserve"> (se pkt. 4.4)</w:t>
            </w:r>
          </w:p>
          <w:p w:rsidR="00422A79" w:rsidRDefault="00422A79" w:rsidP="003B4BCE">
            <w:pPr>
              <w:rPr>
                <w:b/>
                <w:i/>
                <w:szCs w:val="24"/>
              </w:rPr>
            </w:pPr>
          </w:p>
          <w:p w:rsidR="00422A79" w:rsidRDefault="00422A79" w:rsidP="003B4BCE">
            <w:pPr>
              <w:rPr>
                <w:b/>
                <w:i/>
                <w:szCs w:val="24"/>
              </w:rPr>
            </w:pPr>
            <w:r w:rsidRPr="008A60D2">
              <w:rPr>
                <w:b/>
                <w:i/>
                <w:szCs w:val="24"/>
              </w:rPr>
              <w:t>Tremor</w:t>
            </w:r>
            <w:r>
              <w:rPr>
                <w:b/>
                <w:i/>
                <w:szCs w:val="24"/>
              </w:rPr>
              <w:t xml:space="preserve"> (se pkt. 4.4)</w:t>
            </w:r>
          </w:p>
          <w:p w:rsidR="00422A79" w:rsidRDefault="00422A79" w:rsidP="003B4BCE">
            <w:pPr>
              <w:rPr>
                <w:b/>
                <w:i/>
                <w:szCs w:val="24"/>
              </w:rPr>
            </w:pPr>
          </w:p>
          <w:p w:rsidR="00422A79" w:rsidRPr="008A60D2" w:rsidRDefault="00422A79" w:rsidP="003B4BCE">
            <w:pPr>
              <w:rPr>
                <w:b/>
                <w:i/>
                <w:szCs w:val="24"/>
              </w:rPr>
            </w:pPr>
            <w:r w:rsidRPr="008A60D2">
              <w:rPr>
                <w:b/>
                <w:i/>
                <w:szCs w:val="24"/>
              </w:rPr>
              <w:t>Svimmelhed</w:t>
            </w:r>
          </w:p>
        </w:tc>
        <w:tc>
          <w:tcPr>
            <w:tcW w:w="2551" w:type="dxa"/>
          </w:tcPr>
          <w:p w:rsidR="00422A79" w:rsidRPr="008A60D2" w:rsidRDefault="00422A79" w:rsidP="003B4BCE">
            <w:pPr>
              <w:rPr>
                <w:b/>
                <w:i/>
                <w:szCs w:val="24"/>
              </w:rPr>
            </w:pPr>
            <w:r w:rsidRPr="008A60D2">
              <w:rPr>
                <w:b/>
                <w:i/>
                <w:szCs w:val="24"/>
              </w:rPr>
              <w:t>Almindelig</w:t>
            </w:r>
            <w:r w:rsidRPr="008A60D2">
              <w:rPr>
                <w:b/>
                <w:i/>
                <w:szCs w:val="24"/>
              </w:rPr>
              <w:br/>
            </w:r>
          </w:p>
          <w:p w:rsidR="00422A79" w:rsidRPr="008A60D2" w:rsidRDefault="00422A79" w:rsidP="003B4BCE">
            <w:pPr>
              <w:rPr>
                <w:b/>
                <w:i/>
                <w:szCs w:val="24"/>
              </w:rPr>
            </w:pPr>
            <w:r w:rsidRPr="008A60D2">
              <w:rPr>
                <w:b/>
                <w:i/>
                <w:szCs w:val="24"/>
              </w:rPr>
              <w:t>Almindelig</w:t>
            </w:r>
            <w:r w:rsidRPr="008A60D2">
              <w:rPr>
                <w:b/>
                <w:i/>
                <w:szCs w:val="24"/>
              </w:rPr>
              <w:br/>
            </w:r>
            <w:r w:rsidRPr="008A60D2">
              <w:rPr>
                <w:b/>
                <w:i/>
                <w:szCs w:val="24"/>
              </w:rPr>
              <w:br/>
              <w:t>Sjælden</w:t>
            </w:r>
          </w:p>
        </w:tc>
      </w:tr>
      <w:tr w:rsidR="00422A79" w:rsidRPr="008A60D2" w:rsidTr="003B4BCE">
        <w:tc>
          <w:tcPr>
            <w:tcW w:w="2541" w:type="dxa"/>
            <w:tcBorders>
              <w:bottom w:val="nil"/>
            </w:tcBorders>
          </w:tcPr>
          <w:p w:rsidR="00422A79" w:rsidRPr="008A60D2" w:rsidRDefault="00422A79" w:rsidP="003B4BCE">
            <w:pPr>
              <w:ind w:left="23"/>
              <w:rPr>
                <w:b/>
                <w:i/>
                <w:szCs w:val="24"/>
              </w:rPr>
            </w:pPr>
            <w:r>
              <w:rPr>
                <w:b/>
                <w:i/>
                <w:szCs w:val="24"/>
              </w:rPr>
              <w:t>Hjerte</w:t>
            </w:r>
          </w:p>
        </w:tc>
        <w:tc>
          <w:tcPr>
            <w:tcW w:w="3827" w:type="dxa"/>
          </w:tcPr>
          <w:p w:rsidR="00422A79" w:rsidRDefault="00422A79" w:rsidP="003B4BCE">
            <w:pPr>
              <w:ind w:left="23"/>
              <w:rPr>
                <w:b/>
                <w:i/>
                <w:szCs w:val="24"/>
              </w:rPr>
            </w:pPr>
            <w:r w:rsidRPr="008A60D2">
              <w:rPr>
                <w:b/>
                <w:i/>
                <w:szCs w:val="24"/>
              </w:rPr>
              <w:t>Palpitationer</w:t>
            </w:r>
            <w:r>
              <w:rPr>
                <w:b/>
                <w:i/>
                <w:szCs w:val="24"/>
              </w:rPr>
              <w:t xml:space="preserve"> (se pkt. 4.4)</w:t>
            </w:r>
          </w:p>
          <w:p w:rsidR="00422A79" w:rsidRDefault="00422A79" w:rsidP="003B4BCE">
            <w:pPr>
              <w:ind w:left="23"/>
              <w:rPr>
                <w:b/>
                <w:i/>
                <w:szCs w:val="24"/>
              </w:rPr>
            </w:pPr>
          </w:p>
          <w:p w:rsidR="00422A79" w:rsidRPr="008A60D2" w:rsidRDefault="00422A79" w:rsidP="003B4BCE">
            <w:pPr>
              <w:ind w:left="23"/>
              <w:rPr>
                <w:b/>
                <w:i/>
                <w:szCs w:val="24"/>
              </w:rPr>
            </w:pPr>
            <w:r w:rsidRPr="008A60D2">
              <w:rPr>
                <w:b/>
                <w:i/>
                <w:szCs w:val="24"/>
              </w:rPr>
              <w:t>Takykardi</w:t>
            </w:r>
            <w:r w:rsidRPr="008A60D2">
              <w:rPr>
                <w:b/>
                <w:i/>
                <w:szCs w:val="24"/>
              </w:rPr>
              <w:br/>
            </w:r>
            <w:r w:rsidRPr="008A60D2">
              <w:rPr>
                <w:b/>
                <w:i/>
                <w:szCs w:val="24"/>
              </w:rPr>
              <w:br/>
              <w:t>Hjertearytmier, herunder atrieflimren, supraventrikulær takykardi og ekstrasystoli</w:t>
            </w:r>
          </w:p>
        </w:tc>
        <w:tc>
          <w:tcPr>
            <w:tcW w:w="2551" w:type="dxa"/>
          </w:tcPr>
          <w:p w:rsidR="00422A79" w:rsidRPr="008A60D2" w:rsidRDefault="00422A79" w:rsidP="003B4BCE">
            <w:pPr>
              <w:ind w:left="23"/>
              <w:rPr>
                <w:b/>
                <w:i/>
                <w:szCs w:val="24"/>
              </w:rPr>
            </w:pPr>
            <w:r w:rsidRPr="008A60D2">
              <w:rPr>
                <w:b/>
                <w:i/>
                <w:szCs w:val="24"/>
              </w:rPr>
              <w:t>Almindelig</w:t>
            </w:r>
            <w:r w:rsidRPr="008A60D2">
              <w:rPr>
                <w:b/>
                <w:i/>
                <w:szCs w:val="24"/>
              </w:rPr>
              <w:br/>
            </w:r>
            <w:r w:rsidRPr="008A60D2">
              <w:rPr>
                <w:b/>
                <w:i/>
                <w:szCs w:val="24"/>
              </w:rPr>
              <w:br/>
              <w:t>Ikke almindelig</w:t>
            </w:r>
          </w:p>
          <w:p w:rsidR="00422A79" w:rsidRPr="008A60D2" w:rsidRDefault="00422A79" w:rsidP="003B4BCE">
            <w:pPr>
              <w:ind w:left="23"/>
              <w:rPr>
                <w:b/>
                <w:i/>
                <w:szCs w:val="24"/>
              </w:rPr>
            </w:pPr>
          </w:p>
          <w:p w:rsidR="00422A79" w:rsidRPr="008A60D2" w:rsidRDefault="00422A79" w:rsidP="003B4BCE">
            <w:pPr>
              <w:ind w:left="23"/>
              <w:rPr>
                <w:b/>
                <w:i/>
                <w:szCs w:val="24"/>
              </w:rPr>
            </w:pPr>
            <w:r w:rsidRPr="008A60D2">
              <w:rPr>
                <w:b/>
                <w:i/>
                <w:szCs w:val="24"/>
              </w:rPr>
              <w:t>Meget sjælden</w:t>
            </w:r>
          </w:p>
        </w:tc>
      </w:tr>
      <w:tr w:rsidR="00422A79" w:rsidRPr="008A60D2" w:rsidTr="003B4BCE">
        <w:tc>
          <w:tcPr>
            <w:tcW w:w="2541" w:type="dxa"/>
            <w:tcBorders>
              <w:bottom w:val="nil"/>
            </w:tcBorders>
          </w:tcPr>
          <w:p w:rsidR="00422A79" w:rsidRPr="008A60D2" w:rsidRDefault="00422A79" w:rsidP="003B4BCE">
            <w:pPr>
              <w:ind w:left="23"/>
              <w:rPr>
                <w:b/>
                <w:i/>
                <w:szCs w:val="24"/>
              </w:rPr>
            </w:pPr>
            <w:r>
              <w:rPr>
                <w:b/>
                <w:i/>
                <w:szCs w:val="24"/>
              </w:rPr>
              <w:t>L</w:t>
            </w:r>
            <w:r w:rsidRPr="008A60D2">
              <w:rPr>
                <w:b/>
                <w:i/>
                <w:szCs w:val="24"/>
              </w:rPr>
              <w:t>uftveje, thorax og mediastinum</w:t>
            </w:r>
          </w:p>
        </w:tc>
        <w:tc>
          <w:tcPr>
            <w:tcW w:w="3827" w:type="dxa"/>
            <w:tcBorders>
              <w:bottom w:val="nil"/>
            </w:tcBorders>
          </w:tcPr>
          <w:p w:rsidR="00422A79" w:rsidRPr="008A60D2" w:rsidRDefault="00422A79" w:rsidP="003B4BCE">
            <w:pPr>
              <w:ind w:left="23"/>
              <w:rPr>
                <w:b/>
                <w:i/>
                <w:szCs w:val="24"/>
              </w:rPr>
            </w:pPr>
            <w:r w:rsidRPr="008A60D2">
              <w:rPr>
                <w:b/>
                <w:i/>
                <w:szCs w:val="24"/>
              </w:rPr>
              <w:t>Svælgirritation</w:t>
            </w:r>
            <w:r w:rsidRPr="008A60D2">
              <w:rPr>
                <w:b/>
                <w:i/>
                <w:szCs w:val="24"/>
              </w:rPr>
              <w:br/>
            </w:r>
            <w:r w:rsidRPr="008A60D2">
              <w:rPr>
                <w:b/>
                <w:i/>
                <w:szCs w:val="24"/>
              </w:rPr>
              <w:br/>
              <w:t>Paradoks bronkospasm</w:t>
            </w:r>
            <w:r>
              <w:rPr>
                <w:b/>
                <w:i/>
                <w:szCs w:val="24"/>
              </w:rPr>
              <w:t>e (se pkt. 4.4)</w:t>
            </w:r>
          </w:p>
        </w:tc>
        <w:tc>
          <w:tcPr>
            <w:tcW w:w="2551" w:type="dxa"/>
            <w:tcBorders>
              <w:bottom w:val="nil"/>
            </w:tcBorders>
          </w:tcPr>
          <w:p w:rsidR="00422A79" w:rsidRPr="008A60D2" w:rsidRDefault="00422A79" w:rsidP="003B4BCE">
            <w:pPr>
              <w:ind w:left="23"/>
              <w:rPr>
                <w:b/>
                <w:i/>
                <w:szCs w:val="24"/>
              </w:rPr>
            </w:pPr>
            <w:r w:rsidRPr="008A60D2">
              <w:rPr>
                <w:b/>
                <w:i/>
                <w:szCs w:val="24"/>
              </w:rPr>
              <w:t>Meget sjælden</w:t>
            </w:r>
            <w:r w:rsidRPr="008A60D2">
              <w:rPr>
                <w:b/>
                <w:i/>
                <w:szCs w:val="24"/>
              </w:rPr>
              <w:br/>
            </w:r>
            <w:r w:rsidRPr="008A60D2">
              <w:rPr>
                <w:b/>
                <w:i/>
                <w:szCs w:val="24"/>
              </w:rPr>
              <w:br/>
              <w:t>Meget sjælden</w:t>
            </w:r>
          </w:p>
        </w:tc>
      </w:tr>
      <w:tr w:rsidR="00422A79" w:rsidRPr="008A60D2" w:rsidTr="003B4BCE">
        <w:tc>
          <w:tcPr>
            <w:tcW w:w="2541" w:type="dxa"/>
            <w:tcBorders>
              <w:bottom w:val="single" w:sz="4" w:space="0" w:color="auto"/>
            </w:tcBorders>
          </w:tcPr>
          <w:p w:rsidR="00422A79" w:rsidRPr="008A60D2" w:rsidRDefault="00422A79" w:rsidP="003B4BCE">
            <w:pPr>
              <w:ind w:left="23"/>
              <w:rPr>
                <w:b/>
                <w:i/>
                <w:szCs w:val="24"/>
              </w:rPr>
            </w:pPr>
            <w:r>
              <w:rPr>
                <w:b/>
                <w:i/>
                <w:szCs w:val="24"/>
              </w:rPr>
              <w:t>Mave-tarmkanalen</w:t>
            </w:r>
          </w:p>
        </w:tc>
        <w:tc>
          <w:tcPr>
            <w:tcW w:w="3827" w:type="dxa"/>
            <w:tcBorders>
              <w:bottom w:val="single" w:sz="4" w:space="0" w:color="auto"/>
            </w:tcBorders>
          </w:tcPr>
          <w:p w:rsidR="00422A79" w:rsidRPr="008A60D2" w:rsidRDefault="00422A79" w:rsidP="003B4BCE">
            <w:pPr>
              <w:ind w:left="23"/>
              <w:rPr>
                <w:b/>
                <w:i/>
                <w:szCs w:val="24"/>
              </w:rPr>
            </w:pPr>
            <w:r w:rsidRPr="008A60D2">
              <w:rPr>
                <w:b/>
                <w:i/>
                <w:szCs w:val="24"/>
              </w:rPr>
              <w:t>Kvalme</w:t>
            </w:r>
          </w:p>
        </w:tc>
        <w:tc>
          <w:tcPr>
            <w:tcW w:w="2551" w:type="dxa"/>
            <w:tcBorders>
              <w:bottom w:val="single" w:sz="4" w:space="0" w:color="auto"/>
            </w:tcBorders>
          </w:tcPr>
          <w:p w:rsidR="00422A79" w:rsidRPr="008A60D2" w:rsidRDefault="00422A79" w:rsidP="003B4BCE">
            <w:pPr>
              <w:ind w:left="23"/>
              <w:rPr>
                <w:b/>
                <w:i/>
                <w:szCs w:val="24"/>
              </w:rPr>
            </w:pPr>
            <w:r w:rsidRPr="008A60D2">
              <w:rPr>
                <w:b/>
                <w:i/>
                <w:szCs w:val="24"/>
              </w:rPr>
              <w:t>Meget sjælden</w:t>
            </w:r>
          </w:p>
        </w:tc>
      </w:tr>
      <w:tr w:rsidR="00422A79" w:rsidRPr="008A60D2" w:rsidTr="003B4BCE">
        <w:tc>
          <w:tcPr>
            <w:tcW w:w="2541" w:type="dxa"/>
          </w:tcPr>
          <w:p w:rsidR="00422A79" w:rsidRPr="008A60D2" w:rsidRDefault="00422A79" w:rsidP="003B4BCE">
            <w:pPr>
              <w:ind w:left="23"/>
              <w:rPr>
                <w:b/>
                <w:i/>
                <w:szCs w:val="24"/>
              </w:rPr>
            </w:pPr>
            <w:r>
              <w:rPr>
                <w:b/>
                <w:i/>
                <w:szCs w:val="24"/>
              </w:rPr>
              <w:lastRenderedPageBreak/>
              <w:t>Knogler, led, muskler og bindevæv</w:t>
            </w:r>
          </w:p>
        </w:tc>
        <w:tc>
          <w:tcPr>
            <w:tcW w:w="3827" w:type="dxa"/>
          </w:tcPr>
          <w:p w:rsidR="00422A79" w:rsidRPr="008A60D2" w:rsidRDefault="00422A79" w:rsidP="003B4BCE">
            <w:pPr>
              <w:ind w:left="23"/>
              <w:rPr>
                <w:b/>
                <w:i/>
                <w:szCs w:val="24"/>
              </w:rPr>
            </w:pPr>
            <w:r w:rsidRPr="008A60D2">
              <w:rPr>
                <w:b/>
                <w:i/>
                <w:szCs w:val="24"/>
              </w:rPr>
              <w:t>Muskelkramper</w:t>
            </w:r>
            <w:r w:rsidRPr="008A60D2">
              <w:rPr>
                <w:b/>
                <w:i/>
                <w:szCs w:val="24"/>
              </w:rPr>
              <w:br/>
            </w:r>
            <w:r w:rsidRPr="008A60D2">
              <w:rPr>
                <w:b/>
                <w:i/>
                <w:szCs w:val="24"/>
              </w:rPr>
              <w:br/>
              <w:t>Artralgi</w:t>
            </w:r>
          </w:p>
        </w:tc>
        <w:tc>
          <w:tcPr>
            <w:tcW w:w="2551" w:type="dxa"/>
          </w:tcPr>
          <w:p w:rsidR="00422A79" w:rsidRPr="008A60D2" w:rsidRDefault="00422A79" w:rsidP="003B4BCE">
            <w:pPr>
              <w:ind w:left="23"/>
              <w:rPr>
                <w:b/>
                <w:i/>
                <w:szCs w:val="24"/>
              </w:rPr>
            </w:pPr>
            <w:r w:rsidRPr="008A60D2">
              <w:rPr>
                <w:b/>
                <w:i/>
                <w:szCs w:val="24"/>
              </w:rPr>
              <w:t>Almindelig</w:t>
            </w:r>
          </w:p>
          <w:p w:rsidR="00422A79" w:rsidRPr="008A60D2" w:rsidRDefault="00422A79" w:rsidP="003B4BCE">
            <w:pPr>
              <w:ind w:left="23"/>
              <w:rPr>
                <w:b/>
                <w:i/>
                <w:szCs w:val="24"/>
              </w:rPr>
            </w:pPr>
            <w:r w:rsidRPr="008A60D2">
              <w:rPr>
                <w:b/>
                <w:i/>
                <w:szCs w:val="24"/>
              </w:rPr>
              <w:br/>
              <w:t>Meget sjælden</w:t>
            </w:r>
          </w:p>
        </w:tc>
      </w:tr>
      <w:tr w:rsidR="00422A79" w:rsidRPr="008A60D2" w:rsidTr="003B4BCE">
        <w:tc>
          <w:tcPr>
            <w:tcW w:w="2541" w:type="dxa"/>
            <w:tcBorders>
              <w:bottom w:val="single" w:sz="4" w:space="0" w:color="auto"/>
            </w:tcBorders>
          </w:tcPr>
          <w:p w:rsidR="00422A79" w:rsidRPr="008A60D2" w:rsidRDefault="00422A79" w:rsidP="003B4BCE">
            <w:pPr>
              <w:ind w:left="23"/>
              <w:rPr>
                <w:b/>
                <w:i/>
                <w:szCs w:val="24"/>
              </w:rPr>
            </w:pPr>
            <w:r>
              <w:rPr>
                <w:b/>
                <w:i/>
                <w:szCs w:val="24"/>
              </w:rPr>
              <w:t>Almene</w:t>
            </w:r>
            <w:r w:rsidRPr="008A60D2">
              <w:rPr>
                <w:b/>
                <w:i/>
                <w:szCs w:val="24"/>
              </w:rPr>
              <w:t xml:space="preserve"> symptomer og </w:t>
            </w:r>
            <w:r>
              <w:rPr>
                <w:b/>
                <w:i/>
                <w:szCs w:val="24"/>
              </w:rPr>
              <w:t>reaktioner på administrationsstedet</w:t>
            </w:r>
          </w:p>
        </w:tc>
        <w:tc>
          <w:tcPr>
            <w:tcW w:w="3827" w:type="dxa"/>
            <w:tcBorders>
              <w:bottom w:val="single" w:sz="4" w:space="0" w:color="auto"/>
            </w:tcBorders>
          </w:tcPr>
          <w:p w:rsidR="00422A79" w:rsidRPr="008A60D2" w:rsidRDefault="00422A79" w:rsidP="003B4BCE">
            <w:pPr>
              <w:ind w:left="23"/>
              <w:rPr>
                <w:b/>
                <w:i/>
                <w:szCs w:val="24"/>
              </w:rPr>
            </w:pPr>
            <w:r w:rsidRPr="008A60D2">
              <w:rPr>
                <w:b/>
                <w:i/>
                <w:szCs w:val="24"/>
              </w:rPr>
              <w:t>Uspecifikke brystsmerter</w:t>
            </w:r>
          </w:p>
        </w:tc>
        <w:tc>
          <w:tcPr>
            <w:tcW w:w="2551" w:type="dxa"/>
            <w:tcBorders>
              <w:bottom w:val="single" w:sz="4" w:space="0" w:color="auto"/>
            </w:tcBorders>
          </w:tcPr>
          <w:p w:rsidR="00422A79" w:rsidRPr="008A60D2" w:rsidRDefault="00422A79" w:rsidP="003B4BCE">
            <w:pPr>
              <w:ind w:left="23"/>
              <w:rPr>
                <w:b/>
                <w:i/>
                <w:szCs w:val="24"/>
              </w:rPr>
            </w:pPr>
            <w:r w:rsidRPr="008A60D2">
              <w:rPr>
                <w:b/>
                <w:i/>
                <w:szCs w:val="24"/>
              </w:rPr>
              <w:t>Meget sjælden</w:t>
            </w:r>
          </w:p>
        </w:tc>
      </w:tr>
    </w:tbl>
    <w:p w:rsidR="00422A79" w:rsidRPr="008A60D2" w:rsidRDefault="00422A79" w:rsidP="00422A79">
      <w:pPr>
        <w:ind w:left="851" w:hanging="851"/>
        <w:rPr>
          <w:szCs w:val="24"/>
        </w:rPr>
      </w:pPr>
    </w:p>
    <w:p w:rsidR="00422A79" w:rsidRDefault="00422A79" w:rsidP="00422A79">
      <w:pPr>
        <w:ind w:left="851"/>
        <w:rPr>
          <w:szCs w:val="24"/>
        </w:rPr>
      </w:pPr>
      <w:r w:rsidRPr="008A60D2">
        <w:rPr>
          <w:szCs w:val="24"/>
        </w:rPr>
        <w:t xml:space="preserve">Typiske </w:t>
      </w:r>
      <w:r>
        <w:rPr>
          <w:szCs w:val="24"/>
        </w:rPr>
        <w:t>beta</w:t>
      </w:r>
      <w:r w:rsidRPr="008A60D2">
        <w:rPr>
          <w:szCs w:val="24"/>
          <w:vertAlign w:val="subscript"/>
        </w:rPr>
        <w:t>2</w:t>
      </w:r>
      <w:r w:rsidRPr="008A60D2">
        <w:rPr>
          <w:szCs w:val="24"/>
        </w:rPr>
        <w:t xml:space="preserve">-agonistbivirkninger, </w:t>
      </w:r>
      <w:r>
        <w:rPr>
          <w:szCs w:val="24"/>
        </w:rPr>
        <w:t>såsom</w:t>
      </w:r>
      <w:r w:rsidRPr="008A60D2">
        <w:rPr>
          <w:szCs w:val="24"/>
        </w:rPr>
        <w:t xml:space="preserve"> tremor, hovedpine og palpitationer, er set, men de synes at være forbigående og aftagende ved regelmæssig behandling. Tremor og takykardi forekommer hyppigere ved doser over 50 mikrogram to gange daglig.</w:t>
      </w:r>
    </w:p>
    <w:p w:rsidR="00422A79" w:rsidRDefault="00422A79" w:rsidP="00422A79">
      <w:pPr>
        <w:ind w:left="851"/>
        <w:rPr>
          <w:szCs w:val="24"/>
        </w:rPr>
      </w:pPr>
    </w:p>
    <w:p w:rsidR="00DA102F" w:rsidRPr="008F49E1" w:rsidRDefault="00DA102F"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DA102F" w:rsidRPr="008F49E1" w:rsidRDefault="00DA102F"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DA102F" w:rsidRPr="008F49E1" w:rsidRDefault="00DA102F" w:rsidP="002A1420">
      <w:pPr>
        <w:ind w:left="851"/>
        <w:rPr>
          <w:sz w:val="24"/>
          <w:szCs w:val="24"/>
          <w:lang w:eastAsia="da-DK"/>
        </w:rPr>
      </w:pPr>
    </w:p>
    <w:p w:rsidR="00DA102F" w:rsidRPr="007A276A" w:rsidRDefault="00DA102F" w:rsidP="002A1420">
      <w:pPr>
        <w:ind w:left="851"/>
        <w:rPr>
          <w:sz w:val="24"/>
          <w:szCs w:val="24"/>
          <w:lang w:eastAsia="da-DK"/>
        </w:rPr>
      </w:pPr>
      <w:r w:rsidRPr="007A276A">
        <w:rPr>
          <w:sz w:val="24"/>
          <w:szCs w:val="24"/>
          <w:lang w:eastAsia="da-DK"/>
        </w:rPr>
        <w:t>Lægemiddelstyrelsen</w:t>
      </w:r>
    </w:p>
    <w:p w:rsidR="00DA102F" w:rsidRPr="007A276A" w:rsidRDefault="00DA102F" w:rsidP="002A1420">
      <w:pPr>
        <w:ind w:left="851"/>
        <w:rPr>
          <w:sz w:val="24"/>
          <w:szCs w:val="24"/>
          <w:lang w:eastAsia="da-DK"/>
        </w:rPr>
      </w:pPr>
      <w:r w:rsidRPr="007A276A">
        <w:rPr>
          <w:sz w:val="24"/>
          <w:szCs w:val="24"/>
          <w:lang w:eastAsia="da-DK"/>
        </w:rPr>
        <w:t>Axel Heides Gade 1</w:t>
      </w:r>
    </w:p>
    <w:p w:rsidR="00DA102F" w:rsidRPr="007A276A" w:rsidRDefault="00DA102F" w:rsidP="002A1420">
      <w:pPr>
        <w:ind w:left="851"/>
        <w:rPr>
          <w:sz w:val="24"/>
          <w:szCs w:val="24"/>
          <w:lang w:eastAsia="da-DK"/>
        </w:rPr>
      </w:pPr>
      <w:r w:rsidRPr="007A276A">
        <w:rPr>
          <w:sz w:val="24"/>
          <w:szCs w:val="24"/>
          <w:lang w:eastAsia="da-DK"/>
        </w:rPr>
        <w:t>DK-2300 København S</w:t>
      </w:r>
    </w:p>
    <w:p w:rsidR="00DA102F" w:rsidRPr="00DA102F" w:rsidRDefault="00DA102F" w:rsidP="002A1420">
      <w:pPr>
        <w:ind w:left="851"/>
        <w:rPr>
          <w:sz w:val="24"/>
          <w:szCs w:val="24"/>
          <w:lang w:eastAsia="da-DK"/>
        </w:rPr>
      </w:pPr>
      <w:r w:rsidRPr="00DA102F">
        <w:rPr>
          <w:sz w:val="24"/>
          <w:szCs w:val="24"/>
          <w:lang w:eastAsia="da-DK"/>
        </w:rPr>
        <w:t xml:space="preserve">Websted: </w:t>
      </w:r>
      <w:hyperlink r:id="rId9" w:history="1">
        <w:r w:rsidRPr="00DE4588">
          <w:rPr>
            <w:rStyle w:val="Hyperlink"/>
            <w:sz w:val="24"/>
            <w:lang w:eastAsia="da-DK"/>
          </w:rPr>
          <w:t>www.meldenbivirkning.dk</w:t>
        </w:r>
      </w:hyperlink>
      <w:r>
        <w:rPr>
          <w:sz w:val="24"/>
          <w:lang w:eastAsia="da-DK"/>
        </w:rPr>
        <w:t xml:space="preserve"> </w:t>
      </w:r>
    </w:p>
    <w:p w:rsidR="00422A79" w:rsidRPr="00DA102F" w:rsidRDefault="00422A79" w:rsidP="00422A79">
      <w:pPr>
        <w:pStyle w:val="Sidehoved"/>
        <w:tabs>
          <w:tab w:val="clear" w:pos="4819"/>
          <w:tab w:val="clear" w:pos="9638"/>
        </w:tabs>
        <w:ind w:left="851" w:hanging="851"/>
        <w:rPr>
          <w:szCs w:val="24"/>
        </w:rPr>
      </w:pPr>
    </w:p>
    <w:p w:rsidR="00422A79" w:rsidRPr="008A60D2" w:rsidRDefault="00422A79" w:rsidP="00422A79">
      <w:pPr>
        <w:keepNext/>
        <w:numPr>
          <w:ilvl w:val="1"/>
          <w:numId w:val="6"/>
        </w:numPr>
        <w:tabs>
          <w:tab w:val="clear" w:pos="855"/>
        </w:tabs>
        <w:ind w:left="851" w:hanging="851"/>
        <w:rPr>
          <w:b/>
          <w:szCs w:val="24"/>
        </w:rPr>
      </w:pPr>
      <w:r w:rsidRPr="008A60D2">
        <w:rPr>
          <w:b/>
          <w:szCs w:val="24"/>
        </w:rPr>
        <w:t>Overdosering</w:t>
      </w:r>
    </w:p>
    <w:p w:rsidR="00422A79" w:rsidRPr="004332B0" w:rsidRDefault="00422A79" w:rsidP="00422A79">
      <w:pPr>
        <w:keepNext/>
        <w:ind w:left="851" w:hanging="851"/>
        <w:rPr>
          <w:szCs w:val="24"/>
          <w:u w:val="single"/>
        </w:rPr>
      </w:pPr>
      <w:r w:rsidRPr="008A60D2">
        <w:rPr>
          <w:szCs w:val="24"/>
        </w:rPr>
        <w:tab/>
      </w:r>
      <w:r>
        <w:rPr>
          <w:szCs w:val="24"/>
          <w:u w:val="single"/>
        </w:rPr>
        <w:t>Symptomer</w:t>
      </w:r>
    </w:p>
    <w:p w:rsidR="00422A79" w:rsidRDefault="00422A79" w:rsidP="00422A79">
      <w:pPr>
        <w:ind w:left="851"/>
        <w:rPr>
          <w:szCs w:val="24"/>
        </w:rPr>
      </w:pPr>
      <w:r w:rsidRPr="008A60D2">
        <w:rPr>
          <w:szCs w:val="24"/>
        </w:rPr>
        <w:t>Symptomer på overdosering med salmeterol</w:t>
      </w:r>
      <w:r>
        <w:rPr>
          <w:szCs w:val="24"/>
        </w:rPr>
        <w:t xml:space="preserve"> er typisk for en overdreven beta</w:t>
      </w:r>
      <w:r>
        <w:rPr>
          <w:szCs w:val="24"/>
          <w:vertAlign w:val="subscript"/>
        </w:rPr>
        <w:t>2</w:t>
      </w:r>
      <w:r>
        <w:rPr>
          <w:szCs w:val="24"/>
        </w:rPr>
        <w:t>-adrenerg stimulering, som omfatter</w:t>
      </w:r>
      <w:r w:rsidRPr="008A60D2">
        <w:rPr>
          <w:szCs w:val="24"/>
        </w:rPr>
        <w:t xml:space="preserve"> </w:t>
      </w:r>
      <w:r>
        <w:rPr>
          <w:szCs w:val="24"/>
        </w:rPr>
        <w:t xml:space="preserve">svimmelhed, forhøjet systolisk blodtryk, </w:t>
      </w:r>
      <w:r w:rsidRPr="008A60D2">
        <w:rPr>
          <w:szCs w:val="24"/>
        </w:rPr>
        <w:t>tremor, hovedpine og takykardi.</w:t>
      </w:r>
      <w:r>
        <w:rPr>
          <w:szCs w:val="24"/>
        </w:rPr>
        <w:t xml:space="preserve"> </w:t>
      </w:r>
      <w:r w:rsidRPr="008A60D2">
        <w:rPr>
          <w:szCs w:val="24"/>
        </w:rPr>
        <w:t>Da der desuden kan forekomme hypokaliæmi, skal der monitoreres for kaliumindhold i blodet/serumkoncentrationer. Kaliumtilskud skal overvejes.</w:t>
      </w:r>
    </w:p>
    <w:p w:rsidR="00422A79" w:rsidRPr="008A60D2" w:rsidRDefault="00422A79" w:rsidP="00422A79">
      <w:pPr>
        <w:ind w:left="851"/>
        <w:rPr>
          <w:szCs w:val="24"/>
        </w:rPr>
      </w:pPr>
    </w:p>
    <w:p w:rsidR="00422A79" w:rsidRDefault="00422A79" w:rsidP="00422A79">
      <w:pPr>
        <w:ind w:left="851" w:hanging="851"/>
        <w:rPr>
          <w:szCs w:val="24"/>
          <w:u w:val="single"/>
        </w:rPr>
      </w:pPr>
      <w:r>
        <w:rPr>
          <w:szCs w:val="24"/>
        </w:rPr>
        <w:tab/>
      </w:r>
      <w:r>
        <w:rPr>
          <w:szCs w:val="24"/>
          <w:u w:val="single"/>
        </w:rPr>
        <w:t>Behandling</w:t>
      </w:r>
    </w:p>
    <w:p w:rsidR="00422A79" w:rsidRDefault="00422A79" w:rsidP="00422A79">
      <w:pPr>
        <w:ind w:left="851"/>
        <w:rPr>
          <w:szCs w:val="24"/>
        </w:rPr>
      </w:pPr>
      <w:r>
        <w:rPr>
          <w:szCs w:val="24"/>
        </w:rPr>
        <w:t xml:space="preserve">I tilfælde af </w:t>
      </w:r>
      <w:r w:rsidRPr="000063E7">
        <w:rPr>
          <w:szCs w:val="24"/>
        </w:rPr>
        <w:t xml:space="preserve">overdosering, skal patienten have understøttende behandling og passende monitorering efter behov. Yderligere behandling gives efter klinisk behov eller i henhold til </w:t>
      </w:r>
      <w:r>
        <w:rPr>
          <w:szCs w:val="24"/>
        </w:rPr>
        <w:t>Giftlinjens anbefalinger</w:t>
      </w:r>
      <w:r w:rsidRPr="000063E7">
        <w:rPr>
          <w:szCs w:val="24"/>
        </w:rPr>
        <w:t xml:space="preserve">, hvis </w:t>
      </w:r>
      <w:r>
        <w:rPr>
          <w:szCs w:val="24"/>
        </w:rPr>
        <w:t>relevant</w:t>
      </w:r>
      <w:r w:rsidRPr="000063E7">
        <w:rPr>
          <w:szCs w:val="24"/>
        </w:rPr>
        <w:t>.</w:t>
      </w:r>
    </w:p>
    <w:p w:rsidR="00422A79" w:rsidRDefault="00422A79" w:rsidP="00422A79">
      <w:pPr>
        <w:ind w:left="851"/>
        <w:rPr>
          <w:szCs w:val="24"/>
        </w:rPr>
      </w:pPr>
    </w:p>
    <w:p w:rsidR="00422A79" w:rsidRPr="008A60D2" w:rsidRDefault="00422A79" w:rsidP="00422A79">
      <w:pPr>
        <w:numPr>
          <w:ilvl w:val="1"/>
          <w:numId w:val="6"/>
        </w:numPr>
        <w:tabs>
          <w:tab w:val="clear" w:pos="855"/>
        </w:tabs>
        <w:ind w:left="851" w:hanging="851"/>
        <w:rPr>
          <w:b/>
          <w:szCs w:val="24"/>
        </w:rPr>
      </w:pPr>
      <w:r w:rsidRPr="008A60D2">
        <w:rPr>
          <w:b/>
          <w:szCs w:val="24"/>
        </w:rPr>
        <w:t>Udlevering</w:t>
      </w:r>
    </w:p>
    <w:p w:rsidR="00422A79" w:rsidRPr="008A60D2" w:rsidRDefault="00422A79" w:rsidP="00422A79">
      <w:pPr>
        <w:ind w:left="851" w:hanging="851"/>
        <w:rPr>
          <w:szCs w:val="24"/>
        </w:rPr>
      </w:pPr>
      <w:r w:rsidRPr="008A60D2">
        <w:rPr>
          <w:szCs w:val="24"/>
        </w:rPr>
        <w:tab/>
      </w:r>
      <w:r>
        <w:rPr>
          <w:szCs w:val="24"/>
        </w:rPr>
        <w:t>B</w:t>
      </w:r>
    </w:p>
    <w:p w:rsidR="00422A79" w:rsidRPr="008A60D2" w:rsidRDefault="00422A79" w:rsidP="00422A79">
      <w:pPr>
        <w:ind w:left="851" w:hanging="851"/>
        <w:rPr>
          <w:szCs w:val="24"/>
        </w:rPr>
      </w:pPr>
    </w:p>
    <w:p w:rsidR="00422A79" w:rsidRPr="008A60D2" w:rsidRDefault="00422A79" w:rsidP="00422A79">
      <w:pPr>
        <w:ind w:left="851" w:hanging="851"/>
        <w:rPr>
          <w:szCs w:val="24"/>
        </w:rPr>
      </w:pPr>
    </w:p>
    <w:p w:rsidR="00422A79" w:rsidRPr="008A60D2" w:rsidRDefault="00422A79" w:rsidP="00422A79">
      <w:pPr>
        <w:numPr>
          <w:ilvl w:val="0"/>
          <w:numId w:val="6"/>
        </w:numPr>
        <w:tabs>
          <w:tab w:val="clear" w:pos="855"/>
        </w:tabs>
        <w:ind w:left="851" w:hanging="851"/>
        <w:rPr>
          <w:b/>
          <w:szCs w:val="24"/>
        </w:rPr>
      </w:pPr>
      <w:r w:rsidRPr="008A60D2">
        <w:rPr>
          <w:b/>
          <w:szCs w:val="24"/>
        </w:rPr>
        <w:t xml:space="preserve">FARMAKOLOGISKE </w:t>
      </w:r>
      <w:r>
        <w:rPr>
          <w:b/>
          <w:szCs w:val="24"/>
        </w:rPr>
        <w:t>EGENSKABER</w:t>
      </w:r>
    </w:p>
    <w:p w:rsidR="00422A79" w:rsidRPr="008A60D2" w:rsidRDefault="00422A79" w:rsidP="00422A79">
      <w:pPr>
        <w:ind w:left="851" w:hanging="851"/>
        <w:rPr>
          <w:szCs w:val="24"/>
        </w:rPr>
      </w:pPr>
    </w:p>
    <w:p w:rsidR="00422A79" w:rsidRDefault="00422A79" w:rsidP="00422A79">
      <w:pPr>
        <w:numPr>
          <w:ilvl w:val="0"/>
          <w:numId w:val="7"/>
        </w:numPr>
        <w:tabs>
          <w:tab w:val="clear" w:pos="855"/>
        </w:tabs>
        <w:ind w:left="851" w:hanging="851"/>
        <w:rPr>
          <w:b/>
          <w:szCs w:val="24"/>
        </w:rPr>
      </w:pPr>
      <w:r w:rsidRPr="008A60D2">
        <w:rPr>
          <w:b/>
          <w:szCs w:val="24"/>
        </w:rPr>
        <w:t>Terapeutisk klassifikation</w:t>
      </w:r>
    </w:p>
    <w:p w:rsidR="00422A79" w:rsidRDefault="00422A79" w:rsidP="00422A79">
      <w:pPr>
        <w:ind w:left="855"/>
      </w:pPr>
      <w:r>
        <w:t xml:space="preserve">Farmakoterapeutisk klassifikation: Selektive </w:t>
      </w:r>
      <w:r>
        <w:rPr>
          <w:szCs w:val="24"/>
        </w:rPr>
        <w:t>beta-2-</w:t>
      </w:r>
      <w:r>
        <w:t>adrenoceptor agonister, salmeterol</w:t>
      </w:r>
    </w:p>
    <w:p w:rsidR="00422A79" w:rsidRDefault="00422A79" w:rsidP="00422A79">
      <w:pPr>
        <w:ind w:left="855"/>
      </w:pPr>
      <w:r>
        <w:t>ATC-kode: R 03 AC 12</w:t>
      </w:r>
    </w:p>
    <w:p w:rsidR="00422A79" w:rsidRPr="00AB6317" w:rsidRDefault="00422A79" w:rsidP="00422A79"/>
    <w:p w:rsidR="00422A79" w:rsidRPr="008A60D2" w:rsidRDefault="00422A79" w:rsidP="00422A79">
      <w:pPr>
        <w:numPr>
          <w:ilvl w:val="1"/>
          <w:numId w:val="7"/>
        </w:numPr>
        <w:tabs>
          <w:tab w:val="clear" w:pos="2159"/>
        </w:tabs>
        <w:ind w:left="851" w:hanging="851"/>
        <w:rPr>
          <w:b/>
          <w:szCs w:val="24"/>
        </w:rPr>
      </w:pPr>
      <w:r w:rsidRPr="008A60D2">
        <w:rPr>
          <w:b/>
          <w:szCs w:val="24"/>
        </w:rPr>
        <w:t>Farmakodynamiske egenskaber</w:t>
      </w:r>
    </w:p>
    <w:p w:rsidR="00422A79" w:rsidRPr="008A60D2" w:rsidRDefault="00422A79" w:rsidP="00422A79">
      <w:pPr>
        <w:suppressAutoHyphens/>
        <w:ind w:left="851"/>
        <w:rPr>
          <w:szCs w:val="24"/>
        </w:rPr>
      </w:pPr>
      <w:r w:rsidRPr="008A60D2">
        <w:rPr>
          <w:szCs w:val="24"/>
        </w:rPr>
        <w:t xml:space="preserve">Salmeterol er en selektiv, langtidsvirkende (12 timer) </w:t>
      </w:r>
      <w:r>
        <w:rPr>
          <w:szCs w:val="24"/>
        </w:rPr>
        <w:t>beta</w:t>
      </w:r>
      <w:r w:rsidRPr="008A60D2">
        <w:rPr>
          <w:szCs w:val="24"/>
          <w:vertAlign w:val="subscript"/>
        </w:rPr>
        <w:t>2</w:t>
      </w:r>
      <w:r w:rsidRPr="008A60D2">
        <w:rPr>
          <w:szCs w:val="24"/>
        </w:rPr>
        <w:t>-agonist med en lang sidekæde, som bindes til receptorens exo-site.</w:t>
      </w:r>
    </w:p>
    <w:p w:rsidR="00422A79" w:rsidRPr="008A60D2" w:rsidRDefault="00422A79" w:rsidP="00422A79">
      <w:pPr>
        <w:suppressAutoHyphens/>
        <w:ind w:left="851" w:hanging="851"/>
        <w:rPr>
          <w:szCs w:val="24"/>
        </w:rPr>
      </w:pPr>
    </w:p>
    <w:p w:rsidR="00422A79" w:rsidRPr="008A60D2" w:rsidRDefault="00422A79" w:rsidP="00422A79">
      <w:pPr>
        <w:suppressAutoHyphens/>
        <w:ind w:left="851"/>
        <w:rPr>
          <w:szCs w:val="24"/>
        </w:rPr>
      </w:pPr>
      <w:r w:rsidRPr="008A60D2">
        <w:rPr>
          <w:szCs w:val="24"/>
        </w:rPr>
        <w:t xml:space="preserve">Salmeterols farmakologiske egenskaber giver bedre beskyttelse mod histamin-induceret bronkiekonstriktion og giver en længerevarende bronkodilatation, </w:t>
      </w:r>
      <w:r>
        <w:rPr>
          <w:szCs w:val="24"/>
        </w:rPr>
        <w:t xml:space="preserve">som varer </w:t>
      </w:r>
      <w:r w:rsidRPr="008A60D2">
        <w:rPr>
          <w:szCs w:val="24"/>
        </w:rPr>
        <w:t>mindst 12 timer, end anbefalede doser af konventionelle korttidsvirkende ß</w:t>
      </w:r>
      <w:r w:rsidRPr="008A60D2">
        <w:rPr>
          <w:szCs w:val="24"/>
          <w:vertAlign w:val="subscript"/>
        </w:rPr>
        <w:t>2</w:t>
      </w:r>
      <w:r w:rsidRPr="008A60D2">
        <w:rPr>
          <w:szCs w:val="24"/>
        </w:rPr>
        <w:t xml:space="preserve">-agonister. </w:t>
      </w:r>
      <w:r>
        <w:rPr>
          <w:szCs w:val="24"/>
        </w:rPr>
        <w:t>Hos mennesker hæmmer salmeterol b</w:t>
      </w:r>
      <w:r w:rsidRPr="008A60D2">
        <w:rPr>
          <w:szCs w:val="24"/>
        </w:rPr>
        <w:t xml:space="preserve">åde </w:t>
      </w:r>
      <w:r>
        <w:rPr>
          <w:szCs w:val="24"/>
        </w:rPr>
        <w:t>umiddelbar-</w:t>
      </w:r>
      <w:r w:rsidRPr="008A60D2">
        <w:rPr>
          <w:szCs w:val="24"/>
        </w:rPr>
        <w:t xml:space="preserve"> og senreaktion efter inhalation af allergener. Senreaktion hæmmes i over 30 timer efter en enkeltdosis, når den bronkodilaterende effekt ikke længere er </w:t>
      </w:r>
      <w:r w:rsidRPr="008A60D2">
        <w:rPr>
          <w:szCs w:val="24"/>
        </w:rPr>
        <w:lastRenderedPageBreak/>
        <w:t>tydelig. Enkeltdosering med salmeterol svækker bronkial hyperrespons. Det ser ud, som om salmeterol har en effekt ud over den bronkodilaterende, men den fulde kliniske signifikans kendes endnu ikke. Virkningsmekanismen er forskellig fra kortikosteroidernes anti-inflammatoriske virkning, og behandlingen med disse bør ikke ophøre eller nedsættes ved ordination af salmeterol.</w:t>
      </w:r>
    </w:p>
    <w:p w:rsidR="00422A79" w:rsidRPr="008A60D2" w:rsidRDefault="00422A79" w:rsidP="00422A79">
      <w:pPr>
        <w:suppressAutoHyphens/>
        <w:ind w:left="851" w:hanging="851"/>
        <w:rPr>
          <w:szCs w:val="24"/>
        </w:rPr>
      </w:pPr>
    </w:p>
    <w:p w:rsidR="00422A79" w:rsidRDefault="00422A79" w:rsidP="00422A79">
      <w:pPr>
        <w:suppressAutoHyphens/>
        <w:ind w:left="851"/>
        <w:rPr>
          <w:szCs w:val="24"/>
        </w:rPr>
      </w:pPr>
      <w:r w:rsidRPr="008A60D2">
        <w:rPr>
          <w:szCs w:val="24"/>
        </w:rPr>
        <w:t>Salmeterol er blevet undersøgt til behandling af tilstande i forbindelse med KOL, og der er vist forbedring af symptomer, lungefunktion og livskvalitet.</w:t>
      </w:r>
    </w:p>
    <w:p w:rsidR="00422A79" w:rsidRDefault="00422A79" w:rsidP="00422A79">
      <w:pPr>
        <w:suppressAutoHyphens/>
        <w:ind w:left="851"/>
        <w:rPr>
          <w:szCs w:val="24"/>
        </w:rPr>
      </w:pPr>
    </w:p>
    <w:p w:rsidR="00422A79" w:rsidRPr="0002281E" w:rsidRDefault="00422A79" w:rsidP="00422A79">
      <w:pPr>
        <w:suppressAutoHyphens/>
        <w:ind w:left="851"/>
        <w:rPr>
          <w:szCs w:val="24"/>
          <w:u w:val="single"/>
        </w:rPr>
      </w:pPr>
      <w:r w:rsidRPr="0002281E">
        <w:rPr>
          <w:szCs w:val="24"/>
          <w:u w:val="single"/>
        </w:rPr>
        <w:t xml:space="preserve">Kliniske </w:t>
      </w:r>
      <w:r>
        <w:rPr>
          <w:szCs w:val="24"/>
          <w:u w:val="single"/>
        </w:rPr>
        <w:t>studier</w:t>
      </w:r>
      <w:r w:rsidRPr="0002281E">
        <w:rPr>
          <w:szCs w:val="24"/>
          <w:u w:val="single"/>
        </w:rPr>
        <w:t xml:space="preserve"> - Astmapatienter</w:t>
      </w:r>
    </w:p>
    <w:p w:rsidR="00422A79" w:rsidRPr="00FD708C" w:rsidRDefault="00422A79" w:rsidP="00422A79">
      <w:pPr>
        <w:suppressAutoHyphens/>
        <w:ind w:left="851"/>
        <w:rPr>
          <w:szCs w:val="24"/>
        </w:rPr>
      </w:pPr>
    </w:p>
    <w:p w:rsidR="00422A79" w:rsidRPr="0002281E" w:rsidRDefault="00422A79" w:rsidP="00422A79">
      <w:pPr>
        <w:suppressAutoHyphens/>
        <w:ind w:left="851"/>
        <w:rPr>
          <w:szCs w:val="24"/>
          <w:u w:val="single"/>
        </w:rPr>
      </w:pPr>
      <w:r w:rsidRPr="0002281E">
        <w:rPr>
          <w:szCs w:val="24"/>
          <w:u w:val="single"/>
        </w:rPr>
        <w:t>Salmeterol Multi-Center Asthma Research Trial (SMART)</w:t>
      </w:r>
    </w:p>
    <w:p w:rsidR="00422A79" w:rsidRDefault="00422A79" w:rsidP="00422A79">
      <w:pPr>
        <w:suppressAutoHyphens/>
        <w:ind w:left="851"/>
      </w:pPr>
      <w:r w:rsidRPr="008F2F65">
        <w:rPr>
          <w:szCs w:val="24"/>
        </w:rPr>
        <w:t>SMART var e</w:t>
      </w:r>
      <w:r>
        <w:rPr>
          <w:szCs w:val="24"/>
        </w:rPr>
        <w:t>t</w:t>
      </w:r>
      <w:r w:rsidRPr="008F2F65">
        <w:rPr>
          <w:szCs w:val="24"/>
        </w:rPr>
        <w:t xml:space="preserve"> amerikansk 28-ugers randomiseret dobbeltblind</w:t>
      </w:r>
      <w:r>
        <w:rPr>
          <w:szCs w:val="24"/>
        </w:rPr>
        <w:t>et</w:t>
      </w:r>
      <w:r w:rsidRPr="008F2F65">
        <w:rPr>
          <w:szCs w:val="24"/>
        </w:rPr>
        <w:t>, placebokontrolleret, multicenter- og parallelgruppe</w:t>
      </w:r>
      <w:r>
        <w:rPr>
          <w:szCs w:val="24"/>
        </w:rPr>
        <w:t>studie</w:t>
      </w:r>
      <w:r w:rsidRPr="008F2F65">
        <w:rPr>
          <w:szCs w:val="24"/>
        </w:rPr>
        <w:t>, hvor 13.176 p</w:t>
      </w:r>
      <w:r>
        <w:rPr>
          <w:szCs w:val="24"/>
        </w:rPr>
        <w:t>atienter fik salmeterol (50 mik</w:t>
      </w:r>
      <w:r w:rsidRPr="008F2F65">
        <w:rPr>
          <w:szCs w:val="24"/>
        </w:rPr>
        <w:t>r</w:t>
      </w:r>
      <w:r>
        <w:rPr>
          <w:szCs w:val="24"/>
        </w:rPr>
        <w:t>o</w:t>
      </w:r>
      <w:r w:rsidRPr="008F2F65">
        <w:rPr>
          <w:szCs w:val="24"/>
        </w:rPr>
        <w:t xml:space="preserve">gram 2 </w:t>
      </w:r>
      <w:r>
        <w:rPr>
          <w:szCs w:val="24"/>
        </w:rPr>
        <w:t>gange</w:t>
      </w:r>
      <w:r w:rsidRPr="008F2F65">
        <w:rPr>
          <w:szCs w:val="24"/>
        </w:rPr>
        <w:t xml:space="preserve"> d</w:t>
      </w:r>
      <w:r>
        <w:rPr>
          <w:szCs w:val="24"/>
        </w:rPr>
        <w:t>aglig</w:t>
      </w:r>
      <w:r w:rsidRPr="008F2F65">
        <w:rPr>
          <w:szCs w:val="24"/>
        </w:rPr>
        <w:t>),</w:t>
      </w:r>
      <w:r>
        <w:rPr>
          <w:szCs w:val="24"/>
        </w:rPr>
        <w:t xml:space="preserve"> og 13.179 patienter fik placebo som tillæg til deres sædvanlige astmabehandling. Inklusionskriterierne var: </w:t>
      </w:r>
      <w:r>
        <w:t xml:space="preserve">≥ 12 år, astma, behandling med astmamedicin (men ikke langtidsvirkende </w:t>
      </w:r>
      <w:r w:rsidRPr="008A60D2">
        <w:rPr>
          <w:szCs w:val="24"/>
        </w:rPr>
        <w:t>ß</w:t>
      </w:r>
      <w:r w:rsidRPr="008A60D2">
        <w:rPr>
          <w:szCs w:val="24"/>
          <w:vertAlign w:val="subscript"/>
        </w:rPr>
        <w:t>2</w:t>
      </w:r>
      <w:r w:rsidRPr="008A60D2">
        <w:rPr>
          <w:szCs w:val="24"/>
        </w:rPr>
        <w:t>-agonister</w:t>
      </w:r>
      <w:r>
        <w:t xml:space="preserve">). Anvendelse af inhalationssteroid (ICS) ved indgang til studiet blev noteret, men var ikke nødvendig for deltagelse i studiet. Primær effektparameter var det samlede antal respirationsrelaterede dødsfald og respirationsrelaterede livstruende hændelser. </w:t>
      </w:r>
    </w:p>
    <w:p w:rsidR="00422A79" w:rsidRDefault="00422A79" w:rsidP="00422A79">
      <w:pPr>
        <w:suppressAutoHyphens/>
        <w:ind w:left="851"/>
      </w:pPr>
    </w:p>
    <w:p w:rsidR="00422A79" w:rsidRPr="00D21CEF" w:rsidRDefault="00422A79" w:rsidP="00422A79">
      <w:pPr>
        <w:suppressAutoHyphens/>
        <w:ind w:left="851"/>
        <w:rPr>
          <w:bCs/>
          <w:iCs/>
        </w:rPr>
      </w:pPr>
      <w:r w:rsidRPr="004332B0">
        <w:t>De vigtigste resultater fra SMART: primær effektparameter</w:t>
      </w:r>
    </w:p>
    <w:tbl>
      <w:tblPr>
        <w:tblW w:w="743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508"/>
        <w:gridCol w:w="1417"/>
        <w:gridCol w:w="1935"/>
      </w:tblGrid>
      <w:tr w:rsidR="00422A79" w:rsidRPr="00CB59E4" w:rsidTr="003B4BCE">
        <w:tc>
          <w:tcPr>
            <w:tcW w:w="2574" w:type="dxa"/>
            <w:vMerge w:val="restart"/>
          </w:tcPr>
          <w:p w:rsidR="00422A79" w:rsidRPr="004332B0" w:rsidRDefault="00422A79" w:rsidP="003B4BCE">
            <w:pPr>
              <w:spacing w:before="60" w:after="60"/>
              <w:jc w:val="both"/>
              <w:rPr>
                <w:sz w:val="20"/>
              </w:rPr>
            </w:pPr>
            <w:r w:rsidRPr="004332B0">
              <w:rPr>
                <w:sz w:val="20"/>
              </w:rPr>
              <w:t>Patientgrupper</w:t>
            </w:r>
          </w:p>
        </w:tc>
        <w:tc>
          <w:tcPr>
            <w:tcW w:w="2925" w:type="dxa"/>
            <w:gridSpan w:val="2"/>
            <w:tcBorders>
              <w:bottom w:val="single" w:sz="4" w:space="0" w:color="auto"/>
            </w:tcBorders>
          </w:tcPr>
          <w:p w:rsidR="00422A79" w:rsidRPr="004332B0" w:rsidRDefault="00422A79" w:rsidP="003B4BCE">
            <w:pPr>
              <w:spacing w:before="60" w:after="60"/>
              <w:rPr>
                <w:sz w:val="20"/>
              </w:rPr>
            </w:pPr>
            <w:r w:rsidRPr="004332B0">
              <w:rPr>
                <w:sz w:val="20"/>
              </w:rPr>
              <w:t>Antal primære hændelser/antal patienter</w:t>
            </w:r>
          </w:p>
        </w:tc>
        <w:tc>
          <w:tcPr>
            <w:tcW w:w="1935" w:type="dxa"/>
            <w:vMerge w:val="restart"/>
          </w:tcPr>
          <w:p w:rsidR="00422A79" w:rsidRPr="004332B0" w:rsidRDefault="00422A79" w:rsidP="003B4BCE">
            <w:pPr>
              <w:spacing w:before="60" w:after="60"/>
              <w:rPr>
                <w:sz w:val="20"/>
              </w:rPr>
            </w:pPr>
            <w:r w:rsidRPr="004332B0">
              <w:rPr>
                <w:sz w:val="20"/>
              </w:rPr>
              <w:t>Relativ Risiko</w:t>
            </w:r>
            <w:r w:rsidRPr="004332B0">
              <w:rPr>
                <w:sz w:val="20"/>
              </w:rPr>
              <w:br/>
              <w:t>(95 % konfidens-interval)</w:t>
            </w:r>
          </w:p>
        </w:tc>
      </w:tr>
      <w:tr w:rsidR="00422A79" w:rsidRPr="00CB59E4" w:rsidTr="003B4BCE">
        <w:tc>
          <w:tcPr>
            <w:tcW w:w="2574" w:type="dxa"/>
            <w:vMerge/>
            <w:tcBorders>
              <w:bottom w:val="single" w:sz="4" w:space="0" w:color="auto"/>
            </w:tcBorders>
          </w:tcPr>
          <w:p w:rsidR="00422A79" w:rsidRPr="004332B0" w:rsidRDefault="00422A79" w:rsidP="003B4BCE">
            <w:pPr>
              <w:spacing w:before="60" w:after="60"/>
              <w:jc w:val="both"/>
              <w:rPr>
                <w:sz w:val="20"/>
              </w:rPr>
            </w:pPr>
          </w:p>
        </w:tc>
        <w:tc>
          <w:tcPr>
            <w:tcW w:w="1508" w:type="dxa"/>
            <w:tcBorders>
              <w:bottom w:val="single" w:sz="4" w:space="0" w:color="auto"/>
            </w:tcBorders>
          </w:tcPr>
          <w:p w:rsidR="00422A79" w:rsidRPr="004332B0" w:rsidRDefault="00422A79" w:rsidP="003B4BCE">
            <w:pPr>
              <w:spacing w:before="60" w:after="60"/>
              <w:jc w:val="both"/>
              <w:rPr>
                <w:sz w:val="20"/>
              </w:rPr>
            </w:pPr>
            <w:r w:rsidRPr="004332B0">
              <w:rPr>
                <w:sz w:val="20"/>
              </w:rPr>
              <w:t xml:space="preserve">salmeterol </w:t>
            </w:r>
          </w:p>
        </w:tc>
        <w:tc>
          <w:tcPr>
            <w:tcW w:w="1417" w:type="dxa"/>
            <w:tcBorders>
              <w:bottom w:val="single" w:sz="4" w:space="0" w:color="auto"/>
            </w:tcBorders>
          </w:tcPr>
          <w:p w:rsidR="00422A79" w:rsidRPr="004332B0" w:rsidRDefault="00422A79" w:rsidP="003B4BCE">
            <w:pPr>
              <w:spacing w:before="60" w:after="60"/>
              <w:jc w:val="both"/>
              <w:rPr>
                <w:sz w:val="20"/>
              </w:rPr>
            </w:pPr>
            <w:r w:rsidRPr="004332B0">
              <w:rPr>
                <w:sz w:val="20"/>
              </w:rPr>
              <w:t>placebo</w:t>
            </w:r>
          </w:p>
        </w:tc>
        <w:tc>
          <w:tcPr>
            <w:tcW w:w="1935" w:type="dxa"/>
            <w:vMerge/>
            <w:tcBorders>
              <w:bottom w:val="single" w:sz="4" w:space="0" w:color="auto"/>
            </w:tcBorders>
          </w:tcPr>
          <w:p w:rsidR="00422A79" w:rsidRPr="004332B0" w:rsidRDefault="00422A79" w:rsidP="003B4BCE">
            <w:pPr>
              <w:spacing w:before="60" w:after="60"/>
              <w:jc w:val="both"/>
              <w:rPr>
                <w:sz w:val="20"/>
              </w:rPr>
            </w:pPr>
          </w:p>
        </w:tc>
      </w:tr>
      <w:tr w:rsidR="00422A79" w:rsidRPr="00CB59E4" w:rsidTr="003B4BCE">
        <w:tc>
          <w:tcPr>
            <w:tcW w:w="2574" w:type="dxa"/>
            <w:tcBorders>
              <w:bottom w:val="single" w:sz="4" w:space="0" w:color="auto"/>
            </w:tcBorders>
          </w:tcPr>
          <w:p w:rsidR="00422A79" w:rsidRPr="004332B0" w:rsidRDefault="00422A79" w:rsidP="003B4BCE">
            <w:pPr>
              <w:spacing w:before="60" w:after="60"/>
              <w:jc w:val="both"/>
              <w:rPr>
                <w:sz w:val="20"/>
              </w:rPr>
            </w:pPr>
            <w:r w:rsidRPr="004332B0">
              <w:rPr>
                <w:sz w:val="20"/>
              </w:rPr>
              <w:t xml:space="preserve">Alle </w:t>
            </w:r>
            <w:r>
              <w:rPr>
                <w:sz w:val="20"/>
              </w:rPr>
              <w:t>patienter</w:t>
            </w:r>
          </w:p>
        </w:tc>
        <w:tc>
          <w:tcPr>
            <w:tcW w:w="1508" w:type="dxa"/>
            <w:tcBorders>
              <w:bottom w:val="single" w:sz="4" w:space="0" w:color="auto"/>
            </w:tcBorders>
          </w:tcPr>
          <w:p w:rsidR="00422A79" w:rsidRPr="00D21CEF" w:rsidRDefault="00422A79" w:rsidP="003B4BCE">
            <w:pPr>
              <w:spacing w:before="60" w:after="60"/>
              <w:jc w:val="both"/>
              <w:rPr>
                <w:sz w:val="20"/>
              </w:rPr>
            </w:pPr>
            <w:r w:rsidRPr="00D21CEF">
              <w:rPr>
                <w:sz w:val="20"/>
              </w:rPr>
              <w:t>50/13.176</w:t>
            </w:r>
          </w:p>
        </w:tc>
        <w:tc>
          <w:tcPr>
            <w:tcW w:w="1417" w:type="dxa"/>
            <w:tcBorders>
              <w:bottom w:val="single" w:sz="4" w:space="0" w:color="auto"/>
            </w:tcBorders>
          </w:tcPr>
          <w:p w:rsidR="00422A79" w:rsidRPr="00D21CEF" w:rsidRDefault="00422A79" w:rsidP="003B4BCE">
            <w:pPr>
              <w:spacing w:before="60" w:after="60"/>
              <w:jc w:val="both"/>
              <w:rPr>
                <w:sz w:val="20"/>
              </w:rPr>
            </w:pPr>
            <w:r w:rsidRPr="00D21CEF">
              <w:rPr>
                <w:sz w:val="20"/>
              </w:rPr>
              <w:t>36/13179</w:t>
            </w:r>
          </w:p>
        </w:tc>
        <w:tc>
          <w:tcPr>
            <w:tcW w:w="1935" w:type="dxa"/>
            <w:tcBorders>
              <w:bottom w:val="single" w:sz="4" w:space="0" w:color="auto"/>
            </w:tcBorders>
          </w:tcPr>
          <w:p w:rsidR="00422A79" w:rsidRPr="00D21CEF" w:rsidRDefault="00422A79" w:rsidP="003B4BCE">
            <w:pPr>
              <w:spacing w:before="60" w:after="60"/>
              <w:jc w:val="both"/>
              <w:rPr>
                <w:sz w:val="20"/>
              </w:rPr>
            </w:pPr>
            <w:r w:rsidRPr="00D21CEF">
              <w:rPr>
                <w:sz w:val="20"/>
              </w:rPr>
              <w:t>1,40 (0,91; 2,14)</w:t>
            </w:r>
          </w:p>
        </w:tc>
      </w:tr>
      <w:tr w:rsidR="00422A79" w:rsidRPr="00CB59E4" w:rsidTr="003B4BCE">
        <w:tc>
          <w:tcPr>
            <w:tcW w:w="2574" w:type="dxa"/>
            <w:tcBorders>
              <w:bottom w:val="single" w:sz="4" w:space="0" w:color="auto"/>
            </w:tcBorders>
          </w:tcPr>
          <w:p w:rsidR="00422A79" w:rsidRPr="004332B0" w:rsidRDefault="00422A79" w:rsidP="003B4BCE">
            <w:pPr>
              <w:spacing w:before="60" w:after="60"/>
              <w:rPr>
                <w:sz w:val="20"/>
              </w:rPr>
            </w:pPr>
            <w:r w:rsidRPr="004332B0">
              <w:rPr>
                <w:sz w:val="20"/>
              </w:rPr>
              <w:t>P</w:t>
            </w:r>
            <w:r>
              <w:rPr>
                <w:sz w:val="20"/>
              </w:rPr>
              <w:t>atienter,</w:t>
            </w:r>
            <w:r w:rsidRPr="004332B0">
              <w:rPr>
                <w:sz w:val="20"/>
              </w:rPr>
              <w:t xml:space="preserve"> der tog ICS</w:t>
            </w:r>
          </w:p>
        </w:tc>
        <w:tc>
          <w:tcPr>
            <w:tcW w:w="1508" w:type="dxa"/>
            <w:tcBorders>
              <w:bottom w:val="single" w:sz="4" w:space="0" w:color="auto"/>
            </w:tcBorders>
          </w:tcPr>
          <w:p w:rsidR="00422A79" w:rsidRPr="00D21CEF" w:rsidRDefault="00422A79" w:rsidP="003B4BCE">
            <w:pPr>
              <w:spacing w:before="60" w:after="60"/>
              <w:jc w:val="both"/>
              <w:rPr>
                <w:sz w:val="20"/>
              </w:rPr>
            </w:pPr>
            <w:r w:rsidRPr="00D21CEF">
              <w:rPr>
                <w:sz w:val="20"/>
              </w:rPr>
              <w:t>23/6127</w:t>
            </w:r>
          </w:p>
        </w:tc>
        <w:tc>
          <w:tcPr>
            <w:tcW w:w="1417" w:type="dxa"/>
            <w:tcBorders>
              <w:bottom w:val="single" w:sz="4" w:space="0" w:color="auto"/>
            </w:tcBorders>
          </w:tcPr>
          <w:p w:rsidR="00422A79" w:rsidRPr="00D21CEF" w:rsidRDefault="00422A79" w:rsidP="003B4BCE">
            <w:pPr>
              <w:spacing w:before="60" w:after="60"/>
              <w:jc w:val="both"/>
              <w:rPr>
                <w:sz w:val="20"/>
              </w:rPr>
            </w:pPr>
            <w:r w:rsidRPr="00D21CEF">
              <w:rPr>
                <w:sz w:val="20"/>
              </w:rPr>
              <w:t>19/6138</w:t>
            </w:r>
          </w:p>
        </w:tc>
        <w:tc>
          <w:tcPr>
            <w:tcW w:w="1935" w:type="dxa"/>
            <w:tcBorders>
              <w:bottom w:val="single" w:sz="4" w:space="0" w:color="auto"/>
            </w:tcBorders>
          </w:tcPr>
          <w:p w:rsidR="00422A79" w:rsidRPr="00D21CEF" w:rsidRDefault="00422A79" w:rsidP="003B4BCE">
            <w:pPr>
              <w:spacing w:before="60" w:after="60"/>
              <w:jc w:val="both"/>
              <w:rPr>
                <w:sz w:val="20"/>
              </w:rPr>
            </w:pPr>
            <w:r w:rsidRPr="00D21CEF">
              <w:rPr>
                <w:sz w:val="20"/>
              </w:rPr>
              <w:t>1,21 (0,66; 2,23)</w:t>
            </w:r>
          </w:p>
        </w:tc>
      </w:tr>
      <w:tr w:rsidR="00422A79" w:rsidRPr="00CB59E4" w:rsidTr="003B4BCE">
        <w:tc>
          <w:tcPr>
            <w:tcW w:w="2574" w:type="dxa"/>
            <w:tcBorders>
              <w:bottom w:val="single" w:sz="4" w:space="0" w:color="auto"/>
            </w:tcBorders>
          </w:tcPr>
          <w:p w:rsidR="00422A79" w:rsidRPr="004332B0" w:rsidRDefault="00422A79" w:rsidP="003B4BCE">
            <w:pPr>
              <w:spacing w:before="60" w:after="60"/>
              <w:rPr>
                <w:sz w:val="20"/>
              </w:rPr>
            </w:pPr>
            <w:r w:rsidRPr="004332B0">
              <w:rPr>
                <w:sz w:val="20"/>
              </w:rPr>
              <w:t>P</w:t>
            </w:r>
            <w:r>
              <w:rPr>
                <w:sz w:val="20"/>
              </w:rPr>
              <w:t>atienter,</w:t>
            </w:r>
            <w:r w:rsidRPr="004332B0">
              <w:rPr>
                <w:sz w:val="20"/>
              </w:rPr>
              <w:t xml:space="preserve"> der ikke tog ICS</w:t>
            </w:r>
          </w:p>
        </w:tc>
        <w:tc>
          <w:tcPr>
            <w:tcW w:w="1508" w:type="dxa"/>
            <w:tcBorders>
              <w:bottom w:val="single" w:sz="4" w:space="0" w:color="auto"/>
            </w:tcBorders>
          </w:tcPr>
          <w:p w:rsidR="00422A79" w:rsidRPr="00D21CEF" w:rsidRDefault="00422A79" w:rsidP="003B4BCE">
            <w:pPr>
              <w:spacing w:before="60" w:after="60"/>
              <w:jc w:val="both"/>
              <w:rPr>
                <w:sz w:val="20"/>
              </w:rPr>
            </w:pPr>
            <w:r w:rsidRPr="00D21CEF">
              <w:rPr>
                <w:sz w:val="20"/>
              </w:rPr>
              <w:t>27/7049</w:t>
            </w:r>
          </w:p>
        </w:tc>
        <w:tc>
          <w:tcPr>
            <w:tcW w:w="1417" w:type="dxa"/>
            <w:tcBorders>
              <w:bottom w:val="single" w:sz="4" w:space="0" w:color="auto"/>
            </w:tcBorders>
          </w:tcPr>
          <w:p w:rsidR="00422A79" w:rsidRPr="00D21CEF" w:rsidRDefault="00422A79" w:rsidP="003B4BCE">
            <w:pPr>
              <w:spacing w:before="60" w:after="60"/>
              <w:jc w:val="both"/>
              <w:rPr>
                <w:sz w:val="20"/>
              </w:rPr>
            </w:pPr>
            <w:r w:rsidRPr="00D21CEF">
              <w:rPr>
                <w:sz w:val="20"/>
              </w:rPr>
              <w:t>17/7041</w:t>
            </w:r>
          </w:p>
        </w:tc>
        <w:tc>
          <w:tcPr>
            <w:tcW w:w="1935" w:type="dxa"/>
            <w:tcBorders>
              <w:bottom w:val="single" w:sz="4" w:space="0" w:color="auto"/>
            </w:tcBorders>
          </w:tcPr>
          <w:p w:rsidR="00422A79" w:rsidRPr="00D21CEF" w:rsidRDefault="00422A79" w:rsidP="003B4BCE">
            <w:pPr>
              <w:spacing w:before="60" w:after="60"/>
              <w:jc w:val="both"/>
              <w:rPr>
                <w:sz w:val="20"/>
              </w:rPr>
            </w:pPr>
            <w:r w:rsidRPr="00D21CEF">
              <w:rPr>
                <w:sz w:val="20"/>
              </w:rPr>
              <w:t>1,60 (0,87; 2,93)</w:t>
            </w:r>
          </w:p>
        </w:tc>
      </w:tr>
      <w:tr w:rsidR="00422A79" w:rsidRPr="00CB59E4" w:rsidTr="003B4BCE">
        <w:tc>
          <w:tcPr>
            <w:tcW w:w="2574" w:type="dxa"/>
          </w:tcPr>
          <w:p w:rsidR="00422A79" w:rsidRPr="004332B0" w:rsidRDefault="00422A79" w:rsidP="003B4BCE">
            <w:pPr>
              <w:spacing w:before="60" w:after="60"/>
              <w:jc w:val="both"/>
              <w:rPr>
                <w:b/>
                <w:bCs/>
                <w:i/>
                <w:iCs/>
                <w:sz w:val="20"/>
              </w:rPr>
            </w:pPr>
            <w:r w:rsidRPr="004332B0">
              <w:rPr>
                <w:b/>
                <w:bCs/>
                <w:i/>
                <w:iCs/>
                <w:sz w:val="20"/>
              </w:rPr>
              <w:t>Afroamerikanske p</w:t>
            </w:r>
            <w:r>
              <w:rPr>
                <w:b/>
                <w:bCs/>
                <w:i/>
                <w:iCs/>
                <w:sz w:val="20"/>
              </w:rPr>
              <w:t>atienter</w:t>
            </w:r>
          </w:p>
        </w:tc>
        <w:tc>
          <w:tcPr>
            <w:tcW w:w="1508" w:type="dxa"/>
          </w:tcPr>
          <w:p w:rsidR="00422A79" w:rsidRPr="004332B0" w:rsidRDefault="00422A79" w:rsidP="003B4BCE">
            <w:pPr>
              <w:spacing w:before="60" w:after="60"/>
              <w:jc w:val="both"/>
              <w:rPr>
                <w:b/>
                <w:bCs/>
                <w:i/>
                <w:iCs/>
                <w:sz w:val="20"/>
              </w:rPr>
            </w:pPr>
            <w:r w:rsidRPr="004332B0">
              <w:rPr>
                <w:b/>
                <w:bCs/>
                <w:i/>
                <w:iCs/>
                <w:sz w:val="20"/>
              </w:rPr>
              <w:t>20/2366</w:t>
            </w:r>
          </w:p>
        </w:tc>
        <w:tc>
          <w:tcPr>
            <w:tcW w:w="1417" w:type="dxa"/>
          </w:tcPr>
          <w:p w:rsidR="00422A79" w:rsidRPr="004332B0" w:rsidRDefault="00422A79" w:rsidP="003B4BCE">
            <w:pPr>
              <w:spacing w:before="60" w:after="60"/>
              <w:jc w:val="both"/>
              <w:rPr>
                <w:b/>
                <w:bCs/>
                <w:i/>
                <w:iCs/>
                <w:sz w:val="20"/>
              </w:rPr>
            </w:pPr>
            <w:r w:rsidRPr="004332B0">
              <w:rPr>
                <w:b/>
                <w:bCs/>
                <w:i/>
                <w:iCs/>
                <w:sz w:val="20"/>
              </w:rPr>
              <w:t>5/2319</w:t>
            </w:r>
          </w:p>
        </w:tc>
        <w:tc>
          <w:tcPr>
            <w:tcW w:w="1935" w:type="dxa"/>
          </w:tcPr>
          <w:p w:rsidR="00422A79" w:rsidRPr="004332B0" w:rsidRDefault="00422A79" w:rsidP="003B4BCE">
            <w:pPr>
              <w:spacing w:before="60" w:after="60"/>
              <w:jc w:val="both"/>
              <w:rPr>
                <w:b/>
                <w:bCs/>
                <w:i/>
                <w:iCs/>
                <w:sz w:val="20"/>
              </w:rPr>
            </w:pPr>
            <w:r w:rsidRPr="004332B0">
              <w:rPr>
                <w:b/>
                <w:bCs/>
                <w:i/>
                <w:iCs/>
                <w:sz w:val="20"/>
              </w:rPr>
              <w:t>4,10 (1,54; 10,90)</w:t>
            </w:r>
          </w:p>
        </w:tc>
      </w:tr>
    </w:tbl>
    <w:p w:rsidR="00422A79" w:rsidRPr="002836E5" w:rsidRDefault="00422A79" w:rsidP="00422A79">
      <w:pPr>
        <w:ind w:left="851"/>
        <w:rPr>
          <w:sz w:val="20"/>
        </w:rPr>
      </w:pPr>
      <w:r w:rsidRPr="002836E5">
        <w:rPr>
          <w:sz w:val="20"/>
        </w:rPr>
        <w:t>(</w:t>
      </w:r>
      <w:r>
        <w:rPr>
          <w:sz w:val="20"/>
        </w:rPr>
        <w:t>Tallene</w:t>
      </w:r>
      <w:r w:rsidRPr="002836E5">
        <w:rPr>
          <w:sz w:val="20"/>
        </w:rPr>
        <w:t xml:space="preserve"> </w:t>
      </w:r>
      <w:r w:rsidRPr="00907957">
        <w:rPr>
          <w:sz w:val="20"/>
        </w:rPr>
        <w:t>i fed</w:t>
      </w:r>
      <w:r w:rsidRPr="002836E5">
        <w:rPr>
          <w:sz w:val="20"/>
        </w:rPr>
        <w:t xml:space="preserve"> er statistisk signifikant</w:t>
      </w:r>
      <w:r>
        <w:rPr>
          <w:sz w:val="20"/>
        </w:rPr>
        <w:t>e m</w:t>
      </w:r>
      <w:r w:rsidRPr="002836E5">
        <w:rPr>
          <w:sz w:val="20"/>
        </w:rPr>
        <w:t>ed 95</w:t>
      </w:r>
      <w:r>
        <w:rPr>
          <w:sz w:val="20"/>
        </w:rPr>
        <w:t xml:space="preserve"> </w:t>
      </w:r>
      <w:r w:rsidRPr="002836E5">
        <w:rPr>
          <w:sz w:val="20"/>
        </w:rPr>
        <w:t>% konfidensinterval)</w:t>
      </w:r>
    </w:p>
    <w:p w:rsidR="00422A79" w:rsidRDefault="00422A79" w:rsidP="00422A79">
      <w:pPr>
        <w:jc w:val="both"/>
        <w:rPr>
          <w:i/>
          <w:color w:val="FF0000"/>
          <w:sz w:val="20"/>
          <w:u w:val="single"/>
        </w:rPr>
      </w:pPr>
    </w:p>
    <w:p w:rsidR="00422A79" w:rsidRPr="00870DC2" w:rsidRDefault="00422A79" w:rsidP="00422A79">
      <w:pPr>
        <w:keepNext/>
        <w:ind w:left="851"/>
        <w:rPr>
          <w:bCs/>
          <w:iCs/>
        </w:rPr>
      </w:pPr>
      <w:r w:rsidRPr="004332B0">
        <w:rPr>
          <w:bCs/>
          <w:iCs/>
        </w:rPr>
        <w:t>De vigtigste resultater fra SMART (ICS ved baseline): Sekundære effektparametre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260"/>
        <w:gridCol w:w="1260"/>
        <w:gridCol w:w="2160"/>
      </w:tblGrid>
      <w:tr w:rsidR="00422A79" w:rsidRPr="00CB59E4" w:rsidTr="003B4BCE">
        <w:trPr>
          <w:trHeight w:val="458"/>
        </w:trPr>
        <w:tc>
          <w:tcPr>
            <w:tcW w:w="2749" w:type="dxa"/>
            <w:vMerge w:val="restart"/>
            <w:shd w:val="clear" w:color="auto" w:fill="auto"/>
          </w:tcPr>
          <w:p w:rsidR="00422A79" w:rsidRPr="004332B0" w:rsidRDefault="00422A79" w:rsidP="003B4BCE">
            <w:pPr>
              <w:keepNext/>
              <w:spacing w:before="60" w:after="60"/>
              <w:rPr>
                <w:sz w:val="20"/>
              </w:rPr>
            </w:pPr>
          </w:p>
        </w:tc>
        <w:tc>
          <w:tcPr>
            <w:tcW w:w="2520" w:type="dxa"/>
            <w:gridSpan w:val="2"/>
            <w:shd w:val="clear" w:color="auto" w:fill="auto"/>
          </w:tcPr>
          <w:p w:rsidR="00422A79" w:rsidRPr="004332B0" w:rsidRDefault="00422A79" w:rsidP="003B4BCE">
            <w:pPr>
              <w:keepNext/>
              <w:spacing w:before="60" w:after="60"/>
              <w:rPr>
                <w:sz w:val="20"/>
              </w:rPr>
            </w:pPr>
            <w:r w:rsidRPr="004332B0">
              <w:rPr>
                <w:sz w:val="20"/>
              </w:rPr>
              <w:t>Antal sekundære hændelser/antal patienter</w:t>
            </w:r>
          </w:p>
        </w:tc>
        <w:tc>
          <w:tcPr>
            <w:tcW w:w="2160" w:type="dxa"/>
            <w:vMerge w:val="restart"/>
            <w:shd w:val="clear" w:color="auto" w:fill="auto"/>
          </w:tcPr>
          <w:p w:rsidR="00422A79" w:rsidRPr="004332B0" w:rsidRDefault="00422A79" w:rsidP="003B4BCE">
            <w:pPr>
              <w:keepNext/>
              <w:spacing w:before="60" w:after="60"/>
              <w:rPr>
                <w:sz w:val="20"/>
                <w:lang w:val="en-GB"/>
              </w:rPr>
            </w:pPr>
            <w:r w:rsidRPr="004332B0">
              <w:rPr>
                <w:sz w:val="20"/>
              </w:rPr>
              <w:t>Relativ Risiko</w:t>
            </w:r>
            <w:r w:rsidRPr="004332B0">
              <w:rPr>
                <w:sz w:val="20"/>
              </w:rPr>
              <w:br/>
              <w:t>(95 % konfidens-interval)</w:t>
            </w:r>
          </w:p>
        </w:tc>
      </w:tr>
      <w:tr w:rsidR="00422A79" w:rsidRPr="00CB59E4" w:rsidTr="003B4BCE">
        <w:trPr>
          <w:trHeight w:val="290"/>
        </w:trPr>
        <w:tc>
          <w:tcPr>
            <w:tcW w:w="2749" w:type="dxa"/>
            <w:vMerge/>
            <w:tcBorders>
              <w:bottom w:val="single" w:sz="4" w:space="0" w:color="auto"/>
            </w:tcBorders>
            <w:shd w:val="clear" w:color="auto" w:fill="auto"/>
          </w:tcPr>
          <w:p w:rsidR="00422A79" w:rsidRPr="004332B0" w:rsidRDefault="00422A79" w:rsidP="003B4BCE">
            <w:pPr>
              <w:keepNext/>
              <w:spacing w:before="60" w:after="60"/>
              <w:rPr>
                <w:sz w:val="20"/>
                <w:lang w:val="en-GB"/>
              </w:rPr>
            </w:pPr>
          </w:p>
        </w:tc>
        <w:tc>
          <w:tcPr>
            <w:tcW w:w="1260" w:type="dxa"/>
            <w:tcBorders>
              <w:bottom w:val="single" w:sz="4" w:space="0" w:color="auto"/>
            </w:tcBorders>
            <w:shd w:val="clear" w:color="auto" w:fill="auto"/>
          </w:tcPr>
          <w:p w:rsidR="00422A79" w:rsidRPr="004332B0" w:rsidRDefault="00422A79" w:rsidP="003B4BCE">
            <w:pPr>
              <w:keepNext/>
              <w:spacing w:before="60" w:after="60"/>
              <w:jc w:val="both"/>
              <w:rPr>
                <w:sz w:val="20"/>
                <w:lang w:val="en-GB"/>
              </w:rPr>
            </w:pPr>
            <w:r w:rsidRPr="004332B0">
              <w:rPr>
                <w:sz w:val="20"/>
                <w:lang w:val="en-GB"/>
              </w:rPr>
              <w:t xml:space="preserve">salmeterol </w:t>
            </w:r>
          </w:p>
        </w:tc>
        <w:tc>
          <w:tcPr>
            <w:tcW w:w="1260" w:type="dxa"/>
            <w:tcBorders>
              <w:bottom w:val="single" w:sz="4" w:space="0" w:color="auto"/>
            </w:tcBorders>
            <w:shd w:val="clear" w:color="auto" w:fill="auto"/>
          </w:tcPr>
          <w:p w:rsidR="00422A79" w:rsidRPr="004332B0" w:rsidRDefault="00422A79" w:rsidP="003B4BCE">
            <w:pPr>
              <w:keepNext/>
              <w:spacing w:before="60" w:after="60"/>
              <w:jc w:val="both"/>
              <w:rPr>
                <w:sz w:val="20"/>
                <w:lang w:val="en-GB"/>
              </w:rPr>
            </w:pPr>
            <w:r w:rsidRPr="004332B0">
              <w:rPr>
                <w:sz w:val="20"/>
                <w:lang w:val="en-GB"/>
              </w:rPr>
              <w:t>placebo</w:t>
            </w:r>
          </w:p>
        </w:tc>
        <w:tc>
          <w:tcPr>
            <w:tcW w:w="2160" w:type="dxa"/>
            <w:vMerge/>
            <w:tcBorders>
              <w:bottom w:val="single" w:sz="4" w:space="0" w:color="auto"/>
            </w:tcBorders>
            <w:shd w:val="clear" w:color="auto" w:fill="auto"/>
          </w:tcPr>
          <w:p w:rsidR="00422A79" w:rsidRPr="00CB59E4" w:rsidRDefault="00422A79" w:rsidP="003B4BCE">
            <w:pPr>
              <w:keepNext/>
              <w:spacing w:before="60" w:after="60"/>
              <w:rPr>
                <w:b/>
                <w:sz w:val="20"/>
                <w:lang w:val="en-GB"/>
              </w:rPr>
            </w:pPr>
          </w:p>
        </w:tc>
      </w:tr>
      <w:tr w:rsidR="00422A79" w:rsidRPr="00CB59E4" w:rsidTr="003B4BCE">
        <w:tc>
          <w:tcPr>
            <w:tcW w:w="7429" w:type="dxa"/>
            <w:gridSpan w:val="4"/>
            <w:shd w:val="clear" w:color="auto" w:fill="F3F3F3"/>
          </w:tcPr>
          <w:p w:rsidR="00422A79" w:rsidRPr="004332B0" w:rsidRDefault="00422A79" w:rsidP="003B4BCE">
            <w:pPr>
              <w:keepNext/>
              <w:spacing w:before="60" w:after="60"/>
              <w:rPr>
                <w:sz w:val="20"/>
              </w:rPr>
            </w:pPr>
            <w:r w:rsidRPr="004332B0">
              <w:rPr>
                <w:sz w:val="20"/>
                <w:lang w:val="en-GB"/>
              </w:rPr>
              <w:t>Respirations</w:t>
            </w:r>
            <w:r w:rsidRPr="004332B0">
              <w:rPr>
                <w:sz w:val="20"/>
              </w:rPr>
              <w:t>relaterede dødsfald</w:t>
            </w:r>
          </w:p>
        </w:tc>
      </w:tr>
      <w:tr w:rsidR="00422A79" w:rsidRPr="00CB59E4" w:rsidTr="003B4BCE">
        <w:tc>
          <w:tcPr>
            <w:tcW w:w="2749" w:type="dxa"/>
            <w:shd w:val="clear" w:color="auto" w:fill="auto"/>
          </w:tcPr>
          <w:p w:rsidR="00422A79" w:rsidRPr="004332B0" w:rsidRDefault="00422A79" w:rsidP="003B4BCE">
            <w:pPr>
              <w:keepNext/>
              <w:spacing w:before="60" w:after="60"/>
              <w:rPr>
                <w:sz w:val="20"/>
              </w:rPr>
            </w:pPr>
            <w:r w:rsidRPr="004332B0">
              <w:rPr>
                <w:sz w:val="20"/>
              </w:rPr>
              <w:t>Patienter, der tog ICS</w:t>
            </w:r>
          </w:p>
        </w:tc>
        <w:tc>
          <w:tcPr>
            <w:tcW w:w="1260" w:type="dxa"/>
            <w:shd w:val="clear" w:color="auto" w:fill="auto"/>
          </w:tcPr>
          <w:p w:rsidR="00422A79" w:rsidRPr="00870DC2" w:rsidRDefault="00422A79" w:rsidP="003B4BCE">
            <w:pPr>
              <w:keepNext/>
              <w:spacing w:before="60" w:after="60"/>
              <w:rPr>
                <w:sz w:val="20"/>
              </w:rPr>
            </w:pPr>
            <w:r w:rsidRPr="00870DC2">
              <w:rPr>
                <w:sz w:val="20"/>
              </w:rPr>
              <w:t>10/6</w:t>
            </w:r>
            <w:r>
              <w:rPr>
                <w:sz w:val="20"/>
              </w:rPr>
              <w:t>.</w:t>
            </w:r>
            <w:r w:rsidRPr="00870DC2">
              <w:rPr>
                <w:sz w:val="20"/>
              </w:rPr>
              <w:t>127</w:t>
            </w:r>
          </w:p>
        </w:tc>
        <w:tc>
          <w:tcPr>
            <w:tcW w:w="1260" w:type="dxa"/>
            <w:shd w:val="clear" w:color="auto" w:fill="auto"/>
          </w:tcPr>
          <w:p w:rsidR="00422A79" w:rsidRPr="00870DC2" w:rsidRDefault="00422A79" w:rsidP="003B4BCE">
            <w:pPr>
              <w:keepNext/>
              <w:spacing w:before="60" w:after="60"/>
              <w:rPr>
                <w:sz w:val="20"/>
              </w:rPr>
            </w:pPr>
            <w:r w:rsidRPr="00870DC2">
              <w:rPr>
                <w:sz w:val="20"/>
              </w:rPr>
              <w:t>5/6</w:t>
            </w:r>
            <w:r>
              <w:rPr>
                <w:sz w:val="20"/>
              </w:rPr>
              <w:t>.</w:t>
            </w:r>
            <w:r w:rsidRPr="00870DC2">
              <w:rPr>
                <w:sz w:val="20"/>
              </w:rPr>
              <w:t>138</w:t>
            </w:r>
          </w:p>
        </w:tc>
        <w:tc>
          <w:tcPr>
            <w:tcW w:w="2160" w:type="dxa"/>
            <w:shd w:val="clear" w:color="auto" w:fill="auto"/>
          </w:tcPr>
          <w:p w:rsidR="00422A79" w:rsidRPr="00870DC2" w:rsidRDefault="00422A79" w:rsidP="003B4BCE">
            <w:pPr>
              <w:keepNext/>
              <w:spacing w:before="60" w:after="60"/>
              <w:rPr>
                <w:sz w:val="20"/>
              </w:rPr>
            </w:pPr>
            <w:r w:rsidRPr="00870DC2">
              <w:rPr>
                <w:sz w:val="20"/>
              </w:rPr>
              <w:t>2,01 (0,69; 5,86)</w:t>
            </w:r>
          </w:p>
        </w:tc>
      </w:tr>
      <w:tr w:rsidR="00422A79" w:rsidRPr="00CB59E4" w:rsidTr="003B4BCE">
        <w:tc>
          <w:tcPr>
            <w:tcW w:w="2749" w:type="dxa"/>
            <w:shd w:val="clear" w:color="auto" w:fill="auto"/>
          </w:tcPr>
          <w:p w:rsidR="00422A79" w:rsidRPr="004332B0" w:rsidRDefault="00422A79" w:rsidP="003B4BCE">
            <w:pPr>
              <w:keepNext/>
              <w:spacing w:before="60" w:after="60"/>
              <w:rPr>
                <w:sz w:val="20"/>
              </w:rPr>
            </w:pPr>
            <w:r w:rsidRPr="004332B0">
              <w:rPr>
                <w:sz w:val="20"/>
              </w:rPr>
              <w:t>Patienter, der ikke tog ICS</w:t>
            </w:r>
          </w:p>
        </w:tc>
        <w:tc>
          <w:tcPr>
            <w:tcW w:w="1260" w:type="dxa"/>
            <w:shd w:val="clear" w:color="auto" w:fill="auto"/>
          </w:tcPr>
          <w:p w:rsidR="00422A79" w:rsidRPr="00870DC2" w:rsidRDefault="00422A79" w:rsidP="003B4BCE">
            <w:pPr>
              <w:keepNext/>
              <w:spacing w:before="60" w:after="60"/>
              <w:rPr>
                <w:sz w:val="20"/>
              </w:rPr>
            </w:pPr>
            <w:r w:rsidRPr="00870DC2">
              <w:rPr>
                <w:sz w:val="20"/>
              </w:rPr>
              <w:t>14/7</w:t>
            </w:r>
            <w:r>
              <w:rPr>
                <w:sz w:val="20"/>
              </w:rPr>
              <w:t>.</w:t>
            </w:r>
            <w:r w:rsidRPr="00870DC2">
              <w:rPr>
                <w:sz w:val="20"/>
              </w:rPr>
              <w:t>049</w:t>
            </w:r>
          </w:p>
        </w:tc>
        <w:tc>
          <w:tcPr>
            <w:tcW w:w="1260" w:type="dxa"/>
            <w:shd w:val="clear" w:color="auto" w:fill="auto"/>
          </w:tcPr>
          <w:p w:rsidR="00422A79" w:rsidRPr="00870DC2" w:rsidRDefault="00422A79" w:rsidP="003B4BCE">
            <w:pPr>
              <w:keepNext/>
              <w:spacing w:before="60" w:after="60"/>
              <w:rPr>
                <w:sz w:val="20"/>
              </w:rPr>
            </w:pPr>
            <w:r w:rsidRPr="00870DC2">
              <w:rPr>
                <w:sz w:val="20"/>
              </w:rPr>
              <w:t>6/7</w:t>
            </w:r>
            <w:r>
              <w:rPr>
                <w:sz w:val="20"/>
              </w:rPr>
              <w:t>.</w:t>
            </w:r>
            <w:r w:rsidRPr="00870DC2">
              <w:rPr>
                <w:sz w:val="20"/>
              </w:rPr>
              <w:t>041</w:t>
            </w:r>
          </w:p>
        </w:tc>
        <w:tc>
          <w:tcPr>
            <w:tcW w:w="2160" w:type="dxa"/>
            <w:shd w:val="clear" w:color="auto" w:fill="auto"/>
          </w:tcPr>
          <w:p w:rsidR="00422A79" w:rsidRPr="00870DC2" w:rsidRDefault="00422A79" w:rsidP="003B4BCE">
            <w:pPr>
              <w:keepNext/>
              <w:spacing w:before="60" w:after="60"/>
              <w:rPr>
                <w:sz w:val="20"/>
              </w:rPr>
            </w:pPr>
            <w:r w:rsidRPr="00870DC2">
              <w:rPr>
                <w:sz w:val="20"/>
              </w:rPr>
              <w:t>2,28 (0,88; 5,94)</w:t>
            </w:r>
          </w:p>
        </w:tc>
      </w:tr>
      <w:tr w:rsidR="00422A79" w:rsidRPr="00CB59E4" w:rsidTr="003B4BCE">
        <w:tc>
          <w:tcPr>
            <w:tcW w:w="7429" w:type="dxa"/>
            <w:gridSpan w:val="4"/>
            <w:shd w:val="clear" w:color="auto" w:fill="F3F3F3"/>
          </w:tcPr>
          <w:p w:rsidR="00422A79" w:rsidRPr="004332B0" w:rsidRDefault="00422A79" w:rsidP="003B4BCE">
            <w:pPr>
              <w:spacing w:before="60" w:after="60"/>
              <w:rPr>
                <w:sz w:val="20"/>
              </w:rPr>
            </w:pPr>
            <w:r w:rsidRPr="004332B0">
              <w:rPr>
                <w:sz w:val="20"/>
              </w:rPr>
              <w:t>Samlede astmarelaterede dødsfald eller livstruende hændelser</w:t>
            </w:r>
          </w:p>
        </w:tc>
      </w:tr>
      <w:tr w:rsidR="00422A79" w:rsidRPr="00CB59E4" w:rsidTr="003B4BCE">
        <w:tc>
          <w:tcPr>
            <w:tcW w:w="2749" w:type="dxa"/>
            <w:shd w:val="clear" w:color="auto" w:fill="auto"/>
          </w:tcPr>
          <w:p w:rsidR="00422A79" w:rsidRPr="004332B0" w:rsidRDefault="00422A79" w:rsidP="003B4BCE">
            <w:pPr>
              <w:spacing w:before="60" w:after="60"/>
              <w:rPr>
                <w:sz w:val="20"/>
              </w:rPr>
            </w:pPr>
            <w:r w:rsidRPr="004332B0">
              <w:rPr>
                <w:sz w:val="20"/>
              </w:rPr>
              <w:t>Patienter, der tog ICS</w:t>
            </w:r>
          </w:p>
        </w:tc>
        <w:tc>
          <w:tcPr>
            <w:tcW w:w="1260" w:type="dxa"/>
            <w:shd w:val="clear" w:color="auto" w:fill="auto"/>
          </w:tcPr>
          <w:p w:rsidR="00422A79" w:rsidRPr="00870DC2" w:rsidRDefault="00422A79" w:rsidP="003B4BCE">
            <w:pPr>
              <w:spacing w:before="60" w:after="60"/>
              <w:rPr>
                <w:sz w:val="20"/>
              </w:rPr>
            </w:pPr>
            <w:r w:rsidRPr="00870DC2">
              <w:rPr>
                <w:sz w:val="20"/>
              </w:rPr>
              <w:t>16/6</w:t>
            </w:r>
            <w:r>
              <w:rPr>
                <w:sz w:val="20"/>
              </w:rPr>
              <w:t>.</w:t>
            </w:r>
            <w:r w:rsidRPr="00870DC2">
              <w:rPr>
                <w:sz w:val="20"/>
              </w:rPr>
              <w:t>127</w:t>
            </w:r>
          </w:p>
        </w:tc>
        <w:tc>
          <w:tcPr>
            <w:tcW w:w="1260" w:type="dxa"/>
            <w:shd w:val="clear" w:color="auto" w:fill="auto"/>
          </w:tcPr>
          <w:p w:rsidR="00422A79" w:rsidRPr="00870DC2" w:rsidRDefault="00422A79" w:rsidP="003B4BCE">
            <w:pPr>
              <w:spacing w:before="60" w:after="60"/>
              <w:rPr>
                <w:sz w:val="20"/>
              </w:rPr>
            </w:pPr>
            <w:r w:rsidRPr="00870DC2">
              <w:rPr>
                <w:sz w:val="20"/>
              </w:rPr>
              <w:t>13/6</w:t>
            </w:r>
            <w:r>
              <w:rPr>
                <w:sz w:val="20"/>
              </w:rPr>
              <w:t>.</w:t>
            </w:r>
            <w:r w:rsidRPr="00870DC2">
              <w:rPr>
                <w:sz w:val="20"/>
              </w:rPr>
              <w:t>138</w:t>
            </w:r>
          </w:p>
        </w:tc>
        <w:tc>
          <w:tcPr>
            <w:tcW w:w="2160" w:type="dxa"/>
            <w:shd w:val="clear" w:color="auto" w:fill="auto"/>
          </w:tcPr>
          <w:p w:rsidR="00422A79" w:rsidRPr="00870DC2" w:rsidRDefault="00422A79" w:rsidP="003B4BCE">
            <w:pPr>
              <w:spacing w:before="60" w:after="60"/>
              <w:rPr>
                <w:sz w:val="20"/>
              </w:rPr>
            </w:pPr>
            <w:r w:rsidRPr="00870DC2">
              <w:rPr>
                <w:sz w:val="20"/>
              </w:rPr>
              <w:t>1,24 (0,60; 2,58)</w:t>
            </w:r>
          </w:p>
        </w:tc>
      </w:tr>
      <w:tr w:rsidR="00422A79" w:rsidRPr="00CB59E4" w:rsidTr="003B4BCE">
        <w:trPr>
          <w:trHeight w:val="441"/>
        </w:trPr>
        <w:tc>
          <w:tcPr>
            <w:tcW w:w="2749" w:type="dxa"/>
            <w:shd w:val="clear" w:color="auto" w:fill="auto"/>
          </w:tcPr>
          <w:p w:rsidR="00422A79" w:rsidRPr="004332B0" w:rsidRDefault="00422A79" w:rsidP="003B4BCE">
            <w:pPr>
              <w:spacing w:before="60" w:after="60"/>
              <w:rPr>
                <w:b/>
                <w:sz w:val="20"/>
              </w:rPr>
            </w:pPr>
            <w:r w:rsidRPr="004332B0">
              <w:rPr>
                <w:b/>
                <w:sz w:val="20"/>
              </w:rPr>
              <w:t>Patienter, der ikke tog ICS</w:t>
            </w:r>
          </w:p>
        </w:tc>
        <w:tc>
          <w:tcPr>
            <w:tcW w:w="1260" w:type="dxa"/>
            <w:shd w:val="clear" w:color="auto" w:fill="auto"/>
          </w:tcPr>
          <w:p w:rsidR="00422A79" w:rsidRPr="004332B0" w:rsidRDefault="00422A79" w:rsidP="003B4BCE">
            <w:pPr>
              <w:spacing w:before="60" w:after="60"/>
              <w:rPr>
                <w:b/>
                <w:sz w:val="20"/>
              </w:rPr>
            </w:pPr>
            <w:r w:rsidRPr="004332B0">
              <w:rPr>
                <w:b/>
                <w:sz w:val="20"/>
              </w:rPr>
              <w:t>21/7</w:t>
            </w:r>
            <w:r>
              <w:rPr>
                <w:b/>
                <w:sz w:val="20"/>
              </w:rPr>
              <w:t>.</w:t>
            </w:r>
            <w:r w:rsidRPr="004332B0">
              <w:rPr>
                <w:b/>
                <w:sz w:val="20"/>
              </w:rPr>
              <w:t>049</w:t>
            </w:r>
          </w:p>
        </w:tc>
        <w:tc>
          <w:tcPr>
            <w:tcW w:w="1260" w:type="dxa"/>
            <w:shd w:val="clear" w:color="auto" w:fill="auto"/>
          </w:tcPr>
          <w:p w:rsidR="00422A79" w:rsidRPr="004332B0" w:rsidRDefault="00422A79" w:rsidP="003B4BCE">
            <w:pPr>
              <w:spacing w:before="60" w:after="60"/>
              <w:rPr>
                <w:b/>
                <w:sz w:val="20"/>
              </w:rPr>
            </w:pPr>
            <w:r w:rsidRPr="004332B0">
              <w:rPr>
                <w:b/>
                <w:sz w:val="20"/>
              </w:rPr>
              <w:t>9/7</w:t>
            </w:r>
            <w:r>
              <w:rPr>
                <w:b/>
                <w:sz w:val="20"/>
              </w:rPr>
              <w:t>.</w:t>
            </w:r>
            <w:r w:rsidRPr="004332B0">
              <w:rPr>
                <w:b/>
                <w:sz w:val="20"/>
              </w:rPr>
              <w:t>041</w:t>
            </w:r>
          </w:p>
        </w:tc>
        <w:tc>
          <w:tcPr>
            <w:tcW w:w="2160" w:type="dxa"/>
            <w:shd w:val="clear" w:color="auto" w:fill="auto"/>
          </w:tcPr>
          <w:p w:rsidR="00422A79" w:rsidRPr="004332B0" w:rsidRDefault="00422A79" w:rsidP="003B4BCE">
            <w:pPr>
              <w:spacing w:before="60" w:after="60"/>
              <w:rPr>
                <w:b/>
                <w:sz w:val="20"/>
              </w:rPr>
            </w:pPr>
            <w:r w:rsidRPr="004332B0">
              <w:rPr>
                <w:b/>
                <w:sz w:val="20"/>
              </w:rPr>
              <w:t>2,39 (1,10; 5,22)</w:t>
            </w:r>
          </w:p>
        </w:tc>
      </w:tr>
      <w:tr w:rsidR="00422A79" w:rsidRPr="00CB59E4" w:rsidTr="003B4BCE">
        <w:tc>
          <w:tcPr>
            <w:tcW w:w="7429" w:type="dxa"/>
            <w:gridSpan w:val="4"/>
            <w:shd w:val="clear" w:color="auto" w:fill="F3F3F3"/>
          </w:tcPr>
          <w:p w:rsidR="00422A79" w:rsidRPr="004332B0" w:rsidRDefault="00422A79" w:rsidP="003B4BCE">
            <w:pPr>
              <w:spacing w:before="60" w:after="60"/>
              <w:rPr>
                <w:sz w:val="20"/>
              </w:rPr>
            </w:pPr>
            <w:r w:rsidRPr="004332B0">
              <w:rPr>
                <w:sz w:val="20"/>
              </w:rPr>
              <w:t>Astmarelaterede dødsfald</w:t>
            </w:r>
          </w:p>
        </w:tc>
      </w:tr>
      <w:tr w:rsidR="00422A79" w:rsidRPr="00CB59E4" w:rsidTr="003B4BCE">
        <w:tc>
          <w:tcPr>
            <w:tcW w:w="2749" w:type="dxa"/>
            <w:shd w:val="clear" w:color="auto" w:fill="auto"/>
          </w:tcPr>
          <w:p w:rsidR="00422A79" w:rsidRPr="004332B0" w:rsidRDefault="00422A79" w:rsidP="003B4BCE">
            <w:pPr>
              <w:spacing w:before="60" w:after="60"/>
              <w:rPr>
                <w:sz w:val="20"/>
              </w:rPr>
            </w:pPr>
            <w:r w:rsidRPr="004332B0">
              <w:rPr>
                <w:sz w:val="20"/>
              </w:rPr>
              <w:t>Patienter, der tog ICS</w:t>
            </w:r>
          </w:p>
        </w:tc>
        <w:tc>
          <w:tcPr>
            <w:tcW w:w="1260" w:type="dxa"/>
            <w:shd w:val="clear" w:color="auto" w:fill="auto"/>
          </w:tcPr>
          <w:p w:rsidR="00422A79" w:rsidRPr="00870DC2" w:rsidRDefault="00422A79" w:rsidP="003B4BCE">
            <w:pPr>
              <w:spacing w:before="60" w:after="60"/>
              <w:rPr>
                <w:sz w:val="20"/>
              </w:rPr>
            </w:pPr>
            <w:r w:rsidRPr="00870DC2">
              <w:rPr>
                <w:sz w:val="20"/>
              </w:rPr>
              <w:t>4/6</w:t>
            </w:r>
            <w:r>
              <w:rPr>
                <w:sz w:val="20"/>
              </w:rPr>
              <w:t>.</w:t>
            </w:r>
            <w:r w:rsidRPr="00870DC2">
              <w:rPr>
                <w:sz w:val="20"/>
              </w:rPr>
              <w:t>127</w:t>
            </w:r>
          </w:p>
        </w:tc>
        <w:tc>
          <w:tcPr>
            <w:tcW w:w="1260" w:type="dxa"/>
            <w:shd w:val="clear" w:color="auto" w:fill="auto"/>
          </w:tcPr>
          <w:p w:rsidR="00422A79" w:rsidRPr="00870DC2" w:rsidRDefault="00422A79" w:rsidP="003B4BCE">
            <w:pPr>
              <w:spacing w:before="60" w:after="60"/>
              <w:rPr>
                <w:sz w:val="20"/>
              </w:rPr>
            </w:pPr>
            <w:r w:rsidRPr="00870DC2">
              <w:rPr>
                <w:sz w:val="20"/>
              </w:rPr>
              <w:t>3/6</w:t>
            </w:r>
            <w:r>
              <w:rPr>
                <w:sz w:val="20"/>
              </w:rPr>
              <w:t>.</w:t>
            </w:r>
            <w:r w:rsidRPr="00870DC2">
              <w:rPr>
                <w:sz w:val="20"/>
              </w:rPr>
              <w:t>138</w:t>
            </w:r>
          </w:p>
        </w:tc>
        <w:tc>
          <w:tcPr>
            <w:tcW w:w="2160" w:type="dxa"/>
            <w:shd w:val="clear" w:color="auto" w:fill="auto"/>
          </w:tcPr>
          <w:p w:rsidR="00422A79" w:rsidRPr="00870DC2" w:rsidRDefault="00422A79" w:rsidP="003B4BCE">
            <w:pPr>
              <w:spacing w:before="60" w:after="60"/>
              <w:rPr>
                <w:sz w:val="20"/>
              </w:rPr>
            </w:pPr>
            <w:r w:rsidRPr="00870DC2">
              <w:rPr>
                <w:sz w:val="20"/>
              </w:rPr>
              <w:t>1,35 (0,30; 6,04)</w:t>
            </w:r>
          </w:p>
        </w:tc>
      </w:tr>
      <w:tr w:rsidR="00422A79" w:rsidRPr="00CB59E4" w:rsidTr="003B4BCE">
        <w:tc>
          <w:tcPr>
            <w:tcW w:w="2749" w:type="dxa"/>
            <w:shd w:val="clear" w:color="auto" w:fill="auto"/>
          </w:tcPr>
          <w:p w:rsidR="00422A79" w:rsidRPr="004332B0" w:rsidRDefault="00422A79" w:rsidP="003B4BCE">
            <w:pPr>
              <w:spacing w:before="60" w:after="60"/>
              <w:rPr>
                <w:sz w:val="20"/>
              </w:rPr>
            </w:pPr>
            <w:r w:rsidRPr="004332B0">
              <w:rPr>
                <w:sz w:val="20"/>
              </w:rPr>
              <w:t>Patienter, der ikke tog ICS</w:t>
            </w:r>
          </w:p>
        </w:tc>
        <w:tc>
          <w:tcPr>
            <w:tcW w:w="1260" w:type="dxa"/>
            <w:shd w:val="clear" w:color="auto" w:fill="auto"/>
          </w:tcPr>
          <w:p w:rsidR="00422A79" w:rsidRPr="00870DC2" w:rsidRDefault="00422A79" w:rsidP="003B4BCE">
            <w:pPr>
              <w:spacing w:before="60" w:after="60"/>
              <w:rPr>
                <w:sz w:val="20"/>
              </w:rPr>
            </w:pPr>
            <w:r w:rsidRPr="00870DC2">
              <w:rPr>
                <w:sz w:val="20"/>
              </w:rPr>
              <w:t>9/7</w:t>
            </w:r>
            <w:r>
              <w:rPr>
                <w:sz w:val="20"/>
              </w:rPr>
              <w:t>.</w:t>
            </w:r>
            <w:r w:rsidRPr="00870DC2">
              <w:rPr>
                <w:sz w:val="20"/>
              </w:rPr>
              <w:t>049</w:t>
            </w:r>
          </w:p>
        </w:tc>
        <w:tc>
          <w:tcPr>
            <w:tcW w:w="1260" w:type="dxa"/>
            <w:shd w:val="clear" w:color="auto" w:fill="auto"/>
          </w:tcPr>
          <w:p w:rsidR="00422A79" w:rsidRPr="00870DC2" w:rsidRDefault="00422A79" w:rsidP="003B4BCE">
            <w:pPr>
              <w:spacing w:before="60" w:after="60"/>
              <w:rPr>
                <w:sz w:val="20"/>
              </w:rPr>
            </w:pPr>
            <w:r w:rsidRPr="00870DC2">
              <w:rPr>
                <w:sz w:val="20"/>
              </w:rPr>
              <w:t>0/7</w:t>
            </w:r>
            <w:r>
              <w:rPr>
                <w:sz w:val="20"/>
              </w:rPr>
              <w:t>.</w:t>
            </w:r>
            <w:r w:rsidRPr="00870DC2">
              <w:rPr>
                <w:sz w:val="20"/>
              </w:rPr>
              <w:t>041</w:t>
            </w:r>
          </w:p>
        </w:tc>
        <w:tc>
          <w:tcPr>
            <w:tcW w:w="2160" w:type="dxa"/>
            <w:shd w:val="clear" w:color="auto" w:fill="auto"/>
          </w:tcPr>
          <w:p w:rsidR="00422A79" w:rsidRPr="00870DC2" w:rsidRDefault="00422A79" w:rsidP="003B4BCE">
            <w:pPr>
              <w:spacing w:before="60" w:after="60"/>
              <w:rPr>
                <w:sz w:val="20"/>
              </w:rPr>
            </w:pPr>
            <w:r w:rsidRPr="00870DC2">
              <w:rPr>
                <w:sz w:val="20"/>
              </w:rPr>
              <w:t>*</w:t>
            </w:r>
          </w:p>
        </w:tc>
      </w:tr>
    </w:tbl>
    <w:p w:rsidR="00422A79" w:rsidRDefault="00422A79" w:rsidP="00422A79">
      <w:pPr>
        <w:suppressAutoHyphens/>
        <w:ind w:left="851"/>
        <w:rPr>
          <w:snapToGrid w:val="0"/>
          <w:color w:val="000000"/>
          <w:sz w:val="20"/>
        </w:rPr>
      </w:pPr>
      <w:r w:rsidRPr="002432F7">
        <w:rPr>
          <w:snapToGrid w:val="0"/>
          <w:color w:val="000000"/>
          <w:sz w:val="20"/>
        </w:rPr>
        <w:t xml:space="preserve">(*= kunne ikke udregnes, idet der </w:t>
      </w:r>
      <w:r>
        <w:rPr>
          <w:snapToGrid w:val="0"/>
          <w:color w:val="000000"/>
          <w:sz w:val="20"/>
        </w:rPr>
        <w:t>ikke forekom hændelser i</w:t>
      </w:r>
      <w:r w:rsidRPr="002432F7">
        <w:rPr>
          <w:snapToGrid w:val="0"/>
          <w:color w:val="000000"/>
          <w:sz w:val="20"/>
        </w:rPr>
        <w:t xml:space="preserve"> placebogruppen. </w:t>
      </w:r>
      <w:r>
        <w:rPr>
          <w:snapToGrid w:val="0"/>
          <w:color w:val="000000"/>
          <w:sz w:val="20"/>
        </w:rPr>
        <w:t xml:space="preserve">Tallene i fed </w:t>
      </w:r>
      <w:r w:rsidRPr="00B30FD1">
        <w:rPr>
          <w:snapToGrid w:val="0"/>
          <w:color w:val="000000"/>
          <w:sz w:val="20"/>
        </w:rPr>
        <w:t>er statistisk signifikant</w:t>
      </w:r>
      <w:r>
        <w:rPr>
          <w:snapToGrid w:val="0"/>
          <w:color w:val="000000"/>
          <w:sz w:val="20"/>
        </w:rPr>
        <w:t>e m</w:t>
      </w:r>
      <w:r w:rsidRPr="00B30FD1">
        <w:rPr>
          <w:snapToGrid w:val="0"/>
          <w:color w:val="000000"/>
          <w:sz w:val="20"/>
        </w:rPr>
        <w:t>ed 95</w:t>
      </w:r>
      <w:r>
        <w:rPr>
          <w:snapToGrid w:val="0"/>
          <w:color w:val="000000"/>
          <w:sz w:val="20"/>
        </w:rPr>
        <w:t xml:space="preserve"> </w:t>
      </w:r>
      <w:r w:rsidRPr="00B30FD1">
        <w:rPr>
          <w:snapToGrid w:val="0"/>
          <w:color w:val="000000"/>
          <w:sz w:val="20"/>
        </w:rPr>
        <w:t xml:space="preserve">% konfidensinterval. </w:t>
      </w:r>
      <w:r>
        <w:rPr>
          <w:snapToGrid w:val="0"/>
          <w:color w:val="000000"/>
          <w:sz w:val="20"/>
        </w:rPr>
        <w:t xml:space="preserve">Der var </w:t>
      </w:r>
      <w:r w:rsidRPr="006C2CBC">
        <w:rPr>
          <w:snapToGrid w:val="0"/>
          <w:color w:val="000000"/>
          <w:sz w:val="20"/>
        </w:rPr>
        <w:t xml:space="preserve">statistisk signifikans i hele populationen </w:t>
      </w:r>
      <w:r>
        <w:rPr>
          <w:snapToGrid w:val="0"/>
          <w:color w:val="000000"/>
          <w:sz w:val="20"/>
        </w:rPr>
        <w:t xml:space="preserve">i </w:t>
      </w:r>
      <w:r w:rsidRPr="006C2CBC">
        <w:rPr>
          <w:snapToGrid w:val="0"/>
          <w:color w:val="000000"/>
          <w:sz w:val="20"/>
        </w:rPr>
        <w:t>de sekundære e</w:t>
      </w:r>
      <w:r>
        <w:rPr>
          <w:snapToGrid w:val="0"/>
          <w:color w:val="000000"/>
          <w:sz w:val="20"/>
        </w:rPr>
        <w:t xml:space="preserve">ffektparametre i tabellen ovenfor. Der var ikke statistisk signifikans i hele populationen i de andre </w:t>
      </w:r>
      <w:r>
        <w:rPr>
          <w:snapToGrid w:val="0"/>
          <w:color w:val="000000"/>
          <w:sz w:val="20"/>
        </w:rPr>
        <w:lastRenderedPageBreak/>
        <w:t>sekundære effektparametre (samlede dødsfald uanset årsag eller livstruende hændelser og samlede dødsfald uanset årsag eller indlæggelser uanset årsag).</w:t>
      </w:r>
    </w:p>
    <w:p w:rsidR="00422A79" w:rsidRPr="008A60D2" w:rsidRDefault="00422A79" w:rsidP="00422A79">
      <w:pPr>
        <w:suppressAutoHyphens/>
        <w:ind w:left="851"/>
        <w:rPr>
          <w:szCs w:val="24"/>
        </w:rPr>
      </w:pPr>
    </w:p>
    <w:p w:rsidR="00422A79" w:rsidRPr="00A16C11" w:rsidRDefault="00422A79" w:rsidP="00422A79">
      <w:pPr>
        <w:ind w:left="851"/>
        <w:rPr>
          <w:u w:val="single"/>
        </w:rPr>
      </w:pPr>
      <w:r w:rsidRPr="00A16C11">
        <w:rPr>
          <w:u w:val="single"/>
        </w:rPr>
        <w:t xml:space="preserve">Kliniske </w:t>
      </w:r>
      <w:r>
        <w:rPr>
          <w:u w:val="single"/>
        </w:rPr>
        <w:t>studier</w:t>
      </w:r>
      <w:r w:rsidRPr="00A16C11">
        <w:rPr>
          <w:u w:val="single"/>
        </w:rPr>
        <w:t xml:space="preserve"> - KOL-patienter</w:t>
      </w:r>
    </w:p>
    <w:p w:rsidR="00422A79" w:rsidRPr="00760C01" w:rsidRDefault="00422A79" w:rsidP="00422A79">
      <w:pPr>
        <w:ind w:left="851"/>
      </w:pPr>
    </w:p>
    <w:p w:rsidR="00422A79" w:rsidRPr="00A16C11" w:rsidRDefault="00422A79" w:rsidP="00422A79">
      <w:pPr>
        <w:ind w:left="851"/>
        <w:rPr>
          <w:u w:val="single"/>
        </w:rPr>
      </w:pPr>
      <w:r w:rsidRPr="00A16C11">
        <w:rPr>
          <w:u w:val="single"/>
        </w:rPr>
        <w:t>TORCH-</w:t>
      </w:r>
      <w:r>
        <w:rPr>
          <w:u w:val="single"/>
        </w:rPr>
        <w:t>studiet</w:t>
      </w:r>
    </w:p>
    <w:p w:rsidR="00422A79" w:rsidRPr="007440EB" w:rsidRDefault="00422A79" w:rsidP="00422A79">
      <w:pPr>
        <w:ind w:left="851"/>
      </w:pPr>
      <w:r>
        <w:t>TORCH e</w:t>
      </w:r>
      <w:r w:rsidRPr="007440EB">
        <w:t>r e</w:t>
      </w:r>
      <w:r>
        <w:t>t</w:t>
      </w:r>
      <w:r w:rsidRPr="007440EB">
        <w:t xml:space="preserve"> </w:t>
      </w:r>
      <w:r>
        <w:t xml:space="preserve">3-årigt studie, </w:t>
      </w:r>
      <w:r w:rsidRPr="007440EB">
        <w:t xml:space="preserve">hvor man sammenlignede effekt af behandling med henholdsvis Seretide inhalationspulver i Diskos 50/500 mikrogram 2 </w:t>
      </w:r>
      <w:r>
        <w:t xml:space="preserve">gange </w:t>
      </w:r>
      <w:r w:rsidRPr="007440EB">
        <w:t>d</w:t>
      </w:r>
      <w:r>
        <w:t>aglig</w:t>
      </w:r>
      <w:r w:rsidRPr="007440EB">
        <w:t xml:space="preserve">, salmeterol inhalationspulver i Diskos 50 mikrogram 2 </w:t>
      </w:r>
      <w:r>
        <w:t xml:space="preserve">gange </w:t>
      </w:r>
      <w:r w:rsidRPr="007440EB">
        <w:t>d</w:t>
      </w:r>
      <w:r>
        <w:t>aglig</w:t>
      </w:r>
      <w:r w:rsidRPr="007440EB">
        <w:t xml:space="preserve">, fluticasonpropionat (FP) inhalationspulver i Diskos 500 mikrogram 2 </w:t>
      </w:r>
      <w:r>
        <w:t xml:space="preserve">gange </w:t>
      </w:r>
      <w:r w:rsidRPr="007440EB">
        <w:t>d</w:t>
      </w:r>
      <w:r>
        <w:t>aglig</w:t>
      </w:r>
      <w:r w:rsidRPr="007440EB">
        <w:t xml:space="preserve"> eller placebo på dødsfald uanset årsag hos patienter med KOL. Man randomiserede </w:t>
      </w:r>
      <w:r>
        <w:t>KOL-</w:t>
      </w:r>
      <w:r w:rsidRPr="007440EB">
        <w:t>patienter</w:t>
      </w:r>
      <w:r>
        <w:t xml:space="preserve"> med baseline (præ-bronkodila</w:t>
      </w:r>
      <w:r w:rsidRPr="007440EB">
        <w:t>tor) FEV</w:t>
      </w:r>
      <w:r w:rsidRPr="007440EB">
        <w:rPr>
          <w:vertAlign w:val="subscript"/>
        </w:rPr>
        <w:t>1</w:t>
      </w:r>
      <w:r>
        <w:t xml:space="preserve"> &lt; 60 % af forventet</w:t>
      </w:r>
      <w:r w:rsidRPr="007440EB">
        <w:t xml:space="preserve"> til dobbeltblind</w:t>
      </w:r>
      <w:r>
        <w:t>et</w:t>
      </w:r>
      <w:r w:rsidRPr="007440EB">
        <w:t xml:space="preserve"> medicinering. I </w:t>
      </w:r>
      <w:r>
        <w:t>studiet</w:t>
      </w:r>
      <w:r w:rsidRPr="007440EB">
        <w:t xml:space="preserve"> havde patienterne adgang til sædvanlig behandling af deres KOL-sygdom undtagen andre inhalationssteroider, langtidsvirkende bronkodilatatorer og langtidsbe</w:t>
      </w:r>
      <w:r>
        <w:t>handling med systemiske</w:t>
      </w:r>
      <w:r w:rsidRPr="007440EB">
        <w:t xml:space="preserve"> kortikoste</w:t>
      </w:r>
      <w:r>
        <w:t>roider. Man undersøgte</w:t>
      </w:r>
      <w:r w:rsidRPr="007440EB">
        <w:t xml:space="preserve"> overlevelse efter tre år for alle patienterne, uanset om de stadig fik </w:t>
      </w:r>
      <w:r>
        <w:t>studie</w:t>
      </w:r>
      <w:r w:rsidRPr="007440EB">
        <w:t>me</w:t>
      </w:r>
      <w:r>
        <w:t xml:space="preserve">dicinen eller var gået </w:t>
      </w:r>
      <w:r w:rsidRPr="007440EB">
        <w:t xml:space="preserve">ud af </w:t>
      </w:r>
      <w:r>
        <w:t>studiet</w:t>
      </w:r>
      <w:r w:rsidRPr="007440EB">
        <w:t xml:space="preserve">. Det primære </w:t>
      </w:r>
      <w:r>
        <w:t>endepunkt</w:t>
      </w:r>
      <w:r w:rsidRPr="007440EB">
        <w:t xml:space="preserve"> var </w:t>
      </w:r>
      <w:r>
        <w:t>reduktion i</w:t>
      </w:r>
      <w:r w:rsidRPr="007440EB">
        <w:t xml:space="preserve"> an</w:t>
      </w:r>
      <w:r>
        <w:t xml:space="preserve">tal </w:t>
      </w:r>
      <w:r w:rsidRPr="007440EB">
        <w:t>dødsfald uanset årsag efter tre års behandling med Seretide over for placebo.</w:t>
      </w:r>
    </w:p>
    <w:p w:rsidR="00422A79" w:rsidRDefault="00422A79" w:rsidP="00422A79">
      <w:pPr>
        <w:ind w:left="851"/>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260"/>
        <w:gridCol w:w="1620"/>
        <w:gridCol w:w="1620"/>
        <w:gridCol w:w="1620"/>
      </w:tblGrid>
      <w:tr w:rsidR="00422A79" w:rsidRPr="00CB59E4" w:rsidTr="003B4BCE">
        <w:tc>
          <w:tcPr>
            <w:tcW w:w="2088" w:type="dxa"/>
            <w:tcBorders>
              <w:top w:val="single" w:sz="4" w:space="0" w:color="auto"/>
              <w:left w:val="single" w:sz="4" w:space="0" w:color="auto"/>
              <w:bottom w:val="single" w:sz="4" w:space="0" w:color="auto"/>
              <w:right w:val="single" w:sz="4" w:space="0" w:color="auto"/>
            </w:tcBorders>
            <w:vAlign w:val="center"/>
          </w:tcPr>
          <w:p w:rsidR="00422A79" w:rsidRPr="00CB59E4" w:rsidRDefault="00422A79" w:rsidP="003B4BCE">
            <w:pPr>
              <w:keepNext/>
              <w:spacing w:before="60" w:after="60"/>
              <w:rPr>
                <w:b/>
                <w:bCs/>
              </w:rPr>
            </w:pPr>
          </w:p>
        </w:tc>
        <w:tc>
          <w:tcPr>
            <w:tcW w:w="1260" w:type="dxa"/>
            <w:tcBorders>
              <w:top w:val="single" w:sz="4" w:space="0" w:color="auto"/>
              <w:left w:val="single" w:sz="4" w:space="0" w:color="auto"/>
              <w:bottom w:val="single" w:sz="4" w:space="0" w:color="auto"/>
              <w:right w:val="single" w:sz="4" w:space="0" w:color="auto"/>
            </w:tcBorders>
            <w:vAlign w:val="center"/>
          </w:tcPr>
          <w:p w:rsidR="00422A79" w:rsidRPr="00CB59E4" w:rsidRDefault="00422A79" w:rsidP="003B4BCE">
            <w:pPr>
              <w:keepNext/>
              <w:spacing w:before="60" w:after="60"/>
              <w:rPr>
                <w:b/>
                <w:bCs/>
              </w:rPr>
            </w:pPr>
            <w:r w:rsidRPr="00CB59E4">
              <w:rPr>
                <w:b/>
                <w:bCs/>
              </w:rPr>
              <w:t>Placebo</w:t>
            </w:r>
          </w:p>
          <w:p w:rsidR="00422A79" w:rsidRPr="00CB59E4" w:rsidRDefault="00422A79" w:rsidP="003B4BCE">
            <w:pPr>
              <w:keepNext/>
              <w:spacing w:before="60" w:after="60"/>
              <w:rPr>
                <w:b/>
                <w:bCs/>
              </w:rPr>
            </w:pPr>
            <w:r w:rsidRPr="00CB59E4">
              <w:rPr>
                <w:b/>
                <w:bCs/>
              </w:rPr>
              <w:t>N = 1</w:t>
            </w:r>
            <w:r>
              <w:rPr>
                <w:b/>
                <w:bCs/>
              </w:rPr>
              <w:t>.</w:t>
            </w:r>
            <w:r w:rsidRPr="00CB59E4">
              <w:rPr>
                <w:b/>
                <w:bCs/>
              </w:rPr>
              <w:t>524</w:t>
            </w:r>
          </w:p>
        </w:tc>
        <w:tc>
          <w:tcPr>
            <w:tcW w:w="1620" w:type="dxa"/>
            <w:tcBorders>
              <w:top w:val="single" w:sz="4" w:space="0" w:color="auto"/>
              <w:left w:val="single" w:sz="4" w:space="0" w:color="auto"/>
              <w:bottom w:val="single" w:sz="4" w:space="0" w:color="auto"/>
              <w:right w:val="single" w:sz="4" w:space="0" w:color="auto"/>
            </w:tcBorders>
            <w:vAlign w:val="center"/>
          </w:tcPr>
          <w:p w:rsidR="00422A79" w:rsidRPr="00CB59E4" w:rsidRDefault="00422A79" w:rsidP="003B4BCE">
            <w:pPr>
              <w:keepNext/>
              <w:spacing w:before="60" w:after="60"/>
              <w:rPr>
                <w:b/>
                <w:bCs/>
              </w:rPr>
            </w:pPr>
            <w:r w:rsidRPr="00CB59E4">
              <w:rPr>
                <w:b/>
                <w:bCs/>
              </w:rPr>
              <w:t>Salmeterol 50</w:t>
            </w:r>
          </w:p>
          <w:p w:rsidR="00422A79" w:rsidRPr="00CB59E4" w:rsidRDefault="00422A79" w:rsidP="003B4BCE">
            <w:pPr>
              <w:keepNext/>
              <w:spacing w:before="60" w:after="60"/>
              <w:rPr>
                <w:b/>
                <w:bCs/>
              </w:rPr>
            </w:pPr>
            <w:r w:rsidRPr="00CB59E4">
              <w:rPr>
                <w:b/>
                <w:bCs/>
              </w:rPr>
              <w:t>N = 1</w:t>
            </w:r>
            <w:r>
              <w:rPr>
                <w:b/>
                <w:bCs/>
              </w:rPr>
              <w:t>.</w:t>
            </w:r>
            <w:r w:rsidRPr="00CB59E4">
              <w:rPr>
                <w:b/>
                <w:bCs/>
              </w:rPr>
              <w:t>521</w:t>
            </w:r>
          </w:p>
        </w:tc>
        <w:tc>
          <w:tcPr>
            <w:tcW w:w="1620" w:type="dxa"/>
            <w:tcBorders>
              <w:top w:val="single" w:sz="4" w:space="0" w:color="auto"/>
              <w:left w:val="single" w:sz="4" w:space="0" w:color="auto"/>
              <w:bottom w:val="single" w:sz="4" w:space="0" w:color="auto"/>
              <w:right w:val="single" w:sz="4" w:space="0" w:color="auto"/>
            </w:tcBorders>
            <w:vAlign w:val="center"/>
          </w:tcPr>
          <w:p w:rsidR="00422A79" w:rsidRPr="00CB59E4" w:rsidRDefault="00422A79" w:rsidP="003B4BCE">
            <w:pPr>
              <w:keepNext/>
              <w:spacing w:before="60" w:after="60"/>
              <w:rPr>
                <w:b/>
                <w:bCs/>
              </w:rPr>
            </w:pPr>
            <w:r>
              <w:rPr>
                <w:b/>
                <w:bCs/>
              </w:rPr>
              <w:t>FP</w:t>
            </w:r>
            <w:r w:rsidRPr="00CB59E4">
              <w:rPr>
                <w:b/>
                <w:bCs/>
              </w:rPr>
              <w:t xml:space="preserve"> 500</w:t>
            </w:r>
          </w:p>
          <w:p w:rsidR="00422A79" w:rsidRPr="00CB59E4" w:rsidRDefault="00422A79" w:rsidP="003B4BCE">
            <w:pPr>
              <w:keepNext/>
              <w:spacing w:before="60" w:after="60"/>
              <w:rPr>
                <w:b/>
                <w:bCs/>
              </w:rPr>
            </w:pPr>
            <w:r w:rsidRPr="00CB59E4">
              <w:rPr>
                <w:b/>
                <w:bCs/>
              </w:rPr>
              <w:t>N = 1</w:t>
            </w:r>
            <w:r>
              <w:rPr>
                <w:b/>
                <w:bCs/>
              </w:rPr>
              <w:t>.</w:t>
            </w:r>
            <w:r w:rsidRPr="00CB59E4">
              <w:rPr>
                <w:b/>
                <w:bCs/>
              </w:rPr>
              <w:t>534</w:t>
            </w:r>
          </w:p>
        </w:tc>
        <w:tc>
          <w:tcPr>
            <w:tcW w:w="1620" w:type="dxa"/>
            <w:tcBorders>
              <w:top w:val="single" w:sz="4" w:space="0" w:color="auto"/>
              <w:left w:val="single" w:sz="4" w:space="0" w:color="auto"/>
              <w:bottom w:val="single" w:sz="4" w:space="0" w:color="auto"/>
              <w:right w:val="single" w:sz="4" w:space="0" w:color="auto"/>
            </w:tcBorders>
            <w:vAlign w:val="center"/>
          </w:tcPr>
          <w:p w:rsidR="00422A79" w:rsidRPr="00CB59E4" w:rsidRDefault="00422A79" w:rsidP="003B4BCE">
            <w:pPr>
              <w:keepNext/>
              <w:spacing w:before="60" w:after="60"/>
              <w:rPr>
                <w:b/>
                <w:bCs/>
              </w:rPr>
            </w:pPr>
            <w:r w:rsidRPr="00CB59E4">
              <w:rPr>
                <w:b/>
                <w:bCs/>
              </w:rPr>
              <w:t>Seretide 50/500</w:t>
            </w:r>
          </w:p>
          <w:p w:rsidR="00422A79" w:rsidRPr="00CB59E4" w:rsidRDefault="00422A79" w:rsidP="003B4BCE">
            <w:pPr>
              <w:keepNext/>
              <w:spacing w:before="60" w:after="60"/>
              <w:rPr>
                <w:b/>
                <w:bCs/>
              </w:rPr>
            </w:pPr>
            <w:r w:rsidRPr="00CB59E4">
              <w:rPr>
                <w:b/>
                <w:bCs/>
              </w:rPr>
              <w:t>N = 1</w:t>
            </w:r>
            <w:r>
              <w:rPr>
                <w:b/>
                <w:bCs/>
              </w:rPr>
              <w:t>.</w:t>
            </w:r>
            <w:r w:rsidRPr="00CB59E4">
              <w:rPr>
                <w:b/>
                <w:bCs/>
              </w:rPr>
              <w:t>533</w:t>
            </w:r>
          </w:p>
        </w:tc>
      </w:tr>
      <w:tr w:rsidR="00422A79" w:rsidRPr="001122A9" w:rsidTr="003B4BCE">
        <w:tc>
          <w:tcPr>
            <w:tcW w:w="8208" w:type="dxa"/>
            <w:gridSpan w:val="5"/>
            <w:tcBorders>
              <w:top w:val="single" w:sz="4" w:space="0" w:color="auto"/>
              <w:left w:val="single" w:sz="4" w:space="0" w:color="auto"/>
              <w:bottom w:val="single" w:sz="4" w:space="0" w:color="auto"/>
              <w:right w:val="single" w:sz="4" w:space="0" w:color="auto"/>
            </w:tcBorders>
            <w:vAlign w:val="center"/>
          </w:tcPr>
          <w:p w:rsidR="00422A79" w:rsidRPr="001122A9" w:rsidRDefault="00422A79" w:rsidP="003B4BCE">
            <w:pPr>
              <w:keepNext/>
              <w:spacing w:before="60" w:after="60"/>
            </w:pPr>
            <w:r w:rsidRPr="001122A9">
              <w:t>Dødsfald uanset årsag (all cause mortality)</w:t>
            </w:r>
            <w:r>
              <w:t xml:space="preserve"> over 3 år</w:t>
            </w:r>
          </w:p>
        </w:tc>
      </w:tr>
      <w:tr w:rsidR="00422A79" w:rsidRPr="00981127" w:rsidTr="003B4BCE">
        <w:tc>
          <w:tcPr>
            <w:tcW w:w="2088" w:type="dxa"/>
            <w:tcBorders>
              <w:top w:val="single" w:sz="4" w:space="0" w:color="auto"/>
              <w:left w:val="single" w:sz="4" w:space="0" w:color="auto"/>
              <w:bottom w:val="single" w:sz="4" w:space="0" w:color="auto"/>
              <w:right w:val="single" w:sz="4" w:space="0" w:color="auto"/>
            </w:tcBorders>
            <w:vAlign w:val="center"/>
          </w:tcPr>
          <w:p w:rsidR="00422A79" w:rsidRPr="00981127" w:rsidRDefault="00422A79" w:rsidP="003B4BCE">
            <w:pPr>
              <w:keepNext/>
              <w:spacing w:before="60" w:after="60"/>
            </w:pPr>
            <w:r>
              <w:t>Antal dødsfald</w:t>
            </w:r>
            <w:r w:rsidRPr="00981127">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422A79" w:rsidRPr="00981127" w:rsidRDefault="00422A79" w:rsidP="003B4BCE">
            <w:pPr>
              <w:keepNext/>
              <w:spacing w:before="60" w:after="60"/>
            </w:pPr>
            <w:r w:rsidRPr="00981127">
              <w:t>231</w:t>
            </w:r>
          </w:p>
          <w:p w:rsidR="00422A79" w:rsidRPr="00981127" w:rsidRDefault="00422A79" w:rsidP="003B4BCE">
            <w:pPr>
              <w:keepNext/>
              <w:spacing w:before="60" w:after="60"/>
            </w:pPr>
            <w:r>
              <w:t>(15,</w:t>
            </w:r>
            <w:r w:rsidRPr="00981127">
              <w:t>2</w:t>
            </w:r>
            <w:r>
              <w:t xml:space="preserve"> </w:t>
            </w:r>
            <w:r w:rsidRPr="00981127">
              <w:t>%)</w:t>
            </w:r>
          </w:p>
        </w:tc>
        <w:tc>
          <w:tcPr>
            <w:tcW w:w="1620" w:type="dxa"/>
            <w:tcBorders>
              <w:top w:val="single" w:sz="4" w:space="0" w:color="auto"/>
              <w:left w:val="single" w:sz="4" w:space="0" w:color="auto"/>
              <w:bottom w:val="single" w:sz="4" w:space="0" w:color="auto"/>
              <w:right w:val="single" w:sz="4" w:space="0" w:color="auto"/>
            </w:tcBorders>
            <w:vAlign w:val="center"/>
          </w:tcPr>
          <w:p w:rsidR="00422A79" w:rsidRPr="00981127" w:rsidRDefault="00422A79" w:rsidP="003B4BCE">
            <w:pPr>
              <w:keepNext/>
              <w:spacing w:before="60" w:after="60"/>
            </w:pPr>
            <w:r w:rsidRPr="00981127">
              <w:t>205</w:t>
            </w:r>
          </w:p>
          <w:p w:rsidR="00422A79" w:rsidRPr="00981127" w:rsidRDefault="00422A79" w:rsidP="003B4BCE">
            <w:pPr>
              <w:keepNext/>
              <w:spacing w:before="60" w:after="60"/>
            </w:pPr>
            <w:r>
              <w:t>(13,</w:t>
            </w:r>
            <w:r w:rsidRPr="00981127">
              <w:t>5</w:t>
            </w:r>
            <w:r>
              <w:t xml:space="preserve"> </w:t>
            </w:r>
            <w:r w:rsidRPr="00981127">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422A79" w:rsidRPr="00981127" w:rsidRDefault="00422A79" w:rsidP="003B4BCE">
            <w:pPr>
              <w:keepNext/>
              <w:spacing w:before="60" w:after="60"/>
            </w:pPr>
            <w:r w:rsidRPr="00981127">
              <w:t>246</w:t>
            </w:r>
          </w:p>
          <w:p w:rsidR="00422A79" w:rsidRPr="00981127" w:rsidRDefault="00422A79" w:rsidP="003B4BCE">
            <w:pPr>
              <w:keepNext/>
              <w:spacing w:before="60" w:after="60"/>
            </w:pPr>
            <w:r>
              <w:t>(16,</w:t>
            </w:r>
            <w:r w:rsidRPr="00981127">
              <w:t>0</w:t>
            </w:r>
            <w:r>
              <w:t xml:space="preserve"> </w:t>
            </w:r>
            <w:r w:rsidRPr="00981127">
              <w:t>%)</w:t>
            </w:r>
          </w:p>
        </w:tc>
        <w:tc>
          <w:tcPr>
            <w:tcW w:w="1620" w:type="dxa"/>
            <w:tcBorders>
              <w:top w:val="single" w:sz="4" w:space="0" w:color="auto"/>
              <w:left w:val="single" w:sz="4" w:space="0" w:color="auto"/>
              <w:bottom w:val="single" w:sz="4" w:space="0" w:color="auto"/>
              <w:right w:val="single" w:sz="4" w:space="0" w:color="auto"/>
            </w:tcBorders>
            <w:vAlign w:val="center"/>
          </w:tcPr>
          <w:p w:rsidR="00422A79" w:rsidRPr="00981127" w:rsidRDefault="00422A79" w:rsidP="003B4BCE">
            <w:pPr>
              <w:keepNext/>
              <w:spacing w:before="60" w:after="60"/>
            </w:pPr>
            <w:r w:rsidRPr="00981127">
              <w:t>193</w:t>
            </w:r>
          </w:p>
          <w:p w:rsidR="00422A79" w:rsidRPr="00981127" w:rsidRDefault="00422A79" w:rsidP="003B4BCE">
            <w:pPr>
              <w:keepNext/>
              <w:spacing w:before="60" w:after="60"/>
            </w:pPr>
            <w:r>
              <w:t>(12,</w:t>
            </w:r>
            <w:r w:rsidRPr="00981127">
              <w:t>6</w:t>
            </w:r>
            <w:r>
              <w:t xml:space="preserve"> </w:t>
            </w:r>
            <w:r w:rsidRPr="00981127">
              <w:t>%)</w:t>
            </w:r>
          </w:p>
        </w:tc>
      </w:tr>
      <w:tr w:rsidR="00422A79" w:rsidRPr="00981127" w:rsidTr="003B4BCE">
        <w:tc>
          <w:tcPr>
            <w:tcW w:w="2088" w:type="dxa"/>
            <w:tcBorders>
              <w:top w:val="single" w:sz="4" w:space="0" w:color="auto"/>
              <w:left w:val="single" w:sz="4" w:space="0" w:color="auto"/>
              <w:bottom w:val="single" w:sz="4" w:space="0" w:color="auto"/>
              <w:right w:val="single" w:sz="4" w:space="0" w:color="auto"/>
            </w:tcBorders>
            <w:vAlign w:val="center"/>
          </w:tcPr>
          <w:p w:rsidR="00422A79" w:rsidRPr="007440EB" w:rsidRDefault="00422A79" w:rsidP="003B4BCE">
            <w:pPr>
              <w:keepNext/>
              <w:spacing w:before="60" w:after="60"/>
            </w:pPr>
            <w:r>
              <w:t>Hazard ratio</w:t>
            </w:r>
            <w:r w:rsidRPr="007440EB">
              <w:t xml:space="preserve"> </w:t>
            </w:r>
            <w:r w:rsidRPr="004332B0">
              <w:rPr>
                <w:i/>
              </w:rPr>
              <w:t>versus</w:t>
            </w:r>
            <w:r w:rsidRPr="007440EB">
              <w:t xml:space="preserve"> placebo </w:t>
            </w:r>
            <w:r>
              <w:t>(CI)*</w:t>
            </w:r>
            <w:r w:rsidRPr="007440EB">
              <w:br/>
            </w:r>
            <w:r>
              <w:t>p</w:t>
            </w:r>
            <w:r w:rsidRPr="007440EB">
              <w:t>-værdi</w:t>
            </w:r>
          </w:p>
        </w:tc>
        <w:tc>
          <w:tcPr>
            <w:tcW w:w="1260" w:type="dxa"/>
            <w:tcBorders>
              <w:top w:val="single" w:sz="4" w:space="0" w:color="auto"/>
              <w:left w:val="single" w:sz="4" w:space="0" w:color="auto"/>
              <w:bottom w:val="single" w:sz="4" w:space="0" w:color="auto"/>
              <w:right w:val="single" w:sz="4" w:space="0" w:color="auto"/>
            </w:tcBorders>
            <w:vAlign w:val="center"/>
          </w:tcPr>
          <w:p w:rsidR="00422A79" w:rsidRPr="00981127" w:rsidRDefault="00422A79" w:rsidP="003B4BCE">
            <w:pPr>
              <w:keepNext/>
              <w:spacing w:before="60" w:after="60"/>
            </w:pPr>
            <w:r w:rsidRPr="00981127">
              <w:t>N/A</w:t>
            </w:r>
          </w:p>
        </w:tc>
        <w:tc>
          <w:tcPr>
            <w:tcW w:w="1620" w:type="dxa"/>
            <w:tcBorders>
              <w:top w:val="single" w:sz="4" w:space="0" w:color="auto"/>
              <w:left w:val="single" w:sz="4" w:space="0" w:color="auto"/>
              <w:bottom w:val="single" w:sz="4" w:space="0" w:color="auto"/>
              <w:right w:val="single" w:sz="4" w:space="0" w:color="auto"/>
            </w:tcBorders>
            <w:vAlign w:val="center"/>
          </w:tcPr>
          <w:p w:rsidR="00422A79" w:rsidRPr="00981127" w:rsidRDefault="00422A79" w:rsidP="003B4BCE">
            <w:pPr>
              <w:keepNext/>
              <w:spacing w:before="60" w:after="60"/>
            </w:pPr>
            <w:r>
              <w:t xml:space="preserve">0,879 </w:t>
            </w:r>
            <w:r>
              <w:br/>
              <w:t>(0,73; 1,06)</w:t>
            </w:r>
            <w:r>
              <w:br/>
              <w:t>0,</w:t>
            </w:r>
            <w:r w:rsidRPr="00981127">
              <w:t>180</w:t>
            </w:r>
          </w:p>
        </w:tc>
        <w:tc>
          <w:tcPr>
            <w:tcW w:w="1620" w:type="dxa"/>
            <w:tcBorders>
              <w:top w:val="single" w:sz="4" w:space="0" w:color="auto"/>
              <w:left w:val="single" w:sz="4" w:space="0" w:color="auto"/>
              <w:bottom w:val="single" w:sz="4" w:space="0" w:color="auto"/>
              <w:right w:val="single" w:sz="4" w:space="0" w:color="auto"/>
            </w:tcBorders>
            <w:vAlign w:val="center"/>
          </w:tcPr>
          <w:p w:rsidR="00422A79" w:rsidRPr="00981127" w:rsidRDefault="00422A79" w:rsidP="003B4BCE">
            <w:pPr>
              <w:keepNext/>
              <w:spacing w:before="60" w:after="60"/>
            </w:pPr>
            <w:r w:rsidRPr="00981127">
              <w:t>1</w:t>
            </w:r>
            <w:r>
              <w:t>,060</w:t>
            </w:r>
            <w:r>
              <w:br/>
              <w:t>(0,</w:t>
            </w:r>
            <w:r w:rsidRPr="00981127">
              <w:t>89</w:t>
            </w:r>
            <w:r>
              <w:t>;</w:t>
            </w:r>
            <w:r w:rsidRPr="00981127">
              <w:t xml:space="preserve"> 1</w:t>
            </w:r>
            <w:r>
              <w:t>,</w:t>
            </w:r>
            <w:r w:rsidRPr="00981127">
              <w:t>27)</w:t>
            </w:r>
            <w:r w:rsidRPr="00981127">
              <w:br/>
              <w:t>0</w:t>
            </w:r>
            <w:r>
              <w:t>,</w:t>
            </w:r>
            <w:r w:rsidRPr="00981127">
              <w:t>525</w:t>
            </w:r>
          </w:p>
        </w:tc>
        <w:tc>
          <w:tcPr>
            <w:tcW w:w="1620" w:type="dxa"/>
            <w:tcBorders>
              <w:top w:val="single" w:sz="4" w:space="0" w:color="auto"/>
              <w:left w:val="single" w:sz="4" w:space="0" w:color="auto"/>
              <w:bottom w:val="single" w:sz="4" w:space="0" w:color="auto"/>
              <w:right w:val="single" w:sz="4" w:space="0" w:color="auto"/>
            </w:tcBorders>
            <w:vAlign w:val="center"/>
          </w:tcPr>
          <w:p w:rsidR="00422A79" w:rsidRPr="00CB59E4" w:rsidRDefault="00422A79" w:rsidP="003B4BCE">
            <w:pPr>
              <w:keepNext/>
              <w:spacing w:before="60" w:after="60"/>
              <w:rPr>
                <w:vertAlign w:val="superscript"/>
              </w:rPr>
            </w:pPr>
            <w:r>
              <w:t>0,</w:t>
            </w:r>
            <w:r w:rsidRPr="00981127">
              <w:t>825</w:t>
            </w:r>
            <w:r w:rsidRPr="00981127">
              <w:br/>
              <w:t>(0</w:t>
            </w:r>
            <w:r>
              <w:t>,</w:t>
            </w:r>
            <w:r w:rsidRPr="00981127">
              <w:t>68</w:t>
            </w:r>
            <w:r>
              <w:t>;</w:t>
            </w:r>
            <w:r w:rsidRPr="00981127">
              <w:t xml:space="preserve"> 1</w:t>
            </w:r>
            <w:r>
              <w:t>,</w:t>
            </w:r>
            <w:r w:rsidRPr="00981127">
              <w:t>00</w:t>
            </w:r>
            <w:r>
              <w:t xml:space="preserve"> )</w:t>
            </w:r>
            <w:r>
              <w:br/>
              <w:t>0,</w:t>
            </w:r>
            <w:r w:rsidRPr="00981127">
              <w:t>052</w:t>
            </w:r>
            <w:r w:rsidRPr="00CB59E4">
              <w:rPr>
                <w:vertAlign w:val="superscript"/>
              </w:rPr>
              <w:t>1</w:t>
            </w:r>
          </w:p>
        </w:tc>
      </w:tr>
      <w:tr w:rsidR="00422A79" w:rsidRPr="00981127" w:rsidTr="003B4BCE">
        <w:tc>
          <w:tcPr>
            <w:tcW w:w="2088" w:type="dxa"/>
            <w:tcBorders>
              <w:top w:val="single" w:sz="4" w:space="0" w:color="auto"/>
              <w:left w:val="single" w:sz="4" w:space="0" w:color="auto"/>
              <w:bottom w:val="single" w:sz="4" w:space="0" w:color="auto"/>
              <w:right w:val="single" w:sz="4" w:space="0" w:color="auto"/>
            </w:tcBorders>
            <w:vAlign w:val="center"/>
          </w:tcPr>
          <w:p w:rsidR="00422A79" w:rsidRPr="007440EB" w:rsidRDefault="00422A79" w:rsidP="003B4BCE">
            <w:pPr>
              <w:keepNext/>
              <w:spacing w:before="60" w:after="60"/>
            </w:pPr>
            <w:r w:rsidRPr="007440EB">
              <w:t xml:space="preserve">Risiko ved Seretide 50/500 vs </w:t>
            </w:r>
            <w:r>
              <w:t>de enkelte stoffer (CI)*</w:t>
            </w:r>
            <w:r>
              <w:br/>
              <w:t>p-værdi</w:t>
            </w:r>
          </w:p>
        </w:tc>
        <w:tc>
          <w:tcPr>
            <w:tcW w:w="1260" w:type="dxa"/>
            <w:tcBorders>
              <w:top w:val="single" w:sz="4" w:space="0" w:color="auto"/>
              <w:left w:val="single" w:sz="4" w:space="0" w:color="auto"/>
              <w:bottom w:val="single" w:sz="4" w:space="0" w:color="auto"/>
              <w:right w:val="single" w:sz="4" w:space="0" w:color="auto"/>
            </w:tcBorders>
            <w:vAlign w:val="center"/>
          </w:tcPr>
          <w:p w:rsidR="00422A79" w:rsidRPr="00981127" w:rsidRDefault="00422A79" w:rsidP="003B4BCE">
            <w:pPr>
              <w:keepNext/>
              <w:spacing w:before="60" w:after="60"/>
            </w:pPr>
            <w:r w:rsidRPr="00981127">
              <w:t>N/A</w:t>
            </w:r>
          </w:p>
        </w:tc>
        <w:tc>
          <w:tcPr>
            <w:tcW w:w="1620" w:type="dxa"/>
            <w:tcBorders>
              <w:top w:val="single" w:sz="4" w:space="0" w:color="auto"/>
              <w:left w:val="single" w:sz="4" w:space="0" w:color="auto"/>
              <w:bottom w:val="single" w:sz="4" w:space="0" w:color="auto"/>
              <w:right w:val="single" w:sz="4" w:space="0" w:color="auto"/>
            </w:tcBorders>
            <w:vAlign w:val="center"/>
          </w:tcPr>
          <w:p w:rsidR="00422A79" w:rsidRPr="00981127" w:rsidRDefault="00422A79" w:rsidP="003B4BCE">
            <w:pPr>
              <w:keepNext/>
              <w:spacing w:before="60" w:after="60"/>
            </w:pPr>
            <w:r w:rsidRPr="00981127">
              <w:t>0</w:t>
            </w:r>
            <w:r>
              <w:t>,</w:t>
            </w:r>
            <w:r w:rsidRPr="00981127">
              <w:t xml:space="preserve">932 </w:t>
            </w:r>
            <w:r w:rsidRPr="00981127">
              <w:br/>
              <w:t>(0</w:t>
            </w:r>
            <w:r>
              <w:t>,</w:t>
            </w:r>
            <w:r w:rsidRPr="00981127">
              <w:t>77</w:t>
            </w:r>
            <w:r>
              <w:t>;</w:t>
            </w:r>
            <w:r w:rsidRPr="00981127">
              <w:t xml:space="preserve"> 1</w:t>
            </w:r>
            <w:r>
              <w:t>,</w:t>
            </w:r>
            <w:r w:rsidRPr="00981127">
              <w:t>13)</w:t>
            </w:r>
            <w:r w:rsidRPr="00981127">
              <w:br/>
              <w:t>0</w:t>
            </w:r>
            <w:r>
              <w:t>,</w:t>
            </w:r>
            <w:r w:rsidRPr="00981127">
              <w:t>481</w:t>
            </w:r>
          </w:p>
        </w:tc>
        <w:tc>
          <w:tcPr>
            <w:tcW w:w="1620" w:type="dxa"/>
            <w:tcBorders>
              <w:top w:val="single" w:sz="4" w:space="0" w:color="auto"/>
              <w:left w:val="single" w:sz="4" w:space="0" w:color="auto"/>
              <w:bottom w:val="single" w:sz="4" w:space="0" w:color="auto"/>
              <w:right w:val="single" w:sz="4" w:space="0" w:color="auto"/>
            </w:tcBorders>
            <w:vAlign w:val="center"/>
          </w:tcPr>
          <w:p w:rsidR="00422A79" w:rsidRPr="00981127" w:rsidRDefault="00422A79" w:rsidP="003B4BCE">
            <w:pPr>
              <w:keepNext/>
              <w:spacing w:before="60" w:after="60"/>
            </w:pPr>
            <w:r w:rsidRPr="00981127">
              <w:t>0</w:t>
            </w:r>
            <w:r>
              <w:t>,</w:t>
            </w:r>
            <w:r w:rsidRPr="00981127">
              <w:t>774</w:t>
            </w:r>
            <w:r w:rsidRPr="00981127">
              <w:br/>
              <w:t>(0</w:t>
            </w:r>
            <w:r>
              <w:t>,</w:t>
            </w:r>
            <w:r w:rsidRPr="00981127">
              <w:t>64</w:t>
            </w:r>
            <w:r>
              <w:t>;</w:t>
            </w:r>
            <w:r w:rsidRPr="00981127">
              <w:t xml:space="preserve"> 0</w:t>
            </w:r>
            <w:r>
              <w:t>,</w:t>
            </w:r>
            <w:r w:rsidRPr="00981127">
              <w:t>93)</w:t>
            </w:r>
            <w:r w:rsidRPr="00981127">
              <w:br/>
              <w:t>0</w:t>
            </w:r>
            <w:r>
              <w:t>,</w:t>
            </w:r>
            <w:r w:rsidRPr="00981127">
              <w:t>007</w:t>
            </w:r>
          </w:p>
        </w:tc>
        <w:tc>
          <w:tcPr>
            <w:tcW w:w="1620" w:type="dxa"/>
            <w:tcBorders>
              <w:top w:val="single" w:sz="4" w:space="0" w:color="auto"/>
              <w:left w:val="single" w:sz="4" w:space="0" w:color="auto"/>
              <w:bottom w:val="single" w:sz="4" w:space="0" w:color="auto"/>
              <w:right w:val="single" w:sz="4" w:space="0" w:color="auto"/>
            </w:tcBorders>
            <w:vAlign w:val="center"/>
          </w:tcPr>
          <w:p w:rsidR="00422A79" w:rsidRPr="00981127" w:rsidRDefault="00422A79" w:rsidP="003B4BCE">
            <w:pPr>
              <w:keepNext/>
              <w:spacing w:before="60" w:after="60"/>
            </w:pPr>
            <w:r w:rsidRPr="00981127">
              <w:t>N/A</w:t>
            </w:r>
          </w:p>
        </w:tc>
      </w:tr>
      <w:tr w:rsidR="00422A79" w:rsidRPr="00CB59E4" w:rsidTr="003B4BCE">
        <w:tc>
          <w:tcPr>
            <w:tcW w:w="8208" w:type="dxa"/>
            <w:gridSpan w:val="5"/>
            <w:tcBorders>
              <w:top w:val="single" w:sz="4" w:space="0" w:color="auto"/>
              <w:left w:val="nil"/>
              <w:bottom w:val="nil"/>
              <w:right w:val="nil"/>
            </w:tcBorders>
          </w:tcPr>
          <w:p w:rsidR="00422A79" w:rsidRPr="00CB59E4" w:rsidRDefault="00422A79" w:rsidP="003B4BCE">
            <w:pPr>
              <w:keepNext/>
              <w:spacing w:before="60" w:after="60"/>
              <w:rPr>
                <w:sz w:val="16"/>
                <w:szCs w:val="16"/>
              </w:rPr>
            </w:pPr>
            <w:r w:rsidRPr="00CB59E4">
              <w:rPr>
                <w:vertAlign w:val="superscript"/>
              </w:rPr>
              <w:t>1</w:t>
            </w:r>
            <w:r w:rsidRPr="00CB59E4">
              <w:rPr>
                <w:sz w:val="16"/>
                <w:szCs w:val="16"/>
              </w:rPr>
              <w:t>Ikke signifikant p-værdi justeret for 2 interimanalyser af den primære effektsammenligning i en log-rank analyse, hvor patienterne blev stratificeret ud fra deres rygerstatus.</w:t>
            </w:r>
          </w:p>
        </w:tc>
      </w:tr>
    </w:tbl>
    <w:p w:rsidR="00422A79" w:rsidRPr="002523D1" w:rsidRDefault="00422A79" w:rsidP="00422A79">
      <w:pPr>
        <w:keepNext/>
        <w:ind w:left="851"/>
        <w:rPr>
          <w:sz w:val="16"/>
          <w:szCs w:val="16"/>
        </w:rPr>
      </w:pPr>
      <w:r w:rsidRPr="002523D1">
        <w:rPr>
          <w:sz w:val="16"/>
          <w:szCs w:val="16"/>
        </w:rPr>
        <w:t>*Konfidensinterval</w:t>
      </w:r>
    </w:p>
    <w:p w:rsidR="00422A79" w:rsidRDefault="00422A79" w:rsidP="00422A79">
      <w:pPr>
        <w:ind w:left="851"/>
      </w:pPr>
    </w:p>
    <w:p w:rsidR="00422A79" w:rsidRPr="006A24B8" w:rsidRDefault="00422A79" w:rsidP="00422A79">
      <w:pPr>
        <w:ind w:left="851"/>
      </w:pPr>
      <w:r>
        <w:rPr>
          <w:bCs/>
        </w:rPr>
        <w:t>Der var en tendens til større</w:t>
      </w:r>
      <w:r w:rsidRPr="006A24B8">
        <w:rPr>
          <w:bCs/>
        </w:rPr>
        <w:t xml:space="preserve"> overlevelse hos de patienter, der blev behandlet med Sere</w:t>
      </w:r>
      <w:r>
        <w:rPr>
          <w:bCs/>
        </w:rPr>
        <w:t xml:space="preserve">tide i tre år, end hos </w:t>
      </w:r>
      <w:r w:rsidRPr="006A24B8">
        <w:rPr>
          <w:bCs/>
        </w:rPr>
        <w:t>patienter</w:t>
      </w:r>
      <w:r>
        <w:rPr>
          <w:bCs/>
        </w:rPr>
        <w:t>ne på</w:t>
      </w:r>
      <w:r w:rsidRPr="006A24B8">
        <w:rPr>
          <w:bCs/>
        </w:rPr>
        <w:t xml:space="preserve"> placebo,</w:t>
      </w:r>
      <w:r>
        <w:rPr>
          <w:bCs/>
        </w:rPr>
        <w:t xml:space="preserve"> men resultatet var ikke </w:t>
      </w:r>
      <w:r w:rsidRPr="006A24B8">
        <w:rPr>
          <w:bCs/>
        </w:rPr>
        <w:t>statistisk signifi</w:t>
      </w:r>
      <w:r>
        <w:rPr>
          <w:bCs/>
        </w:rPr>
        <w:t>kant</w:t>
      </w:r>
      <w:r w:rsidRPr="006A24B8">
        <w:rPr>
          <w:bCs/>
        </w:rPr>
        <w:t xml:space="preserve"> (</w:t>
      </w:r>
      <w:r w:rsidRPr="006A24B8">
        <w:t>p ≤ 0,05).</w:t>
      </w:r>
    </w:p>
    <w:p w:rsidR="00422A79" w:rsidRPr="006A24B8" w:rsidRDefault="00422A79" w:rsidP="00422A79">
      <w:pPr>
        <w:ind w:left="851"/>
      </w:pPr>
    </w:p>
    <w:p w:rsidR="00422A79" w:rsidRPr="006A24B8" w:rsidRDefault="00422A79" w:rsidP="00422A79">
      <w:pPr>
        <w:ind w:left="851"/>
      </w:pPr>
      <w:r w:rsidRPr="006A24B8">
        <w:t>Andelen af patienter, der inden tre år døde af KOL-relaterede årsager, var 6,0 % i placebo</w:t>
      </w:r>
      <w:r>
        <w:t xml:space="preserve">gruppen, 6,1 % i salmeterolgruppen, 6,9 % hos de patienter, der </w:t>
      </w:r>
      <w:r w:rsidRPr="006A24B8">
        <w:t>fik FP, og 4,7 % hos de patienter, der fik Seretide.</w:t>
      </w:r>
    </w:p>
    <w:p w:rsidR="00422A79" w:rsidRPr="006A24B8" w:rsidRDefault="00422A79" w:rsidP="00422A79">
      <w:pPr>
        <w:ind w:left="851"/>
      </w:pPr>
    </w:p>
    <w:p w:rsidR="00422A79" w:rsidRPr="006A24B8" w:rsidRDefault="00422A79" w:rsidP="00422A79">
      <w:pPr>
        <w:ind w:left="851"/>
      </w:pPr>
      <w:r w:rsidRPr="006A24B8">
        <w:t>Det gennemsnitlig</w:t>
      </w:r>
      <w:r>
        <w:t>e antal moderate til svære eksacerbationer pr. år blev</w:t>
      </w:r>
      <w:r w:rsidRPr="006A24B8">
        <w:t xml:space="preserve"> signifikant reduceret hos de patienter, der fik Seretide, sammenlignet med behandling med salmeterol, FP og placebo (gennem</w:t>
      </w:r>
      <w:r>
        <w:t>snitligt 0,85 i Seretide-</w:t>
      </w:r>
      <w:r w:rsidRPr="006A24B8">
        <w:t>gru</w:t>
      </w:r>
      <w:r>
        <w:t>ppen over for 0,97 i salmeterol-</w:t>
      </w:r>
      <w:r w:rsidRPr="006A24B8">
        <w:t>gruppen, 0,93 i FP-gruppen og 1,13 i placebogruppen). Dette svarer til en nedsat hyppighed i antal moderate til svære eksacerbationer på 25 % (95 % CI: 19-31 %; p &lt; 0,001) i sammenligning med placebo, 12 % over for salmeterol (95 % CI: 5-19 %, p = 0,002) og 9</w:t>
      </w:r>
      <w:r>
        <w:t> </w:t>
      </w:r>
      <w:r w:rsidRPr="006A24B8">
        <w:t>% over for FP (95 % CI: 1-16 %, p = 0,024). Hyppigheden af eksacerba</w:t>
      </w:r>
      <w:r>
        <w:t>tionerne blev signifikant reduceret</w:t>
      </w:r>
      <w:r w:rsidRPr="006A24B8">
        <w:t xml:space="preserve"> med salmeterol og FP i </w:t>
      </w:r>
      <w:r w:rsidRPr="006A24B8">
        <w:lastRenderedPageBreak/>
        <w:t>sammenligning med placebo: henholdsvis med 15 % (95 % CI: 7-22 %; p &lt; 0,001) og 18 % (95 % CI: 11-24 %; p &lt; 0,001).</w:t>
      </w:r>
    </w:p>
    <w:p w:rsidR="00422A79" w:rsidRPr="006A24B8" w:rsidRDefault="00422A79" w:rsidP="00422A79">
      <w:pPr>
        <w:ind w:left="851"/>
      </w:pPr>
      <w:r w:rsidRPr="006A24B8">
        <w:t xml:space="preserve"> </w:t>
      </w:r>
    </w:p>
    <w:p w:rsidR="00422A79" w:rsidRPr="006A24B8" w:rsidRDefault="00422A79" w:rsidP="00422A79">
      <w:pPr>
        <w:ind w:left="851"/>
      </w:pPr>
      <w:r w:rsidRPr="006A24B8">
        <w:t>Helbredsrelateret livskvalitet</w:t>
      </w:r>
      <w:r>
        <w:t xml:space="preserve"> blev</w:t>
      </w:r>
      <w:r w:rsidRPr="006A24B8">
        <w:t xml:space="preserve"> forbedret i alle behandlingsregimer over for placebo</w:t>
      </w:r>
      <w:r>
        <w:t xml:space="preserve"> målt ved</w:t>
      </w:r>
      <w:r w:rsidRPr="006A24B8">
        <w:t xml:space="preserve"> ”St. George’s Respiratory Questionnaire” </w:t>
      </w:r>
      <w:r>
        <w:t>(</w:t>
      </w:r>
      <w:r w:rsidRPr="006A24B8">
        <w:t>SGRQ</w:t>
      </w:r>
      <w:r>
        <w:t>).</w:t>
      </w:r>
      <w:r w:rsidRPr="006A24B8">
        <w:t xml:space="preserve"> Den gennemsnitlige forbedring ved behandling </w:t>
      </w:r>
      <w:r>
        <w:t>i</w:t>
      </w:r>
      <w:r w:rsidRPr="006A24B8">
        <w:t xml:space="preserve"> tre år med Seretide var i sammenligning med placebo -3,1 </w:t>
      </w:r>
      <w:r>
        <w:t>enheder</w:t>
      </w:r>
      <w:r w:rsidRPr="006A24B8">
        <w:t xml:space="preserve"> (</w:t>
      </w:r>
      <w:r>
        <w:t>95 % CI: -4,1- -2,1; p &lt; 0,001),</w:t>
      </w:r>
      <w:r w:rsidRPr="006A24B8">
        <w:t xml:space="preserve"> </w:t>
      </w:r>
      <w:r>
        <w:t xml:space="preserve">i sammenligning </w:t>
      </w:r>
      <w:r w:rsidRPr="006A24B8">
        <w:t>med salme</w:t>
      </w:r>
      <w:r>
        <w:t>terol -2,2 enheder</w:t>
      </w:r>
      <w:r w:rsidRPr="006A24B8">
        <w:t xml:space="preserve"> (p</w:t>
      </w:r>
      <w:r>
        <w:t> </w:t>
      </w:r>
      <w:r w:rsidRPr="006A24B8">
        <w:t xml:space="preserve">&lt; 0,001) og </w:t>
      </w:r>
      <w:r>
        <w:t xml:space="preserve">i sammenligning med FP </w:t>
      </w:r>
      <w:r>
        <w:noBreakHyphen/>
        <w:t>1.2 enheder</w:t>
      </w:r>
      <w:r w:rsidRPr="006A24B8">
        <w:t xml:space="preserve"> (p = 0,017). </w:t>
      </w:r>
      <w:r>
        <w:t>En reduktion på -4 enheder betragtes som klinisk relevant.</w:t>
      </w:r>
    </w:p>
    <w:p w:rsidR="00422A79" w:rsidRPr="006A24B8" w:rsidRDefault="00422A79" w:rsidP="00422A79">
      <w:pPr>
        <w:ind w:left="851"/>
      </w:pPr>
    </w:p>
    <w:p w:rsidR="00422A79" w:rsidRDefault="00422A79" w:rsidP="00422A79">
      <w:pPr>
        <w:ind w:left="851"/>
      </w:pPr>
      <w:r w:rsidRPr="006A24B8">
        <w:t>Estimeret sandsynlighed for i løbet af 3 år at få pneumoni indberettet som bivirkning var 12,3 % for placebo, 13,3 % for salmeterol, 18,3 % for FP og 19,6</w:t>
      </w:r>
      <w:r>
        <w:t xml:space="preserve"> </w:t>
      </w:r>
      <w:r w:rsidRPr="006A24B8">
        <w:t>% for Seretide (</w:t>
      </w:r>
      <w:r>
        <w:t xml:space="preserve">Hazard </w:t>
      </w:r>
    </w:p>
    <w:p w:rsidR="00422A79" w:rsidRDefault="00422A79" w:rsidP="00422A79">
      <w:pPr>
        <w:ind w:left="851"/>
      </w:pPr>
    </w:p>
    <w:p w:rsidR="00422A79" w:rsidRDefault="00422A79" w:rsidP="00422A79">
      <w:pPr>
        <w:ind w:left="851"/>
      </w:pPr>
      <w:r>
        <w:t>Ratio</w:t>
      </w:r>
      <w:r w:rsidRPr="006A24B8">
        <w:t xml:space="preserve"> ved Seretide i forhold til placebo: 1,64, 9</w:t>
      </w:r>
      <w:r>
        <w:t xml:space="preserve">5 % CI: 1,33-2,01, p &lt; 0,001). </w:t>
      </w:r>
      <w:r w:rsidRPr="006A24B8">
        <w:t>De</w:t>
      </w:r>
      <w:r>
        <w:t>r sås ingen stigning i pneumoni</w:t>
      </w:r>
      <w:r w:rsidRPr="006A24B8">
        <w:t>relaterede dødsfald; antal dødsfald</w:t>
      </w:r>
      <w:r>
        <w:t>,</w:t>
      </w:r>
      <w:r w:rsidRPr="006A24B8">
        <w:t xml:space="preserve"> hvor pneumoni blev anset for at være den primære årsag hos patienter, der </w:t>
      </w:r>
      <w:r>
        <w:t>fik</w:t>
      </w:r>
      <w:r w:rsidRPr="006A24B8">
        <w:t xml:space="preserve"> behandling i afprøvningen</w:t>
      </w:r>
      <w:r>
        <w:t>,</w:t>
      </w:r>
      <w:r w:rsidRPr="006A24B8">
        <w:t xml:space="preserve"> var 7 for placebo, 9 for salmeterol</w:t>
      </w:r>
      <w:r>
        <w:t xml:space="preserve">, 13 for FP og 8 for Seretide. </w:t>
      </w:r>
      <w:r w:rsidRPr="006A24B8">
        <w:t>Der sås ingen signifikant forskel i sandsynligheden for knoglefraktur</w:t>
      </w:r>
      <w:r>
        <w:t>er</w:t>
      </w:r>
      <w:r w:rsidRPr="006A24B8">
        <w:t xml:space="preserve"> (5,1 % ved placebo, 5,1 % ved salmeterol, 5,4 %  ved FP og 6,3 % </w:t>
      </w:r>
      <w:r>
        <w:t xml:space="preserve">ved </w:t>
      </w:r>
      <w:r w:rsidRPr="006A24B8">
        <w:t xml:space="preserve">Seretide; </w:t>
      </w:r>
      <w:r>
        <w:t>Hazard Ratio ved</w:t>
      </w:r>
      <w:r w:rsidRPr="006A24B8">
        <w:t xml:space="preserve"> Seretide </w:t>
      </w:r>
      <w:r w:rsidRPr="004332B0">
        <w:rPr>
          <w:i/>
        </w:rPr>
        <w:t>versus</w:t>
      </w:r>
      <w:r w:rsidRPr="006A24B8">
        <w:t xml:space="preserve"> placebo: 1</w:t>
      </w:r>
      <w:r>
        <w:t>,</w:t>
      </w:r>
      <w:r w:rsidRPr="006A24B8">
        <w:t>22, 95</w:t>
      </w:r>
      <w:r>
        <w:t> </w:t>
      </w:r>
      <w:r w:rsidRPr="006A24B8">
        <w:t>% CI: 0</w:t>
      </w:r>
      <w:r>
        <w:t>,</w:t>
      </w:r>
      <w:r w:rsidRPr="006A24B8">
        <w:t>87</w:t>
      </w:r>
      <w:r>
        <w:t>-</w:t>
      </w:r>
      <w:r w:rsidRPr="006A24B8">
        <w:t>1</w:t>
      </w:r>
      <w:r>
        <w:t>,</w:t>
      </w:r>
      <w:r w:rsidRPr="006A24B8">
        <w:t>72, p=0</w:t>
      </w:r>
      <w:r>
        <w:t>,</w:t>
      </w:r>
      <w:r w:rsidRPr="006A24B8">
        <w:t>248</w:t>
      </w:r>
      <w:r>
        <w:t>)</w:t>
      </w:r>
      <w:r w:rsidRPr="006A24B8">
        <w:t>.</w:t>
      </w:r>
    </w:p>
    <w:p w:rsidR="00422A79" w:rsidRPr="008A60D2" w:rsidRDefault="00422A79" w:rsidP="00422A79">
      <w:pPr>
        <w:ind w:left="851" w:hanging="851"/>
        <w:rPr>
          <w:szCs w:val="24"/>
        </w:rPr>
      </w:pPr>
    </w:p>
    <w:p w:rsidR="00422A79" w:rsidRPr="008A60D2" w:rsidRDefault="00422A79" w:rsidP="00422A79">
      <w:pPr>
        <w:numPr>
          <w:ilvl w:val="1"/>
          <w:numId w:val="7"/>
        </w:numPr>
        <w:tabs>
          <w:tab w:val="clear" w:pos="2159"/>
          <w:tab w:val="left" w:pos="851"/>
          <w:tab w:val="left" w:pos="993"/>
        </w:tabs>
        <w:ind w:hanging="2159"/>
        <w:rPr>
          <w:b/>
          <w:szCs w:val="24"/>
        </w:rPr>
      </w:pPr>
      <w:r w:rsidRPr="008A60D2">
        <w:rPr>
          <w:b/>
          <w:szCs w:val="24"/>
        </w:rPr>
        <w:t>Farmakokinetiske egenskaber</w:t>
      </w:r>
    </w:p>
    <w:p w:rsidR="00422A79" w:rsidRPr="008A60D2" w:rsidRDefault="00422A79" w:rsidP="00422A79">
      <w:pPr>
        <w:ind w:left="851" w:hanging="851"/>
        <w:rPr>
          <w:szCs w:val="24"/>
        </w:rPr>
      </w:pPr>
      <w:r w:rsidRPr="008A60D2">
        <w:rPr>
          <w:szCs w:val="24"/>
        </w:rPr>
        <w:tab/>
        <w:t>Da salmeterol virker lokalt i lungerne, er plasmakoncentrationer ikke en indikator for terapeutisk effekt. Derudover er der kun begrænsede oplysninger om salmeterols farmakokinetik, da det er teknisk vanskeligt at måle det aktive stof i plasma på grund af de lave plasmakoncentrationer (ca. 200 pikogram/ml eller mindre) ved inhalation i terapeutiske doser.</w:t>
      </w:r>
    </w:p>
    <w:p w:rsidR="00422A79" w:rsidRPr="008A60D2" w:rsidRDefault="00422A79" w:rsidP="00422A79">
      <w:pPr>
        <w:ind w:left="851" w:hanging="851"/>
        <w:rPr>
          <w:szCs w:val="24"/>
        </w:rPr>
      </w:pPr>
    </w:p>
    <w:p w:rsidR="00422A79" w:rsidRPr="008A60D2" w:rsidRDefault="00422A79" w:rsidP="00422A79">
      <w:pPr>
        <w:numPr>
          <w:ilvl w:val="1"/>
          <w:numId w:val="8"/>
        </w:numPr>
        <w:tabs>
          <w:tab w:val="clear" w:pos="855"/>
        </w:tabs>
        <w:ind w:left="851" w:hanging="851"/>
        <w:rPr>
          <w:b/>
          <w:szCs w:val="24"/>
        </w:rPr>
      </w:pPr>
      <w:r w:rsidRPr="008A60D2">
        <w:rPr>
          <w:b/>
          <w:szCs w:val="24"/>
        </w:rPr>
        <w:t>Prækliniske sikkerhedsdata</w:t>
      </w:r>
    </w:p>
    <w:p w:rsidR="00422A79" w:rsidRPr="008A60D2" w:rsidRDefault="00422A79" w:rsidP="00422A79">
      <w:pPr>
        <w:ind w:left="851" w:hanging="851"/>
        <w:rPr>
          <w:szCs w:val="24"/>
        </w:rPr>
      </w:pPr>
      <w:r w:rsidRPr="008A60D2">
        <w:rPr>
          <w:szCs w:val="24"/>
        </w:rPr>
        <w:tab/>
        <w:t>De eneste kliniske relevante</w:t>
      </w:r>
      <w:r>
        <w:rPr>
          <w:szCs w:val="24"/>
        </w:rPr>
        <w:t xml:space="preserve"> fund</w:t>
      </w:r>
      <w:r w:rsidRPr="008A60D2">
        <w:rPr>
          <w:szCs w:val="24"/>
        </w:rPr>
        <w:t>, der kunne ses i dyre</w:t>
      </w:r>
      <w:r>
        <w:rPr>
          <w:szCs w:val="24"/>
        </w:rPr>
        <w:t>studier</w:t>
      </w:r>
      <w:r w:rsidRPr="008A60D2">
        <w:rPr>
          <w:szCs w:val="24"/>
        </w:rPr>
        <w:t xml:space="preserve">, var </w:t>
      </w:r>
      <w:r>
        <w:rPr>
          <w:szCs w:val="24"/>
        </w:rPr>
        <w:t>virkninger forbundet med overdreven farmakologisk aktivitet</w:t>
      </w:r>
      <w:r w:rsidRPr="008A60D2">
        <w:rPr>
          <w:szCs w:val="24"/>
        </w:rPr>
        <w:t>.</w:t>
      </w:r>
    </w:p>
    <w:p w:rsidR="00422A79" w:rsidRPr="008A60D2" w:rsidRDefault="00422A79" w:rsidP="00422A79">
      <w:pPr>
        <w:ind w:left="851" w:hanging="851"/>
        <w:rPr>
          <w:szCs w:val="24"/>
        </w:rPr>
      </w:pPr>
    </w:p>
    <w:p w:rsidR="00422A79" w:rsidRPr="008A60D2" w:rsidRDefault="00422A79" w:rsidP="00422A79">
      <w:pPr>
        <w:ind w:left="851"/>
        <w:rPr>
          <w:szCs w:val="24"/>
        </w:rPr>
      </w:pPr>
      <w:r w:rsidRPr="008A60D2">
        <w:rPr>
          <w:szCs w:val="24"/>
        </w:rPr>
        <w:t>I reproduktions- og toksicitetsundersøgelser med salmeterolxinafoat</w:t>
      </w:r>
      <w:r>
        <w:rPr>
          <w:szCs w:val="24"/>
        </w:rPr>
        <w:t>,</w:t>
      </w:r>
      <w:r w:rsidRPr="008A60D2">
        <w:rPr>
          <w:szCs w:val="24"/>
        </w:rPr>
        <w:t xml:space="preserve"> sås der ingen påvirkning hos rotter. Hos kaniner forekom der typiske</w:t>
      </w:r>
      <w:r w:rsidRPr="008A60D2">
        <w:rPr>
          <w:b/>
          <w:szCs w:val="24"/>
        </w:rPr>
        <w:t xml:space="preserve"> </w:t>
      </w:r>
      <w:r>
        <w:rPr>
          <w:szCs w:val="24"/>
        </w:rPr>
        <w:t>beta</w:t>
      </w:r>
      <w:r w:rsidRPr="008A60D2">
        <w:rPr>
          <w:szCs w:val="24"/>
          <w:vertAlign w:val="subscript"/>
        </w:rPr>
        <w:t>2</w:t>
      </w:r>
      <w:r w:rsidRPr="008A60D2">
        <w:rPr>
          <w:szCs w:val="24"/>
        </w:rPr>
        <w:t xml:space="preserve">-agonistvirkninger på fostret (ganespalte, præmaturt åbne øjenlåg og knogledeformiteter) ved høje doser (ca. 20 gange den maksimalt anbefalede dosis til </w:t>
      </w:r>
      <w:r>
        <w:rPr>
          <w:szCs w:val="24"/>
        </w:rPr>
        <w:t>mennesker</w:t>
      </w:r>
      <w:r w:rsidRPr="008A60D2">
        <w:rPr>
          <w:szCs w:val="24"/>
        </w:rPr>
        <w:t>, baseret på AUC-sammenligninger).</w:t>
      </w:r>
    </w:p>
    <w:p w:rsidR="00422A79" w:rsidRPr="008A60D2" w:rsidRDefault="00422A79" w:rsidP="00422A79">
      <w:pPr>
        <w:ind w:left="851" w:hanging="851"/>
        <w:rPr>
          <w:szCs w:val="24"/>
        </w:rPr>
      </w:pPr>
    </w:p>
    <w:p w:rsidR="00422A79" w:rsidRPr="008A60D2" w:rsidRDefault="00422A79" w:rsidP="00422A79">
      <w:pPr>
        <w:ind w:left="851"/>
        <w:rPr>
          <w:szCs w:val="24"/>
        </w:rPr>
      </w:pPr>
      <w:r w:rsidRPr="008A60D2">
        <w:rPr>
          <w:szCs w:val="24"/>
        </w:rPr>
        <w:t>I en serie standard-genotoksicitetsundersøgelser sås der ingen toksicitet</w:t>
      </w:r>
      <w:r>
        <w:rPr>
          <w:szCs w:val="24"/>
        </w:rPr>
        <w:t xml:space="preserve"> af salmeterolxinafoat</w:t>
      </w:r>
      <w:r w:rsidRPr="008A60D2">
        <w:rPr>
          <w:szCs w:val="24"/>
        </w:rPr>
        <w:t>.</w:t>
      </w:r>
    </w:p>
    <w:p w:rsidR="00422A79" w:rsidRPr="008A60D2" w:rsidRDefault="00422A79" w:rsidP="00422A79">
      <w:pPr>
        <w:ind w:left="851" w:hanging="851"/>
        <w:rPr>
          <w:szCs w:val="24"/>
        </w:rPr>
      </w:pPr>
    </w:p>
    <w:p w:rsidR="00422A79" w:rsidRDefault="00422A79" w:rsidP="00422A79">
      <w:pPr>
        <w:ind w:left="851"/>
        <w:rPr>
          <w:szCs w:val="24"/>
        </w:rPr>
      </w:pPr>
      <w:r w:rsidRPr="008A60D2">
        <w:rPr>
          <w:szCs w:val="24"/>
        </w:rPr>
        <w:t xml:space="preserve">Det er blevet påvist ved daglig anvendelse i </w:t>
      </w:r>
      <w:r>
        <w:rPr>
          <w:szCs w:val="24"/>
        </w:rPr>
        <w:t xml:space="preserve">perioder op til </w:t>
      </w:r>
      <w:r w:rsidRPr="008A60D2">
        <w:rPr>
          <w:szCs w:val="24"/>
        </w:rPr>
        <w:t>to år på en lang række dyrearter, at det cfc-frie drivmiddel, norfluran, ikke har nogen toksisk effekt, heller ikke på reproduktionsevne eller fosterudvikling, selv ved langt højere forstøvningskoncentrationer, end patienter sandsynligvis nogensinde vil få det.</w:t>
      </w:r>
    </w:p>
    <w:p w:rsidR="00422A79" w:rsidRDefault="00422A79" w:rsidP="00422A79">
      <w:pPr>
        <w:ind w:left="851"/>
        <w:rPr>
          <w:szCs w:val="24"/>
        </w:rPr>
      </w:pPr>
    </w:p>
    <w:p w:rsidR="00422A79" w:rsidRPr="008A60D2" w:rsidRDefault="00422A79" w:rsidP="00422A79">
      <w:pPr>
        <w:ind w:left="851"/>
        <w:rPr>
          <w:b/>
          <w:szCs w:val="24"/>
        </w:rPr>
      </w:pPr>
    </w:p>
    <w:p w:rsidR="00422A79" w:rsidRPr="008A60D2" w:rsidRDefault="00422A79" w:rsidP="00422A79">
      <w:pPr>
        <w:tabs>
          <w:tab w:val="left" w:pos="851"/>
        </w:tabs>
        <w:rPr>
          <w:b/>
          <w:szCs w:val="24"/>
        </w:rPr>
      </w:pPr>
      <w:r>
        <w:rPr>
          <w:b/>
          <w:szCs w:val="24"/>
        </w:rPr>
        <w:t>6.</w:t>
      </w:r>
      <w:r>
        <w:rPr>
          <w:b/>
          <w:szCs w:val="24"/>
        </w:rPr>
        <w:tab/>
      </w:r>
      <w:r w:rsidRPr="008A60D2">
        <w:rPr>
          <w:b/>
          <w:szCs w:val="24"/>
        </w:rPr>
        <w:t>FARMACEUTISKE OPLYSNINGER</w:t>
      </w:r>
    </w:p>
    <w:p w:rsidR="00422A79" w:rsidRPr="008A60D2" w:rsidRDefault="00422A79" w:rsidP="00422A79">
      <w:pPr>
        <w:ind w:left="851" w:hanging="851"/>
        <w:rPr>
          <w:b/>
          <w:szCs w:val="24"/>
        </w:rPr>
      </w:pPr>
    </w:p>
    <w:p w:rsidR="00422A79" w:rsidRPr="008A60D2" w:rsidRDefault="00422A79" w:rsidP="00422A79">
      <w:pPr>
        <w:numPr>
          <w:ilvl w:val="1"/>
          <w:numId w:val="9"/>
        </w:numPr>
        <w:tabs>
          <w:tab w:val="clear" w:pos="855"/>
        </w:tabs>
        <w:ind w:left="851" w:hanging="851"/>
        <w:rPr>
          <w:b/>
          <w:szCs w:val="24"/>
        </w:rPr>
      </w:pPr>
      <w:r w:rsidRPr="008A60D2">
        <w:rPr>
          <w:b/>
          <w:szCs w:val="24"/>
        </w:rPr>
        <w:t>Hjælpestoffer</w:t>
      </w:r>
    </w:p>
    <w:p w:rsidR="00422A79" w:rsidRPr="00A456CA" w:rsidRDefault="00422A79" w:rsidP="00422A79">
      <w:pPr>
        <w:ind w:firstLine="851"/>
      </w:pPr>
      <w:r w:rsidRPr="00A456CA">
        <w:t>Norfluran (HFA 134a), hydrofluoroalkan, cfc-frit drivmiddel</w:t>
      </w:r>
    </w:p>
    <w:p w:rsidR="00422A79" w:rsidRPr="00A456CA" w:rsidRDefault="00422A79" w:rsidP="00422A79"/>
    <w:p w:rsidR="00422A79" w:rsidRPr="008A60D2" w:rsidRDefault="00422A79" w:rsidP="00422A79">
      <w:pPr>
        <w:numPr>
          <w:ilvl w:val="1"/>
          <w:numId w:val="9"/>
        </w:numPr>
        <w:tabs>
          <w:tab w:val="clear" w:pos="855"/>
        </w:tabs>
        <w:ind w:left="851" w:hanging="851"/>
        <w:rPr>
          <w:b/>
          <w:szCs w:val="24"/>
        </w:rPr>
      </w:pPr>
      <w:r w:rsidRPr="008A60D2">
        <w:rPr>
          <w:b/>
          <w:szCs w:val="24"/>
        </w:rPr>
        <w:t>Uforligeligheder</w:t>
      </w:r>
    </w:p>
    <w:p w:rsidR="00422A79" w:rsidRPr="008A60D2" w:rsidRDefault="00422A79" w:rsidP="00422A79">
      <w:pPr>
        <w:ind w:left="851"/>
        <w:rPr>
          <w:szCs w:val="24"/>
        </w:rPr>
      </w:pPr>
      <w:r w:rsidRPr="008A60D2">
        <w:rPr>
          <w:szCs w:val="24"/>
        </w:rPr>
        <w:t>Ikke relevant.</w:t>
      </w:r>
    </w:p>
    <w:p w:rsidR="00422A79" w:rsidRPr="008A60D2" w:rsidRDefault="00422A79" w:rsidP="00422A79">
      <w:pPr>
        <w:ind w:left="851" w:hanging="851"/>
        <w:rPr>
          <w:szCs w:val="24"/>
        </w:rPr>
      </w:pPr>
    </w:p>
    <w:p w:rsidR="00422A79" w:rsidRPr="008A60D2" w:rsidRDefault="00422A79" w:rsidP="00422A79">
      <w:pPr>
        <w:numPr>
          <w:ilvl w:val="1"/>
          <w:numId w:val="9"/>
        </w:numPr>
        <w:tabs>
          <w:tab w:val="clear" w:pos="855"/>
        </w:tabs>
        <w:ind w:left="851" w:hanging="851"/>
        <w:rPr>
          <w:b/>
          <w:szCs w:val="24"/>
        </w:rPr>
      </w:pPr>
      <w:r w:rsidRPr="008A60D2">
        <w:rPr>
          <w:b/>
          <w:szCs w:val="24"/>
        </w:rPr>
        <w:t>Opbevaringstid</w:t>
      </w:r>
    </w:p>
    <w:p w:rsidR="00422A79" w:rsidRPr="008A60D2" w:rsidRDefault="00422A79" w:rsidP="00422A79">
      <w:pPr>
        <w:ind w:left="851"/>
        <w:rPr>
          <w:szCs w:val="24"/>
        </w:rPr>
      </w:pPr>
      <w:r w:rsidRPr="008A60D2">
        <w:rPr>
          <w:szCs w:val="24"/>
        </w:rPr>
        <w:t>2 år.</w:t>
      </w:r>
    </w:p>
    <w:p w:rsidR="00422A79" w:rsidRPr="008A60D2" w:rsidRDefault="00422A79" w:rsidP="00422A79">
      <w:pPr>
        <w:ind w:left="851" w:hanging="851"/>
        <w:rPr>
          <w:szCs w:val="24"/>
        </w:rPr>
      </w:pPr>
    </w:p>
    <w:p w:rsidR="00422A79" w:rsidRPr="008A60D2" w:rsidRDefault="00422A79" w:rsidP="00422A79">
      <w:pPr>
        <w:numPr>
          <w:ilvl w:val="1"/>
          <w:numId w:val="9"/>
        </w:numPr>
        <w:tabs>
          <w:tab w:val="clear" w:pos="855"/>
        </w:tabs>
        <w:ind w:left="851" w:hanging="851"/>
        <w:rPr>
          <w:b/>
          <w:szCs w:val="24"/>
        </w:rPr>
      </w:pPr>
      <w:r w:rsidRPr="008A60D2">
        <w:rPr>
          <w:b/>
          <w:szCs w:val="24"/>
        </w:rPr>
        <w:lastRenderedPageBreak/>
        <w:t>Særlige opbevaringsforhold</w:t>
      </w:r>
    </w:p>
    <w:p w:rsidR="00422A79" w:rsidRDefault="00422A79" w:rsidP="00422A79">
      <w:pPr>
        <w:ind w:firstLine="851"/>
      </w:pPr>
      <w:r>
        <w:t>Beskyttelseshætten sættes på med et klik.</w:t>
      </w:r>
    </w:p>
    <w:p w:rsidR="00C27746" w:rsidRDefault="00C27746" w:rsidP="00C27746">
      <w:pPr>
        <w:ind w:left="851"/>
      </w:pPr>
      <w:r w:rsidRPr="00A456CA">
        <w:t xml:space="preserve">Må ikke opbevares </w:t>
      </w:r>
      <w:r>
        <w:t xml:space="preserve">ved temperaturer </w:t>
      </w:r>
      <w:r w:rsidRPr="00A456CA">
        <w:t xml:space="preserve">over 30 </w:t>
      </w:r>
      <w:r w:rsidRPr="00A456CA">
        <w:sym w:font="Symbol" w:char="F0B0"/>
      </w:r>
      <w:r w:rsidRPr="00A456CA">
        <w:t>C.</w:t>
      </w:r>
    </w:p>
    <w:p w:rsidR="00C27746" w:rsidRDefault="00C27746" w:rsidP="00C27746">
      <w:pPr>
        <w:ind w:left="851"/>
      </w:pPr>
      <w:r w:rsidRPr="00C27746">
        <w:t>Opbevares i original emballage for at beskytte mod lys, må ikke fryses.</w:t>
      </w:r>
    </w:p>
    <w:p w:rsidR="00C27746" w:rsidRPr="00A456CA" w:rsidRDefault="00C27746" w:rsidP="00C27746">
      <w:pPr>
        <w:ind w:left="851"/>
      </w:pPr>
    </w:p>
    <w:p w:rsidR="00C27746" w:rsidRPr="00A456CA" w:rsidRDefault="00C27746" w:rsidP="00C27746">
      <w:pPr>
        <w:ind w:firstLine="851"/>
      </w:pPr>
      <w:r>
        <w:t>Beholder</w:t>
      </w:r>
      <w:r w:rsidRPr="00A456CA">
        <w:t xml:space="preserve"> under tryk. Må ikke udsættes for højere temperatur end 50</w:t>
      </w:r>
      <w:r>
        <w:t> </w:t>
      </w:r>
      <w:r w:rsidRPr="00A456CA">
        <w:sym w:font="Symbol" w:char="F0B0"/>
      </w:r>
      <w:r w:rsidRPr="00A456CA">
        <w:t>C.</w:t>
      </w:r>
    </w:p>
    <w:p w:rsidR="00C27746" w:rsidRDefault="00C27746" w:rsidP="00C27746">
      <w:pPr>
        <w:ind w:firstLine="851"/>
      </w:pPr>
      <w:r w:rsidRPr="00A456CA">
        <w:t>Trykbeholderen må ikke punkteres eller brændes, heller ikke når den er tømt.</w:t>
      </w:r>
    </w:p>
    <w:p w:rsidR="00422A79" w:rsidRPr="00A456CA" w:rsidRDefault="00422A79" w:rsidP="00422A79"/>
    <w:p w:rsidR="00422A79" w:rsidRPr="008A60D2" w:rsidRDefault="00422A79" w:rsidP="00422A79">
      <w:pPr>
        <w:numPr>
          <w:ilvl w:val="1"/>
          <w:numId w:val="9"/>
        </w:numPr>
        <w:tabs>
          <w:tab w:val="clear" w:pos="855"/>
        </w:tabs>
        <w:ind w:left="851" w:hanging="851"/>
        <w:rPr>
          <w:b/>
          <w:szCs w:val="24"/>
        </w:rPr>
      </w:pPr>
      <w:r w:rsidRPr="008A60D2">
        <w:rPr>
          <w:b/>
          <w:szCs w:val="24"/>
        </w:rPr>
        <w:t>Emballage</w:t>
      </w:r>
      <w:r>
        <w:rPr>
          <w:b/>
          <w:szCs w:val="24"/>
        </w:rPr>
        <w:t>typer og pakningsstørrelser</w:t>
      </w:r>
    </w:p>
    <w:p w:rsidR="00422A79" w:rsidRPr="008A60D2" w:rsidRDefault="00422A79" w:rsidP="00422A79">
      <w:pPr>
        <w:suppressAutoHyphens/>
        <w:ind w:left="851" w:hanging="851"/>
        <w:rPr>
          <w:szCs w:val="24"/>
        </w:rPr>
      </w:pPr>
      <w:r w:rsidRPr="008A60D2">
        <w:rPr>
          <w:szCs w:val="24"/>
        </w:rPr>
        <w:tab/>
      </w:r>
      <w:r w:rsidRPr="008A60D2">
        <w:rPr>
          <w:spacing w:val="-3"/>
          <w:szCs w:val="24"/>
        </w:rPr>
        <w:t xml:space="preserve">Suspensionen er i en indvendigt lakeret, 8 ml trykbeholder i aluminium, forseglet med doseringsventil. Beholderen er monteret i </w:t>
      </w:r>
      <w:r>
        <w:rPr>
          <w:spacing w:val="-3"/>
          <w:szCs w:val="24"/>
        </w:rPr>
        <w:t xml:space="preserve">et </w:t>
      </w:r>
      <w:r w:rsidRPr="008A60D2">
        <w:rPr>
          <w:spacing w:val="-3"/>
          <w:szCs w:val="24"/>
        </w:rPr>
        <w:t>plasthylster med mundstykke og beskyttelseshætte. En inhalationsspray indeholder 120 doser.</w:t>
      </w:r>
    </w:p>
    <w:p w:rsidR="00422A79" w:rsidRPr="008A60D2" w:rsidRDefault="00422A79" w:rsidP="00422A79">
      <w:pPr>
        <w:ind w:left="851" w:hanging="851"/>
        <w:rPr>
          <w:szCs w:val="24"/>
        </w:rPr>
      </w:pPr>
    </w:p>
    <w:p w:rsidR="00422A79" w:rsidRPr="008A60D2" w:rsidRDefault="00422A79" w:rsidP="00422A79">
      <w:pPr>
        <w:numPr>
          <w:ilvl w:val="1"/>
          <w:numId w:val="9"/>
        </w:numPr>
        <w:tabs>
          <w:tab w:val="clear" w:pos="855"/>
        </w:tabs>
        <w:ind w:left="851" w:hanging="851"/>
        <w:rPr>
          <w:b/>
          <w:szCs w:val="24"/>
        </w:rPr>
      </w:pPr>
      <w:r>
        <w:rPr>
          <w:b/>
          <w:szCs w:val="24"/>
        </w:rPr>
        <w:t>Regler for destruktion og anden håndtering</w:t>
      </w:r>
    </w:p>
    <w:p w:rsidR="00422A79" w:rsidRPr="008A60D2" w:rsidRDefault="00422A79" w:rsidP="00422A79">
      <w:pPr>
        <w:ind w:left="851" w:hanging="851"/>
        <w:rPr>
          <w:szCs w:val="24"/>
        </w:rPr>
      </w:pPr>
      <w:r w:rsidRPr="008A60D2">
        <w:rPr>
          <w:szCs w:val="24"/>
        </w:rPr>
        <w:tab/>
        <w:t>I</w:t>
      </w:r>
      <w:r>
        <w:rPr>
          <w:szCs w:val="24"/>
        </w:rPr>
        <w:t>kke anvendt lægemiddel samt affald heraf skal bortskaffes i henhold til lokale retningslinjer.</w:t>
      </w:r>
    </w:p>
    <w:p w:rsidR="00422A79" w:rsidRPr="008A60D2" w:rsidRDefault="00422A79" w:rsidP="00422A79">
      <w:pPr>
        <w:suppressAutoHyphens/>
        <w:ind w:left="851" w:hanging="851"/>
        <w:rPr>
          <w:szCs w:val="24"/>
        </w:rPr>
      </w:pPr>
    </w:p>
    <w:p w:rsidR="00422A79" w:rsidRPr="008A60D2" w:rsidRDefault="00422A79" w:rsidP="00422A79">
      <w:pPr>
        <w:ind w:left="851" w:hanging="851"/>
        <w:rPr>
          <w:b/>
          <w:szCs w:val="24"/>
        </w:rPr>
      </w:pPr>
      <w:r w:rsidRPr="008A60D2">
        <w:rPr>
          <w:b/>
          <w:szCs w:val="24"/>
        </w:rPr>
        <w:t>7.</w:t>
      </w:r>
      <w:r w:rsidRPr="008A60D2">
        <w:rPr>
          <w:b/>
          <w:szCs w:val="24"/>
        </w:rPr>
        <w:tab/>
        <w:t>INDEHAVER AF MARKEDSFØRINGSTILLADELSEN</w:t>
      </w:r>
    </w:p>
    <w:p w:rsidR="00D93BE6" w:rsidRPr="002F2B9C" w:rsidRDefault="00D93BE6" w:rsidP="00D93BE6">
      <w:pPr>
        <w:ind w:left="851"/>
        <w:rPr>
          <w:lang w:eastAsia="da-DK"/>
        </w:rPr>
      </w:pPr>
      <w:r w:rsidRPr="002F2B9C">
        <w:rPr>
          <w:lang w:eastAsia="da-DK"/>
        </w:rPr>
        <w:t>2care4 ApS</w:t>
      </w:r>
    </w:p>
    <w:p w:rsidR="00D93BE6" w:rsidRPr="002F2B9C" w:rsidRDefault="00D93BE6" w:rsidP="00D93BE6">
      <w:pPr>
        <w:ind w:left="851"/>
        <w:rPr>
          <w:lang w:eastAsia="da-DK"/>
        </w:rPr>
      </w:pPr>
      <w:r>
        <w:rPr>
          <w:lang w:eastAsia="da-DK"/>
        </w:rPr>
        <w:t>Stenhuggervej 12</w:t>
      </w:r>
    </w:p>
    <w:p w:rsidR="00D93BE6" w:rsidRPr="002F2B9C" w:rsidRDefault="00D93BE6" w:rsidP="00D93BE6">
      <w:pPr>
        <w:ind w:left="851"/>
        <w:rPr>
          <w:lang w:eastAsia="da-DK"/>
        </w:rPr>
      </w:pPr>
      <w:r w:rsidRPr="002F2B9C">
        <w:rPr>
          <w:lang w:eastAsia="da-DK"/>
        </w:rPr>
        <w:t>6710 Esbjerg V</w:t>
      </w:r>
    </w:p>
    <w:p w:rsidR="00D93BE6" w:rsidRDefault="00D93BE6"/>
    <w:p w:rsidR="00422A79" w:rsidRPr="008A60D2" w:rsidRDefault="00422A79" w:rsidP="00422A79">
      <w:pPr>
        <w:ind w:left="851" w:hanging="851"/>
        <w:rPr>
          <w:b/>
          <w:szCs w:val="24"/>
        </w:rPr>
      </w:pPr>
      <w:r w:rsidRPr="008A60D2">
        <w:rPr>
          <w:b/>
          <w:szCs w:val="24"/>
        </w:rPr>
        <w:t>8.</w:t>
      </w:r>
      <w:r w:rsidRPr="008A60D2">
        <w:rPr>
          <w:b/>
          <w:szCs w:val="24"/>
        </w:rPr>
        <w:tab/>
        <w:t>MARKEDSFØRINGSTILLADELSESNUMMER</w:t>
      </w:r>
      <w:r>
        <w:rPr>
          <w:b/>
          <w:szCs w:val="24"/>
        </w:rPr>
        <w:t xml:space="preserve"> (NUMRE)</w:t>
      </w:r>
    </w:p>
    <w:p w:rsidR="00422A79" w:rsidRPr="008A60D2" w:rsidRDefault="00422A79" w:rsidP="00422A79">
      <w:pPr>
        <w:ind w:left="851" w:hanging="851"/>
        <w:rPr>
          <w:szCs w:val="24"/>
        </w:rPr>
      </w:pPr>
      <w:r w:rsidRPr="008A60D2">
        <w:rPr>
          <w:szCs w:val="24"/>
        </w:rPr>
        <w:tab/>
      </w:r>
      <w:r w:rsidR="00D93BE6" w:rsidRPr="00D93BE6">
        <w:rPr>
          <w:szCs w:val="24"/>
        </w:rPr>
        <w:t>63304</w:t>
      </w:r>
    </w:p>
    <w:p w:rsidR="00422A79" w:rsidRPr="008A60D2" w:rsidRDefault="00422A79" w:rsidP="00422A79">
      <w:pPr>
        <w:ind w:left="851" w:hanging="851"/>
        <w:jc w:val="both"/>
        <w:rPr>
          <w:szCs w:val="24"/>
        </w:rPr>
      </w:pPr>
    </w:p>
    <w:p w:rsidR="00422A79" w:rsidRPr="008A60D2" w:rsidRDefault="00422A79" w:rsidP="00422A79">
      <w:pPr>
        <w:ind w:left="851" w:hanging="851"/>
        <w:rPr>
          <w:b/>
          <w:szCs w:val="24"/>
        </w:rPr>
      </w:pPr>
      <w:r w:rsidRPr="008A60D2">
        <w:rPr>
          <w:b/>
          <w:szCs w:val="24"/>
        </w:rPr>
        <w:t>9.</w:t>
      </w:r>
      <w:r w:rsidRPr="008A60D2">
        <w:rPr>
          <w:b/>
          <w:szCs w:val="24"/>
        </w:rPr>
        <w:tab/>
        <w:t>DATO FOR FØRSTE MARKEDSFØRINGSTILLADELSE</w:t>
      </w:r>
    </w:p>
    <w:p w:rsidR="00422A79" w:rsidRPr="00A456CA" w:rsidRDefault="00422A79" w:rsidP="00422A79">
      <w:pPr>
        <w:ind w:left="851" w:hanging="851"/>
        <w:rPr>
          <w:szCs w:val="24"/>
        </w:rPr>
      </w:pPr>
      <w:r w:rsidRPr="008A60D2">
        <w:rPr>
          <w:szCs w:val="24"/>
        </w:rPr>
        <w:tab/>
      </w:r>
      <w:r w:rsidR="00D93BE6">
        <w:rPr>
          <w:szCs w:val="24"/>
        </w:rPr>
        <w:t>27. februar 2020</w:t>
      </w:r>
    </w:p>
    <w:p w:rsidR="00422A79" w:rsidRPr="008A60D2" w:rsidRDefault="00422A79" w:rsidP="00422A79">
      <w:pPr>
        <w:ind w:left="851" w:hanging="851"/>
        <w:rPr>
          <w:szCs w:val="24"/>
        </w:rPr>
      </w:pPr>
    </w:p>
    <w:p w:rsidR="00422A79" w:rsidRPr="008A60D2" w:rsidRDefault="00422A79" w:rsidP="00422A79">
      <w:pPr>
        <w:ind w:left="851" w:hanging="851"/>
        <w:rPr>
          <w:b/>
          <w:szCs w:val="24"/>
        </w:rPr>
      </w:pPr>
      <w:r w:rsidRPr="008A60D2">
        <w:rPr>
          <w:b/>
          <w:szCs w:val="24"/>
        </w:rPr>
        <w:t>10.</w:t>
      </w:r>
      <w:r w:rsidRPr="008A60D2">
        <w:rPr>
          <w:b/>
          <w:szCs w:val="24"/>
        </w:rPr>
        <w:tab/>
        <w:t>DATO FOR ÆNDRING AF TEKSTEN</w:t>
      </w:r>
    </w:p>
    <w:p w:rsidR="00422A79" w:rsidRDefault="00422A79" w:rsidP="00422A79">
      <w:pPr>
        <w:ind w:left="851" w:hanging="851"/>
        <w:rPr>
          <w:szCs w:val="24"/>
        </w:rPr>
      </w:pPr>
      <w:r w:rsidRPr="008A60D2">
        <w:rPr>
          <w:szCs w:val="24"/>
        </w:rPr>
        <w:tab/>
      </w:r>
      <w:r w:rsidR="00DA102F">
        <w:rPr>
          <w:szCs w:val="24"/>
        </w:rPr>
        <w:t xml:space="preserve">2. december 2020 </w:t>
      </w:r>
      <w:bookmarkStart w:id="0" w:name="_GoBack"/>
      <w:bookmarkEnd w:id="0"/>
    </w:p>
    <w:p w:rsidR="00422A79" w:rsidRDefault="00422A79" w:rsidP="00422A79">
      <w:pPr>
        <w:ind w:left="851" w:hanging="851"/>
        <w:rPr>
          <w:szCs w:val="24"/>
        </w:rPr>
      </w:pPr>
    </w:p>
    <w:p w:rsidR="00422A79" w:rsidRPr="008A60D2" w:rsidRDefault="00422A79" w:rsidP="00422A79">
      <w:pPr>
        <w:ind w:left="851" w:hanging="851"/>
        <w:rPr>
          <w:szCs w:val="24"/>
        </w:rPr>
      </w:pPr>
    </w:p>
    <w:p w:rsidR="00422A79" w:rsidRPr="003040A9" w:rsidRDefault="00422A79" w:rsidP="00422A79"/>
    <w:p w:rsidR="00422A79" w:rsidRPr="003606D9" w:rsidRDefault="00422A79" w:rsidP="00422A79"/>
    <w:p w:rsidR="009260DE" w:rsidRPr="00422A79" w:rsidRDefault="009260DE" w:rsidP="00422A79"/>
    <w:sectPr w:rsidR="009260DE" w:rsidRPr="00422A79"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A79" w:rsidRDefault="00422A79">
      <w:r>
        <w:separator/>
      </w:r>
    </w:p>
  </w:endnote>
  <w:endnote w:type="continuationSeparator" w:id="0">
    <w:p w:rsidR="00422A79" w:rsidRDefault="0042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713B0">
      <w:rPr>
        <w:i/>
        <w:noProof/>
        <w:sz w:val="18"/>
        <w:szCs w:val="18"/>
      </w:rPr>
      <w:t>Salmeterol 2care4 (2care4), inhalationsspray, suspension 25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A79" w:rsidRDefault="00422A79">
      <w:r>
        <w:separator/>
      </w:r>
    </w:p>
  </w:footnote>
  <w:footnote w:type="continuationSeparator" w:id="0">
    <w:p w:rsidR="00422A79" w:rsidRDefault="00422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CE51557"/>
    <w:multiLevelType w:val="hybridMultilevel"/>
    <w:tmpl w:val="A0FE9CA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5DDB7626"/>
    <w:multiLevelType w:val="hybridMultilevel"/>
    <w:tmpl w:val="C24C758E"/>
    <w:lvl w:ilvl="0" w:tplc="0406000F">
      <w:start w:val="1"/>
      <w:numFmt w:val="decimal"/>
      <w:lvlText w:val="%1."/>
      <w:lvlJc w:val="left"/>
      <w:pPr>
        <w:tabs>
          <w:tab w:val="num" w:pos="1211"/>
        </w:tabs>
        <w:ind w:left="1211" w:hanging="360"/>
      </w:p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79"/>
    <w:rsid w:val="000259B9"/>
    <w:rsid w:val="00041491"/>
    <w:rsid w:val="00050D16"/>
    <w:rsid w:val="00074F2A"/>
    <w:rsid w:val="000A1CA8"/>
    <w:rsid w:val="000A466B"/>
    <w:rsid w:val="000B058C"/>
    <w:rsid w:val="000C34F0"/>
    <w:rsid w:val="000E4EE6"/>
    <w:rsid w:val="001454E2"/>
    <w:rsid w:val="00170237"/>
    <w:rsid w:val="001713B0"/>
    <w:rsid w:val="00206CE8"/>
    <w:rsid w:val="0021526C"/>
    <w:rsid w:val="00283A2B"/>
    <w:rsid w:val="002B30AD"/>
    <w:rsid w:val="002C2C01"/>
    <w:rsid w:val="003A29AE"/>
    <w:rsid w:val="003A32D7"/>
    <w:rsid w:val="003B4074"/>
    <w:rsid w:val="003C769A"/>
    <w:rsid w:val="003F1838"/>
    <w:rsid w:val="00422A79"/>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85CA6"/>
    <w:rsid w:val="00790EE7"/>
    <w:rsid w:val="007B6649"/>
    <w:rsid w:val="0081546F"/>
    <w:rsid w:val="0082576E"/>
    <w:rsid w:val="00907F75"/>
    <w:rsid w:val="009260DE"/>
    <w:rsid w:val="0093258A"/>
    <w:rsid w:val="009C7BA3"/>
    <w:rsid w:val="009D1F5A"/>
    <w:rsid w:val="00B003BF"/>
    <w:rsid w:val="00B373D7"/>
    <w:rsid w:val="00C27746"/>
    <w:rsid w:val="00C36276"/>
    <w:rsid w:val="00C42586"/>
    <w:rsid w:val="00C60CCD"/>
    <w:rsid w:val="00C84483"/>
    <w:rsid w:val="00C95551"/>
    <w:rsid w:val="00CB20D7"/>
    <w:rsid w:val="00D020B0"/>
    <w:rsid w:val="00D11748"/>
    <w:rsid w:val="00D366CF"/>
    <w:rsid w:val="00D93BE6"/>
    <w:rsid w:val="00DA102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E8B53D"/>
  <w15:chartTrackingRefBased/>
  <w15:docId w15:val="{99A8B007-7ED1-42B4-82ED-61EC0C66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rsid w:val="00422A79"/>
    <w:pPr>
      <w:spacing w:before="100" w:beforeAutospacing="1" w:after="100" w:afterAutospacing="1"/>
    </w:pPr>
    <w:rPr>
      <w:sz w:val="24"/>
      <w:szCs w:val="24"/>
      <w:lang w:eastAsia="da-DK"/>
    </w:rPr>
  </w:style>
  <w:style w:type="character" w:styleId="Hyperlink">
    <w:name w:val="Hyperlink"/>
    <w:basedOn w:val="Standardskrifttypeiafsnit"/>
    <w:uiPriority w:val="99"/>
    <w:unhideWhenUsed/>
    <w:rsid w:val="00DA102F"/>
    <w:rPr>
      <w:color w:val="0563C1" w:themeColor="hyperlink"/>
      <w:u w:val="single"/>
    </w:rPr>
  </w:style>
  <w:style w:type="character" w:styleId="Ulstomtale">
    <w:name w:val="Unresolved Mention"/>
    <w:basedOn w:val="Standardskrifttypeiafsnit"/>
    <w:uiPriority w:val="99"/>
    <w:semiHidden/>
    <w:unhideWhenUsed/>
    <w:rsid w:val="00DA1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601C.B3FB0BA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11</Pages>
  <Words>3524</Words>
  <Characters>22823</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2020100627 - pkt. 4.8 og 6.4.</dc:description>
  <cp:lastModifiedBy>Camilla Sværke Hansen</cp:lastModifiedBy>
  <cp:revision>3</cp:revision>
  <cp:lastPrinted>2012-08-22T08:53:00Z</cp:lastPrinted>
  <dcterms:created xsi:type="dcterms:W3CDTF">2020-12-02T12:00:00Z</dcterms:created>
  <dcterms:modified xsi:type="dcterms:W3CDTF">2020-12-02T12:03:00Z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