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756C2" w14:textId="77777777" w:rsidR="009260DE" w:rsidRPr="00BE5239" w:rsidRDefault="0021526C" w:rsidP="009260DE">
      <w:pPr>
        <w:rPr>
          <w:sz w:val="24"/>
          <w:szCs w:val="24"/>
        </w:rPr>
      </w:pPr>
      <w:bookmarkStart w:id="0" w:name="_GoBack"/>
      <w:bookmarkEnd w:id="0"/>
      <w:r w:rsidRPr="00BE5239">
        <w:rPr>
          <w:noProof/>
          <w:sz w:val="24"/>
          <w:szCs w:val="24"/>
          <w:lang w:eastAsia="da-DK"/>
        </w:rPr>
        <w:drawing>
          <wp:anchor distT="0" distB="0" distL="114300" distR="114300" simplePos="0" relativeHeight="251658240" behindDoc="0" locked="0" layoutInCell="1" allowOverlap="1" wp14:anchorId="27565BC8" wp14:editId="370BC46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E5239">
        <w:rPr>
          <w:sz w:val="24"/>
          <w:szCs w:val="24"/>
        </w:rPr>
        <w:br w:type="textWrapping" w:clear="all"/>
      </w:r>
    </w:p>
    <w:p w14:paraId="7A7386EE" w14:textId="7268A06F" w:rsidR="009260DE" w:rsidRPr="00BE5239" w:rsidRDefault="009260DE" w:rsidP="009260DE">
      <w:pPr>
        <w:pStyle w:val="Titel"/>
        <w:tabs>
          <w:tab w:val="right" w:pos="9356"/>
        </w:tabs>
        <w:jc w:val="left"/>
        <w:rPr>
          <w:b w:val="0"/>
          <w:szCs w:val="24"/>
          <w:lang w:eastAsia="en-US"/>
        </w:rPr>
      </w:pPr>
      <w:r w:rsidRPr="00BE5239">
        <w:rPr>
          <w:b w:val="0"/>
          <w:szCs w:val="24"/>
          <w:lang w:eastAsia="en-US"/>
        </w:rPr>
        <w:tab/>
      </w:r>
      <w:r w:rsidR="00ED210E">
        <w:rPr>
          <w:szCs w:val="24"/>
        </w:rPr>
        <w:t>4</w:t>
      </w:r>
      <w:r w:rsidR="0055596B">
        <w:rPr>
          <w:szCs w:val="24"/>
        </w:rPr>
        <w:t xml:space="preserve">. </w:t>
      </w:r>
      <w:r w:rsidR="00ED210E">
        <w:rPr>
          <w:szCs w:val="24"/>
        </w:rPr>
        <w:t>marts</w:t>
      </w:r>
      <w:r w:rsidR="0055596B">
        <w:rPr>
          <w:szCs w:val="24"/>
        </w:rPr>
        <w:t xml:space="preserve"> 202</w:t>
      </w:r>
      <w:r w:rsidR="00ED210E">
        <w:rPr>
          <w:szCs w:val="24"/>
        </w:rPr>
        <w:t>5</w:t>
      </w:r>
    </w:p>
    <w:p w14:paraId="3D0C47E1" w14:textId="77777777" w:rsidR="009260DE" w:rsidRPr="00BE5239" w:rsidRDefault="009260DE" w:rsidP="009260DE">
      <w:pPr>
        <w:pStyle w:val="Titel"/>
        <w:tabs>
          <w:tab w:val="left" w:pos="8222"/>
        </w:tabs>
        <w:jc w:val="left"/>
        <w:rPr>
          <w:b w:val="0"/>
          <w:szCs w:val="24"/>
        </w:rPr>
      </w:pPr>
    </w:p>
    <w:p w14:paraId="7EDF21BF" w14:textId="0852EC41" w:rsidR="005D2438" w:rsidRPr="00BE5239" w:rsidRDefault="005D2438" w:rsidP="009260DE">
      <w:pPr>
        <w:pStyle w:val="Titel"/>
        <w:jc w:val="left"/>
        <w:rPr>
          <w:b w:val="0"/>
          <w:szCs w:val="24"/>
        </w:rPr>
      </w:pPr>
    </w:p>
    <w:p w14:paraId="5D37E4B6" w14:textId="77777777" w:rsidR="009260DE" w:rsidRPr="00BE5239" w:rsidRDefault="009260DE" w:rsidP="009260DE">
      <w:pPr>
        <w:pStyle w:val="Titel"/>
        <w:jc w:val="left"/>
        <w:rPr>
          <w:b w:val="0"/>
          <w:szCs w:val="24"/>
        </w:rPr>
      </w:pPr>
    </w:p>
    <w:p w14:paraId="444E0364" w14:textId="77777777" w:rsidR="009260DE" w:rsidRPr="00BE5239" w:rsidRDefault="009260DE" w:rsidP="009260DE">
      <w:pPr>
        <w:jc w:val="center"/>
        <w:rPr>
          <w:b/>
          <w:sz w:val="24"/>
          <w:szCs w:val="24"/>
        </w:rPr>
      </w:pPr>
      <w:r w:rsidRPr="00BE5239">
        <w:rPr>
          <w:b/>
          <w:sz w:val="24"/>
          <w:szCs w:val="24"/>
        </w:rPr>
        <w:t>PRODUKTRESUMÉ</w:t>
      </w:r>
    </w:p>
    <w:p w14:paraId="7FE4F508" w14:textId="77777777" w:rsidR="009260DE" w:rsidRPr="00BE5239" w:rsidRDefault="009260DE" w:rsidP="009260DE">
      <w:pPr>
        <w:jc w:val="center"/>
        <w:rPr>
          <w:b/>
          <w:sz w:val="24"/>
          <w:szCs w:val="24"/>
        </w:rPr>
      </w:pPr>
    </w:p>
    <w:p w14:paraId="0D992EB8" w14:textId="77777777" w:rsidR="009260DE" w:rsidRPr="00BE5239" w:rsidRDefault="009260DE" w:rsidP="009260DE">
      <w:pPr>
        <w:jc w:val="center"/>
        <w:rPr>
          <w:b/>
          <w:sz w:val="24"/>
          <w:szCs w:val="24"/>
        </w:rPr>
      </w:pPr>
      <w:r w:rsidRPr="00BE5239">
        <w:rPr>
          <w:b/>
          <w:sz w:val="24"/>
          <w:szCs w:val="24"/>
        </w:rPr>
        <w:t>for</w:t>
      </w:r>
    </w:p>
    <w:p w14:paraId="48A1F13B" w14:textId="77777777" w:rsidR="000B058C" w:rsidRPr="00BE5239" w:rsidRDefault="000B058C" w:rsidP="009260DE">
      <w:pPr>
        <w:jc w:val="center"/>
        <w:rPr>
          <w:b/>
          <w:sz w:val="24"/>
          <w:szCs w:val="24"/>
        </w:rPr>
      </w:pPr>
    </w:p>
    <w:p w14:paraId="07B03A9B" w14:textId="72101F65" w:rsidR="009260DE" w:rsidRPr="00BE5239" w:rsidRDefault="00F8721D" w:rsidP="009260DE">
      <w:pPr>
        <w:jc w:val="center"/>
        <w:rPr>
          <w:b/>
          <w:sz w:val="24"/>
          <w:szCs w:val="24"/>
        </w:rPr>
      </w:pPr>
      <w:proofErr w:type="spellStart"/>
      <w:r w:rsidRPr="00BE5239">
        <w:rPr>
          <w:b/>
          <w:sz w:val="24"/>
          <w:szCs w:val="24"/>
        </w:rPr>
        <w:t>Salofalk</w:t>
      </w:r>
      <w:proofErr w:type="spellEnd"/>
      <w:r w:rsidRPr="00BE5239">
        <w:rPr>
          <w:b/>
          <w:sz w:val="24"/>
          <w:szCs w:val="24"/>
        </w:rPr>
        <w:t xml:space="preserve">, </w:t>
      </w:r>
      <w:proofErr w:type="spellStart"/>
      <w:r w:rsidRPr="00BE5239">
        <w:rPr>
          <w:b/>
          <w:sz w:val="24"/>
          <w:szCs w:val="24"/>
        </w:rPr>
        <w:t>enterotabletter</w:t>
      </w:r>
      <w:proofErr w:type="spellEnd"/>
    </w:p>
    <w:p w14:paraId="0EC4FB71" w14:textId="77777777" w:rsidR="009260DE" w:rsidRPr="00BE5239" w:rsidRDefault="009260DE" w:rsidP="009260DE">
      <w:pPr>
        <w:jc w:val="both"/>
        <w:rPr>
          <w:sz w:val="24"/>
          <w:szCs w:val="24"/>
        </w:rPr>
      </w:pPr>
    </w:p>
    <w:p w14:paraId="35EEDB31" w14:textId="77777777" w:rsidR="009260DE" w:rsidRPr="00BE5239" w:rsidRDefault="009260DE" w:rsidP="009260DE">
      <w:pPr>
        <w:jc w:val="both"/>
        <w:rPr>
          <w:sz w:val="24"/>
          <w:szCs w:val="24"/>
        </w:rPr>
      </w:pPr>
    </w:p>
    <w:p w14:paraId="275BC909" w14:textId="77777777" w:rsidR="009260DE" w:rsidRPr="00BE5239" w:rsidRDefault="009260DE" w:rsidP="009260DE">
      <w:pPr>
        <w:tabs>
          <w:tab w:val="left" w:pos="851"/>
        </w:tabs>
        <w:ind w:left="851" w:hanging="851"/>
        <w:rPr>
          <w:b/>
          <w:sz w:val="24"/>
          <w:szCs w:val="24"/>
        </w:rPr>
      </w:pPr>
      <w:r w:rsidRPr="00BE5239">
        <w:rPr>
          <w:b/>
          <w:sz w:val="24"/>
          <w:szCs w:val="24"/>
        </w:rPr>
        <w:t>0.</w:t>
      </w:r>
      <w:r w:rsidRPr="00BE5239">
        <w:rPr>
          <w:b/>
          <w:sz w:val="24"/>
          <w:szCs w:val="24"/>
        </w:rPr>
        <w:tab/>
        <w:t>D.SP.NR.</w:t>
      </w:r>
    </w:p>
    <w:p w14:paraId="073C16C5" w14:textId="2A97B403" w:rsidR="009260DE" w:rsidRPr="00BE5239" w:rsidRDefault="00F8721D" w:rsidP="009260DE">
      <w:pPr>
        <w:tabs>
          <w:tab w:val="left" w:pos="851"/>
        </w:tabs>
        <w:ind w:left="851"/>
        <w:rPr>
          <w:sz w:val="24"/>
          <w:szCs w:val="24"/>
        </w:rPr>
      </w:pPr>
      <w:r w:rsidRPr="00BE5239">
        <w:rPr>
          <w:sz w:val="24"/>
          <w:szCs w:val="24"/>
        </w:rPr>
        <w:t>06605</w:t>
      </w:r>
    </w:p>
    <w:p w14:paraId="27423565" w14:textId="77777777" w:rsidR="009260DE" w:rsidRPr="00BE5239" w:rsidRDefault="009260DE" w:rsidP="009260DE">
      <w:pPr>
        <w:tabs>
          <w:tab w:val="left" w:pos="851"/>
        </w:tabs>
        <w:ind w:left="851"/>
        <w:rPr>
          <w:sz w:val="24"/>
          <w:szCs w:val="24"/>
        </w:rPr>
      </w:pPr>
    </w:p>
    <w:p w14:paraId="32073584" w14:textId="77777777" w:rsidR="009260DE" w:rsidRPr="00BE5239" w:rsidRDefault="009260DE" w:rsidP="009260DE">
      <w:pPr>
        <w:tabs>
          <w:tab w:val="left" w:pos="851"/>
        </w:tabs>
        <w:ind w:left="851" w:hanging="851"/>
        <w:rPr>
          <w:b/>
          <w:sz w:val="24"/>
          <w:szCs w:val="24"/>
        </w:rPr>
      </w:pPr>
      <w:r w:rsidRPr="00BE5239">
        <w:rPr>
          <w:b/>
          <w:sz w:val="24"/>
          <w:szCs w:val="24"/>
        </w:rPr>
        <w:t>1.</w:t>
      </w:r>
      <w:r w:rsidRPr="00BE5239">
        <w:rPr>
          <w:b/>
          <w:sz w:val="24"/>
          <w:szCs w:val="24"/>
        </w:rPr>
        <w:tab/>
        <w:t>LÆGEMIDLETS NAVN</w:t>
      </w:r>
    </w:p>
    <w:p w14:paraId="599CC9EA" w14:textId="0F933495" w:rsidR="009260DE" w:rsidRPr="00BE5239" w:rsidRDefault="00F8721D" w:rsidP="009260DE">
      <w:pPr>
        <w:tabs>
          <w:tab w:val="left" w:pos="851"/>
        </w:tabs>
        <w:ind w:left="851"/>
        <w:rPr>
          <w:sz w:val="24"/>
          <w:szCs w:val="24"/>
        </w:rPr>
      </w:pPr>
      <w:proofErr w:type="spellStart"/>
      <w:r w:rsidRPr="00BE5239">
        <w:rPr>
          <w:sz w:val="24"/>
          <w:szCs w:val="24"/>
        </w:rPr>
        <w:t>Salofalk</w:t>
      </w:r>
      <w:proofErr w:type="spellEnd"/>
    </w:p>
    <w:p w14:paraId="6EFB025A" w14:textId="77777777" w:rsidR="009260DE" w:rsidRPr="00BE5239" w:rsidRDefault="009260DE" w:rsidP="009260DE">
      <w:pPr>
        <w:tabs>
          <w:tab w:val="left" w:pos="851"/>
        </w:tabs>
        <w:ind w:left="851"/>
        <w:rPr>
          <w:sz w:val="24"/>
          <w:szCs w:val="24"/>
        </w:rPr>
      </w:pPr>
    </w:p>
    <w:p w14:paraId="2E962990" w14:textId="77777777" w:rsidR="009260DE" w:rsidRPr="00BE5239" w:rsidRDefault="009260DE" w:rsidP="009260DE">
      <w:pPr>
        <w:tabs>
          <w:tab w:val="left" w:pos="851"/>
        </w:tabs>
        <w:ind w:left="851" w:hanging="851"/>
        <w:rPr>
          <w:b/>
          <w:sz w:val="24"/>
          <w:szCs w:val="24"/>
        </w:rPr>
      </w:pPr>
      <w:r w:rsidRPr="00BE5239">
        <w:rPr>
          <w:b/>
          <w:sz w:val="24"/>
          <w:szCs w:val="24"/>
        </w:rPr>
        <w:t>2.</w:t>
      </w:r>
      <w:r w:rsidRPr="00BE5239">
        <w:rPr>
          <w:b/>
          <w:sz w:val="24"/>
          <w:szCs w:val="24"/>
        </w:rPr>
        <w:tab/>
        <w:t>KVALITATIV OG KVANTITATIV SAMMENSÆTNING</w:t>
      </w:r>
    </w:p>
    <w:p w14:paraId="22758C44" w14:textId="77777777" w:rsidR="006D1135" w:rsidRPr="00BE5239" w:rsidRDefault="006D1135" w:rsidP="00B31896">
      <w:pPr>
        <w:ind w:left="851"/>
        <w:rPr>
          <w:sz w:val="24"/>
          <w:szCs w:val="24"/>
          <w:lang w:eastAsia="en-GB"/>
        </w:rPr>
      </w:pPr>
      <w:r w:rsidRPr="00BE5239">
        <w:rPr>
          <w:sz w:val="24"/>
          <w:szCs w:val="24"/>
        </w:rPr>
        <w:t xml:space="preserve">Hver </w:t>
      </w:r>
      <w:proofErr w:type="spellStart"/>
      <w:r w:rsidRPr="00BE5239">
        <w:rPr>
          <w:sz w:val="24"/>
          <w:szCs w:val="24"/>
        </w:rPr>
        <w:t>enterotablet</w:t>
      </w:r>
      <w:proofErr w:type="spellEnd"/>
      <w:r w:rsidRPr="00BE5239">
        <w:rPr>
          <w:sz w:val="24"/>
          <w:szCs w:val="24"/>
        </w:rPr>
        <w:t xml:space="preserve"> indeholder 1 g </w:t>
      </w:r>
      <w:proofErr w:type="spellStart"/>
      <w:r w:rsidRPr="00BE5239">
        <w:rPr>
          <w:sz w:val="24"/>
          <w:szCs w:val="24"/>
        </w:rPr>
        <w:t>mesalazin</w:t>
      </w:r>
      <w:proofErr w:type="spellEnd"/>
      <w:r w:rsidRPr="00BE5239">
        <w:rPr>
          <w:sz w:val="24"/>
          <w:szCs w:val="24"/>
        </w:rPr>
        <w:t>.</w:t>
      </w:r>
    </w:p>
    <w:p w14:paraId="1292C4D4" w14:textId="77777777" w:rsidR="006D1135" w:rsidRPr="00BE5239" w:rsidRDefault="006D1135" w:rsidP="00B31896">
      <w:pPr>
        <w:ind w:left="851"/>
        <w:rPr>
          <w:sz w:val="24"/>
          <w:szCs w:val="24"/>
        </w:rPr>
      </w:pPr>
    </w:p>
    <w:p w14:paraId="2395AE5E" w14:textId="77777777" w:rsidR="006D1135" w:rsidRPr="00BE5239" w:rsidRDefault="006D1135" w:rsidP="00B31896">
      <w:pPr>
        <w:ind w:left="851"/>
        <w:rPr>
          <w:sz w:val="24"/>
          <w:szCs w:val="24"/>
        </w:rPr>
      </w:pPr>
      <w:r w:rsidRPr="00BE5239">
        <w:rPr>
          <w:sz w:val="24"/>
          <w:szCs w:val="24"/>
        </w:rPr>
        <w:t>Alle hjælpestoffer er anført under pkt. 6.1.</w:t>
      </w:r>
    </w:p>
    <w:p w14:paraId="16F4B4CC" w14:textId="77777777" w:rsidR="009260DE" w:rsidRPr="00BE5239" w:rsidRDefault="009260DE" w:rsidP="00B31896">
      <w:pPr>
        <w:ind w:left="851"/>
        <w:rPr>
          <w:sz w:val="24"/>
          <w:szCs w:val="24"/>
        </w:rPr>
      </w:pPr>
    </w:p>
    <w:p w14:paraId="44C8A3E4" w14:textId="77777777" w:rsidR="009260DE" w:rsidRPr="00BE5239" w:rsidRDefault="009260DE" w:rsidP="009260DE">
      <w:pPr>
        <w:tabs>
          <w:tab w:val="left" w:pos="851"/>
        </w:tabs>
        <w:ind w:left="851" w:hanging="851"/>
        <w:rPr>
          <w:b/>
          <w:sz w:val="24"/>
          <w:szCs w:val="24"/>
        </w:rPr>
      </w:pPr>
      <w:r w:rsidRPr="00BE5239">
        <w:rPr>
          <w:b/>
          <w:sz w:val="24"/>
          <w:szCs w:val="24"/>
        </w:rPr>
        <w:t>3.</w:t>
      </w:r>
      <w:r w:rsidRPr="00BE5239">
        <w:rPr>
          <w:b/>
          <w:sz w:val="24"/>
          <w:szCs w:val="24"/>
        </w:rPr>
        <w:tab/>
        <w:t>LÆGEMIDDELFORM</w:t>
      </w:r>
    </w:p>
    <w:p w14:paraId="42FF5616" w14:textId="77777777" w:rsidR="006D1135" w:rsidRPr="00BE5239" w:rsidRDefault="006D1135" w:rsidP="00B31896">
      <w:pPr>
        <w:ind w:left="851"/>
        <w:rPr>
          <w:sz w:val="24"/>
          <w:szCs w:val="24"/>
          <w:lang w:eastAsia="en-GB"/>
        </w:rPr>
      </w:pPr>
      <w:proofErr w:type="spellStart"/>
      <w:r w:rsidRPr="00BE5239">
        <w:rPr>
          <w:sz w:val="24"/>
          <w:szCs w:val="24"/>
        </w:rPr>
        <w:t>Enterotabletter</w:t>
      </w:r>
      <w:proofErr w:type="spellEnd"/>
    </w:p>
    <w:p w14:paraId="589655AB" w14:textId="77777777" w:rsidR="006D1135" w:rsidRPr="00BE5239" w:rsidRDefault="006D1135" w:rsidP="00B31896">
      <w:pPr>
        <w:ind w:left="851"/>
        <w:rPr>
          <w:sz w:val="24"/>
          <w:szCs w:val="24"/>
        </w:rPr>
      </w:pPr>
    </w:p>
    <w:p w14:paraId="1A616C7F" w14:textId="77777777" w:rsidR="006D1135" w:rsidRPr="00BE5239" w:rsidRDefault="006D1135" w:rsidP="00B31896">
      <w:pPr>
        <w:ind w:left="851"/>
        <w:rPr>
          <w:sz w:val="24"/>
          <w:szCs w:val="24"/>
        </w:rPr>
      </w:pPr>
      <w:r w:rsidRPr="00BE5239">
        <w:rPr>
          <w:sz w:val="24"/>
          <w:szCs w:val="24"/>
        </w:rPr>
        <w:t xml:space="preserve">Gule til okkergule, aflange (20–21 mm), </w:t>
      </w:r>
      <w:proofErr w:type="spellStart"/>
      <w:r w:rsidRPr="00BE5239">
        <w:rPr>
          <w:sz w:val="24"/>
          <w:szCs w:val="24"/>
        </w:rPr>
        <w:t>bikonvekse</w:t>
      </w:r>
      <w:proofErr w:type="spellEnd"/>
      <w:r w:rsidRPr="00BE5239">
        <w:rPr>
          <w:sz w:val="24"/>
          <w:szCs w:val="24"/>
        </w:rPr>
        <w:t xml:space="preserve"> </w:t>
      </w:r>
      <w:proofErr w:type="spellStart"/>
      <w:r w:rsidRPr="00BE5239">
        <w:rPr>
          <w:sz w:val="24"/>
          <w:szCs w:val="24"/>
        </w:rPr>
        <w:t>enterotabletter</w:t>
      </w:r>
      <w:proofErr w:type="spellEnd"/>
      <w:r w:rsidRPr="00BE5239">
        <w:rPr>
          <w:sz w:val="24"/>
          <w:szCs w:val="24"/>
        </w:rPr>
        <w:t xml:space="preserve"> med afrundede kanter og en glat overflade.</w:t>
      </w:r>
    </w:p>
    <w:p w14:paraId="349801F5" w14:textId="77777777" w:rsidR="009260DE" w:rsidRPr="00BE5239" w:rsidRDefault="009260DE" w:rsidP="009260DE">
      <w:pPr>
        <w:tabs>
          <w:tab w:val="left" w:pos="851"/>
        </w:tabs>
        <w:ind w:left="851"/>
        <w:rPr>
          <w:sz w:val="24"/>
          <w:szCs w:val="24"/>
        </w:rPr>
      </w:pPr>
    </w:p>
    <w:p w14:paraId="468FEC1F" w14:textId="77777777" w:rsidR="009260DE" w:rsidRPr="00BE5239" w:rsidRDefault="009260DE" w:rsidP="009260DE">
      <w:pPr>
        <w:tabs>
          <w:tab w:val="left" w:pos="851"/>
        </w:tabs>
        <w:ind w:left="851"/>
        <w:rPr>
          <w:sz w:val="24"/>
          <w:szCs w:val="24"/>
        </w:rPr>
      </w:pPr>
    </w:p>
    <w:p w14:paraId="1A622C1E" w14:textId="77777777" w:rsidR="009260DE" w:rsidRPr="00BE5239" w:rsidRDefault="009260DE" w:rsidP="009260DE">
      <w:pPr>
        <w:tabs>
          <w:tab w:val="left" w:pos="851"/>
        </w:tabs>
        <w:ind w:left="851" w:hanging="851"/>
        <w:rPr>
          <w:b/>
          <w:sz w:val="24"/>
          <w:szCs w:val="24"/>
        </w:rPr>
      </w:pPr>
      <w:r w:rsidRPr="00BE5239">
        <w:rPr>
          <w:b/>
          <w:sz w:val="24"/>
          <w:szCs w:val="24"/>
        </w:rPr>
        <w:t>4.</w:t>
      </w:r>
      <w:r w:rsidRPr="00BE5239">
        <w:rPr>
          <w:b/>
          <w:sz w:val="24"/>
          <w:szCs w:val="24"/>
        </w:rPr>
        <w:tab/>
        <w:t>KLINISKE OPLYSNINGER</w:t>
      </w:r>
    </w:p>
    <w:p w14:paraId="43433FFC" w14:textId="77777777" w:rsidR="009260DE" w:rsidRPr="00BE5239" w:rsidRDefault="009260DE" w:rsidP="009260DE">
      <w:pPr>
        <w:tabs>
          <w:tab w:val="left" w:pos="851"/>
        </w:tabs>
        <w:ind w:left="851"/>
        <w:rPr>
          <w:b/>
          <w:sz w:val="24"/>
          <w:szCs w:val="24"/>
        </w:rPr>
      </w:pPr>
    </w:p>
    <w:p w14:paraId="05FA6C29" w14:textId="77777777" w:rsidR="009260DE" w:rsidRPr="00BE5239" w:rsidRDefault="009260DE" w:rsidP="009260DE">
      <w:pPr>
        <w:tabs>
          <w:tab w:val="left" w:pos="851"/>
        </w:tabs>
        <w:ind w:left="851" w:hanging="851"/>
        <w:rPr>
          <w:b/>
          <w:sz w:val="24"/>
          <w:szCs w:val="24"/>
          <w:u w:val="single"/>
        </w:rPr>
      </w:pPr>
      <w:r w:rsidRPr="00BE5239">
        <w:rPr>
          <w:b/>
          <w:sz w:val="24"/>
          <w:szCs w:val="24"/>
        </w:rPr>
        <w:t>4.1</w:t>
      </w:r>
      <w:r w:rsidRPr="00BE5239">
        <w:rPr>
          <w:b/>
          <w:sz w:val="24"/>
          <w:szCs w:val="24"/>
        </w:rPr>
        <w:tab/>
        <w:t>Terapeutiske indikationer</w:t>
      </w:r>
    </w:p>
    <w:p w14:paraId="7A99077B" w14:textId="29B9A146" w:rsidR="006D1135" w:rsidRPr="00BE5239" w:rsidRDefault="006D1135" w:rsidP="00B31896">
      <w:pPr>
        <w:ind w:left="851"/>
        <w:rPr>
          <w:sz w:val="24"/>
          <w:szCs w:val="24"/>
          <w:lang w:eastAsia="en-GB"/>
        </w:rPr>
      </w:pPr>
      <w:r w:rsidRPr="00BE5239">
        <w:rPr>
          <w:sz w:val="24"/>
          <w:szCs w:val="24"/>
        </w:rPr>
        <w:t xml:space="preserve">Behandling af akutte tilfælde af let til moderat colitis </w:t>
      </w:r>
      <w:proofErr w:type="spellStart"/>
      <w:r w:rsidRPr="00BE5239">
        <w:rPr>
          <w:sz w:val="24"/>
          <w:szCs w:val="24"/>
        </w:rPr>
        <w:t>ulcerosa</w:t>
      </w:r>
      <w:proofErr w:type="spellEnd"/>
      <w:r w:rsidRPr="00BE5239">
        <w:rPr>
          <w:sz w:val="24"/>
          <w:szCs w:val="24"/>
        </w:rPr>
        <w:t>.</w:t>
      </w:r>
    </w:p>
    <w:p w14:paraId="73140A8D" w14:textId="24054E49" w:rsidR="009260DE" w:rsidRPr="00BE5239" w:rsidRDefault="009260DE" w:rsidP="009260DE">
      <w:pPr>
        <w:tabs>
          <w:tab w:val="left" w:pos="851"/>
        </w:tabs>
        <w:ind w:left="851"/>
        <w:rPr>
          <w:sz w:val="24"/>
          <w:szCs w:val="24"/>
        </w:rPr>
      </w:pPr>
    </w:p>
    <w:p w14:paraId="237B7EDD" w14:textId="77777777" w:rsidR="009260DE" w:rsidRPr="00BE5239" w:rsidRDefault="009260DE" w:rsidP="009260DE">
      <w:pPr>
        <w:tabs>
          <w:tab w:val="left" w:pos="851"/>
        </w:tabs>
        <w:ind w:left="851" w:hanging="851"/>
        <w:rPr>
          <w:b/>
          <w:sz w:val="24"/>
          <w:szCs w:val="24"/>
        </w:rPr>
      </w:pPr>
      <w:r w:rsidRPr="00BE5239">
        <w:rPr>
          <w:b/>
          <w:sz w:val="24"/>
          <w:szCs w:val="24"/>
        </w:rPr>
        <w:t>4.2</w:t>
      </w:r>
      <w:r w:rsidRPr="00BE5239">
        <w:rPr>
          <w:b/>
          <w:sz w:val="24"/>
          <w:szCs w:val="24"/>
        </w:rPr>
        <w:tab/>
        <w:t xml:space="preserve">Dosering og </w:t>
      </w:r>
      <w:r w:rsidR="002C1EC0" w:rsidRPr="00BE5239">
        <w:rPr>
          <w:b/>
          <w:sz w:val="24"/>
          <w:szCs w:val="24"/>
        </w:rPr>
        <w:t>administration</w:t>
      </w:r>
    </w:p>
    <w:p w14:paraId="1DF03129" w14:textId="77777777" w:rsidR="006D1135" w:rsidRPr="00BE5239" w:rsidRDefault="006D1135" w:rsidP="00B31896">
      <w:pPr>
        <w:ind w:left="851"/>
        <w:rPr>
          <w:sz w:val="24"/>
          <w:szCs w:val="24"/>
        </w:rPr>
      </w:pPr>
    </w:p>
    <w:p w14:paraId="229ABBDA" w14:textId="77777777" w:rsidR="006D1135" w:rsidRPr="00BE5239" w:rsidRDefault="006D1135" w:rsidP="00B31896">
      <w:pPr>
        <w:ind w:left="851"/>
        <w:rPr>
          <w:sz w:val="24"/>
          <w:szCs w:val="24"/>
          <w:u w:val="single"/>
        </w:rPr>
      </w:pPr>
      <w:r w:rsidRPr="00BE5239">
        <w:rPr>
          <w:sz w:val="24"/>
          <w:szCs w:val="24"/>
          <w:u w:val="single"/>
        </w:rPr>
        <w:t>Dosering</w:t>
      </w:r>
    </w:p>
    <w:p w14:paraId="25255863" w14:textId="77777777" w:rsidR="006D1135" w:rsidRPr="00BE5239" w:rsidRDefault="006D1135" w:rsidP="00B31896">
      <w:pPr>
        <w:ind w:left="851"/>
        <w:rPr>
          <w:sz w:val="24"/>
          <w:szCs w:val="24"/>
        </w:rPr>
      </w:pPr>
    </w:p>
    <w:p w14:paraId="24BC9EAA" w14:textId="77777777" w:rsidR="006D1135" w:rsidRPr="00BE5239" w:rsidRDefault="006D1135" w:rsidP="00B31896">
      <w:pPr>
        <w:ind w:left="851"/>
        <w:rPr>
          <w:i/>
          <w:sz w:val="24"/>
          <w:szCs w:val="24"/>
        </w:rPr>
      </w:pPr>
      <w:r w:rsidRPr="00BE5239">
        <w:rPr>
          <w:i/>
          <w:sz w:val="24"/>
          <w:szCs w:val="24"/>
        </w:rPr>
        <w:t xml:space="preserve">Voksne </w:t>
      </w:r>
    </w:p>
    <w:p w14:paraId="731FAB48" w14:textId="77777777" w:rsidR="006D1135" w:rsidRPr="00BE5239" w:rsidRDefault="006D1135" w:rsidP="00B31896">
      <w:pPr>
        <w:ind w:left="851"/>
        <w:rPr>
          <w:sz w:val="24"/>
          <w:szCs w:val="24"/>
        </w:rPr>
      </w:pPr>
    </w:p>
    <w:p w14:paraId="20FAECF5" w14:textId="77777777" w:rsidR="006D1135" w:rsidRPr="00BE5239" w:rsidRDefault="006D1135" w:rsidP="00B31896">
      <w:pPr>
        <w:ind w:left="851"/>
        <w:rPr>
          <w:sz w:val="24"/>
          <w:szCs w:val="24"/>
        </w:rPr>
      </w:pPr>
      <w:r w:rsidRPr="00BE5239">
        <w:rPr>
          <w:sz w:val="24"/>
          <w:szCs w:val="24"/>
        </w:rPr>
        <w:t xml:space="preserve">Den anbefalede daglige dosis til behandling af akutte tilfælde af let til moderat colitis </w:t>
      </w:r>
      <w:proofErr w:type="spellStart"/>
      <w:r w:rsidRPr="00BE5239">
        <w:rPr>
          <w:sz w:val="24"/>
          <w:szCs w:val="24"/>
        </w:rPr>
        <w:t>ulcerosa</w:t>
      </w:r>
      <w:proofErr w:type="spellEnd"/>
      <w:r w:rsidRPr="00BE5239">
        <w:rPr>
          <w:sz w:val="24"/>
          <w:szCs w:val="24"/>
        </w:rPr>
        <w:t xml:space="preserve"> er en </w:t>
      </w:r>
      <w:proofErr w:type="spellStart"/>
      <w:r w:rsidRPr="00BE5239">
        <w:rPr>
          <w:sz w:val="24"/>
          <w:szCs w:val="24"/>
        </w:rPr>
        <w:t>Salofalk</w:t>
      </w:r>
      <w:proofErr w:type="spellEnd"/>
      <w:r w:rsidRPr="00BE5239">
        <w:rPr>
          <w:sz w:val="24"/>
          <w:szCs w:val="24"/>
        </w:rPr>
        <w:t xml:space="preserve"> 1 g </w:t>
      </w:r>
      <w:proofErr w:type="spellStart"/>
      <w:r w:rsidRPr="00BE5239">
        <w:rPr>
          <w:sz w:val="24"/>
          <w:szCs w:val="24"/>
        </w:rPr>
        <w:t>enterotablet</w:t>
      </w:r>
      <w:proofErr w:type="spellEnd"/>
      <w:r w:rsidRPr="00BE5239">
        <w:rPr>
          <w:sz w:val="24"/>
          <w:szCs w:val="24"/>
        </w:rPr>
        <w:t xml:space="preserve"> tre gange dagligt (om morgenen, midt på dagen og om aftenen, svarende til 3 g </w:t>
      </w:r>
      <w:proofErr w:type="spellStart"/>
      <w:r w:rsidRPr="00BE5239">
        <w:rPr>
          <w:sz w:val="24"/>
          <w:szCs w:val="24"/>
        </w:rPr>
        <w:t>mesalazin</w:t>
      </w:r>
      <w:proofErr w:type="spellEnd"/>
      <w:r w:rsidRPr="00BE5239">
        <w:rPr>
          <w:sz w:val="24"/>
          <w:szCs w:val="24"/>
        </w:rPr>
        <w:t xml:space="preserve"> dagligt). </w:t>
      </w:r>
    </w:p>
    <w:p w14:paraId="556139F6" w14:textId="2A40BAF5" w:rsidR="00BE5239" w:rsidRPr="00BE5239" w:rsidRDefault="00BE5239">
      <w:pPr>
        <w:rPr>
          <w:sz w:val="24"/>
          <w:szCs w:val="24"/>
        </w:rPr>
      </w:pPr>
      <w:r w:rsidRPr="00BE5239">
        <w:rPr>
          <w:sz w:val="24"/>
          <w:szCs w:val="24"/>
        </w:rPr>
        <w:br w:type="page"/>
      </w:r>
    </w:p>
    <w:p w14:paraId="10510C71" w14:textId="77777777" w:rsidR="006D1135" w:rsidRPr="00BE5239" w:rsidRDefault="006D1135" w:rsidP="00B31896">
      <w:pPr>
        <w:ind w:left="851"/>
        <w:rPr>
          <w:sz w:val="24"/>
          <w:szCs w:val="24"/>
        </w:rPr>
      </w:pPr>
    </w:p>
    <w:p w14:paraId="0DF96CBC" w14:textId="77777777" w:rsidR="006D1135" w:rsidRPr="00BE5239" w:rsidRDefault="006D1135" w:rsidP="00B31896">
      <w:pPr>
        <w:ind w:left="851"/>
        <w:rPr>
          <w:i/>
          <w:sz w:val="24"/>
          <w:szCs w:val="24"/>
        </w:rPr>
      </w:pPr>
      <w:r w:rsidRPr="00BE5239">
        <w:rPr>
          <w:i/>
          <w:sz w:val="24"/>
          <w:szCs w:val="24"/>
        </w:rPr>
        <w:t xml:space="preserve">Pædiatrisk population </w:t>
      </w:r>
    </w:p>
    <w:p w14:paraId="34CD1E05" w14:textId="77777777" w:rsidR="006D1135" w:rsidRPr="00BE5239" w:rsidRDefault="006D1135" w:rsidP="00B31896">
      <w:pPr>
        <w:ind w:left="851"/>
        <w:rPr>
          <w:sz w:val="24"/>
          <w:szCs w:val="24"/>
        </w:rPr>
      </w:pPr>
    </w:p>
    <w:p w14:paraId="3C0588B9" w14:textId="77777777" w:rsidR="006D1135" w:rsidRPr="00BE5239" w:rsidRDefault="006D1135" w:rsidP="00B31896">
      <w:pPr>
        <w:ind w:left="851"/>
        <w:rPr>
          <w:sz w:val="24"/>
          <w:szCs w:val="24"/>
        </w:rPr>
      </w:pPr>
      <w:r w:rsidRPr="00BE5239">
        <w:rPr>
          <w:sz w:val="24"/>
          <w:szCs w:val="24"/>
        </w:rPr>
        <w:t>Der er kun begrænset dokumentation for virkning hos børn (i alderen 6</w:t>
      </w:r>
      <w:r w:rsidRPr="00BE5239">
        <w:rPr>
          <w:sz w:val="24"/>
          <w:szCs w:val="24"/>
        </w:rPr>
        <w:noBreakHyphen/>
        <w:t>18 år).</w:t>
      </w:r>
    </w:p>
    <w:p w14:paraId="3B5AF20E" w14:textId="77777777" w:rsidR="006D1135" w:rsidRPr="00BE5239" w:rsidRDefault="006D1135" w:rsidP="00B31896">
      <w:pPr>
        <w:ind w:left="851"/>
        <w:rPr>
          <w:sz w:val="24"/>
          <w:szCs w:val="24"/>
        </w:rPr>
      </w:pPr>
    </w:p>
    <w:p w14:paraId="2B04DC8D" w14:textId="77777777" w:rsidR="006D1135" w:rsidRPr="00BE5239" w:rsidRDefault="006D1135" w:rsidP="00B31896">
      <w:pPr>
        <w:ind w:left="851"/>
        <w:rPr>
          <w:sz w:val="24"/>
          <w:szCs w:val="24"/>
          <w:u w:val="single"/>
        </w:rPr>
      </w:pPr>
      <w:r w:rsidRPr="00BE5239">
        <w:rPr>
          <w:sz w:val="24"/>
          <w:szCs w:val="24"/>
          <w:u w:val="single"/>
        </w:rPr>
        <w:t>Børn på 6 år og derover, der vejer &gt; 40 kg</w:t>
      </w:r>
    </w:p>
    <w:p w14:paraId="748DE26A" w14:textId="77777777" w:rsidR="006D1135" w:rsidRPr="00BE5239" w:rsidRDefault="006D1135" w:rsidP="00B31896">
      <w:pPr>
        <w:ind w:left="851"/>
        <w:rPr>
          <w:sz w:val="24"/>
          <w:szCs w:val="24"/>
        </w:rPr>
      </w:pPr>
      <w:r w:rsidRPr="00BE5239">
        <w:rPr>
          <w:sz w:val="24"/>
          <w:szCs w:val="24"/>
        </w:rPr>
        <w:t>Dosis skal fastlægges individuelt, startende med 30</w:t>
      </w:r>
      <w:r w:rsidRPr="00BE5239">
        <w:rPr>
          <w:sz w:val="24"/>
          <w:szCs w:val="24"/>
        </w:rPr>
        <w:noBreakHyphen/>
        <w:t>50 mg/kg/dag i delte doser. Maksimum dosis: 75 mg/kg/dag. Den totale dosis må ikke overstige den maksimale dosis for voksne.</w:t>
      </w:r>
    </w:p>
    <w:p w14:paraId="0233EA82" w14:textId="77777777" w:rsidR="006D1135" w:rsidRPr="00BE5239" w:rsidRDefault="006D1135" w:rsidP="00B31896">
      <w:pPr>
        <w:ind w:left="851"/>
        <w:rPr>
          <w:sz w:val="24"/>
          <w:szCs w:val="24"/>
        </w:rPr>
      </w:pPr>
    </w:p>
    <w:p w14:paraId="1CB82338" w14:textId="77777777" w:rsidR="006D1135" w:rsidRPr="00BE5239" w:rsidRDefault="006D1135" w:rsidP="00B31896">
      <w:pPr>
        <w:ind w:left="851"/>
        <w:rPr>
          <w:sz w:val="24"/>
          <w:szCs w:val="24"/>
        </w:rPr>
      </w:pPr>
      <w:r w:rsidRPr="00BE5239">
        <w:rPr>
          <w:sz w:val="24"/>
          <w:szCs w:val="24"/>
        </w:rPr>
        <w:t>Børn der vejer over 40 kg kan behandles med den samme dosis som voksne.</w:t>
      </w:r>
    </w:p>
    <w:p w14:paraId="5F2BD258" w14:textId="77777777" w:rsidR="006D1135" w:rsidRPr="00BE5239" w:rsidRDefault="006D1135" w:rsidP="00B31896">
      <w:pPr>
        <w:ind w:left="851"/>
        <w:rPr>
          <w:sz w:val="24"/>
          <w:szCs w:val="24"/>
        </w:rPr>
      </w:pPr>
    </w:p>
    <w:p w14:paraId="2F3150E3" w14:textId="77777777" w:rsidR="006D1135" w:rsidRPr="00BE5239" w:rsidRDefault="006D1135" w:rsidP="00B31896">
      <w:pPr>
        <w:ind w:left="851"/>
        <w:rPr>
          <w:sz w:val="24"/>
          <w:szCs w:val="24"/>
          <w:u w:val="single"/>
        </w:rPr>
      </w:pPr>
      <w:bookmarkStart w:id="1" w:name="_Hlk175818960"/>
      <w:r w:rsidRPr="00BE5239">
        <w:rPr>
          <w:sz w:val="24"/>
          <w:szCs w:val="24"/>
          <w:u w:val="single"/>
        </w:rPr>
        <w:t xml:space="preserve">Børn på 6 år og derover, der vejer </w:t>
      </w:r>
      <w:bookmarkStart w:id="2" w:name="_Hlk175813969"/>
      <w:r w:rsidRPr="00BE5239">
        <w:rPr>
          <w:sz w:val="24"/>
          <w:szCs w:val="24"/>
          <w:u w:val="single"/>
        </w:rPr>
        <w:t>≤</w:t>
      </w:r>
      <w:bookmarkEnd w:id="2"/>
      <w:r w:rsidRPr="00BE5239">
        <w:rPr>
          <w:sz w:val="24"/>
          <w:szCs w:val="24"/>
          <w:u w:val="single"/>
        </w:rPr>
        <w:t> 40 kg</w:t>
      </w:r>
    </w:p>
    <w:bookmarkEnd w:id="1"/>
    <w:p w14:paraId="11F8E2EB" w14:textId="77777777" w:rsidR="006D1135" w:rsidRPr="00BE5239" w:rsidRDefault="006D1135" w:rsidP="00B31896">
      <w:pPr>
        <w:ind w:left="851"/>
        <w:rPr>
          <w:sz w:val="24"/>
          <w:szCs w:val="24"/>
        </w:rPr>
      </w:pPr>
      <w:r w:rsidRPr="00BE5239">
        <w:rPr>
          <w:sz w:val="24"/>
          <w:szCs w:val="24"/>
        </w:rPr>
        <w:t xml:space="preserve">Til børn, der vejer op til 40 kg ser det ud til at være at foretrække, at anvende </w:t>
      </w:r>
      <w:proofErr w:type="spellStart"/>
      <w:r w:rsidRPr="00BE5239">
        <w:rPr>
          <w:sz w:val="24"/>
          <w:szCs w:val="24"/>
        </w:rPr>
        <w:t>mesalazinpræparater</w:t>
      </w:r>
      <w:proofErr w:type="spellEnd"/>
      <w:r w:rsidRPr="00BE5239">
        <w:rPr>
          <w:sz w:val="24"/>
          <w:szCs w:val="24"/>
        </w:rPr>
        <w:t xml:space="preserve"> af lavere styrke (f.eks. præparater indeholdende 500 mg </w:t>
      </w:r>
      <w:proofErr w:type="spellStart"/>
      <w:r w:rsidRPr="00BE5239">
        <w:rPr>
          <w:sz w:val="24"/>
          <w:szCs w:val="24"/>
        </w:rPr>
        <w:t>mesalazin</w:t>
      </w:r>
      <w:proofErr w:type="spellEnd"/>
      <w:r w:rsidRPr="00BE5239">
        <w:rPr>
          <w:sz w:val="24"/>
          <w:szCs w:val="24"/>
        </w:rPr>
        <w:t xml:space="preserve">). </w:t>
      </w:r>
    </w:p>
    <w:p w14:paraId="14260BAB" w14:textId="77777777" w:rsidR="006D1135" w:rsidRPr="00BE5239" w:rsidRDefault="006D1135" w:rsidP="00B31896">
      <w:pPr>
        <w:ind w:left="851"/>
        <w:rPr>
          <w:sz w:val="24"/>
          <w:szCs w:val="24"/>
        </w:rPr>
      </w:pPr>
    </w:p>
    <w:p w14:paraId="129A5EBD" w14:textId="77777777" w:rsidR="006D1135" w:rsidRPr="00BE5239" w:rsidRDefault="006D1135" w:rsidP="00B31896">
      <w:pPr>
        <w:ind w:left="851"/>
        <w:rPr>
          <w:sz w:val="24"/>
          <w:szCs w:val="24"/>
          <w:u w:val="single"/>
        </w:rPr>
      </w:pPr>
      <w:r w:rsidRPr="00BE5239">
        <w:rPr>
          <w:sz w:val="24"/>
          <w:szCs w:val="24"/>
          <w:u w:val="single"/>
        </w:rPr>
        <w:t>Administration</w:t>
      </w:r>
    </w:p>
    <w:p w14:paraId="4731344E" w14:textId="77777777" w:rsidR="006D1135" w:rsidRPr="00BE5239" w:rsidRDefault="006D1135" w:rsidP="00B31896">
      <w:pPr>
        <w:ind w:left="851"/>
        <w:rPr>
          <w:sz w:val="24"/>
          <w:szCs w:val="24"/>
        </w:rPr>
      </w:pPr>
    </w:p>
    <w:p w14:paraId="45B05E4A" w14:textId="77777777" w:rsidR="006D1135" w:rsidRPr="00BE5239" w:rsidRDefault="006D1135" w:rsidP="00B31896">
      <w:pPr>
        <w:ind w:left="851"/>
        <w:rPr>
          <w:sz w:val="24"/>
          <w:szCs w:val="24"/>
        </w:rPr>
      </w:pPr>
      <w:proofErr w:type="spellStart"/>
      <w:r w:rsidRPr="00BE5239">
        <w:rPr>
          <w:sz w:val="24"/>
          <w:szCs w:val="24"/>
        </w:rPr>
        <w:t>Salofalk</w:t>
      </w:r>
      <w:proofErr w:type="spellEnd"/>
      <w:r w:rsidRPr="00BE5239">
        <w:rPr>
          <w:sz w:val="24"/>
          <w:szCs w:val="24"/>
        </w:rPr>
        <w:t xml:space="preserve"> 1 g </w:t>
      </w:r>
      <w:proofErr w:type="spellStart"/>
      <w:r w:rsidRPr="00BE5239">
        <w:rPr>
          <w:sz w:val="24"/>
          <w:szCs w:val="24"/>
        </w:rPr>
        <w:t>enterotabletter</w:t>
      </w:r>
      <w:proofErr w:type="spellEnd"/>
      <w:r w:rsidRPr="00BE5239">
        <w:rPr>
          <w:sz w:val="24"/>
          <w:szCs w:val="24"/>
        </w:rPr>
        <w:t xml:space="preserve"> skal tages 1 time før måltider. De skal sluges hele, ikke tygges, for at sikre integriteten af </w:t>
      </w:r>
      <w:proofErr w:type="spellStart"/>
      <w:r w:rsidRPr="00BE5239">
        <w:rPr>
          <w:sz w:val="24"/>
          <w:szCs w:val="24"/>
        </w:rPr>
        <w:t>enterotablettens</w:t>
      </w:r>
      <w:proofErr w:type="spellEnd"/>
      <w:r w:rsidRPr="00BE5239">
        <w:rPr>
          <w:sz w:val="24"/>
          <w:szCs w:val="24"/>
        </w:rPr>
        <w:t xml:space="preserve"> belægning, og tages med rigeligt væske. </w:t>
      </w:r>
    </w:p>
    <w:p w14:paraId="1A1E2170" w14:textId="77777777" w:rsidR="006D1135" w:rsidRPr="00BE5239" w:rsidRDefault="006D1135" w:rsidP="00B31896">
      <w:pPr>
        <w:ind w:left="851"/>
        <w:rPr>
          <w:sz w:val="24"/>
          <w:szCs w:val="24"/>
        </w:rPr>
      </w:pPr>
    </w:p>
    <w:p w14:paraId="10F59663" w14:textId="77777777" w:rsidR="006D1135" w:rsidRPr="00BE5239" w:rsidRDefault="006D1135" w:rsidP="00B31896">
      <w:pPr>
        <w:ind w:left="851"/>
        <w:rPr>
          <w:sz w:val="24"/>
          <w:szCs w:val="24"/>
        </w:rPr>
      </w:pPr>
      <w:r w:rsidRPr="00BE5239">
        <w:rPr>
          <w:sz w:val="24"/>
          <w:szCs w:val="24"/>
        </w:rPr>
        <w:t xml:space="preserve">Hvis det er besværligt at sluge tabletten, skal der bruges en anden </w:t>
      </w:r>
      <w:proofErr w:type="spellStart"/>
      <w:r w:rsidRPr="00BE5239">
        <w:rPr>
          <w:sz w:val="24"/>
          <w:szCs w:val="24"/>
        </w:rPr>
        <w:t>mesalazinformulering</w:t>
      </w:r>
      <w:proofErr w:type="spellEnd"/>
      <w:r w:rsidRPr="00BE5239">
        <w:rPr>
          <w:sz w:val="24"/>
          <w:szCs w:val="24"/>
        </w:rPr>
        <w:t xml:space="preserve"> (f.eks. granulat).</w:t>
      </w:r>
    </w:p>
    <w:p w14:paraId="38971F7E" w14:textId="77777777" w:rsidR="006D1135" w:rsidRPr="00BE5239" w:rsidRDefault="006D1135" w:rsidP="00B31896">
      <w:pPr>
        <w:ind w:left="851"/>
        <w:rPr>
          <w:sz w:val="24"/>
          <w:szCs w:val="24"/>
        </w:rPr>
      </w:pPr>
    </w:p>
    <w:p w14:paraId="18A00236" w14:textId="77777777" w:rsidR="006D1135" w:rsidRPr="00BE5239" w:rsidRDefault="006D1135" w:rsidP="00B31896">
      <w:pPr>
        <w:ind w:left="851"/>
        <w:rPr>
          <w:sz w:val="24"/>
          <w:szCs w:val="24"/>
        </w:rPr>
      </w:pPr>
      <w:proofErr w:type="spellStart"/>
      <w:r w:rsidRPr="00BE5239">
        <w:rPr>
          <w:sz w:val="24"/>
          <w:szCs w:val="24"/>
        </w:rPr>
        <w:t>Salofalk</w:t>
      </w:r>
      <w:proofErr w:type="spellEnd"/>
      <w:r w:rsidRPr="00BE5239">
        <w:rPr>
          <w:sz w:val="24"/>
          <w:szCs w:val="24"/>
        </w:rPr>
        <w:t xml:space="preserve"> 1 g </w:t>
      </w:r>
      <w:proofErr w:type="spellStart"/>
      <w:r w:rsidRPr="00BE5239">
        <w:rPr>
          <w:sz w:val="24"/>
          <w:szCs w:val="24"/>
        </w:rPr>
        <w:t>enterotabletter</w:t>
      </w:r>
      <w:proofErr w:type="spellEnd"/>
      <w:r w:rsidRPr="00BE5239">
        <w:rPr>
          <w:sz w:val="24"/>
          <w:szCs w:val="24"/>
        </w:rPr>
        <w:t xml:space="preserve"> bør administreres regelmæssigt og konsekvent for at opnå den ønskede terapeutiske virkning.</w:t>
      </w:r>
    </w:p>
    <w:p w14:paraId="4D819880" w14:textId="77777777" w:rsidR="006D1135" w:rsidRPr="00BE5239" w:rsidRDefault="006D1135" w:rsidP="00B31896">
      <w:pPr>
        <w:ind w:left="851"/>
        <w:rPr>
          <w:sz w:val="24"/>
          <w:szCs w:val="24"/>
        </w:rPr>
      </w:pPr>
    </w:p>
    <w:p w14:paraId="7FC439E4" w14:textId="77777777" w:rsidR="006D1135" w:rsidRPr="00BE5239" w:rsidRDefault="006D1135" w:rsidP="00B31896">
      <w:pPr>
        <w:ind w:left="851"/>
        <w:rPr>
          <w:sz w:val="24"/>
          <w:szCs w:val="24"/>
          <w:u w:val="single"/>
        </w:rPr>
      </w:pPr>
      <w:r w:rsidRPr="00BE5239">
        <w:rPr>
          <w:sz w:val="24"/>
          <w:szCs w:val="24"/>
          <w:u w:val="single"/>
        </w:rPr>
        <w:t xml:space="preserve">Behandlingsvarighed </w:t>
      </w:r>
    </w:p>
    <w:p w14:paraId="25EDE667" w14:textId="77777777" w:rsidR="006D1135" w:rsidRPr="00BE5239" w:rsidRDefault="006D1135" w:rsidP="00B31896">
      <w:pPr>
        <w:ind w:left="851"/>
        <w:rPr>
          <w:sz w:val="24"/>
          <w:szCs w:val="24"/>
        </w:rPr>
      </w:pPr>
    </w:p>
    <w:p w14:paraId="32ACB996" w14:textId="77777777" w:rsidR="006D1135" w:rsidRPr="00BE5239" w:rsidRDefault="006D1135" w:rsidP="00B31896">
      <w:pPr>
        <w:ind w:left="851"/>
        <w:rPr>
          <w:sz w:val="24"/>
          <w:szCs w:val="24"/>
        </w:rPr>
      </w:pPr>
      <w:r w:rsidRPr="00BE5239">
        <w:rPr>
          <w:i/>
          <w:iCs/>
          <w:sz w:val="24"/>
          <w:szCs w:val="24"/>
        </w:rPr>
        <w:t xml:space="preserve">Behandlingen af akutte episoder af colitis </w:t>
      </w:r>
      <w:proofErr w:type="spellStart"/>
      <w:r w:rsidRPr="00BE5239">
        <w:rPr>
          <w:i/>
          <w:iCs/>
          <w:sz w:val="24"/>
          <w:szCs w:val="24"/>
        </w:rPr>
        <w:t>ulcerosa</w:t>
      </w:r>
      <w:proofErr w:type="spellEnd"/>
      <w:r w:rsidRPr="00BE5239">
        <w:rPr>
          <w:i/>
          <w:iCs/>
          <w:sz w:val="24"/>
          <w:szCs w:val="24"/>
        </w:rPr>
        <w:t xml:space="preserve"> varer normalt 8 uger.</w:t>
      </w:r>
      <w:r w:rsidRPr="00BE5239">
        <w:rPr>
          <w:snapToGrid w:val="0"/>
          <w:sz w:val="24"/>
          <w:szCs w:val="24"/>
        </w:rPr>
        <w:t xml:space="preserve"> </w:t>
      </w:r>
      <w:r w:rsidRPr="00BE5239">
        <w:rPr>
          <w:sz w:val="24"/>
          <w:szCs w:val="24"/>
        </w:rPr>
        <w:t xml:space="preserve">Behandlingsvarigheden bestemmes af lægen. </w:t>
      </w:r>
    </w:p>
    <w:p w14:paraId="275883DD" w14:textId="77777777" w:rsidR="006D1135" w:rsidRPr="00BE5239" w:rsidRDefault="006D1135" w:rsidP="00B31896">
      <w:pPr>
        <w:ind w:left="851"/>
        <w:rPr>
          <w:sz w:val="24"/>
          <w:szCs w:val="24"/>
        </w:rPr>
      </w:pPr>
    </w:p>
    <w:p w14:paraId="09C77CFF" w14:textId="77777777" w:rsidR="006D1135" w:rsidRPr="00BE5239" w:rsidRDefault="006D1135" w:rsidP="00B31896">
      <w:pPr>
        <w:ind w:left="851"/>
        <w:rPr>
          <w:sz w:val="24"/>
          <w:szCs w:val="24"/>
          <w:u w:val="single"/>
        </w:rPr>
      </w:pPr>
      <w:r w:rsidRPr="00BE5239">
        <w:rPr>
          <w:sz w:val="24"/>
          <w:szCs w:val="24"/>
          <w:u w:val="single"/>
        </w:rPr>
        <w:t>Bemærk</w:t>
      </w:r>
    </w:p>
    <w:p w14:paraId="4512EF98" w14:textId="77777777" w:rsidR="006D1135" w:rsidRPr="00BE5239" w:rsidRDefault="006D1135" w:rsidP="00B31896">
      <w:pPr>
        <w:ind w:left="851"/>
        <w:rPr>
          <w:sz w:val="24"/>
          <w:szCs w:val="24"/>
        </w:rPr>
      </w:pPr>
      <w:r w:rsidRPr="00BE5239">
        <w:rPr>
          <w:sz w:val="24"/>
          <w:szCs w:val="24"/>
        </w:rPr>
        <w:t xml:space="preserve">Standardbehandlingen til vedligeholdelse af remission er 500 mg </w:t>
      </w:r>
      <w:proofErr w:type="spellStart"/>
      <w:r w:rsidRPr="00BE5239">
        <w:rPr>
          <w:sz w:val="24"/>
          <w:szCs w:val="24"/>
        </w:rPr>
        <w:t>mesalazin</w:t>
      </w:r>
      <w:proofErr w:type="spellEnd"/>
      <w:r w:rsidRPr="00BE5239">
        <w:rPr>
          <w:sz w:val="24"/>
          <w:szCs w:val="24"/>
        </w:rPr>
        <w:t xml:space="preserve"> tre gange dagligt. Til denne indikation fås præparater indeholdende 500 mg </w:t>
      </w:r>
      <w:proofErr w:type="spellStart"/>
      <w:r w:rsidRPr="00BE5239">
        <w:rPr>
          <w:sz w:val="24"/>
          <w:szCs w:val="24"/>
        </w:rPr>
        <w:t>mesalazin</w:t>
      </w:r>
      <w:proofErr w:type="spellEnd"/>
      <w:r w:rsidRPr="00BE5239">
        <w:rPr>
          <w:sz w:val="24"/>
          <w:szCs w:val="24"/>
        </w:rPr>
        <w:t>.</w:t>
      </w:r>
    </w:p>
    <w:p w14:paraId="55435DCF" w14:textId="77777777" w:rsidR="009260DE" w:rsidRPr="00BE5239" w:rsidRDefault="009260DE" w:rsidP="009260DE">
      <w:pPr>
        <w:tabs>
          <w:tab w:val="left" w:pos="851"/>
        </w:tabs>
        <w:ind w:left="851"/>
        <w:rPr>
          <w:sz w:val="24"/>
          <w:szCs w:val="24"/>
        </w:rPr>
      </w:pPr>
    </w:p>
    <w:p w14:paraId="1472A86A" w14:textId="77777777" w:rsidR="009260DE" w:rsidRPr="00BE5239" w:rsidRDefault="009260DE" w:rsidP="009260DE">
      <w:pPr>
        <w:tabs>
          <w:tab w:val="left" w:pos="851"/>
        </w:tabs>
        <w:ind w:left="851" w:hanging="851"/>
        <w:rPr>
          <w:b/>
          <w:sz w:val="24"/>
          <w:szCs w:val="24"/>
        </w:rPr>
      </w:pPr>
      <w:r w:rsidRPr="00BE5239">
        <w:rPr>
          <w:b/>
          <w:sz w:val="24"/>
          <w:szCs w:val="24"/>
        </w:rPr>
        <w:t>4.3</w:t>
      </w:r>
      <w:r w:rsidRPr="00BE5239">
        <w:rPr>
          <w:b/>
          <w:sz w:val="24"/>
          <w:szCs w:val="24"/>
        </w:rPr>
        <w:tab/>
        <w:t>Kontraindikationer</w:t>
      </w:r>
    </w:p>
    <w:p w14:paraId="72A36E3A" w14:textId="77777777" w:rsidR="006D1135" w:rsidRPr="00BE5239" w:rsidRDefault="006D1135" w:rsidP="00B31896">
      <w:pPr>
        <w:ind w:left="851"/>
        <w:rPr>
          <w:sz w:val="24"/>
          <w:szCs w:val="24"/>
          <w:lang w:eastAsia="en-GB"/>
        </w:rPr>
      </w:pPr>
      <w:proofErr w:type="spellStart"/>
      <w:r w:rsidRPr="00BE5239">
        <w:rPr>
          <w:sz w:val="24"/>
          <w:szCs w:val="24"/>
        </w:rPr>
        <w:t>Salofalk</w:t>
      </w:r>
      <w:proofErr w:type="spellEnd"/>
      <w:r w:rsidRPr="00BE5239">
        <w:rPr>
          <w:sz w:val="24"/>
          <w:szCs w:val="24"/>
        </w:rPr>
        <w:t xml:space="preserve"> er kontraindiceret hos patienter med:</w:t>
      </w:r>
    </w:p>
    <w:p w14:paraId="02C88C14" w14:textId="77777777" w:rsidR="006D1135" w:rsidRPr="00BE5239" w:rsidRDefault="006D1135" w:rsidP="00B31896">
      <w:pPr>
        <w:ind w:left="851"/>
        <w:rPr>
          <w:sz w:val="24"/>
          <w:szCs w:val="24"/>
        </w:rPr>
      </w:pPr>
    </w:p>
    <w:p w14:paraId="62B2890C" w14:textId="77777777" w:rsidR="006D1135" w:rsidRPr="00BE5239" w:rsidRDefault="006D1135" w:rsidP="00703059">
      <w:pPr>
        <w:pStyle w:val="Listeafsnit"/>
        <w:numPr>
          <w:ilvl w:val="0"/>
          <w:numId w:val="11"/>
        </w:numPr>
        <w:ind w:left="1276" w:hanging="425"/>
        <w:rPr>
          <w:rFonts w:ascii="Times New Roman" w:hAnsi="Times New Roman" w:cs="Times New Roman"/>
          <w:sz w:val="24"/>
          <w:szCs w:val="24"/>
        </w:rPr>
      </w:pPr>
      <w:r w:rsidRPr="00BE5239">
        <w:rPr>
          <w:rFonts w:ascii="Times New Roman" w:hAnsi="Times New Roman" w:cs="Times New Roman"/>
          <w:sz w:val="24"/>
          <w:szCs w:val="24"/>
        </w:rPr>
        <w:t xml:space="preserve">Overfølsomhed over for det aktive stof, </w:t>
      </w:r>
      <w:proofErr w:type="spellStart"/>
      <w:r w:rsidRPr="00BE5239">
        <w:rPr>
          <w:rFonts w:ascii="Times New Roman" w:hAnsi="Times New Roman" w:cs="Times New Roman"/>
          <w:sz w:val="24"/>
          <w:szCs w:val="24"/>
        </w:rPr>
        <w:t>salicylater</w:t>
      </w:r>
      <w:proofErr w:type="spellEnd"/>
      <w:r w:rsidRPr="00BE5239">
        <w:rPr>
          <w:rFonts w:ascii="Times New Roman" w:hAnsi="Times New Roman" w:cs="Times New Roman"/>
          <w:sz w:val="24"/>
          <w:szCs w:val="24"/>
        </w:rPr>
        <w:t xml:space="preserve"> samt over for et eller flere af hjælpestofferne anført i pkt. 6.1.</w:t>
      </w:r>
    </w:p>
    <w:p w14:paraId="76406A86" w14:textId="77777777" w:rsidR="006D1135" w:rsidRPr="00BE5239" w:rsidRDefault="006D1135" w:rsidP="00703059">
      <w:pPr>
        <w:pStyle w:val="Listeafsnit"/>
        <w:numPr>
          <w:ilvl w:val="0"/>
          <w:numId w:val="11"/>
        </w:numPr>
        <w:ind w:left="1276" w:hanging="425"/>
        <w:rPr>
          <w:rFonts w:ascii="Times New Roman" w:hAnsi="Times New Roman" w:cs="Times New Roman"/>
          <w:sz w:val="24"/>
          <w:szCs w:val="24"/>
        </w:rPr>
      </w:pPr>
      <w:r w:rsidRPr="00BE5239">
        <w:rPr>
          <w:rFonts w:ascii="Times New Roman" w:hAnsi="Times New Roman" w:cs="Times New Roman"/>
          <w:sz w:val="24"/>
          <w:szCs w:val="24"/>
        </w:rPr>
        <w:t>Svært nedsat lever- eller nyrefunktion.</w:t>
      </w:r>
    </w:p>
    <w:p w14:paraId="42BFF02E" w14:textId="77777777" w:rsidR="009260DE" w:rsidRPr="00BE5239" w:rsidRDefault="009260DE" w:rsidP="009260DE">
      <w:pPr>
        <w:tabs>
          <w:tab w:val="left" w:pos="851"/>
        </w:tabs>
        <w:ind w:left="851"/>
        <w:rPr>
          <w:sz w:val="24"/>
          <w:szCs w:val="24"/>
        </w:rPr>
      </w:pPr>
    </w:p>
    <w:p w14:paraId="586DE4CF" w14:textId="77777777" w:rsidR="009260DE" w:rsidRPr="00BE5239" w:rsidRDefault="009260DE" w:rsidP="009260DE">
      <w:pPr>
        <w:tabs>
          <w:tab w:val="left" w:pos="851"/>
        </w:tabs>
        <w:ind w:left="851" w:hanging="851"/>
        <w:rPr>
          <w:b/>
          <w:sz w:val="24"/>
          <w:szCs w:val="24"/>
        </w:rPr>
      </w:pPr>
      <w:r w:rsidRPr="00BE5239">
        <w:rPr>
          <w:b/>
          <w:sz w:val="24"/>
          <w:szCs w:val="24"/>
        </w:rPr>
        <w:t>4.4</w:t>
      </w:r>
      <w:r w:rsidRPr="00BE5239">
        <w:rPr>
          <w:b/>
          <w:sz w:val="24"/>
          <w:szCs w:val="24"/>
        </w:rPr>
        <w:tab/>
        <w:t>Særlige advarsler og forsigtighedsregler vedrørende brugen</w:t>
      </w:r>
    </w:p>
    <w:p w14:paraId="307BCE4E" w14:textId="77777777" w:rsidR="006D1135" w:rsidRPr="00BE5239" w:rsidRDefault="006D1135" w:rsidP="00B31896">
      <w:pPr>
        <w:ind w:left="851"/>
        <w:rPr>
          <w:sz w:val="24"/>
          <w:szCs w:val="24"/>
          <w:lang w:eastAsia="en-GB"/>
        </w:rPr>
      </w:pPr>
      <w:r w:rsidRPr="00BE5239">
        <w:rPr>
          <w:sz w:val="24"/>
          <w:szCs w:val="24"/>
        </w:rPr>
        <w:t>Kontrol af blodbillede (</w:t>
      </w:r>
      <w:proofErr w:type="spellStart"/>
      <w:r w:rsidRPr="00BE5239">
        <w:rPr>
          <w:sz w:val="24"/>
          <w:szCs w:val="24"/>
        </w:rPr>
        <w:t>differentialtælling</w:t>
      </w:r>
      <w:proofErr w:type="spellEnd"/>
      <w:r w:rsidRPr="00BE5239">
        <w:rPr>
          <w:sz w:val="24"/>
          <w:szCs w:val="24"/>
        </w:rPr>
        <w:t xml:space="preserve">, leverfunktionsparametre såsom ALAT eller ASAT, </w:t>
      </w:r>
      <w:proofErr w:type="spellStart"/>
      <w:r w:rsidRPr="00BE5239">
        <w:rPr>
          <w:sz w:val="24"/>
          <w:szCs w:val="24"/>
        </w:rPr>
        <w:t>serumkreatinin</w:t>
      </w:r>
      <w:proofErr w:type="spellEnd"/>
      <w:r w:rsidRPr="00BE5239">
        <w:rPr>
          <w:sz w:val="24"/>
          <w:szCs w:val="24"/>
        </w:rPr>
        <w:t>) og urinstatus (urinstrips) bør efter den behandlende læges vurdering kontrolleres før og under behandling. Som retningslinje anbefales opfølgende kontrolundersøgelser 14 dage efter behandlingens begyndelse og derefter 2 til 3 kontrolundersøgelser med 4 ugers interval.</w:t>
      </w:r>
    </w:p>
    <w:p w14:paraId="18A6607A" w14:textId="77777777" w:rsidR="006D1135" w:rsidRPr="00BE5239" w:rsidRDefault="006D1135" w:rsidP="00B31896">
      <w:pPr>
        <w:ind w:left="851"/>
        <w:rPr>
          <w:sz w:val="24"/>
          <w:szCs w:val="24"/>
        </w:rPr>
      </w:pPr>
    </w:p>
    <w:p w14:paraId="41CFEF81" w14:textId="77777777" w:rsidR="006D1135" w:rsidRPr="00BE5239" w:rsidRDefault="006D1135" w:rsidP="00B31896">
      <w:pPr>
        <w:ind w:left="851"/>
        <w:rPr>
          <w:sz w:val="24"/>
          <w:szCs w:val="24"/>
        </w:rPr>
      </w:pPr>
      <w:r w:rsidRPr="00BE5239">
        <w:rPr>
          <w:sz w:val="24"/>
          <w:szCs w:val="24"/>
        </w:rPr>
        <w:t>Er resultatet af prøverne normale, foretages kontrolundersøgelser hver 3. måned. Hvis yderligere symptomer forekommer, skal disse kontrolundersøgelser udføres straks.</w:t>
      </w:r>
    </w:p>
    <w:p w14:paraId="6123F0C4" w14:textId="77777777" w:rsidR="006D1135" w:rsidRPr="00BE5239" w:rsidRDefault="006D1135" w:rsidP="00B31896">
      <w:pPr>
        <w:ind w:left="851"/>
        <w:rPr>
          <w:sz w:val="24"/>
          <w:szCs w:val="24"/>
        </w:rPr>
      </w:pPr>
    </w:p>
    <w:p w14:paraId="3AD8854A" w14:textId="77777777" w:rsidR="006D1135" w:rsidRPr="00BE5239" w:rsidRDefault="006D1135" w:rsidP="00B31896">
      <w:pPr>
        <w:ind w:left="851"/>
        <w:rPr>
          <w:sz w:val="24"/>
          <w:szCs w:val="24"/>
        </w:rPr>
      </w:pPr>
      <w:r w:rsidRPr="00BE5239">
        <w:rPr>
          <w:sz w:val="24"/>
          <w:szCs w:val="24"/>
        </w:rPr>
        <w:t>Forsigtighed bør udvises hos patienter med nedsat leverfunktion.</w:t>
      </w:r>
    </w:p>
    <w:p w14:paraId="1F7E4BEA" w14:textId="77777777" w:rsidR="006D1135" w:rsidRPr="00BE5239" w:rsidRDefault="006D1135" w:rsidP="00B31896">
      <w:pPr>
        <w:ind w:left="851"/>
        <w:rPr>
          <w:sz w:val="24"/>
          <w:szCs w:val="24"/>
        </w:rPr>
      </w:pPr>
    </w:p>
    <w:p w14:paraId="4B33164A" w14:textId="77777777" w:rsidR="006D1135" w:rsidRPr="00BE5239" w:rsidRDefault="006D1135" w:rsidP="00B31896">
      <w:pPr>
        <w:ind w:left="851"/>
        <w:rPr>
          <w:b/>
          <w:bCs/>
          <w:i/>
          <w:iCs/>
          <w:sz w:val="24"/>
          <w:szCs w:val="24"/>
        </w:rPr>
      </w:pPr>
      <w:proofErr w:type="spellStart"/>
      <w:r w:rsidRPr="00BE5239">
        <w:rPr>
          <w:sz w:val="24"/>
          <w:szCs w:val="24"/>
        </w:rPr>
        <w:t>Mesalazin</w:t>
      </w:r>
      <w:proofErr w:type="spellEnd"/>
      <w:r w:rsidRPr="00BE5239">
        <w:rPr>
          <w:sz w:val="24"/>
          <w:szCs w:val="24"/>
        </w:rPr>
        <w:t xml:space="preserve"> bør ikke anvendes til patienter med nedsat nyrefunktion. </w:t>
      </w:r>
      <w:proofErr w:type="spellStart"/>
      <w:r w:rsidRPr="00BE5239">
        <w:rPr>
          <w:sz w:val="24"/>
          <w:szCs w:val="24"/>
        </w:rPr>
        <w:t>Mesalazin</w:t>
      </w:r>
      <w:proofErr w:type="spellEnd"/>
      <w:r w:rsidRPr="00BE5239">
        <w:rPr>
          <w:sz w:val="24"/>
          <w:szCs w:val="24"/>
        </w:rPr>
        <w:t xml:space="preserve">-fremkaldt nyretoksicitet bør overvejes, såfremt nyrefunktionen forringes under behandlingen. </w:t>
      </w:r>
      <w:r w:rsidRPr="00BE5239">
        <w:rPr>
          <w:b/>
          <w:bCs/>
          <w:i/>
          <w:iCs/>
          <w:sz w:val="24"/>
          <w:szCs w:val="24"/>
        </w:rPr>
        <w:t xml:space="preserve">Hvis dette er tilfældet, skal </w:t>
      </w:r>
      <w:proofErr w:type="spellStart"/>
      <w:r w:rsidRPr="00BE5239">
        <w:rPr>
          <w:b/>
          <w:bCs/>
          <w:i/>
          <w:iCs/>
          <w:sz w:val="24"/>
          <w:szCs w:val="24"/>
        </w:rPr>
        <w:t>Salofalk</w:t>
      </w:r>
      <w:proofErr w:type="spellEnd"/>
      <w:r w:rsidRPr="00BE5239">
        <w:rPr>
          <w:b/>
          <w:bCs/>
          <w:i/>
          <w:iCs/>
          <w:sz w:val="24"/>
          <w:szCs w:val="24"/>
        </w:rPr>
        <w:t xml:space="preserve"> straks seponeres.</w:t>
      </w:r>
    </w:p>
    <w:p w14:paraId="01EAFD43" w14:textId="77777777" w:rsidR="006D1135" w:rsidRPr="00BE5239" w:rsidRDefault="006D1135" w:rsidP="00B31896">
      <w:pPr>
        <w:ind w:left="851"/>
        <w:rPr>
          <w:sz w:val="24"/>
          <w:szCs w:val="24"/>
        </w:rPr>
      </w:pPr>
    </w:p>
    <w:p w14:paraId="2F02A7CA" w14:textId="77777777" w:rsidR="006D1135" w:rsidRPr="00BE5239" w:rsidRDefault="006D1135" w:rsidP="00B31896">
      <w:pPr>
        <w:ind w:left="851"/>
        <w:rPr>
          <w:sz w:val="24"/>
          <w:szCs w:val="24"/>
        </w:rPr>
      </w:pPr>
      <w:r w:rsidRPr="00BE5239">
        <w:rPr>
          <w:sz w:val="24"/>
          <w:szCs w:val="24"/>
        </w:rPr>
        <w:t xml:space="preserve">Der er rapporteret om tilfælde af </w:t>
      </w:r>
      <w:proofErr w:type="spellStart"/>
      <w:r w:rsidRPr="00BE5239">
        <w:rPr>
          <w:sz w:val="24"/>
          <w:szCs w:val="24"/>
        </w:rPr>
        <w:t>nefrolitiasis</w:t>
      </w:r>
      <w:proofErr w:type="spellEnd"/>
      <w:r w:rsidRPr="00BE5239">
        <w:rPr>
          <w:sz w:val="24"/>
          <w:szCs w:val="24"/>
        </w:rPr>
        <w:t xml:space="preserve"> ved anvendelse af </w:t>
      </w:r>
      <w:proofErr w:type="spellStart"/>
      <w:r w:rsidRPr="00BE5239">
        <w:rPr>
          <w:sz w:val="24"/>
          <w:szCs w:val="24"/>
        </w:rPr>
        <w:t>mesalazin</w:t>
      </w:r>
      <w:proofErr w:type="spellEnd"/>
      <w:r w:rsidRPr="00BE5239">
        <w:rPr>
          <w:sz w:val="24"/>
          <w:szCs w:val="24"/>
        </w:rPr>
        <w:t xml:space="preserve">, herunder sten med et </w:t>
      </w:r>
      <w:proofErr w:type="spellStart"/>
      <w:r w:rsidRPr="00BE5239">
        <w:rPr>
          <w:sz w:val="24"/>
          <w:szCs w:val="24"/>
        </w:rPr>
        <w:t>mesalazin</w:t>
      </w:r>
      <w:proofErr w:type="spellEnd"/>
      <w:r w:rsidRPr="00BE5239">
        <w:rPr>
          <w:sz w:val="24"/>
          <w:szCs w:val="24"/>
        </w:rPr>
        <w:t>-indhold på 100 %. Det anbefales at sørge for tilstrækkelig væskeindtagelse under behandlingen.</w:t>
      </w:r>
    </w:p>
    <w:p w14:paraId="13EBCFEC" w14:textId="77777777" w:rsidR="006D1135" w:rsidRPr="00BE5239" w:rsidRDefault="006D1135" w:rsidP="00B31896">
      <w:pPr>
        <w:ind w:left="851"/>
        <w:rPr>
          <w:sz w:val="24"/>
          <w:szCs w:val="24"/>
        </w:rPr>
      </w:pPr>
    </w:p>
    <w:p w14:paraId="58944B8D" w14:textId="77777777" w:rsidR="006D1135" w:rsidRPr="00BE5239" w:rsidRDefault="006D1135" w:rsidP="00B31896">
      <w:pPr>
        <w:ind w:left="851"/>
        <w:rPr>
          <w:sz w:val="24"/>
          <w:szCs w:val="24"/>
        </w:rPr>
      </w:pPr>
      <w:proofErr w:type="spellStart"/>
      <w:r w:rsidRPr="00BE5239">
        <w:rPr>
          <w:sz w:val="24"/>
          <w:szCs w:val="24"/>
        </w:rPr>
        <w:t>Mesalazin</w:t>
      </w:r>
      <w:proofErr w:type="spellEnd"/>
      <w:r w:rsidRPr="00BE5239">
        <w:rPr>
          <w:sz w:val="24"/>
          <w:szCs w:val="24"/>
        </w:rPr>
        <w:t xml:space="preserve"> kan forårsage </w:t>
      </w:r>
      <w:proofErr w:type="spellStart"/>
      <w:r w:rsidRPr="00BE5239">
        <w:rPr>
          <w:sz w:val="24"/>
          <w:szCs w:val="24"/>
        </w:rPr>
        <w:t>rød-brun</w:t>
      </w:r>
      <w:proofErr w:type="spellEnd"/>
      <w:r w:rsidRPr="00BE5239">
        <w:rPr>
          <w:sz w:val="24"/>
          <w:szCs w:val="24"/>
        </w:rPr>
        <w:t xml:space="preserve"> misfarvning af urinen efter kontakt med </w:t>
      </w:r>
      <w:proofErr w:type="spellStart"/>
      <w:r w:rsidRPr="00BE5239">
        <w:rPr>
          <w:sz w:val="24"/>
          <w:szCs w:val="24"/>
        </w:rPr>
        <w:t>natriumhypoklorit</w:t>
      </w:r>
      <w:proofErr w:type="spellEnd"/>
      <w:r w:rsidRPr="00BE5239">
        <w:rPr>
          <w:sz w:val="24"/>
          <w:szCs w:val="24"/>
        </w:rPr>
        <w:t xml:space="preserve">-blegemiddel (f.eks. i toiletter der er blevet renset med </w:t>
      </w:r>
      <w:proofErr w:type="spellStart"/>
      <w:r w:rsidRPr="00BE5239">
        <w:rPr>
          <w:sz w:val="24"/>
          <w:szCs w:val="24"/>
        </w:rPr>
        <w:t>natriumhypoklorit</w:t>
      </w:r>
      <w:proofErr w:type="spellEnd"/>
      <w:r w:rsidRPr="00BE5239">
        <w:rPr>
          <w:sz w:val="24"/>
          <w:szCs w:val="24"/>
        </w:rPr>
        <w:t xml:space="preserve"> som findes i nogle former af blegemidler).</w:t>
      </w:r>
    </w:p>
    <w:p w14:paraId="4C23509D" w14:textId="77777777" w:rsidR="006D1135" w:rsidRPr="00BE5239" w:rsidRDefault="006D1135" w:rsidP="00B31896">
      <w:pPr>
        <w:ind w:left="851"/>
        <w:rPr>
          <w:sz w:val="24"/>
          <w:szCs w:val="24"/>
        </w:rPr>
      </w:pPr>
    </w:p>
    <w:p w14:paraId="01D88290" w14:textId="77777777" w:rsidR="006D1135" w:rsidRPr="00BE5239" w:rsidRDefault="006D1135" w:rsidP="00B31896">
      <w:pPr>
        <w:ind w:left="851"/>
        <w:rPr>
          <w:b/>
          <w:bCs/>
          <w:i/>
          <w:iCs/>
          <w:sz w:val="24"/>
          <w:szCs w:val="24"/>
        </w:rPr>
      </w:pPr>
      <w:bookmarkStart w:id="3" w:name="_Hlk130370581"/>
      <w:r w:rsidRPr="00BE5239">
        <w:rPr>
          <w:b/>
          <w:bCs/>
          <w:i/>
          <w:iCs/>
          <w:sz w:val="24"/>
          <w:szCs w:val="24"/>
        </w:rPr>
        <w:t xml:space="preserve">I meget sjældne tilfælde er alvorlige </w:t>
      </w:r>
      <w:proofErr w:type="spellStart"/>
      <w:r w:rsidRPr="00BE5239">
        <w:rPr>
          <w:b/>
          <w:bCs/>
          <w:i/>
          <w:iCs/>
          <w:sz w:val="24"/>
          <w:szCs w:val="24"/>
        </w:rPr>
        <w:t>bloddyskrasier</w:t>
      </w:r>
      <w:proofErr w:type="spellEnd"/>
      <w:r w:rsidRPr="00BE5239">
        <w:rPr>
          <w:b/>
          <w:bCs/>
          <w:i/>
          <w:iCs/>
          <w:sz w:val="24"/>
          <w:szCs w:val="24"/>
        </w:rPr>
        <w:t xml:space="preserve"> blevet rapporteret med </w:t>
      </w:r>
      <w:proofErr w:type="spellStart"/>
      <w:r w:rsidRPr="00BE5239">
        <w:rPr>
          <w:b/>
          <w:bCs/>
          <w:i/>
          <w:iCs/>
          <w:sz w:val="24"/>
          <w:szCs w:val="24"/>
        </w:rPr>
        <w:t>mesalazin</w:t>
      </w:r>
      <w:proofErr w:type="spellEnd"/>
      <w:r w:rsidRPr="00BE5239">
        <w:rPr>
          <w:b/>
          <w:bCs/>
          <w:i/>
          <w:iCs/>
          <w:sz w:val="24"/>
          <w:szCs w:val="24"/>
        </w:rPr>
        <w:t xml:space="preserve">. Der bør udføres hæmatologiske undersøgelser, hvis patienterne lider af </w:t>
      </w:r>
      <w:proofErr w:type="spellStart"/>
      <w:r w:rsidRPr="00BE5239">
        <w:rPr>
          <w:b/>
          <w:bCs/>
          <w:i/>
          <w:iCs/>
          <w:sz w:val="24"/>
          <w:szCs w:val="24"/>
        </w:rPr>
        <w:t>uforklarede</w:t>
      </w:r>
      <w:proofErr w:type="spellEnd"/>
      <w:r w:rsidRPr="00BE5239">
        <w:rPr>
          <w:b/>
          <w:bCs/>
          <w:i/>
          <w:iCs/>
          <w:sz w:val="24"/>
          <w:szCs w:val="24"/>
        </w:rPr>
        <w:t xml:space="preserve"> blødninger, blå mærker, </w:t>
      </w:r>
      <w:proofErr w:type="spellStart"/>
      <w:r w:rsidRPr="00BE5239">
        <w:rPr>
          <w:b/>
          <w:bCs/>
          <w:i/>
          <w:iCs/>
          <w:sz w:val="24"/>
          <w:szCs w:val="24"/>
        </w:rPr>
        <w:t>purpura</w:t>
      </w:r>
      <w:proofErr w:type="spellEnd"/>
      <w:r w:rsidRPr="00BE5239">
        <w:rPr>
          <w:b/>
          <w:bCs/>
          <w:i/>
          <w:iCs/>
          <w:sz w:val="24"/>
          <w:szCs w:val="24"/>
        </w:rPr>
        <w:t xml:space="preserve">, anæmi, feber eller </w:t>
      </w:r>
      <w:proofErr w:type="spellStart"/>
      <w:r w:rsidRPr="00BE5239">
        <w:rPr>
          <w:b/>
          <w:bCs/>
          <w:i/>
          <w:iCs/>
          <w:sz w:val="24"/>
          <w:szCs w:val="24"/>
        </w:rPr>
        <w:t>faryngolaryngeale</w:t>
      </w:r>
      <w:proofErr w:type="spellEnd"/>
      <w:r w:rsidRPr="00BE5239">
        <w:rPr>
          <w:b/>
          <w:bCs/>
          <w:i/>
          <w:iCs/>
          <w:sz w:val="24"/>
          <w:szCs w:val="24"/>
        </w:rPr>
        <w:t xml:space="preserve"> smerter. </w:t>
      </w:r>
      <w:proofErr w:type="spellStart"/>
      <w:r w:rsidRPr="00BE5239">
        <w:rPr>
          <w:b/>
          <w:bCs/>
          <w:i/>
          <w:iCs/>
          <w:sz w:val="24"/>
          <w:szCs w:val="24"/>
        </w:rPr>
        <w:t>Salofalk</w:t>
      </w:r>
      <w:proofErr w:type="spellEnd"/>
      <w:r w:rsidRPr="00BE5239">
        <w:rPr>
          <w:b/>
          <w:bCs/>
          <w:i/>
          <w:iCs/>
          <w:sz w:val="24"/>
          <w:szCs w:val="24"/>
        </w:rPr>
        <w:t xml:space="preserve"> bør seponeres i tilfælde af mistænkt eller bekræftet </w:t>
      </w:r>
      <w:proofErr w:type="spellStart"/>
      <w:r w:rsidRPr="00BE5239">
        <w:rPr>
          <w:b/>
          <w:bCs/>
          <w:i/>
          <w:iCs/>
          <w:sz w:val="24"/>
          <w:szCs w:val="24"/>
        </w:rPr>
        <w:t>bloddyskrasi</w:t>
      </w:r>
      <w:proofErr w:type="spellEnd"/>
      <w:r w:rsidRPr="00BE5239">
        <w:rPr>
          <w:b/>
          <w:bCs/>
          <w:i/>
          <w:iCs/>
          <w:sz w:val="24"/>
          <w:szCs w:val="24"/>
        </w:rPr>
        <w:t>.</w:t>
      </w:r>
    </w:p>
    <w:p w14:paraId="6A157486" w14:textId="77777777" w:rsidR="006D1135" w:rsidRPr="00BE5239" w:rsidRDefault="006D1135" w:rsidP="00B31896">
      <w:pPr>
        <w:ind w:left="851"/>
        <w:rPr>
          <w:sz w:val="24"/>
          <w:szCs w:val="24"/>
        </w:rPr>
      </w:pPr>
    </w:p>
    <w:p w14:paraId="54242AF2" w14:textId="77777777" w:rsidR="006D1135" w:rsidRPr="00BE5239" w:rsidRDefault="006D1135" w:rsidP="00B31896">
      <w:pPr>
        <w:ind w:left="851"/>
        <w:rPr>
          <w:b/>
          <w:bCs/>
          <w:i/>
          <w:iCs/>
          <w:sz w:val="24"/>
          <w:szCs w:val="24"/>
        </w:rPr>
      </w:pPr>
      <w:r w:rsidRPr="00BE5239">
        <w:rPr>
          <w:b/>
          <w:bCs/>
          <w:i/>
          <w:iCs/>
          <w:sz w:val="24"/>
          <w:szCs w:val="24"/>
        </w:rPr>
        <w:t>I sjældne tilfælde er hjerteoverfølsomhedsreaktioner (</w:t>
      </w:r>
      <w:proofErr w:type="spellStart"/>
      <w:r w:rsidRPr="00BE5239">
        <w:rPr>
          <w:b/>
          <w:bCs/>
          <w:i/>
          <w:iCs/>
          <w:sz w:val="24"/>
          <w:szCs w:val="24"/>
        </w:rPr>
        <w:t>myokarditis</w:t>
      </w:r>
      <w:proofErr w:type="spellEnd"/>
      <w:r w:rsidRPr="00BE5239">
        <w:rPr>
          <w:b/>
          <w:bCs/>
          <w:i/>
          <w:iCs/>
          <w:sz w:val="24"/>
          <w:szCs w:val="24"/>
        </w:rPr>
        <w:t xml:space="preserve"> og </w:t>
      </w:r>
      <w:proofErr w:type="spellStart"/>
      <w:r w:rsidRPr="00BE5239">
        <w:rPr>
          <w:b/>
          <w:bCs/>
          <w:i/>
          <w:iCs/>
          <w:sz w:val="24"/>
          <w:szCs w:val="24"/>
        </w:rPr>
        <w:t>perikarditis</w:t>
      </w:r>
      <w:proofErr w:type="spellEnd"/>
      <w:r w:rsidRPr="00BE5239">
        <w:rPr>
          <w:b/>
          <w:bCs/>
          <w:i/>
          <w:iCs/>
          <w:sz w:val="24"/>
          <w:szCs w:val="24"/>
        </w:rPr>
        <w:t xml:space="preserve">) induceret af </w:t>
      </w:r>
      <w:proofErr w:type="spellStart"/>
      <w:r w:rsidRPr="00BE5239">
        <w:rPr>
          <w:b/>
          <w:bCs/>
          <w:i/>
          <w:iCs/>
          <w:sz w:val="24"/>
          <w:szCs w:val="24"/>
        </w:rPr>
        <w:t>mesalazin</w:t>
      </w:r>
      <w:proofErr w:type="spellEnd"/>
      <w:r w:rsidRPr="00BE5239">
        <w:rPr>
          <w:b/>
          <w:bCs/>
          <w:i/>
          <w:iCs/>
          <w:sz w:val="24"/>
          <w:szCs w:val="24"/>
        </w:rPr>
        <w:t xml:space="preserve"> blevet rapporteret. </w:t>
      </w:r>
      <w:proofErr w:type="spellStart"/>
      <w:r w:rsidRPr="00BE5239">
        <w:rPr>
          <w:b/>
          <w:bCs/>
          <w:i/>
          <w:iCs/>
          <w:sz w:val="24"/>
          <w:szCs w:val="24"/>
        </w:rPr>
        <w:t>Salofalk</w:t>
      </w:r>
      <w:proofErr w:type="spellEnd"/>
      <w:r w:rsidRPr="00BE5239">
        <w:rPr>
          <w:b/>
          <w:bCs/>
          <w:i/>
          <w:iCs/>
          <w:sz w:val="24"/>
          <w:szCs w:val="24"/>
        </w:rPr>
        <w:t xml:space="preserve"> skal i så fald straks seponeres.</w:t>
      </w:r>
    </w:p>
    <w:bookmarkEnd w:id="3"/>
    <w:p w14:paraId="0A9076D6" w14:textId="77777777" w:rsidR="006D1135" w:rsidRPr="00BE5239" w:rsidRDefault="006D1135" w:rsidP="00B31896">
      <w:pPr>
        <w:ind w:left="851"/>
        <w:rPr>
          <w:sz w:val="24"/>
          <w:szCs w:val="24"/>
        </w:rPr>
      </w:pPr>
    </w:p>
    <w:p w14:paraId="632B98F3" w14:textId="77777777" w:rsidR="006D1135" w:rsidRPr="00BE5239" w:rsidRDefault="006D1135" w:rsidP="00B31896">
      <w:pPr>
        <w:ind w:left="851"/>
        <w:rPr>
          <w:sz w:val="24"/>
          <w:szCs w:val="24"/>
        </w:rPr>
      </w:pPr>
      <w:r w:rsidRPr="00BE5239">
        <w:rPr>
          <w:sz w:val="24"/>
          <w:szCs w:val="24"/>
        </w:rPr>
        <w:t xml:space="preserve">Patienter med lungesygdomme, især astma, bør nøje monitoreres under behandlingsforløbet med </w:t>
      </w:r>
      <w:proofErr w:type="spellStart"/>
      <w:r w:rsidRPr="00BE5239">
        <w:rPr>
          <w:sz w:val="24"/>
          <w:szCs w:val="24"/>
        </w:rPr>
        <w:t>mesalazin</w:t>
      </w:r>
      <w:proofErr w:type="spellEnd"/>
      <w:r w:rsidRPr="00BE5239">
        <w:rPr>
          <w:sz w:val="24"/>
          <w:szCs w:val="24"/>
        </w:rPr>
        <w:t>.</w:t>
      </w:r>
    </w:p>
    <w:p w14:paraId="1A979EBC" w14:textId="77777777" w:rsidR="006D1135" w:rsidRPr="00BE5239" w:rsidRDefault="006D1135" w:rsidP="00B31896">
      <w:pPr>
        <w:ind w:left="851"/>
        <w:rPr>
          <w:sz w:val="24"/>
          <w:szCs w:val="24"/>
        </w:rPr>
      </w:pPr>
    </w:p>
    <w:p w14:paraId="45B160D2" w14:textId="77777777" w:rsidR="006D1135" w:rsidRPr="00BE5239" w:rsidRDefault="006D1135" w:rsidP="00B31896">
      <w:pPr>
        <w:ind w:left="851"/>
        <w:rPr>
          <w:sz w:val="24"/>
          <w:szCs w:val="24"/>
          <w:u w:val="single"/>
        </w:rPr>
      </w:pPr>
      <w:r w:rsidRPr="00BE5239">
        <w:rPr>
          <w:sz w:val="24"/>
          <w:szCs w:val="24"/>
          <w:u w:val="single"/>
        </w:rPr>
        <w:t xml:space="preserve">Svære </w:t>
      </w:r>
      <w:proofErr w:type="spellStart"/>
      <w:r w:rsidRPr="00BE5239">
        <w:rPr>
          <w:sz w:val="24"/>
          <w:szCs w:val="24"/>
          <w:u w:val="single"/>
        </w:rPr>
        <w:t>kutane</w:t>
      </w:r>
      <w:proofErr w:type="spellEnd"/>
      <w:r w:rsidRPr="00BE5239">
        <w:rPr>
          <w:sz w:val="24"/>
          <w:szCs w:val="24"/>
          <w:u w:val="single"/>
        </w:rPr>
        <w:t xml:space="preserve"> bivirkninger</w:t>
      </w:r>
    </w:p>
    <w:p w14:paraId="40DC3FEA" w14:textId="77777777" w:rsidR="006D1135" w:rsidRPr="00BE5239" w:rsidRDefault="006D1135" w:rsidP="00B31896">
      <w:pPr>
        <w:ind w:left="851"/>
        <w:rPr>
          <w:sz w:val="24"/>
          <w:szCs w:val="24"/>
        </w:rPr>
      </w:pPr>
      <w:r w:rsidRPr="00BE5239">
        <w:rPr>
          <w:sz w:val="24"/>
          <w:szCs w:val="24"/>
        </w:rPr>
        <w:t xml:space="preserve">Der er rapporteret om svære </w:t>
      </w:r>
      <w:proofErr w:type="spellStart"/>
      <w:r w:rsidRPr="00BE5239">
        <w:rPr>
          <w:sz w:val="24"/>
          <w:szCs w:val="24"/>
        </w:rPr>
        <w:t>kutane</w:t>
      </w:r>
      <w:proofErr w:type="spellEnd"/>
      <w:r w:rsidRPr="00BE5239">
        <w:rPr>
          <w:sz w:val="24"/>
          <w:szCs w:val="24"/>
        </w:rPr>
        <w:t xml:space="preserve"> bivirkninger (</w:t>
      </w:r>
      <w:proofErr w:type="spellStart"/>
      <w:r w:rsidRPr="00BE5239">
        <w:rPr>
          <w:sz w:val="24"/>
          <w:szCs w:val="24"/>
        </w:rPr>
        <w:t>SCARs</w:t>
      </w:r>
      <w:proofErr w:type="spellEnd"/>
      <w:r w:rsidRPr="00BE5239">
        <w:rPr>
          <w:sz w:val="24"/>
          <w:szCs w:val="24"/>
        </w:rPr>
        <w:t xml:space="preserve">), herunder lægemiddelreaktionen </w:t>
      </w:r>
      <w:proofErr w:type="spellStart"/>
      <w:r w:rsidRPr="00BE5239">
        <w:rPr>
          <w:sz w:val="24"/>
          <w:szCs w:val="24"/>
        </w:rPr>
        <w:t>eosinofili</w:t>
      </w:r>
      <w:proofErr w:type="spellEnd"/>
      <w:r w:rsidRPr="00BE5239">
        <w:rPr>
          <w:sz w:val="24"/>
          <w:szCs w:val="24"/>
        </w:rPr>
        <w:t xml:space="preserve"> og systemiske symptomer (DRESS), Stevens-Johnsons syndrom (SJS) og toksisk </w:t>
      </w:r>
      <w:proofErr w:type="spellStart"/>
      <w:r w:rsidRPr="00BE5239">
        <w:rPr>
          <w:sz w:val="24"/>
          <w:szCs w:val="24"/>
        </w:rPr>
        <w:t>epidermal</w:t>
      </w:r>
      <w:proofErr w:type="spellEnd"/>
      <w:r w:rsidRPr="00BE5239">
        <w:rPr>
          <w:sz w:val="24"/>
          <w:szCs w:val="24"/>
        </w:rPr>
        <w:t xml:space="preserve"> </w:t>
      </w:r>
      <w:proofErr w:type="spellStart"/>
      <w:r w:rsidRPr="00BE5239">
        <w:rPr>
          <w:sz w:val="24"/>
          <w:szCs w:val="24"/>
        </w:rPr>
        <w:t>nekrolyse</w:t>
      </w:r>
      <w:proofErr w:type="spellEnd"/>
      <w:r w:rsidRPr="00BE5239">
        <w:rPr>
          <w:sz w:val="24"/>
          <w:szCs w:val="24"/>
        </w:rPr>
        <w:t xml:space="preserve"> (TEN), i forbindelse med </w:t>
      </w:r>
      <w:proofErr w:type="spellStart"/>
      <w:r w:rsidRPr="00BE5239">
        <w:rPr>
          <w:sz w:val="24"/>
          <w:szCs w:val="24"/>
        </w:rPr>
        <w:t>mesalazin</w:t>
      </w:r>
      <w:proofErr w:type="spellEnd"/>
      <w:r w:rsidRPr="00BE5239">
        <w:rPr>
          <w:sz w:val="24"/>
          <w:szCs w:val="24"/>
        </w:rPr>
        <w:t>-behandling.</w:t>
      </w:r>
    </w:p>
    <w:p w14:paraId="5C8CD5DD" w14:textId="77777777" w:rsidR="006D1135" w:rsidRPr="00BE5239" w:rsidRDefault="006D1135" w:rsidP="00B31896">
      <w:pPr>
        <w:ind w:left="851"/>
        <w:rPr>
          <w:sz w:val="24"/>
          <w:szCs w:val="24"/>
        </w:rPr>
      </w:pPr>
      <w:proofErr w:type="spellStart"/>
      <w:r w:rsidRPr="00BE5239">
        <w:rPr>
          <w:sz w:val="24"/>
          <w:szCs w:val="24"/>
        </w:rPr>
        <w:t>Mesalazin</w:t>
      </w:r>
      <w:proofErr w:type="spellEnd"/>
      <w:r w:rsidRPr="00BE5239">
        <w:rPr>
          <w:sz w:val="24"/>
          <w:szCs w:val="24"/>
        </w:rPr>
        <w:t xml:space="preserve"> bør seponeres ved de første tegn og symptomer på svære hudreaktioner, f.eks. hududslæt, slimhindelæsioner eller andre tegn på overfølsomhed.</w:t>
      </w:r>
    </w:p>
    <w:p w14:paraId="21F561AB" w14:textId="77777777" w:rsidR="006D1135" w:rsidRPr="00BE5239" w:rsidRDefault="006D1135" w:rsidP="00B31896">
      <w:pPr>
        <w:ind w:left="851"/>
        <w:rPr>
          <w:sz w:val="24"/>
          <w:szCs w:val="24"/>
        </w:rPr>
      </w:pPr>
    </w:p>
    <w:p w14:paraId="5DB0A38D" w14:textId="77777777" w:rsidR="006D1135" w:rsidRPr="00BE5239" w:rsidRDefault="006D1135" w:rsidP="00B31896">
      <w:pPr>
        <w:ind w:left="851"/>
        <w:rPr>
          <w:sz w:val="24"/>
          <w:szCs w:val="24"/>
        </w:rPr>
      </w:pPr>
      <w:r w:rsidRPr="00BE5239">
        <w:rPr>
          <w:sz w:val="24"/>
          <w:szCs w:val="24"/>
        </w:rPr>
        <w:t xml:space="preserve">Patienter, som tidligere har haft bivirkninger med præparater, som indeholder </w:t>
      </w:r>
      <w:proofErr w:type="spellStart"/>
      <w:r w:rsidRPr="00BE5239">
        <w:rPr>
          <w:sz w:val="24"/>
          <w:szCs w:val="24"/>
        </w:rPr>
        <w:t>sulfasalazin</w:t>
      </w:r>
      <w:proofErr w:type="spellEnd"/>
      <w:r w:rsidRPr="00BE5239">
        <w:rPr>
          <w:sz w:val="24"/>
          <w:szCs w:val="24"/>
        </w:rPr>
        <w:t xml:space="preserve">, bør nøje overvåges medicinsk, når et behandlingsprogram med </w:t>
      </w:r>
      <w:proofErr w:type="spellStart"/>
      <w:r w:rsidRPr="00BE5239">
        <w:rPr>
          <w:sz w:val="24"/>
          <w:szCs w:val="24"/>
        </w:rPr>
        <w:t>mesalazin</w:t>
      </w:r>
      <w:proofErr w:type="spellEnd"/>
      <w:r w:rsidRPr="00BE5239">
        <w:rPr>
          <w:sz w:val="24"/>
          <w:szCs w:val="24"/>
        </w:rPr>
        <w:t xml:space="preserve"> påbegyndes. </w:t>
      </w:r>
    </w:p>
    <w:p w14:paraId="5C7F4E88" w14:textId="77777777" w:rsidR="006D1135" w:rsidRPr="00BE5239" w:rsidRDefault="006D1135" w:rsidP="00B31896">
      <w:pPr>
        <w:ind w:left="851"/>
        <w:rPr>
          <w:sz w:val="24"/>
          <w:szCs w:val="24"/>
        </w:rPr>
      </w:pPr>
    </w:p>
    <w:p w14:paraId="1AF4B058" w14:textId="77777777" w:rsidR="006D1135" w:rsidRPr="00BE5239" w:rsidRDefault="006D1135" w:rsidP="00B31896">
      <w:pPr>
        <w:ind w:left="851"/>
        <w:rPr>
          <w:sz w:val="24"/>
          <w:szCs w:val="24"/>
        </w:rPr>
      </w:pPr>
      <w:r w:rsidRPr="00BE5239">
        <w:rPr>
          <w:sz w:val="24"/>
          <w:szCs w:val="24"/>
        </w:rPr>
        <w:t xml:space="preserve">Skulle </w:t>
      </w:r>
      <w:proofErr w:type="spellStart"/>
      <w:r w:rsidRPr="00BE5239">
        <w:rPr>
          <w:sz w:val="24"/>
          <w:szCs w:val="24"/>
        </w:rPr>
        <w:t>Salofalk</w:t>
      </w:r>
      <w:proofErr w:type="spellEnd"/>
      <w:r w:rsidRPr="00BE5239">
        <w:rPr>
          <w:sz w:val="24"/>
          <w:szCs w:val="24"/>
        </w:rPr>
        <w:t xml:space="preserve"> forårsage akutte </w:t>
      </w:r>
      <w:proofErr w:type="spellStart"/>
      <w:r w:rsidRPr="00BE5239">
        <w:rPr>
          <w:sz w:val="24"/>
          <w:szCs w:val="24"/>
        </w:rPr>
        <w:t>intoleransreaktioner</w:t>
      </w:r>
      <w:proofErr w:type="spellEnd"/>
      <w:r w:rsidRPr="00BE5239">
        <w:rPr>
          <w:sz w:val="24"/>
          <w:szCs w:val="24"/>
        </w:rPr>
        <w:t xml:space="preserve"> såsom mavekramper, akutte mavesmerter, feber, kraftig hovedpine og udslæt, bør behandlingen straks seponeres.</w:t>
      </w:r>
    </w:p>
    <w:p w14:paraId="381DD9E4" w14:textId="77777777" w:rsidR="006D1135" w:rsidRPr="00BE5239" w:rsidRDefault="006D1135" w:rsidP="00B31896">
      <w:pPr>
        <w:ind w:left="851"/>
        <w:rPr>
          <w:sz w:val="24"/>
          <w:szCs w:val="24"/>
        </w:rPr>
      </w:pPr>
    </w:p>
    <w:p w14:paraId="6C3CC2F6" w14:textId="77777777" w:rsidR="006D1135" w:rsidRPr="00BE5239" w:rsidRDefault="006D1135" w:rsidP="00B31896">
      <w:pPr>
        <w:ind w:left="851"/>
        <w:rPr>
          <w:sz w:val="24"/>
          <w:szCs w:val="24"/>
        </w:rPr>
      </w:pPr>
      <w:r w:rsidRPr="00BE5239">
        <w:rPr>
          <w:sz w:val="24"/>
          <w:szCs w:val="24"/>
          <w:u w:val="single"/>
        </w:rPr>
        <w:t>Bemærk</w:t>
      </w:r>
    </w:p>
    <w:p w14:paraId="72104DFA" w14:textId="77777777" w:rsidR="006D1135" w:rsidRPr="00BE5239" w:rsidRDefault="006D1135" w:rsidP="00B31896">
      <w:pPr>
        <w:ind w:left="851"/>
        <w:rPr>
          <w:sz w:val="24"/>
          <w:szCs w:val="24"/>
        </w:rPr>
      </w:pPr>
      <w:r w:rsidRPr="00BE5239">
        <w:rPr>
          <w:sz w:val="24"/>
          <w:szCs w:val="24"/>
        </w:rPr>
        <w:t xml:space="preserve">Hos patienter, der har gennemgået </w:t>
      </w:r>
      <w:proofErr w:type="spellStart"/>
      <w:r w:rsidRPr="00BE5239">
        <w:rPr>
          <w:sz w:val="24"/>
          <w:szCs w:val="24"/>
        </w:rPr>
        <w:t>tarmresektion</w:t>
      </w:r>
      <w:proofErr w:type="spellEnd"/>
      <w:r w:rsidRPr="00BE5239">
        <w:rPr>
          <w:sz w:val="24"/>
          <w:szCs w:val="24"/>
        </w:rPr>
        <w:t xml:space="preserve">/tarmkirurgi i </w:t>
      </w:r>
      <w:proofErr w:type="spellStart"/>
      <w:r w:rsidRPr="00BE5239">
        <w:rPr>
          <w:sz w:val="24"/>
          <w:szCs w:val="24"/>
        </w:rPr>
        <w:t>ileocøkalregionen</w:t>
      </w:r>
      <w:proofErr w:type="spellEnd"/>
      <w:r w:rsidRPr="00BE5239">
        <w:rPr>
          <w:sz w:val="24"/>
          <w:szCs w:val="24"/>
        </w:rPr>
        <w:t xml:space="preserve"> med fjernelse af </w:t>
      </w:r>
      <w:proofErr w:type="spellStart"/>
      <w:r w:rsidRPr="00BE5239">
        <w:rPr>
          <w:sz w:val="24"/>
          <w:szCs w:val="24"/>
        </w:rPr>
        <w:t>ileocøkalklappen</w:t>
      </w:r>
      <w:proofErr w:type="spellEnd"/>
      <w:r w:rsidRPr="00BE5239">
        <w:rPr>
          <w:sz w:val="24"/>
          <w:szCs w:val="24"/>
        </w:rPr>
        <w:t xml:space="preserve">, kan det ske, at </w:t>
      </w:r>
      <w:proofErr w:type="spellStart"/>
      <w:r w:rsidRPr="00BE5239">
        <w:rPr>
          <w:sz w:val="24"/>
          <w:szCs w:val="24"/>
        </w:rPr>
        <w:t>Salofalk</w:t>
      </w:r>
      <w:proofErr w:type="spellEnd"/>
      <w:r w:rsidRPr="00BE5239">
        <w:rPr>
          <w:sz w:val="24"/>
          <w:szCs w:val="24"/>
        </w:rPr>
        <w:t xml:space="preserve"> </w:t>
      </w:r>
      <w:proofErr w:type="spellStart"/>
      <w:r w:rsidRPr="00BE5239">
        <w:rPr>
          <w:sz w:val="24"/>
          <w:szCs w:val="24"/>
        </w:rPr>
        <w:t>enterotabletter</w:t>
      </w:r>
      <w:proofErr w:type="spellEnd"/>
      <w:r w:rsidRPr="00BE5239">
        <w:rPr>
          <w:sz w:val="24"/>
          <w:szCs w:val="24"/>
        </w:rPr>
        <w:t xml:space="preserve"> udskilles </w:t>
      </w:r>
      <w:proofErr w:type="spellStart"/>
      <w:r w:rsidRPr="00BE5239">
        <w:rPr>
          <w:sz w:val="24"/>
          <w:szCs w:val="24"/>
        </w:rPr>
        <w:t>uopløst</w:t>
      </w:r>
      <w:proofErr w:type="spellEnd"/>
      <w:r w:rsidRPr="00BE5239">
        <w:rPr>
          <w:sz w:val="24"/>
          <w:szCs w:val="24"/>
        </w:rPr>
        <w:t xml:space="preserve"> i afføringen på grund af en for hurtig tarmpassage.</w:t>
      </w:r>
    </w:p>
    <w:p w14:paraId="768C5E56" w14:textId="77777777" w:rsidR="006D1135" w:rsidRPr="00BE5239" w:rsidRDefault="006D1135" w:rsidP="00B31896">
      <w:pPr>
        <w:ind w:left="851"/>
        <w:rPr>
          <w:sz w:val="24"/>
          <w:szCs w:val="24"/>
        </w:rPr>
      </w:pPr>
    </w:p>
    <w:p w14:paraId="020C0674" w14:textId="77777777" w:rsidR="006D1135" w:rsidRPr="00BE5239" w:rsidRDefault="006D1135" w:rsidP="00B31896">
      <w:pPr>
        <w:ind w:left="851"/>
        <w:rPr>
          <w:sz w:val="24"/>
          <w:szCs w:val="24"/>
        </w:rPr>
      </w:pPr>
      <w:r w:rsidRPr="00BE5239">
        <w:rPr>
          <w:sz w:val="24"/>
          <w:szCs w:val="24"/>
        </w:rPr>
        <w:t>Dette lægemiddel indeholder mindre end 1 mmol (23 mg) natrium pr. tablet, dvs. det er i det væsentlige natriumfrit.</w:t>
      </w:r>
    </w:p>
    <w:p w14:paraId="29B42CCC" w14:textId="77777777" w:rsidR="009260DE" w:rsidRPr="00BE5239" w:rsidRDefault="009260DE" w:rsidP="009260DE">
      <w:pPr>
        <w:tabs>
          <w:tab w:val="left" w:pos="851"/>
        </w:tabs>
        <w:ind w:left="851"/>
        <w:rPr>
          <w:sz w:val="24"/>
          <w:szCs w:val="24"/>
        </w:rPr>
      </w:pPr>
    </w:p>
    <w:p w14:paraId="00275200" w14:textId="77777777" w:rsidR="009260DE" w:rsidRPr="00BE5239" w:rsidRDefault="009260DE" w:rsidP="009260DE">
      <w:pPr>
        <w:tabs>
          <w:tab w:val="left" w:pos="851"/>
        </w:tabs>
        <w:ind w:left="851" w:hanging="851"/>
        <w:rPr>
          <w:b/>
          <w:sz w:val="24"/>
          <w:szCs w:val="24"/>
        </w:rPr>
      </w:pPr>
      <w:r w:rsidRPr="00BE5239">
        <w:rPr>
          <w:b/>
          <w:sz w:val="24"/>
          <w:szCs w:val="24"/>
        </w:rPr>
        <w:t>4.5</w:t>
      </w:r>
      <w:r w:rsidRPr="00BE5239">
        <w:rPr>
          <w:b/>
          <w:sz w:val="24"/>
          <w:szCs w:val="24"/>
        </w:rPr>
        <w:tab/>
        <w:t>Interaktion med andre lægemidler og andre former for interaktion</w:t>
      </w:r>
    </w:p>
    <w:p w14:paraId="4F359672" w14:textId="77777777" w:rsidR="006D1135" w:rsidRPr="00BE5239" w:rsidRDefault="006D1135" w:rsidP="00B31896">
      <w:pPr>
        <w:ind w:left="851"/>
        <w:rPr>
          <w:sz w:val="24"/>
          <w:szCs w:val="24"/>
          <w:lang w:eastAsia="en-GB"/>
        </w:rPr>
      </w:pPr>
      <w:r w:rsidRPr="00BE5239">
        <w:rPr>
          <w:sz w:val="24"/>
          <w:szCs w:val="24"/>
        </w:rPr>
        <w:t>Der er ikke udført specifikke interaktionsstudier.</w:t>
      </w:r>
    </w:p>
    <w:p w14:paraId="55D96AA1" w14:textId="77777777" w:rsidR="006D1135" w:rsidRPr="00BE5239" w:rsidRDefault="006D1135" w:rsidP="00B31896">
      <w:pPr>
        <w:ind w:left="851"/>
        <w:rPr>
          <w:sz w:val="24"/>
          <w:szCs w:val="24"/>
        </w:rPr>
      </w:pPr>
    </w:p>
    <w:p w14:paraId="10DC8CD1" w14:textId="77777777" w:rsidR="006D1135" w:rsidRPr="00BE5239" w:rsidRDefault="006D1135" w:rsidP="00B31896">
      <w:pPr>
        <w:ind w:left="851"/>
        <w:rPr>
          <w:sz w:val="24"/>
          <w:szCs w:val="24"/>
        </w:rPr>
      </w:pPr>
      <w:r w:rsidRPr="00BE5239">
        <w:rPr>
          <w:sz w:val="24"/>
          <w:szCs w:val="24"/>
        </w:rPr>
        <w:t xml:space="preserve">Hos patienter, som samtidig behandles med </w:t>
      </w:r>
      <w:proofErr w:type="spellStart"/>
      <w:r w:rsidRPr="00BE5239">
        <w:rPr>
          <w:sz w:val="24"/>
          <w:szCs w:val="24"/>
        </w:rPr>
        <w:t>azathioprin</w:t>
      </w:r>
      <w:proofErr w:type="spellEnd"/>
      <w:r w:rsidRPr="00BE5239">
        <w:rPr>
          <w:sz w:val="24"/>
          <w:szCs w:val="24"/>
        </w:rPr>
        <w:t>, 6</w:t>
      </w:r>
      <w:r w:rsidRPr="00BE5239">
        <w:rPr>
          <w:sz w:val="24"/>
          <w:szCs w:val="24"/>
        </w:rPr>
        <w:noBreakHyphen/>
        <w:t xml:space="preserve">mercaptopurin eller thioguanin, bør man være opmærksom på muligheden for en øget </w:t>
      </w:r>
      <w:proofErr w:type="spellStart"/>
      <w:r w:rsidRPr="00BE5239">
        <w:rPr>
          <w:sz w:val="24"/>
          <w:szCs w:val="24"/>
        </w:rPr>
        <w:t>myelosuppressiv</w:t>
      </w:r>
      <w:proofErr w:type="spellEnd"/>
      <w:r w:rsidRPr="00BE5239">
        <w:rPr>
          <w:sz w:val="24"/>
          <w:szCs w:val="24"/>
        </w:rPr>
        <w:t xml:space="preserve"> virkning af </w:t>
      </w:r>
      <w:proofErr w:type="spellStart"/>
      <w:r w:rsidRPr="00BE5239">
        <w:rPr>
          <w:sz w:val="24"/>
          <w:szCs w:val="24"/>
        </w:rPr>
        <w:t>azathioprin</w:t>
      </w:r>
      <w:proofErr w:type="spellEnd"/>
      <w:r w:rsidRPr="00BE5239">
        <w:rPr>
          <w:sz w:val="24"/>
          <w:szCs w:val="24"/>
        </w:rPr>
        <w:t>, 6</w:t>
      </w:r>
      <w:r w:rsidRPr="00BE5239">
        <w:rPr>
          <w:sz w:val="24"/>
          <w:szCs w:val="24"/>
        </w:rPr>
        <w:noBreakHyphen/>
        <w:t>mercaptopurin eller thioguanin.</w:t>
      </w:r>
    </w:p>
    <w:p w14:paraId="7812D7BC" w14:textId="77777777" w:rsidR="006D1135" w:rsidRPr="00BE5239" w:rsidRDefault="006D1135" w:rsidP="00B31896">
      <w:pPr>
        <w:ind w:left="851"/>
        <w:rPr>
          <w:sz w:val="24"/>
          <w:szCs w:val="24"/>
        </w:rPr>
      </w:pPr>
    </w:p>
    <w:p w14:paraId="05EB2EC7" w14:textId="77777777" w:rsidR="006D1135" w:rsidRPr="00BE5239" w:rsidRDefault="006D1135" w:rsidP="00B31896">
      <w:pPr>
        <w:ind w:left="851"/>
        <w:rPr>
          <w:sz w:val="24"/>
          <w:szCs w:val="24"/>
        </w:rPr>
      </w:pPr>
      <w:r w:rsidRPr="00BE5239">
        <w:rPr>
          <w:sz w:val="24"/>
          <w:szCs w:val="24"/>
        </w:rPr>
        <w:t xml:space="preserve">Der er svag evidens for at </w:t>
      </w:r>
      <w:proofErr w:type="spellStart"/>
      <w:r w:rsidRPr="00BE5239">
        <w:rPr>
          <w:sz w:val="24"/>
          <w:szCs w:val="24"/>
        </w:rPr>
        <w:t>mesalazin</w:t>
      </w:r>
      <w:proofErr w:type="spellEnd"/>
      <w:r w:rsidRPr="00BE5239">
        <w:rPr>
          <w:sz w:val="24"/>
          <w:szCs w:val="24"/>
        </w:rPr>
        <w:t xml:space="preserve"> nedsætter den antikoagulerende virkning af </w:t>
      </w:r>
      <w:proofErr w:type="spellStart"/>
      <w:r w:rsidRPr="00BE5239">
        <w:rPr>
          <w:sz w:val="24"/>
          <w:szCs w:val="24"/>
        </w:rPr>
        <w:t>warfarin</w:t>
      </w:r>
      <w:proofErr w:type="spellEnd"/>
      <w:r w:rsidRPr="00BE5239">
        <w:rPr>
          <w:sz w:val="24"/>
          <w:szCs w:val="24"/>
        </w:rPr>
        <w:t>.</w:t>
      </w:r>
    </w:p>
    <w:p w14:paraId="23395FB5" w14:textId="77777777" w:rsidR="009260DE" w:rsidRPr="00BE5239" w:rsidRDefault="009260DE" w:rsidP="009260DE">
      <w:pPr>
        <w:tabs>
          <w:tab w:val="left" w:pos="851"/>
        </w:tabs>
        <w:ind w:left="851"/>
        <w:rPr>
          <w:sz w:val="24"/>
          <w:szCs w:val="24"/>
        </w:rPr>
      </w:pPr>
    </w:p>
    <w:p w14:paraId="6B195E52" w14:textId="77777777" w:rsidR="009260DE" w:rsidRPr="00BE5239" w:rsidRDefault="009260DE" w:rsidP="009260DE">
      <w:pPr>
        <w:tabs>
          <w:tab w:val="left" w:pos="851"/>
        </w:tabs>
        <w:ind w:left="851" w:hanging="851"/>
        <w:rPr>
          <w:b/>
          <w:sz w:val="24"/>
          <w:szCs w:val="24"/>
        </w:rPr>
      </w:pPr>
      <w:r w:rsidRPr="00BE5239">
        <w:rPr>
          <w:b/>
          <w:sz w:val="24"/>
          <w:szCs w:val="24"/>
        </w:rPr>
        <w:t>4.6</w:t>
      </w:r>
      <w:r w:rsidRPr="00BE5239">
        <w:rPr>
          <w:b/>
          <w:sz w:val="24"/>
          <w:szCs w:val="24"/>
        </w:rPr>
        <w:tab/>
      </w:r>
      <w:r w:rsidR="0071241E" w:rsidRPr="00BE5239">
        <w:rPr>
          <w:b/>
          <w:sz w:val="24"/>
          <w:szCs w:val="24"/>
        </w:rPr>
        <w:t>Fertilitet, g</w:t>
      </w:r>
      <w:r w:rsidRPr="00BE5239">
        <w:rPr>
          <w:b/>
          <w:sz w:val="24"/>
          <w:szCs w:val="24"/>
        </w:rPr>
        <w:t>raviditet og amning</w:t>
      </w:r>
    </w:p>
    <w:p w14:paraId="5D903E0E" w14:textId="77777777" w:rsidR="00703059" w:rsidRPr="00BE5239" w:rsidRDefault="00703059" w:rsidP="00B31896">
      <w:pPr>
        <w:ind w:left="851"/>
        <w:rPr>
          <w:sz w:val="24"/>
          <w:szCs w:val="24"/>
        </w:rPr>
      </w:pPr>
    </w:p>
    <w:p w14:paraId="34DBEB2C" w14:textId="6EDE347B" w:rsidR="006D1135" w:rsidRPr="00BE5239" w:rsidRDefault="006D1135" w:rsidP="00B31896">
      <w:pPr>
        <w:ind w:left="851"/>
        <w:rPr>
          <w:sz w:val="24"/>
          <w:szCs w:val="24"/>
          <w:u w:val="single"/>
          <w:lang w:eastAsia="en-GB"/>
        </w:rPr>
      </w:pPr>
      <w:r w:rsidRPr="00BE5239">
        <w:rPr>
          <w:sz w:val="24"/>
          <w:szCs w:val="24"/>
          <w:u w:val="single"/>
        </w:rPr>
        <w:t>Graviditet</w:t>
      </w:r>
    </w:p>
    <w:p w14:paraId="73D9C6B5" w14:textId="77777777" w:rsidR="006D1135" w:rsidRPr="00BE5239" w:rsidRDefault="006D1135" w:rsidP="00B31896">
      <w:pPr>
        <w:ind w:left="851"/>
        <w:rPr>
          <w:sz w:val="24"/>
          <w:szCs w:val="24"/>
        </w:rPr>
      </w:pPr>
      <w:r w:rsidRPr="00BE5239">
        <w:rPr>
          <w:sz w:val="24"/>
          <w:szCs w:val="24"/>
        </w:rPr>
        <w:t xml:space="preserve">Der er ingen eller utilstrækkelige data fra anvendelse af </w:t>
      </w:r>
      <w:proofErr w:type="spellStart"/>
      <w:r w:rsidRPr="00BE5239">
        <w:rPr>
          <w:sz w:val="24"/>
          <w:szCs w:val="24"/>
        </w:rPr>
        <w:t>mesalazin</w:t>
      </w:r>
      <w:proofErr w:type="spellEnd"/>
      <w:r w:rsidRPr="00BE5239">
        <w:rPr>
          <w:sz w:val="24"/>
          <w:szCs w:val="24"/>
        </w:rPr>
        <w:t xml:space="preserve"> til gravide kvinder. Data fra et begrænset antal udsatte gravide viser ingen bivirkning fra </w:t>
      </w:r>
      <w:proofErr w:type="spellStart"/>
      <w:r w:rsidRPr="00BE5239">
        <w:rPr>
          <w:sz w:val="24"/>
          <w:szCs w:val="24"/>
        </w:rPr>
        <w:t>mesalazin</w:t>
      </w:r>
      <w:proofErr w:type="spellEnd"/>
      <w:r w:rsidRPr="00BE5239">
        <w:rPr>
          <w:sz w:val="24"/>
          <w:szCs w:val="24"/>
        </w:rPr>
        <w:t xml:space="preserve"> på svangerskabet eller på fostrets/det nyfødte barns sundhedstilstand. Indtil videre er der ikke andre relevante epidemiologiske data tilgængelige. I et enkelt tilfælde er der rapporteret om nyresvigt hos det nyfødte barn efter længere tids brug af højdosis </w:t>
      </w:r>
      <w:proofErr w:type="spellStart"/>
      <w:r w:rsidRPr="00BE5239">
        <w:rPr>
          <w:sz w:val="24"/>
          <w:szCs w:val="24"/>
        </w:rPr>
        <w:t>mesalazin</w:t>
      </w:r>
      <w:proofErr w:type="spellEnd"/>
      <w:r w:rsidRPr="00BE5239">
        <w:rPr>
          <w:sz w:val="24"/>
          <w:szCs w:val="24"/>
        </w:rPr>
        <w:t xml:space="preserve"> (2</w:t>
      </w:r>
      <w:r w:rsidRPr="00BE5239">
        <w:rPr>
          <w:sz w:val="24"/>
          <w:szCs w:val="24"/>
        </w:rPr>
        <w:noBreakHyphen/>
        <w:t>4 g, oral indtagelse) under graviditeten.</w:t>
      </w:r>
    </w:p>
    <w:p w14:paraId="04A8F1CA" w14:textId="77777777" w:rsidR="006D1135" w:rsidRPr="00BE5239" w:rsidRDefault="006D1135" w:rsidP="00B31896">
      <w:pPr>
        <w:ind w:left="851"/>
        <w:rPr>
          <w:sz w:val="24"/>
          <w:szCs w:val="24"/>
        </w:rPr>
      </w:pPr>
    </w:p>
    <w:p w14:paraId="60507260" w14:textId="77777777" w:rsidR="006D1135" w:rsidRPr="00BE5239" w:rsidRDefault="006D1135" w:rsidP="00B31896">
      <w:pPr>
        <w:ind w:left="851"/>
        <w:rPr>
          <w:sz w:val="24"/>
          <w:szCs w:val="24"/>
        </w:rPr>
      </w:pPr>
      <w:r w:rsidRPr="00BE5239">
        <w:rPr>
          <w:sz w:val="24"/>
          <w:szCs w:val="24"/>
        </w:rPr>
        <w:t xml:space="preserve">Dyreforsøg af oral </w:t>
      </w:r>
      <w:proofErr w:type="spellStart"/>
      <w:r w:rsidRPr="00BE5239">
        <w:rPr>
          <w:sz w:val="24"/>
          <w:szCs w:val="24"/>
        </w:rPr>
        <w:t>mesalazin</w:t>
      </w:r>
      <w:proofErr w:type="spellEnd"/>
      <w:r w:rsidRPr="00BE5239">
        <w:rPr>
          <w:sz w:val="24"/>
          <w:szCs w:val="24"/>
        </w:rPr>
        <w:t xml:space="preserve"> indikerer hverken direkte eller indirekte skadelige virkninger hvad angår graviditet, den embryonale/</w:t>
      </w:r>
      <w:proofErr w:type="spellStart"/>
      <w:r w:rsidRPr="00BE5239">
        <w:rPr>
          <w:sz w:val="24"/>
          <w:szCs w:val="24"/>
        </w:rPr>
        <w:t>føtale</w:t>
      </w:r>
      <w:proofErr w:type="spellEnd"/>
      <w:r w:rsidRPr="00BE5239">
        <w:rPr>
          <w:sz w:val="24"/>
          <w:szCs w:val="24"/>
        </w:rPr>
        <w:t xml:space="preserve"> udvikling, fødsel eller den </w:t>
      </w:r>
      <w:proofErr w:type="spellStart"/>
      <w:r w:rsidRPr="00BE5239">
        <w:rPr>
          <w:sz w:val="24"/>
          <w:szCs w:val="24"/>
        </w:rPr>
        <w:t>postnatale</w:t>
      </w:r>
      <w:proofErr w:type="spellEnd"/>
      <w:r w:rsidRPr="00BE5239">
        <w:rPr>
          <w:sz w:val="24"/>
          <w:szCs w:val="24"/>
        </w:rPr>
        <w:t xml:space="preserve"> udvikling. </w:t>
      </w:r>
      <w:proofErr w:type="spellStart"/>
      <w:r w:rsidRPr="00BE5239">
        <w:rPr>
          <w:sz w:val="24"/>
          <w:szCs w:val="24"/>
        </w:rPr>
        <w:t>Salofalk</w:t>
      </w:r>
      <w:proofErr w:type="spellEnd"/>
      <w:r w:rsidRPr="00BE5239">
        <w:rPr>
          <w:sz w:val="24"/>
          <w:szCs w:val="24"/>
        </w:rPr>
        <w:t xml:space="preserve"> bør kun anvendes under graviditet hvis den potentielle fordel opvejer den mulige risiko.</w:t>
      </w:r>
    </w:p>
    <w:p w14:paraId="0940BC39" w14:textId="77777777" w:rsidR="006D1135" w:rsidRPr="00BE5239" w:rsidRDefault="006D1135" w:rsidP="00B31896">
      <w:pPr>
        <w:ind w:left="851"/>
        <w:rPr>
          <w:sz w:val="24"/>
          <w:szCs w:val="24"/>
        </w:rPr>
      </w:pPr>
    </w:p>
    <w:p w14:paraId="1381870A" w14:textId="77777777" w:rsidR="006D1135" w:rsidRPr="00BE5239" w:rsidRDefault="006D1135" w:rsidP="00B31896">
      <w:pPr>
        <w:ind w:left="851"/>
        <w:rPr>
          <w:sz w:val="24"/>
          <w:szCs w:val="24"/>
          <w:u w:val="single"/>
        </w:rPr>
      </w:pPr>
      <w:r w:rsidRPr="00BE5239">
        <w:rPr>
          <w:sz w:val="24"/>
          <w:szCs w:val="24"/>
          <w:u w:val="single"/>
        </w:rPr>
        <w:t>Amning</w:t>
      </w:r>
    </w:p>
    <w:p w14:paraId="6B26442D" w14:textId="77777777" w:rsidR="006D1135" w:rsidRPr="00BE5239" w:rsidRDefault="006D1135" w:rsidP="00B31896">
      <w:pPr>
        <w:ind w:left="851"/>
        <w:rPr>
          <w:sz w:val="24"/>
          <w:szCs w:val="24"/>
        </w:rPr>
      </w:pPr>
      <w:r w:rsidRPr="00BE5239">
        <w:rPr>
          <w:sz w:val="24"/>
          <w:szCs w:val="24"/>
        </w:rPr>
        <w:t xml:space="preserve">N-acetyl-5-aminosalicylsyre, og i nogen grad </w:t>
      </w:r>
      <w:proofErr w:type="spellStart"/>
      <w:r w:rsidRPr="00BE5239">
        <w:rPr>
          <w:sz w:val="24"/>
          <w:szCs w:val="24"/>
        </w:rPr>
        <w:t>mesalazin</w:t>
      </w:r>
      <w:proofErr w:type="spellEnd"/>
      <w:r w:rsidRPr="00BE5239">
        <w:rPr>
          <w:sz w:val="24"/>
          <w:szCs w:val="24"/>
        </w:rPr>
        <w:t>, udskilles i brystmælk. Indtil videre, foreligger der kun begrænset erfaring hos ammende kvinder. Overfølsomhedsreaktioner, såsom diarré, hos spædbarnet kan ikke udelukkes. Derfor bør kun anvendes hvis den potentielle fordel opvejer den mulige risiko. Hvis spædbarnet får diarré, bør amning ophøre.</w:t>
      </w:r>
    </w:p>
    <w:p w14:paraId="241C7C8B" w14:textId="77777777" w:rsidR="009260DE" w:rsidRPr="00BE5239" w:rsidRDefault="009260DE" w:rsidP="009260DE">
      <w:pPr>
        <w:tabs>
          <w:tab w:val="left" w:pos="851"/>
        </w:tabs>
        <w:ind w:left="851"/>
        <w:rPr>
          <w:sz w:val="24"/>
          <w:szCs w:val="24"/>
        </w:rPr>
      </w:pPr>
    </w:p>
    <w:p w14:paraId="73E29864" w14:textId="77777777" w:rsidR="009260DE" w:rsidRPr="00BE5239" w:rsidRDefault="009260DE" w:rsidP="009260DE">
      <w:pPr>
        <w:tabs>
          <w:tab w:val="left" w:pos="851"/>
        </w:tabs>
        <w:ind w:left="851" w:hanging="851"/>
        <w:rPr>
          <w:b/>
          <w:sz w:val="24"/>
          <w:szCs w:val="24"/>
        </w:rPr>
      </w:pPr>
      <w:r w:rsidRPr="00BE5239">
        <w:rPr>
          <w:b/>
          <w:sz w:val="24"/>
          <w:szCs w:val="24"/>
        </w:rPr>
        <w:t>4.7</w:t>
      </w:r>
      <w:r w:rsidRPr="00BE5239">
        <w:rPr>
          <w:b/>
          <w:sz w:val="24"/>
          <w:szCs w:val="24"/>
        </w:rPr>
        <w:tab/>
        <w:t xml:space="preserve">Virkning på evnen til at føre motorkøretøj </w:t>
      </w:r>
      <w:r w:rsidR="0071241E" w:rsidRPr="00BE5239">
        <w:rPr>
          <w:b/>
          <w:sz w:val="24"/>
          <w:szCs w:val="24"/>
        </w:rPr>
        <w:t>og</w:t>
      </w:r>
      <w:r w:rsidRPr="00BE5239">
        <w:rPr>
          <w:b/>
          <w:sz w:val="24"/>
          <w:szCs w:val="24"/>
        </w:rPr>
        <w:t xml:space="preserve"> betjene maskiner</w:t>
      </w:r>
    </w:p>
    <w:p w14:paraId="2B836C55" w14:textId="77777777" w:rsidR="006D1135" w:rsidRPr="00BE5239" w:rsidRDefault="006D1135" w:rsidP="00B31896">
      <w:pPr>
        <w:ind w:left="851"/>
        <w:rPr>
          <w:sz w:val="24"/>
          <w:szCs w:val="24"/>
          <w:lang w:eastAsia="en-GB"/>
        </w:rPr>
      </w:pPr>
      <w:r w:rsidRPr="00BE5239">
        <w:rPr>
          <w:sz w:val="24"/>
          <w:szCs w:val="24"/>
        </w:rPr>
        <w:t>Ikke mærkning.</w:t>
      </w:r>
    </w:p>
    <w:p w14:paraId="6BDFCDFF" w14:textId="77777777" w:rsidR="006D1135" w:rsidRPr="00BE5239" w:rsidRDefault="006D1135" w:rsidP="00B31896">
      <w:pPr>
        <w:ind w:left="851"/>
        <w:rPr>
          <w:sz w:val="24"/>
          <w:szCs w:val="24"/>
        </w:rPr>
      </w:pPr>
      <w:proofErr w:type="spellStart"/>
      <w:r w:rsidRPr="00BE5239">
        <w:rPr>
          <w:sz w:val="24"/>
          <w:szCs w:val="24"/>
        </w:rPr>
        <w:t>Mesalazin</w:t>
      </w:r>
      <w:proofErr w:type="spellEnd"/>
      <w:r w:rsidRPr="00BE5239">
        <w:rPr>
          <w:sz w:val="24"/>
          <w:szCs w:val="24"/>
        </w:rPr>
        <w:t xml:space="preserve"> påvirker ikke eller kun i ubetydelig grad evnen til at føre motorkøretøj og betjene maskiner.</w:t>
      </w:r>
    </w:p>
    <w:p w14:paraId="47FAF800" w14:textId="77777777" w:rsidR="009260DE" w:rsidRPr="00BE5239" w:rsidRDefault="009260DE" w:rsidP="009260DE">
      <w:pPr>
        <w:tabs>
          <w:tab w:val="left" w:pos="851"/>
        </w:tabs>
        <w:ind w:left="851"/>
        <w:rPr>
          <w:sz w:val="24"/>
          <w:szCs w:val="24"/>
        </w:rPr>
      </w:pPr>
    </w:p>
    <w:p w14:paraId="0209034D" w14:textId="77777777" w:rsidR="009260DE" w:rsidRPr="00BE5239" w:rsidRDefault="009260DE" w:rsidP="009260DE">
      <w:pPr>
        <w:tabs>
          <w:tab w:val="left" w:pos="851"/>
        </w:tabs>
        <w:ind w:left="851" w:hanging="851"/>
        <w:rPr>
          <w:b/>
          <w:sz w:val="24"/>
          <w:szCs w:val="24"/>
        </w:rPr>
      </w:pPr>
      <w:r w:rsidRPr="00BE5239">
        <w:rPr>
          <w:b/>
          <w:sz w:val="24"/>
          <w:szCs w:val="24"/>
        </w:rPr>
        <w:t>4.8</w:t>
      </w:r>
      <w:r w:rsidRPr="00BE5239">
        <w:rPr>
          <w:b/>
          <w:sz w:val="24"/>
          <w:szCs w:val="24"/>
        </w:rPr>
        <w:tab/>
        <w:t>Bivirkninger</w:t>
      </w:r>
    </w:p>
    <w:p w14:paraId="0750CB49" w14:textId="77777777" w:rsidR="006D1135" w:rsidRPr="00BE5239" w:rsidRDefault="006D1135" w:rsidP="00B31896">
      <w:pPr>
        <w:ind w:left="851"/>
        <w:rPr>
          <w:sz w:val="24"/>
          <w:szCs w:val="24"/>
          <w:lang w:eastAsia="en-GB"/>
        </w:rPr>
      </w:pPr>
      <w:r w:rsidRPr="00BE5239">
        <w:rPr>
          <w:sz w:val="24"/>
          <w:szCs w:val="24"/>
        </w:rPr>
        <w:t xml:space="preserve">Følgende bivirkninger er blevet observeret efter administration af </w:t>
      </w:r>
      <w:proofErr w:type="spellStart"/>
      <w:r w:rsidRPr="00BE5239">
        <w:rPr>
          <w:sz w:val="24"/>
          <w:szCs w:val="24"/>
        </w:rPr>
        <w:t>mesalazin</w:t>
      </w:r>
      <w:proofErr w:type="spellEnd"/>
      <w:r w:rsidRPr="00BE5239">
        <w:rPr>
          <w:sz w:val="24"/>
          <w:szCs w:val="24"/>
        </w:rPr>
        <w:t>:</w:t>
      </w:r>
    </w:p>
    <w:p w14:paraId="4193665E" w14:textId="77777777" w:rsidR="006D1135" w:rsidRPr="00BE5239" w:rsidRDefault="006D1135" w:rsidP="00B31896">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5"/>
        <w:gridCol w:w="2183"/>
        <w:gridCol w:w="1540"/>
        <w:gridCol w:w="1540"/>
        <w:gridCol w:w="1540"/>
        <w:gridCol w:w="1540"/>
      </w:tblGrid>
      <w:tr w:rsidR="006D1135" w:rsidRPr="00BE5239" w14:paraId="63FC7BB4"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4ECAFC7D" w14:textId="4D8BAD53" w:rsidR="006D1135" w:rsidRPr="00BE5239" w:rsidRDefault="006D1135" w:rsidP="00B31896">
            <w:pPr>
              <w:spacing w:line="256" w:lineRule="auto"/>
              <w:ind w:left="34" w:right="54"/>
              <w:rPr>
                <w:iCs/>
                <w:sz w:val="22"/>
                <w:szCs w:val="22"/>
              </w:rPr>
            </w:pPr>
            <w:r w:rsidRPr="00BE5239">
              <w:rPr>
                <w:sz w:val="22"/>
                <w:szCs w:val="22"/>
              </w:rPr>
              <w:t>Systemorgan</w:t>
            </w:r>
            <w:r w:rsidR="00703059" w:rsidRPr="00BE5239">
              <w:rPr>
                <w:sz w:val="22"/>
                <w:szCs w:val="22"/>
              </w:rPr>
              <w:t>k</w:t>
            </w:r>
            <w:r w:rsidRPr="00BE5239">
              <w:rPr>
                <w:sz w:val="22"/>
                <w:szCs w:val="22"/>
              </w:rPr>
              <w:t xml:space="preserve">lasse </w:t>
            </w:r>
          </w:p>
        </w:tc>
        <w:tc>
          <w:tcPr>
            <w:tcW w:w="4333" w:type="pct"/>
            <w:gridSpan w:val="5"/>
            <w:tcBorders>
              <w:top w:val="single" w:sz="4" w:space="0" w:color="auto"/>
              <w:left w:val="single" w:sz="4" w:space="0" w:color="auto"/>
              <w:bottom w:val="single" w:sz="4" w:space="0" w:color="auto"/>
              <w:right w:val="single" w:sz="4" w:space="0" w:color="auto"/>
            </w:tcBorders>
            <w:hideMark/>
          </w:tcPr>
          <w:p w14:paraId="5C45272B" w14:textId="77777777" w:rsidR="006D1135" w:rsidRPr="00BE5239" w:rsidRDefault="006D1135" w:rsidP="00B31896">
            <w:pPr>
              <w:spacing w:line="256" w:lineRule="auto"/>
              <w:ind w:right="54"/>
              <w:rPr>
                <w:iCs/>
                <w:sz w:val="22"/>
                <w:szCs w:val="22"/>
              </w:rPr>
            </w:pPr>
            <w:r w:rsidRPr="00BE5239">
              <w:rPr>
                <w:sz w:val="22"/>
                <w:szCs w:val="22"/>
              </w:rPr>
              <w:t xml:space="preserve">Hyppighed i henhold til </w:t>
            </w:r>
            <w:proofErr w:type="spellStart"/>
            <w:r w:rsidRPr="00BE5239">
              <w:rPr>
                <w:sz w:val="22"/>
                <w:szCs w:val="22"/>
              </w:rPr>
              <w:t>MedDRA</w:t>
            </w:r>
            <w:proofErr w:type="spellEnd"/>
            <w:r w:rsidRPr="00BE5239">
              <w:rPr>
                <w:sz w:val="22"/>
                <w:szCs w:val="22"/>
              </w:rPr>
              <w:t>-konventionen</w:t>
            </w:r>
          </w:p>
        </w:tc>
      </w:tr>
      <w:tr w:rsidR="00703059" w:rsidRPr="00BE5239" w14:paraId="3D733991" w14:textId="77777777" w:rsidTr="00B31896">
        <w:tc>
          <w:tcPr>
            <w:tcW w:w="667" w:type="pct"/>
            <w:tcBorders>
              <w:top w:val="single" w:sz="4" w:space="0" w:color="auto"/>
              <w:left w:val="single" w:sz="4" w:space="0" w:color="auto"/>
              <w:bottom w:val="single" w:sz="4" w:space="0" w:color="auto"/>
              <w:right w:val="single" w:sz="4" w:space="0" w:color="auto"/>
            </w:tcBorders>
          </w:tcPr>
          <w:p w14:paraId="6822957C" w14:textId="77777777" w:rsidR="006D1135" w:rsidRPr="00BE5239" w:rsidRDefault="006D1135" w:rsidP="00B31896">
            <w:pPr>
              <w:spacing w:line="256" w:lineRule="auto"/>
              <w:ind w:right="54"/>
              <w:rPr>
                <w:iCs/>
                <w:sz w:val="22"/>
                <w:szCs w:val="22"/>
              </w:rPr>
            </w:pPr>
          </w:p>
        </w:tc>
        <w:tc>
          <w:tcPr>
            <w:tcW w:w="1133" w:type="pct"/>
            <w:tcBorders>
              <w:top w:val="single" w:sz="4" w:space="0" w:color="auto"/>
              <w:left w:val="single" w:sz="4" w:space="0" w:color="auto"/>
              <w:bottom w:val="single" w:sz="4" w:space="0" w:color="auto"/>
              <w:right w:val="single" w:sz="4" w:space="0" w:color="auto"/>
            </w:tcBorders>
            <w:hideMark/>
          </w:tcPr>
          <w:p w14:paraId="18C7AA1A" w14:textId="0285198E" w:rsidR="006D1135" w:rsidRPr="00BE5239" w:rsidRDefault="006D1135" w:rsidP="00703059">
            <w:pPr>
              <w:spacing w:line="256" w:lineRule="auto"/>
              <w:ind w:right="54"/>
              <w:rPr>
                <w:sz w:val="22"/>
                <w:szCs w:val="22"/>
              </w:rPr>
            </w:pPr>
            <w:r w:rsidRPr="00BE5239">
              <w:rPr>
                <w:sz w:val="22"/>
                <w:szCs w:val="22"/>
              </w:rPr>
              <w:t>Almindelig (≥ 1/100 til &lt; 1/10)</w:t>
            </w:r>
          </w:p>
        </w:tc>
        <w:tc>
          <w:tcPr>
            <w:tcW w:w="800" w:type="pct"/>
            <w:tcBorders>
              <w:top w:val="single" w:sz="4" w:space="0" w:color="auto"/>
              <w:left w:val="single" w:sz="4" w:space="0" w:color="auto"/>
              <w:bottom w:val="single" w:sz="4" w:space="0" w:color="auto"/>
              <w:right w:val="single" w:sz="4" w:space="0" w:color="auto"/>
            </w:tcBorders>
            <w:hideMark/>
          </w:tcPr>
          <w:p w14:paraId="1B3E93B3" w14:textId="47320C3D" w:rsidR="006D1135" w:rsidRPr="00BE5239" w:rsidRDefault="006D1135" w:rsidP="00703059">
            <w:pPr>
              <w:spacing w:line="256" w:lineRule="auto"/>
              <w:ind w:right="54"/>
              <w:rPr>
                <w:sz w:val="22"/>
                <w:szCs w:val="22"/>
              </w:rPr>
            </w:pPr>
            <w:r w:rsidRPr="00BE5239">
              <w:rPr>
                <w:sz w:val="22"/>
                <w:szCs w:val="22"/>
              </w:rPr>
              <w:t>Ikke almindelig (≥ 1/1.000 til &lt; 1/100)</w:t>
            </w:r>
          </w:p>
        </w:tc>
        <w:tc>
          <w:tcPr>
            <w:tcW w:w="800" w:type="pct"/>
            <w:tcBorders>
              <w:top w:val="single" w:sz="4" w:space="0" w:color="auto"/>
              <w:left w:val="single" w:sz="4" w:space="0" w:color="auto"/>
              <w:bottom w:val="single" w:sz="4" w:space="0" w:color="auto"/>
              <w:right w:val="single" w:sz="4" w:space="0" w:color="auto"/>
            </w:tcBorders>
            <w:hideMark/>
          </w:tcPr>
          <w:p w14:paraId="2F2289DF" w14:textId="77777777" w:rsidR="00703059" w:rsidRPr="00BE5239" w:rsidRDefault="006D1135" w:rsidP="00703059">
            <w:pPr>
              <w:spacing w:line="256" w:lineRule="auto"/>
              <w:ind w:right="54"/>
              <w:rPr>
                <w:sz w:val="22"/>
                <w:szCs w:val="22"/>
              </w:rPr>
            </w:pPr>
            <w:r w:rsidRPr="00BE5239">
              <w:rPr>
                <w:sz w:val="22"/>
                <w:szCs w:val="22"/>
              </w:rPr>
              <w:t>Sjælden</w:t>
            </w:r>
          </w:p>
          <w:p w14:paraId="1D7D97B5" w14:textId="05E7F805" w:rsidR="006D1135" w:rsidRPr="00BE5239" w:rsidRDefault="006D1135" w:rsidP="00703059">
            <w:pPr>
              <w:spacing w:line="256" w:lineRule="auto"/>
              <w:ind w:right="54"/>
              <w:rPr>
                <w:iCs/>
                <w:sz w:val="22"/>
                <w:szCs w:val="22"/>
              </w:rPr>
            </w:pPr>
            <w:r w:rsidRPr="00BE5239">
              <w:rPr>
                <w:sz w:val="22"/>
                <w:szCs w:val="22"/>
              </w:rPr>
              <w:t>(≥ 1/10.000 til &lt; 1/1.000)</w:t>
            </w:r>
          </w:p>
        </w:tc>
        <w:tc>
          <w:tcPr>
            <w:tcW w:w="800" w:type="pct"/>
            <w:tcBorders>
              <w:top w:val="single" w:sz="4" w:space="0" w:color="auto"/>
              <w:left w:val="single" w:sz="4" w:space="0" w:color="auto"/>
              <w:bottom w:val="single" w:sz="4" w:space="0" w:color="auto"/>
              <w:right w:val="single" w:sz="4" w:space="0" w:color="auto"/>
            </w:tcBorders>
            <w:hideMark/>
          </w:tcPr>
          <w:p w14:paraId="7631AA7B" w14:textId="77777777" w:rsidR="006D1135" w:rsidRPr="00BE5239" w:rsidRDefault="006D1135" w:rsidP="00B31896">
            <w:pPr>
              <w:spacing w:line="256" w:lineRule="auto"/>
              <w:ind w:right="54"/>
              <w:rPr>
                <w:sz w:val="22"/>
                <w:szCs w:val="22"/>
              </w:rPr>
            </w:pPr>
            <w:r w:rsidRPr="00BE5239">
              <w:rPr>
                <w:sz w:val="22"/>
                <w:szCs w:val="22"/>
              </w:rPr>
              <w:t>Meget sjælden</w:t>
            </w:r>
          </w:p>
          <w:p w14:paraId="6A662592" w14:textId="77777777" w:rsidR="006D1135" w:rsidRPr="00BE5239" w:rsidRDefault="006D1135" w:rsidP="00B31896">
            <w:pPr>
              <w:spacing w:line="256" w:lineRule="auto"/>
              <w:ind w:right="54"/>
              <w:rPr>
                <w:iCs/>
                <w:sz w:val="22"/>
                <w:szCs w:val="22"/>
              </w:rPr>
            </w:pPr>
            <w:r w:rsidRPr="00BE5239">
              <w:rPr>
                <w:sz w:val="22"/>
                <w:szCs w:val="22"/>
              </w:rPr>
              <w:t>(&lt; 1/10.000)</w:t>
            </w:r>
          </w:p>
        </w:tc>
        <w:tc>
          <w:tcPr>
            <w:tcW w:w="800" w:type="pct"/>
            <w:tcBorders>
              <w:top w:val="single" w:sz="4" w:space="0" w:color="auto"/>
              <w:left w:val="single" w:sz="4" w:space="0" w:color="auto"/>
              <w:bottom w:val="single" w:sz="4" w:space="0" w:color="auto"/>
              <w:right w:val="single" w:sz="4" w:space="0" w:color="auto"/>
            </w:tcBorders>
            <w:hideMark/>
          </w:tcPr>
          <w:p w14:paraId="6BBC39AA" w14:textId="77777777" w:rsidR="006D1135" w:rsidRPr="00BE5239" w:rsidRDefault="006D1135" w:rsidP="00B31896">
            <w:pPr>
              <w:spacing w:line="256" w:lineRule="auto"/>
              <w:ind w:right="54"/>
              <w:rPr>
                <w:sz w:val="22"/>
                <w:szCs w:val="22"/>
              </w:rPr>
            </w:pPr>
            <w:r w:rsidRPr="00BE5239">
              <w:rPr>
                <w:sz w:val="22"/>
                <w:szCs w:val="22"/>
              </w:rPr>
              <w:t>Ikke kendt</w:t>
            </w:r>
          </w:p>
          <w:p w14:paraId="2EFD109E" w14:textId="5B0FF060" w:rsidR="006D1135" w:rsidRPr="00BE5239" w:rsidRDefault="006D1135" w:rsidP="00B31896">
            <w:pPr>
              <w:spacing w:line="256" w:lineRule="auto"/>
              <w:ind w:right="54"/>
              <w:rPr>
                <w:iCs/>
                <w:sz w:val="22"/>
                <w:szCs w:val="22"/>
              </w:rPr>
            </w:pPr>
            <w:r w:rsidRPr="00BE5239">
              <w:rPr>
                <w:sz w:val="22"/>
                <w:szCs w:val="22"/>
              </w:rPr>
              <w:t>(kan ikke estimeres ud fra forhåndenværende data)</w:t>
            </w:r>
          </w:p>
        </w:tc>
      </w:tr>
      <w:tr w:rsidR="00703059" w:rsidRPr="00BE5239" w14:paraId="4392AADC"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0874440C" w14:textId="77777777" w:rsidR="006D1135" w:rsidRPr="00BE5239" w:rsidRDefault="006D1135" w:rsidP="00B31896">
            <w:pPr>
              <w:spacing w:line="256" w:lineRule="auto"/>
              <w:ind w:right="54"/>
              <w:rPr>
                <w:sz w:val="22"/>
                <w:szCs w:val="22"/>
              </w:rPr>
            </w:pPr>
            <w:r w:rsidRPr="00BE5239">
              <w:rPr>
                <w:sz w:val="22"/>
                <w:szCs w:val="22"/>
              </w:rPr>
              <w:t>Blod og lymfesystem</w:t>
            </w:r>
          </w:p>
        </w:tc>
        <w:tc>
          <w:tcPr>
            <w:tcW w:w="1133" w:type="pct"/>
            <w:tcBorders>
              <w:top w:val="single" w:sz="4" w:space="0" w:color="auto"/>
              <w:left w:val="single" w:sz="4" w:space="0" w:color="auto"/>
              <w:bottom w:val="single" w:sz="4" w:space="0" w:color="auto"/>
              <w:right w:val="single" w:sz="4" w:space="0" w:color="auto"/>
            </w:tcBorders>
          </w:tcPr>
          <w:p w14:paraId="6F634810"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4ED0877F"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30EAEC61"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3F7B0587" w14:textId="77777777" w:rsidR="006D1135" w:rsidRPr="00BE5239" w:rsidRDefault="006D1135" w:rsidP="00B31896">
            <w:pPr>
              <w:spacing w:line="256" w:lineRule="auto"/>
              <w:ind w:right="54"/>
              <w:rPr>
                <w:i/>
                <w:iCs/>
                <w:sz w:val="22"/>
                <w:szCs w:val="22"/>
              </w:rPr>
            </w:pPr>
            <w:r w:rsidRPr="00BE5239">
              <w:rPr>
                <w:sz w:val="22"/>
                <w:szCs w:val="22"/>
              </w:rPr>
              <w:t>Ændring i blodbilledet (</w:t>
            </w:r>
            <w:proofErr w:type="spellStart"/>
            <w:r w:rsidRPr="00BE5239">
              <w:rPr>
                <w:sz w:val="22"/>
                <w:szCs w:val="22"/>
              </w:rPr>
              <w:t>aplastisk</w:t>
            </w:r>
            <w:proofErr w:type="spellEnd"/>
            <w:r w:rsidRPr="00BE5239">
              <w:rPr>
                <w:sz w:val="22"/>
                <w:szCs w:val="22"/>
              </w:rPr>
              <w:t xml:space="preserve"> anæmi, </w:t>
            </w:r>
            <w:proofErr w:type="spellStart"/>
            <w:r w:rsidRPr="00BE5239">
              <w:rPr>
                <w:sz w:val="22"/>
                <w:szCs w:val="22"/>
              </w:rPr>
              <w:t>agranulocytose</w:t>
            </w:r>
            <w:proofErr w:type="spellEnd"/>
            <w:r w:rsidRPr="00BE5239">
              <w:rPr>
                <w:sz w:val="22"/>
                <w:szCs w:val="22"/>
              </w:rPr>
              <w:t xml:space="preserve">, </w:t>
            </w:r>
            <w:proofErr w:type="spellStart"/>
            <w:r w:rsidRPr="00BE5239">
              <w:rPr>
                <w:sz w:val="22"/>
                <w:szCs w:val="22"/>
              </w:rPr>
              <w:t>pancytopeni</w:t>
            </w:r>
            <w:proofErr w:type="spellEnd"/>
            <w:r w:rsidRPr="00BE5239">
              <w:rPr>
                <w:sz w:val="22"/>
                <w:szCs w:val="22"/>
              </w:rPr>
              <w:t xml:space="preserve">, </w:t>
            </w:r>
            <w:proofErr w:type="spellStart"/>
            <w:r w:rsidRPr="00BE5239">
              <w:rPr>
                <w:sz w:val="22"/>
                <w:szCs w:val="22"/>
              </w:rPr>
              <w:t>neutropeni</w:t>
            </w:r>
            <w:proofErr w:type="spellEnd"/>
            <w:r w:rsidRPr="00BE5239">
              <w:rPr>
                <w:sz w:val="22"/>
                <w:szCs w:val="22"/>
              </w:rPr>
              <w:t xml:space="preserve">, </w:t>
            </w:r>
            <w:proofErr w:type="spellStart"/>
            <w:r w:rsidRPr="00BE5239">
              <w:rPr>
                <w:sz w:val="22"/>
                <w:szCs w:val="22"/>
              </w:rPr>
              <w:t>leukopeni</w:t>
            </w:r>
            <w:proofErr w:type="spellEnd"/>
            <w:r w:rsidRPr="00BE5239">
              <w:rPr>
                <w:sz w:val="22"/>
                <w:szCs w:val="22"/>
              </w:rPr>
              <w:t xml:space="preserve">, </w:t>
            </w:r>
            <w:proofErr w:type="spellStart"/>
            <w:r w:rsidRPr="00BE5239">
              <w:rPr>
                <w:sz w:val="22"/>
                <w:szCs w:val="22"/>
              </w:rPr>
              <w:t>thrombocytopeni</w:t>
            </w:r>
            <w:proofErr w:type="spellEnd"/>
            <w:r w:rsidRPr="00BE5239">
              <w:rPr>
                <w:sz w:val="22"/>
                <w:szCs w:val="22"/>
              </w:rPr>
              <w:t>)</w:t>
            </w:r>
          </w:p>
        </w:tc>
        <w:tc>
          <w:tcPr>
            <w:tcW w:w="800" w:type="pct"/>
            <w:tcBorders>
              <w:top w:val="single" w:sz="4" w:space="0" w:color="auto"/>
              <w:left w:val="single" w:sz="4" w:space="0" w:color="auto"/>
              <w:bottom w:val="single" w:sz="4" w:space="0" w:color="auto"/>
              <w:right w:val="single" w:sz="4" w:space="0" w:color="auto"/>
            </w:tcBorders>
          </w:tcPr>
          <w:p w14:paraId="6D8FE009" w14:textId="77777777" w:rsidR="006D1135" w:rsidRPr="00BE5239" w:rsidRDefault="006D1135" w:rsidP="00B31896">
            <w:pPr>
              <w:spacing w:line="256" w:lineRule="auto"/>
              <w:ind w:right="54"/>
              <w:rPr>
                <w:i/>
                <w:iCs/>
                <w:sz w:val="22"/>
                <w:szCs w:val="22"/>
              </w:rPr>
            </w:pPr>
          </w:p>
        </w:tc>
      </w:tr>
      <w:tr w:rsidR="00703059" w:rsidRPr="00BE5239" w14:paraId="2D530245"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6CB1A1D8" w14:textId="56CC4FA2" w:rsidR="006D1135" w:rsidRPr="00BE5239" w:rsidRDefault="006D1135" w:rsidP="00B31896">
            <w:pPr>
              <w:spacing w:line="256" w:lineRule="auto"/>
              <w:ind w:right="54"/>
              <w:rPr>
                <w:sz w:val="22"/>
                <w:szCs w:val="22"/>
              </w:rPr>
            </w:pPr>
            <w:r w:rsidRPr="00BE5239">
              <w:rPr>
                <w:sz w:val="22"/>
                <w:szCs w:val="22"/>
              </w:rPr>
              <w:t>Immunsystemet</w:t>
            </w:r>
          </w:p>
        </w:tc>
        <w:tc>
          <w:tcPr>
            <w:tcW w:w="1133" w:type="pct"/>
            <w:tcBorders>
              <w:top w:val="single" w:sz="4" w:space="0" w:color="auto"/>
              <w:left w:val="single" w:sz="4" w:space="0" w:color="auto"/>
              <w:bottom w:val="single" w:sz="4" w:space="0" w:color="auto"/>
              <w:right w:val="single" w:sz="4" w:space="0" w:color="auto"/>
            </w:tcBorders>
          </w:tcPr>
          <w:p w14:paraId="759AD932"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508B4B93"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0ADF1C59"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2C4F42EC" w14:textId="77777777" w:rsidR="006D1135" w:rsidRPr="00BE5239" w:rsidRDefault="006D1135" w:rsidP="00B31896">
            <w:pPr>
              <w:spacing w:line="256" w:lineRule="auto"/>
              <w:ind w:right="54"/>
              <w:rPr>
                <w:sz w:val="22"/>
                <w:szCs w:val="22"/>
              </w:rPr>
            </w:pPr>
            <w:r w:rsidRPr="00BE5239">
              <w:rPr>
                <w:sz w:val="22"/>
                <w:szCs w:val="22"/>
              </w:rPr>
              <w:t xml:space="preserve">Overfølsomhedsreaktioner såsom allergisk </w:t>
            </w:r>
            <w:proofErr w:type="spellStart"/>
            <w:r w:rsidRPr="00BE5239">
              <w:rPr>
                <w:sz w:val="22"/>
                <w:szCs w:val="22"/>
              </w:rPr>
              <w:t>exanthem</w:t>
            </w:r>
            <w:proofErr w:type="spellEnd"/>
            <w:r w:rsidRPr="00BE5239">
              <w:rPr>
                <w:sz w:val="22"/>
                <w:szCs w:val="22"/>
              </w:rPr>
              <w:t xml:space="preserve">, lægemiddel-induceret feber, lupus </w:t>
            </w:r>
            <w:proofErr w:type="spellStart"/>
            <w:r w:rsidRPr="00BE5239">
              <w:rPr>
                <w:sz w:val="22"/>
                <w:szCs w:val="22"/>
              </w:rPr>
              <w:t>erythematosus</w:t>
            </w:r>
            <w:proofErr w:type="spellEnd"/>
            <w:r w:rsidRPr="00BE5239">
              <w:rPr>
                <w:sz w:val="22"/>
                <w:szCs w:val="22"/>
              </w:rPr>
              <w:t xml:space="preserve"> syndrom, </w:t>
            </w:r>
            <w:proofErr w:type="spellStart"/>
            <w:r w:rsidRPr="00BE5239">
              <w:rPr>
                <w:sz w:val="22"/>
                <w:szCs w:val="22"/>
              </w:rPr>
              <w:t>pancolitis</w:t>
            </w:r>
            <w:proofErr w:type="spellEnd"/>
          </w:p>
        </w:tc>
        <w:tc>
          <w:tcPr>
            <w:tcW w:w="800" w:type="pct"/>
            <w:tcBorders>
              <w:top w:val="single" w:sz="4" w:space="0" w:color="auto"/>
              <w:left w:val="single" w:sz="4" w:space="0" w:color="auto"/>
              <w:bottom w:val="single" w:sz="4" w:space="0" w:color="auto"/>
              <w:right w:val="single" w:sz="4" w:space="0" w:color="auto"/>
            </w:tcBorders>
          </w:tcPr>
          <w:p w14:paraId="77C7213C" w14:textId="77777777" w:rsidR="006D1135" w:rsidRPr="00BE5239" w:rsidRDefault="006D1135" w:rsidP="00B31896">
            <w:pPr>
              <w:spacing w:line="256" w:lineRule="auto"/>
              <w:ind w:right="54"/>
              <w:rPr>
                <w:sz w:val="22"/>
                <w:szCs w:val="22"/>
              </w:rPr>
            </w:pPr>
          </w:p>
        </w:tc>
      </w:tr>
      <w:tr w:rsidR="00703059" w:rsidRPr="00BE5239" w14:paraId="1E2449F3"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648AD420" w14:textId="77777777" w:rsidR="006D1135" w:rsidRPr="00BE5239" w:rsidRDefault="006D1135" w:rsidP="00B31896">
            <w:pPr>
              <w:spacing w:line="256" w:lineRule="auto"/>
              <w:ind w:right="54"/>
              <w:rPr>
                <w:sz w:val="22"/>
                <w:szCs w:val="22"/>
              </w:rPr>
            </w:pPr>
            <w:r w:rsidRPr="00BE5239">
              <w:rPr>
                <w:sz w:val="22"/>
                <w:szCs w:val="22"/>
              </w:rPr>
              <w:t>Nervesystemet</w:t>
            </w:r>
          </w:p>
        </w:tc>
        <w:tc>
          <w:tcPr>
            <w:tcW w:w="1133" w:type="pct"/>
            <w:tcBorders>
              <w:top w:val="single" w:sz="4" w:space="0" w:color="auto"/>
              <w:left w:val="single" w:sz="4" w:space="0" w:color="auto"/>
              <w:bottom w:val="single" w:sz="4" w:space="0" w:color="auto"/>
              <w:right w:val="single" w:sz="4" w:space="0" w:color="auto"/>
            </w:tcBorders>
            <w:hideMark/>
          </w:tcPr>
          <w:p w14:paraId="3CF8BF45" w14:textId="77777777" w:rsidR="006D1135" w:rsidRPr="00BE5239" w:rsidRDefault="006D1135" w:rsidP="00B31896">
            <w:pPr>
              <w:spacing w:line="256" w:lineRule="auto"/>
              <w:ind w:right="54"/>
              <w:rPr>
                <w:sz w:val="22"/>
                <w:szCs w:val="22"/>
              </w:rPr>
            </w:pPr>
            <w:r w:rsidRPr="00BE5239">
              <w:rPr>
                <w:sz w:val="22"/>
                <w:szCs w:val="22"/>
              </w:rPr>
              <w:t>Hovedpine</w:t>
            </w:r>
          </w:p>
        </w:tc>
        <w:tc>
          <w:tcPr>
            <w:tcW w:w="800" w:type="pct"/>
            <w:tcBorders>
              <w:top w:val="single" w:sz="4" w:space="0" w:color="auto"/>
              <w:left w:val="single" w:sz="4" w:space="0" w:color="auto"/>
              <w:bottom w:val="single" w:sz="4" w:space="0" w:color="auto"/>
              <w:right w:val="single" w:sz="4" w:space="0" w:color="auto"/>
            </w:tcBorders>
          </w:tcPr>
          <w:p w14:paraId="2DCE8645"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6701D47D" w14:textId="77777777" w:rsidR="006D1135" w:rsidRPr="00BE5239" w:rsidRDefault="006D1135" w:rsidP="00B31896">
            <w:pPr>
              <w:spacing w:line="256" w:lineRule="auto"/>
              <w:ind w:right="54"/>
              <w:rPr>
                <w:sz w:val="22"/>
                <w:szCs w:val="22"/>
              </w:rPr>
            </w:pPr>
            <w:r w:rsidRPr="00BE5239">
              <w:rPr>
                <w:sz w:val="22"/>
                <w:szCs w:val="22"/>
              </w:rPr>
              <w:t>Svimmelhed</w:t>
            </w:r>
          </w:p>
        </w:tc>
        <w:tc>
          <w:tcPr>
            <w:tcW w:w="800" w:type="pct"/>
            <w:tcBorders>
              <w:top w:val="single" w:sz="4" w:space="0" w:color="auto"/>
              <w:left w:val="single" w:sz="4" w:space="0" w:color="auto"/>
              <w:bottom w:val="single" w:sz="4" w:space="0" w:color="auto"/>
              <w:right w:val="single" w:sz="4" w:space="0" w:color="auto"/>
            </w:tcBorders>
            <w:hideMark/>
          </w:tcPr>
          <w:p w14:paraId="4C41ADEE" w14:textId="77777777" w:rsidR="006D1135" w:rsidRPr="00BE5239" w:rsidRDefault="006D1135" w:rsidP="00B31896">
            <w:pPr>
              <w:spacing w:line="256" w:lineRule="auto"/>
              <w:ind w:right="54"/>
              <w:rPr>
                <w:i/>
                <w:iCs/>
                <w:sz w:val="22"/>
                <w:szCs w:val="22"/>
              </w:rPr>
            </w:pPr>
            <w:r w:rsidRPr="00BE5239">
              <w:rPr>
                <w:sz w:val="22"/>
                <w:szCs w:val="22"/>
              </w:rPr>
              <w:t xml:space="preserve">Perifer </w:t>
            </w:r>
            <w:proofErr w:type="spellStart"/>
            <w:r w:rsidRPr="00BE5239">
              <w:rPr>
                <w:sz w:val="22"/>
                <w:szCs w:val="22"/>
              </w:rPr>
              <w:t>neuropati</w:t>
            </w:r>
            <w:proofErr w:type="spellEnd"/>
          </w:p>
        </w:tc>
        <w:tc>
          <w:tcPr>
            <w:tcW w:w="800" w:type="pct"/>
            <w:tcBorders>
              <w:top w:val="single" w:sz="4" w:space="0" w:color="auto"/>
              <w:left w:val="single" w:sz="4" w:space="0" w:color="auto"/>
              <w:bottom w:val="single" w:sz="4" w:space="0" w:color="auto"/>
              <w:right w:val="single" w:sz="4" w:space="0" w:color="auto"/>
            </w:tcBorders>
          </w:tcPr>
          <w:p w14:paraId="0EBA5A3B" w14:textId="77777777" w:rsidR="006D1135" w:rsidRPr="00BE5239" w:rsidRDefault="006D1135" w:rsidP="00B31896">
            <w:pPr>
              <w:spacing w:line="256" w:lineRule="auto"/>
              <w:ind w:right="54"/>
              <w:rPr>
                <w:i/>
                <w:iCs/>
                <w:sz w:val="22"/>
                <w:szCs w:val="22"/>
              </w:rPr>
            </w:pPr>
          </w:p>
        </w:tc>
      </w:tr>
      <w:tr w:rsidR="00703059" w:rsidRPr="00BE5239" w14:paraId="31C51EB0"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7135B1D0" w14:textId="77777777" w:rsidR="006D1135" w:rsidRPr="00BE5239" w:rsidRDefault="006D1135" w:rsidP="00B31896">
            <w:pPr>
              <w:spacing w:line="256" w:lineRule="auto"/>
              <w:ind w:right="54"/>
              <w:rPr>
                <w:sz w:val="22"/>
                <w:szCs w:val="22"/>
              </w:rPr>
            </w:pPr>
            <w:r w:rsidRPr="00BE5239">
              <w:rPr>
                <w:sz w:val="22"/>
                <w:szCs w:val="22"/>
              </w:rPr>
              <w:t>Hjerte</w:t>
            </w:r>
          </w:p>
        </w:tc>
        <w:tc>
          <w:tcPr>
            <w:tcW w:w="1133" w:type="pct"/>
            <w:tcBorders>
              <w:top w:val="single" w:sz="4" w:space="0" w:color="auto"/>
              <w:left w:val="single" w:sz="4" w:space="0" w:color="auto"/>
              <w:bottom w:val="single" w:sz="4" w:space="0" w:color="auto"/>
              <w:right w:val="single" w:sz="4" w:space="0" w:color="auto"/>
            </w:tcBorders>
          </w:tcPr>
          <w:p w14:paraId="33F35DCB"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1A61F783"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14C95853" w14:textId="52D39836" w:rsidR="006D1135" w:rsidRPr="00BE5239" w:rsidRDefault="006D1135" w:rsidP="00703059">
            <w:pPr>
              <w:spacing w:line="256" w:lineRule="auto"/>
              <w:ind w:right="54"/>
              <w:rPr>
                <w:sz w:val="22"/>
                <w:szCs w:val="22"/>
              </w:rPr>
            </w:pPr>
            <w:proofErr w:type="spellStart"/>
            <w:r w:rsidRPr="00BE5239">
              <w:rPr>
                <w:sz w:val="22"/>
                <w:szCs w:val="22"/>
              </w:rPr>
              <w:t>Myocarditis</w:t>
            </w:r>
            <w:proofErr w:type="spellEnd"/>
            <w:r w:rsidRPr="00BE5239">
              <w:rPr>
                <w:sz w:val="22"/>
                <w:szCs w:val="22"/>
              </w:rPr>
              <w:t>,</w:t>
            </w:r>
            <w:r w:rsidR="00703059" w:rsidRPr="00BE5239">
              <w:rPr>
                <w:sz w:val="22"/>
                <w:szCs w:val="22"/>
              </w:rPr>
              <w:t xml:space="preserve"> </w:t>
            </w:r>
            <w:proofErr w:type="spellStart"/>
            <w:r w:rsidRPr="00BE5239">
              <w:rPr>
                <w:sz w:val="22"/>
                <w:szCs w:val="22"/>
              </w:rPr>
              <w:t>pericarditis</w:t>
            </w:r>
            <w:proofErr w:type="spellEnd"/>
          </w:p>
        </w:tc>
        <w:tc>
          <w:tcPr>
            <w:tcW w:w="800" w:type="pct"/>
            <w:tcBorders>
              <w:top w:val="single" w:sz="4" w:space="0" w:color="auto"/>
              <w:left w:val="single" w:sz="4" w:space="0" w:color="auto"/>
              <w:bottom w:val="single" w:sz="4" w:space="0" w:color="auto"/>
              <w:right w:val="single" w:sz="4" w:space="0" w:color="auto"/>
            </w:tcBorders>
          </w:tcPr>
          <w:p w14:paraId="0B4E3615"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527D7382" w14:textId="77777777" w:rsidR="006D1135" w:rsidRPr="00BE5239" w:rsidRDefault="006D1135" w:rsidP="00B31896">
            <w:pPr>
              <w:spacing w:line="256" w:lineRule="auto"/>
              <w:ind w:right="54"/>
              <w:rPr>
                <w:sz w:val="22"/>
                <w:szCs w:val="22"/>
              </w:rPr>
            </w:pPr>
          </w:p>
        </w:tc>
      </w:tr>
      <w:tr w:rsidR="00703059" w:rsidRPr="00BE5239" w14:paraId="47695E1C"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72372552" w14:textId="77777777" w:rsidR="006D1135" w:rsidRPr="00BE5239" w:rsidRDefault="006D1135" w:rsidP="00B31896">
            <w:pPr>
              <w:spacing w:line="256" w:lineRule="auto"/>
              <w:ind w:right="54"/>
              <w:rPr>
                <w:sz w:val="22"/>
                <w:szCs w:val="22"/>
              </w:rPr>
            </w:pPr>
            <w:r w:rsidRPr="00BE5239">
              <w:rPr>
                <w:sz w:val="22"/>
                <w:szCs w:val="22"/>
              </w:rPr>
              <w:t xml:space="preserve">Luftveje, thorax og </w:t>
            </w:r>
            <w:proofErr w:type="spellStart"/>
            <w:r w:rsidRPr="00BE5239">
              <w:rPr>
                <w:sz w:val="22"/>
                <w:szCs w:val="22"/>
              </w:rPr>
              <w:t>mediastinum</w:t>
            </w:r>
            <w:proofErr w:type="spellEnd"/>
          </w:p>
        </w:tc>
        <w:tc>
          <w:tcPr>
            <w:tcW w:w="1133" w:type="pct"/>
            <w:tcBorders>
              <w:top w:val="single" w:sz="4" w:space="0" w:color="auto"/>
              <w:left w:val="single" w:sz="4" w:space="0" w:color="auto"/>
              <w:bottom w:val="single" w:sz="4" w:space="0" w:color="auto"/>
              <w:right w:val="single" w:sz="4" w:space="0" w:color="auto"/>
            </w:tcBorders>
          </w:tcPr>
          <w:p w14:paraId="489F9D65"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2E660708"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1B28817F"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7BFC9277" w14:textId="77777777" w:rsidR="006D1135" w:rsidRPr="00BE5239" w:rsidRDefault="006D1135" w:rsidP="00B31896">
            <w:pPr>
              <w:spacing w:line="256" w:lineRule="auto"/>
              <w:ind w:right="54"/>
              <w:rPr>
                <w:sz w:val="22"/>
                <w:szCs w:val="22"/>
              </w:rPr>
            </w:pPr>
            <w:r w:rsidRPr="00BE5239">
              <w:rPr>
                <w:sz w:val="22"/>
                <w:szCs w:val="22"/>
              </w:rPr>
              <w:t xml:space="preserve">Allergiske og fibrøse lungereaktioner (inklusive dyspnø, hoste, </w:t>
            </w:r>
            <w:proofErr w:type="spellStart"/>
            <w:r w:rsidRPr="00BE5239">
              <w:rPr>
                <w:sz w:val="22"/>
                <w:szCs w:val="22"/>
              </w:rPr>
              <w:t>bronkospasmer</w:t>
            </w:r>
            <w:proofErr w:type="spellEnd"/>
            <w:r w:rsidRPr="00BE5239">
              <w:rPr>
                <w:sz w:val="22"/>
                <w:szCs w:val="22"/>
              </w:rPr>
              <w:t xml:space="preserve">, </w:t>
            </w:r>
            <w:proofErr w:type="spellStart"/>
            <w:r w:rsidRPr="00BE5239">
              <w:rPr>
                <w:sz w:val="22"/>
                <w:szCs w:val="22"/>
              </w:rPr>
              <w:t>alveolitis</w:t>
            </w:r>
            <w:proofErr w:type="spellEnd"/>
            <w:r w:rsidRPr="00BE5239">
              <w:rPr>
                <w:sz w:val="22"/>
                <w:szCs w:val="22"/>
              </w:rPr>
              <w:t xml:space="preserve">, </w:t>
            </w:r>
            <w:proofErr w:type="spellStart"/>
            <w:r w:rsidRPr="00BE5239">
              <w:rPr>
                <w:sz w:val="22"/>
                <w:szCs w:val="22"/>
              </w:rPr>
              <w:t>pulmonal</w:t>
            </w:r>
            <w:proofErr w:type="spellEnd"/>
            <w:r w:rsidRPr="00BE5239">
              <w:rPr>
                <w:sz w:val="22"/>
                <w:szCs w:val="22"/>
              </w:rPr>
              <w:t xml:space="preserve"> </w:t>
            </w:r>
            <w:proofErr w:type="spellStart"/>
            <w:r w:rsidRPr="00BE5239">
              <w:rPr>
                <w:sz w:val="22"/>
                <w:szCs w:val="22"/>
              </w:rPr>
              <w:t>eosinofili</w:t>
            </w:r>
            <w:proofErr w:type="spellEnd"/>
            <w:r w:rsidRPr="00BE5239">
              <w:rPr>
                <w:sz w:val="22"/>
                <w:szCs w:val="22"/>
              </w:rPr>
              <w:t>, lungeinfiltration, pneumonitis)</w:t>
            </w:r>
          </w:p>
        </w:tc>
        <w:tc>
          <w:tcPr>
            <w:tcW w:w="800" w:type="pct"/>
            <w:tcBorders>
              <w:top w:val="single" w:sz="4" w:space="0" w:color="auto"/>
              <w:left w:val="single" w:sz="4" w:space="0" w:color="auto"/>
              <w:bottom w:val="single" w:sz="4" w:space="0" w:color="auto"/>
              <w:right w:val="single" w:sz="4" w:space="0" w:color="auto"/>
            </w:tcBorders>
          </w:tcPr>
          <w:p w14:paraId="238BDB50" w14:textId="77777777" w:rsidR="006D1135" w:rsidRPr="00BE5239" w:rsidRDefault="006D1135" w:rsidP="00B31896">
            <w:pPr>
              <w:spacing w:line="256" w:lineRule="auto"/>
              <w:ind w:right="54"/>
              <w:rPr>
                <w:sz w:val="22"/>
                <w:szCs w:val="22"/>
              </w:rPr>
            </w:pPr>
          </w:p>
        </w:tc>
      </w:tr>
      <w:tr w:rsidR="00703059" w:rsidRPr="00BE5239" w14:paraId="226D3B83"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304C2E0A" w14:textId="77777777" w:rsidR="006D1135" w:rsidRPr="00BE5239" w:rsidRDefault="006D1135" w:rsidP="00B31896">
            <w:pPr>
              <w:spacing w:line="256" w:lineRule="auto"/>
              <w:ind w:right="54"/>
              <w:rPr>
                <w:i/>
                <w:iCs/>
                <w:sz w:val="22"/>
                <w:szCs w:val="22"/>
              </w:rPr>
            </w:pPr>
            <w:r w:rsidRPr="00BE5239">
              <w:rPr>
                <w:sz w:val="22"/>
                <w:szCs w:val="22"/>
              </w:rPr>
              <w:t>Mave-tarm-kanalen</w:t>
            </w:r>
          </w:p>
        </w:tc>
        <w:tc>
          <w:tcPr>
            <w:tcW w:w="1133" w:type="pct"/>
            <w:tcBorders>
              <w:top w:val="single" w:sz="4" w:space="0" w:color="auto"/>
              <w:left w:val="single" w:sz="4" w:space="0" w:color="auto"/>
              <w:bottom w:val="single" w:sz="4" w:space="0" w:color="auto"/>
              <w:right w:val="single" w:sz="4" w:space="0" w:color="auto"/>
            </w:tcBorders>
          </w:tcPr>
          <w:p w14:paraId="758F159D"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7C68F2E9" w14:textId="1A8337EC" w:rsidR="006D1135" w:rsidRPr="00BE5239" w:rsidRDefault="006D1135" w:rsidP="00703059">
            <w:pPr>
              <w:spacing w:line="256" w:lineRule="auto"/>
              <w:ind w:right="54"/>
              <w:rPr>
                <w:sz w:val="22"/>
                <w:szCs w:val="22"/>
              </w:rPr>
            </w:pPr>
            <w:r w:rsidRPr="00BE5239">
              <w:rPr>
                <w:sz w:val="22"/>
                <w:szCs w:val="22"/>
              </w:rPr>
              <w:t xml:space="preserve">Mavesmerter, diarré, dyspepsi, </w:t>
            </w:r>
            <w:proofErr w:type="spellStart"/>
            <w:r w:rsidRPr="00BE5239">
              <w:rPr>
                <w:sz w:val="22"/>
                <w:szCs w:val="22"/>
              </w:rPr>
              <w:t>flatulens</w:t>
            </w:r>
            <w:proofErr w:type="spellEnd"/>
            <w:r w:rsidRPr="00BE5239">
              <w:rPr>
                <w:sz w:val="22"/>
                <w:szCs w:val="22"/>
              </w:rPr>
              <w:t xml:space="preserve">, kvalme, opkastning, akut </w:t>
            </w:r>
            <w:proofErr w:type="spellStart"/>
            <w:r w:rsidRPr="00BE5239">
              <w:rPr>
                <w:sz w:val="22"/>
                <w:szCs w:val="22"/>
              </w:rPr>
              <w:t>pancreatitis</w:t>
            </w:r>
            <w:proofErr w:type="spellEnd"/>
          </w:p>
        </w:tc>
        <w:tc>
          <w:tcPr>
            <w:tcW w:w="800" w:type="pct"/>
            <w:tcBorders>
              <w:top w:val="single" w:sz="4" w:space="0" w:color="auto"/>
              <w:left w:val="single" w:sz="4" w:space="0" w:color="auto"/>
              <w:bottom w:val="single" w:sz="4" w:space="0" w:color="auto"/>
              <w:right w:val="single" w:sz="4" w:space="0" w:color="auto"/>
            </w:tcBorders>
          </w:tcPr>
          <w:p w14:paraId="613BC197"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4C7E9BE4" w14:textId="77777777" w:rsidR="006D1135" w:rsidRPr="00BE5239" w:rsidRDefault="006D1135" w:rsidP="00B31896">
            <w:pPr>
              <w:spacing w:line="256" w:lineRule="auto"/>
              <w:ind w:right="54"/>
              <w:rPr>
                <w:iCs/>
                <w:sz w:val="22"/>
                <w:szCs w:val="22"/>
              </w:rPr>
            </w:pPr>
          </w:p>
        </w:tc>
        <w:tc>
          <w:tcPr>
            <w:tcW w:w="800" w:type="pct"/>
            <w:tcBorders>
              <w:top w:val="single" w:sz="4" w:space="0" w:color="auto"/>
              <w:left w:val="single" w:sz="4" w:space="0" w:color="auto"/>
              <w:bottom w:val="single" w:sz="4" w:space="0" w:color="auto"/>
              <w:right w:val="single" w:sz="4" w:space="0" w:color="auto"/>
            </w:tcBorders>
          </w:tcPr>
          <w:p w14:paraId="302F5218" w14:textId="77777777" w:rsidR="006D1135" w:rsidRPr="00BE5239" w:rsidRDefault="006D1135" w:rsidP="00B31896">
            <w:pPr>
              <w:spacing w:line="256" w:lineRule="auto"/>
              <w:ind w:right="54"/>
              <w:rPr>
                <w:iCs/>
                <w:sz w:val="22"/>
                <w:szCs w:val="22"/>
              </w:rPr>
            </w:pPr>
          </w:p>
        </w:tc>
      </w:tr>
      <w:tr w:rsidR="00703059" w:rsidRPr="00BE5239" w14:paraId="7CD371B1"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5390CD6E" w14:textId="77777777" w:rsidR="006D1135" w:rsidRPr="00BE5239" w:rsidRDefault="006D1135" w:rsidP="00B31896">
            <w:pPr>
              <w:spacing w:line="256" w:lineRule="auto"/>
              <w:ind w:right="54"/>
              <w:rPr>
                <w:sz w:val="22"/>
                <w:szCs w:val="22"/>
              </w:rPr>
            </w:pPr>
            <w:r w:rsidRPr="00BE5239">
              <w:rPr>
                <w:sz w:val="22"/>
                <w:szCs w:val="22"/>
              </w:rPr>
              <w:t>Lever og galdeveje</w:t>
            </w:r>
          </w:p>
        </w:tc>
        <w:tc>
          <w:tcPr>
            <w:tcW w:w="1133" w:type="pct"/>
            <w:tcBorders>
              <w:top w:val="single" w:sz="4" w:space="0" w:color="auto"/>
              <w:left w:val="single" w:sz="4" w:space="0" w:color="auto"/>
              <w:bottom w:val="single" w:sz="4" w:space="0" w:color="auto"/>
              <w:right w:val="single" w:sz="4" w:space="0" w:color="auto"/>
            </w:tcBorders>
          </w:tcPr>
          <w:p w14:paraId="7525E1AE"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494FBF8E"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1374816E" w14:textId="6B79986E" w:rsidR="006D1135" w:rsidRPr="00BE5239" w:rsidRDefault="006D1135" w:rsidP="00B31896">
            <w:pPr>
              <w:spacing w:line="256" w:lineRule="auto"/>
              <w:ind w:right="54"/>
              <w:rPr>
                <w:sz w:val="22"/>
                <w:szCs w:val="22"/>
              </w:rPr>
            </w:pPr>
            <w:proofErr w:type="spellStart"/>
            <w:r w:rsidRPr="00BE5239">
              <w:rPr>
                <w:sz w:val="22"/>
                <w:szCs w:val="22"/>
              </w:rPr>
              <w:t>Cholestatis</w:t>
            </w:r>
            <w:r w:rsidR="00703059" w:rsidRPr="00BE5239">
              <w:rPr>
                <w:sz w:val="22"/>
                <w:szCs w:val="22"/>
              </w:rPr>
              <w:t>k</w:t>
            </w:r>
            <w:proofErr w:type="spellEnd"/>
            <w:r w:rsidRPr="00BE5239">
              <w:rPr>
                <w:sz w:val="22"/>
                <w:szCs w:val="22"/>
              </w:rPr>
              <w:t xml:space="preserve"> hepatitis </w:t>
            </w:r>
          </w:p>
        </w:tc>
        <w:tc>
          <w:tcPr>
            <w:tcW w:w="800" w:type="pct"/>
            <w:tcBorders>
              <w:top w:val="single" w:sz="4" w:space="0" w:color="auto"/>
              <w:left w:val="single" w:sz="4" w:space="0" w:color="auto"/>
              <w:bottom w:val="single" w:sz="4" w:space="0" w:color="auto"/>
              <w:right w:val="single" w:sz="4" w:space="0" w:color="auto"/>
            </w:tcBorders>
            <w:hideMark/>
          </w:tcPr>
          <w:p w14:paraId="77962071" w14:textId="77777777" w:rsidR="006D1135" w:rsidRPr="00BE5239" w:rsidRDefault="006D1135" w:rsidP="00B31896">
            <w:pPr>
              <w:spacing w:line="256" w:lineRule="auto"/>
              <w:ind w:right="54"/>
              <w:rPr>
                <w:sz w:val="22"/>
                <w:szCs w:val="22"/>
              </w:rPr>
            </w:pPr>
            <w:r w:rsidRPr="00BE5239">
              <w:rPr>
                <w:sz w:val="22"/>
                <w:szCs w:val="22"/>
              </w:rPr>
              <w:t>Hepatitis</w:t>
            </w:r>
          </w:p>
        </w:tc>
        <w:tc>
          <w:tcPr>
            <w:tcW w:w="800" w:type="pct"/>
            <w:tcBorders>
              <w:top w:val="single" w:sz="4" w:space="0" w:color="auto"/>
              <w:left w:val="single" w:sz="4" w:space="0" w:color="auto"/>
              <w:bottom w:val="single" w:sz="4" w:space="0" w:color="auto"/>
              <w:right w:val="single" w:sz="4" w:space="0" w:color="auto"/>
            </w:tcBorders>
          </w:tcPr>
          <w:p w14:paraId="556773D4" w14:textId="77777777" w:rsidR="006D1135" w:rsidRPr="00BE5239" w:rsidRDefault="006D1135" w:rsidP="00B31896">
            <w:pPr>
              <w:spacing w:line="256" w:lineRule="auto"/>
              <w:ind w:right="54"/>
              <w:rPr>
                <w:sz w:val="22"/>
                <w:szCs w:val="22"/>
              </w:rPr>
            </w:pPr>
          </w:p>
        </w:tc>
      </w:tr>
      <w:tr w:rsidR="00703059" w:rsidRPr="00BE5239" w14:paraId="27E2D739"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56BD7FCC" w14:textId="77777777" w:rsidR="006D1135" w:rsidRPr="00BE5239" w:rsidRDefault="006D1135" w:rsidP="00B31896">
            <w:pPr>
              <w:spacing w:line="256" w:lineRule="auto"/>
              <w:ind w:right="54"/>
              <w:rPr>
                <w:sz w:val="22"/>
                <w:szCs w:val="22"/>
              </w:rPr>
            </w:pPr>
            <w:r w:rsidRPr="00BE5239">
              <w:rPr>
                <w:sz w:val="22"/>
                <w:szCs w:val="22"/>
              </w:rPr>
              <w:t>Hud og subkutane væv</w:t>
            </w:r>
          </w:p>
        </w:tc>
        <w:tc>
          <w:tcPr>
            <w:tcW w:w="1133" w:type="pct"/>
            <w:tcBorders>
              <w:top w:val="single" w:sz="4" w:space="0" w:color="auto"/>
              <w:left w:val="single" w:sz="4" w:space="0" w:color="auto"/>
              <w:bottom w:val="single" w:sz="4" w:space="0" w:color="auto"/>
              <w:right w:val="single" w:sz="4" w:space="0" w:color="auto"/>
            </w:tcBorders>
            <w:hideMark/>
          </w:tcPr>
          <w:p w14:paraId="3EDC8F8C" w14:textId="77777777" w:rsidR="006D1135" w:rsidRPr="00BE5239" w:rsidRDefault="006D1135" w:rsidP="00B31896">
            <w:pPr>
              <w:spacing w:line="256" w:lineRule="auto"/>
              <w:ind w:right="54"/>
              <w:rPr>
                <w:sz w:val="22"/>
                <w:szCs w:val="22"/>
              </w:rPr>
            </w:pPr>
            <w:r w:rsidRPr="00BE5239">
              <w:rPr>
                <w:sz w:val="22"/>
                <w:szCs w:val="22"/>
              </w:rPr>
              <w:t xml:space="preserve">Udslæt, </w:t>
            </w:r>
            <w:proofErr w:type="spellStart"/>
            <w:r w:rsidRPr="00BE5239">
              <w:rPr>
                <w:sz w:val="22"/>
                <w:szCs w:val="22"/>
              </w:rPr>
              <w:t>pruritus</w:t>
            </w:r>
            <w:proofErr w:type="spellEnd"/>
          </w:p>
        </w:tc>
        <w:tc>
          <w:tcPr>
            <w:tcW w:w="800" w:type="pct"/>
            <w:tcBorders>
              <w:top w:val="single" w:sz="4" w:space="0" w:color="auto"/>
              <w:left w:val="single" w:sz="4" w:space="0" w:color="auto"/>
              <w:bottom w:val="single" w:sz="4" w:space="0" w:color="auto"/>
              <w:right w:val="single" w:sz="4" w:space="0" w:color="auto"/>
            </w:tcBorders>
          </w:tcPr>
          <w:p w14:paraId="2E7BD0EA"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5F0A7FCA" w14:textId="64BF028E" w:rsidR="006D1135" w:rsidRPr="00BE5239" w:rsidRDefault="006D1135" w:rsidP="00B31896">
            <w:pPr>
              <w:spacing w:line="256" w:lineRule="auto"/>
              <w:ind w:right="54"/>
              <w:rPr>
                <w:sz w:val="22"/>
                <w:szCs w:val="22"/>
              </w:rPr>
            </w:pPr>
            <w:r w:rsidRPr="00BE5239">
              <w:rPr>
                <w:sz w:val="22"/>
                <w:szCs w:val="22"/>
              </w:rPr>
              <w:t>Lysfølso</w:t>
            </w:r>
            <w:r w:rsidR="00703059" w:rsidRPr="00BE5239">
              <w:rPr>
                <w:sz w:val="22"/>
                <w:szCs w:val="22"/>
              </w:rPr>
              <w:t>m</w:t>
            </w:r>
            <w:r w:rsidRPr="00BE5239">
              <w:rPr>
                <w:sz w:val="22"/>
                <w:szCs w:val="22"/>
              </w:rPr>
              <w:t xml:space="preserve">hed </w:t>
            </w:r>
          </w:p>
        </w:tc>
        <w:tc>
          <w:tcPr>
            <w:tcW w:w="800" w:type="pct"/>
            <w:tcBorders>
              <w:top w:val="single" w:sz="4" w:space="0" w:color="auto"/>
              <w:left w:val="single" w:sz="4" w:space="0" w:color="auto"/>
              <w:bottom w:val="single" w:sz="4" w:space="0" w:color="auto"/>
              <w:right w:val="single" w:sz="4" w:space="0" w:color="auto"/>
            </w:tcBorders>
            <w:hideMark/>
          </w:tcPr>
          <w:p w14:paraId="30D55FF8" w14:textId="77777777" w:rsidR="006D1135" w:rsidRPr="00BE5239" w:rsidRDefault="006D1135" w:rsidP="00B31896">
            <w:pPr>
              <w:spacing w:line="256" w:lineRule="auto"/>
              <w:ind w:right="54"/>
              <w:rPr>
                <w:sz w:val="22"/>
                <w:szCs w:val="22"/>
              </w:rPr>
            </w:pPr>
            <w:proofErr w:type="spellStart"/>
            <w:r w:rsidRPr="00BE5239">
              <w:rPr>
                <w:sz w:val="22"/>
                <w:szCs w:val="22"/>
              </w:rPr>
              <w:t>Alopeci</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04CF830A" w14:textId="77777777" w:rsidR="006D1135" w:rsidRPr="00BE5239" w:rsidRDefault="006D1135" w:rsidP="00B31896">
            <w:pPr>
              <w:spacing w:line="256" w:lineRule="auto"/>
              <w:ind w:right="54"/>
              <w:rPr>
                <w:sz w:val="22"/>
                <w:szCs w:val="22"/>
              </w:rPr>
            </w:pPr>
            <w:r w:rsidRPr="00BE5239">
              <w:rPr>
                <w:sz w:val="22"/>
                <w:szCs w:val="22"/>
              </w:rPr>
              <w:t xml:space="preserve">Lægemiddelreaktionen </w:t>
            </w:r>
            <w:proofErr w:type="spellStart"/>
            <w:r w:rsidRPr="00BE5239">
              <w:rPr>
                <w:sz w:val="22"/>
                <w:szCs w:val="22"/>
              </w:rPr>
              <w:t>eosinofili</w:t>
            </w:r>
            <w:proofErr w:type="spellEnd"/>
            <w:r w:rsidRPr="00BE5239">
              <w:rPr>
                <w:sz w:val="22"/>
                <w:szCs w:val="22"/>
              </w:rPr>
              <w:t xml:space="preserve"> og systemiske symptomer (DRESS), Stevens-Johnsons syndrom (SJS), toksisk </w:t>
            </w:r>
            <w:proofErr w:type="spellStart"/>
            <w:r w:rsidRPr="00BE5239">
              <w:rPr>
                <w:sz w:val="22"/>
                <w:szCs w:val="22"/>
              </w:rPr>
              <w:t>epidermal</w:t>
            </w:r>
            <w:proofErr w:type="spellEnd"/>
            <w:r w:rsidRPr="00BE5239">
              <w:rPr>
                <w:sz w:val="22"/>
                <w:szCs w:val="22"/>
              </w:rPr>
              <w:t xml:space="preserve"> </w:t>
            </w:r>
            <w:proofErr w:type="spellStart"/>
            <w:r w:rsidRPr="00BE5239">
              <w:rPr>
                <w:sz w:val="22"/>
                <w:szCs w:val="22"/>
              </w:rPr>
              <w:t>nekrolyse</w:t>
            </w:r>
            <w:proofErr w:type="spellEnd"/>
            <w:r w:rsidRPr="00BE5239">
              <w:rPr>
                <w:sz w:val="22"/>
                <w:szCs w:val="22"/>
              </w:rPr>
              <w:t xml:space="preserve"> (TEN)</w:t>
            </w:r>
          </w:p>
        </w:tc>
      </w:tr>
      <w:tr w:rsidR="00703059" w:rsidRPr="00BE5239" w14:paraId="522D6F07"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44676F36" w14:textId="77777777" w:rsidR="006D1135" w:rsidRPr="00BE5239" w:rsidRDefault="006D1135" w:rsidP="00B31896">
            <w:pPr>
              <w:spacing w:line="256" w:lineRule="auto"/>
              <w:ind w:right="54"/>
              <w:rPr>
                <w:sz w:val="22"/>
                <w:szCs w:val="22"/>
              </w:rPr>
            </w:pPr>
            <w:r w:rsidRPr="00BE5239">
              <w:rPr>
                <w:sz w:val="22"/>
                <w:szCs w:val="22"/>
              </w:rPr>
              <w:t>Knogler, led, muskler og bindevæv</w:t>
            </w:r>
          </w:p>
        </w:tc>
        <w:tc>
          <w:tcPr>
            <w:tcW w:w="1133" w:type="pct"/>
            <w:tcBorders>
              <w:top w:val="single" w:sz="4" w:space="0" w:color="auto"/>
              <w:left w:val="single" w:sz="4" w:space="0" w:color="auto"/>
              <w:bottom w:val="single" w:sz="4" w:space="0" w:color="auto"/>
              <w:right w:val="single" w:sz="4" w:space="0" w:color="auto"/>
            </w:tcBorders>
          </w:tcPr>
          <w:p w14:paraId="4F224BB9"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71BFE1A1"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693FCD21" w14:textId="77777777" w:rsidR="006D1135" w:rsidRPr="00BE5239" w:rsidRDefault="006D1135" w:rsidP="00B31896">
            <w:pPr>
              <w:spacing w:line="256" w:lineRule="auto"/>
              <w:ind w:right="54"/>
              <w:rPr>
                <w:sz w:val="22"/>
                <w:szCs w:val="22"/>
              </w:rPr>
            </w:pPr>
            <w:proofErr w:type="spellStart"/>
            <w:r w:rsidRPr="00BE5239">
              <w:rPr>
                <w:sz w:val="22"/>
                <w:szCs w:val="22"/>
              </w:rPr>
              <w:t>Artralgi</w:t>
            </w:r>
            <w:proofErr w:type="spellEnd"/>
          </w:p>
        </w:tc>
        <w:tc>
          <w:tcPr>
            <w:tcW w:w="800" w:type="pct"/>
            <w:tcBorders>
              <w:top w:val="single" w:sz="4" w:space="0" w:color="auto"/>
              <w:left w:val="single" w:sz="4" w:space="0" w:color="auto"/>
              <w:bottom w:val="single" w:sz="4" w:space="0" w:color="auto"/>
              <w:right w:val="single" w:sz="4" w:space="0" w:color="auto"/>
            </w:tcBorders>
            <w:hideMark/>
          </w:tcPr>
          <w:p w14:paraId="4FAD5DB4" w14:textId="77777777" w:rsidR="006D1135" w:rsidRPr="00BE5239" w:rsidRDefault="006D1135" w:rsidP="00B31896">
            <w:pPr>
              <w:spacing w:line="256" w:lineRule="auto"/>
              <w:ind w:left="34" w:right="54"/>
              <w:rPr>
                <w:sz w:val="22"/>
                <w:szCs w:val="22"/>
              </w:rPr>
            </w:pPr>
            <w:r w:rsidRPr="00BE5239">
              <w:rPr>
                <w:sz w:val="22"/>
                <w:szCs w:val="22"/>
              </w:rPr>
              <w:t>Myalgi</w:t>
            </w:r>
          </w:p>
        </w:tc>
        <w:tc>
          <w:tcPr>
            <w:tcW w:w="800" w:type="pct"/>
            <w:tcBorders>
              <w:top w:val="single" w:sz="4" w:space="0" w:color="auto"/>
              <w:left w:val="single" w:sz="4" w:space="0" w:color="auto"/>
              <w:bottom w:val="single" w:sz="4" w:space="0" w:color="auto"/>
              <w:right w:val="single" w:sz="4" w:space="0" w:color="auto"/>
            </w:tcBorders>
          </w:tcPr>
          <w:p w14:paraId="48F09FC0" w14:textId="77777777" w:rsidR="006D1135" w:rsidRPr="00BE5239" w:rsidRDefault="006D1135" w:rsidP="00B31896">
            <w:pPr>
              <w:spacing w:line="256" w:lineRule="auto"/>
              <w:ind w:right="54"/>
              <w:rPr>
                <w:sz w:val="22"/>
                <w:szCs w:val="22"/>
              </w:rPr>
            </w:pPr>
          </w:p>
        </w:tc>
      </w:tr>
      <w:tr w:rsidR="00703059" w:rsidRPr="00BE5239" w14:paraId="3FBFFE07"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3409370F" w14:textId="77777777" w:rsidR="006D1135" w:rsidRPr="00BE5239" w:rsidRDefault="006D1135" w:rsidP="00B31896">
            <w:pPr>
              <w:spacing w:line="256" w:lineRule="auto"/>
              <w:ind w:right="54"/>
              <w:rPr>
                <w:sz w:val="22"/>
                <w:szCs w:val="22"/>
              </w:rPr>
            </w:pPr>
            <w:r w:rsidRPr="00BE5239">
              <w:rPr>
                <w:sz w:val="22"/>
                <w:szCs w:val="22"/>
              </w:rPr>
              <w:t>Nyrer og urinveje</w:t>
            </w:r>
          </w:p>
        </w:tc>
        <w:tc>
          <w:tcPr>
            <w:tcW w:w="1133" w:type="pct"/>
            <w:tcBorders>
              <w:top w:val="single" w:sz="4" w:space="0" w:color="auto"/>
              <w:left w:val="single" w:sz="4" w:space="0" w:color="auto"/>
              <w:bottom w:val="single" w:sz="4" w:space="0" w:color="auto"/>
              <w:right w:val="single" w:sz="4" w:space="0" w:color="auto"/>
            </w:tcBorders>
          </w:tcPr>
          <w:p w14:paraId="60921A48"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60072235"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0CB8343B"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11B88145" w14:textId="77777777" w:rsidR="006D1135" w:rsidRPr="00BE5239" w:rsidRDefault="006D1135" w:rsidP="00B31896">
            <w:pPr>
              <w:spacing w:line="256" w:lineRule="auto"/>
              <w:ind w:right="54"/>
              <w:rPr>
                <w:sz w:val="22"/>
                <w:szCs w:val="22"/>
              </w:rPr>
            </w:pPr>
            <w:r w:rsidRPr="00BE5239">
              <w:rPr>
                <w:sz w:val="22"/>
                <w:szCs w:val="22"/>
              </w:rPr>
              <w:t xml:space="preserve">Nedsat nyrefunktion inklusive akut og kronisk </w:t>
            </w:r>
            <w:proofErr w:type="spellStart"/>
            <w:r w:rsidRPr="00BE5239">
              <w:rPr>
                <w:sz w:val="22"/>
                <w:szCs w:val="22"/>
              </w:rPr>
              <w:t>interstitiel</w:t>
            </w:r>
            <w:proofErr w:type="spellEnd"/>
            <w:r w:rsidRPr="00BE5239">
              <w:rPr>
                <w:sz w:val="22"/>
                <w:szCs w:val="22"/>
              </w:rPr>
              <w:t xml:space="preserve"> </w:t>
            </w:r>
            <w:proofErr w:type="spellStart"/>
            <w:r w:rsidRPr="00BE5239">
              <w:rPr>
                <w:sz w:val="22"/>
                <w:szCs w:val="22"/>
              </w:rPr>
              <w:t>nefritis</w:t>
            </w:r>
            <w:proofErr w:type="spellEnd"/>
            <w:r w:rsidRPr="00BE5239">
              <w:rPr>
                <w:sz w:val="22"/>
                <w:szCs w:val="22"/>
              </w:rPr>
              <w:t xml:space="preserve"> og nyreinsufficiens</w:t>
            </w:r>
          </w:p>
        </w:tc>
        <w:tc>
          <w:tcPr>
            <w:tcW w:w="800" w:type="pct"/>
            <w:tcBorders>
              <w:top w:val="single" w:sz="4" w:space="0" w:color="auto"/>
              <w:left w:val="single" w:sz="4" w:space="0" w:color="auto"/>
              <w:bottom w:val="single" w:sz="4" w:space="0" w:color="auto"/>
              <w:right w:val="single" w:sz="4" w:space="0" w:color="auto"/>
            </w:tcBorders>
            <w:hideMark/>
          </w:tcPr>
          <w:p w14:paraId="6E43F2A1" w14:textId="77777777" w:rsidR="006D1135" w:rsidRPr="00BE5239" w:rsidRDefault="006D1135" w:rsidP="00B31896">
            <w:pPr>
              <w:spacing w:line="256" w:lineRule="auto"/>
              <w:ind w:right="54"/>
              <w:rPr>
                <w:sz w:val="22"/>
                <w:szCs w:val="22"/>
              </w:rPr>
            </w:pPr>
            <w:proofErr w:type="spellStart"/>
            <w:r w:rsidRPr="00BE5239">
              <w:rPr>
                <w:sz w:val="22"/>
                <w:szCs w:val="22"/>
              </w:rPr>
              <w:t>Nefrolitiasis</w:t>
            </w:r>
            <w:proofErr w:type="spellEnd"/>
            <w:r w:rsidRPr="00BE5239">
              <w:rPr>
                <w:sz w:val="22"/>
                <w:szCs w:val="22"/>
              </w:rPr>
              <w:t>*</w:t>
            </w:r>
          </w:p>
        </w:tc>
      </w:tr>
      <w:tr w:rsidR="00703059" w:rsidRPr="00BE5239" w14:paraId="362B7BC1"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43812FFB" w14:textId="77777777" w:rsidR="006D1135" w:rsidRPr="00BE5239" w:rsidRDefault="006D1135" w:rsidP="00B31896">
            <w:pPr>
              <w:spacing w:line="256" w:lineRule="auto"/>
              <w:ind w:right="54"/>
              <w:rPr>
                <w:sz w:val="22"/>
                <w:szCs w:val="22"/>
              </w:rPr>
            </w:pPr>
            <w:r w:rsidRPr="00BE5239">
              <w:rPr>
                <w:sz w:val="22"/>
                <w:szCs w:val="22"/>
              </w:rPr>
              <w:t>Det reproduktive system og mammae</w:t>
            </w:r>
          </w:p>
        </w:tc>
        <w:tc>
          <w:tcPr>
            <w:tcW w:w="1133" w:type="pct"/>
            <w:tcBorders>
              <w:top w:val="single" w:sz="4" w:space="0" w:color="auto"/>
              <w:left w:val="single" w:sz="4" w:space="0" w:color="auto"/>
              <w:bottom w:val="single" w:sz="4" w:space="0" w:color="auto"/>
              <w:right w:val="single" w:sz="4" w:space="0" w:color="auto"/>
            </w:tcBorders>
          </w:tcPr>
          <w:p w14:paraId="4E1A7711"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68569A92"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5D74B33F"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58528F3D" w14:textId="37050637" w:rsidR="006D1135" w:rsidRPr="00BE5239" w:rsidRDefault="006D1135" w:rsidP="00703059">
            <w:pPr>
              <w:spacing w:line="256" w:lineRule="auto"/>
              <w:ind w:right="54"/>
              <w:rPr>
                <w:sz w:val="22"/>
                <w:szCs w:val="22"/>
              </w:rPr>
            </w:pPr>
            <w:proofErr w:type="spellStart"/>
            <w:r w:rsidRPr="00BE5239">
              <w:rPr>
                <w:sz w:val="22"/>
                <w:szCs w:val="22"/>
              </w:rPr>
              <w:t>Oligospermi</w:t>
            </w:r>
            <w:proofErr w:type="spellEnd"/>
            <w:r w:rsidRPr="00BE5239">
              <w:rPr>
                <w:sz w:val="22"/>
                <w:szCs w:val="22"/>
              </w:rPr>
              <w:t xml:space="preserve"> (reversibel)</w:t>
            </w:r>
          </w:p>
        </w:tc>
        <w:tc>
          <w:tcPr>
            <w:tcW w:w="800" w:type="pct"/>
            <w:tcBorders>
              <w:top w:val="single" w:sz="4" w:space="0" w:color="auto"/>
              <w:left w:val="single" w:sz="4" w:space="0" w:color="auto"/>
              <w:bottom w:val="single" w:sz="4" w:space="0" w:color="auto"/>
              <w:right w:val="single" w:sz="4" w:space="0" w:color="auto"/>
            </w:tcBorders>
          </w:tcPr>
          <w:p w14:paraId="724E053A" w14:textId="77777777" w:rsidR="006D1135" w:rsidRPr="00BE5239" w:rsidRDefault="006D1135" w:rsidP="00B31896">
            <w:pPr>
              <w:spacing w:line="256" w:lineRule="auto"/>
              <w:ind w:right="54"/>
              <w:rPr>
                <w:sz w:val="22"/>
                <w:szCs w:val="22"/>
              </w:rPr>
            </w:pPr>
          </w:p>
        </w:tc>
      </w:tr>
      <w:tr w:rsidR="00703059" w:rsidRPr="00BE5239" w14:paraId="0F61B2D7"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3D37745A" w14:textId="77777777" w:rsidR="006D1135" w:rsidRPr="00BE5239" w:rsidRDefault="006D1135" w:rsidP="00B31896">
            <w:pPr>
              <w:spacing w:line="256" w:lineRule="auto"/>
              <w:ind w:right="54"/>
              <w:rPr>
                <w:sz w:val="22"/>
                <w:szCs w:val="22"/>
              </w:rPr>
            </w:pPr>
            <w:r w:rsidRPr="00BE5239">
              <w:rPr>
                <w:sz w:val="22"/>
                <w:szCs w:val="22"/>
              </w:rPr>
              <w:t xml:space="preserve">Almene symptomer </w:t>
            </w:r>
          </w:p>
        </w:tc>
        <w:tc>
          <w:tcPr>
            <w:tcW w:w="1133" w:type="pct"/>
            <w:tcBorders>
              <w:top w:val="single" w:sz="4" w:space="0" w:color="auto"/>
              <w:left w:val="single" w:sz="4" w:space="0" w:color="auto"/>
              <w:bottom w:val="single" w:sz="4" w:space="0" w:color="auto"/>
              <w:right w:val="single" w:sz="4" w:space="0" w:color="auto"/>
            </w:tcBorders>
          </w:tcPr>
          <w:p w14:paraId="1377875A"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6B903553"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165AA2BF" w14:textId="77777777" w:rsidR="006D1135" w:rsidRPr="00BE5239" w:rsidRDefault="006D1135" w:rsidP="00B31896">
            <w:pPr>
              <w:spacing w:line="256" w:lineRule="auto"/>
              <w:ind w:right="54"/>
              <w:rPr>
                <w:sz w:val="22"/>
                <w:szCs w:val="22"/>
              </w:rPr>
            </w:pPr>
            <w:r w:rsidRPr="00BE5239">
              <w:rPr>
                <w:sz w:val="22"/>
                <w:szCs w:val="22"/>
              </w:rPr>
              <w:t>Asteni, træthed</w:t>
            </w:r>
          </w:p>
        </w:tc>
        <w:tc>
          <w:tcPr>
            <w:tcW w:w="800" w:type="pct"/>
            <w:tcBorders>
              <w:top w:val="single" w:sz="4" w:space="0" w:color="auto"/>
              <w:left w:val="single" w:sz="4" w:space="0" w:color="auto"/>
              <w:bottom w:val="single" w:sz="4" w:space="0" w:color="auto"/>
              <w:right w:val="single" w:sz="4" w:space="0" w:color="auto"/>
            </w:tcBorders>
          </w:tcPr>
          <w:p w14:paraId="2E223AF3"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723C53A4" w14:textId="77777777" w:rsidR="006D1135" w:rsidRPr="00BE5239" w:rsidRDefault="006D1135" w:rsidP="00B31896">
            <w:pPr>
              <w:spacing w:line="256" w:lineRule="auto"/>
              <w:ind w:right="54"/>
              <w:rPr>
                <w:sz w:val="22"/>
                <w:szCs w:val="22"/>
              </w:rPr>
            </w:pPr>
          </w:p>
        </w:tc>
      </w:tr>
      <w:tr w:rsidR="00703059" w:rsidRPr="00BE5239" w14:paraId="182F5E1F" w14:textId="77777777" w:rsidTr="00B31896">
        <w:tc>
          <w:tcPr>
            <w:tcW w:w="667" w:type="pct"/>
            <w:tcBorders>
              <w:top w:val="single" w:sz="4" w:space="0" w:color="auto"/>
              <w:left w:val="single" w:sz="4" w:space="0" w:color="auto"/>
              <w:bottom w:val="single" w:sz="4" w:space="0" w:color="auto"/>
              <w:right w:val="single" w:sz="4" w:space="0" w:color="auto"/>
            </w:tcBorders>
            <w:hideMark/>
          </w:tcPr>
          <w:p w14:paraId="3216AA1D" w14:textId="77777777" w:rsidR="006D1135" w:rsidRPr="00BE5239" w:rsidRDefault="006D1135" w:rsidP="00B31896">
            <w:pPr>
              <w:spacing w:line="256" w:lineRule="auto"/>
              <w:ind w:right="54"/>
              <w:rPr>
                <w:sz w:val="22"/>
                <w:szCs w:val="22"/>
              </w:rPr>
            </w:pPr>
            <w:r w:rsidRPr="00BE5239">
              <w:rPr>
                <w:sz w:val="22"/>
                <w:szCs w:val="22"/>
              </w:rPr>
              <w:t xml:space="preserve">Undersøgelser </w:t>
            </w:r>
          </w:p>
        </w:tc>
        <w:tc>
          <w:tcPr>
            <w:tcW w:w="1133" w:type="pct"/>
            <w:tcBorders>
              <w:top w:val="single" w:sz="4" w:space="0" w:color="auto"/>
              <w:left w:val="single" w:sz="4" w:space="0" w:color="auto"/>
              <w:bottom w:val="single" w:sz="4" w:space="0" w:color="auto"/>
              <w:right w:val="single" w:sz="4" w:space="0" w:color="auto"/>
            </w:tcBorders>
          </w:tcPr>
          <w:p w14:paraId="2A88E35E"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hideMark/>
          </w:tcPr>
          <w:p w14:paraId="608755E7" w14:textId="77777777" w:rsidR="006D1135" w:rsidRPr="00BE5239" w:rsidRDefault="006D1135" w:rsidP="00B31896">
            <w:pPr>
              <w:spacing w:line="256" w:lineRule="auto"/>
              <w:ind w:right="54"/>
              <w:rPr>
                <w:sz w:val="22"/>
                <w:szCs w:val="22"/>
              </w:rPr>
            </w:pPr>
            <w:r w:rsidRPr="00BE5239">
              <w:rPr>
                <w:sz w:val="22"/>
                <w:szCs w:val="22"/>
              </w:rPr>
              <w:t xml:space="preserve">Ændring i leverfunktionsværdier (stigning i </w:t>
            </w:r>
            <w:proofErr w:type="spellStart"/>
            <w:r w:rsidRPr="00BE5239">
              <w:rPr>
                <w:sz w:val="22"/>
                <w:szCs w:val="22"/>
              </w:rPr>
              <w:t>transaminaser</w:t>
            </w:r>
            <w:proofErr w:type="spellEnd"/>
            <w:r w:rsidRPr="00BE5239">
              <w:rPr>
                <w:sz w:val="22"/>
                <w:szCs w:val="22"/>
              </w:rPr>
              <w:t xml:space="preserve"> og </w:t>
            </w:r>
            <w:proofErr w:type="spellStart"/>
            <w:r w:rsidRPr="00BE5239">
              <w:rPr>
                <w:sz w:val="22"/>
                <w:szCs w:val="22"/>
              </w:rPr>
              <w:t>cholestatiske</w:t>
            </w:r>
            <w:proofErr w:type="spellEnd"/>
            <w:r w:rsidRPr="00BE5239">
              <w:rPr>
                <w:sz w:val="22"/>
                <w:szCs w:val="22"/>
              </w:rPr>
              <w:t xml:space="preserve"> parametre), ændring i pancreas-enzymer (stigning i </w:t>
            </w:r>
            <w:proofErr w:type="spellStart"/>
            <w:r w:rsidRPr="00BE5239">
              <w:rPr>
                <w:sz w:val="22"/>
                <w:szCs w:val="22"/>
              </w:rPr>
              <w:t>lipase</w:t>
            </w:r>
            <w:proofErr w:type="spellEnd"/>
            <w:r w:rsidRPr="00BE5239">
              <w:rPr>
                <w:sz w:val="22"/>
                <w:szCs w:val="22"/>
              </w:rPr>
              <w:t xml:space="preserve"> og amylase) stigning i </w:t>
            </w:r>
            <w:proofErr w:type="spellStart"/>
            <w:r w:rsidRPr="00BE5239">
              <w:rPr>
                <w:sz w:val="22"/>
                <w:szCs w:val="22"/>
              </w:rPr>
              <w:t>eosinofiltal</w:t>
            </w:r>
            <w:proofErr w:type="spellEnd"/>
          </w:p>
        </w:tc>
        <w:tc>
          <w:tcPr>
            <w:tcW w:w="800" w:type="pct"/>
            <w:tcBorders>
              <w:top w:val="single" w:sz="4" w:space="0" w:color="auto"/>
              <w:left w:val="single" w:sz="4" w:space="0" w:color="auto"/>
              <w:bottom w:val="single" w:sz="4" w:space="0" w:color="auto"/>
              <w:right w:val="single" w:sz="4" w:space="0" w:color="auto"/>
            </w:tcBorders>
          </w:tcPr>
          <w:p w14:paraId="42F76712"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2839E373" w14:textId="77777777" w:rsidR="006D1135" w:rsidRPr="00BE5239" w:rsidRDefault="006D1135" w:rsidP="00B31896">
            <w:pPr>
              <w:spacing w:line="256" w:lineRule="auto"/>
              <w:ind w:right="54"/>
              <w:rPr>
                <w:sz w:val="22"/>
                <w:szCs w:val="22"/>
              </w:rPr>
            </w:pPr>
          </w:p>
        </w:tc>
        <w:tc>
          <w:tcPr>
            <w:tcW w:w="800" w:type="pct"/>
            <w:tcBorders>
              <w:top w:val="single" w:sz="4" w:space="0" w:color="auto"/>
              <w:left w:val="single" w:sz="4" w:space="0" w:color="auto"/>
              <w:bottom w:val="single" w:sz="4" w:space="0" w:color="auto"/>
              <w:right w:val="single" w:sz="4" w:space="0" w:color="auto"/>
            </w:tcBorders>
          </w:tcPr>
          <w:p w14:paraId="4FD7784F" w14:textId="77777777" w:rsidR="006D1135" w:rsidRPr="00BE5239" w:rsidRDefault="006D1135" w:rsidP="00B31896">
            <w:pPr>
              <w:spacing w:line="256" w:lineRule="auto"/>
              <w:ind w:right="54"/>
              <w:rPr>
                <w:sz w:val="22"/>
                <w:szCs w:val="22"/>
              </w:rPr>
            </w:pPr>
          </w:p>
        </w:tc>
      </w:tr>
    </w:tbl>
    <w:p w14:paraId="1BAF83BD" w14:textId="77777777" w:rsidR="006D1135" w:rsidRPr="00BE5239" w:rsidRDefault="006D1135" w:rsidP="00B31896">
      <w:pPr>
        <w:tabs>
          <w:tab w:val="left" w:pos="-720"/>
          <w:tab w:val="left" w:pos="567"/>
        </w:tabs>
        <w:ind w:right="237"/>
        <w:rPr>
          <w:sz w:val="24"/>
          <w:szCs w:val="24"/>
        </w:rPr>
      </w:pPr>
      <w:r w:rsidRPr="00BE5239">
        <w:rPr>
          <w:sz w:val="24"/>
          <w:szCs w:val="24"/>
        </w:rPr>
        <w:t>* se pkt. 4.4 for yderligere oplysninger</w:t>
      </w:r>
    </w:p>
    <w:p w14:paraId="375DB0C5" w14:textId="77777777" w:rsidR="006D1135" w:rsidRPr="00BE5239" w:rsidRDefault="006D1135" w:rsidP="006D1135">
      <w:pPr>
        <w:tabs>
          <w:tab w:val="left" w:pos="-720"/>
        </w:tabs>
        <w:ind w:right="237"/>
        <w:rPr>
          <w:sz w:val="24"/>
          <w:szCs w:val="24"/>
          <w:u w:val="single"/>
        </w:rPr>
      </w:pPr>
    </w:p>
    <w:p w14:paraId="20533781" w14:textId="77777777" w:rsidR="006D1135" w:rsidRPr="00BE5239" w:rsidRDefault="006D1135" w:rsidP="00B31896">
      <w:pPr>
        <w:ind w:left="851"/>
        <w:rPr>
          <w:sz w:val="24"/>
          <w:szCs w:val="24"/>
        </w:rPr>
      </w:pPr>
      <w:r w:rsidRPr="00BE5239">
        <w:rPr>
          <w:sz w:val="24"/>
          <w:szCs w:val="24"/>
        </w:rPr>
        <w:t xml:space="preserve">Der er rapporteret om svære </w:t>
      </w:r>
      <w:proofErr w:type="spellStart"/>
      <w:r w:rsidRPr="00BE5239">
        <w:rPr>
          <w:sz w:val="24"/>
          <w:szCs w:val="24"/>
        </w:rPr>
        <w:t>kutane</w:t>
      </w:r>
      <w:proofErr w:type="spellEnd"/>
      <w:r w:rsidRPr="00BE5239">
        <w:rPr>
          <w:sz w:val="24"/>
          <w:szCs w:val="24"/>
        </w:rPr>
        <w:t xml:space="preserve"> bivirkninger (</w:t>
      </w:r>
      <w:proofErr w:type="spellStart"/>
      <w:r w:rsidRPr="00BE5239">
        <w:rPr>
          <w:sz w:val="24"/>
          <w:szCs w:val="24"/>
        </w:rPr>
        <w:t>SCARs</w:t>
      </w:r>
      <w:proofErr w:type="spellEnd"/>
      <w:r w:rsidRPr="00BE5239">
        <w:rPr>
          <w:sz w:val="24"/>
          <w:szCs w:val="24"/>
        </w:rPr>
        <w:t xml:space="preserve">), herunder lægemiddelreaktionen </w:t>
      </w:r>
      <w:proofErr w:type="spellStart"/>
      <w:r w:rsidRPr="00BE5239">
        <w:rPr>
          <w:sz w:val="24"/>
          <w:szCs w:val="24"/>
        </w:rPr>
        <w:t>eosinofili</w:t>
      </w:r>
      <w:proofErr w:type="spellEnd"/>
      <w:r w:rsidRPr="00BE5239">
        <w:rPr>
          <w:sz w:val="24"/>
          <w:szCs w:val="24"/>
        </w:rPr>
        <w:t xml:space="preserve"> og systemiske symptomer (DRESS), Stevens-Johnsons syndrom (SJS) og toksisk </w:t>
      </w:r>
      <w:proofErr w:type="spellStart"/>
      <w:r w:rsidRPr="00BE5239">
        <w:rPr>
          <w:sz w:val="24"/>
          <w:szCs w:val="24"/>
        </w:rPr>
        <w:t>epidermal</w:t>
      </w:r>
      <w:proofErr w:type="spellEnd"/>
      <w:r w:rsidRPr="00BE5239">
        <w:rPr>
          <w:sz w:val="24"/>
          <w:szCs w:val="24"/>
        </w:rPr>
        <w:t xml:space="preserve"> </w:t>
      </w:r>
      <w:proofErr w:type="spellStart"/>
      <w:r w:rsidRPr="00BE5239">
        <w:rPr>
          <w:sz w:val="24"/>
          <w:szCs w:val="24"/>
        </w:rPr>
        <w:t>nekrolyse</w:t>
      </w:r>
      <w:proofErr w:type="spellEnd"/>
      <w:r w:rsidRPr="00BE5239">
        <w:rPr>
          <w:sz w:val="24"/>
          <w:szCs w:val="24"/>
        </w:rPr>
        <w:t xml:space="preserve"> (TEN), i forbindelse med </w:t>
      </w:r>
      <w:proofErr w:type="spellStart"/>
      <w:r w:rsidRPr="00BE5239">
        <w:rPr>
          <w:sz w:val="24"/>
          <w:szCs w:val="24"/>
        </w:rPr>
        <w:t>mesalazin</w:t>
      </w:r>
      <w:proofErr w:type="spellEnd"/>
      <w:r w:rsidRPr="00BE5239">
        <w:rPr>
          <w:sz w:val="24"/>
          <w:szCs w:val="24"/>
        </w:rPr>
        <w:t>-behandling (se pkt. 4.4).</w:t>
      </w:r>
    </w:p>
    <w:p w14:paraId="338523B6" w14:textId="77777777" w:rsidR="006D1135" w:rsidRPr="00BE5239" w:rsidRDefault="006D1135" w:rsidP="00B31896">
      <w:pPr>
        <w:ind w:left="851"/>
        <w:rPr>
          <w:sz w:val="24"/>
          <w:szCs w:val="24"/>
          <w:u w:val="single"/>
        </w:rPr>
      </w:pPr>
    </w:p>
    <w:p w14:paraId="15B7BA69" w14:textId="77777777" w:rsidR="006D1135" w:rsidRPr="00BE5239" w:rsidRDefault="006D1135" w:rsidP="00B31896">
      <w:pPr>
        <w:ind w:left="851"/>
        <w:rPr>
          <w:sz w:val="24"/>
          <w:szCs w:val="24"/>
          <w:u w:val="single"/>
        </w:rPr>
      </w:pPr>
      <w:r w:rsidRPr="00BE5239">
        <w:rPr>
          <w:sz w:val="24"/>
          <w:szCs w:val="24"/>
          <w:u w:val="single"/>
        </w:rPr>
        <w:t>Lysfølsomhed</w:t>
      </w:r>
    </w:p>
    <w:p w14:paraId="447717F3" w14:textId="77777777" w:rsidR="006D1135" w:rsidRPr="00BE5239" w:rsidRDefault="006D1135" w:rsidP="00B31896">
      <w:pPr>
        <w:ind w:left="851"/>
        <w:rPr>
          <w:sz w:val="24"/>
          <w:szCs w:val="24"/>
        </w:rPr>
      </w:pPr>
      <w:r w:rsidRPr="00BE5239">
        <w:rPr>
          <w:sz w:val="24"/>
          <w:szCs w:val="24"/>
        </w:rPr>
        <w:t xml:space="preserve">Der er indberettet flere svære reaktioner hos patienter med præeksisterende hudlidelser som f.eks. </w:t>
      </w:r>
      <w:proofErr w:type="spellStart"/>
      <w:r w:rsidRPr="00BE5239">
        <w:rPr>
          <w:sz w:val="24"/>
          <w:szCs w:val="24"/>
        </w:rPr>
        <w:t>atopisk</w:t>
      </w:r>
      <w:proofErr w:type="spellEnd"/>
      <w:r w:rsidRPr="00BE5239">
        <w:rPr>
          <w:sz w:val="24"/>
          <w:szCs w:val="24"/>
        </w:rPr>
        <w:t xml:space="preserve"> </w:t>
      </w:r>
      <w:proofErr w:type="spellStart"/>
      <w:r w:rsidRPr="00BE5239">
        <w:rPr>
          <w:sz w:val="24"/>
          <w:szCs w:val="24"/>
        </w:rPr>
        <w:t>dermatitis</w:t>
      </w:r>
      <w:proofErr w:type="spellEnd"/>
      <w:r w:rsidRPr="00BE5239">
        <w:rPr>
          <w:sz w:val="24"/>
          <w:szCs w:val="24"/>
        </w:rPr>
        <w:t xml:space="preserve"> og </w:t>
      </w:r>
      <w:proofErr w:type="spellStart"/>
      <w:r w:rsidRPr="00BE5239">
        <w:rPr>
          <w:sz w:val="24"/>
          <w:szCs w:val="24"/>
        </w:rPr>
        <w:t>atopisk</w:t>
      </w:r>
      <w:proofErr w:type="spellEnd"/>
      <w:r w:rsidRPr="00BE5239">
        <w:rPr>
          <w:sz w:val="24"/>
          <w:szCs w:val="24"/>
        </w:rPr>
        <w:t xml:space="preserve"> eksem.</w:t>
      </w:r>
    </w:p>
    <w:p w14:paraId="27DE9BE5" w14:textId="77777777" w:rsidR="006D1135" w:rsidRPr="00BE5239" w:rsidRDefault="006D1135" w:rsidP="00B31896">
      <w:pPr>
        <w:ind w:left="851"/>
        <w:rPr>
          <w:sz w:val="24"/>
          <w:szCs w:val="24"/>
          <w:u w:val="single"/>
        </w:rPr>
      </w:pPr>
    </w:p>
    <w:p w14:paraId="220F7922" w14:textId="77777777" w:rsidR="006D1135" w:rsidRPr="00BE5239" w:rsidRDefault="006D1135" w:rsidP="00B31896">
      <w:pPr>
        <w:ind w:left="851"/>
        <w:rPr>
          <w:sz w:val="24"/>
          <w:szCs w:val="24"/>
          <w:u w:val="single"/>
        </w:rPr>
      </w:pPr>
      <w:r w:rsidRPr="00BE5239">
        <w:rPr>
          <w:sz w:val="24"/>
          <w:szCs w:val="24"/>
          <w:u w:val="single"/>
        </w:rPr>
        <w:t>Indberetning af formodede bivirkninger</w:t>
      </w:r>
    </w:p>
    <w:p w14:paraId="46A6D821" w14:textId="77777777" w:rsidR="006D1135" w:rsidRPr="00BE5239" w:rsidRDefault="006D1135" w:rsidP="00B31896">
      <w:pPr>
        <w:ind w:left="851"/>
        <w:rPr>
          <w:sz w:val="24"/>
          <w:szCs w:val="24"/>
        </w:rPr>
      </w:pPr>
      <w:r w:rsidRPr="00BE5239">
        <w:rPr>
          <w:sz w:val="24"/>
          <w:szCs w:val="24"/>
        </w:rPr>
        <w:t>Når lægemidlet er godkendt, er indberetning af formodede bivirkninger vigtig. Det muliggør løbende overvågning af benefit/</w:t>
      </w:r>
      <w:proofErr w:type="spellStart"/>
      <w:r w:rsidRPr="00BE5239">
        <w:rPr>
          <w:sz w:val="24"/>
          <w:szCs w:val="24"/>
        </w:rPr>
        <w:t>risk</w:t>
      </w:r>
      <w:proofErr w:type="spellEnd"/>
      <w:r w:rsidRPr="00BE5239">
        <w:rPr>
          <w:sz w:val="24"/>
          <w:szCs w:val="24"/>
        </w:rPr>
        <w:t xml:space="preserve">-forholdet for lægemidlet. Sundhedspersoner anmodes om at indberette alle formodede bivirkninger </w:t>
      </w:r>
    </w:p>
    <w:p w14:paraId="09BE4E79" w14:textId="77777777" w:rsidR="006D1135" w:rsidRPr="00BE5239" w:rsidRDefault="006D1135" w:rsidP="00B31896">
      <w:pPr>
        <w:ind w:left="851"/>
        <w:rPr>
          <w:sz w:val="24"/>
          <w:szCs w:val="24"/>
        </w:rPr>
      </w:pPr>
    </w:p>
    <w:p w14:paraId="64D51B52" w14:textId="77777777" w:rsidR="006D1135" w:rsidRPr="00BE5239" w:rsidRDefault="006D1135" w:rsidP="00B31896">
      <w:pPr>
        <w:ind w:left="851"/>
        <w:rPr>
          <w:sz w:val="24"/>
          <w:szCs w:val="24"/>
        </w:rPr>
      </w:pPr>
      <w:r w:rsidRPr="00BE5239">
        <w:rPr>
          <w:sz w:val="24"/>
          <w:szCs w:val="24"/>
        </w:rPr>
        <w:t>Lægemiddelstyrelsen</w:t>
      </w:r>
    </w:p>
    <w:p w14:paraId="5E860ECD" w14:textId="77777777" w:rsidR="006D1135" w:rsidRPr="00BE5239" w:rsidRDefault="006D1135" w:rsidP="00B31896">
      <w:pPr>
        <w:ind w:left="851"/>
        <w:rPr>
          <w:sz w:val="24"/>
          <w:szCs w:val="24"/>
        </w:rPr>
      </w:pPr>
      <w:r w:rsidRPr="00BE5239">
        <w:rPr>
          <w:sz w:val="24"/>
          <w:szCs w:val="24"/>
        </w:rPr>
        <w:t>Axel Heides Gade 1</w:t>
      </w:r>
    </w:p>
    <w:p w14:paraId="57F2AB88" w14:textId="77777777" w:rsidR="006D1135" w:rsidRPr="00BE5239" w:rsidRDefault="006D1135" w:rsidP="00B31896">
      <w:pPr>
        <w:ind w:left="851"/>
        <w:rPr>
          <w:sz w:val="24"/>
          <w:szCs w:val="24"/>
        </w:rPr>
      </w:pPr>
      <w:r w:rsidRPr="00BE5239">
        <w:rPr>
          <w:sz w:val="24"/>
          <w:szCs w:val="24"/>
        </w:rPr>
        <w:t>DK-2300 København S</w:t>
      </w:r>
    </w:p>
    <w:p w14:paraId="13AB712D" w14:textId="77777777" w:rsidR="006D1135" w:rsidRPr="00BE5239" w:rsidRDefault="006D1135" w:rsidP="00B31896">
      <w:pPr>
        <w:ind w:left="851"/>
        <w:rPr>
          <w:sz w:val="24"/>
          <w:szCs w:val="24"/>
        </w:rPr>
      </w:pPr>
      <w:r w:rsidRPr="00BE5239">
        <w:rPr>
          <w:sz w:val="24"/>
          <w:szCs w:val="24"/>
        </w:rPr>
        <w:t xml:space="preserve">Websted: </w:t>
      </w:r>
      <w:hyperlink r:id="rId8" w:history="1">
        <w:r w:rsidRPr="00BE5239">
          <w:rPr>
            <w:rStyle w:val="Hyperlink"/>
            <w:sz w:val="24"/>
            <w:szCs w:val="24"/>
          </w:rPr>
          <w:t>www.meldenbivirkning.dk</w:t>
        </w:r>
      </w:hyperlink>
    </w:p>
    <w:p w14:paraId="09E58A37" w14:textId="77777777" w:rsidR="009260DE" w:rsidRPr="00BE5239" w:rsidRDefault="009260DE" w:rsidP="00A10294">
      <w:pPr>
        <w:tabs>
          <w:tab w:val="left" w:pos="851"/>
        </w:tabs>
        <w:ind w:left="851"/>
        <w:rPr>
          <w:sz w:val="24"/>
          <w:szCs w:val="24"/>
        </w:rPr>
      </w:pPr>
    </w:p>
    <w:p w14:paraId="45F4030C" w14:textId="77777777" w:rsidR="009260DE" w:rsidRPr="00BE5239" w:rsidRDefault="009260DE" w:rsidP="009260DE">
      <w:pPr>
        <w:tabs>
          <w:tab w:val="left" w:pos="851"/>
        </w:tabs>
        <w:ind w:left="851" w:hanging="851"/>
        <w:rPr>
          <w:b/>
          <w:sz w:val="24"/>
          <w:szCs w:val="24"/>
        </w:rPr>
      </w:pPr>
      <w:r w:rsidRPr="00BE5239">
        <w:rPr>
          <w:b/>
          <w:sz w:val="24"/>
          <w:szCs w:val="24"/>
        </w:rPr>
        <w:t>4.9</w:t>
      </w:r>
      <w:r w:rsidRPr="00BE5239">
        <w:rPr>
          <w:b/>
          <w:sz w:val="24"/>
          <w:szCs w:val="24"/>
        </w:rPr>
        <w:tab/>
        <w:t>Overdosering</w:t>
      </w:r>
    </w:p>
    <w:p w14:paraId="33F35A28" w14:textId="77777777" w:rsidR="006D1135" w:rsidRPr="00BE5239" w:rsidRDefault="006D1135" w:rsidP="00B31896">
      <w:pPr>
        <w:ind w:left="851"/>
        <w:rPr>
          <w:sz w:val="24"/>
          <w:szCs w:val="24"/>
          <w:lang w:eastAsia="en-GB"/>
        </w:rPr>
      </w:pPr>
      <w:r w:rsidRPr="00BE5239">
        <w:rPr>
          <w:sz w:val="24"/>
          <w:szCs w:val="24"/>
        </w:rPr>
        <w:t xml:space="preserve">Der er få data rapporteret på overdosering (f.eks. påtænkt selvmord med høj oral dosis af </w:t>
      </w:r>
      <w:proofErr w:type="spellStart"/>
      <w:r w:rsidRPr="00BE5239">
        <w:rPr>
          <w:sz w:val="24"/>
          <w:szCs w:val="24"/>
        </w:rPr>
        <w:t>mesalazin</w:t>
      </w:r>
      <w:proofErr w:type="spellEnd"/>
      <w:r w:rsidRPr="00BE5239">
        <w:rPr>
          <w:sz w:val="24"/>
          <w:szCs w:val="24"/>
        </w:rPr>
        <w:t xml:space="preserve">), hvilket ikke indikerer </w:t>
      </w:r>
      <w:proofErr w:type="spellStart"/>
      <w:r w:rsidRPr="00BE5239">
        <w:rPr>
          <w:sz w:val="24"/>
          <w:szCs w:val="24"/>
        </w:rPr>
        <w:t>renal</w:t>
      </w:r>
      <w:proofErr w:type="spellEnd"/>
      <w:r w:rsidRPr="00BE5239">
        <w:rPr>
          <w:sz w:val="24"/>
          <w:szCs w:val="24"/>
        </w:rPr>
        <w:t xml:space="preserve"> eller </w:t>
      </w:r>
      <w:proofErr w:type="spellStart"/>
      <w:r w:rsidRPr="00BE5239">
        <w:rPr>
          <w:sz w:val="24"/>
          <w:szCs w:val="24"/>
        </w:rPr>
        <w:t>hepatisk</w:t>
      </w:r>
      <w:proofErr w:type="spellEnd"/>
      <w:r w:rsidRPr="00BE5239">
        <w:rPr>
          <w:sz w:val="24"/>
          <w:szCs w:val="24"/>
        </w:rPr>
        <w:t xml:space="preserve"> toksicitet. Der kendes ingen specifik </w:t>
      </w:r>
      <w:proofErr w:type="spellStart"/>
      <w:r w:rsidRPr="00BE5239">
        <w:rPr>
          <w:sz w:val="24"/>
          <w:szCs w:val="24"/>
        </w:rPr>
        <w:t>antidot</w:t>
      </w:r>
      <w:proofErr w:type="spellEnd"/>
      <w:r w:rsidRPr="00BE5239">
        <w:rPr>
          <w:sz w:val="24"/>
          <w:szCs w:val="24"/>
        </w:rPr>
        <w:t xml:space="preserve"> og behandling er symptomatisk og understøttende.</w:t>
      </w:r>
    </w:p>
    <w:p w14:paraId="6BE39EAE" w14:textId="77777777" w:rsidR="009260DE" w:rsidRPr="00BE5239" w:rsidRDefault="009260DE" w:rsidP="009260DE">
      <w:pPr>
        <w:tabs>
          <w:tab w:val="left" w:pos="851"/>
        </w:tabs>
        <w:ind w:left="851"/>
        <w:rPr>
          <w:sz w:val="24"/>
          <w:szCs w:val="24"/>
        </w:rPr>
      </w:pPr>
    </w:p>
    <w:p w14:paraId="164B687B" w14:textId="77777777" w:rsidR="009260DE" w:rsidRPr="00BE5239" w:rsidRDefault="009260DE" w:rsidP="009260DE">
      <w:pPr>
        <w:tabs>
          <w:tab w:val="left" w:pos="851"/>
        </w:tabs>
        <w:ind w:left="851" w:hanging="851"/>
        <w:rPr>
          <w:b/>
          <w:sz w:val="24"/>
          <w:szCs w:val="24"/>
        </w:rPr>
      </w:pPr>
      <w:r w:rsidRPr="00BE5239">
        <w:rPr>
          <w:b/>
          <w:sz w:val="24"/>
          <w:szCs w:val="24"/>
        </w:rPr>
        <w:t>4.10</w:t>
      </w:r>
      <w:r w:rsidRPr="00BE5239">
        <w:rPr>
          <w:b/>
          <w:sz w:val="24"/>
          <w:szCs w:val="24"/>
        </w:rPr>
        <w:tab/>
        <w:t>Udlevering</w:t>
      </w:r>
    </w:p>
    <w:p w14:paraId="65F4067B" w14:textId="68CAFFB1" w:rsidR="009260DE" w:rsidRPr="00BE5239" w:rsidRDefault="006D1135" w:rsidP="009260DE">
      <w:pPr>
        <w:tabs>
          <w:tab w:val="left" w:pos="851"/>
        </w:tabs>
        <w:ind w:left="851"/>
        <w:rPr>
          <w:sz w:val="24"/>
          <w:szCs w:val="24"/>
        </w:rPr>
      </w:pPr>
      <w:r w:rsidRPr="00BE5239">
        <w:rPr>
          <w:sz w:val="24"/>
          <w:szCs w:val="24"/>
        </w:rPr>
        <w:t>B</w:t>
      </w:r>
    </w:p>
    <w:p w14:paraId="5DA987AE" w14:textId="77777777" w:rsidR="009260DE" w:rsidRPr="00BE5239" w:rsidRDefault="009260DE" w:rsidP="009260DE">
      <w:pPr>
        <w:tabs>
          <w:tab w:val="left" w:pos="851"/>
        </w:tabs>
        <w:ind w:left="851"/>
        <w:rPr>
          <w:sz w:val="24"/>
          <w:szCs w:val="24"/>
        </w:rPr>
      </w:pPr>
    </w:p>
    <w:p w14:paraId="4BC706BC" w14:textId="77777777" w:rsidR="009260DE" w:rsidRPr="00BE5239" w:rsidRDefault="009260DE" w:rsidP="009260DE">
      <w:pPr>
        <w:tabs>
          <w:tab w:val="left" w:pos="851"/>
        </w:tabs>
        <w:ind w:left="851"/>
        <w:rPr>
          <w:sz w:val="24"/>
          <w:szCs w:val="24"/>
        </w:rPr>
      </w:pPr>
    </w:p>
    <w:p w14:paraId="2D5A430C" w14:textId="77777777" w:rsidR="009260DE" w:rsidRPr="00BE5239" w:rsidRDefault="009260DE" w:rsidP="009260DE">
      <w:pPr>
        <w:tabs>
          <w:tab w:val="left" w:pos="851"/>
        </w:tabs>
        <w:ind w:left="851" w:hanging="851"/>
        <w:rPr>
          <w:b/>
          <w:sz w:val="24"/>
          <w:szCs w:val="24"/>
        </w:rPr>
      </w:pPr>
      <w:r w:rsidRPr="00BE5239">
        <w:rPr>
          <w:b/>
          <w:sz w:val="24"/>
          <w:szCs w:val="24"/>
        </w:rPr>
        <w:t>5.</w:t>
      </w:r>
      <w:r w:rsidRPr="00BE5239">
        <w:rPr>
          <w:b/>
          <w:sz w:val="24"/>
          <w:szCs w:val="24"/>
        </w:rPr>
        <w:tab/>
        <w:t>FARMAKOLOGISKE EGENSKABER</w:t>
      </w:r>
    </w:p>
    <w:p w14:paraId="7ACAFAA6" w14:textId="77777777" w:rsidR="009260DE" w:rsidRPr="00BE5239" w:rsidRDefault="009260DE" w:rsidP="009260DE">
      <w:pPr>
        <w:tabs>
          <w:tab w:val="left" w:pos="851"/>
        </w:tabs>
        <w:ind w:left="851"/>
        <w:rPr>
          <w:sz w:val="24"/>
          <w:szCs w:val="24"/>
        </w:rPr>
      </w:pPr>
    </w:p>
    <w:p w14:paraId="57FEA398" w14:textId="77777777" w:rsidR="009260DE" w:rsidRPr="00BE5239" w:rsidRDefault="009260DE" w:rsidP="009260DE">
      <w:pPr>
        <w:tabs>
          <w:tab w:val="num" w:pos="851"/>
        </w:tabs>
        <w:ind w:left="851" w:hanging="851"/>
        <w:rPr>
          <w:b/>
          <w:sz w:val="24"/>
          <w:szCs w:val="24"/>
        </w:rPr>
      </w:pPr>
      <w:r w:rsidRPr="00BE5239">
        <w:rPr>
          <w:b/>
          <w:sz w:val="24"/>
          <w:szCs w:val="24"/>
        </w:rPr>
        <w:t>5.1</w:t>
      </w:r>
      <w:r w:rsidRPr="00BE5239">
        <w:rPr>
          <w:b/>
          <w:sz w:val="24"/>
          <w:szCs w:val="24"/>
        </w:rPr>
        <w:tab/>
      </w:r>
      <w:proofErr w:type="spellStart"/>
      <w:r w:rsidRPr="00BE5239">
        <w:rPr>
          <w:b/>
          <w:sz w:val="24"/>
          <w:szCs w:val="24"/>
        </w:rPr>
        <w:t>Farmakodynamiske</w:t>
      </w:r>
      <w:proofErr w:type="spellEnd"/>
      <w:r w:rsidRPr="00BE5239">
        <w:rPr>
          <w:b/>
          <w:sz w:val="24"/>
          <w:szCs w:val="24"/>
        </w:rPr>
        <w:t xml:space="preserve"> egenskaber</w:t>
      </w:r>
    </w:p>
    <w:p w14:paraId="0FC50A0D" w14:textId="11984C62" w:rsidR="006D1135" w:rsidRPr="00BE5239" w:rsidRDefault="006D1135" w:rsidP="00B31896">
      <w:pPr>
        <w:ind w:left="851"/>
        <w:rPr>
          <w:sz w:val="24"/>
          <w:szCs w:val="24"/>
        </w:rPr>
      </w:pPr>
      <w:proofErr w:type="spellStart"/>
      <w:r w:rsidRPr="00BE5239">
        <w:rPr>
          <w:sz w:val="24"/>
          <w:szCs w:val="24"/>
        </w:rPr>
        <w:t>Farmakoterapeutisk</w:t>
      </w:r>
      <w:proofErr w:type="spellEnd"/>
      <w:r w:rsidRPr="00BE5239">
        <w:rPr>
          <w:sz w:val="24"/>
          <w:szCs w:val="24"/>
        </w:rPr>
        <w:t xml:space="preserve"> klassifikation: </w:t>
      </w:r>
      <w:proofErr w:type="spellStart"/>
      <w:r w:rsidRPr="00BE5239">
        <w:rPr>
          <w:sz w:val="24"/>
          <w:szCs w:val="24"/>
        </w:rPr>
        <w:t>Intestinale</w:t>
      </w:r>
      <w:proofErr w:type="spellEnd"/>
      <w:r w:rsidRPr="00BE5239">
        <w:rPr>
          <w:sz w:val="24"/>
          <w:szCs w:val="24"/>
        </w:rPr>
        <w:t xml:space="preserve"> </w:t>
      </w:r>
      <w:proofErr w:type="spellStart"/>
      <w:r w:rsidRPr="00BE5239">
        <w:rPr>
          <w:sz w:val="24"/>
          <w:szCs w:val="24"/>
        </w:rPr>
        <w:t>antiinflammatorika</w:t>
      </w:r>
      <w:proofErr w:type="spellEnd"/>
      <w:r w:rsidRPr="00BE5239">
        <w:rPr>
          <w:sz w:val="24"/>
          <w:szCs w:val="24"/>
        </w:rPr>
        <w:t xml:space="preserve">, aminosalicylsyre og </w:t>
      </w:r>
      <w:proofErr w:type="spellStart"/>
      <w:r w:rsidRPr="00BE5239">
        <w:rPr>
          <w:sz w:val="24"/>
          <w:szCs w:val="24"/>
        </w:rPr>
        <w:t>analoger</w:t>
      </w:r>
      <w:proofErr w:type="spellEnd"/>
      <w:r w:rsidR="00703059" w:rsidRPr="00BE5239">
        <w:rPr>
          <w:sz w:val="24"/>
          <w:szCs w:val="24"/>
        </w:rPr>
        <w:t xml:space="preserve">, </w:t>
      </w:r>
      <w:r w:rsidRPr="00BE5239">
        <w:rPr>
          <w:sz w:val="24"/>
          <w:szCs w:val="24"/>
        </w:rPr>
        <w:t>ATC-kode A07EC02</w:t>
      </w:r>
    </w:p>
    <w:p w14:paraId="151F49DA" w14:textId="77777777" w:rsidR="006D1135" w:rsidRPr="00BE5239" w:rsidRDefault="006D1135" w:rsidP="00B31896">
      <w:pPr>
        <w:ind w:left="851"/>
        <w:rPr>
          <w:sz w:val="24"/>
          <w:szCs w:val="24"/>
        </w:rPr>
      </w:pPr>
    </w:p>
    <w:p w14:paraId="6C60DB5A" w14:textId="77777777" w:rsidR="006D1135" w:rsidRPr="00BE5239" w:rsidRDefault="006D1135" w:rsidP="00B31896">
      <w:pPr>
        <w:ind w:left="851"/>
        <w:rPr>
          <w:sz w:val="24"/>
          <w:szCs w:val="24"/>
          <w:u w:val="single"/>
        </w:rPr>
      </w:pPr>
      <w:r w:rsidRPr="00BE5239">
        <w:rPr>
          <w:sz w:val="24"/>
          <w:szCs w:val="24"/>
          <w:u w:val="single"/>
        </w:rPr>
        <w:t xml:space="preserve">Virkningsmekanisme </w:t>
      </w:r>
    </w:p>
    <w:p w14:paraId="5ACBFD83" w14:textId="77777777" w:rsidR="006D1135" w:rsidRPr="00BE5239" w:rsidRDefault="006D1135" w:rsidP="00B31896">
      <w:pPr>
        <w:ind w:left="851"/>
        <w:rPr>
          <w:sz w:val="24"/>
          <w:szCs w:val="24"/>
        </w:rPr>
      </w:pPr>
      <w:r w:rsidRPr="00BE5239">
        <w:rPr>
          <w:sz w:val="24"/>
          <w:szCs w:val="24"/>
        </w:rPr>
        <w:t xml:space="preserve">Den anti-inflammatoriske virkningsmekanisme er ukendt. Resultater fra </w:t>
      </w:r>
      <w:r w:rsidRPr="00BE5239">
        <w:rPr>
          <w:i/>
          <w:iCs/>
          <w:sz w:val="24"/>
          <w:szCs w:val="24"/>
        </w:rPr>
        <w:t xml:space="preserve">in </w:t>
      </w:r>
      <w:proofErr w:type="spellStart"/>
      <w:r w:rsidRPr="00BE5239">
        <w:rPr>
          <w:i/>
          <w:iCs/>
          <w:sz w:val="24"/>
          <w:szCs w:val="24"/>
        </w:rPr>
        <w:t>vitro</w:t>
      </w:r>
      <w:proofErr w:type="spellEnd"/>
      <w:r w:rsidRPr="00BE5239">
        <w:rPr>
          <w:sz w:val="24"/>
          <w:szCs w:val="24"/>
        </w:rPr>
        <w:t xml:space="preserve">-undersøgelser indikerer, at hæmning af </w:t>
      </w:r>
      <w:proofErr w:type="spellStart"/>
      <w:r w:rsidRPr="00BE5239">
        <w:rPr>
          <w:sz w:val="24"/>
          <w:szCs w:val="24"/>
        </w:rPr>
        <w:t>lipoxygenase</w:t>
      </w:r>
      <w:proofErr w:type="spellEnd"/>
      <w:r w:rsidRPr="00BE5239">
        <w:rPr>
          <w:sz w:val="24"/>
          <w:szCs w:val="24"/>
        </w:rPr>
        <w:t xml:space="preserve"> kan spille en rolle.</w:t>
      </w:r>
    </w:p>
    <w:p w14:paraId="5EC96121" w14:textId="77777777" w:rsidR="006D1135" w:rsidRPr="00BE5239" w:rsidRDefault="006D1135" w:rsidP="00B31896">
      <w:pPr>
        <w:ind w:left="851"/>
        <w:rPr>
          <w:sz w:val="24"/>
          <w:szCs w:val="24"/>
        </w:rPr>
      </w:pPr>
      <w:r w:rsidRPr="00BE5239">
        <w:rPr>
          <w:sz w:val="24"/>
          <w:szCs w:val="24"/>
        </w:rPr>
        <w:t xml:space="preserve">Påvirkning af </w:t>
      </w:r>
      <w:proofErr w:type="spellStart"/>
      <w:r w:rsidRPr="00BE5239">
        <w:rPr>
          <w:sz w:val="24"/>
          <w:szCs w:val="24"/>
        </w:rPr>
        <w:t>prostaglandinkoncentrationerne</w:t>
      </w:r>
      <w:proofErr w:type="spellEnd"/>
      <w:r w:rsidRPr="00BE5239">
        <w:rPr>
          <w:sz w:val="24"/>
          <w:szCs w:val="24"/>
        </w:rPr>
        <w:t xml:space="preserve"> i </w:t>
      </w:r>
      <w:proofErr w:type="spellStart"/>
      <w:r w:rsidRPr="00BE5239">
        <w:rPr>
          <w:sz w:val="24"/>
          <w:szCs w:val="24"/>
        </w:rPr>
        <w:t>tarmmucosa</w:t>
      </w:r>
      <w:proofErr w:type="spellEnd"/>
      <w:r w:rsidRPr="00BE5239">
        <w:rPr>
          <w:sz w:val="24"/>
          <w:szCs w:val="24"/>
        </w:rPr>
        <w:t xml:space="preserve"> er ligeledes påvist. </w:t>
      </w:r>
      <w:proofErr w:type="spellStart"/>
      <w:r w:rsidRPr="00BE5239">
        <w:rPr>
          <w:sz w:val="24"/>
          <w:szCs w:val="24"/>
        </w:rPr>
        <w:t>Mesalazin</w:t>
      </w:r>
      <w:proofErr w:type="spellEnd"/>
      <w:r w:rsidRPr="00BE5239">
        <w:rPr>
          <w:sz w:val="24"/>
          <w:szCs w:val="24"/>
        </w:rPr>
        <w:t xml:space="preserve"> (5-aminosalicylsyre/5-ASA) kan desuden muligvis fungere ved at binde frie radikaler fra reaktive oxygenforbindelser. </w:t>
      </w:r>
    </w:p>
    <w:p w14:paraId="6EA02752" w14:textId="77777777" w:rsidR="006D1135" w:rsidRPr="00BE5239" w:rsidRDefault="006D1135" w:rsidP="00B31896">
      <w:pPr>
        <w:ind w:left="851"/>
        <w:rPr>
          <w:sz w:val="24"/>
          <w:szCs w:val="24"/>
        </w:rPr>
      </w:pPr>
    </w:p>
    <w:p w14:paraId="11116A0E" w14:textId="77777777" w:rsidR="006D1135" w:rsidRPr="00BE5239" w:rsidRDefault="006D1135" w:rsidP="00B31896">
      <w:pPr>
        <w:ind w:left="851"/>
        <w:rPr>
          <w:sz w:val="24"/>
          <w:szCs w:val="24"/>
          <w:u w:val="single"/>
        </w:rPr>
      </w:pPr>
      <w:proofErr w:type="spellStart"/>
      <w:r w:rsidRPr="00BE5239">
        <w:rPr>
          <w:sz w:val="24"/>
          <w:szCs w:val="24"/>
          <w:u w:val="single"/>
        </w:rPr>
        <w:t>Farmakodynamisk</w:t>
      </w:r>
      <w:proofErr w:type="spellEnd"/>
      <w:r w:rsidRPr="00BE5239">
        <w:rPr>
          <w:sz w:val="24"/>
          <w:szCs w:val="24"/>
          <w:u w:val="single"/>
        </w:rPr>
        <w:t xml:space="preserve"> virkning</w:t>
      </w:r>
    </w:p>
    <w:p w14:paraId="641E58E6" w14:textId="77777777" w:rsidR="006D1135" w:rsidRPr="00BE5239" w:rsidRDefault="006D1135" w:rsidP="00B31896">
      <w:pPr>
        <w:ind w:left="851"/>
        <w:rPr>
          <w:sz w:val="24"/>
          <w:szCs w:val="24"/>
        </w:rPr>
      </w:pPr>
      <w:r w:rsidRPr="00BE5239">
        <w:rPr>
          <w:sz w:val="24"/>
          <w:szCs w:val="24"/>
        </w:rPr>
        <w:t xml:space="preserve">Oral administration af </w:t>
      </w:r>
      <w:proofErr w:type="spellStart"/>
      <w:r w:rsidRPr="00BE5239">
        <w:rPr>
          <w:sz w:val="24"/>
          <w:szCs w:val="24"/>
        </w:rPr>
        <w:t>mesalazin</w:t>
      </w:r>
      <w:proofErr w:type="spellEnd"/>
      <w:r w:rsidRPr="00BE5239">
        <w:rPr>
          <w:sz w:val="24"/>
          <w:szCs w:val="24"/>
        </w:rPr>
        <w:t xml:space="preserve"> virker overvejende lokalt på </w:t>
      </w:r>
      <w:proofErr w:type="spellStart"/>
      <w:r w:rsidRPr="00BE5239">
        <w:rPr>
          <w:sz w:val="24"/>
          <w:szCs w:val="24"/>
        </w:rPr>
        <w:t>tarmmucosa</w:t>
      </w:r>
      <w:proofErr w:type="spellEnd"/>
      <w:r w:rsidRPr="00BE5239">
        <w:rPr>
          <w:sz w:val="24"/>
          <w:szCs w:val="24"/>
        </w:rPr>
        <w:t xml:space="preserve"> og i </w:t>
      </w:r>
      <w:proofErr w:type="spellStart"/>
      <w:r w:rsidRPr="00BE5239">
        <w:rPr>
          <w:sz w:val="24"/>
          <w:szCs w:val="24"/>
        </w:rPr>
        <w:t>submucosalt</w:t>
      </w:r>
      <w:proofErr w:type="spellEnd"/>
      <w:r w:rsidRPr="00BE5239">
        <w:rPr>
          <w:sz w:val="24"/>
          <w:szCs w:val="24"/>
        </w:rPr>
        <w:t xml:space="preserve"> væv, som nås fra tarmens </w:t>
      </w:r>
      <w:proofErr w:type="spellStart"/>
      <w:r w:rsidRPr="00BE5239">
        <w:rPr>
          <w:sz w:val="24"/>
          <w:szCs w:val="24"/>
        </w:rPr>
        <w:t>luminale</w:t>
      </w:r>
      <w:proofErr w:type="spellEnd"/>
      <w:r w:rsidRPr="00BE5239">
        <w:rPr>
          <w:sz w:val="24"/>
          <w:szCs w:val="24"/>
        </w:rPr>
        <w:t xml:space="preserve"> side. Det er derfor vigtigt, at </w:t>
      </w:r>
      <w:proofErr w:type="spellStart"/>
      <w:r w:rsidRPr="00BE5239">
        <w:rPr>
          <w:sz w:val="24"/>
          <w:szCs w:val="24"/>
        </w:rPr>
        <w:t>mesalazin</w:t>
      </w:r>
      <w:proofErr w:type="spellEnd"/>
      <w:r w:rsidRPr="00BE5239">
        <w:rPr>
          <w:sz w:val="24"/>
          <w:szCs w:val="24"/>
        </w:rPr>
        <w:t xml:space="preserve"> findes i det betændte område. Den systemiske biotilgængelighed og plasmakoncentrationen af </w:t>
      </w:r>
      <w:proofErr w:type="spellStart"/>
      <w:r w:rsidRPr="00BE5239">
        <w:rPr>
          <w:sz w:val="24"/>
          <w:szCs w:val="24"/>
        </w:rPr>
        <w:t>mesalazin</w:t>
      </w:r>
      <w:proofErr w:type="spellEnd"/>
      <w:r w:rsidRPr="00BE5239">
        <w:rPr>
          <w:sz w:val="24"/>
          <w:szCs w:val="24"/>
        </w:rPr>
        <w:t xml:space="preserve"> har derfor ingen relevans for den terapeutiske virkning, men er mere en sikkerhedsfaktor. For at opnå dette, er </w:t>
      </w:r>
      <w:proofErr w:type="spellStart"/>
      <w:r w:rsidRPr="00BE5239">
        <w:rPr>
          <w:sz w:val="24"/>
          <w:szCs w:val="24"/>
        </w:rPr>
        <w:t>Salofalk</w:t>
      </w:r>
      <w:proofErr w:type="spellEnd"/>
      <w:r w:rsidRPr="00BE5239">
        <w:rPr>
          <w:sz w:val="24"/>
          <w:szCs w:val="24"/>
        </w:rPr>
        <w:t xml:space="preserve"> </w:t>
      </w:r>
      <w:proofErr w:type="spellStart"/>
      <w:r w:rsidRPr="00BE5239">
        <w:rPr>
          <w:sz w:val="24"/>
          <w:szCs w:val="24"/>
        </w:rPr>
        <w:t>enterotabletter</w:t>
      </w:r>
      <w:proofErr w:type="spellEnd"/>
      <w:r w:rsidRPr="00BE5239">
        <w:rPr>
          <w:sz w:val="24"/>
          <w:szCs w:val="24"/>
        </w:rPr>
        <w:t xml:space="preserve"> belagt med </w:t>
      </w:r>
      <w:proofErr w:type="spellStart"/>
      <w:r w:rsidRPr="00BE5239">
        <w:rPr>
          <w:sz w:val="24"/>
          <w:szCs w:val="24"/>
        </w:rPr>
        <w:t>Eurdragit</w:t>
      </w:r>
      <w:proofErr w:type="spellEnd"/>
      <w:r w:rsidRPr="00BE5239">
        <w:rPr>
          <w:sz w:val="24"/>
          <w:szCs w:val="24"/>
        </w:rPr>
        <w:t xml:space="preserve"> L. De er derfor </w:t>
      </w:r>
      <w:proofErr w:type="spellStart"/>
      <w:r w:rsidRPr="00BE5239">
        <w:rPr>
          <w:sz w:val="24"/>
          <w:szCs w:val="24"/>
        </w:rPr>
        <w:t>gastroresistente</w:t>
      </w:r>
      <w:proofErr w:type="spellEnd"/>
      <w:r w:rsidRPr="00BE5239">
        <w:rPr>
          <w:sz w:val="24"/>
          <w:szCs w:val="24"/>
        </w:rPr>
        <w:t xml:space="preserve"> og frigiver </w:t>
      </w:r>
      <w:proofErr w:type="spellStart"/>
      <w:r w:rsidRPr="00BE5239">
        <w:rPr>
          <w:sz w:val="24"/>
          <w:szCs w:val="24"/>
        </w:rPr>
        <w:t>mesalazin</w:t>
      </w:r>
      <w:proofErr w:type="spellEnd"/>
      <w:r w:rsidRPr="00BE5239">
        <w:rPr>
          <w:sz w:val="24"/>
          <w:szCs w:val="24"/>
        </w:rPr>
        <w:t xml:space="preserve"> afhængig af pH.</w:t>
      </w:r>
    </w:p>
    <w:p w14:paraId="76DA5EB3" w14:textId="77777777" w:rsidR="009260DE" w:rsidRPr="00BE5239" w:rsidRDefault="009260DE" w:rsidP="009260DE">
      <w:pPr>
        <w:tabs>
          <w:tab w:val="left" w:pos="851"/>
        </w:tabs>
        <w:ind w:left="851"/>
        <w:rPr>
          <w:sz w:val="24"/>
          <w:szCs w:val="24"/>
        </w:rPr>
      </w:pPr>
    </w:p>
    <w:p w14:paraId="326FEFCA" w14:textId="77777777" w:rsidR="009260DE" w:rsidRPr="00BE5239" w:rsidRDefault="009260DE" w:rsidP="009260DE">
      <w:pPr>
        <w:tabs>
          <w:tab w:val="left" w:pos="851"/>
        </w:tabs>
        <w:ind w:left="851" w:hanging="851"/>
        <w:rPr>
          <w:b/>
          <w:sz w:val="24"/>
          <w:szCs w:val="24"/>
        </w:rPr>
      </w:pPr>
      <w:r w:rsidRPr="00BE5239">
        <w:rPr>
          <w:b/>
          <w:sz w:val="24"/>
          <w:szCs w:val="24"/>
        </w:rPr>
        <w:t>5.2</w:t>
      </w:r>
      <w:r w:rsidRPr="00BE5239">
        <w:rPr>
          <w:b/>
          <w:sz w:val="24"/>
          <w:szCs w:val="24"/>
        </w:rPr>
        <w:tab/>
      </w:r>
      <w:proofErr w:type="spellStart"/>
      <w:r w:rsidRPr="00BE5239">
        <w:rPr>
          <w:b/>
          <w:sz w:val="24"/>
          <w:szCs w:val="24"/>
        </w:rPr>
        <w:t>Farmakokinetiske</w:t>
      </w:r>
      <w:proofErr w:type="spellEnd"/>
      <w:r w:rsidRPr="00BE5239">
        <w:rPr>
          <w:b/>
          <w:sz w:val="24"/>
          <w:szCs w:val="24"/>
        </w:rPr>
        <w:t xml:space="preserve"> egenskaber</w:t>
      </w:r>
    </w:p>
    <w:p w14:paraId="772CB328" w14:textId="77777777" w:rsidR="00BE5239" w:rsidRDefault="00BE5239" w:rsidP="00B31896">
      <w:pPr>
        <w:ind w:left="851"/>
        <w:rPr>
          <w:sz w:val="24"/>
          <w:szCs w:val="24"/>
        </w:rPr>
      </w:pPr>
    </w:p>
    <w:p w14:paraId="48FB0C78" w14:textId="105710D0" w:rsidR="006D1135" w:rsidRPr="00BE5239" w:rsidRDefault="006D1135" w:rsidP="00B31896">
      <w:pPr>
        <w:ind w:left="851"/>
        <w:rPr>
          <w:sz w:val="24"/>
          <w:szCs w:val="24"/>
          <w:u w:val="single"/>
          <w:lang w:eastAsia="en-GB"/>
        </w:rPr>
      </w:pPr>
      <w:r w:rsidRPr="00BE5239">
        <w:rPr>
          <w:sz w:val="24"/>
          <w:szCs w:val="24"/>
          <w:u w:val="single"/>
        </w:rPr>
        <w:t xml:space="preserve">Generelle overvejelser for </w:t>
      </w:r>
      <w:proofErr w:type="spellStart"/>
      <w:r w:rsidRPr="00BE5239">
        <w:rPr>
          <w:sz w:val="24"/>
          <w:szCs w:val="24"/>
          <w:u w:val="single"/>
        </w:rPr>
        <w:t>mesalazin</w:t>
      </w:r>
      <w:proofErr w:type="spellEnd"/>
    </w:p>
    <w:p w14:paraId="621A3ADF" w14:textId="77777777" w:rsidR="006D1135" w:rsidRPr="00BE5239" w:rsidRDefault="006D1135" w:rsidP="00B31896">
      <w:pPr>
        <w:ind w:left="851"/>
        <w:rPr>
          <w:sz w:val="24"/>
          <w:szCs w:val="24"/>
        </w:rPr>
      </w:pPr>
    </w:p>
    <w:p w14:paraId="235170B4" w14:textId="77777777" w:rsidR="006D1135" w:rsidRPr="00BE5239" w:rsidRDefault="006D1135" w:rsidP="00B31896">
      <w:pPr>
        <w:ind w:left="851"/>
        <w:rPr>
          <w:i/>
          <w:iCs/>
          <w:sz w:val="24"/>
          <w:szCs w:val="24"/>
        </w:rPr>
      </w:pPr>
      <w:r w:rsidRPr="00BE5239">
        <w:rPr>
          <w:i/>
          <w:sz w:val="24"/>
          <w:szCs w:val="24"/>
        </w:rPr>
        <w:t>Absorption</w:t>
      </w:r>
    </w:p>
    <w:p w14:paraId="065D6E41" w14:textId="77777777" w:rsidR="006D1135" w:rsidRPr="00BE5239" w:rsidRDefault="006D1135" w:rsidP="00B31896">
      <w:pPr>
        <w:ind w:left="851"/>
        <w:rPr>
          <w:sz w:val="24"/>
          <w:szCs w:val="24"/>
        </w:rPr>
      </w:pPr>
      <w:proofErr w:type="spellStart"/>
      <w:r w:rsidRPr="00BE5239">
        <w:rPr>
          <w:sz w:val="24"/>
          <w:szCs w:val="24"/>
        </w:rPr>
        <w:t>Mesalazinabsorption</w:t>
      </w:r>
      <w:proofErr w:type="spellEnd"/>
      <w:r w:rsidRPr="00BE5239">
        <w:rPr>
          <w:sz w:val="24"/>
          <w:szCs w:val="24"/>
        </w:rPr>
        <w:t xml:space="preserve"> er størst i de </w:t>
      </w:r>
      <w:proofErr w:type="spellStart"/>
      <w:r w:rsidRPr="00BE5239">
        <w:rPr>
          <w:sz w:val="24"/>
          <w:szCs w:val="24"/>
        </w:rPr>
        <w:t>proximale</w:t>
      </w:r>
      <w:proofErr w:type="spellEnd"/>
      <w:r w:rsidRPr="00BE5239">
        <w:rPr>
          <w:sz w:val="24"/>
          <w:szCs w:val="24"/>
        </w:rPr>
        <w:t xml:space="preserve"> dele af tarmkanalen og mindst i de </w:t>
      </w:r>
      <w:proofErr w:type="spellStart"/>
      <w:r w:rsidRPr="00BE5239">
        <w:rPr>
          <w:sz w:val="24"/>
          <w:szCs w:val="24"/>
        </w:rPr>
        <w:t>distale</w:t>
      </w:r>
      <w:proofErr w:type="spellEnd"/>
      <w:r w:rsidRPr="00BE5239">
        <w:rPr>
          <w:sz w:val="24"/>
          <w:szCs w:val="24"/>
        </w:rPr>
        <w:t xml:space="preserve"> dele.</w:t>
      </w:r>
    </w:p>
    <w:p w14:paraId="495B6451" w14:textId="77777777" w:rsidR="006D1135" w:rsidRPr="00BE5239" w:rsidRDefault="006D1135" w:rsidP="00B31896">
      <w:pPr>
        <w:ind w:left="851"/>
        <w:rPr>
          <w:sz w:val="24"/>
          <w:szCs w:val="24"/>
        </w:rPr>
      </w:pPr>
    </w:p>
    <w:p w14:paraId="522453D0" w14:textId="77777777" w:rsidR="006D1135" w:rsidRPr="00BE5239" w:rsidRDefault="006D1135" w:rsidP="00B31896">
      <w:pPr>
        <w:ind w:left="851"/>
        <w:rPr>
          <w:i/>
          <w:iCs/>
          <w:sz w:val="24"/>
          <w:szCs w:val="24"/>
        </w:rPr>
      </w:pPr>
      <w:r w:rsidRPr="00BE5239">
        <w:rPr>
          <w:i/>
          <w:sz w:val="24"/>
          <w:szCs w:val="24"/>
        </w:rPr>
        <w:t>Biotransformation</w:t>
      </w:r>
    </w:p>
    <w:p w14:paraId="56B02AFA" w14:textId="77777777" w:rsidR="006D1135" w:rsidRPr="00BE5239" w:rsidRDefault="006D1135" w:rsidP="00B31896">
      <w:pPr>
        <w:ind w:left="851"/>
        <w:rPr>
          <w:sz w:val="24"/>
          <w:szCs w:val="24"/>
        </w:rPr>
      </w:pPr>
      <w:proofErr w:type="spellStart"/>
      <w:r w:rsidRPr="00BE5239">
        <w:rPr>
          <w:sz w:val="24"/>
          <w:szCs w:val="24"/>
        </w:rPr>
        <w:t>Mesalazin</w:t>
      </w:r>
      <w:proofErr w:type="spellEnd"/>
      <w:r w:rsidRPr="00BE5239">
        <w:rPr>
          <w:sz w:val="24"/>
          <w:szCs w:val="24"/>
        </w:rPr>
        <w:t xml:space="preserve"> </w:t>
      </w:r>
      <w:proofErr w:type="spellStart"/>
      <w:r w:rsidRPr="00BE5239">
        <w:rPr>
          <w:sz w:val="24"/>
          <w:szCs w:val="24"/>
        </w:rPr>
        <w:t>metaboliseres</w:t>
      </w:r>
      <w:proofErr w:type="spellEnd"/>
      <w:r w:rsidRPr="00BE5239">
        <w:rPr>
          <w:sz w:val="24"/>
          <w:szCs w:val="24"/>
        </w:rPr>
        <w:t xml:space="preserve"> både præsystemisk i </w:t>
      </w:r>
      <w:proofErr w:type="spellStart"/>
      <w:r w:rsidRPr="00BE5239">
        <w:rPr>
          <w:sz w:val="24"/>
          <w:szCs w:val="24"/>
        </w:rPr>
        <w:t>tarmmucosa</w:t>
      </w:r>
      <w:proofErr w:type="spellEnd"/>
      <w:r w:rsidRPr="00BE5239">
        <w:rPr>
          <w:sz w:val="24"/>
          <w:szCs w:val="24"/>
        </w:rPr>
        <w:t xml:space="preserve"> og i leveren til den farmakologiske inaktive N-acetyl-5-aminosalicylsyre (N-Ac-5-ASA). </w:t>
      </w:r>
      <w:proofErr w:type="spellStart"/>
      <w:r w:rsidRPr="00BE5239">
        <w:rPr>
          <w:sz w:val="24"/>
          <w:szCs w:val="24"/>
        </w:rPr>
        <w:t>Acetyleringen</w:t>
      </w:r>
      <w:proofErr w:type="spellEnd"/>
      <w:r w:rsidRPr="00BE5239">
        <w:rPr>
          <w:sz w:val="24"/>
          <w:szCs w:val="24"/>
        </w:rPr>
        <w:t xml:space="preserve"> synes uafhængig af patientens </w:t>
      </w:r>
      <w:proofErr w:type="spellStart"/>
      <w:r w:rsidRPr="00BE5239">
        <w:rPr>
          <w:sz w:val="24"/>
          <w:szCs w:val="24"/>
        </w:rPr>
        <w:t>acetylering</w:t>
      </w:r>
      <w:proofErr w:type="spellEnd"/>
      <w:r w:rsidRPr="00BE5239">
        <w:rPr>
          <w:sz w:val="24"/>
          <w:szCs w:val="24"/>
        </w:rPr>
        <w:t xml:space="preserve">-fænotype. Nogen </w:t>
      </w:r>
      <w:proofErr w:type="spellStart"/>
      <w:r w:rsidRPr="00BE5239">
        <w:rPr>
          <w:sz w:val="24"/>
          <w:szCs w:val="24"/>
        </w:rPr>
        <w:t>acetylering</w:t>
      </w:r>
      <w:proofErr w:type="spellEnd"/>
      <w:r w:rsidRPr="00BE5239">
        <w:rPr>
          <w:sz w:val="24"/>
          <w:szCs w:val="24"/>
        </w:rPr>
        <w:t xml:space="preserve"> sker også via bakteriel aktivitet i kolon. Bindingen af </w:t>
      </w:r>
      <w:proofErr w:type="spellStart"/>
      <w:r w:rsidRPr="00BE5239">
        <w:rPr>
          <w:sz w:val="24"/>
          <w:szCs w:val="24"/>
        </w:rPr>
        <w:t>mesalzin</w:t>
      </w:r>
      <w:proofErr w:type="spellEnd"/>
      <w:r w:rsidRPr="00BE5239">
        <w:rPr>
          <w:sz w:val="24"/>
          <w:szCs w:val="24"/>
        </w:rPr>
        <w:t xml:space="preserve"> og N-Ac-5-ASA til proteiner er henholdsvis 43 % og 78 %.</w:t>
      </w:r>
    </w:p>
    <w:p w14:paraId="3F6D9F8C" w14:textId="77777777" w:rsidR="006D1135" w:rsidRPr="00BE5239" w:rsidRDefault="006D1135" w:rsidP="00B31896">
      <w:pPr>
        <w:ind w:left="851"/>
        <w:rPr>
          <w:sz w:val="24"/>
          <w:szCs w:val="24"/>
        </w:rPr>
      </w:pPr>
    </w:p>
    <w:p w14:paraId="6B8E98D2" w14:textId="77777777" w:rsidR="006D1135" w:rsidRPr="00BE5239" w:rsidRDefault="006D1135" w:rsidP="00B31896">
      <w:pPr>
        <w:ind w:left="851"/>
        <w:rPr>
          <w:i/>
          <w:iCs/>
          <w:sz w:val="24"/>
          <w:szCs w:val="24"/>
        </w:rPr>
      </w:pPr>
      <w:r w:rsidRPr="00BE5239">
        <w:rPr>
          <w:i/>
          <w:sz w:val="24"/>
          <w:szCs w:val="24"/>
        </w:rPr>
        <w:t>Elimination</w:t>
      </w:r>
    </w:p>
    <w:p w14:paraId="58899DC2" w14:textId="77777777" w:rsidR="006D1135" w:rsidRPr="00BE5239" w:rsidRDefault="006D1135" w:rsidP="00B31896">
      <w:pPr>
        <w:ind w:left="851"/>
        <w:rPr>
          <w:sz w:val="24"/>
          <w:szCs w:val="24"/>
        </w:rPr>
      </w:pPr>
      <w:proofErr w:type="spellStart"/>
      <w:r w:rsidRPr="00BE5239">
        <w:rPr>
          <w:sz w:val="24"/>
          <w:szCs w:val="24"/>
        </w:rPr>
        <w:t>Mesalazin</w:t>
      </w:r>
      <w:proofErr w:type="spellEnd"/>
      <w:r w:rsidRPr="00BE5239">
        <w:rPr>
          <w:sz w:val="24"/>
          <w:szCs w:val="24"/>
        </w:rPr>
        <w:t xml:space="preserve"> og dets metabolit, N-Ac-5-ASA, elimineres via fæces (størstedelen), urin (varierer mellem 20 % og 50 %, afhængig af administreringsmåde, </w:t>
      </w:r>
      <w:proofErr w:type="spellStart"/>
      <w:r w:rsidRPr="00BE5239">
        <w:rPr>
          <w:sz w:val="24"/>
          <w:szCs w:val="24"/>
        </w:rPr>
        <w:t>galenisk</w:t>
      </w:r>
      <w:proofErr w:type="spellEnd"/>
      <w:r w:rsidRPr="00BE5239">
        <w:rPr>
          <w:sz w:val="24"/>
          <w:szCs w:val="24"/>
        </w:rPr>
        <w:t xml:space="preserve"> form og </w:t>
      </w:r>
      <w:proofErr w:type="spellStart"/>
      <w:r w:rsidRPr="00BE5239">
        <w:rPr>
          <w:sz w:val="24"/>
          <w:szCs w:val="24"/>
        </w:rPr>
        <w:t>mesalazins</w:t>
      </w:r>
      <w:proofErr w:type="spellEnd"/>
      <w:r w:rsidRPr="00BE5239">
        <w:rPr>
          <w:sz w:val="24"/>
          <w:szCs w:val="24"/>
        </w:rPr>
        <w:t xml:space="preserve"> frigørelsesmåde), og via galden (mindre del). Nyreudskillelsen sker overvejende som N-Ac-5-ASA. </w:t>
      </w:r>
    </w:p>
    <w:p w14:paraId="327603DA" w14:textId="77777777" w:rsidR="006D1135" w:rsidRPr="00BE5239" w:rsidRDefault="006D1135" w:rsidP="00B31896">
      <w:pPr>
        <w:ind w:left="851"/>
        <w:rPr>
          <w:sz w:val="24"/>
          <w:szCs w:val="24"/>
        </w:rPr>
      </w:pPr>
      <w:r w:rsidRPr="00BE5239">
        <w:rPr>
          <w:sz w:val="24"/>
          <w:szCs w:val="24"/>
        </w:rPr>
        <w:t xml:space="preserve">Cirka 1 % af den totale mængde peroralt administreret </w:t>
      </w:r>
      <w:proofErr w:type="spellStart"/>
      <w:r w:rsidRPr="00BE5239">
        <w:rPr>
          <w:sz w:val="24"/>
          <w:szCs w:val="24"/>
        </w:rPr>
        <w:t>mesalazin</w:t>
      </w:r>
      <w:proofErr w:type="spellEnd"/>
      <w:r w:rsidRPr="00BE5239">
        <w:rPr>
          <w:sz w:val="24"/>
          <w:szCs w:val="24"/>
        </w:rPr>
        <w:t xml:space="preserve"> udskilles i modermælken, hovedsageligt som N-Ac-5-ASA.</w:t>
      </w:r>
    </w:p>
    <w:p w14:paraId="747E9D01" w14:textId="77777777" w:rsidR="006D1135" w:rsidRPr="00BE5239" w:rsidRDefault="006D1135" w:rsidP="00B31896">
      <w:pPr>
        <w:ind w:left="851"/>
        <w:rPr>
          <w:sz w:val="24"/>
          <w:szCs w:val="24"/>
        </w:rPr>
      </w:pPr>
    </w:p>
    <w:p w14:paraId="385A3543" w14:textId="77777777" w:rsidR="006D1135" w:rsidRPr="00BE5239" w:rsidRDefault="006D1135" w:rsidP="00B31896">
      <w:pPr>
        <w:ind w:left="851"/>
        <w:rPr>
          <w:sz w:val="24"/>
          <w:szCs w:val="24"/>
          <w:u w:val="single"/>
        </w:rPr>
      </w:pPr>
      <w:r w:rsidRPr="00BE5239">
        <w:rPr>
          <w:sz w:val="24"/>
          <w:szCs w:val="24"/>
          <w:u w:val="single"/>
        </w:rPr>
        <w:t xml:space="preserve">Specifikt om </w:t>
      </w:r>
      <w:proofErr w:type="spellStart"/>
      <w:r w:rsidRPr="00BE5239">
        <w:rPr>
          <w:sz w:val="24"/>
          <w:szCs w:val="24"/>
          <w:u w:val="single"/>
        </w:rPr>
        <w:t>Salofalk</w:t>
      </w:r>
      <w:proofErr w:type="spellEnd"/>
      <w:r w:rsidRPr="00BE5239">
        <w:rPr>
          <w:sz w:val="24"/>
          <w:szCs w:val="24"/>
          <w:u w:val="single"/>
        </w:rPr>
        <w:t xml:space="preserve"> </w:t>
      </w:r>
      <w:proofErr w:type="spellStart"/>
      <w:r w:rsidRPr="00BE5239">
        <w:rPr>
          <w:sz w:val="24"/>
          <w:szCs w:val="24"/>
          <w:u w:val="single"/>
        </w:rPr>
        <w:t>enterotabletter</w:t>
      </w:r>
      <w:proofErr w:type="spellEnd"/>
    </w:p>
    <w:p w14:paraId="77BA1597" w14:textId="77777777" w:rsidR="006D1135" w:rsidRPr="00BE5239" w:rsidRDefault="006D1135" w:rsidP="00B31896">
      <w:pPr>
        <w:ind w:left="851"/>
        <w:rPr>
          <w:sz w:val="24"/>
          <w:szCs w:val="24"/>
        </w:rPr>
      </w:pPr>
    </w:p>
    <w:p w14:paraId="38DB4249" w14:textId="77777777" w:rsidR="006D1135" w:rsidRPr="00BE5239" w:rsidRDefault="006D1135" w:rsidP="00B31896">
      <w:pPr>
        <w:ind w:left="851"/>
        <w:rPr>
          <w:sz w:val="24"/>
          <w:szCs w:val="24"/>
        </w:rPr>
      </w:pPr>
      <w:r w:rsidRPr="00BE5239">
        <w:rPr>
          <w:sz w:val="24"/>
          <w:szCs w:val="24"/>
        </w:rPr>
        <w:t xml:space="preserve">Frigørelsen af </w:t>
      </w:r>
      <w:proofErr w:type="spellStart"/>
      <w:r w:rsidRPr="00BE5239">
        <w:rPr>
          <w:sz w:val="24"/>
          <w:szCs w:val="24"/>
        </w:rPr>
        <w:t>mesalazin</w:t>
      </w:r>
      <w:proofErr w:type="spellEnd"/>
      <w:r w:rsidRPr="00BE5239">
        <w:rPr>
          <w:sz w:val="24"/>
          <w:szCs w:val="24"/>
        </w:rPr>
        <w:t xml:space="preserve"> fra </w:t>
      </w:r>
      <w:proofErr w:type="spellStart"/>
      <w:r w:rsidRPr="00BE5239">
        <w:rPr>
          <w:sz w:val="24"/>
          <w:szCs w:val="24"/>
        </w:rPr>
        <w:t>Salofalk</w:t>
      </w:r>
      <w:proofErr w:type="spellEnd"/>
      <w:r w:rsidRPr="00BE5239">
        <w:rPr>
          <w:sz w:val="24"/>
          <w:szCs w:val="24"/>
        </w:rPr>
        <w:t xml:space="preserve"> </w:t>
      </w:r>
      <w:proofErr w:type="spellStart"/>
      <w:r w:rsidRPr="00BE5239">
        <w:rPr>
          <w:sz w:val="24"/>
          <w:szCs w:val="24"/>
        </w:rPr>
        <w:t>enterotabletter</w:t>
      </w:r>
      <w:proofErr w:type="spellEnd"/>
      <w:r w:rsidRPr="00BE5239">
        <w:rPr>
          <w:sz w:val="24"/>
          <w:szCs w:val="24"/>
        </w:rPr>
        <w:t xml:space="preserve"> begynder efter en forsinkelsesfase på ca. 4 timer. Maksimal plasmakoncentration af </w:t>
      </w:r>
      <w:proofErr w:type="spellStart"/>
      <w:r w:rsidRPr="00BE5239">
        <w:rPr>
          <w:sz w:val="24"/>
          <w:szCs w:val="24"/>
        </w:rPr>
        <w:t>mesalazin</w:t>
      </w:r>
      <w:proofErr w:type="spellEnd"/>
      <w:r w:rsidRPr="00BE5239">
        <w:rPr>
          <w:sz w:val="24"/>
          <w:szCs w:val="24"/>
        </w:rPr>
        <w:t xml:space="preserve"> nås efter 8 timer og er 2,5 ± 3,4 </w:t>
      </w:r>
      <w:proofErr w:type="spellStart"/>
      <w:r w:rsidRPr="00BE5239">
        <w:rPr>
          <w:sz w:val="24"/>
          <w:szCs w:val="24"/>
        </w:rPr>
        <w:t>μg</w:t>
      </w:r>
      <w:proofErr w:type="spellEnd"/>
      <w:r w:rsidRPr="00BE5239">
        <w:rPr>
          <w:sz w:val="24"/>
          <w:szCs w:val="24"/>
        </w:rPr>
        <w:t xml:space="preserve">/ml for </w:t>
      </w:r>
      <w:proofErr w:type="spellStart"/>
      <w:r w:rsidRPr="00BE5239">
        <w:rPr>
          <w:sz w:val="24"/>
          <w:szCs w:val="24"/>
        </w:rPr>
        <w:t>mesalazin</w:t>
      </w:r>
      <w:proofErr w:type="spellEnd"/>
      <w:r w:rsidRPr="00BE5239">
        <w:rPr>
          <w:sz w:val="24"/>
          <w:szCs w:val="24"/>
        </w:rPr>
        <w:t xml:space="preserve"> og 2,5 ± 2,4 </w:t>
      </w:r>
      <w:proofErr w:type="spellStart"/>
      <w:r w:rsidRPr="00BE5239">
        <w:rPr>
          <w:sz w:val="24"/>
          <w:szCs w:val="24"/>
        </w:rPr>
        <w:t>μg</w:t>
      </w:r>
      <w:proofErr w:type="spellEnd"/>
      <w:r w:rsidRPr="00BE5239">
        <w:rPr>
          <w:sz w:val="24"/>
          <w:szCs w:val="24"/>
        </w:rPr>
        <w:t>/ml for metabolitten, N-Ac-5-ASA, efter administration af en enkelt dosis.</w:t>
      </w:r>
    </w:p>
    <w:p w14:paraId="6E1F8CD8" w14:textId="77777777" w:rsidR="009260DE" w:rsidRPr="00BE5239" w:rsidRDefault="009260DE" w:rsidP="00B31896">
      <w:pPr>
        <w:ind w:left="851"/>
        <w:rPr>
          <w:sz w:val="24"/>
          <w:szCs w:val="24"/>
        </w:rPr>
      </w:pPr>
    </w:p>
    <w:p w14:paraId="4B6B2218" w14:textId="77777777" w:rsidR="009260DE" w:rsidRPr="00BE5239" w:rsidRDefault="009260DE" w:rsidP="009260DE">
      <w:pPr>
        <w:tabs>
          <w:tab w:val="left" w:pos="851"/>
        </w:tabs>
        <w:ind w:left="851" w:hanging="851"/>
        <w:rPr>
          <w:b/>
          <w:sz w:val="24"/>
          <w:szCs w:val="24"/>
        </w:rPr>
      </w:pPr>
      <w:r w:rsidRPr="00BE5239">
        <w:rPr>
          <w:b/>
          <w:sz w:val="24"/>
          <w:szCs w:val="24"/>
        </w:rPr>
        <w:t>5.3</w:t>
      </w:r>
      <w:r w:rsidRPr="00BE5239">
        <w:rPr>
          <w:b/>
          <w:sz w:val="24"/>
          <w:szCs w:val="24"/>
        </w:rPr>
        <w:tab/>
      </w:r>
      <w:r w:rsidR="00BD7931" w:rsidRPr="00BE5239">
        <w:rPr>
          <w:b/>
          <w:sz w:val="24"/>
          <w:szCs w:val="24"/>
        </w:rPr>
        <w:t>Non-</w:t>
      </w:r>
      <w:r w:rsidRPr="00BE5239">
        <w:rPr>
          <w:b/>
          <w:sz w:val="24"/>
          <w:szCs w:val="24"/>
        </w:rPr>
        <w:t>kliniske sikkerhedsdata</w:t>
      </w:r>
    </w:p>
    <w:p w14:paraId="7598AF05" w14:textId="77777777" w:rsidR="006D1135" w:rsidRPr="00BE5239" w:rsidRDefault="006D1135" w:rsidP="00B31896">
      <w:pPr>
        <w:ind w:left="851"/>
        <w:rPr>
          <w:sz w:val="24"/>
          <w:szCs w:val="24"/>
          <w:lang w:eastAsia="en-GB"/>
        </w:rPr>
      </w:pPr>
      <w:r w:rsidRPr="00BE5239">
        <w:rPr>
          <w:sz w:val="24"/>
          <w:szCs w:val="24"/>
        </w:rPr>
        <w:t xml:space="preserve">Non-kliniske data viser ingen speciel risiko for mennesker vurderet ud fra konventionelle studier af sikkerhedsfarmakologi, genotoksicitet, </w:t>
      </w:r>
      <w:proofErr w:type="spellStart"/>
      <w:r w:rsidRPr="00BE5239">
        <w:rPr>
          <w:sz w:val="24"/>
          <w:szCs w:val="24"/>
        </w:rPr>
        <w:t>karcinogent</w:t>
      </w:r>
      <w:proofErr w:type="spellEnd"/>
      <w:r w:rsidRPr="00BE5239">
        <w:rPr>
          <w:sz w:val="24"/>
          <w:szCs w:val="24"/>
        </w:rPr>
        <w:t xml:space="preserve"> potentiale (rotte) eller reproduktionstoksicitet.</w:t>
      </w:r>
    </w:p>
    <w:p w14:paraId="7D7F43F4" w14:textId="77777777" w:rsidR="006D1135" w:rsidRPr="00BE5239" w:rsidRDefault="006D1135" w:rsidP="00B31896">
      <w:pPr>
        <w:ind w:left="851"/>
        <w:rPr>
          <w:sz w:val="24"/>
          <w:szCs w:val="24"/>
        </w:rPr>
      </w:pPr>
    </w:p>
    <w:p w14:paraId="165EF2A3" w14:textId="77777777" w:rsidR="006D1135" w:rsidRPr="00BE5239" w:rsidRDefault="006D1135" w:rsidP="00B31896">
      <w:pPr>
        <w:ind w:left="851"/>
        <w:rPr>
          <w:sz w:val="24"/>
          <w:szCs w:val="24"/>
        </w:rPr>
      </w:pPr>
      <w:r w:rsidRPr="00BE5239">
        <w:rPr>
          <w:sz w:val="24"/>
          <w:szCs w:val="24"/>
        </w:rPr>
        <w:t>Nyretoksicitet (</w:t>
      </w:r>
      <w:proofErr w:type="spellStart"/>
      <w:r w:rsidRPr="00BE5239">
        <w:rPr>
          <w:sz w:val="24"/>
          <w:szCs w:val="24"/>
        </w:rPr>
        <w:t>renal</w:t>
      </w:r>
      <w:proofErr w:type="spellEnd"/>
      <w:r w:rsidRPr="00BE5239">
        <w:rPr>
          <w:sz w:val="24"/>
          <w:szCs w:val="24"/>
        </w:rPr>
        <w:t xml:space="preserve"> papillær nekrose og </w:t>
      </w:r>
      <w:proofErr w:type="spellStart"/>
      <w:r w:rsidRPr="00BE5239">
        <w:rPr>
          <w:sz w:val="24"/>
          <w:szCs w:val="24"/>
        </w:rPr>
        <w:t>epithelskade</w:t>
      </w:r>
      <w:proofErr w:type="spellEnd"/>
      <w:r w:rsidRPr="00BE5239">
        <w:rPr>
          <w:sz w:val="24"/>
          <w:szCs w:val="24"/>
        </w:rPr>
        <w:t xml:space="preserve"> i de proksimale </w:t>
      </w:r>
      <w:proofErr w:type="spellStart"/>
      <w:r w:rsidRPr="00BE5239">
        <w:rPr>
          <w:sz w:val="24"/>
          <w:szCs w:val="24"/>
        </w:rPr>
        <w:t>tubuli</w:t>
      </w:r>
      <w:proofErr w:type="spellEnd"/>
      <w:r w:rsidRPr="00BE5239">
        <w:rPr>
          <w:sz w:val="24"/>
          <w:szCs w:val="24"/>
        </w:rPr>
        <w:t xml:space="preserve"> (pars </w:t>
      </w:r>
      <w:proofErr w:type="spellStart"/>
      <w:r w:rsidRPr="00BE5239">
        <w:rPr>
          <w:sz w:val="24"/>
          <w:szCs w:val="24"/>
        </w:rPr>
        <w:t>convoluta</w:t>
      </w:r>
      <w:proofErr w:type="spellEnd"/>
      <w:r w:rsidRPr="00BE5239">
        <w:rPr>
          <w:sz w:val="24"/>
          <w:szCs w:val="24"/>
        </w:rPr>
        <w:t xml:space="preserve">) eller på hele nefronet) er set i toksicitetsstudier efter gentagne høje, orale doser af </w:t>
      </w:r>
      <w:proofErr w:type="spellStart"/>
      <w:r w:rsidRPr="00BE5239">
        <w:rPr>
          <w:sz w:val="24"/>
          <w:szCs w:val="24"/>
        </w:rPr>
        <w:t>mesalazin</w:t>
      </w:r>
      <w:proofErr w:type="spellEnd"/>
      <w:r w:rsidRPr="00BE5239">
        <w:rPr>
          <w:sz w:val="24"/>
          <w:szCs w:val="24"/>
        </w:rPr>
        <w:t>. Den kliniske relevans af denne observation er ikke kendt.</w:t>
      </w:r>
    </w:p>
    <w:p w14:paraId="0F75CDA8" w14:textId="77777777" w:rsidR="009260DE" w:rsidRPr="00BE5239" w:rsidRDefault="009260DE" w:rsidP="009260DE">
      <w:pPr>
        <w:tabs>
          <w:tab w:val="left" w:pos="851"/>
        </w:tabs>
        <w:ind w:left="851"/>
        <w:rPr>
          <w:sz w:val="24"/>
          <w:szCs w:val="24"/>
        </w:rPr>
      </w:pPr>
    </w:p>
    <w:p w14:paraId="355F6858" w14:textId="77777777" w:rsidR="009260DE" w:rsidRPr="00BE5239" w:rsidRDefault="009260DE" w:rsidP="009260DE">
      <w:pPr>
        <w:tabs>
          <w:tab w:val="left" w:pos="851"/>
        </w:tabs>
        <w:ind w:left="851"/>
        <w:rPr>
          <w:sz w:val="24"/>
          <w:szCs w:val="24"/>
        </w:rPr>
      </w:pPr>
    </w:p>
    <w:p w14:paraId="2832C84B" w14:textId="77777777" w:rsidR="009260DE" w:rsidRPr="00BE5239" w:rsidRDefault="009260DE" w:rsidP="009260DE">
      <w:pPr>
        <w:tabs>
          <w:tab w:val="left" w:pos="851"/>
        </w:tabs>
        <w:ind w:left="851" w:hanging="851"/>
        <w:rPr>
          <w:b/>
          <w:sz w:val="24"/>
          <w:szCs w:val="24"/>
        </w:rPr>
      </w:pPr>
      <w:r w:rsidRPr="00BE5239">
        <w:rPr>
          <w:b/>
          <w:sz w:val="24"/>
          <w:szCs w:val="24"/>
        </w:rPr>
        <w:t>6.</w:t>
      </w:r>
      <w:r w:rsidRPr="00BE5239">
        <w:rPr>
          <w:b/>
          <w:sz w:val="24"/>
          <w:szCs w:val="24"/>
        </w:rPr>
        <w:tab/>
        <w:t>FARMACEUTISKE OPLYSNINGER</w:t>
      </w:r>
    </w:p>
    <w:p w14:paraId="3F3AB44C" w14:textId="77777777" w:rsidR="009260DE" w:rsidRPr="00BE5239" w:rsidRDefault="009260DE" w:rsidP="009260DE">
      <w:pPr>
        <w:tabs>
          <w:tab w:val="left" w:pos="851"/>
        </w:tabs>
        <w:ind w:left="851"/>
        <w:rPr>
          <w:sz w:val="24"/>
          <w:szCs w:val="24"/>
        </w:rPr>
      </w:pPr>
    </w:p>
    <w:p w14:paraId="4A239349" w14:textId="77777777" w:rsidR="009260DE" w:rsidRPr="00BE5239" w:rsidRDefault="009260DE" w:rsidP="009260DE">
      <w:pPr>
        <w:tabs>
          <w:tab w:val="left" w:pos="851"/>
        </w:tabs>
        <w:ind w:left="851" w:hanging="851"/>
        <w:rPr>
          <w:b/>
          <w:sz w:val="24"/>
          <w:szCs w:val="24"/>
        </w:rPr>
      </w:pPr>
      <w:r w:rsidRPr="00BE5239">
        <w:rPr>
          <w:b/>
          <w:sz w:val="24"/>
          <w:szCs w:val="24"/>
        </w:rPr>
        <w:t>6.1</w:t>
      </w:r>
      <w:r w:rsidRPr="00BE5239">
        <w:rPr>
          <w:b/>
          <w:sz w:val="24"/>
          <w:szCs w:val="24"/>
        </w:rPr>
        <w:tab/>
        <w:t>Hjælpestoffer</w:t>
      </w:r>
    </w:p>
    <w:p w14:paraId="1772E8FD" w14:textId="77777777" w:rsidR="006D1135" w:rsidRPr="00BE5239" w:rsidRDefault="006D1135" w:rsidP="00B31896">
      <w:pPr>
        <w:ind w:left="851"/>
        <w:rPr>
          <w:sz w:val="24"/>
          <w:szCs w:val="24"/>
          <w:lang w:eastAsia="en-GB"/>
        </w:rPr>
      </w:pPr>
      <w:r w:rsidRPr="00BE5239">
        <w:rPr>
          <w:sz w:val="24"/>
          <w:szCs w:val="24"/>
        </w:rPr>
        <w:t>Cellulose, mikrokrystallinsk</w:t>
      </w:r>
    </w:p>
    <w:p w14:paraId="2E61030F" w14:textId="77777777" w:rsidR="006D1135" w:rsidRPr="00BE5239" w:rsidRDefault="006D1135" w:rsidP="00B31896">
      <w:pPr>
        <w:ind w:left="851"/>
        <w:rPr>
          <w:sz w:val="24"/>
          <w:szCs w:val="24"/>
        </w:rPr>
      </w:pPr>
      <w:proofErr w:type="spellStart"/>
      <w:r w:rsidRPr="00BE5239">
        <w:rPr>
          <w:sz w:val="24"/>
          <w:szCs w:val="24"/>
        </w:rPr>
        <w:t>Povidon</w:t>
      </w:r>
      <w:proofErr w:type="spellEnd"/>
      <w:r w:rsidRPr="00BE5239">
        <w:rPr>
          <w:sz w:val="24"/>
          <w:szCs w:val="24"/>
        </w:rPr>
        <w:t xml:space="preserve"> K 25</w:t>
      </w:r>
    </w:p>
    <w:p w14:paraId="5ABF256C" w14:textId="77777777" w:rsidR="006D1135" w:rsidRPr="00253383" w:rsidRDefault="006D1135" w:rsidP="00B31896">
      <w:pPr>
        <w:ind w:left="851"/>
        <w:rPr>
          <w:sz w:val="24"/>
          <w:szCs w:val="24"/>
          <w:lang w:val="en-US"/>
        </w:rPr>
      </w:pPr>
      <w:proofErr w:type="spellStart"/>
      <w:r w:rsidRPr="00253383">
        <w:rPr>
          <w:sz w:val="24"/>
          <w:szCs w:val="24"/>
          <w:lang w:val="en-US"/>
        </w:rPr>
        <w:t>Croscarmellosenatrium</w:t>
      </w:r>
      <w:proofErr w:type="spellEnd"/>
    </w:p>
    <w:p w14:paraId="720B8B4E" w14:textId="77777777" w:rsidR="006D1135" w:rsidRPr="00253383" w:rsidRDefault="006D1135" w:rsidP="00B31896">
      <w:pPr>
        <w:ind w:left="851"/>
        <w:rPr>
          <w:sz w:val="24"/>
          <w:szCs w:val="24"/>
          <w:lang w:val="en-US"/>
        </w:rPr>
      </w:pPr>
      <w:proofErr w:type="spellStart"/>
      <w:r w:rsidRPr="00253383">
        <w:rPr>
          <w:sz w:val="24"/>
          <w:szCs w:val="24"/>
          <w:lang w:val="en-US"/>
        </w:rPr>
        <w:t>Methacrylsyre-metylmethacrylat</w:t>
      </w:r>
      <w:proofErr w:type="spellEnd"/>
      <w:r w:rsidRPr="00253383">
        <w:rPr>
          <w:sz w:val="24"/>
          <w:szCs w:val="24"/>
          <w:lang w:val="en-US"/>
        </w:rPr>
        <w:t xml:space="preserve"> copolymer (1:1) (Eudragit L 100) </w:t>
      </w:r>
    </w:p>
    <w:p w14:paraId="3FEC1ED4" w14:textId="5479BD80" w:rsidR="006D1135" w:rsidRPr="00253383" w:rsidRDefault="006D1135" w:rsidP="00B31896">
      <w:pPr>
        <w:ind w:left="851"/>
        <w:rPr>
          <w:sz w:val="24"/>
          <w:szCs w:val="24"/>
          <w:lang w:val="en-US"/>
        </w:rPr>
      </w:pPr>
      <w:proofErr w:type="spellStart"/>
      <w:r w:rsidRPr="00253383">
        <w:rPr>
          <w:sz w:val="24"/>
          <w:szCs w:val="24"/>
          <w:lang w:val="en-US"/>
        </w:rPr>
        <w:t>Methacrylsyre-metylmethacrylat</w:t>
      </w:r>
      <w:proofErr w:type="spellEnd"/>
      <w:r w:rsidRPr="00253383">
        <w:rPr>
          <w:sz w:val="24"/>
          <w:szCs w:val="24"/>
          <w:lang w:val="en-US"/>
        </w:rPr>
        <w:t xml:space="preserve"> copolymer (1:</w:t>
      </w:r>
      <w:r w:rsidR="008518DF">
        <w:rPr>
          <w:sz w:val="24"/>
          <w:szCs w:val="24"/>
          <w:lang w:val="en-US"/>
        </w:rPr>
        <w:t>2</w:t>
      </w:r>
      <w:r w:rsidRPr="00253383">
        <w:rPr>
          <w:sz w:val="24"/>
          <w:szCs w:val="24"/>
          <w:lang w:val="en-US"/>
        </w:rPr>
        <w:t xml:space="preserve">) (Eudragit </w:t>
      </w:r>
      <w:r w:rsidR="008518DF">
        <w:rPr>
          <w:sz w:val="24"/>
          <w:szCs w:val="24"/>
          <w:lang w:val="en-US"/>
        </w:rPr>
        <w:t>S</w:t>
      </w:r>
      <w:r w:rsidRPr="00253383">
        <w:rPr>
          <w:sz w:val="24"/>
          <w:szCs w:val="24"/>
          <w:lang w:val="en-US"/>
        </w:rPr>
        <w:t xml:space="preserve"> 100)</w:t>
      </w:r>
    </w:p>
    <w:p w14:paraId="60678FA5" w14:textId="77777777" w:rsidR="006D1135" w:rsidRPr="00BE5239" w:rsidRDefault="006D1135" w:rsidP="00B31896">
      <w:pPr>
        <w:ind w:left="851"/>
        <w:rPr>
          <w:sz w:val="24"/>
          <w:szCs w:val="24"/>
        </w:rPr>
      </w:pPr>
      <w:proofErr w:type="spellStart"/>
      <w:r w:rsidRPr="00BE5239">
        <w:rPr>
          <w:sz w:val="24"/>
          <w:szCs w:val="24"/>
        </w:rPr>
        <w:t>Calciumstearate</w:t>
      </w:r>
      <w:proofErr w:type="spellEnd"/>
      <w:r w:rsidRPr="00BE5239">
        <w:rPr>
          <w:sz w:val="24"/>
          <w:szCs w:val="24"/>
        </w:rPr>
        <w:t xml:space="preserve"> [udvundet fra urter]</w:t>
      </w:r>
    </w:p>
    <w:p w14:paraId="7FFE849B" w14:textId="77777777" w:rsidR="006D1135" w:rsidRPr="00BE5239" w:rsidRDefault="006D1135" w:rsidP="00B31896">
      <w:pPr>
        <w:ind w:left="851"/>
        <w:rPr>
          <w:sz w:val="24"/>
          <w:szCs w:val="24"/>
        </w:rPr>
      </w:pPr>
      <w:proofErr w:type="spellStart"/>
      <w:r w:rsidRPr="00BE5239">
        <w:rPr>
          <w:sz w:val="24"/>
          <w:szCs w:val="24"/>
        </w:rPr>
        <w:t>Talcum</w:t>
      </w:r>
      <w:proofErr w:type="spellEnd"/>
    </w:p>
    <w:p w14:paraId="62321C14" w14:textId="77777777" w:rsidR="006D1135" w:rsidRPr="00BE5239" w:rsidRDefault="006D1135" w:rsidP="00B31896">
      <w:pPr>
        <w:ind w:left="851"/>
        <w:rPr>
          <w:sz w:val="24"/>
          <w:szCs w:val="24"/>
        </w:rPr>
      </w:pPr>
      <w:proofErr w:type="spellStart"/>
      <w:r w:rsidRPr="00BE5239">
        <w:rPr>
          <w:sz w:val="24"/>
          <w:szCs w:val="24"/>
        </w:rPr>
        <w:t>Macrogol</w:t>
      </w:r>
      <w:proofErr w:type="spellEnd"/>
      <w:r w:rsidRPr="00BE5239">
        <w:rPr>
          <w:sz w:val="24"/>
          <w:szCs w:val="24"/>
        </w:rPr>
        <w:t xml:space="preserve"> 6000</w:t>
      </w:r>
    </w:p>
    <w:p w14:paraId="376C0927" w14:textId="77777777" w:rsidR="006D1135" w:rsidRPr="00BE5239" w:rsidRDefault="006D1135" w:rsidP="00B31896">
      <w:pPr>
        <w:ind w:left="851"/>
        <w:rPr>
          <w:sz w:val="24"/>
          <w:szCs w:val="24"/>
        </w:rPr>
      </w:pPr>
      <w:proofErr w:type="spellStart"/>
      <w:r w:rsidRPr="00BE5239">
        <w:rPr>
          <w:sz w:val="24"/>
          <w:szCs w:val="24"/>
        </w:rPr>
        <w:t>Hypromellose</w:t>
      </w:r>
      <w:proofErr w:type="spellEnd"/>
    </w:p>
    <w:p w14:paraId="46A7E77F" w14:textId="77777777" w:rsidR="006D1135" w:rsidRPr="00BE5239" w:rsidRDefault="006D1135" w:rsidP="00B31896">
      <w:pPr>
        <w:ind w:left="851"/>
        <w:rPr>
          <w:sz w:val="24"/>
          <w:szCs w:val="24"/>
        </w:rPr>
      </w:pPr>
      <w:proofErr w:type="spellStart"/>
      <w:r w:rsidRPr="00BE5239">
        <w:rPr>
          <w:sz w:val="24"/>
          <w:szCs w:val="24"/>
        </w:rPr>
        <w:t>Silica</w:t>
      </w:r>
      <w:proofErr w:type="spellEnd"/>
      <w:r w:rsidRPr="00BE5239">
        <w:rPr>
          <w:sz w:val="24"/>
          <w:szCs w:val="24"/>
        </w:rPr>
        <w:t>, kolloid vandfri</w:t>
      </w:r>
    </w:p>
    <w:p w14:paraId="3268D42C" w14:textId="77777777" w:rsidR="006D1135" w:rsidRPr="00BE5239" w:rsidRDefault="006D1135" w:rsidP="00B31896">
      <w:pPr>
        <w:ind w:left="851"/>
        <w:rPr>
          <w:sz w:val="24"/>
          <w:szCs w:val="24"/>
        </w:rPr>
      </w:pPr>
      <w:r w:rsidRPr="00BE5239">
        <w:rPr>
          <w:sz w:val="24"/>
          <w:szCs w:val="24"/>
        </w:rPr>
        <w:t>Jernoxid, gul (E 172)</w:t>
      </w:r>
    </w:p>
    <w:p w14:paraId="7AA05813" w14:textId="77777777" w:rsidR="006D1135" w:rsidRPr="00BE5239" w:rsidRDefault="006D1135" w:rsidP="00B31896">
      <w:pPr>
        <w:ind w:left="851"/>
        <w:rPr>
          <w:sz w:val="24"/>
          <w:szCs w:val="24"/>
        </w:rPr>
      </w:pPr>
      <w:r w:rsidRPr="00BE5239">
        <w:rPr>
          <w:sz w:val="24"/>
          <w:szCs w:val="24"/>
        </w:rPr>
        <w:t>Titandioxid (E171)</w:t>
      </w:r>
    </w:p>
    <w:p w14:paraId="23D109D5" w14:textId="77777777" w:rsidR="009260DE" w:rsidRPr="00BE5239" w:rsidRDefault="009260DE" w:rsidP="009260DE">
      <w:pPr>
        <w:tabs>
          <w:tab w:val="left" w:pos="851"/>
        </w:tabs>
        <w:ind w:left="851"/>
        <w:rPr>
          <w:sz w:val="24"/>
          <w:szCs w:val="24"/>
        </w:rPr>
      </w:pPr>
    </w:p>
    <w:p w14:paraId="25730486" w14:textId="77777777" w:rsidR="009260DE" w:rsidRPr="00BE5239" w:rsidRDefault="009260DE" w:rsidP="009260DE">
      <w:pPr>
        <w:tabs>
          <w:tab w:val="left" w:pos="851"/>
        </w:tabs>
        <w:ind w:left="851" w:hanging="851"/>
        <w:rPr>
          <w:b/>
          <w:sz w:val="24"/>
          <w:szCs w:val="24"/>
        </w:rPr>
      </w:pPr>
      <w:r w:rsidRPr="00BE5239">
        <w:rPr>
          <w:b/>
          <w:sz w:val="24"/>
          <w:szCs w:val="24"/>
        </w:rPr>
        <w:t>6.2</w:t>
      </w:r>
      <w:r w:rsidRPr="00BE5239">
        <w:rPr>
          <w:b/>
          <w:sz w:val="24"/>
          <w:szCs w:val="24"/>
        </w:rPr>
        <w:tab/>
        <w:t>Uforligeligheder</w:t>
      </w:r>
    </w:p>
    <w:p w14:paraId="09ADE485" w14:textId="1AB7017A" w:rsidR="006D1135" w:rsidRPr="00BE5239" w:rsidRDefault="006D1135" w:rsidP="00B31896">
      <w:pPr>
        <w:ind w:left="851"/>
        <w:rPr>
          <w:sz w:val="24"/>
          <w:szCs w:val="24"/>
          <w:lang w:eastAsia="en-GB"/>
        </w:rPr>
      </w:pPr>
      <w:r w:rsidRPr="00BE5239">
        <w:rPr>
          <w:sz w:val="24"/>
          <w:szCs w:val="24"/>
        </w:rPr>
        <w:t>Ikke relevant.</w:t>
      </w:r>
    </w:p>
    <w:p w14:paraId="26937B27" w14:textId="77777777" w:rsidR="009260DE" w:rsidRPr="00BE5239" w:rsidRDefault="009260DE" w:rsidP="009260DE">
      <w:pPr>
        <w:tabs>
          <w:tab w:val="left" w:pos="851"/>
        </w:tabs>
        <w:ind w:left="851"/>
        <w:rPr>
          <w:sz w:val="24"/>
          <w:szCs w:val="24"/>
        </w:rPr>
      </w:pPr>
    </w:p>
    <w:p w14:paraId="02E85F4A" w14:textId="77777777" w:rsidR="009260DE" w:rsidRPr="00BE5239" w:rsidRDefault="009260DE" w:rsidP="009260DE">
      <w:pPr>
        <w:tabs>
          <w:tab w:val="left" w:pos="851"/>
        </w:tabs>
        <w:ind w:left="851" w:hanging="851"/>
        <w:rPr>
          <w:b/>
          <w:sz w:val="24"/>
          <w:szCs w:val="24"/>
        </w:rPr>
      </w:pPr>
      <w:r w:rsidRPr="00BE5239">
        <w:rPr>
          <w:b/>
          <w:sz w:val="24"/>
          <w:szCs w:val="24"/>
        </w:rPr>
        <w:t>6.3</w:t>
      </w:r>
      <w:r w:rsidRPr="00BE5239">
        <w:rPr>
          <w:b/>
          <w:sz w:val="24"/>
          <w:szCs w:val="24"/>
        </w:rPr>
        <w:tab/>
        <w:t>Opbevaringstid</w:t>
      </w:r>
    </w:p>
    <w:p w14:paraId="159C3D14" w14:textId="79C06FCC" w:rsidR="006D1135" w:rsidRPr="00BE5239" w:rsidRDefault="006D1135" w:rsidP="00B31896">
      <w:pPr>
        <w:ind w:left="851"/>
        <w:rPr>
          <w:sz w:val="24"/>
          <w:szCs w:val="24"/>
          <w:lang w:eastAsia="en-GB"/>
        </w:rPr>
      </w:pPr>
      <w:r w:rsidRPr="00BE5239">
        <w:rPr>
          <w:sz w:val="24"/>
          <w:szCs w:val="24"/>
        </w:rPr>
        <w:t>3 år.</w:t>
      </w:r>
    </w:p>
    <w:p w14:paraId="3011ADF6" w14:textId="77777777" w:rsidR="009260DE" w:rsidRPr="00BE5239" w:rsidRDefault="009260DE" w:rsidP="009260DE">
      <w:pPr>
        <w:tabs>
          <w:tab w:val="left" w:pos="851"/>
        </w:tabs>
        <w:ind w:left="851"/>
        <w:rPr>
          <w:sz w:val="24"/>
          <w:szCs w:val="24"/>
        </w:rPr>
      </w:pPr>
    </w:p>
    <w:p w14:paraId="314B92FB" w14:textId="77777777" w:rsidR="009260DE" w:rsidRPr="00BE5239" w:rsidRDefault="009260DE" w:rsidP="009260DE">
      <w:pPr>
        <w:tabs>
          <w:tab w:val="left" w:pos="851"/>
        </w:tabs>
        <w:ind w:left="851" w:hanging="851"/>
        <w:rPr>
          <w:b/>
          <w:sz w:val="24"/>
          <w:szCs w:val="24"/>
        </w:rPr>
      </w:pPr>
      <w:r w:rsidRPr="00BE5239">
        <w:rPr>
          <w:b/>
          <w:sz w:val="24"/>
          <w:szCs w:val="24"/>
        </w:rPr>
        <w:t>6.4</w:t>
      </w:r>
      <w:r w:rsidRPr="00BE5239">
        <w:rPr>
          <w:b/>
          <w:sz w:val="24"/>
          <w:szCs w:val="24"/>
        </w:rPr>
        <w:tab/>
        <w:t>Særlige opbevaringsforhold</w:t>
      </w:r>
    </w:p>
    <w:p w14:paraId="16599D29" w14:textId="77777777" w:rsidR="006D1135" w:rsidRPr="00BE5239" w:rsidRDefault="006D1135" w:rsidP="00B31896">
      <w:pPr>
        <w:ind w:left="851"/>
        <w:rPr>
          <w:sz w:val="24"/>
          <w:szCs w:val="24"/>
          <w:lang w:eastAsia="en-GB"/>
        </w:rPr>
      </w:pPr>
      <w:r w:rsidRPr="00BE5239">
        <w:rPr>
          <w:sz w:val="24"/>
          <w:szCs w:val="24"/>
        </w:rPr>
        <w:t>Dette lægemiddel kræver ingen særlige forholdsregler vedrørende opbevaringen.</w:t>
      </w:r>
    </w:p>
    <w:p w14:paraId="64583571" w14:textId="77777777" w:rsidR="009260DE" w:rsidRPr="00BE5239" w:rsidRDefault="009260DE" w:rsidP="009260DE">
      <w:pPr>
        <w:tabs>
          <w:tab w:val="left" w:pos="851"/>
        </w:tabs>
        <w:ind w:left="851"/>
        <w:rPr>
          <w:sz w:val="24"/>
          <w:szCs w:val="24"/>
        </w:rPr>
      </w:pPr>
    </w:p>
    <w:p w14:paraId="27070C24" w14:textId="77777777" w:rsidR="009260DE" w:rsidRPr="00BE5239" w:rsidRDefault="009260DE" w:rsidP="009260DE">
      <w:pPr>
        <w:tabs>
          <w:tab w:val="left" w:pos="851"/>
        </w:tabs>
        <w:ind w:left="851" w:hanging="851"/>
        <w:rPr>
          <w:b/>
          <w:sz w:val="24"/>
          <w:szCs w:val="24"/>
        </w:rPr>
      </w:pPr>
      <w:r w:rsidRPr="00BE5239">
        <w:rPr>
          <w:b/>
          <w:sz w:val="24"/>
          <w:szCs w:val="24"/>
        </w:rPr>
        <w:t>6.5</w:t>
      </w:r>
      <w:r w:rsidRPr="00BE5239">
        <w:rPr>
          <w:b/>
          <w:sz w:val="24"/>
          <w:szCs w:val="24"/>
        </w:rPr>
        <w:tab/>
        <w:t>Emballagetype og pakningsstørrelser</w:t>
      </w:r>
    </w:p>
    <w:p w14:paraId="12E54E5E" w14:textId="77777777" w:rsidR="006D1135" w:rsidRPr="00BE5239" w:rsidRDefault="006D1135" w:rsidP="00B31896">
      <w:pPr>
        <w:ind w:left="851"/>
        <w:rPr>
          <w:sz w:val="24"/>
          <w:szCs w:val="24"/>
          <w:lang w:eastAsia="en-GB"/>
        </w:rPr>
      </w:pPr>
      <w:r w:rsidRPr="00BE5239">
        <w:rPr>
          <w:sz w:val="24"/>
          <w:szCs w:val="24"/>
        </w:rPr>
        <w:t>Blister: PVC/PVDC (orange-transparent) / aluminium-blisterfolie</w:t>
      </w:r>
    </w:p>
    <w:p w14:paraId="01FC29F8" w14:textId="77777777" w:rsidR="006D1135" w:rsidRPr="00BE5239" w:rsidRDefault="006D1135" w:rsidP="00B31896">
      <w:pPr>
        <w:ind w:left="851"/>
        <w:rPr>
          <w:sz w:val="24"/>
          <w:szCs w:val="24"/>
        </w:rPr>
      </w:pPr>
    </w:p>
    <w:p w14:paraId="41E2BCF3" w14:textId="77777777" w:rsidR="006D1135" w:rsidRPr="00BE5239" w:rsidRDefault="006D1135" w:rsidP="00B31896">
      <w:pPr>
        <w:ind w:left="851"/>
        <w:rPr>
          <w:sz w:val="24"/>
          <w:szCs w:val="24"/>
        </w:rPr>
      </w:pPr>
      <w:r w:rsidRPr="00BE5239">
        <w:rPr>
          <w:sz w:val="24"/>
          <w:szCs w:val="24"/>
        </w:rPr>
        <w:t xml:space="preserve">Pakningsstørrelser: 20, 50, 60, 90,100 og 150 </w:t>
      </w:r>
      <w:proofErr w:type="spellStart"/>
      <w:r w:rsidRPr="00BE5239">
        <w:rPr>
          <w:sz w:val="24"/>
          <w:szCs w:val="24"/>
        </w:rPr>
        <w:t>enterotabletter</w:t>
      </w:r>
      <w:proofErr w:type="spellEnd"/>
      <w:r w:rsidRPr="00BE5239">
        <w:rPr>
          <w:sz w:val="24"/>
          <w:szCs w:val="24"/>
        </w:rPr>
        <w:t>.</w:t>
      </w:r>
    </w:p>
    <w:p w14:paraId="3277966A" w14:textId="77777777" w:rsidR="006D1135" w:rsidRPr="00BE5239" w:rsidRDefault="006D1135" w:rsidP="00B31896">
      <w:pPr>
        <w:ind w:left="851"/>
        <w:rPr>
          <w:sz w:val="24"/>
          <w:szCs w:val="24"/>
        </w:rPr>
      </w:pPr>
    </w:p>
    <w:p w14:paraId="30D22CB6" w14:textId="77777777" w:rsidR="006D1135" w:rsidRPr="00BE5239" w:rsidRDefault="006D1135" w:rsidP="00B31896">
      <w:pPr>
        <w:ind w:left="851"/>
        <w:rPr>
          <w:sz w:val="24"/>
          <w:szCs w:val="24"/>
        </w:rPr>
      </w:pPr>
      <w:r w:rsidRPr="00BE5239">
        <w:rPr>
          <w:sz w:val="24"/>
          <w:szCs w:val="24"/>
        </w:rPr>
        <w:t xml:space="preserve">Ikke alle pakningsstørrelser er ikke nødvendigvis markedsført. </w:t>
      </w:r>
    </w:p>
    <w:p w14:paraId="6E050D9B" w14:textId="77777777" w:rsidR="009260DE" w:rsidRPr="00BE5239" w:rsidRDefault="009260DE" w:rsidP="009260DE">
      <w:pPr>
        <w:tabs>
          <w:tab w:val="left" w:pos="851"/>
        </w:tabs>
        <w:ind w:left="851"/>
        <w:rPr>
          <w:sz w:val="24"/>
          <w:szCs w:val="24"/>
        </w:rPr>
      </w:pPr>
    </w:p>
    <w:p w14:paraId="52E7F323" w14:textId="77777777" w:rsidR="009260DE" w:rsidRPr="00BE5239" w:rsidRDefault="009260DE" w:rsidP="009260DE">
      <w:pPr>
        <w:tabs>
          <w:tab w:val="left" w:pos="851"/>
        </w:tabs>
        <w:ind w:left="851" w:hanging="851"/>
        <w:rPr>
          <w:b/>
          <w:sz w:val="24"/>
          <w:szCs w:val="24"/>
        </w:rPr>
      </w:pPr>
      <w:r w:rsidRPr="00BE5239">
        <w:rPr>
          <w:b/>
          <w:sz w:val="24"/>
          <w:szCs w:val="24"/>
        </w:rPr>
        <w:t>6.6</w:t>
      </w:r>
      <w:r w:rsidRPr="00BE5239">
        <w:rPr>
          <w:b/>
          <w:sz w:val="24"/>
          <w:szCs w:val="24"/>
        </w:rPr>
        <w:tab/>
        <w:t xml:space="preserve">Regler for </w:t>
      </w:r>
      <w:r w:rsidR="00BD7931" w:rsidRPr="00BE5239">
        <w:rPr>
          <w:b/>
          <w:sz w:val="24"/>
          <w:szCs w:val="24"/>
        </w:rPr>
        <w:t>bortskaffelse</w:t>
      </w:r>
      <w:r w:rsidRPr="00BE5239">
        <w:rPr>
          <w:b/>
          <w:sz w:val="24"/>
          <w:szCs w:val="24"/>
        </w:rPr>
        <w:t xml:space="preserve"> og anden håndtering</w:t>
      </w:r>
    </w:p>
    <w:p w14:paraId="39D1E798" w14:textId="77777777" w:rsidR="006D1135" w:rsidRPr="00BE5239" w:rsidRDefault="006D1135" w:rsidP="00B31896">
      <w:pPr>
        <w:ind w:left="851"/>
        <w:rPr>
          <w:sz w:val="24"/>
          <w:szCs w:val="24"/>
          <w:lang w:eastAsia="en-GB"/>
        </w:rPr>
      </w:pPr>
      <w:r w:rsidRPr="00BE5239">
        <w:rPr>
          <w:sz w:val="24"/>
          <w:szCs w:val="24"/>
        </w:rPr>
        <w:t>Ikke anvendt lægemiddel samt affald heraf skal bortskaffes i henhold til lokale retningslinjer.</w:t>
      </w:r>
    </w:p>
    <w:p w14:paraId="431D2404" w14:textId="08E1FD32" w:rsidR="00BE5239" w:rsidRDefault="00BE5239">
      <w:pPr>
        <w:rPr>
          <w:sz w:val="24"/>
          <w:szCs w:val="24"/>
        </w:rPr>
      </w:pPr>
      <w:r>
        <w:rPr>
          <w:sz w:val="24"/>
          <w:szCs w:val="24"/>
        </w:rPr>
        <w:br w:type="page"/>
      </w:r>
    </w:p>
    <w:p w14:paraId="60BB1DC9" w14:textId="77777777" w:rsidR="009260DE" w:rsidRPr="00BE5239" w:rsidRDefault="009260DE" w:rsidP="000730CA">
      <w:pPr>
        <w:tabs>
          <w:tab w:val="left" w:pos="851"/>
        </w:tabs>
        <w:ind w:left="851"/>
        <w:rPr>
          <w:sz w:val="24"/>
          <w:szCs w:val="24"/>
        </w:rPr>
      </w:pPr>
    </w:p>
    <w:p w14:paraId="4FFB97ED" w14:textId="77777777" w:rsidR="009260DE" w:rsidRPr="00BE5239" w:rsidRDefault="009260DE" w:rsidP="009260DE">
      <w:pPr>
        <w:tabs>
          <w:tab w:val="left" w:pos="851"/>
        </w:tabs>
        <w:ind w:left="851" w:hanging="851"/>
        <w:rPr>
          <w:b/>
          <w:sz w:val="24"/>
          <w:szCs w:val="24"/>
        </w:rPr>
      </w:pPr>
      <w:r w:rsidRPr="00BE5239">
        <w:rPr>
          <w:b/>
          <w:sz w:val="24"/>
          <w:szCs w:val="24"/>
        </w:rPr>
        <w:t>7.</w:t>
      </w:r>
      <w:r w:rsidRPr="00BE5239">
        <w:rPr>
          <w:b/>
          <w:sz w:val="24"/>
          <w:szCs w:val="24"/>
        </w:rPr>
        <w:tab/>
        <w:t>INDEHAVER AF MARKEDSFØRINGSTILLADELSEN</w:t>
      </w:r>
    </w:p>
    <w:p w14:paraId="343D3049" w14:textId="77777777" w:rsidR="006D1135" w:rsidRPr="00BE5239" w:rsidRDefault="006D1135" w:rsidP="00B31896">
      <w:pPr>
        <w:ind w:left="851"/>
        <w:rPr>
          <w:sz w:val="24"/>
          <w:szCs w:val="24"/>
          <w:lang w:eastAsia="en-GB"/>
        </w:rPr>
      </w:pPr>
      <w:r w:rsidRPr="00BE5239">
        <w:rPr>
          <w:sz w:val="24"/>
          <w:szCs w:val="24"/>
        </w:rPr>
        <w:t>DR. FALK PHARMA GmbH</w:t>
      </w:r>
    </w:p>
    <w:p w14:paraId="2A723DE2" w14:textId="77777777" w:rsidR="006D1135" w:rsidRPr="00BE5239" w:rsidRDefault="006D1135" w:rsidP="00B31896">
      <w:pPr>
        <w:ind w:left="851"/>
        <w:rPr>
          <w:sz w:val="24"/>
          <w:szCs w:val="24"/>
        </w:rPr>
      </w:pPr>
      <w:proofErr w:type="spellStart"/>
      <w:r w:rsidRPr="00BE5239">
        <w:rPr>
          <w:sz w:val="24"/>
          <w:szCs w:val="24"/>
        </w:rPr>
        <w:t>Leinenweberstr</w:t>
      </w:r>
      <w:proofErr w:type="spellEnd"/>
      <w:r w:rsidRPr="00BE5239">
        <w:rPr>
          <w:sz w:val="24"/>
          <w:szCs w:val="24"/>
        </w:rPr>
        <w:t>. 5</w:t>
      </w:r>
    </w:p>
    <w:p w14:paraId="7BBCC703" w14:textId="77777777" w:rsidR="006D1135" w:rsidRPr="00BE5239" w:rsidRDefault="006D1135" w:rsidP="00B31896">
      <w:pPr>
        <w:ind w:left="851"/>
        <w:rPr>
          <w:sz w:val="24"/>
          <w:szCs w:val="24"/>
        </w:rPr>
      </w:pPr>
      <w:r w:rsidRPr="00BE5239">
        <w:rPr>
          <w:sz w:val="24"/>
          <w:szCs w:val="24"/>
        </w:rPr>
        <w:t>79108 Freiburg</w:t>
      </w:r>
    </w:p>
    <w:p w14:paraId="142BBBF9" w14:textId="4805DF8B" w:rsidR="006D1135" w:rsidRDefault="006D1135" w:rsidP="00B31896">
      <w:pPr>
        <w:ind w:left="851"/>
        <w:rPr>
          <w:sz w:val="24"/>
          <w:szCs w:val="24"/>
        </w:rPr>
      </w:pPr>
      <w:r w:rsidRPr="00BE5239">
        <w:rPr>
          <w:sz w:val="24"/>
          <w:szCs w:val="24"/>
        </w:rPr>
        <w:t>Tyskland</w:t>
      </w:r>
    </w:p>
    <w:p w14:paraId="245DA80C" w14:textId="380491F4" w:rsidR="00ED210E" w:rsidRDefault="00ED210E" w:rsidP="00B31896">
      <w:pPr>
        <w:ind w:left="851"/>
        <w:rPr>
          <w:sz w:val="24"/>
          <w:szCs w:val="24"/>
        </w:rPr>
      </w:pPr>
    </w:p>
    <w:p w14:paraId="225FFCF5" w14:textId="68EC1EDF" w:rsidR="00ED210E" w:rsidRDefault="00ED210E" w:rsidP="00B31896">
      <w:pPr>
        <w:ind w:left="851"/>
        <w:rPr>
          <w:sz w:val="24"/>
          <w:szCs w:val="24"/>
        </w:rPr>
      </w:pPr>
      <w:r>
        <w:rPr>
          <w:b/>
          <w:sz w:val="24"/>
          <w:szCs w:val="24"/>
        </w:rPr>
        <w:t>Repræsentant</w:t>
      </w:r>
    </w:p>
    <w:p w14:paraId="4D2DF1DA" w14:textId="77777777" w:rsidR="00ED210E" w:rsidRPr="00ED210E" w:rsidRDefault="00ED210E" w:rsidP="00ED210E">
      <w:pPr>
        <w:ind w:left="851"/>
        <w:rPr>
          <w:sz w:val="24"/>
          <w:szCs w:val="24"/>
        </w:rPr>
      </w:pPr>
      <w:proofErr w:type="spellStart"/>
      <w:r w:rsidRPr="00ED210E">
        <w:rPr>
          <w:sz w:val="24"/>
          <w:szCs w:val="24"/>
        </w:rPr>
        <w:t>Vifor</w:t>
      </w:r>
      <w:proofErr w:type="spellEnd"/>
      <w:r w:rsidRPr="00ED210E">
        <w:rPr>
          <w:sz w:val="24"/>
          <w:szCs w:val="24"/>
        </w:rPr>
        <w:t xml:space="preserve"> Pharma </w:t>
      </w:r>
      <w:proofErr w:type="spellStart"/>
      <w:r w:rsidRPr="00ED210E">
        <w:rPr>
          <w:sz w:val="24"/>
          <w:szCs w:val="24"/>
        </w:rPr>
        <w:t>Nordiska</w:t>
      </w:r>
      <w:proofErr w:type="spellEnd"/>
      <w:r w:rsidRPr="00ED210E">
        <w:rPr>
          <w:sz w:val="24"/>
          <w:szCs w:val="24"/>
        </w:rPr>
        <w:t xml:space="preserve"> AB</w:t>
      </w:r>
    </w:p>
    <w:p w14:paraId="76A412B5" w14:textId="77777777" w:rsidR="00ED210E" w:rsidRPr="00ED210E" w:rsidRDefault="00ED210E" w:rsidP="00ED210E">
      <w:pPr>
        <w:ind w:left="851"/>
        <w:rPr>
          <w:sz w:val="24"/>
          <w:szCs w:val="24"/>
        </w:rPr>
      </w:pPr>
      <w:r w:rsidRPr="00ED210E">
        <w:rPr>
          <w:sz w:val="24"/>
          <w:szCs w:val="24"/>
        </w:rPr>
        <w:t xml:space="preserve">Gustav </w:t>
      </w:r>
      <w:proofErr w:type="spellStart"/>
      <w:r w:rsidRPr="00ED210E">
        <w:rPr>
          <w:sz w:val="24"/>
          <w:szCs w:val="24"/>
        </w:rPr>
        <w:t>III:s</w:t>
      </w:r>
      <w:proofErr w:type="spellEnd"/>
      <w:r w:rsidRPr="00ED210E">
        <w:rPr>
          <w:sz w:val="24"/>
          <w:szCs w:val="24"/>
        </w:rPr>
        <w:t xml:space="preserve"> Boulevard 46</w:t>
      </w:r>
    </w:p>
    <w:p w14:paraId="0F6E93C8" w14:textId="77777777" w:rsidR="00ED210E" w:rsidRPr="00ED210E" w:rsidRDefault="00ED210E" w:rsidP="00ED210E">
      <w:pPr>
        <w:ind w:left="851"/>
        <w:rPr>
          <w:sz w:val="24"/>
          <w:szCs w:val="24"/>
        </w:rPr>
      </w:pPr>
      <w:r w:rsidRPr="00ED210E">
        <w:rPr>
          <w:sz w:val="24"/>
          <w:szCs w:val="24"/>
        </w:rPr>
        <w:t>169 73 Solna</w:t>
      </w:r>
    </w:p>
    <w:p w14:paraId="45694E24" w14:textId="20281409" w:rsidR="00ED210E" w:rsidRPr="00ED210E" w:rsidRDefault="00ED210E" w:rsidP="00ED210E">
      <w:pPr>
        <w:ind w:left="851"/>
        <w:rPr>
          <w:sz w:val="24"/>
          <w:szCs w:val="24"/>
        </w:rPr>
      </w:pPr>
      <w:r w:rsidRPr="00ED210E">
        <w:rPr>
          <w:sz w:val="24"/>
          <w:szCs w:val="24"/>
        </w:rPr>
        <w:t>Sverige</w:t>
      </w:r>
    </w:p>
    <w:p w14:paraId="6CADC6F6" w14:textId="77777777" w:rsidR="00641C65" w:rsidRPr="00BE5239" w:rsidRDefault="00641C65" w:rsidP="009260DE">
      <w:pPr>
        <w:tabs>
          <w:tab w:val="left" w:pos="851"/>
        </w:tabs>
        <w:ind w:left="851"/>
        <w:rPr>
          <w:sz w:val="24"/>
          <w:szCs w:val="24"/>
        </w:rPr>
      </w:pPr>
    </w:p>
    <w:p w14:paraId="61B6CD5E" w14:textId="77777777" w:rsidR="009260DE" w:rsidRPr="00BE5239" w:rsidRDefault="009260DE" w:rsidP="009260DE">
      <w:pPr>
        <w:tabs>
          <w:tab w:val="left" w:pos="851"/>
        </w:tabs>
        <w:ind w:left="851" w:hanging="851"/>
        <w:rPr>
          <w:b/>
          <w:sz w:val="24"/>
          <w:szCs w:val="24"/>
        </w:rPr>
      </w:pPr>
      <w:r w:rsidRPr="00BE5239">
        <w:rPr>
          <w:b/>
          <w:sz w:val="24"/>
          <w:szCs w:val="24"/>
        </w:rPr>
        <w:t>8.</w:t>
      </w:r>
      <w:r w:rsidRPr="00BE5239">
        <w:rPr>
          <w:b/>
          <w:sz w:val="24"/>
          <w:szCs w:val="24"/>
        </w:rPr>
        <w:tab/>
        <w:t>MARKEDSFØRINGSTILLADELSESNUMMER (</w:t>
      </w:r>
      <w:r w:rsidR="00BF6243" w:rsidRPr="00BE5239">
        <w:rPr>
          <w:b/>
          <w:sz w:val="24"/>
          <w:szCs w:val="24"/>
        </w:rPr>
        <w:t>-</w:t>
      </w:r>
      <w:r w:rsidRPr="00BE5239">
        <w:rPr>
          <w:b/>
          <w:sz w:val="24"/>
          <w:szCs w:val="24"/>
        </w:rPr>
        <w:t>NUMRE)</w:t>
      </w:r>
    </w:p>
    <w:p w14:paraId="3CF16EAF" w14:textId="76DDBA2F" w:rsidR="009260DE" w:rsidRPr="00BE5239" w:rsidRDefault="008342C0" w:rsidP="009260DE">
      <w:pPr>
        <w:tabs>
          <w:tab w:val="left" w:pos="851"/>
        </w:tabs>
        <w:ind w:left="851"/>
        <w:rPr>
          <w:sz w:val="24"/>
          <w:szCs w:val="24"/>
        </w:rPr>
      </w:pPr>
      <w:r w:rsidRPr="00BE5239">
        <w:rPr>
          <w:sz w:val="24"/>
          <w:szCs w:val="24"/>
        </w:rPr>
        <w:t>71197</w:t>
      </w:r>
    </w:p>
    <w:p w14:paraId="152FF9C2" w14:textId="77777777" w:rsidR="009260DE" w:rsidRPr="00BE5239" w:rsidRDefault="009260DE" w:rsidP="009260DE">
      <w:pPr>
        <w:tabs>
          <w:tab w:val="left" w:pos="851"/>
        </w:tabs>
        <w:ind w:left="851"/>
        <w:jc w:val="both"/>
        <w:rPr>
          <w:sz w:val="24"/>
          <w:szCs w:val="24"/>
        </w:rPr>
      </w:pPr>
    </w:p>
    <w:p w14:paraId="6C8D3435" w14:textId="77777777" w:rsidR="009260DE" w:rsidRPr="00BE5239" w:rsidRDefault="009260DE" w:rsidP="009260DE">
      <w:pPr>
        <w:tabs>
          <w:tab w:val="left" w:pos="851"/>
        </w:tabs>
        <w:ind w:left="851" w:hanging="851"/>
        <w:rPr>
          <w:b/>
          <w:sz w:val="24"/>
          <w:szCs w:val="24"/>
        </w:rPr>
      </w:pPr>
      <w:r w:rsidRPr="00BE5239">
        <w:rPr>
          <w:b/>
          <w:sz w:val="24"/>
          <w:szCs w:val="24"/>
        </w:rPr>
        <w:t>9.</w:t>
      </w:r>
      <w:r w:rsidRPr="00BE5239">
        <w:rPr>
          <w:b/>
          <w:sz w:val="24"/>
          <w:szCs w:val="24"/>
        </w:rPr>
        <w:tab/>
        <w:t>DATO FOR FØRSTE MARKEDSFØRINGSTILLADELSE</w:t>
      </w:r>
    </w:p>
    <w:p w14:paraId="0018BFF5" w14:textId="668DD413" w:rsidR="009260DE" w:rsidRPr="00BE5239" w:rsidRDefault="008342C0" w:rsidP="009260DE">
      <w:pPr>
        <w:tabs>
          <w:tab w:val="left" w:pos="851"/>
        </w:tabs>
        <w:ind w:left="851"/>
        <w:rPr>
          <w:sz w:val="24"/>
          <w:szCs w:val="24"/>
        </w:rPr>
      </w:pPr>
      <w:r w:rsidRPr="00BE5239">
        <w:rPr>
          <w:sz w:val="24"/>
          <w:szCs w:val="24"/>
        </w:rPr>
        <w:t>11. januar 1988 (</w:t>
      </w:r>
      <w:proofErr w:type="spellStart"/>
      <w:r w:rsidRPr="00BE5239">
        <w:rPr>
          <w:sz w:val="24"/>
          <w:szCs w:val="24"/>
        </w:rPr>
        <w:t>Salofalk</w:t>
      </w:r>
      <w:proofErr w:type="spellEnd"/>
      <w:r w:rsidRPr="00BE5239">
        <w:rPr>
          <w:sz w:val="24"/>
          <w:szCs w:val="24"/>
        </w:rPr>
        <w:t xml:space="preserve"> </w:t>
      </w:r>
      <w:proofErr w:type="spellStart"/>
      <w:r w:rsidRPr="00BE5239">
        <w:rPr>
          <w:sz w:val="24"/>
          <w:szCs w:val="24"/>
        </w:rPr>
        <w:t>enterotabletter</w:t>
      </w:r>
      <w:proofErr w:type="spellEnd"/>
      <w:r w:rsidRPr="00BE5239">
        <w:rPr>
          <w:sz w:val="24"/>
          <w:szCs w:val="24"/>
        </w:rPr>
        <w:t xml:space="preserve"> 250 mg, nu </w:t>
      </w:r>
      <w:proofErr w:type="spellStart"/>
      <w:r w:rsidRPr="00BE5239">
        <w:rPr>
          <w:sz w:val="24"/>
          <w:szCs w:val="24"/>
        </w:rPr>
        <w:t>afregistreret</w:t>
      </w:r>
      <w:proofErr w:type="spellEnd"/>
      <w:r w:rsidRPr="00BE5239">
        <w:rPr>
          <w:sz w:val="24"/>
          <w:szCs w:val="24"/>
        </w:rPr>
        <w:t>).</w:t>
      </w:r>
    </w:p>
    <w:p w14:paraId="5088C04B" w14:textId="77777777" w:rsidR="009260DE" w:rsidRPr="00BE5239" w:rsidRDefault="009260DE" w:rsidP="009260DE">
      <w:pPr>
        <w:tabs>
          <w:tab w:val="left" w:pos="851"/>
        </w:tabs>
        <w:ind w:left="851"/>
        <w:rPr>
          <w:sz w:val="24"/>
          <w:szCs w:val="24"/>
        </w:rPr>
      </w:pPr>
    </w:p>
    <w:p w14:paraId="2945D01F" w14:textId="77777777" w:rsidR="009260DE" w:rsidRPr="00BE5239" w:rsidRDefault="009260DE" w:rsidP="009260DE">
      <w:pPr>
        <w:tabs>
          <w:tab w:val="left" w:pos="851"/>
        </w:tabs>
        <w:ind w:left="851" w:hanging="851"/>
        <w:rPr>
          <w:b/>
          <w:sz w:val="24"/>
          <w:szCs w:val="24"/>
        </w:rPr>
      </w:pPr>
      <w:r w:rsidRPr="00BE5239">
        <w:rPr>
          <w:b/>
          <w:sz w:val="24"/>
          <w:szCs w:val="24"/>
        </w:rPr>
        <w:t>10.</w:t>
      </w:r>
      <w:r w:rsidRPr="00BE5239">
        <w:rPr>
          <w:b/>
          <w:sz w:val="24"/>
          <w:szCs w:val="24"/>
        </w:rPr>
        <w:tab/>
        <w:t>DATO FOR ÆNDRING AF TEKSTEN</w:t>
      </w:r>
    </w:p>
    <w:p w14:paraId="764DF253" w14:textId="53FDBB43" w:rsidR="009260DE" w:rsidRPr="00BE5239" w:rsidRDefault="00ED210E" w:rsidP="009260DE">
      <w:pPr>
        <w:tabs>
          <w:tab w:val="left" w:pos="851"/>
        </w:tabs>
        <w:ind w:left="851"/>
        <w:rPr>
          <w:sz w:val="24"/>
          <w:szCs w:val="24"/>
        </w:rPr>
      </w:pPr>
      <w:r>
        <w:rPr>
          <w:sz w:val="24"/>
          <w:szCs w:val="24"/>
        </w:rPr>
        <w:t>4. marts 2025</w:t>
      </w:r>
    </w:p>
    <w:sectPr w:rsidR="009260DE" w:rsidRPr="00BE523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DA8F3" w14:textId="77777777" w:rsidR="00395720" w:rsidRDefault="00395720">
      <w:r>
        <w:separator/>
      </w:r>
    </w:p>
  </w:endnote>
  <w:endnote w:type="continuationSeparator" w:id="0">
    <w:p w14:paraId="2EF5599F" w14:textId="77777777" w:rsidR="00395720" w:rsidRDefault="0039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941F" w14:textId="77777777" w:rsidR="000259B9" w:rsidRDefault="000259B9">
    <w:pPr>
      <w:pStyle w:val="Sidefod"/>
      <w:pBdr>
        <w:bottom w:val="single" w:sz="6" w:space="1" w:color="auto"/>
      </w:pBdr>
    </w:pPr>
  </w:p>
  <w:p w14:paraId="51585A2E" w14:textId="77777777" w:rsidR="000259B9" w:rsidRDefault="000259B9" w:rsidP="00C42586">
    <w:pPr>
      <w:pStyle w:val="Sidefod"/>
      <w:tabs>
        <w:tab w:val="clear" w:pos="4819"/>
        <w:tab w:val="left" w:pos="8505"/>
      </w:tabs>
      <w:rPr>
        <w:i/>
        <w:sz w:val="18"/>
        <w:szCs w:val="18"/>
      </w:rPr>
    </w:pPr>
  </w:p>
  <w:p w14:paraId="45886649" w14:textId="78F2EE8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E0960">
      <w:rPr>
        <w:i/>
        <w:noProof/>
        <w:sz w:val="18"/>
        <w:szCs w:val="18"/>
      </w:rPr>
      <w:t>Salofalk, enterotabletter 1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61E5" w14:textId="77777777" w:rsidR="00395720" w:rsidRDefault="00395720">
      <w:r>
        <w:separator/>
      </w:r>
    </w:p>
  </w:footnote>
  <w:footnote w:type="continuationSeparator" w:id="0">
    <w:p w14:paraId="38AD3215" w14:textId="77777777" w:rsidR="00395720" w:rsidRDefault="00395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293B71"/>
    <w:multiLevelType w:val="hybridMultilevel"/>
    <w:tmpl w:val="5DB2CC2C"/>
    <w:lvl w:ilvl="0" w:tplc="5BAC3BC0">
      <w:start w:val="1"/>
      <w:numFmt w:val="bullet"/>
      <w:lvlText w:val=""/>
      <w:lvlJc w:val="left"/>
      <w:pPr>
        <w:ind w:left="720" w:hanging="360"/>
      </w:pPr>
      <w:rPr>
        <w:rFonts w:ascii="Symbol" w:hAnsi="Symbol" w:hint="default"/>
      </w:rPr>
    </w:lvl>
    <w:lvl w:ilvl="1" w:tplc="5BAC3BC0">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E02C67"/>
    <w:multiLevelType w:val="hybridMultilevel"/>
    <w:tmpl w:val="FEDA83E8"/>
    <w:lvl w:ilvl="0" w:tplc="5BAC3BC0">
      <w:start w:val="1"/>
      <w:numFmt w:val="bullet"/>
      <w:lvlText w:val=""/>
      <w:lvlJc w:val="left"/>
      <w:pPr>
        <w:ind w:left="720" w:hanging="360"/>
      </w:pPr>
      <w:rPr>
        <w:rFonts w:ascii="Symbol" w:hAnsi="Symbol" w:hint="default"/>
      </w:rPr>
    </w:lvl>
    <w:lvl w:ilvl="1" w:tplc="D572F9DC">
      <w:numFmt w:val="bullet"/>
      <w:lvlText w:val="-"/>
      <w:lvlJc w:val="left"/>
      <w:pPr>
        <w:ind w:left="1440" w:hanging="360"/>
      </w:pPr>
      <w:rPr>
        <w:rFonts w:ascii="Arial" w:eastAsia="Times New Roman" w:hAnsi="Arial"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69412522"/>
    <w:multiLevelType w:val="hybridMultilevel"/>
    <w:tmpl w:val="84BA6E06"/>
    <w:lvl w:ilvl="0" w:tplc="D572F9DC">
      <w:numFmt w:val="bullet"/>
      <w:lvlText w:val="-"/>
      <w:lvlJc w:val="left"/>
      <w:pPr>
        <w:ind w:left="1571" w:hanging="360"/>
      </w:pPr>
      <w:rPr>
        <w:rFonts w:ascii="Arial" w:eastAsia="Times New Roman" w:hAnsi="Arial"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8344634"/>
    <w:multiLevelType w:val="hybridMultilevel"/>
    <w:tmpl w:val="EA30B134"/>
    <w:lvl w:ilvl="0" w:tplc="D572F9DC">
      <w:numFmt w:val="bullet"/>
      <w:lvlText w:val="-"/>
      <w:lvlJc w:val="left"/>
      <w:pPr>
        <w:ind w:left="1571" w:hanging="360"/>
      </w:pPr>
      <w:rPr>
        <w:rFonts w:ascii="Arial" w:eastAsia="Times New Roman" w:hAnsi="Arial"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6"/>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720"/>
    <w:rsid w:val="000259B9"/>
    <w:rsid w:val="00041491"/>
    <w:rsid w:val="00050D16"/>
    <w:rsid w:val="000730CA"/>
    <w:rsid w:val="000735E3"/>
    <w:rsid w:val="00074F2A"/>
    <w:rsid w:val="000A1CA8"/>
    <w:rsid w:val="000A466B"/>
    <w:rsid w:val="000B058C"/>
    <w:rsid w:val="000D68B0"/>
    <w:rsid w:val="000E4EE6"/>
    <w:rsid w:val="001454E2"/>
    <w:rsid w:val="001B7C08"/>
    <w:rsid w:val="00206CE8"/>
    <w:rsid w:val="0021526C"/>
    <w:rsid w:val="00253383"/>
    <w:rsid w:val="00283A2B"/>
    <w:rsid w:val="002B30AD"/>
    <w:rsid w:val="002C1EC0"/>
    <w:rsid w:val="002C2C01"/>
    <w:rsid w:val="003100E2"/>
    <w:rsid w:val="003515B1"/>
    <w:rsid w:val="00395720"/>
    <w:rsid w:val="003A29AE"/>
    <w:rsid w:val="003A32D7"/>
    <w:rsid w:val="003B4074"/>
    <w:rsid w:val="003C769A"/>
    <w:rsid w:val="003D3A90"/>
    <w:rsid w:val="003F1838"/>
    <w:rsid w:val="004251C1"/>
    <w:rsid w:val="0045746C"/>
    <w:rsid w:val="0049104B"/>
    <w:rsid w:val="004E3B12"/>
    <w:rsid w:val="00532310"/>
    <w:rsid w:val="0055596B"/>
    <w:rsid w:val="00565F0F"/>
    <w:rsid w:val="00594A86"/>
    <w:rsid w:val="00596D86"/>
    <w:rsid w:val="005D2438"/>
    <w:rsid w:val="00637F5A"/>
    <w:rsid w:val="00641C65"/>
    <w:rsid w:val="006560B1"/>
    <w:rsid w:val="006756DD"/>
    <w:rsid w:val="006D1135"/>
    <w:rsid w:val="00703059"/>
    <w:rsid w:val="0071241E"/>
    <w:rsid w:val="00737275"/>
    <w:rsid w:val="00740EEC"/>
    <w:rsid w:val="0078011A"/>
    <w:rsid w:val="00782AF4"/>
    <w:rsid w:val="00790EE7"/>
    <w:rsid w:val="007B6649"/>
    <w:rsid w:val="0082576E"/>
    <w:rsid w:val="008342C0"/>
    <w:rsid w:val="008518DF"/>
    <w:rsid w:val="0089346F"/>
    <w:rsid w:val="00907F75"/>
    <w:rsid w:val="009260DE"/>
    <w:rsid w:val="0093258A"/>
    <w:rsid w:val="009C7BA3"/>
    <w:rsid w:val="009D1F5A"/>
    <w:rsid w:val="00A10294"/>
    <w:rsid w:val="00B003BF"/>
    <w:rsid w:val="00B31896"/>
    <w:rsid w:val="00B373D7"/>
    <w:rsid w:val="00B55271"/>
    <w:rsid w:val="00BD7931"/>
    <w:rsid w:val="00BE0960"/>
    <w:rsid w:val="00BE5239"/>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F444C"/>
    <w:rsid w:val="00E108AA"/>
    <w:rsid w:val="00E3749A"/>
    <w:rsid w:val="00E7437F"/>
    <w:rsid w:val="00E865B8"/>
    <w:rsid w:val="00EC0B9B"/>
    <w:rsid w:val="00ED210E"/>
    <w:rsid w:val="00ED5E9F"/>
    <w:rsid w:val="00F66D4F"/>
    <w:rsid w:val="00F8721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DAB42"/>
  <w15:chartTrackingRefBased/>
  <w15:docId w15:val="{F86FF4B1-3773-40D6-A421-DD5FA743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knZulassung02">
    <w:name w:val="knZulassung02"/>
    <w:basedOn w:val="Normal"/>
    <w:rsid w:val="006D1135"/>
    <w:pPr>
      <w:widowControl w:val="0"/>
      <w:autoSpaceDE w:val="0"/>
      <w:autoSpaceDN w:val="0"/>
      <w:ind w:left="1843" w:right="284"/>
    </w:pPr>
    <w:rPr>
      <w:rFonts w:ascii="Courier" w:hAnsi="Courier" w:cs="Courier"/>
      <w:sz w:val="24"/>
      <w:szCs w:val="24"/>
      <w:lang w:eastAsia="en-GB"/>
    </w:rPr>
  </w:style>
  <w:style w:type="paragraph" w:styleId="Bloktekst">
    <w:name w:val="Block Text"/>
    <w:basedOn w:val="Normal"/>
    <w:uiPriority w:val="99"/>
    <w:semiHidden/>
    <w:unhideWhenUsed/>
    <w:rsid w:val="006D1135"/>
    <w:pPr>
      <w:tabs>
        <w:tab w:val="left" w:pos="-720"/>
        <w:tab w:val="left" w:pos="567"/>
        <w:tab w:val="left" w:pos="3261"/>
      </w:tabs>
      <w:autoSpaceDE w:val="0"/>
      <w:autoSpaceDN w:val="0"/>
      <w:ind w:left="567" w:right="237" w:hanging="567"/>
      <w:jc w:val="both"/>
    </w:pPr>
    <w:rPr>
      <w:rFonts w:ascii="Arial" w:hAnsi="Arial" w:cs="Arial"/>
      <w:sz w:val="22"/>
      <w:szCs w:val="22"/>
      <w:lang w:eastAsia="en-GB"/>
    </w:rPr>
  </w:style>
  <w:style w:type="paragraph" w:customStyle="1" w:styleId="knZulassung01">
    <w:name w:val="knZulassung01"/>
    <w:basedOn w:val="Normal"/>
    <w:uiPriority w:val="99"/>
    <w:rsid w:val="006D1135"/>
    <w:pPr>
      <w:widowControl w:val="0"/>
      <w:tabs>
        <w:tab w:val="left" w:pos="567"/>
      </w:tabs>
      <w:autoSpaceDE w:val="0"/>
      <w:autoSpaceDN w:val="0"/>
      <w:ind w:left="1843" w:right="284" w:hanging="1843"/>
    </w:pPr>
    <w:rPr>
      <w:rFonts w:ascii="Courier" w:hAnsi="Courier" w:cs="Courier"/>
      <w:sz w:val="24"/>
      <w:szCs w:val="24"/>
      <w:lang w:eastAsia="en-GB"/>
    </w:rPr>
  </w:style>
  <w:style w:type="paragraph" w:styleId="Listeafsnit">
    <w:name w:val="List Paragraph"/>
    <w:basedOn w:val="Normal"/>
    <w:uiPriority w:val="99"/>
    <w:qFormat/>
    <w:rsid w:val="006D1135"/>
    <w:pPr>
      <w:autoSpaceDE w:val="0"/>
      <w:autoSpaceDN w:val="0"/>
      <w:ind w:left="720"/>
      <w:contextualSpacing/>
    </w:pPr>
    <w:rPr>
      <w:rFonts w:ascii="Courier" w:hAnsi="Courier" w:cs="Courier"/>
      <w:sz w:val="20"/>
      <w:lang w:eastAsia="en-GB"/>
    </w:rPr>
  </w:style>
  <w:style w:type="paragraph" w:styleId="Normalindrykning">
    <w:name w:val="Normal Indent"/>
    <w:basedOn w:val="Normal"/>
    <w:uiPriority w:val="99"/>
    <w:semiHidden/>
    <w:unhideWhenUsed/>
    <w:rsid w:val="006D1135"/>
    <w:pPr>
      <w:spacing w:after="120"/>
      <w:ind w:left="720"/>
    </w:pPr>
    <w:rPr>
      <w:sz w:val="22"/>
      <w:szCs w:val="22"/>
      <w:lang w:eastAsia="en-GB"/>
    </w:rPr>
  </w:style>
  <w:style w:type="character" w:styleId="Hyperlink">
    <w:name w:val="Hyperlink"/>
    <w:basedOn w:val="Standardskrifttypeiafsnit"/>
    <w:uiPriority w:val="99"/>
    <w:semiHidden/>
    <w:unhideWhenUsed/>
    <w:rsid w:val="006D1135"/>
    <w:rPr>
      <w:rFonts w:ascii="Times New Roman" w:hAnsi="Times New Roman" w:cs="Times New Roman" w:hint="default"/>
      <w:color w:val="0000FF"/>
      <w:u w:val="single"/>
    </w:rPr>
  </w:style>
  <w:style w:type="paragraph" w:customStyle="1" w:styleId="Default">
    <w:name w:val="Default"/>
    <w:rsid w:val="006D1135"/>
    <w:pPr>
      <w:autoSpaceDE w:val="0"/>
      <w:autoSpaceDN w:val="0"/>
      <w:adjustRightInd w:val="0"/>
    </w:pPr>
    <w:rPr>
      <w:rFonts w:ascii="Verdana" w:hAnsi="Verdana" w:cs="Verdana"/>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718859">
      <w:bodyDiv w:val="1"/>
      <w:marLeft w:val="0"/>
      <w:marRight w:val="0"/>
      <w:marTop w:val="0"/>
      <w:marBottom w:val="0"/>
      <w:divBdr>
        <w:top w:val="none" w:sz="0" w:space="0" w:color="auto"/>
        <w:left w:val="none" w:sz="0" w:space="0" w:color="auto"/>
        <w:bottom w:val="none" w:sz="0" w:space="0" w:color="auto"/>
        <w:right w:val="none" w:sz="0" w:space="0" w:color="auto"/>
      </w:divBdr>
    </w:div>
    <w:div w:id="243536879">
      <w:bodyDiv w:val="1"/>
      <w:marLeft w:val="0"/>
      <w:marRight w:val="0"/>
      <w:marTop w:val="0"/>
      <w:marBottom w:val="0"/>
      <w:divBdr>
        <w:top w:val="none" w:sz="0" w:space="0" w:color="auto"/>
        <w:left w:val="none" w:sz="0" w:space="0" w:color="auto"/>
        <w:bottom w:val="none" w:sz="0" w:space="0" w:color="auto"/>
        <w:right w:val="none" w:sz="0" w:space="0" w:color="auto"/>
      </w:divBdr>
    </w:div>
    <w:div w:id="290746578">
      <w:bodyDiv w:val="1"/>
      <w:marLeft w:val="0"/>
      <w:marRight w:val="0"/>
      <w:marTop w:val="0"/>
      <w:marBottom w:val="0"/>
      <w:divBdr>
        <w:top w:val="none" w:sz="0" w:space="0" w:color="auto"/>
        <w:left w:val="none" w:sz="0" w:space="0" w:color="auto"/>
        <w:bottom w:val="none" w:sz="0" w:space="0" w:color="auto"/>
        <w:right w:val="none" w:sz="0" w:space="0" w:color="auto"/>
      </w:divBdr>
    </w:div>
    <w:div w:id="382295212">
      <w:bodyDiv w:val="1"/>
      <w:marLeft w:val="0"/>
      <w:marRight w:val="0"/>
      <w:marTop w:val="0"/>
      <w:marBottom w:val="0"/>
      <w:divBdr>
        <w:top w:val="none" w:sz="0" w:space="0" w:color="auto"/>
        <w:left w:val="none" w:sz="0" w:space="0" w:color="auto"/>
        <w:bottom w:val="none" w:sz="0" w:space="0" w:color="auto"/>
        <w:right w:val="none" w:sz="0" w:space="0" w:color="auto"/>
      </w:divBdr>
    </w:div>
    <w:div w:id="529032580">
      <w:bodyDiv w:val="1"/>
      <w:marLeft w:val="0"/>
      <w:marRight w:val="0"/>
      <w:marTop w:val="0"/>
      <w:marBottom w:val="0"/>
      <w:divBdr>
        <w:top w:val="none" w:sz="0" w:space="0" w:color="auto"/>
        <w:left w:val="none" w:sz="0" w:space="0" w:color="auto"/>
        <w:bottom w:val="none" w:sz="0" w:space="0" w:color="auto"/>
        <w:right w:val="none" w:sz="0" w:space="0" w:color="auto"/>
      </w:divBdr>
    </w:div>
    <w:div w:id="886769062">
      <w:bodyDiv w:val="1"/>
      <w:marLeft w:val="0"/>
      <w:marRight w:val="0"/>
      <w:marTop w:val="0"/>
      <w:marBottom w:val="0"/>
      <w:divBdr>
        <w:top w:val="none" w:sz="0" w:space="0" w:color="auto"/>
        <w:left w:val="none" w:sz="0" w:space="0" w:color="auto"/>
        <w:bottom w:val="none" w:sz="0" w:space="0" w:color="auto"/>
        <w:right w:val="none" w:sz="0" w:space="0" w:color="auto"/>
      </w:divBdr>
    </w:div>
    <w:div w:id="1073232741">
      <w:bodyDiv w:val="1"/>
      <w:marLeft w:val="0"/>
      <w:marRight w:val="0"/>
      <w:marTop w:val="0"/>
      <w:marBottom w:val="0"/>
      <w:divBdr>
        <w:top w:val="none" w:sz="0" w:space="0" w:color="auto"/>
        <w:left w:val="none" w:sz="0" w:space="0" w:color="auto"/>
        <w:bottom w:val="none" w:sz="0" w:space="0" w:color="auto"/>
        <w:right w:val="none" w:sz="0" w:space="0" w:color="auto"/>
      </w:divBdr>
    </w:div>
    <w:div w:id="1256132293">
      <w:bodyDiv w:val="1"/>
      <w:marLeft w:val="0"/>
      <w:marRight w:val="0"/>
      <w:marTop w:val="0"/>
      <w:marBottom w:val="0"/>
      <w:divBdr>
        <w:top w:val="none" w:sz="0" w:space="0" w:color="auto"/>
        <w:left w:val="none" w:sz="0" w:space="0" w:color="auto"/>
        <w:bottom w:val="none" w:sz="0" w:space="0" w:color="auto"/>
        <w:right w:val="none" w:sz="0" w:space="0" w:color="auto"/>
      </w:divBdr>
    </w:div>
    <w:div w:id="1394161874">
      <w:bodyDiv w:val="1"/>
      <w:marLeft w:val="0"/>
      <w:marRight w:val="0"/>
      <w:marTop w:val="0"/>
      <w:marBottom w:val="0"/>
      <w:divBdr>
        <w:top w:val="none" w:sz="0" w:space="0" w:color="auto"/>
        <w:left w:val="none" w:sz="0" w:space="0" w:color="auto"/>
        <w:bottom w:val="none" w:sz="0" w:space="0" w:color="auto"/>
        <w:right w:val="none" w:sz="0" w:space="0" w:color="auto"/>
      </w:divBdr>
    </w:div>
    <w:div w:id="1521317428">
      <w:bodyDiv w:val="1"/>
      <w:marLeft w:val="0"/>
      <w:marRight w:val="0"/>
      <w:marTop w:val="0"/>
      <w:marBottom w:val="0"/>
      <w:divBdr>
        <w:top w:val="none" w:sz="0" w:space="0" w:color="auto"/>
        <w:left w:val="none" w:sz="0" w:space="0" w:color="auto"/>
        <w:bottom w:val="none" w:sz="0" w:space="0" w:color="auto"/>
        <w:right w:val="none" w:sz="0" w:space="0" w:color="auto"/>
      </w:divBdr>
    </w:div>
    <w:div w:id="1532842340">
      <w:bodyDiv w:val="1"/>
      <w:marLeft w:val="0"/>
      <w:marRight w:val="0"/>
      <w:marTop w:val="0"/>
      <w:marBottom w:val="0"/>
      <w:divBdr>
        <w:top w:val="none" w:sz="0" w:space="0" w:color="auto"/>
        <w:left w:val="none" w:sz="0" w:space="0" w:color="auto"/>
        <w:bottom w:val="none" w:sz="0" w:space="0" w:color="auto"/>
        <w:right w:val="none" w:sz="0" w:space="0" w:color="auto"/>
      </w:divBdr>
    </w:div>
    <w:div w:id="1546209619">
      <w:bodyDiv w:val="1"/>
      <w:marLeft w:val="0"/>
      <w:marRight w:val="0"/>
      <w:marTop w:val="0"/>
      <w:marBottom w:val="0"/>
      <w:divBdr>
        <w:top w:val="none" w:sz="0" w:space="0" w:color="auto"/>
        <w:left w:val="none" w:sz="0" w:space="0" w:color="auto"/>
        <w:bottom w:val="none" w:sz="0" w:space="0" w:color="auto"/>
        <w:right w:val="none" w:sz="0" w:space="0" w:color="auto"/>
      </w:divBdr>
    </w:div>
    <w:div w:id="1562978914">
      <w:bodyDiv w:val="1"/>
      <w:marLeft w:val="0"/>
      <w:marRight w:val="0"/>
      <w:marTop w:val="0"/>
      <w:marBottom w:val="0"/>
      <w:divBdr>
        <w:top w:val="none" w:sz="0" w:space="0" w:color="auto"/>
        <w:left w:val="none" w:sz="0" w:space="0" w:color="auto"/>
        <w:bottom w:val="none" w:sz="0" w:space="0" w:color="auto"/>
        <w:right w:val="none" w:sz="0" w:space="0" w:color="auto"/>
      </w:divBdr>
    </w:div>
    <w:div w:id="1611089701">
      <w:bodyDiv w:val="1"/>
      <w:marLeft w:val="0"/>
      <w:marRight w:val="0"/>
      <w:marTop w:val="0"/>
      <w:marBottom w:val="0"/>
      <w:divBdr>
        <w:top w:val="none" w:sz="0" w:space="0" w:color="auto"/>
        <w:left w:val="none" w:sz="0" w:space="0" w:color="auto"/>
        <w:bottom w:val="none" w:sz="0" w:space="0" w:color="auto"/>
        <w:right w:val="none" w:sz="0" w:space="0" w:color="auto"/>
      </w:divBdr>
    </w:div>
    <w:div w:id="1648587238">
      <w:bodyDiv w:val="1"/>
      <w:marLeft w:val="0"/>
      <w:marRight w:val="0"/>
      <w:marTop w:val="0"/>
      <w:marBottom w:val="0"/>
      <w:divBdr>
        <w:top w:val="none" w:sz="0" w:space="0" w:color="auto"/>
        <w:left w:val="none" w:sz="0" w:space="0" w:color="auto"/>
        <w:bottom w:val="none" w:sz="0" w:space="0" w:color="auto"/>
        <w:right w:val="none" w:sz="0" w:space="0" w:color="auto"/>
      </w:divBdr>
    </w:div>
    <w:div w:id="1801680861">
      <w:bodyDiv w:val="1"/>
      <w:marLeft w:val="0"/>
      <w:marRight w:val="0"/>
      <w:marTop w:val="0"/>
      <w:marBottom w:val="0"/>
      <w:divBdr>
        <w:top w:val="none" w:sz="0" w:space="0" w:color="auto"/>
        <w:left w:val="none" w:sz="0" w:space="0" w:color="auto"/>
        <w:bottom w:val="none" w:sz="0" w:space="0" w:color="auto"/>
        <w:right w:val="none" w:sz="0" w:space="0" w:color="auto"/>
      </w:divBdr>
    </w:div>
    <w:div w:id="1839615533">
      <w:bodyDiv w:val="1"/>
      <w:marLeft w:val="0"/>
      <w:marRight w:val="0"/>
      <w:marTop w:val="0"/>
      <w:marBottom w:val="0"/>
      <w:divBdr>
        <w:top w:val="none" w:sz="0" w:space="0" w:color="auto"/>
        <w:left w:val="none" w:sz="0" w:space="0" w:color="auto"/>
        <w:bottom w:val="none" w:sz="0" w:space="0" w:color="auto"/>
        <w:right w:val="none" w:sz="0" w:space="0" w:color="auto"/>
      </w:divBdr>
    </w:div>
    <w:div w:id="1928735415">
      <w:bodyDiv w:val="1"/>
      <w:marLeft w:val="0"/>
      <w:marRight w:val="0"/>
      <w:marTop w:val="0"/>
      <w:marBottom w:val="0"/>
      <w:divBdr>
        <w:top w:val="none" w:sz="0" w:space="0" w:color="auto"/>
        <w:left w:val="none" w:sz="0" w:space="0" w:color="auto"/>
        <w:bottom w:val="none" w:sz="0" w:space="0" w:color="auto"/>
        <w:right w:val="none" w:sz="0" w:space="0" w:color="auto"/>
      </w:divBdr>
    </w:div>
    <w:div w:id="2047178051">
      <w:bodyDiv w:val="1"/>
      <w:marLeft w:val="0"/>
      <w:marRight w:val="0"/>
      <w:marTop w:val="0"/>
      <w:marBottom w:val="0"/>
      <w:divBdr>
        <w:top w:val="none" w:sz="0" w:space="0" w:color="auto"/>
        <w:left w:val="none" w:sz="0" w:space="0" w:color="auto"/>
        <w:bottom w:val="none" w:sz="0" w:space="0" w:color="auto"/>
        <w:right w:val="none" w:sz="0" w:space="0" w:color="auto"/>
      </w:divBdr>
    </w:div>
    <w:div w:id="2062442359">
      <w:bodyDiv w:val="1"/>
      <w:marLeft w:val="0"/>
      <w:marRight w:val="0"/>
      <w:marTop w:val="0"/>
      <w:marBottom w:val="0"/>
      <w:divBdr>
        <w:top w:val="none" w:sz="0" w:space="0" w:color="auto"/>
        <w:left w:val="none" w:sz="0" w:space="0" w:color="auto"/>
        <w:bottom w:val="none" w:sz="0" w:space="0" w:color="auto"/>
        <w:right w:val="none" w:sz="0" w:space="0" w:color="auto"/>
      </w:divBdr>
    </w:div>
    <w:div w:id="21174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9</Pages>
  <Words>1794</Words>
  <Characters>12455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2025021562_x000d_
Tilføjelse af repræsentanten Vifor Pharma Nordiska AB</dc:description>
  <cp:lastModifiedBy>Marianne Ott Jensen</cp:lastModifiedBy>
  <cp:revision>4</cp:revision>
  <cp:lastPrinted>2012-08-22T08:53:00Z</cp:lastPrinted>
  <dcterms:created xsi:type="dcterms:W3CDTF">2025-03-04T11:34:00Z</dcterms:created>
  <dcterms:modified xsi:type="dcterms:W3CDTF">2025-03-04T11:35:00Z</dcterms:modified>
</cp:coreProperties>
</file>