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6E9" w:rsidRPr="00C84483" w:rsidRDefault="00A456E9" w:rsidP="00A456E9">
      <w:pPr>
        <w:rPr>
          <w:sz w:val="24"/>
          <w:szCs w:val="24"/>
        </w:rPr>
      </w:pPr>
      <w:bookmarkStart w:id="0" w:name="_GoBack"/>
      <w:bookmarkEnd w:id="0"/>
      <w:r>
        <w:rPr>
          <w:noProof/>
          <w:sz w:val="24"/>
          <w:szCs w:val="24"/>
          <w:lang w:eastAsia="da-DK"/>
        </w:rPr>
        <w:drawing>
          <wp:inline distT="0" distB="0" distL="0" distR="0" wp14:anchorId="47DA667C" wp14:editId="209A8AFA">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A456E9" w:rsidRDefault="00A456E9" w:rsidP="00A456E9">
      <w:pPr>
        <w:pStyle w:val="Titel"/>
        <w:tabs>
          <w:tab w:val="right" w:pos="9356"/>
        </w:tabs>
        <w:jc w:val="left"/>
        <w:rPr>
          <w:b w:val="0"/>
          <w:szCs w:val="24"/>
          <w:lang w:eastAsia="en-US"/>
        </w:rPr>
      </w:pPr>
    </w:p>
    <w:p w:rsidR="00A456E9" w:rsidRPr="00C84483" w:rsidRDefault="00A456E9" w:rsidP="00A456E9">
      <w:pPr>
        <w:pStyle w:val="Titel"/>
        <w:tabs>
          <w:tab w:val="right" w:pos="9356"/>
        </w:tabs>
        <w:jc w:val="left"/>
        <w:rPr>
          <w:b w:val="0"/>
          <w:szCs w:val="24"/>
        </w:rPr>
      </w:pPr>
      <w:r w:rsidRPr="00C84483">
        <w:rPr>
          <w:b w:val="0"/>
          <w:szCs w:val="24"/>
          <w:lang w:eastAsia="en-US"/>
        </w:rPr>
        <w:tab/>
      </w:r>
      <w:r w:rsidR="00DE2D1D">
        <w:rPr>
          <w:szCs w:val="24"/>
          <w:lang w:eastAsia="en-US"/>
        </w:rPr>
        <w:t>13</w:t>
      </w:r>
      <w:r w:rsidR="00A44074">
        <w:rPr>
          <w:szCs w:val="24"/>
          <w:lang w:eastAsia="en-US"/>
        </w:rPr>
        <w:t xml:space="preserve">. </w:t>
      </w:r>
      <w:r w:rsidR="00DE2D1D">
        <w:rPr>
          <w:szCs w:val="24"/>
          <w:lang w:eastAsia="en-US"/>
        </w:rPr>
        <w:t>december</w:t>
      </w:r>
      <w:r w:rsidR="00A44074">
        <w:rPr>
          <w:szCs w:val="24"/>
          <w:lang w:eastAsia="en-US"/>
        </w:rPr>
        <w:t xml:space="preserve"> 202</w:t>
      </w:r>
      <w:r w:rsidR="00DE2D1D">
        <w:rPr>
          <w:szCs w:val="24"/>
          <w:lang w:eastAsia="en-US"/>
        </w:rPr>
        <w:t>3</w:t>
      </w:r>
    </w:p>
    <w:p w:rsidR="00A456E9" w:rsidRPr="00C84483" w:rsidRDefault="00A456E9" w:rsidP="00A456E9">
      <w:pPr>
        <w:pStyle w:val="Titel"/>
        <w:jc w:val="left"/>
        <w:rPr>
          <w:b w:val="0"/>
          <w:szCs w:val="24"/>
        </w:rPr>
      </w:pPr>
    </w:p>
    <w:p w:rsidR="00A456E9" w:rsidRPr="00C84483" w:rsidRDefault="00A456E9" w:rsidP="00A456E9">
      <w:pPr>
        <w:jc w:val="center"/>
        <w:rPr>
          <w:b/>
          <w:sz w:val="24"/>
          <w:szCs w:val="24"/>
        </w:rPr>
      </w:pPr>
      <w:r w:rsidRPr="00C84483">
        <w:rPr>
          <w:b/>
          <w:sz w:val="24"/>
          <w:szCs w:val="24"/>
        </w:rPr>
        <w:t>PRODUKTRESUMÉ</w:t>
      </w:r>
    </w:p>
    <w:p w:rsidR="00A456E9" w:rsidRPr="00C84483" w:rsidRDefault="00A456E9" w:rsidP="00A456E9">
      <w:pPr>
        <w:jc w:val="center"/>
        <w:rPr>
          <w:b/>
          <w:sz w:val="24"/>
          <w:szCs w:val="24"/>
        </w:rPr>
      </w:pPr>
    </w:p>
    <w:p w:rsidR="00A456E9" w:rsidRPr="00C84483" w:rsidRDefault="00A456E9" w:rsidP="00A456E9">
      <w:pPr>
        <w:jc w:val="center"/>
        <w:rPr>
          <w:b/>
          <w:sz w:val="24"/>
          <w:szCs w:val="24"/>
        </w:rPr>
      </w:pPr>
      <w:r w:rsidRPr="00C84483">
        <w:rPr>
          <w:b/>
          <w:sz w:val="24"/>
          <w:szCs w:val="24"/>
        </w:rPr>
        <w:t>for</w:t>
      </w:r>
    </w:p>
    <w:p w:rsidR="00A456E9" w:rsidRPr="00C84483" w:rsidRDefault="00A456E9" w:rsidP="00A456E9">
      <w:pPr>
        <w:tabs>
          <w:tab w:val="left" w:pos="225"/>
        </w:tabs>
        <w:rPr>
          <w:b/>
          <w:sz w:val="24"/>
          <w:szCs w:val="24"/>
        </w:rPr>
      </w:pPr>
      <w:r>
        <w:rPr>
          <w:b/>
          <w:sz w:val="24"/>
          <w:szCs w:val="24"/>
        </w:rPr>
        <w:tab/>
      </w:r>
    </w:p>
    <w:p w:rsidR="00A456E9" w:rsidRPr="00C84483" w:rsidRDefault="00A456E9" w:rsidP="00A456E9">
      <w:pPr>
        <w:jc w:val="center"/>
        <w:rPr>
          <w:b/>
          <w:sz w:val="24"/>
          <w:szCs w:val="24"/>
        </w:rPr>
      </w:pPr>
      <w:proofErr w:type="spellStart"/>
      <w:r>
        <w:rPr>
          <w:b/>
          <w:sz w:val="24"/>
          <w:szCs w:val="24"/>
        </w:rPr>
        <w:t>Sayanaject</w:t>
      </w:r>
      <w:proofErr w:type="spellEnd"/>
      <w:r>
        <w:rPr>
          <w:b/>
          <w:sz w:val="24"/>
          <w:szCs w:val="24"/>
        </w:rPr>
        <w:t>, injektionsvæske, suspension</w:t>
      </w:r>
    </w:p>
    <w:p w:rsidR="00A456E9" w:rsidRPr="00C84483" w:rsidRDefault="00A456E9" w:rsidP="00A456E9">
      <w:pPr>
        <w:jc w:val="both"/>
        <w:rPr>
          <w:sz w:val="24"/>
          <w:szCs w:val="24"/>
        </w:rPr>
      </w:pPr>
    </w:p>
    <w:p w:rsidR="00A456E9" w:rsidRPr="00C3377B" w:rsidRDefault="00A456E9" w:rsidP="00A456E9">
      <w:pPr>
        <w:ind w:left="851" w:hanging="851"/>
        <w:jc w:val="both"/>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0.</w:t>
      </w:r>
      <w:r w:rsidRPr="00C3377B">
        <w:rPr>
          <w:b/>
          <w:sz w:val="24"/>
          <w:szCs w:val="24"/>
        </w:rPr>
        <w:tab/>
        <w:t>D.SP.NR.</w:t>
      </w:r>
    </w:p>
    <w:p w:rsidR="00A456E9" w:rsidRPr="00C3377B" w:rsidRDefault="00A456E9" w:rsidP="00A456E9">
      <w:pPr>
        <w:tabs>
          <w:tab w:val="left" w:pos="851"/>
        </w:tabs>
        <w:ind w:left="851" w:hanging="851"/>
        <w:rPr>
          <w:sz w:val="24"/>
          <w:szCs w:val="24"/>
        </w:rPr>
      </w:pPr>
      <w:r w:rsidRPr="00C3377B">
        <w:rPr>
          <w:sz w:val="24"/>
          <w:szCs w:val="24"/>
        </w:rPr>
        <w:tab/>
        <w:t>28839</w:t>
      </w:r>
    </w:p>
    <w:p w:rsidR="00A456E9" w:rsidRPr="00C3377B"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1.</w:t>
      </w:r>
      <w:r w:rsidRPr="00C3377B">
        <w:rPr>
          <w:b/>
          <w:sz w:val="24"/>
          <w:szCs w:val="24"/>
        </w:rPr>
        <w:tab/>
        <w:t>LÆGEMIDLETS NAVN</w:t>
      </w:r>
    </w:p>
    <w:p w:rsidR="00A456E9" w:rsidRPr="00C3377B" w:rsidRDefault="00A456E9" w:rsidP="00A456E9">
      <w:pPr>
        <w:tabs>
          <w:tab w:val="left" w:pos="851"/>
        </w:tabs>
        <w:ind w:left="851" w:hanging="851"/>
        <w:rPr>
          <w:sz w:val="24"/>
          <w:szCs w:val="24"/>
        </w:rPr>
      </w:pPr>
      <w:r w:rsidRPr="00C3377B">
        <w:rPr>
          <w:sz w:val="24"/>
          <w:szCs w:val="24"/>
        </w:rPr>
        <w:tab/>
      </w:r>
      <w:proofErr w:type="spellStart"/>
      <w:r w:rsidRPr="00C3377B">
        <w:rPr>
          <w:sz w:val="24"/>
          <w:szCs w:val="24"/>
        </w:rPr>
        <w:t>Sayanaject</w:t>
      </w:r>
      <w:proofErr w:type="spellEnd"/>
    </w:p>
    <w:p w:rsidR="00A456E9" w:rsidRPr="00C3377B" w:rsidRDefault="00A456E9" w:rsidP="00A456E9">
      <w:pPr>
        <w:tabs>
          <w:tab w:val="left" w:pos="851"/>
        </w:tabs>
        <w:ind w:left="851" w:hanging="851"/>
        <w:rPr>
          <w:sz w:val="24"/>
          <w:szCs w:val="24"/>
        </w:rPr>
      </w:pPr>
      <w:r w:rsidRPr="00C3377B">
        <w:rPr>
          <w:sz w:val="24"/>
          <w:szCs w:val="24"/>
        </w:rPr>
        <w:tab/>
      </w:r>
    </w:p>
    <w:p w:rsidR="00A456E9" w:rsidRPr="00C3377B" w:rsidRDefault="00A456E9" w:rsidP="00A456E9">
      <w:pPr>
        <w:tabs>
          <w:tab w:val="left" w:pos="851"/>
        </w:tabs>
        <w:ind w:left="851" w:hanging="851"/>
        <w:rPr>
          <w:b/>
          <w:sz w:val="24"/>
          <w:szCs w:val="24"/>
        </w:rPr>
      </w:pPr>
      <w:r w:rsidRPr="00C3377B">
        <w:rPr>
          <w:b/>
          <w:sz w:val="24"/>
          <w:szCs w:val="24"/>
        </w:rPr>
        <w:t>2.</w:t>
      </w:r>
      <w:r w:rsidRPr="00C3377B">
        <w:rPr>
          <w:b/>
          <w:sz w:val="24"/>
          <w:szCs w:val="24"/>
        </w:rPr>
        <w:tab/>
        <w:t>KVALITATIV OG KVANTITATIV SAMMENSÆTNING</w:t>
      </w:r>
    </w:p>
    <w:p w:rsidR="00A456E9" w:rsidRPr="00C3377B" w:rsidRDefault="00A456E9" w:rsidP="00A456E9">
      <w:pPr>
        <w:ind w:left="851" w:hanging="851"/>
        <w:rPr>
          <w:sz w:val="24"/>
          <w:szCs w:val="24"/>
        </w:rPr>
      </w:pPr>
      <w:r w:rsidRPr="00C3377B">
        <w:rPr>
          <w:sz w:val="24"/>
          <w:szCs w:val="24"/>
        </w:rPr>
        <w:tab/>
      </w:r>
      <w:r>
        <w:rPr>
          <w:sz w:val="24"/>
          <w:szCs w:val="24"/>
        </w:rPr>
        <w:t>En</w:t>
      </w:r>
      <w:r w:rsidRPr="00C3377B">
        <w:rPr>
          <w:sz w:val="24"/>
          <w:szCs w:val="24"/>
        </w:rPr>
        <w:t xml:space="preserve"> enkeltdosisbeholder med 104 mg </w:t>
      </w:r>
      <w:proofErr w:type="spellStart"/>
      <w:r w:rsidRPr="00C3377B">
        <w:rPr>
          <w:sz w:val="24"/>
          <w:szCs w:val="24"/>
        </w:rPr>
        <w:t>medroxyprogesteronacetat</w:t>
      </w:r>
      <w:proofErr w:type="spellEnd"/>
      <w:r w:rsidRPr="00C3377B">
        <w:rPr>
          <w:sz w:val="24"/>
          <w:szCs w:val="24"/>
        </w:rPr>
        <w:t xml:space="preserve"> (MPA) i 0,65 ml injektionsvæske, suspension.</w:t>
      </w:r>
    </w:p>
    <w:p w:rsidR="00A456E9" w:rsidRPr="00C3377B" w:rsidRDefault="00A456E9" w:rsidP="00A456E9">
      <w:pPr>
        <w:ind w:left="851"/>
        <w:rPr>
          <w:sz w:val="24"/>
          <w:szCs w:val="24"/>
        </w:rPr>
      </w:pPr>
      <w:r w:rsidRPr="00C3377B">
        <w:rPr>
          <w:sz w:val="24"/>
          <w:szCs w:val="24"/>
        </w:rPr>
        <w:t xml:space="preserve">Hver </w:t>
      </w:r>
      <w:proofErr w:type="spellStart"/>
      <w:r w:rsidRPr="00C3377B">
        <w:rPr>
          <w:sz w:val="24"/>
          <w:szCs w:val="24"/>
        </w:rPr>
        <w:t>forfyldt</w:t>
      </w:r>
      <w:proofErr w:type="spellEnd"/>
      <w:r w:rsidRPr="00C3377B">
        <w:rPr>
          <w:sz w:val="24"/>
          <w:szCs w:val="24"/>
        </w:rPr>
        <w:t xml:space="preserve"> injektor indeholder 104 mg </w:t>
      </w:r>
      <w:proofErr w:type="spellStart"/>
      <w:r w:rsidRPr="00C3377B">
        <w:rPr>
          <w:sz w:val="24"/>
          <w:szCs w:val="24"/>
        </w:rPr>
        <w:t>medroxyprogesteronacetat</w:t>
      </w:r>
      <w:proofErr w:type="spellEnd"/>
      <w:r w:rsidRPr="00C3377B">
        <w:rPr>
          <w:sz w:val="24"/>
          <w:szCs w:val="24"/>
        </w:rPr>
        <w:t xml:space="preserve"> (MPA).</w:t>
      </w:r>
    </w:p>
    <w:p w:rsidR="00A456E9" w:rsidRPr="00C3377B" w:rsidRDefault="00A456E9" w:rsidP="00A456E9">
      <w:pPr>
        <w:ind w:left="851" w:hanging="851"/>
        <w:rPr>
          <w:sz w:val="24"/>
          <w:szCs w:val="24"/>
        </w:rPr>
      </w:pPr>
    </w:p>
    <w:p w:rsidR="00A456E9" w:rsidRPr="00C3377B" w:rsidRDefault="00A456E9" w:rsidP="00A456E9">
      <w:pPr>
        <w:ind w:left="851"/>
        <w:rPr>
          <w:sz w:val="24"/>
          <w:szCs w:val="24"/>
        </w:rPr>
      </w:pPr>
      <w:r w:rsidRPr="00C3377B">
        <w:rPr>
          <w:sz w:val="24"/>
          <w:szCs w:val="24"/>
        </w:rPr>
        <w:t>Hjælpestoffer, som behandleren skal være opmærksom på:</w:t>
      </w:r>
    </w:p>
    <w:p w:rsidR="00A456E9" w:rsidRPr="00C3377B" w:rsidRDefault="00A456E9" w:rsidP="00A456E9">
      <w:pPr>
        <w:ind w:left="851" w:hanging="851"/>
        <w:rPr>
          <w:sz w:val="24"/>
          <w:szCs w:val="24"/>
        </w:rPr>
      </w:pPr>
    </w:p>
    <w:p w:rsidR="00A456E9" w:rsidRPr="00C3377B" w:rsidRDefault="00A456E9" w:rsidP="00A456E9">
      <w:pPr>
        <w:ind w:left="851"/>
        <w:rPr>
          <w:sz w:val="24"/>
          <w:szCs w:val="24"/>
        </w:rPr>
      </w:pPr>
      <w:proofErr w:type="spellStart"/>
      <w:r w:rsidRPr="00C3377B">
        <w:rPr>
          <w:sz w:val="24"/>
          <w:szCs w:val="24"/>
        </w:rPr>
        <w:t>Methylparahydroxybenzoat</w:t>
      </w:r>
      <w:proofErr w:type="spellEnd"/>
      <w:r w:rsidRPr="00C3377B">
        <w:rPr>
          <w:sz w:val="24"/>
          <w:szCs w:val="24"/>
        </w:rPr>
        <w:t xml:space="preserve"> (E218) – 1,04 mg pr. 0,65 ml</w:t>
      </w:r>
    </w:p>
    <w:p w:rsidR="00A456E9" w:rsidRPr="00C3377B" w:rsidRDefault="00A456E9" w:rsidP="00A456E9">
      <w:pPr>
        <w:ind w:left="851"/>
        <w:rPr>
          <w:sz w:val="24"/>
          <w:szCs w:val="24"/>
        </w:rPr>
      </w:pPr>
      <w:proofErr w:type="spellStart"/>
      <w:r w:rsidRPr="00C3377B">
        <w:rPr>
          <w:sz w:val="24"/>
          <w:szCs w:val="24"/>
        </w:rPr>
        <w:t>Propylparahydroxybenzoat</w:t>
      </w:r>
      <w:proofErr w:type="spellEnd"/>
      <w:r w:rsidRPr="00C3377B">
        <w:rPr>
          <w:sz w:val="24"/>
          <w:szCs w:val="24"/>
        </w:rPr>
        <w:t xml:space="preserve"> (E216) – 0,0975 mg pr. 0,65 ml</w:t>
      </w:r>
    </w:p>
    <w:p w:rsidR="00A456E9" w:rsidRPr="00C3377B" w:rsidRDefault="00A456E9" w:rsidP="00A456E9">
      <w:pPr>
        <w:ind w:left="851"/>
        <w:rPr>
          <w:sz w:val="24"/>
          <w:szCs w:val="24"/>
        </w:rPr>
      </w:pPr>
      <w:r w:rsidRPr="00C3377B">
        <w:rPr>
          <w:sz w:val="24"/>
          <w:szCs w:val="24"/>
        </w:rPr>
        <w:t>Natrium – 2,47 mg pr. 0,65 ml</w:t>
      </w:r>
    </w:p>
    <w:p w:rsidR="00A456E9" w:rsidRPr="00C3377B" w:rsidRDefault="00A456E9" w:rsidP="00A456E9">
      <w:pPr>
        <w:ind w:left="851" w:hanging="851"/>
        <w:rPr>
          <w:sz w:val="24"/>
          <w:szCs w:val="24"/>
        </w:rPr>
      </w:pPr>
    </w:p>
    <w:p w:rsidR="00A456E9" w:rsidRPr="00C3377B" w:rsidRDefault="00A456E9" w:rsidP="00A456E9">
      <w:pPr>
        <w:ind w:left="851"/>
        <w:rPr>
          <w:sz w:val="24"/>
          <w:szCs w:val="24"/>
        </w:rPr>
      </w:pPr>
      <w:r w:rsidRPr="00C3377B">
        <w:rPr>
          <w:sz w:val="24"/>
          <w:szCs w:val="24"/>
        </w:rPr>
        <w:t>Alle hjælpestoffer er anført under pkt. 6.1.</w:t>
      </w:r>
    </w:p>
    <w:p w:rsidR="00A456E9" w:rsidRPr="00C3377B"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3.</w:t>
      </w:r>
      <w:r w:rsidRPr="00C3377B">
        <w:rPr>
          <w:b/>
          <w:sz w:val="24"/>
          <w:szCs w:val="24"/>
        </w:rPr>
        <w:tab/>
        <w:t>LÆGEMIDDELFORM</w:t>
      </w:r>
    </w:p>
    <w:p w:rsidR="00A456E9" w:rsidRPr="00C3377B" w:rsidRDefault="00A456E9" w:rsidP="00A456E9">
      <w:pPr>
        <w:ind w:left="851" w:hanging="851"/>
        <w:rPr>
          <w:sz w:val="24"/>
          <w:szCs w:val="24"/>
        </w:rPr>
      </w:pPr>
      <w:r w:rsidRPr="00C3377B">
        <w:rPr>
          <w:sz w:val="24"/>
          <w:szCs w:val="24"/>
        </w:rPr>
        <w:tab/>
        <w:t xml:space="preserve">Injektionsvæske, suspension </w:t>
      </w:r>
    </w:p>
    <w:p w:rsidR="00A456E9" w:rsidRPr="00C3377B" w:rsidRDefault="00A456E9" w:rsidP="00A456E9">
      <w:pPr>
        <w:ind w:left="851" w:hanging="851"/>
        <w:rPr>
          <w:sz w:val="24"/>
          <w:szCs w:val="24"/>
        </w:rPr>
      </w:pPr>
    </w:p>
    <w:p w:rsidR="00A456E9" w:rsidRPr="00C3377B" w:rsidRDefault="00A456E9" w:rsidP="00A456E9">
      <w:pPr>
        <w:ind w:left="851"/>
        <w:rPr>
          <w:sz w:val="24"/>
          <w:szCs w:val="24"/>
        </w:rPr>
      </w:pPr>
      <w:r w:rsidRPr="00C3377B">
        <w:rPr>
          <w:sz w:val="24"/>
          <w:szCs w:val="24"/>
        </w:rPr>
        <w:t xml:space="preserve">Hvid til offwhite homogen suspension </w:t>
      </w:r>
    </w:p>
    <w:p w:rsidR="00A456E9"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4.</w:t>
      </w:r>
      <w:r w:rsidRPr="00C3377B">
        <w:rPr>
          <w:b/>
          <w:sz w:val="24"/>
          <w:szCs w:val="24"/>
        </w:rPr>
        <w:tab/>
        <w:t>KLINISKE OPLYSNINGER</w:t>
      </w:r>
    </w:p>
    <w:p w:rsidR="00A456E9" w:rsidRPr="00C3377B" w:rsidRDefault="00A456E9" w:rsidP="00A456E9">
      <w:pPr>
        <w:tabs>
          <w:tab w:val="left" w:pos="851"/>
        </w:tabs>
        <w:ind w:left="851" w:hanging="851"/>
        <w:rPr>
          <w:b/>
          <w:sz w:val="24"/>
          <w:szCs w:val="24"/>
        </w:rPr>
      </w:pPr>
    </w:p>
    <w:p w:rsidR="00A456E9" w:rsidRPr="00C3377B" w:rsidRDefault="00A456E9" w:rsidP="00A456E9">
      <w:pPr>
        <w:tabs>
          <w:tab w:val="left" w:pos="851"/>
        </w:tabs>
        <w:ind w:left="851" w:hanging="851"/>
        <w:rPr>
          <w:b/>
          <w:sz w:val="24"/>
          <w:szCs w:val="24"/>
          <w:u w:val="single"/>
        </w:rPr>
      </w:pPr>
      <w:r w:rsidRPr="00C3377B">
        <w:rPr>
          <w:b/>
          <w:sz w:val="24"/>
          <w:szCs w:val="24"/>
        </w:rPr>
        <w:t>4.1</w:t>
      </w:r>
      <w:r w:rsidRPr="00C3377B">
        <w:rPr>
          <w:b/>
          <w:sz w:val="24"/>
          <w:szCs w:val="24"/>
        </w:rPr>
        <w:tab/>
        <w:t>Terapeutiske indikationer</w:t>
      </w:r>
    </w:p>
    <w:p w:rsidR="00A456E9" w:rsidRPr="00C3377B" w:rsidRDefault="00A456E9" w:rsidP="00A456E9">
      <w:pPr>
        <w:ind w:left="851" w:hanging="851"/>
        <w:rPr>
          <w:sz w:val="24"/>
          <w:szCs w:val="24"/>
        </w:rPr>
      </w:pPr>
      <w:r w:rsidRPr="00C3377B">
        <w:rPr>
          <w:sz w:val="24"/>
          <w:szCs w:val="24"/>
        </w:rPr>
        <w:tab/>
      </w:r>
      <w:proofErr w:type="spellStart"/>
      <w:r w:rsidRPr="00C3377B">
        <w:rPr>
          <w:sz w:val="24"/>
          <w:szCs w:val="24"/>
        </w:rPr>
        <w:t>Sayanaject</w:t>
      </w:r>
      <w:proofErr w:type="spellEnd"/>
      <w:r w:rsidRPr="00C3377B">
        <w:rPr>
          <w:sz w:val="24"/>
          <w:szCs w:val="24"/>
        </w:rPr>
        <w:t xml:space="preserve"> er indiceret til langtidsvirkende antikonception hos kvinder. Hver subkutan injektion forhindrer ovulation og yder antikonception i mindst 13 uger (+/- 1 uge). Det bør tages med i overvejelserne, at tilbagevendende</w:t>
      </w:r>
      <w:r w:rsidR="007E522B">
        <w:rPr>
          <w:sz w:val="24"/>
          <w:szCs w:val="24"/>
        </w:rPr>
        <w:t xml:space="preserve"> </w:t>
      </w:r>
      <w:r w:rsidRPr="00C3377B">
        <w:rPr>
          <w:sz w:val="24"/>
          <w:szCs w:val="24"/>
        </w:rPr>
        <w:t xml:space="preserve">fertilitet (ovulation) kan forsinkes med op til et år (se pkt. 4.4). </w:t>
      </w:r>
    </w:p>
    <w:p w:rsidR="00A456E9" w:rsidRPr="00C3377B" w:rsidRDefault="00A456E9" w:rsidP="00A456E9">
      <w:pPr>
        <w:ind w:left="851" w:hanging="851"/>
        <w:rPr>
          <w:sz w:val="24"/>
          <w:szCs w:val="24"/>
        </w:rPr>
      </w:pPr>
    </w:p>
    <w:p w:rsidR="00A456E9" w:rsidRPr="00C3377B" w:rsidRDefault="00A456E9" w:rsidP="00A456E9">
      <w:pPr>
        <w:ind w:left="851"/>
        <w:rPr>
          <w:sz w:val="24"/>
          <w:szCs w:val="24"/>
        </w:rPr>
      </w:pPr>
      <w:r w:rsidRPr="00C3377B">
        <w:rPr>
          <w:sz w:val="24"/>
          <w:szCs w:val="24"/>
        </w:rPr>
        <w:t>T</w:t>
      </w:r>
      <w:r>
        <w:rPr>
          <w:sz w:val="24"/>
          <w:szCs w:val="24"/>
        </w:rPr>
        <w:t>a</w:t>
      </w:r>
      <w:r w:rsidRPr="00C3377B">
        <w:rPr>
          <w:sz w:val="24"/>
          <w:szCs w:val="24"/>
        </w:rPr>
        <w:t xml:space="preserve">b af knogletæthed kan forekomme hos kvinder i alle aldre, som anvender </w:t>
      </w:r>
      <w:proofErr w:type="spellStart"/>
      <w:r w:rsidRPr="00C3377B">
        <w:rPr>
          <w:sz w:val="24"/>
          <w:szCs w:val="24"/>
        </w:rPr>
        <w:t>Sayanaject</w:t>
      </w:r>
      <w:proofErr w:type="spellEnd"/>
      <w:r w:rsidRPr="00C3377B">
        <w:rPr>
          <w:sz w:val="24"/>
          <w:szCs w:val="24"/>
        </w:rPr>
        <w:t xml:space="preserve"> i længere tid (se pkt. 4.4): Inden administration af </w:t>
      </w:r>
      <w:proofErr w:type="spellStart"/>
      <w:r w:rsidRPr="00C3377B">
        <w:rPr>
          <w:sz w:val="24"/>
          <w:szCs w:val="24"/>
        </w:rPr>
        <w:t>Sayanaject</w:t>
      </w:r>
      <w:proofErr w:type="spellEnd"/>
      <w:r w:rsidRPr="00C3377B">
        <w:rPr>
          <w:sz w:val="24"/>
          <w:szCs w:val="24"/>
        </w:rPr>
        <w:t xml:space="preserve"> bør der udføres en </w:t>
      </w:r>
      <w:proofErr w:type="spellStart"/>
      <w:r w:rsidRPr="00C3377B">
        <w:rPr>
          <w:sz w:val="24"/>
          <w:szCs w:val="24"/>
        </w:rPr>
        <w:t>risk</w:t>
      </w:r>
      <w:proofErr w:type="spellEnd"/>
      <w:r w:rsidRPr="00C3377B">
        <w:rPr>
          <w:sz w:val="24"/>
          <w:szCs w:val="24"/>
        </w:rPr>
        <w:t>/benefit-vurdering, hvor der også tages højde for reduktion i knogletætheden, som forekommer under graviditet og/eller amning.</w:t>
      </w:r>
    </w:p>
    <w:p w:rsidR="00A456E9" w:rsidRPr="00C3377B" w:rsidRDefault="00A456E9" w:rsidP="00A456E9">
      <w:pPr>
        <w:ind w:left="851" w:hanging="851"/>
        <w:rPr>
          <w:sz w:val="24"/>
          <w:szCs w:val="24"/>
        </w:rPr>
      </w:pPr>
    </w:p>
    <w:p w:rsidR="00A456E9" w:rsidRPr="00BB79AB" w:rsidRDefault="00A456E9" w:rsidP="00A456E9">
      <w:pPr>
        <w:ind w:left="851"/>
        <w:rPr>
          <w:sz w:val="24"/>
          <w:szCs w:val="24"/>
          <w:u w:val="single"/>
        </w:rPr>
      </w:pPr>
      <w:r w:rsidRPr="00BB79AB">
        <w:rPr>
          <w:sz w:val="24"/>
          <w:szCs w:val="24"/>
          <w:u w:val="single"/>
        </w:rPr>
        <w:t>Brug hos unge (12-18 år)</w:t>
      </w:r>
    </w:p>
    <w:p w:rsidR="00A456E9" w:rsidRPr="00C3377B" w:rsidRDefault="00A456E9" w:rsidP="00A456E9">
      <w:pPr>
        <w:ind w:left="851"/>
        <w:rPr>
          <w:sz w:val="24"/>
          <w:szCs w:val="24"/>
        </w:rPr>
      </w:pPr>
      <w:r w:rsidRPr="00C3377B">
        <w:rPr>
          <w:sz w:val="24"/>
          <w:szCs w:val="24"/>
        </w:rPr>
        <w:t xml:space="preserve">Brug af </w:t>
      </w:r>
      <w:proofErr w:type="spellStart"/>
      <w:r w:rsidRPr="00C3377B">
        <w:rPr>
          <w:sz w:val="24"/>
          <w:szCs w:val="24"/>
        </w:rPr>
        <w:t>Sayanaject</w:t>
      </w:r>
      <w:proofErr w:type="spellEnd"/>
      <w:r w:rsidRPr="00C3377B">
        <w:rPr>
          <w:sz w:val="24"/>
          <w:szCs w:val="24"/>
        </w:rPr>
        <w:t xml:space="preserve"> er kun indiceret hos unge, når andre antikonceptionsmetoder anses for at være uegnede eller uacceptable på grund af de ukendte langtidsvirkninger ved det knogletab, der er forbundet med brugen af </w:t>
      </w:r>
      <w:proofErr w:type="spellStart"/>
      <w:r w:rsidRPr="00C3377B">
        <w:rPr>
          <w:sz w:val="24"/>
          <w:szCs w:val="24"/>
        </w:rPr>
        <w:t>Sayanaject</w:t>
      </w:r>
      <w:proofErr w:type="spellEnd"/>
      <w:r w:rsidRPr="00C3377B">
        <w:rPr>
          <w:sz w:val="24"/>
          <w:szCs w:val="24"/>
        </w:rPr>
        <w:t>, i den kritiske periode for knogleopbygning (se pkt. 4.4).</w:t>
      </w:r>
    </w:p>
    <w:p w:rsidR="00A456E9" w:rsidRPr="00C3377B" w:rsidRDefault="00A456E9" w:rsidP="00A456E9">
      <w:pPr>
        <w:ind w:left="851" w:hanging="851"/>
        <w:rPr>
          <w:sz w:val="24"/>
          <w:szCs w:val="24"/>
        </w:rPr>
      </w:pPr>
    </w:p>
    <w:p w:rsidR="00A456E9" w:rsidRDefault="00A456E9" w:rsidP="00A456E9">
      <w:pPr>
        <w:ind w:left="851"/>
        <w:rPr>
          <w:sz w:val="24"/>
          <w:szCs w:val="24"/>
        </w:rPr>
      </w:pPr>
      <w:proofErr w:type="spellStart"/>
      <w:r w:rsidRPr="00C3377B">
        <w:rPr>
          <w:sz w:val="24"/>
          <w:szCs w:val="24"/>
        </w:rPr>
        <w:t>Sayanaject</w:t>
      </w:r>
      <w:proofErr w:type="spellEnd"/>
      <w:r w:rsidRPr="00C3377B">
        <w:rPr>
          <w:sz w:val="24"/>
          <w:szCs w:val="24"/>
        </w:rPr>
        <w:t xml:space="preserve"> er ikke undersøgt hos kvinder under 18 år, men der foreligger data for intramuskulær</w:t>
      </w:r>
      <w:r w:rsidRPr="00DD2EDC">
        <w:rPr>
          <w:sz w:val="24"/>
          <w:szCs w:val="24"/>
        </w:rPr>
        <w:t xml:space="preserve"> depot-</w:t>
      </w:r>
      <w:proofErr w:type="spellStart"/>
      <w:r w:rsidRPr="00DD2EDC">
        <w:rPr>
          <w:sz w:val="24"/>
          <w:szCs w:val="24"/>
        </w:rPr>
        <w:t>medroxyprogesteronacetat</w:t>
      </w:r>
      <w:proofErr w:type="spellEnd"/>
      <w:r w:rsidRPr="00DD2EDC">
        <w:rPr>
          <w:sz w:val="24"/>
          <w:szCs w:val="24"/>
        </w:rPr>
        <w:t xml:space="preserve"> (D</w:t>
      </w:r>
      <w:r w:rsidRPr="00C3377B">
        <w:rPr>
          <w:sz w:val="24"/>
          <w:szCs w:val="24"/>
        </w:rPr>
        <w:t>MPA</w:t>
      </w:r>
      <w:r>
        <w:rPr>
          <w:sz w:val="24"/>
          <w:szCs w:val="24"/>
        </w:rPr>
        <w:t xml:space="preserve"> </w:t>
      </w:r>
      <w:proofErr w:type="spellStart"/>
      <w:r>
        <w:rPr>
          <w:sz w:val="24"/>
          <w:szCs w:val="24"/>
        </w:rPr>
        <w:t>i.m</w:t>
      </w:r>
      <w:proofErr w:type="spellEnd"/>
      <w:r>
        <w:rPr>
          <w:sz w:val="24"/>
          <w:szCs w:val="24"/>
        </w:rPr>
        <w:t>.) 150 mg</w:t>
      </w:r>
      <w:r w:rsidRPr="00C3377B">
        <w:rPr>
          <w:sz w:val="24"/>
          <w:szCs w:val="24"/>
        </w:rPr>
        <w:t xml:space="preserve"> hos denne population.</w:t>
      </w:r>
    </w:p>
    <w:p w:rsidR="00A456E9" w:rsidRPr="00C3377B" w:rsidRDefault="00A456E9" w:rsidP="00A456E9">
      <w:pPr>
        <w:ind w:left="851" w:hanging="851"/>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4.2</w:t>
      </w:r>
      <w:r w:rsidRPr="00C3377B">
        <w:rPr>
          <w:b/>
          <w:sz w:val="24"/>
          <w:szCs w:val="24"/>
        </w:rPr>
        <w:tab/>
        <w:t xml:space="preserve">Dosering og </w:t>
      </w:r>
      <w:r w:rsidR="00DE2D1D">
        <w:rPr>
          <w:b/>
          <w:sz w:val="24"/>
          <w:szCs w:val="24"/>
        </w:rPr>
        <w:t>administration</w:t>
      </w:r>
    </w:p>
    <w:p w:rsidR="00A456E9" w:rsidRDefault="00A456E9" w:rsidP="00A456E9">
      <w:pPr>
        <w:ind w:left="851" w:hanging="851"/>
        <w:rPr>
          <w:sz w:val="24"/>
          <w:szCs w:val="24"/>
        </w:rPr>
      </w:pPr>
      <w:r w:rsidRPr="00C3377B">
        <w:rPr>
          <w:sz w:val="24"/>
          <w:szCs w:val="24"/>
        </w:rPr>
        <w:tab/>
      </w:r>
      <w:proofErr w:type="spellStart"/>
      <w:r>
        <w:rPr>
          <w:sz w:val="24"/>
          <w:szCs w:val="24"/>
        </w:rPr>
        <w:t>Sayanaject</w:t>
      </w:r>
      <w:proofErr w:type="spellEnd"/>
      <w:r>
        <w:rPr>
          <w:sz w:val="24"/>
          <w:szCs w:val="24"/>
        </w:rPr>
        <w:t xml:space="preserve"> kan administreres af sundhedspersonale, eller når læger og sundhedspersonalet anser det hensigtsmæssigt, injiceres af patienten selv, med lægelig opfølgning i overensstemmelse med lokale, kliniske retningslinjer. </w:t>
      </w:r>
    </w:p>
    <w:p w:rsidR="00A456E9" w:rsidRDefault="00A456E9" w:rsidP="00A456E9">
      <w:pPr>
        <w:ind w:left="851"/>
        <w:rPr>
          <w:sz w:val="24"/>
          <w:szCs w:val="24"/>
        </w:rPr>
      </w:pPr>
    </w:p>
    <w:p w:rsidR="00A456E9" w:rsidRDefault="00A456E9" w:rsidP="00A456E9">
      <w:pPr>
        <w:ind w:left="851"/>
        <w:rPr>
          <w:sz w:val="24"/>
          <w:szCs w:val="24"/>
        </w:rPr>
      </w:pPr>
      <w:r>
        <w:rPr>
          <w:sz w:val="24"/>
          <w:szCs w:val="24"/>
        </w:rPr>
        <w:t xml:space="preserve">Administration af </w:t>
      </w:r>
      <w:proofErr w:type="spellStart"/>
      <w:r>
        <w:rPr>
          <w:sz w:val="24"/>
          <w:szCs w:val="24"/>
        </w:rPr>
        <w:t>Sayanaject</w:t>
      </w:r>
      <w:proofErr w:type="spellEnd"/>
      <w:r>
        <w:rPr>
          <w:sz w:val="24"/>
          <w:szCs w:val="24"/>
        </w:rPr>
        <w:t xml:space="preserve"> skal indledes under tilsyn af en læge eller sundhedspersonale. Efter passende oplæring i injektionsteknik og tidsplan for administration samt med den nødvendige lægelige opfølgning kan patienter selv injicere </w:t>
      </w:r>
      <w:proofErr w:type="spellStart"/>
      <w:r>
        <w:rPr>
          <w:sz w:val="24"/>
          <w:szCs w:val="24"/>
        </w:rPr>
        <w:t>Sayanaject</w:t>
      </w:r>
      <w:proofErr w:type="spellEnd"/>
      <w:r>
        <w:rPr>
          <w:sz w:val="24"/>
          <w:szCs w:val="24"/>
        </w:rPr>
        <w:t>, hvis lægen eller sundhedspersonalet afgør, at det er hensigtsmæssigt.</w:t>
      </w:r>
    </w:p>
    <w:p w:rsidR="00A456E9" w:rsidRDefault="00A456E9" w:rsidP="00A456E9">
      <w:pPr>
        <w:ind w:left="851" w:hanging="851"/>
        <w:rPr>
          <w:color w:val="000000"/>
          <w:sz w:val="24"/>
          <w:szCs w:val="24"/>
        </w:rPr>
      </w:pPr>
    </w:p>
    <w:p w:rsidR="00A456E9" w:rsidRDefault="00A456E9" w:rsidP="00A456E9">
      <w:pPr>
        <w:ind w:left="851"/>
        <w:rPr>
          <w:b/>
          <w:sz w:val="24"/>
          <w:szCs w:val="24"/>
        </w:rPr>
      </w:pPr>
      <w:r>
        <w:rPr>
          <w:color w:val="000000"/>
          <w:sz w:val="24"/>
          <w:szCs w:val="24"/>
        </w:rPr>
        <w:t xml:space="preserve">Enkeltdosisbeholderen med </w:t>
      </w:r>
      <w:proofErr w:type="spellStart"/>
      <w:r>
        <w:rPr>
          <w:color w:val="000000"/>
          <w:sz w:val="24"/>
          <w:szCs w:val="24"/>
        </w:rPr>
        <w:t>Sayanaject</w:t>
      </w:r>
      <w:proofErr w:type="spellEnd"/>
      <w:r>
        <w:rPr>
          <w:color w:val="000000"/>
          <w:sz w:val="24"/>
          <w:szCs w:val="24"/>
        </w:rPr>
        <w:t xml:space="preserve"> skal have stuetemperatur. Den skal rystes grundigt lige før brug for at sikre, at den dosis, der gives, udgør en ensartet suspension. Indholdet er </w:t>
      </w:r>
      <w:r>
        <w:rPr>
          <w:sz w:val="24"/>
          <w:szCs w:val="24"/>
        </w:rPr>
        <w:t>fuldstændigt forseglet i injektorens kammer. Injektoren skal aktiveres før brug. Ved aktiveringen gennembrydes en indre forsegling, så lægemidlet kan komme ud gennem nålen, når kammeret trykkes sammen. Væsken fylder ikke kammeret helt. Der er en lille luftboble oven over væsken. Dosis administreres som en subkutan injektion (</w:t>
      </w:r>
      <w:proofErr w:type="spellStart"/>
      <w:r>
        <w:rPr>
          <w:sz w:val="24"/>
          <w:szCs w:val="24"/>
        </w:rPr>
        <w:t>s.c</w:t>
      </w:r>
      <w:proofErr w:type="spellEnd"/>
      <w:r>
        <w:rPr>
          <w:sz w:val="24"/>
          <w:szCs w:val="24"/>
        </w:rPr>
        <w:t xml:space="preserve">.) foran på låret eller i maven. Når injektionen gives, skal injektoren bruges med nålen nedad. Dette sikrer, at den fulde dosis væske leveres gennem nålen. </w:t>
      </w:r>
      <w:r>
        <w:rPr>
          <w:b/>
          <w:sz w:val="24"/>
          <w:szCs w:val="24"/>
        </w:rPr>
        <w:t xml:space="preserve">Medicinen skal injiceres langsomt i løbet af 5-7 sekunder. </w:t>
      </w:r>
    </w:p>
    <w:p w:rsidR="00A456E9" w:rsidRDefault="00A456E9" w:rsidP="00A456E9">
      <w:pPr>
        <w:ind w:left="851"/>
        <w:rPr>
          <w:b/>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44"/>
        <w:gridCol w:w="3801"/>
      </w:tblGrid>
      <w:tr w:rsidR="00A456E9" w:rsidTr="007E522B">
        <w:trPr>
          <w:cantSplit/>
        </w:trPr>
        <w:tc>
          <w:tcPr>
            <w:tcW w:w="5844" w:type="dxa"/>
            <w:tcBorders>
              <w:top w:val="single" w:sz="4" w:space="0" w:color="auto"/>
              <w:left w:val="single" w:sz="4" w:space="0" w:color="auto"/>
              <w:bottom w:val="nil"/>
              <w:right w:val="single" w:sz="4" w:space="0" w:color="auto"/>
            </w:tcBorders>
          </w:tcPr>
          <w:p w:rsidR="00A456E9" w:rsidRDefault="00A456E9" w:rsidP="007E522B">
            <w:pPr>
              <w:suppressLineNumbers/>
              <w:spacing w:before="120" w:after="120"/>
              <w:rPr>
                <w:rStyle w:val="a"/>
                <w:b/>
              </w:rPr>
            </w:pPr>
            <w:r>
              <w:rPr>
                <w:rStyle w:val="a"/>
                <w:b/>
              </w:rPr>
              <w:t>Blanding af lægemidlet</w:t>
            </w:r>
          </w:p>
          <w:p w:rsidR="00A456E9" w:rsidRDefault="00A456E9" w:rsidP="007E522B">
            <w:pPr>
              <w:suppressLineNumbers/>
              <w:spacing w:before="120" w:after="120"/>
              <w:rPr>
                <w:rStyle w:val="a"/>
                <w:b/>
              </w:rPr>
            </w:pPr>
          </w:p>
          <w:p w:rsidR="00A456E9" w:rsidRDefault="00A456E9" w:rsidP="007E522B">
            <w:pPr>
              <w:numPr>
                <w:ilvl w:val="0"/>
                <w:numId w:val="16"/>
              </w:numPr>
              <w:suppressLineNumbers/>
              <w:spacing w:before="120" w:after="120"/>
              <w:rPr>
                <w:rStyle w:val="a"/>
              </w:rPr>
            </w:pPr>
            <w:r>
              <w:rPr>
                <w:rStyle w:val="a"/>
              </w:rPr>
              <w:t xml:space="preserve">Sørg for at enkeltdosisbeholderen med </w:t>
            </w:r>
            <w:proofErr w:type="spellStart"/>
            <w:r>
              <w:rPr>
                <w:rStyle w:val="a"/>
              </w:rPr>
              <w:t>Sayanaject</w:t>
            </w:r>
            <w:proofErr w:type="spellEnd"/>
            <w:r>
              <w:rPr>
                <w:rStyle w:val="a"/>
              </w:rPr>
              <w:t xml:space="preserve"> har </w:t>
            </w:r>
            <w:r>
              <w:rPr>
                <w:rStyle w:val="a"/>
                <w:b/>
              </w:rPr>
              <w:t>stuetemperatur</w:t>
            </w:r>
            <w:r>
              <w:rPr>
                <w:rStyle w:val="a"/>
              </w:rPr>
              <w:t xml:space="preserve">. </w:t>
            </w:r>
          </w:p>
        </w:tc>
        <w:tc>
          <w:tcPr>
            <w:tcW w:w="3801" w:type="dxa"/>
            <w:tcBorders>
              <w:top w:val="single" w:sz="4" w:space="0" w:color="auto"/>
              <w:left w:val="single" w:sz="4" w:space="0" w:color="auto"/>
              <w:bottom w:val="nil"/>
              <w:right w:val="single" w:sz="4" w:space="0" w:color="auto"/>
            </w:tcBorders>
          </w:tcPr>
          <w:p w:rsidR="00A456E9" w:rsidRDefault="00A456E9" w:rsidP="007E522B">
            <w:pPr>
              <w:pStyle w:val="heading8txt"/>
              <w:suppressLineNumbers/>
              <w:tabs>
                <w:tab w:val="left" w:pos="567"/>
              </w:tabs>
              <w:ind w:left="-51"/>
              <w:jc w:val="center"/>
              <w:rPr>
                <w:b w:val="0"/>
                <w:lang w:val="da-DK"/>
              </w:rPr>
            </w:pPr>
          </w:p>
        </w:tc>
      </w:tr>
      <w:tr w:rsidR="00A456E9" w:rsidTr="007E522B">
        <w:trPr>
          <w:cantSplit/>
        </w:trPr>
        <w:tc>
          <w:tcPr>
            <w:tcW w:w="5844" w:type="dxa"/>
            <w:tcBorders>
              <w:top w:val="nil"/>
              <w:left w:val="single" w:sz="4" w:space="0" w:color="auto"/>
              <w:bottom w:val="nil"/>
              <w:right w:val="single" w:sz="4" w:space="0" w:color="auto"/>
            </w:tcBorders>
          </w:tcPr>
          <w:p w:rsidR="00A456E9" w:rsidRPr="00225018" w:rsidRDefault="00A456E9" w:rsidP="007E522B">
            <w:pPr>
              <w:pStyle w:val="Bullet1"/>
              <w:numPr>
                <w:ilvl w:val="0"/>
                <w:numId w:val="17"/>
              </w:numPr>
              <w:spacing w:before="120"/>
              <w:rPr>
                <w:rStyle w:val="a"/>
                <w:szCs w:val="22"/>
                <w:lang w:val="da-DK"/>
              </w:rPr>
            </w:pPr>
            <w:r>
              <w:rPr>
                <w:rStyle w:val="a"/>
                <w:szCs w:val="22"/>
                <w:lang w:val="da-DK"/>
              </w:rPr>
              <w:t xml:space="preserve">Hold godt fast om injektoren ved studsen. </w:t>
            </w:r>
          </w:p>
          <w:p w:rsidR="00A456E9" w:rsidRDefault="00A456E9" w:rsidP="007E522B">
            <w:pPr>
              <w:pStyle w:val="Bullet1"/>
              <w:numPr>
                <w:ilvl w:val="0"/>
                <w:numId w:val="17"/>
              </w:numPr>
              <w:spacing w:before="120"/>
              <w:rPr>
                <w:rStyle w:val="a"/>
                <w:szCs w:val="22"/>
                <w:lang w:val="da-DK"/>
              </w:rPr>
            </w:pPr>
            <w:r>
              <w:rPr>
                <w:rStyle w:val="a"/>
                <w:szCs w:val="22"/>
                <w:lang w:val="da-DK"/>
              </w:rPr>
              <w:t>Ryst injektoren grundigt i mindst 30 sekunder for at blande lægemidlet.</w:t>
            </w:r>
          </w:p>
          <w:p w:rsidR="00A456E9" w:rsidRDefault="00A456E9" w:rsidP="007E522B">
            <w:pPr>
              <w:pStyle w:val="Bullet1"/>
              <w:numPr>
                <w:ilvl w:val="0"/>
                <w:numId w:val="0"/>
              </w:numPr>
              <w:tabs>
                <w:tab w:val="left" w:pos="1304"/>
              </w:tabs>
              <w:spacing w:before="120"/>
              <w:ind w:left="357"/>
              <w:rPr>
                <w:rStyle w:val="a"/>
                <w:lang w:val="da-DK"/>
              </w:rPr>
            </w:pPr>
          </w:p>
        </w:tc>
        <w:tc>
          <w:tcPr>
            <w:tcW w:w="3801" w:type="dxa"/>
            <w:tcBorders>
              <w:top w:val="nil"/>
              <w:left w:val="single" w:sz="4" w:space="0" w:color="auto"/>
              <w:bottom w:val="nil"/>
              <w:right w:val="single" w:sz="4" w:space="0" w:color="auto"/>
            </w:tcBorders>
            <w:hideMark/>
          </w:tcPr>
          <w:p w:rsidR="00A456E9" w:rsidRDefault="00A456E9" w:rsidP="007E522B">
            <w:pPr>
              <w:pStyle w:val="heading8txt"/>
              <w:suppressLineNumbers/>
              <w:tabs>
                <w:tab w:val="left" w:pos="567"/>
              </w:tabs>
              <w:ind w:left="57"/>
              <w:jc w:val="center"/>
              <w:rPr>
                <w:b w:val="0"/>
                <w:lang w:val="en-GB"/>
              </w:rPr>
            </w:pPr>
            <w:r>
              <w:rPr>
                <w:noProof/>
                <w:lang w:val="da-DK" w:eastAsia="da-DK"/>
              </w:rPr>
              <w:drawing>
                <wp:inline distT="0" distB="0" distL="0" distR="0" wp14:anchorId="63D249D2" wp14:editId="1566F58D">
                  <wp:extent cx="1990725" cy="1571625"/>
                  <wp:effectExtent l="0" t="0" r="0" b="0"/>
                  <wp:docPr id="14" name="Billede 14" descr="Step04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p04a-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1571625"/>
                          </a:xfrm>
                          <a:prstGeom prst="rect">
                            <a:avLst/>
                          </a:prstGeom>
                          <a:noFill/>
                          <a:ln>
                            <a:noFill/>
                          </a:ln>
                        </pic:spPr>
                      </pic:pic>
                    </a:graphicData>
                  </a:graphic>
                </wp:inline>
              </w:drawing>
            </w:r>
          </w:p>
        </w:tc>
      </w:tr>
      <w:tr w:rsidR="00A456E9" w:rsidTr="007E522B">
        <w:trPr>
          <w:cantSplit/>
        </w:trPr>
        <w:tc>
          <w:tcPr>
            <w:tcW w:w="5844" w:type="dxa"/>
            <w:tcBorders>
              <w:top w:val="nil"/>
              <w:left w:val="single" w:sz="4" w:space="0" w:color="auto"/>
              <w:bottom w:val="single" w:sz="4" w:space="0" w:color="auto"/>
              <w:right w:val="single" w:sz="4" w:space="0" w:color="auto"/>
            </w:tcBorders>
            <w:hideMark/>
          </w:tcPr>
          <w:p w:rsidR="00A456E9" w:rsidRDefault="00A456E9" w:rsidP="007E522B">
            <w:pPr>
              <w:pStyle w:val="Bullet1"/>
              <w:numPr>
                <w:ilvl w:val="0"/>
                <w:numId w:val="17"/>
              </w:numPr>
              <w:spacing w:before="120"/>
              <w:rPr>
                <w:rStyle w:val="a"/>
                <w:szCs w:val="22"/>
                <w:lang w:val="da-DK"/>
              </w:rPr>
            </w:pPr>
            <w:r>
              <w:rPr>
                <w:rStyle w:val="a"/>
                <w:lang w:val="da-DK"/>
              </w:rPr>
              <w:lastRenderedPageBreak/>
              <w:t xml:space="preserve">Lægemidlet skal se hvidt og ensartet ud. Hvis det ikke gør det, skal du kassere injektoren og bruge en ny. </w:t>
            </w:r>
          </w:p>
          <w:p w:rsidR="00A456E9" w:rsidRDefault="00A456E9" w:rsidP="007E522B">
            <w:pPr>
              <w:pStyle w:val="Bullet1"/>
              <w:numPr>
                <w:ilvl w:val="0"/>
                <w:numId w:val="17"/>
              </w:numPr>
              <w:spacing w:before="120"/>
              <w:rPr>
                <w:rStyle w:val="a"/>
                <w:szCs w:val="22"/>
                <w:lang w:val="da-DK"/>
              </w:rPr>
            </w:pPr>
            <w:r>
              <w:rPr>
                <w:rStyle w:val="a"/>
                <w:lang w:val="da-DK"/>
              </w:rPr>
              <w:t>Hvis du ser, at der siver væske ud, eller der er et andet problem, skal du kassere injektoren og bruge en ny</w:t>
            </w:r>
            <w:r>
              <w:rPr>
                <w:rStyle w:val="a"/>
                <w:szCs w:val="22"/>
                <w:lang w:val="da-DK"/>
              </w:rPr>
              <w:t xml:space="preserve">. </w:t>
            </w:r>
          </w:p>
          <w:p w:rsidR="00A456E9" w:rsidRDefault="00A456E9" w:rsidP="007E522B">
            <w:pPr>
              <w:pStyle w:val="Bullet1"/>
              <w:numPr>
                <w:ilvl w:val="0"/>
                <w:numId w:val="17"/>
              </w:numPr>
              <w:spacing w:before="120"/>
              <w:rPr>
                <w:rStyle w:val="a"/>
                <w:lang w:val="da-DK"/>
              </w:rPr>
            </w:pPr>
            <w:r>
              <w:rPr>
                <w:rStyle w:val="a"/>
                <w:szCs w:val="22"/>
                <w:lang w:val="da-DK"/>
              </w:rPr>
              <w:t>Hvis du ikke injicerer lægemidlet med det samme, skal du gentage blandingen af lægemidlet.</w:t>
            </w:r>
          </w:p>
        </w:tc>
        <w:tc>
          <w:tcPr>
            <w:tcW w:w="3801" w:type="dxa"/>
            <w:tcBorders>
              <w:top w:val="nil"/>
              <w:left w:val="single" w:sz="4" w:space="0" w:color="auto"/>
              <w:bottom w:val="single" w:sz="4" w:space="0" w:color="auto"/>
              <w:right w:val="single" w:sz="4" w:space="0" w:color="auto"/>
            </w:tcBorders>
            <w:hideMark/>
          </w:tcPr>
          <w:p w:rsidR="00A456E9" w:rsidRDefault="00A456E9" w:rsidP="007E522B">
            <w:pPr>
              <w:pStyle w:val="heading8txt"/>
              <w:suppressLineNumbers/>
              <w:tabs>
                <w:tab w:val="left" w:pos="567"/>
              </w:tabs>
              <w:ind w:left="57"/>
              <w:jc w:val="center"/>
              <w:rPr>
                <w:b w:val="0"/>
                <w:lang w:val="en-GB"/>
              </w:rPr>
            </w:pPr>
            <w:r>
              <w:rPr>
                <w:noProof/>
                <w:lang w:val="da-DK" w:eastAsia="da-DK"/>
              </w:rPr>
              <w:drawing>
                <wp:inline distT="0" distB="0" distL="0" distR="0" wp14:anchorId="29E6EA28" wp14:editId="1AB1C265">
                  <wp:extent cx="1990725" cy="1390650"/>
                  <wp:effectExtent l="0" t="0" r="0" b="0"/>
                  <wp:docPr id="13" name="Billede 13" descr="Step04b-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04b-01"/>
                          <pic:cNvPicPr>
                            <a:picLocks noChangeAspect="1" noChangeArrowheads="1"/>
                          </pic:cNvPicPr>
                        </pic:nvPicPr>
                        <pic:blipFill>
                          <a:blip r:embed="rId9" cstate="print">
                            <a:extLst>
                              <a:ext uri="{28A0092B-C50C-407E-A947-70E740481C1C}">
                                <a14:useLocalDpi xmlns:a14="http://schemas.microsoft.com/office/drawing/2010/main" val="0"/>
                              </a:ext>
                            </a:extLst>
                          </a:blip>
                          <a:srcRect l="3226" t="4878" r="461" b="6097"/>
                          <a:stretch>
                            <a:fillRect/>
                          </a:stretch>
                        </pic:blipFill>
                        <pic:spPr bwMode="auto">
                          <a:xfrm>
                            <a:off x="0" y="0"/>
                            <a:ext cx="1990725" cy="1390650"/>
                          </a:xfrm>
                          <a:prstGeom prst="rect">
                            <a:avLst/>
                          </a:prstGeom>
                          <a:noFill/>
                          <a:ln>
                            <a:noFill/>
                          </a:ln>
                        </pic:spPr>
                      </pic:pic>
                    </a:graphicData>
                  </a:graphic>
                </wp:inline>
              </w:drawing>
            </w:r>
          </w:p>
        </w:tc>
      </w:tr>
      <w:tr w:rsidR="00A456E9" w:rsidTr="007E522B">
        <w:trPr>
          <w:cantSplit/>
        </w:trPr>
        <w:tc>
          <w:tcPr>
            <w:tcW w:w="5844" w:type="dxa"/>
            <w:tcBorders>
              <w:top w:val="single" w:sz="4" w:space="0" w:color="auto"/>
              <w:left w:val="single" w:sz="4" w:space="0" w:color="auto"/>
              <w:bottom w:val="nil"/>
              <w:right w:val="single" w:sz="4" w:space="0" w:color="auto"/>
            </w:tcBorders>
            <w:hideMark/>
          </w:tcPr>
          <w:p w:rsidR="00A456E9" w:rsidRDefault="00A456E9" w:rsidP="007E522B">
            <w:pPr>
              <w:suppressLineNumbers/>
              <w:spacing w:before="120" w:after="120"/>
              <w:rPr>
                <w:rStyle w:val="a"/>
                <w:b/>
              </w:rPr>
            </w:pPr>
            <w:r>
              <w:rPr>
                <w:rStyle w:val="a"/>
                <w:b/>
              </w:rPr>
              <w:t>Aktivering af injektoren</w:t>
            </w:r>
          </w:p>
        </w:tc>
        <w:tc>
          <w:tcPr>
            <w:tcW w:w="3801" w:type="dxa"/>
            <w:tcBorders>
              <w:top w:val="single" w:sz="4" w:space="0" w:color="auto"/>
              <w:left w:val="single" w:sz="4" w:space="0" w:color="auto"/>
              <w:bottom w:val="nil"/>
              <w:right w:val="single" w:sz="4" w:space="0" w:color="auto"/>
            </w:tcBorders>
          </w:tcPr>
          <w:p w:rsidR="00A456E9" w:rsidRDefault="00A456E9" w:rsidP="007E522B">
            <w:pPr>
              <w:pStyle w:val="heading8txt"/>
              <w:suppressLineNumbers/>
              <w:tabs>
                <w:tab w:val="left" w:pos="567"/>
              </w:tabs>
              <w:ind w:left="-51"/>
              <w:jc w:val="center"/>
              <w:rPr>
                <w:lang w:val="en-GB" w:eastAsia="en-GB"/>
              </w:rPr>
            </w:pPr>
          </w:p>
        </w:tc>
      </w:tr>
      <w:tr w:rsidR="00A456E9" w:rsidTr="007E522B">
        <w:trPr>
          <w:cantSplit/>
        </w:trPr>
        <w:tc>
          <w:tcPr>
            <w:tcW w:w="5844" w:type="dxa"/>
            <w:tcBorders>
              <w:top w:val="nil"/>
              <w:left w:val="single" w:sz="4" w:space="0" w:color="auto"/>
              <w:bottom w:val="nil"/>
              <w:right w:val="single" w:sz="4" w:space="0" w:color="auto"/>
            </w:tcBorders>
            <w:hideMark/>
          </w:tcPr>
          <w:p w:rsidR="00A456E9" w:rsidRDefault="00A456E9" w:rsidP="007E522B">
            <w:pPr>
              <w:pStyle w:val="Bullet1"/>
              <w:numPr>
                <w:ilvl w:val="0"/>
                <w:numId w:val="17"/>
              </w:numPr>
              <w:spacing w:before="120"/>
              <w:rPr>
                <w:rStyle w:val="a"/>
                <w:szCs w:val="22"/>
                <w:lang w:val="da-DK"/>
              </w:rPr>
            </w:pPr>
            <w:r>
              <w:rPr>
                <w:rStyle w:val="a"/>
                <w:szCs w:val="22"/>
                <w:lang w:val="da-DK"/>
              </w:rPr>
              <w:t>Hold godt fast i injektoren ved studsen og sørg for, at nålehætten peger opad. Pas på ikke at trykke kammeret sammen.</w:t>
            </w:r>
          </w:p>
          <w:p w:rsidR="00A456E9" w:rsidRDefault="00A456E9" w:rsidP="007E522B">
            <w:pPr>
              <w:pStyle w:val="Bullet1"/>
              <w:numPr>
                <w:ilvl w:val="0"/>
                <w:numId w:val="17"/>
              </w:numPr>
              <w:spacing w:before="120"/>
              <w:rPr>
                <w:rStyle w:val="a"/>
                <w:b/>
                <w:lang w:val="da-DK"/>
              </w:rPr>
            </w:pPr>
            <w:r>
              <w:rPr>
                <w:rStyle w:val="a"/>
                <w:szCs w:val="22"/>
                <w:lang w:val="da-DK"/>
              </w:rPr>
              <w:t>Hold fast i nålehætten med den anden hånd.</w:t>
            </w:r>
          </w:p>
        </w:tc>
        <w:tc>
          <w:tcPr>
            <w:tcW w:w="3801" w:type="dxa"/>
            <w:tcBorders>
              <w:top w:val="nil"/>
              <w:left w:val="single" w:sz="4" w:space="0" w:color="auto"/>
              <w:bottom w:val="nil"/>
              <w:right w:val="single" w:sz="4" w:space="0" w:color="auto"/>
            </w:tcBorders>
            <w:hideMark/>
          </w:tcPr>
          <w:p w:rsidR="00A456E9" w:rsidRDefault="00A456E9" w:rsidP="007E522B">
            <w:pPr>
              <w:pStyle w:val="heading8txt"/>
              <w:suppressLineNumbers/>
              <w:tabs>
                <w:tab w:val="left" w:pos="567"/>
              </w:tabs>
              <w:ind w:left="57"/>
              <w:jc w:val="center"/>
              <w:rPr>
                <w:rFonts w:ascii="Arial" w:hAnsi="Arial" w:cs="Arial"/>
                <w:lang w:val="en-GB" w:eastAsia="en-GB"/>
              </w:rPr>
            </w:pPr>
            <w:r>
              <w:rPr>
                <w:rFonts w:cs="Arial"/>
                <w:noProof/>
                <w:lang w:val="da-DK" w:eastAsia="da-DK"/>
              </w:rPr>
              <w:drawing>
                <wp:inline distT="0" distB="0" distL="0" distR="0" wp14:anchorId="307B6992" wp14:editId="098DC775">
                  <wp:extent cx="1962150" cy="1381125"/>
                  <wp:effectExtent l="0" t="0" r="0" b="9525"/>
                  <wp:docPr id="17" name="Billede 17" descr="Image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5a"/>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l="-3572" t="-3703" r="-1530" b="-3703"/>
                          <a:stretch>
                            <a:fillRect/>
                          </a:stretch>
                        </pic:blipFill>
                        <pic:spPr bwMode="auto">
                          <a:xfrm>
                            <a:off x="0" y="0"/>
                            <a:ext cx="1962150" cy="1381125"/>
                          </a:xfrm>
                          <a:prstGeom prst="rect">
                            <a:avLst/>
                          </a:prstGeom>
                          <a:noFill/>
                          <a:ln>
                            <a:noFill/>
                          </a:ln>
                        </pic:spPr>
                      </pic:pic>
                    </a:graphicData>
                  </a:graphic>
                </wp:inline>
              </w:drawing>
            </w:r>
          </w:p>
        </w:tc>
      </w:tr>
      <w:tr w:rsidR="00A456E9" w:rsidTr="007E522B">
        <w:trPr>
          <w:cantSplit/>
        </w:trPr>
        <w:tc>
          <w:tcPr>
            <w:tcW w:w="5844" w:type="dxa"/>
            <w:tcBorders>
              <w:top w:val="nil"/>
              <w:left w:val="single" w:sz="4" w:space="0" w:color="auto"/>
              <w:bottom w:val="nil"/>
              <w:right w:val="single" w:sz="4" w:space="0" w:color="auto"/>
            </w:tcBorders>
          </w:tcPr>
          <w:p w:rsidR="00A456E9" w:rsidRDefault="00A456E9" w:rsidP="007E522B">
            <w:pPr>
              <w:pStyle w:val="Bullet1"/>
              <w:numPr>
                <w:ilvl w:val="0"/>
                <w:numId w:val="17"/>
              </w:numPr>
              <w:spacing w:before="120"/>
              <w:rPr>
                <w:rStyle w:val="a"/>
                <w:szCs w:val="22"/>
                <w:lang w:val="da-DK"/>
              </w:rPr>
            </w:pPr>
            <w:r>
              <w:rPr>
                <w:rStyle w:val="a"/>
                <w:szCs w:val="22"/>
                <w:lang w:val="da-DK"/>
              </w:rPr>
              <w:t>Tryk nålehætten kraftigt ned mod studsen, indtil den ikke kan komme længere. Injektoren er nu aktiveret.</w:t>
            </w:r>
          </w:p>
          <w:p w:rsidR="00A456E9" w:rsidRDefault="00A456E9" w:rsidP="007E522B">
            <w:pPr>
              <w:pStyle w:val="Bullet1"/>
              <w:numPr>
                <w:ilvl w:val="0"/>
                <w:numId w:val="0"/>
              </w:numPr>
              <w:tabs>
                <w:tab w:val="left" w:pos="1304"/>
              </w:tabs>
              <w:spacing w:before="120"/>
              <w:rPr>
                <w:rStyle w:val="a"/>
                <w:szCs w:val="22"/>
                <w:lang w:val="da-DK"/>
              </w:rPr>
            </w:pPr>
          </w:p>
        </w:tc>
        <w:tc>
          <w:tcPr>
            <w:tcW w:w="3801" w:type="dxa"/>
            <w:tcBorders>
              <w:top w:val="nil"/>
              <w:left w:val="single" w:sz="4" w:space="0" w:color="auto"/>
              <w:bottom w:val="nil"/>
              <w:right w:val="single" w:sz="4" w:space="0" w:color="auto"/>
            </w:tcBorders>
            <w:hideMark/>
          </w:tcPr>
          <w:p w:rsidR="00A456E9" w:rsidRDefault="00A456E9" w:rsidP="007E522B">
            <w:pPr>
              <w:pStyle w:val="heading8txt"/>
              <w:suppressLineNumbers/>
              <w:tabs>
                <w:tab w:val="left" w:pos="567"/>
              </w:tabs>
              <w:ind w:left="57"/>
              <w:jc w:val="center"/>
              <w:rPr>
                <w:lang w:val="en-GB"/>
              </w:rPr>
            </w:pPr>
            <w:r>
              <w:rPr>
                <w:noProof/>
                <w:lang w:val="da-DK" w:eastAsia="da-DK"/>
              </w:rPr>
              <w:drawing>
                <wp:inline distT="0" distB="0" distL="0" distR="0" wp14:anchorId="1F297693" wp14:editId="14B6992E">
                  <wp:extent cx="1943100" cy="1381125"/>
                  <wp:effectExtent l="0" t="0" r="0" b="9525"/>
                  <wp:docPr id="16" name="Billede 16" descr="Image0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5b"/>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l="-2551" t="-3703" r="-1530" b="-3703"/>
                          <a:stretch>
                            <a:fillRect/>
                          </a:stretch>
                        </pic:blipFill>
                        <pic:spPr bwMode="auto">
                          <a:xfrm>
                            <a:off x="0" y="0"/>
                            <a:ext cx="1943100" cy="1381125"/>
                          </a:xfrm>
                          <a:prstGeom prst="rect">
                            <a:avLst/>
                          </a:prstGeom>
                          <a:noFill/>
                          <a:ln>
                            <a:noFill/>
                          </a:ln>
                        </pic:spPr>
                      </pic:pic>
                    </a:graphicData>
                  </a:graphic>
                </wp:inline>
              </w:drawing>
            </w:r>
          </w:p>
        </w:tc>
      </w:tr>
      <w:tr w:rsidR="00A456E9" w:rsidTr="007E522B">
        <w:trPr>
          <w:cantSplit/>
        </w:trPr>
        <w:tc>
          <w:tcPr>
            <w:tcW w:w="5844" w:type="dxa"/>
            <w:tcBorders>
              <w:top w:val="nil"/>
              <w:left w:val="single" w:sz="4" w:space="0" w:color="auto"/>
              <w:bottom w:val="single" w:sz="4" w:space="0" w:color="auto"/>
              <w:right w:val="single" w:sz="4" w:space="0" w:color="auto"/>
            </w:tcBorders>
          </w:tcPr>
          <w:p w:rsidR="00A456E9" w:rsidRDefault="00A456E9" w:rsidP="007E522B">
            <w:pPr>
              <w:pStyle w:val="Bullet1"/>
              <w:numPr>
                <w:ilvl w:val="0"/>
                <w:numId w:val="17"/>
              </w:numPr>
              <w:spacing w:before="120"/>
              <w:rPr>
                <w:rStyle w:val="a"/>
                <w:szCs w:val="22"/>
                <w:lang w:val="da-DK"/>
              </w:rPr>
            </w:pPr>
            <w:r>
              <w:rPr>
                <w:rStyle w:val="a"/>
                <w:szCs w:val="22"/>
                <w:lang w:val="da-DK"/>
              </w:rPr>
              <w:t>Træk nålehætten af og kassér den.</w:t>
            </w:r>
          </w:p>
          <w:p w:rsidR="00A456E9" w:rsidRDefault="00A456E9" w:rsidP="007E522B">
            <w:pPr>
              <w:suppressLineNumbers/>
              <w:ind w:left="175"/>
              <w:rPr>
                <w:rStyle w:val="a"/>
              </w:rPr>
            </w:pPr>
          </w:p>
        </w:tc>
        <w:tc>
          <w:tcPr>
            <w:tcW w:w="3801" w:type="dxa"/>
            <w:tcBorders>
              <w:top w:val="nil"/>
              <w:left w:val="single" w:sz="4" w:space="0" w:color="auto"/>
              <w:bottom w:val="single" w:sz="4" w:space="0" w:color="auto"/>
              <w:right w:val="single" w:sz="4" w:space="0" w:color="auto"/>
            </w:tcBorders>
            <w:hideMark/>
          </w:tcPr>
          <w:p w:rsidR="00A456E9" w:rsidRDefault="00A456E9" w:rsidP="007E522B">
            <w:pPr>
              <w:pStyle w:val="heading8txt"/>
              <w:suppressLineNumbers/>
              <w:tabs>
                <w:tab w:val="left" w:pos="567"/>
              </w:tabs>
              <w:ind w:left="57"/>
              <w:jc w:val="center"/>
              <w:rPr>
                <w:lang w:val="en-GB"/>
              </w:rPr>
            </w:pPr>
            <w:r>
              <w:rPr>
                <w:noProof/>
                <w:lang w:val="da-DK" w:eastAsia="da-DK"/>
              </w:rPr>
              <w:drawing>
                <wp:inline distT="0" distB="0" distL="0" distR="0" wp14:anchorId="3C1F40E5" wp14:editId="16095A19">
                  <wp:extent cx="1933575" cy="1381125"/>
                  <wp:effectExtent l="0" t="0" r="9525" b="9525"/>
                  <wp:docPr id="15" name="Billede 15" descr="Image0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5c"/>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l="-2040" t="-3703" r="-1530" b="-3703"/>
                          <a:stretch>
                            <a:fillRect/>
                          </a:stretch>
                        </pic:blipFill>
                        <pic:spPr bwMode="auto">
                          <a:xfrm>
                            <a:off x="0" y="0"/>
                            <a:ext cx="1933575" cy="1381125"/>
                          </a:xfrm>
                          <a:prstGeom prst="rect">
                            <a:avLst/>
                          </a:prstGeom>
                          <a:noFill/>
                          <a:ln>
                            <a:noFill/>
                          </a:ln>
                        </pic:spPr>
                      </pic:pic>
                    </a:graphicData>
                  </a:graphic>
                </wp:inline>
              </w:drawing>
            </w:r>
          </w:p>
        </w:tc>
      </w:tr>
    </w:tbl>
    <w:p w:rsidR="00A456E9" w:rsidRDefault="00A456E9" w:rsidP="00A456E9">
      <w:pPr>
        <w:rPr>
          <w:highlight w:val="yellow"/>
        </w:rPr>
      </w:pPr>
    </w:p>
    <w:p w:rsidR="00A456E9" w:rsidRDefault="00A456E9" w:rsidP="00A456E9">
      <w:pPr>
        <w:ind w:left="851"/>
        <w:rPr>
          <w:sz w:val="24"/>
          <w:szCs w:val="24"/>
        </w:rPr>
      </w:pPr>
      <w:r>
        <w:rPr>
          <w:sz w:val="24"/>
          <w:szCs w:val="24"/>
        </w:rPr>
        <w:t xml:space="preserve">Se </w:t>
      </w:r>
      <w:r>
        <w:rPr>
          <w:b/>
          <w:sz w:val="24"/>
          <w:szCs w:val="24"/>
        </w:rPr>
        <w:t>brugsanvisningen</w:t>
      </w:r>
      <w:r>
        <w:rPr>
          <w:sz w:val="24"/>
          <w:szCs w:val="24"/>
        </w:rPr>
        <w:t xml:space="preserve"> i indlægssedlen for at få </w:t>
      </w:r>
      <w:r>
        <w:rPr>
          <w:b/>
          <w:sz w:val="24"/>
          <w:szCs w:val="24"/>
        </w:rPr>
        <w:t>en fuld beskrivelse</w:t>
      </w:r>
      <w:r>
        <w:rPr>
          <w:sz w:val="24"/>
          <w:szCs w:val="24"/>
        </w:rPr>
        <w:t xml:space="preserve"> af klargøring og indgivelse af en injektion.</w:t>
      </w:r>
    </w:p>
    <w:p w:rsidR="00A456E9" w:rsidRPr="00C3377B" w:rsidRDefault="00A456E9" w:rsidP="00A456E9">
      <w:pPr>
        <w:ind w:left="851"/>
        <w:rPr>
          <w:sz w:val="24"/>
          <w:szCs w:val="24"/>
          <w:u w:val="single"/>
        </w:rPr>
      </w:pPr>
    </w:p>
    <w:p w:rsidR="00A456E9" w:rsidRPr="00C3377B" w:rsidRDefault="00A456E9" w:rsidP="00A456E9">
      <w:pPr>
        <w:ind w:left="851"/>
        <w:rPr>
          <w:iCs/>
          <w:sz w:val="24"/>
          <w:szCs w:val="24"/>
          <w:u w:val="single"/>
        </w:rPr>
      </w:pPr>
      <w:r w:rsidRPr="00C3377B">
        <w:rPr>
          <w:sz w:val="24"/>
          <w:szCs w:val="24"/>
          <w:u w:val="single"/>
        </w:rPr>
        <w:t>Voksne</w:t>
      </w:r>
    </w:p>
    <w:p w:rsidR="00A456E9" w:rsidRPr="00C3377B" w:rsidRDefault="00A456E9" w:rsidP="00A456E9">
      <w:pPr>
        <w:ind w:left="851"/>
        <w:rPr>
          <w:sz w:val="24"/>
          <w:szCs w:val="24"/>
        </w:rPr>
      </w:pPr>
      <w:r w:rsidRPr="00C3377B">
        <w:rPr>
          <w:i/>
          <w:sz w:val="24"/>
          <w:szCs w:val="24"/>
        </w:rPr>
        <w:t>Første injektion:</w:t>
      </w:r>
      <w:r w:rsidRPr="00C3377B">
        <w:rPr>
          <w:sz w:val="24"/>
          <w:szCs w:val="24"/>
        </w:rPr>
        <w:t xml:space="preserve"> For at opnå fuld </w:t>
      </w:r>
      <w:proofErr w:type="spellStart"/>
      <w:r w:rsidRPr="00C3377B">
        <w:rPr>
          <w:sz w:val="24"/>
          <w:szCs w:val="24"/>
        </w:rPr>
        <w:t>antikonceptiv</w:t>
      </w:r>
      <w:proofErr w:type="spellEnd"/>
      <w:r w:rsidRPr="00C3377B">
        <w:rPr>
          <w:sz w:val="24"/>
          <w:szCs w:val="24"/>
        </w:rPr>
        <w:t xml:space="preserve"> virkning i den første cyklus skal der gives en </w:t>
      </w:r>
      <w:proofErr w:type="spellStart"/>
      <w:r w:rsidRPr="00C3377B">
        <w:rPr>
          <w:sz w:val="24"/>
          <w:szCs w:val="24"/>
        </w:rPr>
        <w:t>s.c</w:t>
      </w:r>
      <w:proofErr w:type="spellEnd"/>
      <w:r w:rsidRPr="00C3377B">
        <w:rPr>
          <w:sz w:val="24"/>
          <w:szCs w:val="24"/>
        </w:rPr>
        <w:t>. injektion på 104 mg i løbet af de første fem dage af en normal menstruationscyklus. Hvis injektionen udføres i overensstemmelse med disse instruktioner, er der ikke brug for yderligere antikonceptionsmetoder.</w:t>
      </w:r>
    </w:p>
    <w:p w:rsidR="00A456E9" w:rsidRPr="00C3377B" w:rsidRDefault="00A456E9" w:rsidP="00A456E9">
      <w:pPr>
        <w:ind w:left="851" w:hanging="851"/>
        <w:rPr>
          <w:sz w:val="24"/>
          <w:szCs w:val="24"/>
        </w:rPr>
      </w:pPr>
    </w:p>
    <w:p w:rsidR="00A456E9" w:rsidRDefault="00A456E9" w:rsidP="00A456E9">
      <w:pPr>
        <w:ind w:left="851"/>
        <w:rPr>
          <w:sz w:val="24"/>
          <w:szCs w:val="24"/>
        </w:rPr>
      </w:pPr>
      <w:r>
        <w:rPr>
          <w:i/>
          <w:sz w:val="24"/>
          <w:szCs w:val="24"/>
        </w:rPr>
        <w:t xml:space="preserve">Yderligere doser: </w:t>
      </w:r>
      <w:r>
        <w:rPr>
          <w:sz w:val="24"/>
          <w:szCs w:val="24"/>
        </w:rPr>
        <w:t xml:space="preserve">Den anden dosis og de derpå følgende injektioner skal gives med 13 ugers mellemrum. Så længe injektionen gives senest syv dage efter dette tidspunkt, er der ikke brug for yderligere antikonceptionsmetoder (f.eks. barrieremetoder). Hvis perioden fra den foregående injektion af en eller anden grund er længere end 14 uger (13 uger plus 7 </w:t>
      </w:r>
      <w:r>
        <w:rPr>
          <w:sz w:val="24"/>
          <w:szCs w:val="24"/>
        </w:rPr>
        <w:lastRenderedPageBreak/>
        <w:t xml:space="preserve">dage), skal graviditet udelukkes, før den næste injektion gives. Virkningen af </w:t>
      </w:r>
      <w:proofErr w:type="spellStart"/>
      <w:r>
        <w:rPr>
          <w:sz w:val="24"/>
          <w:szCs w:val="24"/>
        </w:rPr>
        <w:t>Sayanaject</w:t>
      </w:r>
      <w:proofErr w:type="spellEnd"/>
      <w:r>
        <w:rPr>
          <w:sz w:val="24"/>
          <w:szCs w:val="24"/>
        </w:rPr>
        <w:t xml:space="preserve"> afhænger af, at den anbefalede doseringsplan for administration overholdes.</w:t>
      </w:r>
    </w:p>
    <w:p w:rsidR="00A456E9" w:rsidRDefault="00A456E9" w:rsidP="00A456E9">
      <w:pPr>
        <w:ind w:left="851"/>
        <w:rPr>
          <w:sz w:val="24"/>
          <w:szCs w:val="24"/>
        </w:rPr>
      </w:pPr>
    </w:p>
    <w:p w:rsidR="00A456E9" w:rsidRDefault="00A456E9" w:rsidP="00A456E9">
      <w:pPr>
        <w:ind w:left="851"/>
        <w:rPr>
          <w:sz w:val="24"/>
          <w:szCs w:val="24"/>
        </w:rPr>
      </w:pPr>
      <w:r>
        <w:rPr>
          <w:sz w:val="24"/>
          <w:szCs w:val="24"/>
        </w:rPr>
        <w:t xml:space="preserve">Kvinder bør revurderes periodisk i henhold til klinisk praksis mindst hvert år for at afgøre, om </w:t>
      </w:r>
      <w:proofErr w:type="spellStart"/>
      <w:r>
        <w:rPr>
          <w:sz w:val="24"/>
          <w:szCs w:val="24"/>
        </w:rPr>
        <w:t>Sayanaject</w:t>
      </w:r>
      <w:proofErr w:type="spellEnd"/>
      <w:r>
        <w:rPr>
          <w:sz w:val="24"/>
          <w:szCs w:val="24"/>
        </w:rPr>
        <w:t xml:space="preserve"> stadig er den bedste mulighed for den enkelte kvinde.</w:t>
      </w:r>
    </w:p>
    <w:p w:rsidR="00A456E9" w:rsidRPr="00C3377B" w:rsidRDefault="00A456E9" w:rsidP="00A456E9">
      <w:pPr>
        <w:ind w:left="851" w:hanging="851"/>
        <w:rPr>
          <w:sz w:val="24"/>
          <w:szCs w:val="24"/>
        </w:rPr>
      </w:pPr>
    </w:p>
    <w:p w:rsidR="00A456E9" w:rsidRPr="00C3377B" w:rsidRDefault="00A456E9" w:rsidP="00A456E9">
      <w:pPr>
        <w:ind w:left="851"/>
        <w:rPr>
          <w:sz w:val="24"/>
          <w:szCs w:val="24"/>
        </w:rPr>
      </w:pPr>
      <w:proofErr w:type="spellStart"/>
      <w:r w:rsidRPr="00C3377B">
        <w:rPr>
          <w:i/>
          <w:sz w:val="24"/>
          <w:szCs w:val="24"/>
        </w:rPr>
        <w:t>Postpartum</w:t>
      </w:r>
      <w:proofErr w:type="spellEnd"/>
      <w:r w:rsidRPr="00C3377B">
        <w:rPr>
          <w:i/>
          <w:sz w:val="24"/>
          <w:szCs w:val="24"/>
        </w:rPr>
        <w:t xml:space="preserve">: </w:t>
      </w:r>
      <w:r w:rsidRPr="00C3377B">
        <w:rPr>
          <w:sz w:val="24"/>
          <w:szCs w:val="24"/>
        </w:rPr>
        <w:t xml:space="preserve">Hvis patienten ikke ammer, bør injektionen gives inden for 5 dage </w:t>
      </w:r>
      <w:proofErr w:type="spellStart"/>
      <w:r w:rsidRPr="00C3377B">
        <w:rPr>
          <w:sz w:val="24"/>
          <w:szCs w:val="24"/>
        </w:rPr>
        <w:t>postpartum</w:t>
      </w:r>
      <w:proofErr w:type="spellEnd"/>
      <w:r w:rsidRPr="00C3377B">
        <w:rPr>
          <w:sz w:val="24"/>
          <w:szCs w:val="24"/>
        </w:rPr>
        <w:t xml:space="preserve"> (for at øge sikkerheden for, at patienten ikke er gravid). Hvis injektionen gives på et andet tidspunkt, skal graviditet udelukkes. </w:t>
      </w:r>
    </w:p>
    <w:p w:rsidR="00A456E9" w:rsidRPr="00C3377B" w:rsidRDefault="00A456E9" w:rsidP="00A456E9">
      <w:pPr>
        <w:ind w:left="851" w:hanging="851"/>
        <w:rPr>
          <w:sz w:val="24"/>
          <w:szCs w:val="24"/>
        </w:rPr>
      </w:pPr>
    </w:p>
    <w:p w:rsidR="00A456E9" w:rsidRPr="00C3377B" w:rsidRDefault="00A456E9" w:rsidP="00A456E9">
      <w:pPr>
        <w:ind w:left="851"/>
        <w:rPr>
          <w:sz w:val="24"/>
          <w:szCs w:val="24"/>
        </w:rPr>
      </w:pPr>
      <w:r w:rsidRPr="00C3377B">
        <w:rPr>
          <w:sz w:val="24"/>
          <w:szCs w:val="24"/>
        </w:rPr>
        <w:t xml:space="preserve">Hvis patienten ammer, bør injektionen tidligst gives seks uger </w:t>
      </w:r>
      <w:proofErr w:type="spellStart"/>
      <w:r w:rsidRPr="00C3377B">
        <w:rPr>
          <w:sz w:val="24"/>
          <w:szCs w:val="24"/>
        </w:rPr>
        <w:t>postpartum</w:t>
      </w:r>
      <w:proofErr w:type="spellEnd"/>
      <w:r w:rsidRPr="00C3377B">
        <w:rPr>
          <w:sz w:val="24"/>
          <w:szCs w:val="24"/>
        </w:rPr>
        <w:t>, når spædbarnets enzymsystem er mere udviklet (se pkt. 4.6).</w:t>
      </w:r>
    </w:p>
    <w:p w:rsidR="00A456E9" w:rsidRPr="00C3377B" w:rsidRDefault="00A456E9" w:rsidP="00A456E9">
      <w:pPr>
        <w:ind w:left="851" w:hanging="851"/>
        <w:rPr>
          <w:sz w:val="24"/>
          <w:szCs w:val="24"/>
        </w:rPr>
      </w:pPr>
    </w:p>
    <w:p w:rsidR="00A456E9" w:rsidRPr="00C3377B" w:rsidRDefault="00A456E9" w:rsidP="00A456E9">
      <w:pPr>
        <w:autoSpaceDE w:val="0"/>
        <w:autoSpaceDN w:val="0"/>
        <w:adjustRightInd w:val="0"/>
        <w:ind w:left="851"/>
        <w:rPr>
          <w:bCs/>
          <w:sz w:val="24"/>
          <w:szCs w:val="24"/>
          <w:lang w:eastAsia="en-GB"/>
        </w:rPr>
      </w:pPr>
      <w:r w:rsidRPr="00C3377B">
        <w:rPr>
          <w:sz w:val="24"/>
          <w:szCs w:val="24"/>
        </w:rPr>
        <w:t xml:space="preserve">Det er påvist, at kvinder, der får ordineret </w:t>
      </w:r>
      <w:proofErr w:type="spellStart"/>
      <w:r w:rsidRPr="00C3377B">
        <w:rPr>
          <w:sz w:val="24"/>
          <w:szCs w:val="24"/>
        </w:rPr>
        <w:t>Sayanaject</w:t>
      </w:r>
      <w:proofErr w:type="spellEnd"/>
      <w:r w:rsidRPr="00C3377B">
        <w:rPr>
          <w:sz w:val="24"/>
          <w:szCs w:val="24"/>
        </w:rPr>
        <w:t xml:space="preserve"> i det umiddelbare </w:t>
      </w:r>
      <w:proofErr w:type="spellStart"/>
      <w:r w:rsidRPr="00C3377B">
        <w:rPr>
          <w:sz w:val="24"/>
          <w:szCs w:val="24"/>
        </w:rPr>
        <w:t>puerperium</w:t>
      </w:r>
      <w:proofErr w:type="spellEnd"/>
      <w:r w:rsidRPr="00C3377B">
        <w:rPr>
          <w:sz w:val="24"/>
          <w:szCs w:val="24"/>
        </w:rPr>
        <w:t xml:space="preserve">, kan opleve langvarig og kraftig blødning. Lægemidlet bør derfor anvendes med forsigtighed i </w:t>
      </w:r>
      <w:proofErr w:type="spellStart"/>
      <w:r w:rsidRPr="00C3377B">
        <w:rPr>
          <w:sz w:val="24"/>
          <w:szCs w:val="24"/>
        </w:rPr>
        <w:t>puerperiet</w:t>
      </w:r>
      <w:proofErr w:type="spellEnd"/>
      <w:r w:rsidRPr="00C3377B">
        <w:rPr>
          <w:sz w:val="24"/>
          <w:szCs w:val="24"/>
        </w:rPr>
        <w:t xml:space="preserve">. Kvinder, der overvejer at bruge lægemidlet umiddelbart efter fødslen eller en abort, bør informeres om, at risikoen for kraftig eller langvarig blødning kan blive forøget. Hos en </w:t>
      </w:r>
      <w:proofErr w:type="spellStart"/>
      <w:r w:rsidRPr="00C3377B">
        <w:rPr>
          <w:sz w:val="24"/>
          <w:szCs w:val="24"/>
        </w:rPr>
        <w:t>postpartum</w:t>
      </w:r>
      <w:proofErr w:type="spellEnd"/>
      <w:r w:rsidRPr="00C3377B">
        <w:rPr>
          <w:sz w:val="24"/>
          <w:szCs w:val="24"/>
        </w:rPr>
        <w:t xml:space="preserve"> patient, der ikke ammer, kan ovulation som bekendt finde sted så tidligt som i uge 4.</w:t>
      </w:r>
    </w:p>
    <w:p w:rsidR="00A456E9" w:rsidRPr="00C3377B" w:rsidRDefault="00A456E9" w:rsidP="00A456E9">
      <w:pPr>
        <w:ind w:left="851" w:hanging="851"/>
        <w:rPr>
          <w:i/>
          <w:sz w:val="24"/>
          <w:szCs w:val="24"/>
        </w:rPr>
      </w:pPr>
    </w:p>
    <w:p w:rsidR="00A456E9" w:rsidRPr="00C3377B" w:rsidRDefault="00A456E9" w:rsidP="00A456E9">
      <w:pPr>
        <w:ind w:left="851"/>
        <w:rPr>
          <w:sz w:val="24"/>
          <w:szCs w:val="24"/>
        </w:rPr>
      </w:pPr>
      <w:r w:rsidRPr="00C3377B">
        <w:rPr>
          <w:i/>
          <w:sz w:val="24"/>
          <w:szCs w:val="24"/>
        </w:rPr>
        <w:t>Skift fra andre antikonceptionsmetoder:</w:t>
      </w:r>
      <w:r w:rsidRPr="00C3377B">
        <w:rPr>
          <w:sz w:val="24"/>
          <w:szCs w:val="24"/>
        </w:rPr>
        <w:t xml:space="preserve"> Ved skift fra andre antikonceptionsmetoder bør </w:t>
      </w:r>
      <w:proofErr w:type="spellStart"/>
      <w:r w:rsidRPr="00C3377B">
        <w:rPr>
          <w:sz w:val="24"/>
          <w:szCs w:val="24"/>
        </w:rPr>
        <w:t>Sayanaject</w:t>
      </w:r>
      <w:proofErr w:type="spellEnd"/>
      <w:r w:rsidRPr="00C3377B">
        <w:rPr>
          <w:sz w:val="24"/>
          <w:szCs w:val="24"/>
        </w:rPr>
        <w:t xml:space="preserve"> gives på en måde, der sikrer fortsat </w:t>
      </w:r>
      <w:proofErr w:type="spellStart"/>
      <w:r w:rsidRPr="00C3377B">
        <w:rPr>
          <w:sz w:val="24"/>
          <w:szCs w:val="24"/>
        </w:rPr>
        <w:t>antikonceptiv</w:t>
      </w:r>
      <w:proofErr w:type="spellEnd"/>
      <w:r w:rsidRPr="00C3377B">
        <w:rPr>
          <w:sz w:val="24"/>
          <w:szCs w:val="24"/>
        </w:rPr>
        <w:t xml:space="preserve"> virkning på basis af begge metoders virkningsmekanisme (f.eks. skal patienter, der skifter fra p-piller, have den første injektion med </w:t>
      </w:r>
      <w:proofErr w:type="spellStart"/>
      <w:r w:rsidRPr="00C3377B">
        <w:rPr>
          <w:sz w:val="24"/>
          <w:szCs w:val="24"/>
        </w:rPr>
        <w:t>Sayanaject</w:t>
      </w:r>
      <w:proofErr w:type="spellEnd"/>
      <w:r w:rsidRPr="00C3377B">
        <w:rPr>
          <w:sz w:val="24"/>
          <w:szCs w:val="24"/>
        </w:rPr>
        <w:t xml:space="preserve"> inden for 7 dage efter den sidste aktive pille).</w:t>
      </w:r>
    </w:p>
    <w:p w:rsidR="00A456E9" w:rsidRDefault="00A456E9" w:rsidP="00A456E9">
      <w:pPr>
        <w:rPr>
          <w:sz w:val="24"/>
          <w:szCs w:val="24"/>
          <w:u w:val="single"/>
        </w:rPr>
      </w:pPr>
    </w:p>
    <w:p w:rsidR="00A456E9" w:rsidRDefault="00A456E9" w:rsidP="00A456E9">
      <w:pPr>
        <w:ind w:left="851"/>
        <w:rPr>
          <w:sz w:val="24"/>
          <w:szCs w:val="24"/>
        </w:rPr>
      </w:pPr>
      <w:r>
        <w:rPr>
          <w:i/>
          <w:sz w:val="24"/>
          <w:szCs w:val="24"/>
        </w:rPr>
        <w:t>Nedsat leverfunktion:</w:t>
      </w:r>
      <w:r>
        <w:rPr>
          <w:sz w:val="24"/>
          <w:szCs w:val="24"/>
        </w:rPr>
        <w:t xml:space="preserve"> Virkningen af leversygdom på </w:t>
      </w:r>
      <w:proofErr w:type="spellStart"/>
      <w:r>
        <w:rPr>
          <w:sz w:val="24"/>
          <w:szCs w:val="24"/>
        </w:rPr>
        <w:t>Sayanajects</w:t>
      </w:r>
      <w:proofErr w:type="spellEnd"/>
      <w:r>
        <w:rPr>
          <w:sz w:val="24"/>
          <w:szCs w:val="24"/>
        </w:rPr>
        <w:t xml:space="preserve"> farmakokinetik er ikke kendt. Da </w:t>
      </w:r>
      <w:proofErr w:type="spellStart"/>
      <w:r>
        <w:rPr>
          <w:sz w:val="24"/>
          <w:szCs w:val="24"/>
        </w:rPr>
        <w:t>Sayanaject</w:t>
      </w:r>
      <w:proofErr w:type="spellEnd"/>
      <w:r>
        <w:rPr>
          <w:sz w:val="24"/>
          <w:szCs w:val="24"/>
        </w:rPr>
        <w:t xml:space="preserve"> overvejende elimineres via leveren, kan det være dårligt </w:t>
      </w:r>
      <w:proofErr w:type="spellStart"/>
      <w:r>
        <w:rPr>
          <w:sz w:val="24"/>
          <w:szCs w:val="24"/>
        </w:rPr>
        <w:t>metaboliseret</w:t>
      </w:r>
      <w:proofErr w:type="spellEnd"/>
      <w:r>
        <w:rPr>
          <w:sz w:val="24"/>
          <w:szCs w:val="24"/>
        </w:rPr>
        <w:t xml:space="preserve"> hos patienter med svær leverinsufficiens (se pkt. 4.3).</w:t>
      </w:r>
    </w:p>
    <w:p w:rsidR="00A456E9" w:rsidRDefault="00A456E9" w:rsidP="00A456E9">
      <w:pPr>
        <w:ind w:left="851" w:hanging="851"/>
        <w:rPr>
          <w:sz w:val="24"/>
          <w:szCs w:val="24"/>
        </w:rPr>
      </w:pPr>
    </w:p>
    <w:p w:rsidR="00A456E9" w:rsidRDefault="00A456E9" w:rsidP="00A456E9">
      <w:pPr>
        <w:ind w:left="851"/>
        <w:rPr>
          <w:sz w:val="24"/>
          <w:szCs w:val="24"/>
        </w:rPr>
      </w:pPr>
      <w:r>
        <w:rPr>
          <w:i/>
          <w:sz w:val="24"/>
          <w:szCs w:val="24"/>
        </w:rPr>
        <w:t xml:space="preserve">Nedsat nyrefunktion: </w:t>
      </w:r>
      <w:r>
        <w:rPr>
          <w:sz w:val="24"/>
          <w:szCs w:val="24"/>
        </w:rPr>
        <w:t xml:space="preserve">Virkningen af nyresygdom på </w:t>
      </w:r>
      <w:proofErr w:type="spellStart"/>
      <w:r>
        <w:rPr>
          <w:sz w:val="24"/>
          <w:szCs w:val="24"/>
        </w:rPr>
        <w:t>Sayanajects</w:t>
      </w:r>
      <w:proofErr w:type="spellEnd"/>
      <w:r>
        <w:rPr>
          <w:sz w:val="24"/>
          <w:szCs w:val="24"/>
        </w:rPr>
        <w:t xml:space="preserve"> farmakokinetik er ikke kendt. Dosisjustering bør ikke være nødvendig hos kvinder med nyreinsufficiens, da </w:t>
      </w:r>
      <w:proofErr w:type="spellStart"/>
      <w:r>
        <w:rPr>
          <w:sz w:val="24"/>
          <w:szCs w:val="24"/>
        </w:rPr>
        <w:t>Sayanaject</w:t>
      </w:r>
      <w:proofErr w:type="spellEnd"/>
      <w:r>
        <w:rPr>
          <w:sz w:val="24"/>
          <w:szCs w:val="24"/>
        </w:rPr>
        <w:t xml:space="preserve"> næsten udelukkende elimineres ved </w:t>
      </w:r>
      <w:proofErr w:type="spellStart"/>
      <w:r>
        <w:rPr>
          <w:sz w:val="24"/>
          <w:szCs w:val="24"/>
        </w:rPr>
        <w:t>metabolisering</w:t>
      </w:r>
      <w:proofErr w:type="spellEnd"/>
      <w:r>
        <w:rPr>
          <w:sz w:val="24"/>
          <w:szCs w:val="24"/>
        </w:rPr>
        <w:t xml:space="preserve"> i leveren. </w:t>
      </w:r>
    </w:p>
    <w:p w:rsidR="00A456E9" w:rsidRPr="00C3377B" w:rsidRDefault="00A456E9" w:rsidP="00A456E9">
      <w:pPr>
        <w:ind w:left="851" w:hanging="851"/>
        <w:rPr>
          <w:sz w:val="24"/>
          <w:szCs w:val="24"/>
        </w:rPr>
      </w:pPr>
    </w:p>
    <w:p w:rsidR="00A456E9" w:rsidRPr="00C3377B" w:rsidRDefault="00A456E9" w:rsidP="00A456E9">
      <w:pPr>
        <w:ind w:left="851"/>
        <w:rPr>
          <w:iCs/>
          <w:color w:val="000000"/>
          <w:sz w:val="24"/>
          <w:szCs w:val="24"/>
          <w:u w:val="single"/>
        </w:rPr>
      </w:pPr>
      <w:r w:rsidRPr="00C3377B">
        <w:rPr>
          <w:color w:val="000000"/>
          <w:sz w:val="24"/>
          <w:szCs w:val="24"/>
          <w:u w:val="single"/>
        </w:rPr>
        <w:t>Pædiatrisk population</w:t>
      </w:r>
    </w:p>
    <w:p w:rsidR="00A456E9" w:rsidRPr="00C3377B" w:rsidRDefault="00A456E9" w:rsidP="00A456E9">
      <w:pPr>
        <w:ind w:left="851"/>
        <w:rPr>
          <w:sz w:val="24"/>
          <w:szCs w:val="24"/>
        </w:rPr>
      </w:pPr>
      <w:proofErr w:type="spellStart"/>
      <w:r w:rsidRPr="00C3377B">
        <w:rPr>
          <w:sz w:val="24"/>
          <w:szCs w:val="24"/>
        </w:rPr>
        <w:t>Sayanaject</w:t>
      </w:r>
      <w:proofErr w:type="spellEnd"/>
      <w:r w:rsidRPr="00C3377B">
        <w:rPr>
          <w:sz w:val="24"/>
          <w:szCs w:val="24"/>
        </w:rPr>
        <w:t xml:space="preserve"> er ikke indiceret før </w:t>
      </w:r>
      <w:proofErr w:type="spellStart"/>
      <w:r w:rsidRPr="00C3377B">
        <w:rPr>
          <w:sz w:val="24"/>
          <w:szCs w:val="24"/>
        </w:rPr>
        <w:t>menarche</w:t>
      </w:r>
      <w:proofErr w:type="spellEnd"/>
      <w:r w:rsidRPr="00C3377B">
        <w:rPr>
          <w:sz w:val="24"/>
          <w:szCs w:val="24"/>
        </w:rPr>
        <w:t xml:space="preserve"> (se pkt. 4.1). Der foreligger data for unge kvinder (12-18 år) for </w:t>
      </w:r>
      <w:proofErr w:type="spellStart"/>
      <w:r w:rsidRPr="00C3377B">
        <w:rPr>
          <w:sz w:val="24"/>
          <w:szCs w:val="24"/>
        </w:rPr>
        <w:t>i.m</w:t>
      </w:r>
      <w:proofErr w:type="spellEnd"/>
      <w:r w:rsidRPr="00C3377B">
        <w:rPr>
          <w:sz w:val="24"/>
          <w:szCs w:val="24"/>
        </w:rPr>
        <w:t xml:space="preserve">. administration af MPA (se pkt. 4.4 og 5.1). Ud over bekymringer vedrørende tab af knogletæthed forventes sikkerheden og virkningen af </w:t>
      </w:r>
      <w:proofErr w:type="spellStart"/>
      <w:r w:rsidRPr="00C3377B">
        <w:rPr>
          <w:sz w:val="24"/>
          <w:szCs w:val="24"/>
        </w:rPr>
        <w:t>Sayanaject</w:t>
      </w:r>
      <w:proofErr w:type="spellEnd"/>
      <w:r w:rsidRPr="00C3377B">
        <w:rPr>
          <w:sz w:val="24"/>
          <w:szCs w:val="24"/>
        </w:rPr>
        <w:t xml:space="preserve"> at være den samme for unge efter </w:t>
      </w:r>
      <w:proofErr w:type="spellStart"/>
      <w:r w:rsidRPr="00C3377B">
        <w:rPr>
          <w:sz w:val="24"/>
          <w:szCs w:val="24"/>
        </w:rPr>
        <w:t>menarche</w:t>
      </w:r>
      <w:proofErr w:type="spellEnd"/>
      <w:r w:rsidRPr="00C3377B">
        <w:rPr>
          <w:sz w:val="24"/>
          <w:szCs w:val="24"/>
        </w:rPr>
        <w:t xml:space="preserve"> som for voksne kvinder.</w:t>
      </w:r>
    </w:p>
    <w:p w:rsidR="00A456E9" w:rsidRDefault="00A456E9" w:rsidP="00A456E9">
      <w:pPr>
        <w:rPr>
          <w:b/>
          <w:sz w:val="24"/>
          <w:szCs w:val="24"/>
        </w:rPr>
      </w:pPr>
    </w:p>
    <w:p w:rsidR="00A456E9" w:rsidRPr="00C3377B" w:rsidRDefault="00A456E9" w:rsidP="00A456E9">
      <w:pPr>
        <w:tabs>
          <w:tab w:val="left" w:pos="851"/>
        </w:tabs>
        <w:ind w:left="851" w:hanging="851"/>
        <w:rPr>
          <w:b/>
          <w:sz w:val="24"/>
          <w:szCs w:val="24"/>
        </w:rPr>
      </w:pPr>
      <w:r w:rsidRPr="00C3377B">
        <w:rPr>
          <w:b/>
          <w:sz w:val="24"/>
          <w:szCs w:val="24"/>
        </w:rPr>
        <w:t>4.3</w:t>
      </w:r>
      <w:r w:rsidRPr="00C3377B">
        <w:rPr>
          <w:b/>
          <w:sz w:val="24"/>
          <w:szCs w:val="24"/>
        </w:rPr>
        <w:tab/>
        <w:t>Kontraindikationer</w:t>
      </w:r>
    </w:p>
    <w:p w:rsidR="00A456E9" w:rsidRPr="00C3377B" w:rsidRDefault="00A456E9" w:rsidP="00A456E9">
      <w:pPr>
        <w:ind w:left="851" w:hanging="851"/>
        <w:rPr>
          <w:sz w:val="24"/>
          <w:szCs w:val="24"/>
        </w:rPr>
      </w:pPr>
      <w:r w:rsidRPr="00C3377B">
        <w:rPr>
          <w:sz w:val="24"/>
          <w:szCs w:val="24"/>
        </w:rPr>
        <w:tab/>
      </w:r>
      <w:proofErr w:type="spellStart"/>
      <w:r w:rsidRPr="00C3377B">
        <w:rPr>
          <w:sz w:val="24"/>
          <w:szCs w:val="24"/>
        </w:rPr>
        <w:t>Medroxyprogesteronacetat</w:t>
      </w:r>
      <w:proofErr w:type="spellEnd"/>
      <w:r w:rsidRPr="00C3377B">
        <w:rPr>
          <w:sz w:val="24"/>
          <w:szCs w:val="24"/>
        </w:rPr>
        <w:t xml:space="preserve"> er kontraindiceret</w:t>
      </w:r>
    </w:p>
    <w:p w:rsidR="00A456E9" w:rsidRPr="00C3377B" w:rsidRDefault="00A456E9" w:rsidP="00A456E9">
      <w:pPr>
        <w:numPr>
          <w:ilvl w:val="0"/>
          <w:numId w:val="9"/>
        </w:numPr>
        <w:tabs>
          <w:tab w:val="clear" w:pos="567"/>
        </w:tabs>
        <w:ind w:left="1276" w:hanging="425"/>
        <w:rPr>
          <w:sz w:val="24"/>
          <w:szCs w:val="24"/>
        </w:rPr>
      </w:pPr>
      <w:r w:rsidRPr="00C3377B">
        <w:rPr>
          <w:sz w:val="24"/>
          <w:szCs w:val="24"/>
        </w:rPr>
        <w:t xml:space="preserve">hos patienter med kendt hypersensitivitet over for MPA eller over for et eller flere af hjælpestofferne anført i pkt. 6.1. </w:t>
      </w:r>
    </w:p>
    <w:p w:rsidR="00A456E9" w:rsidRPr="00C3377B" w:rsidRDefault="00A456E9" w:rsidP="00A456E9">
      <w:pPr>
        <w:numPr>
          <w:ilvl w:val="0"/>
          <w:numId w:val="9"/>
        </w:numPr>
        <w:tabs>
          <w:tab w:val="clear" w:pos="567"/>
        </w:tabs>
        <w:ind w:left="1276" w:hanging="425"/>
        <w:rPr>
          <w:sz w:val="24"/>
          <w:szCs w:val="24"/>
        </w:rPr>
      </w:pPr>
      <w:r w:rsidRPr="00C3377B">
        <w:rPr>
          <w:sz w:val="24"/>
          <w:szCs w:val="24"/>
        </w:rPr>
        <w:t>ved kendt eller formodet graviditet.</w:t>
      </w:r>
    </w:p>
    <w:p w:rsidR="00A456E9" w:rsidRPr="00C3377B" w:rsidRDefault="00A456E9" w:rsidP="00A456E9">
      <w:pPr>
        <w:numPr>
          <w:ilvl w:val="0"/>
          <w:numId w:val="9"/>
        </w:numPr>
        <w:tabs>
          <w:tab w:val="clear" w:pos="567"/>
        </w:tabs>
        <w:ind w:left="1276" w:hanging="425"/>
        <w:rPr>
          <w:sz w:val="24"/>
          <w:szCs w:val="24"/>
        </w:rPr>
      </w:pPr>
      <w:r w:rsidRPr="00C3377B">
        <w:rPr>
          <w:sz w:val="24"/>
          <w:szCs w:val="24"/>
        </w:rPr>
        <w:t xml:space="preserve">hos kvinder med kendt eller formodet </w:t>
      </w:r>
      <w:proofErr w:type="spellStart"/>
      <w:r w:rsidRPr="00C3377B">
        <w:rPr>
          <w:sz w:val="24"/>
          <w:szCs w:val="24"/>
        </w:rPr>
        <w:t>malignitet</w:t>
      </w:r>
      <w:proofErr w:type="spellEnd"/>
      <w:r w:rsidRPr="00C3377B">
        <w:rPr>
          <w:sz w:val="24"/>
          <w:szCs w:val="24"/>
        </w:rPr>
        <w:t xml:space="preserve"> i bryst eller genitalier.</w:t>
      </w:r>
    </w:p>
    <w:p w:rsidR="00A456E9" w:rsidRPr="00C3377B" w:rsidRDefault="00A456E9" w:rsidP="00A456E9">
      <w:pPr>
        <w:numPr>
          <w:ilvl w:val="0"/>
          <w:numId w:val="9"/>
        </w:numPr>
        <w:tabs>
          <w:tab w:val="clear" w:pos="567"/>
        </w:tabs>
        <w:ind w:left="1276" w:hanging="425"/>
        <w:rPr>
          <w:sz w:val="24"/>
          <w:szCs w:val="24"/>
        </w:rPr>
      </w:pPr>
      <w:r w:rsidRPr="00C3377B">
        <w:rPr>
          <w:sz w:val="24"/>
          <w:szCs w:val="24"/>
        </w:rPr>
        <w:t>hos patienter med ikke-diagnosticeret vaginal blødning.</w:t>
      </w:r>
    </w:p>
    <w:p w:rsidR="00A456E9" w:rsidRPr="00C3377B" w:rsidRDefault="00A456E9" w:rsidP="00A456E9">
      <w:pPr>
        <w:numPr>
          <w:ilvl w:val="0"/>
          <w:numId w:val="9"/>
        </w:numPr>
        <w:tabs>
          <w:tab w:val="clear" w:pos="567"/>
        </w:tabs>
        <w:ind w:left="1276" w:hanging="425"/>
        <w:rPr>
          <w:b/>
          <w:bCs/>
          <w:color w:val="000000"/>
          <w:sz w:val="24"/>
          <w:szCs w:val="24"/>
        </w:rPr>
      </w:pPr>
      <w:r w:rsidRPr="00C3377B">
        <w:rPr>
          <w:sz w:val="24"/>
          <w:szCs w:val="24"/>
        </w:rPr>
        <w:t>hos patienter med svært nedsat leverfunktion.</w:t>
      </w:r>
    </w:p>
    <w:p w:rsidR="00A456E9" w:rsidRPr="00C3377B" w:rsidRDefault="00A456E9" w:rsidP="00A456E9">
      <w:pPr>
        <w:numPr>
          <w:ilvl w:val="0"/>
          <w:numId w:val="9"/>
        </w:numPr>
        <w:tabs>
          <w:tab w:val="clear" w:pos="567"/>
        </w:tabs>
        <w:ind w:left="1276" w:hanging="425"/>
        <w:rPr>
          <w:b/>
          <w:bCs/>
          <w:color w:val="000000"/>
          <w:sz w:val="24"/>
          <w:szCs w:val="24"/>
        </w:rPr>
      </w:pPr>
      <w:r w:rsidRPr="00C3377B">
        <w:rPr>
          <w:sz w:val="24"/>
          <w:szCs w:val="24"/>
        </w:rPr>
        <w:t>hos patienter med metabolisk knoglesygdom.</w:t>
      </w:r>
    </w:p>
    <w:p w:rsidR="00A456E9" w:rsidRPr="00C3377B" w:rsidRDefault="00A456E9" w:rsidP="00A456E9">
      <w:pPr>
        <w:numPr>
          <w:ilvl w:val="0"/>
          <w:numId w:val="9"/>
        </w:numPr>
        <w:tabs>
          <w:tab w:val="clear" w:pos="567"/>
        </w:tabs>
        <w:ind w:left="1276" w:hanging="425"/>
        <w:rPr>
          <w:b/>
          <w:bCs/>
          <w:color w:val="000000"/>
          <w:sz w:val="24"/>
          <w:szCs w:val="24"/>
        </w:rPr>
      </w:pPr>
      <w:r w:rsidRPr="00C3377B">
        <w:rPr>
          <w:sz w:val="24"/>
          <w:szCs w:val="24"/>
        </w:rPr>
        <w:t xml:space="preserve">hos patienter med aktiv </w:t>
      </w:r>
      <w:proofErr w:type="spellStart"/>
      <w:r w:rsidRPr="00C3377B">
        <w:rPr>
          <w:sz w:val="24"/>
          <w:szCs w:val="24"/>
        </w:rPr>
        <w:t>tromboembolisk</w:t>
      </w:r>
      <w:proofErr w:type="spellEnd"/>
      <w:r w:rsidRPr="00C3377B">
        <w:rPr>
          <w:sz w:val="24"/>
          <w:szCs w:val="24"/>
        </w:rPr>
        <w:t xml:space="preserve"> sygdom og hos patienter med nuværende eller tidligere </w:t>
      </w:r>
      <w:proofErr w:type="spellStart"/>
      <w:r w:rsidRPr="00C3377B">
        <w:rPr>
          <w:sz w:val="24"/>
          <w:szCs w:val="24"/>
        </w:rPr>
        <w:t>cerebralvaskulær</w:t>
      </w:r>
      <w:proofErr w:type="spellEnd"/>
      <w:r w:rsidRPr="00C3377B">
        <w:rPr>
          <w:sz w:val="24"/>
          <w:szCs w:val="24"/>
        </w:rPr>
        <w:t xml:space="preserve"> sygdom.</w:t>
      </w:r>
    </w:p>
    <w:p w:rsidR="00A456E9" w:rsidRPr="00C3377B"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lastRenderedPageBreak/>
        <w:t>4.4</w:t>
      </w:r>
      <w:r w:rsidRPr="00C3377B">
        <w:rPr>
          <w:b/>
          <w:sz w:val="24"/>
          <w:szCs w:val="24"/>
        </w:rPr>
        <w:tab/>
        <w:t>Særlige advarsler og forsigtighedsregler vedrørende brugen</w:t>
      </w:r>
    </w:p>
    <w:p w:rsidR="00A456E9" w:rsidRPr="00C3377B" w:rsidRDefault="00A456E9" w:rsidP="00A456E9">
      <w:pPr>
        <w:tabs>
          <w:tab w:val="left" w:pos="-720"/>
          <w:tab w:val="left" w:pos="0"/>
        </w:tabs>
        <w:suppressAutoHyphens/>
        <w:ind w:firstLine="851"/>
        <w:rPr>
          <w:sz w:val="24"/>
          <w:szCs w:val="24"/>
          <w:u w:val="single"/>
        </w:rPr>
      </w:pPr>
      <w:r w:rsidRPr="00C3377B">
        <w:rPr>
          <w:sz w:val="24"/>
          <w:szCs w:val="24"/>
          <w:u w:val="single"/>
        </w:rPr>
        <w:t>Advarsler:</w:t>
      </w:r>
    </w:p>
    <w:p w:rsidR="00A456E9" w:rsidRPr="00C3377B" w:rsidRDefault="00A456E9" w:rsidP="00A456E9">
      <w:pPr>
        <w:ind w:firstLine="851"/>
        <w:rPr>
          <w:sz w:val="24"/>
          <w:szCs w:val="24"/>
        </w:rPr>
      </w:pPr>
      <w:r w:rsidRPr="00C3377B">
        <w:rPr>
          <w:i/>
          <w:sz w:val="24"/>
          <w:szCs w:val="24"/>
        </w:rPr>
        <w:t>Tab af knogletæthed:</w:t>
      </w:r>
    </w:p>
    <w:p w:rsidR="00A456E9" w:rsidRPr="00C3377B" w:rsidRDefault="00A456E9" w:rsidP="00A456E9">
      <w:pPr>
        <w:ind w:left="851"/>
        <w:rPr>
          <w:sz w:val="24"/>
          <w:szCs w:val="24"/>
        </w:rPr>
      </w:pPr>
      <w:r w:rsidRPr="00C3377B">
        <w:rPr>
          <w:sz w:val="24"/>
          <w:szCs w:val="24"/>
        </w:rPr>
        <w:t xml:space="preserve">Brug af </w:t>
      </w:r>
      <w:r>
        <w:rPr>
          <w:sz w:val="24"/>
          <w:szCs w:val="24"/>
        </w:rPr>
        <w:t>depot-</w:t>
      </w:r>
      <w:proofErr w:type="spellStart"/>
      <w:r>
        <w:rPr>
          <w:sz w:val="24"/>
          <w:szCs w:val="24"/>
        </w:rPr>
        <w:t>medroxyprogesteronacetat</w:t>
      </w:r>
      <w:proofErr w:type="spellEnd"/>
      <w:r>
        <w:rPr>
          <w:sz w:val="24"/>
          <w:szCs w:val="24"/>
        </w:rPr>
        <w:t xml:space="preserve"> subkutant (DMPA </w:t>
      </w:r>
      <w:proofErr w:type="spellStart"/>
      <w:r>
        <w:rPr>
          <w:sz w:val="24"/>
          <w:szCs w:val="24"/>
        </w:rPr>
        <w:t>s.c</w:t>
      </w:r>
      <w:proofErr w:type="spellEnd"/>
      <w:r>
        <w:rPr>
          <w:sz w:val="24"/>
          <w:szCs w:val="24"/>
        </w:rPr>
        <w:t>.)</w:t>
      </w:r>
      <w:r w:rsidR="007E522B">
        <w:rPr>
          <w:sz w:val="24"/>
          <w:szCs w:val="24"/>
        </w:rPr>
        <w:t xml:space="preserve"> </w:t>
      </w:r>
      <w:r w:rsidRPr="00C3377B">
        <w:rPr>
          <w:sz w:val="24"/>
          <w:szCs w:val="24"/>
        </w:rPr>
        <w:t xml:space="preserve">sænker østrogenniveauet i serum og er forbundet med signifikant tab af knogletæthed, som skyldes den kendte virkning af østrogenmangel på knoglernes </w:t>
      </w:r>
      <w:proofErr w:type="spellStart"/>
      <w:r w:rsidRPr="00C3377B">
        <w:rPr>
          <w:sz w:val="24"/>
          <w:szCs w:val="24"/>
        </w:rPr>
        <w:t>remodelleringsproces</w:t>
      </w:r>
      <w:proofErr w:type="spellEnd"/>
      <w:r w:rsidRPr="00C3377B">
        <w:rPr>
          <w:sz w:val="24"/>
          <w:szCs w:val="24"/>
        </w:rPr>
        <w:t>. Knogletabet bliver større, jo længere lægemidlet anvendes, men knogletætheden synes at øges, efter at DMPA</w:t>
      </w:r>
      <w:r>
        <w:rPr>
          <w:sz w:val="24"/>
          <w:szCs w:val="24"/>
        </w:rPr>
        <w:t xml:space="preserve"> </w:t>
      </w:r>
      <w:proofErr w:type="spellStart"/>
      <w:r>
        <w:rPr>
          <w:sz w:val="24"/>
          <w:szCs w:val="24"/>
        </w:rPr>
        <w:t>s.c</w:t>
      </w:r>
      <w:proofErr w:type="spellEnd"/>
      <w:r>
        <w:rPr>
          <w:sz w:val="24"/>
          <w:szCs w:val="24"/>
        </w:rPr>
        <w:t xml:space="preserve">. </w:t>
      </w:r>
      <w:r w:rsidRPr="00C3377B">
        <w:rPr>
          <w:sz w:val="24"/>
          <w:szCs w:val="24"/>
        </w:rPr>
        <w:t>er seponeret, og produktionen af østrogen i ovarierne stiger.</w:t>
      </w:r>
    </w:p>
    <w:p w:rsidR="00A456E9" w:rsidRPr="00C3377B" w:rsidRDefault="00A456E9" w:rsidP="00A456E9">
      <w:pPr>
        <w:ind w:left="851" w:hanging="851"/>
        <w:rPr>
          <w:b/>
          <w:sz w:val="24"/>
          <w:szCs w:val="24"/>
        </w:rPr>
      </w:pPr>
    </w:p>
    <w:p w:rsidR="00A456E9" w:rsidRPr="00C3377B" w:rsidRDefault="00A456E9" w:rsidP="00A456E9">
      <w:pPr>
        <w:ind w:left="851"/>
        <w:rPr>
          <w:sz w:val="24"/>
          <w:szCs w:val="24"/>
        </w:rPr>
      </w:pPr>
      <w:r w:rsidRPr="00C3377B">
        <w:rPr>
          <w:sz w:val="24"/>
          <w:szCs w:val="24"/>
        </w:rPr>
        <w:t>Dette tab af knogletæthed er særligt bekymrende i ungdommen og tidligt i voksenlivet – en afgørende periode for knoglevækst. Det vides ikke, om brugen af DMPA</w:t>
      </w:r>
      <w:r>
        <w:rPr>
          <w:sz w:val="24"/>
          <w:szCs w:val="24"/>
        </w:rPr>
        <w:t xml:space="preserve"> </w:t>
      </w:r>
      <w:proofErr w:type="spellStart"/>
      <w:r>
        <w:rPr>
          <w:sz w:val="24"/>
          <w:szCs w:val="24"/>
        </w:rPr>
        <w:t>s.c</w:t>
      </w:r>
      <w:proofErr w:type="spellEnd"/>
      <w:r>
        <w:rPr>
          <w:sz w:val="24"/>
          <w:szCs w:val="24"/>
        </w:rPr>
        <w:t xml:space="preserve">. </w:t>
      </w:r>
      <w:r w:rsidRPr="00C3377B">
        <w:rPr>
          <w:sz w:val="24"/>
          <w:szCs w:val="24"/>
        </w:rPr>
        <w:t>hos yngre kvinder vil reducere den maksimale knoglemasse og øge risikoen for fraktur senere i livet</w:t>
      </w:r>
      <w:r>
        <w:rPr>
          <w:sz w:val="24"/>
          <w:szCs w:val="24"/>
        </w:rPr>
        <w:t xml:space="preserve">, </w:t>
      </w:r>
      <w:r w:rsidRPr="00B027FC">
        <w:rPr>
          <w:sz w:val="24"/>
          <w:szCs w:val="24"/>
        </w:rPr>
        <w:t xml:space="preserve">dvs. efter </w:t>
      </w:r>
      <w:r>
        <w:rPr>
          <w:sz w:val="24"/>
          <w:szCs w:val="24"/>
        </w:rPr>
        <w:t>overgangsalderen</w:t>
      </w:r>
      <w:r w:rsidRPr="00C3377B">
        <w:rPr>
          <w:sz w:val="24"/>
          <w:szCs w:val="24"/>
        </w:rPr>
        <w:t>.</w:t>
      </w:r>
    </w:p>
    <w:p w:rsidR="00A456E9" w:rsidRPr="00C3377B" w:rsidRDefault="00A456E9" w:rsidP="00A456E9">
      <w:pPr>
        <w:ind w:left="851" w:hanging="851"/>
        <w:rPr>
          <w:sz w:val="24"/>
          <w:szCs w:val="24"/>
        </w:rPr>
      </w:pPr>
    </w:p>
    <w:p w:rsidR="00A456E9" w:rsidRPr="005B4C29" w:rsidRDefault="00A456E9" w:rsidP="00A456E9">
      <w:pPr>
        <w:ind w:left="851"/>
        <w:rPr>
          <w:sz w:val="24"/>
          <w:szCs w:val="24"/>
        </w:rPr>
      </w:pPr>
      <w:r w:rsidRPr="005B4C29">
        <w:rPr>
          <w:sz w:val="24"/>
          <w:szCs w:val="24"/>
        </w:rPr>
        <w:t>Et studie til vurdering af virkningen af DMPA</w:t>
      </w:r>
      <w:r>
        <w:rPr>
          <w:sz w:val="24"/>
          <w:szCs w:val="24"/>
        </w:rPr>
        <w:t xml:space="preserve"> </w:t>
      </w:r>
      <w:proofErr w:type="spellStart"/>
      <w:r>
        <w:rPr>
          <w:sz w:val="24"/>
          <w:szCs w:val="24"/>
        </w:rPr>
        <w:t>i.m</w:t>
      </w:r>
      <w:proofErr w:type="spellEnd"/>
      <w:r>
        <w:rPr>
          <w:sz w:val="24"/>
          <w:szCs w:val="24"/>
        </w:rPr>
        <w:t>.</w:t>
      </w:r>
      <w:r w:rsidR="007E522B">
        <w:rPr>
          <w:sz w:val="24"/>
          <w:szCs w:val="24"/>
        </w:rPr>
        <w:t xml:space="preserve"> </w:t>
      </w:r>
      <w:r w:rsidRPr="005B4C29">
        <w:rPr>
          <w:sz w:val="24"/>
          <w:szCs w:val="24"/>
        </w:rPr>
        <w:t>(</w:t>
      </w:r>
      <w:proofErr w:type="spellStart"/>
      <w:r w:rsidRPr="005B4C29">
        <w:rPr>
          <w:sz w:val="24"/>
          <w:szCs w:val="24"/>
        </w:rPr>
        <w:t>Depo-Provera</w:t>
      </w:r>
      <w:proofErr w:type="spellEnd"/>
      <w:r w:rsidRPr="005B4C29">
        <w:rPr>
          <w:sz w:val="24"/>
          <w:szCs w:val="24"/>
        </w:rPr>
        <w:t xml:space="preserve">) på knogletætheden hos unge kvinder viste, at brugen af det var forbundet med en statistisk signifikant nedgang i knogletætheden i forhold til baseline. </w:t>
      </w:r>
      <w:r w:rsidRPr="00BB0715">
        <w:rPr>
          <w:sz w:val="24"/>
          <w:szCs w:val="24"/>
        </w:rPr>
        <w:t xml:space="preserve">Efter </w:t>
      </w:r>
      <w:proofErr w:type="spellStart"/>
      <w:r w:rsidRPr="00BB0715">
        <w:rPr>
          <w:sz w:val="24"/>
          <w:szCs w:val="24"/>
        </w:rPr>
        <w:t>seponering</w:t>
      </w:r>
      <w:proofErr w:type="spellEnd"/>
      <w:r w:rsidRPr="00BB0715">
        <w:rPr>
          <w:sz w:val="24"/>
          <w:szCs w:val="24"/>
        </w:rPr>
        <w:t xml:space="preserve"> af DMPA</w:t>
      </w:r>
      <w:r>
        <w:rPr>
          <w:sz w:val="24"/>
          <w:szCs w:val="24"/>
        </w:rPr>
        <w:t xml:space="preserve"> </w:t>
      </w:r>
      <w:proofErr w:type="spellStart"/>
      <w:r>
        <w:rPr>
          <w:sz w:val="24"/>
          <w:szCs w:val="24"/>
        </w:rPr>
        <w:t>i.m</w:t>
      </w:r>
      <w:proofErr w:type="spellEnd"/>
      <w:r>
        <w:rPr>
          <w:sz w:val="24"/>
          <w:szCs w:val="24"/>
        </w:rPr>
        <w:t xml:space="preserve">. </w:t>
      </w:r>
      <w:r w:rsidRPr="00BB0715">
        <w:rPr>
          <w:sz w:val="24"/>
          <w:szCs w:val="24"/>
        </w:rPr>
        <w:t xml:space="preserve">hos unge tog </w:t>
      </w:r>
      <w:r>
        <w:rPr>
          <w:sz w:val="24"/>
          <w:szCs w:val="24"/>
        </w:rPr>
        <w:t xml:space="preserve">det 1,2 år i </w:t>
      </w:r>
      <w:proofErr w:type="spellStart"/>
      <w:r w:rsidRPr="00BB0715">
        <w:rPr>
          <w:sz w:val="24"/>
          <w:szCs w:val="24"/>
        </w:rPr>
        <w:t>columna</w:t>
      </w:r>
      <w:proofErr w:type="spellEnd"/>
      <w:r w:rsidRPr="00BB0715">
        <w:rPr>
          <w:sz w:val="24"/>
          <w:szCs w:val="24"/>
        </w:rPr>
        <w:t xml:space="preserve"> </w:t>
      </w:r>
      <w:proofErr w:type="spellStart"/>
      <w:r w:rsidRPr="00BB0715">
        <w:rPr>
          <w:sz w:val="24"/>
          <w:szCs w:val="24"/>
        </w:rPr>
        <w:t>lumbalis</w:t>
      </w:r>
      <w:proofErr w:type="spellEnd"/>
      <w:r w:rsidRPr="00BB0715">
        <w:rPr>
          <w:sz w:val="24"/>
          <w:szCs w:val="24"/>
        </w:rPr>
        <w:t xml:space="preserve">, 4,6 år </w:t>
      </w:r>
      <w:r>
        <w:rPr>
          <w:sz w:val="24"/>
          <w:szCs w:val="24"/>
        </w:rPr>
        <w:t>i</w:t>
      </w:r>
      <w:r w:rsidRPr="00BB0715">
        <w:rPr>
          <w:sz w:val="24"/>
          <w:szCs w:val="24"/>
        </w:rPr>
        <w:t xml:space="preserve"> hele hoften og </w:t>
      </w:r>
      <w:r w:rsidR="00A44074">
        <w:rPr>
          <w:sz w:val="24"/>
          <w:szCs w:val="24"/>
        </w:rPr>
        <w:t>4,6 </w:t>
      </w:r>
      <w:r w:rsidRPr="00BB0715">
        <w:rPr>
          <w:sz w:val="24"/>
          <w:szCs w:val="24"/>
        </w:rPr>
        <w:t xml:space="preserve">år </w:t>
      </w:r>
      <w:r>
        <w:rPr>
          <w:sz w:val="24"/>
          <w:szCs w:val="24"/>
        </w:rPr>
        <w:t>i</w:t>
      </w:r>
      <w:r w:rsidRPr="00BB0715">
        <w:rPr>
          <w:sz w:val="24"/>
          <w:szCs w:val="24"/>
        </w:rPr>
        <w:t xml:space="preserve"> </w:t>
      </w:r>
      <w:proofErr w:type="spellStart"/>
      <w:r w:rsidRPr="00BB0715">
        <w:rPr>
          <w:sz w:val="24"/>
          <w:szCs w:val="24"/>
        </w:rPr>
        <w:t>collum</w:t>
      </w:r>
      <w:proofErr w:type="spellEnd"/>
      <w:r w:rsidRPr="00BB0715">
        <w:rPr>
          <w:sz w:val="24"/>
          <w:szCs w:val="24"/>
        </w:rPr>
        <w:t xml:space="preserve"> </w:t>
      </w:r>
      <w:proofErr w:type="spellStart"/>
      <w:r w:rsidRPr="00BB0715">
        <w:rPr>
          <w:sz w:val="24"/>
          <w:szCs w:val="24"/>
        </w:rPr>
        <w:t>femoris</w:t>
      </w:r>
      <w:proofErr w:type="spellEnd"/>
      <w:r>
        <w:rPr>
          <w:sz w:val="24"/>
          <w:szCs w:val="24"/>
        </w:rPr>
        <w:t xml:space="preserve"> </w:t>
      </w:r>
      <w:r w:rsidRPr="00FA5C1C">
        <w:rPr>
          <w:sz w:val="24"/>
          <w:szCs w:val="24"/>
        </w:rPr>
        <w:t>for den gennemsnitlige knogletæthed at vende tilbage</w:t>
      </w:r>
      <w:r>
        <w:rPr>
          <w:sz w:val="24"/>
          <w:szCs w:val="24"/>
        </w:rPr>
        <w:t xml:space="preserve"> til baselineværdier</w:t>
      </w:r>
      <w:r w:rsidRPr="00BB0715">
        <w:rPr>
          <w:sz w:val="24"/>
          <w:szCs w:val="24"/>
        </w:rPr>
        <w:t xml:space="preserve"> (se pkt. 5.1). Hos nogle deltagere vendte</w:t>
      </w:r>
      <w:r>
        <w:rPr>
          <w:sz w:val="24"/>
          <w:szCs w:val="24"/>
        </w:rPr>
        <w:t xml:space="preserve"> </w:t>
      </w:r>
      <w:r w:rsidRPr="00BB0715">
        <w:rPr>
          <w:sz w:val="24"/>
          <w:szCs w:val="24"/>
        </w:rPr>
        <w:t xml:space="preserve">knogletætheden </w:t>
      </w:r>
      <w:r>
        <w:rPr>
          <w:sz w:val="24"/>
          <w:szCs w:val="24"/>
        </w:rPr>
        <w:t xml:space="preserve">dog </w:t>
      </w:r>
      <w:r w:rsidRPr="00BB0715">
        <w:rPr>
          <w:sz w:val="24"/>
          <w:szCs w:val="24"/>
        </w:rPr>
        <w:t xml:space="preserve">ikke helt tilbage til baseline under opfølgning, og resultatet på lang sigt er ikke kendt i denne gruppe. </w:t>
      </w:r>
      <w:proofErr w:type="spellStart"/>
      <w:r w:rsidRPr="005B4C29">
        <w:rPr>
          <w:sz w:val="24"/>
          <w:szCs w:val="24"/>
        </w:rPr>
        <w:t>Sayanaject</w:t>
      </w:r>
      <w:proofErr w:type="spellEnd"/>
      <w:r w:rsidRPr="005B4C29">
        <w:rPr>
          <w:sz w:val="24"/>
          <w:szCs w:val="24"/>
        </w:rPr>
        <w:t xml:space="preserve"> kan anvendes hos unge, men kun efter at andre antikonceptionsmetoder har været drøftet med patienterne og er blevet vurderet uegnede eller uacceptable. </w:t>
      </w:r>
    </w:p>
    <w:p w:rsidR="00A456E9" w:rsidRDefault="00A456E9" w:rsidP="00A456E9">
      <w:pPr>
        <w:rPr>
          <w:sz w:val="24"/>
          <w:szCs w:val="24"/>
        </w:rPr>
      </w:pPr>
    </w:p>
    <w:p w:rsidR="00A456E9" w:rsidRDefault="00A456E9" w:rsidP="00A456E9">
      <w:pPr>
        <w:ind w:left="851"/>
        <w:rPr>
          <w:sz w:val="24"/>
          <w:szCs w:val="24"/>
        </w:rPr>
      </w:pPr>
      <w:r w:rsidRPr="00B027FC">
        <w:rPr>
          <w:sz w:val="24"/>
          <w:szCs w:val="24"/>
        </w:rPr>
        <w:t xml:space="preserve">Et stort observationsstudie </w:t>
      </w:r>
      <w:r>
        <w:rPr>
          <w:sz w:val="24"/>
          <w:szCs w:val="24"/>
        </w:rPr>
        <w:t>med hovedsageligt voksne</w:t>
      </w:r>
      <w:r w:rsidRPr="00B027FC">
        <w:rPr>
          <w:sz w:val="24"/>
          <w:szCs w:val="24"/>
        </w:rPr>
        <w:t xml:space="preserve"> kvinde</w:t>
      </w:r>
      <w:r>
        <w:rPr>
          <w:sz w:val="24"/>
          <w:szCs w:val="24"/>
        </w:rPr>
        <w:t>r som brugte</w:t>
      </w:r>
      <w:r w:rsidRPr="00B027FC">
        <w:rPr>
          <w:sz w:val="24"/>
          <w:szCs w:val="24"/>
        </w:rPr>
        <w:t xml:space="preserve"> antikonception viste, at brug af DMPA</w:t>
      </w:r>
      <w:r>
        <w:rPr>
          <w:sz w:val="24"/>
          <w:szCs w:val="24"/>
        </w:rPr>
        <w:t xml:space="preserve"> </w:t>
      </w:r>
      <w:proofErr w:type="spellStart"/>
      <w:r>
        <w:rPr>
          <w:sz w:val="24"/>
          <w:szCs w:val="24"/>
        </w:rPr>
        <w:t>i.m</w:t>
      </w:r>
      <w:proofErr w:type="spellEnd"/>
      <w:r>
        <w:rPr>
          <w:sz w:val="24"/>
          <w:szCs w:val="24"/>
        </w:rPr>
        <w:t>.</w:t>
      </w:r>
      <w:r w:rsidRPr="00B027FC">
        <w:rPr>
          <w:sz w:val="24"/>
          <w:szCs w:val="24"/>
        </w:rPr>
        <w:t xml:space="preserve"> ikke øgede risikoen for knoglefrakturer</w:t>
      </w:r>
      <w:r>
        <w:rPr>
          <w:sz w:val="24"/>
          <w:szCs w:val="24"/>
        </w:rPr>
        <w:t>. Det er vigtigt at bemærke, at dette studie ikke kunne afgøre, om brug af DMPA har e</w:t>
      </w:r>
      <w:r w:rsidRPr="00BB0715">
        <w:rPr>
          <w:sz w:val="24"/>
          <w:szCs w:val="24"/>
        </w:rPr>
        <w:t>n virkning på fraktur</w:t>
      </w:r>
      <w:r>
        <w:rPr>
          <w:sz w:val="24"/>
          <w:szCs w:val="24"/>
        </w:rPr>
        <w:t>hyppigheden</w:t>
      </w:r>
      <w:r w:rsidRPr="00BB0715">
        <w:rPr>
          <w:sz w:val="24"/>
          <w:szCs w:val="24"/>
        </w:rPr>
        <w:t xml:space="preserve"> senere i livet </w:t>
      </w:r>
      <w:r w:rsidRPr="00B027FC">
        <w:rPr>
          <w:sz w:val="24"/>
          <w:szCs w:val="24"/>
        </w:rPr>
        <w:t>(se pkt. 5.1 – Forholdet mellem frakturforekomst og brug af DMPA</w:t>
      </w:r>
      <w:r>
        <w:rPr>
          <w:sz w:val="24"/>
          <w:szCs w:val="24"/>
        </w:rPr>
        <w:t xml:space="preserve"> </w:t>
      </w:r>
      <w:proofErr w:type="spellStart"/>
      <w:r>
        <w:rPr>
          <w:sz w:val="24"/>
          <w:szCs w:val="24"/>
        </w:rPr>
        <w:t>i.m</w:t>
      </w:r>
      <w:proofErr w:type="spellEnd"/>
      <w:r>
        <w:rPr>
          <w:sz w:val="24"/>
          <w:szCs w:val="24"/>
        </w:rPr>
        <w:t>.</w:t>
      </w:r>
      <w:r w:rsidRPr="00B027FC">
        <w:rPr>
          <w:sz w:val="24"/>
          <w:szCs w:val="24"/>
        </w:rPr>
        <w:t xml:space="preserve"> hos kvinder i den fødedygtige alder).</w:t>
      </w:r>
    </w:p>
    <w:p w:rsidR="00A456E9" w:rsidRDefault="00A456E9" w:rsidP="00A456E9">
      <w:pPr>
        <w:ind w:left="851"/>
        <w:rPr>
          <w:sz w:val="24"/>
          <w:szCs w:val="24"/>
        </w:rPr>
      </w:pPr>
    </w:p>
    <w:p w:rsidR="00A456E9" w:rsidRPr="00C3377B" w:rsidRDefault="00A456E9" w:rsidP="00A456E9">
      <w:pPr>
        <w:ind w:left="851"/>
        <w:rPr>
          <w:sz w:val="24"/>
          <w:szCs w:val="24"/>
        </w:rPr>
      </w:pPr>
      <w:r w:rsidRPr="00C3377B">
        <w:rPr>
          <w:sz w:val="24"/>
          <w:szCs w:val="24"/>
        </w:rPr>
        <w:t xml:space="preserve">Hos kvinder i alle aldre bør der foretages en omhyggelig </w:t>
      </w:r>
      <w:proofErr w:type="spellStart"/>
      <w:r w:rsidRPr="00C3377B">
        <w:rPr>
          <w:sz w:val="24"/>
          <w:szCs w:val="24"/>
        </w:rPr>
        <w:t>re-evaluering</w:t>
      </w:r>
      <w:proofErr w:type="spellEnd"/>
      <w:r w:rsidRPr="00C3377B">
        <w:rPr>
          <w:sz w:val="24"/>
          <w:szCs w:val="24"/>
        </w:rPr>
        <w:t xml:space="preserve"> af risici og fordele ved behandlingen for dem, der ønsker at fortsætte brugen i mere end 2 år. Især hos kvinder med signifikant risiko for osteoporose på grund af livsstil og/eller medicinske faktorer bør andre antikonceptionsmetoder overvejes inden brug af </w:t>
      </w:r>
      <w:proofErr w:type="spellStart"/>
      <w:r w:rsidRPr="00C3377B">
        <w:rPr>
          <w:sz w:val="24"/>
          <w:szCs w:val="24"/>
        </w:rPr>
        <w:t>Sayanaject</w:t>
      </w:r>
      <w:proofErr w:type="spellEnd"/>
      <w:r w:rsidRPr="00C3377B">
        <w:rPr>
          <w:sz w:val="24"/>
          <w:szCs w:val="24"/>
        </w:rPr>
        <w:t>.</w:t>
      </w:r>
    </w:p>
    <w:p w:rsidR="00A456E9" w:rsidRPr="00C3377B" w:rsidRDefault="00A456E9" w:rsidP="00A456E9">
      <w:pPr>
        <w:ind w:left="851" w:hanging="851"/>
        <w:rPr>
          <w:sz w:val="24"/>
          <w:szCs w:val="24"/>
        </w:rPr>
      </w:pPr>
    </w:p>
    <w:p w:rsidR="00A456E9" w:rsidRPr="00C3377B" w:rsidRDefault="00A456E9" w:rsidP="00A456E9">
      <w:pPr>
        <w:ind w:left="851"/>
        <w:rPr>
          <w:sz w:val="24"/>
          <w:szCs w:val="24"/>
        </w:rPr>
      </w:pPr>
      <w:r w:rsidRPr="00C3377B">
        <w:rPr>
          <w:sz w:val="24"/>
          <w:szCs w:val="24"/>
        </w:rPr>
        <w:t>Signifikante risikofaktorer for osteoporose omfatter:</w:t>
      </w:r>
    </w:p>
    <w:p w:rsidR="00A456E9" w:rsidRPr="00C3377B" w:rsidRDefault="00A456E9" w:rsidP="00A456E9">
      <w:pPr>
        <w:numPr>
          <w:ilvl w:val="0"/>
          <w:numId w:val="14"/>
        </w:numPr>
        <w:suppressAutoHyphens/>
        <w:ind w:left="1276" w:hanging="425"/>
        <w:rPr>
          <w:b/>
          <w:sz w:val="24"/>
          <w:szCs w:val="24"/>
        </w:rPr>
      </w:pPr>
      <w:r w:rsidRPr="00C3377B">
        <w:rPr>
          <w:sz w:val="24"/>
          <w:szCs w:val="24"/>
        </w:rPr>
        <w:t xml:space="preserve">Alkoholmisbrug og/eller brug af tobak </w:t>
      </w:r>
    </w:p>
    <w:p w:rsidR="00A456E9" w:rsidRPr="00C3377B" w:rsidRDefault="00A456E9" w:rsidP="00A456E9">
      <w:pPr>
        <w:numPr>
          <w:ilvl w:val="0"/>
          <w:numId w:val="14"/>
        </w:numPr>
        <w:suppressAutoHyphens/>
        <w:ind w:left="1276" w:hanging="425"/>
        <w:rPr>
          <w:b/>
          <w:sz w:val="24"/>
          <w:szCs w:val="24"/>
        </w:rPr>
      </w:pPr>
      <w:r w:rsidRPr="00C3377B">
        <w:rPr>
          <w:sz w:val="24"/>
          <w:szCs w:val="24"/>
        </w:rPr>
        <w:t xml:space="preserve">Kronisk brug af lægemidler, der kan reducere knoglemassen, f.eks. </w:t>
      </w:r>
      <w:proofErr w:type="spellStart"/>
      <w:r w:rsidRPr="00C3377B">
        <w:rPr>
          <w:sz w:val="24"/>
          <w:szCs w:val="24"/>
        </w:rPr>
        <w:t>antiepileptika</w:t>
      </w:r>
      <w:proofErr w:type="spellEnd"/>
      <w:r w:rsidRPr="00C3377B">
        <w:rPr>
          <w:sz w:val="24"/>
          <w:szCs w:val="24"/>
        </w:rPr>
        <w:t xml:space="preserve"> eller </w:t>
      </w:r>
      <w:proofErr w:type="spellStart"/>
      <w:r w:rsidRPr="00C3377B">
        <w:rPr>
          <w:sz w:val="24"/>
          <w:szCs w:val="24"/>
        </w:rPr>
        <w:t>kortikosteroider</w:t>
      </w:r>
      <w:proofErr w:type="spellEnd"/>
    </w:p>
    <w:p w:rsidR="00A456E9" w:rsidRPr="00C3377B" w:rsidRDefault="00A456E9" w:rsidP="00A456E9">
      <w:pPr>
        <w:numPr>
          <w:ilvl w:val="0"/>
          <w:numId w:val="14"/>
        </w:numPr>
        <w:suppressAutoHyphens/>
        <w:ind w:left="1276" w:hanging="425"/>
        <w:rPr>
          <w:b/>
          <w:sz w:val="24"/>
          <w:szCs w:val="24"/>
        </w:rPr>
      </w:pPr>
      <w:r w:rsidRPr="00C3377B">
        <w:rPr>
          <w:sz w:val="24"/>
          <w:szCs w:val="24"/>
        </w:rPr>
        <w:t>Lavt BMI eller spiseforstyrrelse, f.eks. anoreksi eller bulimi</w:t>
      </w:r>
    </w:p>
    <w:p w:rsidR="00A456E9" w:rsidRPr="00C3377B" w:rsidRDefault="00A456E9" w:rsidP="00A456E9">
      <w:pPr>
        <w:numPr>
          <w:ilvl w:val="0"/>
          <w:numId w:val="14"/>
        </w:numPr>
        <w:suppressAutoHyphens/>
        <w:ind w:left="1276" w:hanging="425"/>
        <w:rPr>
          <w:b/>
          <w:sz w:val="24"/>
          <w:szCs w:val="24"/>
        </w:rPr>
      </w:pPr>
      <w:r w:rsidRPr="00C3377B">
        <w:rPr>
          <w:sz w:val="24"/>
          <w:szCs w:val="24"/>
        </w:rPr>
        <w:t>Tidligere lavenergifraktur</w:t>
      </w:r>
    </w:p>
    <w:p w:rsidR="00A456E9" w:rsidRPr="00C3377B" w:rsidRDefault="00A456E9" w:rsidP="00A456E9">
      <w:pPr>
        <w:numPr>
          <w:ilvl w:val="0"/>
          <w:numId w:val="14"/>
        </w:numPr>
        <w:ind w:left="1276" w:hanging="425"/>
        <w:rPr>
          <w:sz w:val="24"/>
          <w:szCs w:val="24"/>
        </w:rPr>
      </w:pPr>
      <w:r w:rsidRPr="00C3377B">
        <w:rPr>
          <w:sz w:val="24"/>
          <w:szCs w:val="24"/>
        </w:rPr>
        <w:t>Anamnese med familiær forekomst af osteoporose</w:t>
      </w:r>
    </w:p>
    <w:p w:rsidR="00A456E9" w:rsidRPr="00C3377B" w:rsidRDefault="00A456E9" w:rsidP="00A456E9">
      <w:pPr>
        <w:ind w:left="851" w:hanging="851"/>
        <w:rPr>
          <w:sz w:val="24"/>
          <w:szCs w:val="24"/>
        </w:rPr>
      </w:pPr>
    </w:p>
    <w:p w:rsidR="00A456E9" w:rsidRPr="00C3377B" w:rsidRDefault="00A456E9" w:rsidP="00A456E9">
      <w:pPr>
        <w:ind w:left="851"/>
        <w:rPr>
          <w:sz w:val="24"/>
          <w:szCs w:val="24"/>
        </w:rPr>
      </w:pPr>
      <w:r w:rsidRPr="00C3377B">
        <w:rPr>
          <w:sz w:val="24"/>
          <w:szCs w:val="24"/>
        </w:rPr>
        <w:t>Se pkt. 5.1 for at få yderligere oplysninger om ændringer i knogletætheden hos både voksne og unge kvinder</w:t>
      </w:r>
      <w:r>
        <w:rPr>
          <w:sz w:val="24"/>
          <w:szCs w:val="24"/>
        </w:rPr>
        <w:t>.</w:t>
      </w:r>
      <w:r w:rsidRPr="00C3377B">
        <w:rPr>
          <w:sz w:val="24"/>
          <w:szCs w:val="24"/>
        </w:rPr>
        <w:t xml:space="preserve"> Tilstrækkeligt indtag af </w:t>
      </w:r>
      <w:r>
        <w:rPr>
          <w:sz w:val="24"/>
          <w:szCs w:val="24"/>
        </w:rPr>
        <w:t>c</w:t>
      </w:r>
      <w:r w:rsidRPr="00C3377B">
        <w:rPr>
          <w:sz w:val="24"/>
          <w:szCs w:val="24"/>
        </w:rPr>
        <w:t>alcium og D-vitamin, enten via kosten eller som tilskud, er vigtigt for knoglesundheden hos kvinder i alle aldre.</w:t>
      </w:r>
    </w:p>
    <w:p w:rsidR="00A456E9" w:rsidRPr="00C3377B" w:rsidRDefault="00A456E9" w:rsidP="00A456E9">
      <w:pPr>
        <w:ind w:left="851" w:hanging="851"/>
        <w:rPr>
          <w:sz w:val="24"/>
          <w:szCs w:val="24"/>
        </w:rPr>
      </w:pPr>
    </w:p>
    <w:p w:rsidR="00A456E9" w:rsidRPr="00C3377B" w:rsidRDefault="00A456E9" w:rsidP="00A456E9">
      <w:pPr>
        <w:keepNext/>
        <w:ind w:left="851"/>
        <w:rPr>
          <w:sz w:val="24"/>
          <w:szCs w:val="24"/>
        </w:rPr>
      </w:pPr>
      <w:r w:rsidRPr="00C3377B">
        <w:rPr>
          <w:i/>
          <w:sz w:val="24"/>
          <w:szCs w:val="24"/>
        </w:rPr>
        <w:t>Menstruationsforstyrrelser</w:t>
      </w:r>
      <w:r w:rsidRPr="00C3377B">
        <w:rPr>
          <w:sz w:val="24"/>
          <w:szCs w:val="24"/>
        </w:rPr>
        <w:t xml:space="preserve">: </w:t>
      </w:r>
    </w:p>
    <w:p w:rsidR="00A456E9" w:rsidRPr="00C3377B" w:rsidRDefault="00A456E9" w:rsidP="00A456E9">
      <w:pPr>
        <w:ind w:left="851"/>
        <w:rPr>
          <w:sz w:val="24"/>
          <w:szCs w:val="24"/>
        </w:rPr>
      </w:pPr>
      <w:r w:rsidRPr="00C3377B">
        <w:rPr>
          <w:sz w:val="24"/>
          <w:szCs w:val="24"/>
        </w:rPr>
        <w:t xml:space="preserve">De fleste kvinder, der bruger DMPA-subkutan injektion, har oplevet en ændring i det </w:t>
      </w:r>
      <w:proofErr w:type="spellStart"/>
      <w:r w:rsidRPr="00C3377B">
        <w:rPr>
          <w:sz w:val="24"/>
          <w:szCs w:val="24"/>
        </w:rPr>
        <w:t>menstruelle</w:t>
      </w:r>
      <w:proofErr w:type="spellEnd"/>
      <w:r w:rsidRPr="00C3377B">
        <w:rPr>
          <w:sz w:val="24"/>
          <w:szCs w:val="24"/>
        </w:rPr>
        <w:t xml:space="preserve"> blødningsmønster. Patienter skal have hensigtsmæssig rådgivning om sandsynligheden for menstruationsforstyrrelser og den potentielle forsinkelse af </w:t>
      </w:r>
      <w:r w:rsidRPr="00C3377B">
        <w:rPr>
          <w:sz w:val="24"/>
          <w:szCs w:val="24"/>
        </w:rPr>
        <w:lastRenderedPageBreak/>
        <w:t xml:space="preserve">ovulationen. Ved fortsat brug af DMPA-subkutan injektion oplevede færre kvinder uregelmæssig blødning, og flere oplevede </w:t>
      </w:r>
      <w:proofErr w:type="spellStart"/>
      <w:r w:rsidRPr="00C3377B">
        <w:rPr>
          <w:sz w:val="24"/>
          <w:szCs w:val="24"/>
        </w:rPr>
        <w:t>amenorré</w:t>
      </w:r>
      <w:proofErr w:type="spellEnd"/>
      <w:r w:rsidRPr="00C3377B">
        <w:rPr>
          <w:sz w:val="24"/>
          <w:szCs w:val="24"/>
        </w:rPr>
        <w:t xml:space="preserve">. Efter at have fået den fjerde dosis oplevede 39 % af kvinderne </w:t>
      </w:r>
      <w:proofErr w:type="spellStart"/>
      <w:r w:rsidRPr="00C3377B">
        <w:rPr>
          <w:sz w:val="24"/>
          <w:szCs w:val="24"/>
        </w:rPr>
        <w:t>amenorré</w:t>
      </w:r>
      <w:proofErr w:type="spellEnd"/>
      <w:r w:rsidRPr="00C3377B">
        <w:rPr>
          <w:sz w:val="24"/>
          <w:szCs w:val="24"/>
        </w:rPr>
        <w:t xml:space="preserve"> i løbet af 6. måned</w:t>
      </w:r>
      <w:r w:rsidRPr="00C3377B">
        <w:rPr>
          <w:color w:val="000000"/>
          <w:sz w:val="24"/>
          <w:szCs w:val="24"/>
        </w:rPr>
        <w:t xml:space="preserve">. I løbet af 12. måned oplevede 56,5 % af kvinderne </w:t>
      </w:r>
      <w:proofErr w:type="spellStart"/>
      <w:r w:rsidRPr="00C3377B">
        <w:rPr>
          <w:color w:val="000000"/>
          <w:sz w:val="24"/>
          <w:szCs w:val="24"/>
        </w:rPr>
        <w:t>amenorré</w:t>
      </w:r>
      <w:proofErr w:type="spellEnd"/>
      <w:r w:rsidRPr="00C3377B">
        <w:rPr>
          <w:color w:val="000000"/>
          <w:sz w:val="24"/>
          <w:szCs w:val="24"/>
        </w:rPr>
        <w:t>.</w:t>
      </w:r>
      <w:r w:rsidRPr="00C3377B">
        <w:rPr>
          <w:sz w:val="24"/>
          <w:szCs w:val="24"/>
        </w:rPr>
        <w:t xml:space="preserve"> Ændringerne i menstruationsmønstret fra de tre antikonceptionsforsøg er vist i figur 1 og 2. Figur 1 viser stigningen i procent af kvinder, der oplevede </w:t>
      </w:r>
      <w:proofErr w:type="spellStart"/>
      <w:r w:rsidRPr="00C3377B">
        <w:rPr>
          <w:sz w:val="24"/>
          <w:szCs w:val="24"/>
        </w:rPr>
        <w:t>amenorré</w:t>
      </w:r>
      <w:proofErr w:type="spellEnd"/>
      <w:r w:rsidRPr="00C3377B">
        <w:rPr>
          <w:sz w:val="24"/>
          <w:szCs w:val="24"/>
        </w:rPr>
        <w:t xml:space="preserve"> i 12 måneders studiet. </w:t>
      </w:r>
      <w:r w:rsidRPr="00C3377B">
        <w:rPr>
          <w:color w:val="000000"/>
          <w:sz w:val="24"/>
          <w:szCs w:val="24"/>
        </w:rPr>
        <w:t>Figur 2 viser den procentdel af kvinderne, der oplevede pletblødning alene, blødning alene samt blødning og pletblødning i samme tidsperiode</w:t>
      </w:r>
      <w:r w:rsidRPr="00C3377B">
        <w:rPr>
          <w:sz w:val="24"/>
          <w:szCs w:val="24"/>
        </w:rPr>
        <w:t xml:space="preserve">. Ud over </w:t>
      </w:r>
      <w:proofErr w:type="spellStart"/>
      <w:r w:rsidRPr="00C3377B">
        <w:rPr>
          <w:sz w:val="24"/>
          <w:szCs w:val="24"/>
        </w:rPr>
        <w:t>amenorré</w:t>
      </w:r>
      <w:proofErr w:type="spellEnd"/>
      <w:r w:rsidRPr="00C3377B">
        <w:rPr>
          <w:sz w:val="24"/>
          <w:szCs w:val="24"/>
        </w:rPr>
        <w:t xml:space="preserve"> omfattede ændrede blødningsmønstre </w:t>
      </w:r>
      <w:proofErr w:type="spellStart"/>
      <w:r w:rsidRPr="00C3377B">
        <w:rPr>
          <w:sz w:val="24"/>
          <w:szCs w:val="24"/>
        </w:rPr>
        <w:t>intermenstruel</w:t>
      </w:r>
      <w:proofErr w:type="spellEnd"/>
      <w:r w:rsidRPr="00C3377B">
        <w:rPr>
          <w:sz w:val="24"/>
          <w:szCs w:val="24"/>
        </w:rPr>
        <w:t xml:space="preserve"> blødning, </w:t>
      </w:r>
      <w:proofErr w:type="spellStart"/>
      <w:r w:rsidRPr="00C3377B">
        <w:rPr>
          <w:sz w:val="24"/>
          <w:szCs w:val="24"/>
        </w:rPr>
        <w:t>menorragi</w:t>
      </w:r>
      <w:proofErr w:type="spellEnd"/>
      <w:r w:rsidRPr="00C3377B">
        <w:rPr>
          <w:sz w:val="24"/>
          <w:szCs w:val="24"/>
        </w:rPr>
        <w:t xml:space="preserve"> og </w:t>
      </w:r>
      <w:proofErr w:type="spellStart"/>
      <w:r w:rsidRPr="00C3377B">
        <w:rPr>
          <w:sz w:val="24"/>
          <w:szCs w:val="24"/>
        </w:rPr>
        <w:t>metrorragi</w:t>
      </w:r>
      <w:proofErr w:type="spellEnd"/>
      <w:r w:rsidRPr="00C3377B">
        <w:rPr>
          <w:sz w:val="24"/>
          <w:szCs w:val="24"/>
        </w:rPr>
        <w:t xml:space="preserve">. Hvis unormal blødning i forbindelse med DMPA-subkutan injektion fortsætter eller er meget kraftig, bør der indledes en hensigtsmæssig undersøgelse og behandling. </w:t>
      </w:r>
    </w:p>
    <w:p w:rsidR="00A456E9" w:rsidRPr="00BB79AB" w:rsidRDefault="00A456E9" w:rsidP="00A456E9">
      <w:pPr>
        <w:ind w:left="851" w:hanging="851"/>
        <w:rPr>
          <w:bCs/>
          <w:sz w:val="24"/>
          <w:szCs w:val="24"/>
        </w:rPr>
      </w:pPr>
    </w:p>
    <w:p w:rsidR="00A456E9" w:rsidRPr="00C3377B" w:rsidRDefault="00A456E9" w:rsidP="00A456E9">
      <w:pPr>
        <w:ind w:left="851"/>
        <w:rPr>
          <w:rFonts w:eastAsia="Arial Unicode MS"/>
          <w:b/>
          <w:bCs/>
          <w:vanish/>
          <w:color w:val="000000"/>
          <w:sz w:val="24"/>
          <w:szCs w:val="24"/>
        </w:rPr>
      </w:pPr>
      <w:r w:rsidRPr="00C3377B">
        <w:rPr>
          <w:b/>
          <w:sz w:val="24"/>
          <w:szCs w:val="24"/>
        </w:rPr>
        <w:t xml:space="preserve">Figur 1. Procentdel af kvinder med </w:t>
      </w:r>
      <w:proofErr w:type="spellStart"/>
      <w:r w:rsidRPr="00C3377B">
        <w:rPr>
          <w:b/>
          <w:sz w:val="24"/>
          <w:szCs w:val="24"/>
        </w:rPr>
        <w:t>amenorré</w:t>
      </w:r>
      <w:proofErr w:type="spellEnd"/>
      <w:r w:rsidRPr="00C3377B">
        <w:rPr>
          <w:b/>
          <w:sz w:val="24"/>
          <w:szCs w:val="24"/>
        </w:rPr>
        <w:t xml:space="preserve"> behandlet med DMPA-subkutan injektion pr. 30-dages måned – antikonceptionsstudier</w:t>
      </w:r>
      <w:r w:rsidRPr="00C3377B">
        <w:rPr>
          <w:b/>
          <w:color w:val="000000"/>
          <w:sz w:val="24"/>
          <w:szCs w:val="24"/>
        </w:rPr>
        <w:t xml:space="preserve"> (ITT-population, N=2053)</w:t>
      </w:r>
    </w:p>
    <w:p w:rsidR="00A456E9" w:rsidRPr="00BB79AB" w:rsidRDefault="00A456E9" w:rsidP="00A456E9">
      <w:pPr>
        <w:ind w:left="851" w:hanging="851"/>
        <w:rPr>
          <w:color w:val="000000"/>
          <w:sz w:val="24"/>
          <w:szCs w:val="24"/>
        </w:rPr>
      </w:pPr>
    </w:p>
    <w:p w:rsidR="00A456E9" w:rsidRPr="00C3377B" w:rsidRDefault="00A456E9" w:rsidP="00A456E9">
      <w:pPr>
        <w:ind w:left="851"/>
        <w:rPr>
          <w:b/>
          <w:color w:val="000000"/>
          <w:sz w:val="24"/>
          <w:szCs w:val="24"/>
        </w:rPr>
      </w:pPr>
      <w:r>
        <w:rPr>
          <w:noProof/>
          <w:lang w:eastAsia="da-DK"/>
        </w:rPr>
        <w:drawing>
          <wp:inline distT="0" distB="0" distL="0" distR="0" wp14:anchorId="7FD240CD" wp14:editId="400D02DE">
            <wp:extent cx="5343525" cy="3086100"/>
            <wp:effectExtent l="0" t="0" r="9525" b="0"/>
            <wp:docPr id="2" name="Billede 2" descr="p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3525" cy="3086100"/>
                    </a:xfrm>
                    <a:prstGeom prst="rect">
                      <a:avLst/>
                    </a:prstGeom>
                    <a:noFill/>
                    <a:ln>
                      <a:noFill/>
                    </a:ln>
                  </pic:spPr>
                </pic:pic>
              </a:graphicData>
            </a:graphic>
          </wp:inline>
        </w:drawing>
      </w:r>
    </w:p>
    <w:p w:rsidR="00A456E9" w:rsidRDefault="00A456E9" w:rsidP="00A456E9">
      <w:pPr>
        <w:rPr>
          <w:b/>
          <w:sz w:val="24"/>
          <w:szCs w:val="24"/>
        </w:rPr>
      </w:pPr>
    </w:p>
    <w:p w:rsidR="00A456E9" w:rsidRPr="00C3377B" w:rsidRDefault="00A456E9" w:rsidP="00EA3888">
      <w:pPr>
        <w:keepNext/>
        <w:rPr>
          <w:b/>
          <w:vanish/>
          <w:color w:val="000000"/>
          <w:sz w:val="24"/>
          <w:szCs w:val="24"/>
        </w:rPr>
      </w:pPr>
      <w:r w:rsidRPr="00C3377B">
        <w:rPr>
          <w:b/>
          <w:sz w:val="24"/>
          <w:szCs w:val="24"/>
        </w:rPr>
        <w:lastRenderedPageBreak/>
        <w:t>Figur 2. Procentdel af kvinder med blødning og/eller pletblødning behandlet med DMPA-subkutan injektion pr. 30-dages måned – antikonceptionsstudier</w:t>
      </w:r>
      <w:r w:rsidRPr="00C3377B">
        <w:rPr>
          <w:b/>
          <w:color w:val="000000"/>
          <w:sz w:val="24"/>
          <w:szCs w:val="24"/>
        </w:rPr>
        <w:t xml:space="preserve"> (ITT-population, N=2053)</w:t>
      </w:r>
    </w:p>
    <w:p w:rsidR="00A456E9" w:rsidRPr="00C3377B" w:rsidRDefault="00A456E9" w:rsidP="00EA3888">
      <w:pPr>
        <w:pStyle w:val="Brdtekst2"/>
        <w:keepLines w:val="0"/>
        <w:tabs>
          <w:tab w:val="left" w:pos="360"/>
        </w:tabs>
        <w:ind w:left="851" w:hanging="851"/>
        <w:rPr>
          <w:rFonts w:eastAsia="Batang"/>
          <w:b/>
          <w:bCs/>
          <w:i/>
          <w:iCs/>
          <w:color w:val="000000"/>
          <w:lang w:val="da-DK"/>
        </w:rPr>
      </w:pPr>
    </w:p>
    <w:p w:rsidR="00A456E9" w:rsidRPr="00C3377B" w:rsidRDefault="00A456E9" w:rsidP="00A456E9">
      <w:pPr>
        <w:pStyle w:val="Brdtekst2"/>
        <w:keepNext w:val="0"/>
        <w:keepLines w:val="0"/>
        <w:ind w:left="851"/>
        <w:rPr>
          <w:rFonts w:eastAsia="Batang"/>
          <w:b/>
          <w:bCs/>
          <w:i/>
          <w:iCs/>
          <w:color w:val="000000"/>
          <w:lang w:val="da-DK"/>
        </w:rPr>
      </w:pPr>
      <w:r>
        <w:rPr>
          <w:noProof/>
          <w:lang w:val="da-DK" w:eastAsia="da-DK"/>
        </w:rPr>
        <w:drawing>
          <wp:inline distT="0" distB="0" distL="0" distR="0" wp14:anchorId="4E33C501" wp14:editId="3319A6B5">
            <wp:extent cx="5753100" cy="2714625"/>
            <wp:effectExtent l="0" t="0" r="0" b="9525"/>
            <wp:docPr id="3" name="Billede 2" descr="page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page_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2714625"/>
                    </a:xfrm>
                    <a:prstGeom prst="rect">
                      <a:avLst/>
                    </a:prstGeom>
                    <a:noFill/>
                    <a:ln>
                      <a:noFill/>
                    </a:ln>
                  </pic:spPr>
                </pic:pic>
              </a:graphicData>
            </a:graphic>
          </wp:inline>
        </w:drawing>
      </w:r>
    </w:p>
    <w:p w:rsidR="00A456E9" w:rsidRPr="00C3377B" w:rsidRDefault="00A456E9" w:rsidP="00A456E9">
      <w:pPr>
        <w:ind w:left="851"/>
        <w:rPr>
          <w:sz w:val="24"/>
          <w:szCs w:val="24"/>
        </w:rPr>
      </w:pPr>
    </w:p>
    <w:p w:rsidR="00A456E9" w:rsidRPr="00C3377B" w:rsidRDefault="00A456E9" w:rsidP="00A456E9">
      <w:pPr>
        <w:keepNext/>
        <w:ind w:left="851"/>
        <w:rPr>
          <w:i/>
          <w:iCs/>
          <w:sz w:val="24"/>
          <w:szCs w:val="24"/>
        </w:rPr>
      </w:pPr>
      <w:r w:rsidRPr="00C3377B">
        <w:rPr>
          <w:i/>
          <w:sz w:val="24"/>
          <w:szCs w:val="24"/>
        </w:rPr>
        <w:t>Cancerrisici:</w:t>
      </w:r>
    </w:p>
    <w:p w:rsidR="00A456E9" w:rsidRPr="00C3377B" w:rsidRDefault="00A456E9" w:rsidP="00A456E9">
      <w:pPr>
        <w:ind w:left="851"/>
        <w:rPr>
          <w:color w:val="000000"/>
          <w:sz w:val="24"/>
          <w:szCs w:val="24"/>
        </w:rPr>
      </w:pPr>
      <w:r w:rsidRPr="00C3377B">
        <w:rPr>
          <w:color w:val="000000"/>
          <w:sz w:val="24"/>
          <w:szCs w:val="24"/>
        </w:rPr>
        <w:t xml:space="preserve">Ved case-kontrolleret langtidsovervågning af brugere af 150 mg DMPA </w:t>
      </w:r>
      <w:proofErr w:type="spellStart"/>
      <w:r w:rsidRPr="00C3377B">
        <w:rPr>
          <w:color w:val="000000"/>
          <w:sz w:val="24"/>
          <w:szCs w:val="24"/>
        </w:rPr>
        <w:t>i.m</w:t>
      </w:r>
      <w:proofErr w:type="spellEnd"/>
      <w:r w:rsidRPr="00C3377B">
        <w:rPr>
          <w:color w:val="000000"/>
          <w:sz w:val="24"/>
          <w:szCs w:val="24"/>
        </w:rPr>
        <w:t xml:space="preserve">. blev der ikke fundet nogen generel øget risiko for ovarie-, lever- eller </w:t>
      </w:r>
      <w:proofErr w:type="spellStart"/>
      <w:r w:rsidRPr="00C3377B">
        <w:rPr>
          <w:color w:val="000000"/>
          <w:sz w:val="24"/>
          <w:szCs w:val="24"/>
        </w:rPr>
        <w:t>cervikal</w:t>
      </w:r>
      <w:proofErr w:type="spellEnd"/>
      <w:r w:rsidRPr="00C3377B">
        <w:rPr>
          <w:color w:val="000000"/>
          <w:sz w:val="24"/>
          <w:szCs w:val="24"/>
        </w:rPr>
        <w:t xml:space="preserve"> cancer, men der blev fundet en langvarig, beskyttende virkning med reduktion af risikoen for </w:t>
      </w:r>
      <w:proofErr w:type="spellStart"/>
      <w:r w:rsidRPr="00C3377B">
        <w:rPr>
          <w:color w:val="000000"/>
          <w:sz w:val="24"/>
          <w:szCs w:val="24"/>
        </w:rPr>
        <w:t>endometriecancer</w:t>
      </w:r>
      <w:proofErr w:type="spellEnd"/>
      <w:r w:rsidRPr="00C3377B">
        <w:rPr>
          <w:color w:val="000000"/>
          <w:sz w:val="24"/>
          <w:szCs w:val="24"/>
        </w:rPr>
        <w:t xml:space="preserve"> hos populationen af brugere.  </w:t>
      </w:r>
    </w:p>
    <w:p w:rsidR="00A456E9" w:rsidRPr="00C3377B" w:rsidRDefault="00A456E9" w:rsidP="00A456E9">
      <w:pPr>
        <w:ind w:left="851"/>
        <w:rPr>
          <w:color w:val="000000"/>
          <w:sz w:val="24"/>
          <w:szCs w:val="24"/>
        </w:rPr>
      </w:pPr>
    </w:p>
    <w:p w:rsidR="00A456E9" w:rsidRPr="00C3377B" w:rsidDel="00DB7B49" w:rsidRDefault="00A456E9" w:rsidP="00A456E9">
      <w:pPr>
        <w:ind w:left="851"/>
        <w:rPr>
          <w:color w:val="000000"/>
          <w:sz w:val="24"/>
          <w:szCs w:val="24"/>
        </w:rPr>
      </w:pPr>
      <w:r w:rsidRPr="00C3377B">
        <w:rPr>
          <w:color w:val="000000"/>
          <w:sz w:val="24"/>
          <w:szCs w:val="24"/>
        </w:rPr>
        <w:t>Brystcancer forekommer sjældent blandt kvinder under 40 år, uanset om de anvender hormonelle antikonceptionsmidler eller ej.</w:t>
      </w:r>
    </w:p>
    <w:p w:rsidR="00A456E9" w:rsidRPr="00C3377B" w:rsidRDefault="00A456E9" w:rsidP="00A456E9">
      <w:pPr>
        <w:ind w:left="851"/>
        <w:rPr>
          <w:color w:val="000000"/>
          <w:sz w:val="24"/>
          <w:szCs w:val="24"/>
        </w:rPr>
      </w:pPr>
    </w:p>
    <w:p w:rsidR="00A456E9" w:rsidRDefault="00A456E9" w:rsidP="00A456E9">
      <w:pPr>
        <w:ind w:left="851"/>
        <w:rPr>
          <w:sz w:val="24"/>
          <w:szCs w:val="24"/>
        </w:rPr>
      </w:pPr>
      <w:r w:rsidRPr="00C3377B">
        <w:rPr>
          <w:sz w:val="24"/>
          <w:szCs w:val="24"/>
        </w:rPr>
        <w:t>Resultater fra visse epidemiologiske studier tyder på en lille forskel i risikoen for at få sygdommen hos nuværende og nylige brugere sammenlignet med ikke-brugere. En eventuel øget risiko hos nuværende og nylige DMPA-brugere er lille i forhold til den overordnede risiko for brystcancer, især hos unge kvinder (se nedenfor), og den er ikke tydelig efter 10 år siden sidste anvendelse. Varigheden af brugen synes ikke at være vigtig.</w:t>
      </w:r>
    </w:p>
    <w:p w:rsidR="00A456E9" w:rsidRPr="00C3377B" w:rsidRDefault="00A456E9" w:rsidP="00A456E9">
      <w:pPr>
        <w:ind w:left="851"/>
        <w:rPr>
          <w:sz w:val="24"/>
          <w:szCs w:val="24"/>
        </w:rPr>
      </w:pPr>
    </w:p>
    <w:p w:rsidR="00A456E9" w:rsidRPr="00C3377B" w:rsidRDefault="00A456E9" w:rsidP="00A456E9">
      <w:pPr>
        <w:ind w:left="851"/>
        <w:rPr>
          <w:b/>
          <w:sz w:val="24"/>
          <w:szCs w:val="24"/>
        </w:rPr>
      </w:pPr>
      <w:r w:rsidRPr="00C3377B">
        <w:rPr>
          <w:b/>
          <w:sz w:val="24"/>
          <w:szCs w:val="24"/>
        </w:rPr>
        <w:t xml:space="preserve">Muligt antal yderligere tilfælde af brystcancer diagnosticeret op til 10 år efter ophør med </w:t>
      </w:r>
      <w:proofErr w:type="spellStart"/>
      <w:r w:rsidRPr="00C3377B">
        <w:rPr>
          <w:b/>
          <w:sz w:val="24"/>
          <w:szCs w:val="24"/>
        </w:rPr>
        <w:t>injicerbare</w:t>
      </w:r>
      <w:proofErr w:type="spellEnd"/>
      <w:r w:rsidRPr="00C3377B">
        <w:rPr>
          <w:b/>
          <w:sz w:val="24"/>
          <w:szCs w:val="24"/>
        </w:rPr>
        <w:t xml:space="preserve"> </w:t>
      </w:r>
      <w:proofErr w:type="spellStart"/>
      <w:r w:rsidRPr="00C3377B">
        <w:rPr>
          <w:b/>
          <w:sz w:val="24"/>
          <w:szCs w:val="24"/>
        </w:rPr>
        <w:t>progestogener</w:t>
      </w:r>
      <w:proofErr w:type="spellEnd"/>
      <w:r w:rsidRPr="00C3377B">
        <w:rPr>
          <w:b/>
          <w:sz w:val="24"/>
          <w:szCs w:val="24"/>
        </w:rPr>
        <w:t>*</w:t>
      </w:r>
    </w:p>
    <w:p w:rsidR="00A456E9" w:rsidRPr="00C3377B" w:rsidRDefault="00A456E9" w:rsidP="00A456E9">
      <w:pPr>
        <w:ind w:left="851"/>
        <w:rPr>
          <w:b/>
          <w:sz w:val="24"/>
          <w:szCs w:val="24"/>
        </w:rPr>
      </w:pPr>
    </w:p>
    <w:tbl>
      <w:tblPr>
        <w:tblW w:w="0" w:type="auto"/>
        <w:tblInd w:w="959" w:type="dxa"/>
        <w:tblCellMar>
          <w:left w:w="0" w:type="dxa"/>
          <w:right w:w="0" w:type="dxa"/>
        </w:tblCellMar>
        <w:tblLook w:val="0000" w:firstRow="0" w:lastRow="0" w:firstColumn="0" w:lastColumn="0" w:noHBand="0" w:noVBand="0"/>
      </w:tblPr>
      <w:tblGrid>
        <w:gridCol w:w="2835"/>
        <w:gridCol w:w="2840"/>
        <w:gridCol w:w="2840"/>
      </w:tblGrid>
      <w:tr w:rsidR="00A456E9" w:rsidRPr="00C3377B" w:rsidTr="007E522B">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456E9" w:rsidRPr="00C3377B" w:rsidRDefault="00A456E9" w:rsidP="007E522B">
            <w:pPr>
              <w:pStyle w:val="TableText"/>
              <w:rPr>
                <w:rFonts w:cs="Times New Roman"/>
                <w:sz w:val="24"/>
                <w:szCs w:val="24"/>
                <w:lang w:val="da-DK"/>
              </w:rPr>
            </w:pPr>
            <w:r w:rsidRPr="00C3377B">
              <w:rPr>
                <w:rFonts w:cs="Times New Roman"/>
                <w:sz w:val="24"/>
                <w:szCs w:val="24"/>
                <w:lang w:val="da-DK"/>
              </w:rPr>
              <w:t>Alder ved sidste brug af DMPA</w:t>
            </w:r>
          </w:p>
        </w:tc>
        <w:tc>
          <w:tcPr>
            <w:tcW w:w="28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56E9" w:rsidRPr="00C3377B" w:rsidRDefault="00A456E9" w:rsidP="007E522B">
            <w:pPr>
              <w:pStyle w:val="TableText"/>
              <w:rPr>
                <w:rFonts w:cs="Times New Roman"/>
                <w:sz w:val="24"/>
                <w:szCs w:val="24"/>
                <w:lang w:val="da-DK"/>
              </w:rPr>
            </w:pPr>
            <w:r w:rsidRPr="00C3377B">
              <w:rPr>
                <w:rFonts w:cs="Times New Roman"/>
                <w:sz w:val="24"/>
                <w:szCs w:val="24"/>
                <w:lang w:val="da-DK"/>
              </w:rPr>
              <w:t xml:space="preserve">Antal tilfælde pr. 10.000 kvinder, der er ikke-brugere </w:t>
            </w:r>
          </w:p>
        </w:tc>
        <w:tc>
          <w:tcPr>
            <w:tcW w:w="28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456E9" w:rsidRPr="00C3377B" w:rsidRDefault="00A456E9" w:rsidP="007E522B">
            <w:pPr>
              <w:pStyle w:val="TableText"/>
              <w:rPr>
                <w:rFonts w:cs="Times New Roman"/>
                <w:sz w:val="24"/>
                <w:szCs w:val="24"/>
                <w:lang w:val="da-DK"/>
              </w:rPr>
            </w:pPr>
            <w:r w:rsidRPr="00C3377B">
              <w:rPr>
                <w:rFonts w:cs="Times New Roman"/>
                <w:sz w:val="24"/>
                <w:szCs w:val="24"/>
                <w:lang w:val="da-DK"/>
              </w:rPr>
              <w:t>Mulige yderligere tilfælde pr. 10.000 DMPA-brugere</w:t>
            </w:r>
          </w:p>
        </w:tc>
      </w:tr>
      <w:tr w:rsidR="00A456E9" w:rsidRPr="00C3377B" w:rsidTr="007E522B">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6E9" w:rsidRPr="00C3377B" w:rsidRDefault="00A456E9" w:rsidP="007E522B">
            <w:pPr>
              <w:pStyle w:val="TableText"/>
              <w:rPr>
                <w:rFonts w:cs="Times New Roman"/>
                <w:sz w:val="24"/>
                <w:szCs w:val="24"/>
                <w:lang w:val="da-DK"/>
              </w:rPr>
            </w:pPr>
            <w:r w:rsidRPr="00C3377B">
              <w:rPr>
                <w:rFonts w:cs="Times New Roman"/>
                <w:sz w:val="24"/>
                <w:szCs w:val="24"/>
                <w:lang w:val="da-DK"/>
              </w:rPr>
              <w:t>20</w:t>
            </w:r>
          </w:p>
        </w:tc>
        <w:tc>
          <w:tcPr>
            <w:tcW w:w="2840" w:type="dxa"/>
            <w:tcBorders>
              <w:top w:val="nil"/>
              <w:left w:val="nil"/>
              <w:bottom w:val="single" w:sz="8" w:space="0" w:color="auto"/>
              <w:right w:val="single" w:sz="8" w:space="0" w:color="auto"/>
            </w:tcBorders>
            <w:tcMar>
              <w:top w:w="0" w:type="dxa"/>
              <w:left w:w="108" w:type="dxa"/>
              <w:bottom w:w="0" w:type="dxa"/>
              <w:right w:w="108" w:type="dxa"/>
            </w:tcMar>
          </w:tcPr>
          <w:p w:rsidR="00A456E9" w:rsidRPr="00C3377B" w:rsidRDefault="00A456E9" w:rsidP="007E522B">
            <w:pPr>
              <w:pStyle w:val="TableText"/>
              <w:rPr>
                <w:rFonts w:cs="Times New Roman"/>
                <w:sz w:val="24"/>
                <w:szCs w:val="24"/>
                <w:lang w:val="da-DK"/>
              </w:rPr>
            </w:pPr>
            <w:r w:rsidRPr="00C3377B">
              <w:rPr>
                <w:rFonts w:cs="Times New Roman"/>
                <w:sz w:val="24"/>
                <w:szCs w:val="24"/>
                <w:lang w:val="da-DK"/>
              </w:rPr>
              <w:t xml:space="preserve">Færre end 1 </w:t>
            </w:r>
          </w:p>
        </w:tc>
        <w:tc>
          <w:tcPr>
            <w:tcW w:w="2840" w:type="dxa"/>
            <w:tcBorders>
              <w:top w:val="nil"/>
              <w:left w:val="nil"/>
              <w:bottom w:val="single" w:sz="8" w:space="0" w:color="auto"/>
              <w:right w:val="single" w:sz="8" w:space="0" w:color="auto"/>
            </w:tcBorders>
            <w:tcMar>
              <w:top w:w="0" w:type="dxa"/>
              <w:left w:w="108" w:type="dxa"/>
              <w:bottom w:w="0" w:type="dxa"/>
              <w:right w:w="108" w:type="dxa"/>
            </w:tcMar>
          </w:tcPr>
          <w:p w:rsidR="00A456E9" w:rsidRPr="00C3377B" w:rsidRDefault="00A456E9" w:rsidP="007E522B">
            <w:pPr>
              <w:pStyle w:val="TableText"/>
              <w:rPr>
                <w:rFonts w:cs="Times New Roman"/>
                <w:sz w:val="24"/>
                <w:szCs w:val="24"/>
                <w:lang w:val="da-DK"/>
              </w:rPr>
            </w:pPr>
            <w:r w:rsidRPr="00C3377B">
              <w:rPr>
                <w:rFonts w:cs="Times New Roman"/>
                <w:sz w:val="24"/>
                <w:szCs w:val="24"/>
                <w:lang w:val="da-DK"/>
              </w:rPr>
              <w:t>Langt færre end 1</w:t>
            </w:r>
          </w:p>
        </w:tc>
      </w:tr>
      <w:tr w:rsidR="00A456E9" w:rsidRPr="00C3377B" w:rsidTr="007E522B">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6E9" w:rsidRPr="00C3377B" w:rsidRDefault="00A456E9" w:rsidP="007E522B">
            <w:pPr>
              <w:pStyle w:val="TableText"/>
              <w:rPr>
                <w:rFonts w:cs="Times New Roman"/>
                <w:sz w:val="24"/>
                <w:szCs w:val="24"/>
                <w:lang w:val="da-DK"/>
              </w:rPr>
            </w:pPr>
            <w:r w:rsidRPr="00C3377B">
              <w:rPr>
                <w:rFonts w:cs="Times New Roman"/>
                <w:sz w:val="24"/>
                <w:szCs w:val="24"/>
                <w:lang w:val="da-DK"/>
              </w:rPr>
              <w:t>30</w:t>
            </w:r>
          </w:p>
        </w:tc>
        <w:tc>
          <w:tcPr>
            <w:tcW w:w="2840" w:type="dxa"/>
            <w:tcBorders>
              <w:top w:val="nil"/>
              <w:left w:val="nil"/>
              <w:bottom w:val="single" w:sz="8" w:space="0" w:color="auto"/>
              <w:right w:val="single" w:sz="8" w:space="0" w:color="auto"/>
            </w:tcBorders>
            <w:tcMar>
              <w:top w:w="0" w:type="dxa"/>
              <w:left w:w="108" w:type="dxa"/>
              <w:bottom w:w="0" w:type="dxa"/>
              <w:right w:w="108" w:type="dxa"/>
            </w:tcMar>
          </w:tcPr>
          <w:p w:rsidR="00A456E9" w:rsidRPr="00C3377B" w:rsidRDefault="00A456E9" w:rsidP="007E522B">
            <w:pPr>
              <w:pStyle w:val="TableText"/>
              <w:rPr>
                <w:rFonts w:cs="Times New Roman"/>
                <w:sz w:val="24"/>
                <w:szCs w:val="24"/>
                <w:lang w:val="da-DK"/>
              </w:rPr>
            </w:pPr>
            <w:r w:rsidRPr="00C3377B">
              <w:rPr>
                <w:rFonts w:cs="Times New Roman"/>
                <w:sz w:val="24"/>
                <w:szCs w:val="24"/>
                <w:lang w:val="da-DK"/>
              </w:rPr>
              <w:t>44 </w:t>
            </w:r>
          </w:p>
        </w:tc>
        <w:tc>
          <w:tcPr>
            <w:tcW w:w="2840" w:type="dxa"/>
            <w:tcBorders>
              <w:top w:val="nil"/>
              <w:left w:val="nil"/>
              <w:bottom w:val="single" w:sz="8" w:space="0" w:color="auto"/>
              <w:right w:val="single" w:sz="8" w:space="0" w:color="auto"/>
            </w:tcBorders>
            <w:tcMar>
              <w:top w:w="0" w:type="dxa"/>
              <w:left w:w="108" w:type="dxa"/>
              <w:bottom w:w="0" w:type="dxa"/>
              <w:right w:w="108" w:type="dxa"/>
            </w:tcMar>
          </w:tcPr>
          <w:p w:rsidR="00A456E9" w:rsidRPr="00C3377B" w:rsidRDefault="00A456E9" w:rsidP="007E522B">
            <w:pPr>
              <w:pStyle w:val="TableText"/>
              <w:rPr>
                <w:rFonts w:cs="Times New Roman"/>
                <w:sz w:val="24"/>
                <w:szCs w:val="24"/>
                <w:lang w:val="da-DK"/>
              </w:rPr>
            </w:pPr>
            <w:r w:rsidRPr="00C3377B">
              <w:rPr>
                <w:rFonts w:cs="Times New Roman"/>
                <w:sz w:val="24"/>
                <w:szCs w:val="24"/>
                <w:lang w:val="da-DK"/>
              </w:rPr>
              <w:t>2-3</w:t>
            </w:r>
          </w:p>
        </w:tc>
      </w:tr>
      <w:tr w:rsidR="00A456E9" w:rsidRPr="00C3377B" w:rsidTr="007E522B">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456E9" w:rsidRPr="00C3377B" w:rsidRDefault="00A456E9" w:rsidP="007E522B">
            <w:pPr>
              <w:pStyle w:val="TableText"/>
              <w:rPr>
                <w:rFonts w:cs="Times New Roman"/>
                <w:sz w:val="24"/>
                <w:szCs w:val="24"/>
                <w:lang w:val="da-DK"/>
              </w:rPr>
            </w:pPr>
            <w:r w:rsidRPr="00C3377B">
              <w:rPr>
                <w:rFonts w:cs="Times New Roman"/>
                <w:sz w:val="24"/>
                <w:szCs w:val="24"/>
                <w:lang w:val="da-DK"/>
              </w:rPr>
              <w:t>40</w:t>
            </w:r>
          </w:p>
        </w:tc>
        <w:tc>
          <w:tcPr>
            <w:tcW w:w="2840" w:type="dxa"/>
            <w:tcBorders>
              <w:top w:val="nil"/>
              <w:left w:val="nil"/>
              <w:bottom w:val="single" w:sz="8" w:space="0" w:color="auto"/>
              <w:right w:val="single" w:sz="8" w:space="0" w:color="auto"/>
            </w:tcBorders>
            <w:tcMar>
              <w:top w:w="0" w:type="dxa"/>
              <w:left w:w="108" w:type="dxa"/>
              <w:bottom w:w="0" w:type="dxa"/>
              <w:right w:w="108" w:type="dxa"/>
            </w:tcMar>
          </w:tcPr>
          <w:p w:rsidR="00A456E9" w:rsidRPr="00C3377B" w:rsidRDefault="00A456E9" w:rsidP="007E522B">
            <w:pPr>
              <w:pStyle w:val="TableText"/>
              <w:rPr>
                <w:rFonts w:cs="Times New Roman"/>
                <w:sz w:val="24"/>
                <w:szCs w:val="24"/>
                <w:lang w:val="da-DK"/>
              </w:rPr>
            </w:pPr>
            <w:r w:rsidRPr="00C3377B">
              <w:rPr>
                <w:rFonts w:cs="Times New Roman"/>
                <w:sz w:val="24"/>
                <w:szCs w:val="24"/>
                <w:lang w:val="da-DK"/>
              </w:rPr>
              <w:t>160</w:t>
            </w:r>
          </w:p>
        </w:tc>
        <w:tc>
          <w:tcPr>
            <w:tcW w:w="2840" w:type="dxa"/>
            <w:tcBorders>
              <w:top w:val="nil"/>
              <w:left w:val="nil"/>
              <w:bottom w:val="single" w:sz="8" w:space="0" w:color="auto"/>
              <w:right w:val="single" w:sz="8" w:space="0" w:color="auto"/>
            </w:tcBorders>
            <w:tcMar>
              <w:top w:w="0" w:type="dxa"/>
              <w:left w:w="108" w:type="dxa"/>
              <w:bottom w:w="0" w:type="dxa"/>
              <w:right w:w="108" w:type="dxa"/>
            </w:tcMar>
          </w:tcPr>
          <w:p w:rsidR="00A456E9" w:rsidRPr="00C3377B" w:rsidRDefault="00A456E9" w:rsidP="007E522B">
            <w:pPr>
              <w:pStyle w:val="TableText"/>
              <w:rPr>
                <w:rFonts w:cs="Times New Roman"/>
                <w:sz w:val="24"/>
                <w:szCs w:val="24"/>
                <w:lang w:val="da-DK"/>
              </w:rPr>
            </w:pPr>
            <w:r w:rsidRPr="00C3377B">
              <w:rPr>
                <w:rFonts w:cs="Times New Roman"/>
                <w:sz w:val="24"/>
                <w:szCs w:val="24"/>
                <w:lang w:val="da-DK"/>
              </w:rPr>
              <w:t>10</w:t>
            </w:r>
          </w:p>
        </w:tc>
      </w:tr>
    </w:tbl>
    <w:p w:rsidR="00A456E9" w:rsidRPr="00C3377B" w:rsidRDefault="00A456E9" w:rsidP="00A456E9">
      <w:pPr>
        <w:pStyle w:val="TableTextFootnote"/>
        <w:ind w:left="851"/>
        <w:rPr>
          <w:sz w:val="24"/>
          <w:szCs w:val="24"/>
          <w:lang w:val="da-DK"/>
        </w:rPr>
      </w:pPr>
      <w:r w:rsidRPr="00C3377B">
        <w:rPr>
          <w:sz w:val="24"/>
          <w:szCs w:val="24"/>
          <w:lang w:val="da-DK"/>
        </w:rPr>
        <w:t>*baseret på brug i 5 år</w:t>
      </w:r>
    </w:p>
    <w:p w:rsidR="00A456E9" w:rsidRPr="00C3377B" w:rsidRDefault="00A456E9" w:rsidP="00A456E9">
      <w:pPr>
        <w:tabs>
          <w:tab w:val="left" w:pos="360"/>
        </w:tabs>
        <w:ind w:left="851" w:hanging="851"/>
        <w:rPr>
          <w:snapToGrid w:val="0"/>
          <w:sz w:val="24"/>
          <w:szCs w:val="24"/>
        </w:rPr>
      </w:pPr>
    </w:p>
    <w:p w:rsidR="00A456E9" w:rsidRPr="00C3377B" w:rsidRDefault="00A456E9" w:rsidP="00A456E9">
      <w:pPr>
        <w:ind w:left="851"/>
        <w:rPr>
          <w:i/>
          <w:iCs/>
          <w:sz w:val="24"/>
          <w:szCs w:val="24"/>
        </w:rPr>
      </w:pPr>
      <w:proofErr w:type="spellStart"/>
      <w:r w:rsidRPr="00C3377B">
        <w:rPr>
          <w:i/>
          <w:iCs/>
          <w:sz w:val="24"/>
          <w:szCs w:val="24"/>
        </w:rPr>
        <w:t>Tromboemboliske</w:t>
      </w:r>
      <w:proofErr w:type="spellEnd"/>
      <w:r w:rsidRPr="00C3377B">
        <w:rPr>
          <w:i/>
          <w:iCs/>
          <w:sz w:val="24"/>
          <w:szCs w:val="24"/>
        </w:rPr>
        <w:t xml:space="preserve"> sygdomme</w:t>
      </w:r>
    </w:p>
    <w:p w:rsidR="00A456E9" w:rsidRPr="00C3377B" w:rsidRDefault="00A456E9" w:rsidP="00A456E9">
      <w:pPr>
        <w:ind w:left="851"/>
        <w:rPr>
          <w:sz w:val="24"/>
          <w:szCs w:val="24"/>
        </w:rPr>
      </w:pPr>
      <w:r w:rsidRPr="00C3377B">
        <w:rPr>
          <w:sz w:val="24"/>
          <w:szCs w:val="24"/>
        </w:rPr>
        <w:t xml:space="preserve">Selvom MPA ikke er blevet kausalt forbundet med induktion af </w:t>
      </w:r>
      <w:proofErr w:type="spellStart"/>
      <w:r w:rsidRPr="00C3377B">
        <w:rPr>
          <w:sz w:val="24"/>
          <w:szCs w:val="24"/>
        </w:rPr>
        <w:t>trombotiske</w:t>
      </w:r>
      <w:proofErr w:type="spellEnd"/>
      <w:r w:rsidRPr="00C3377B">
        <w:rPr>
          <w:sz w:val="24"/>
          <w:szCs w:val="24"/>
        </w:rPr>
        <w:t xml:space="preserve"> eller </w:t>
      </w:r>
      <w:proofErr w:type="spellStart"/>
      <w:r w:rsidRPr="00C3377B">
        <w:rPr>
          <w:sz w:val="24"/>
          <w:szCs w:val="24"/>
        </w:rPr>
        <w:t>tromboemboliske</w:t>
      </w:r>
      <w:proofErr w:type="spellEnd"/>
      <w:r w:rsidRPr="00C3377B">
        <w:rPr>
          <w:sz w:val="24"/>
          <w:szCs w:val="24"/>
        </w:rPr>
        <w:t xml:space="preserve"> sygdomme, bør der ikke ske fornyet administration af </w:t>
      </w:r>
      <w:proofErr w:type="spellStart"/>
      <w:r w:rsidRPr="00C3377B">
        <w:rPr>
          <w:sz w:val="24"/>
          <w:szCs w:val="24"/>
        </w:rPr>
        <w:t>Sayanaject</w:t>
      </w:r>
      <w:proofErr w:type="spellEnd"/>
      <w:r w:rsidRPr="00C3377B">
        <w:rPr>
          <w:sz w:val="24"/>
          <w:szCs w:val="24"/>
        </w:rPr>
        <w:t xml:space="preserve"> til patienter, der udvikler en sådan lidelse, f.eks. </w:t>
      </w:r>
      <w:proofErr w:type="spellStart"/>
      <w:r w:rsidRPr="00C3377B">
        <w:rPr>
          <w:sz w:val="24"/>
          <w:szCs w:val="24"/>
        </w:rPr>
        <w:t>lungeemboli</w:t>
      </w:r>
      <w:proofErr w:type="spellEnd"/>
      <w:r w:rsidRPr="00C3377B">
        <w:rPr>
          <w:sz w:val="24"/>
          <w:szCs w:val="24"/>
        </w:rPr>
        <w:t xml:space="preserve">, </w:t>
      </w:r>
      <w:proofErr w:type="spellStart"/>
      <w:r w:rsidRPr="00C3377B">
        <w:rPr>
          <w:sz w:val="24"/>
          <w:szCs w:val="24"/>
        </w:rPr>
        <w:t>cerebralvaskulær</w:t>
      </w:r>
      <w:proofErr w:type="spellEnd"/>
      <w:r w:rsidRPr="00C3377B">
        <w:rPr>
          <w:sz w:val="24"/>
          <w:szCs w:val="24"/>
        </w:rPr>
        <w:t xml:space="preserve"> sygdom eller </w:t>
      </w:r>
      <w:proofErr w:type="spellStart"/>
      <w:r w:rsidRPr="00C3377B">
        <w:rPr>
          <w:sz w:val="24"/>
          <w:szCs w:val="24"/>
        </w:rPr>
        <w:t>retinal</w:t>
      </w:r>
      <w:proofErr w:type="spellEnd"/>
      <w:r w:rsidRPr="00C3377B">
        <w:rPr>
          <w:sz w:val="24"/>
          <w:szCs w:val="24"/>
        </w:rPr>
        <w:t xml:space="preserve"> trombose eller dyb venetrombose, mens de behandles med </w:t>
      </w:r>
      <w:proofErr w:type="spellStart"/>
      <w:r w:rsidRPr="00C3377B">
        <w:rPr>
          <w:sz w:val="24"/>
          <w:szCs w:val="24"/>
        </w:rPr>
        <w:t>Sayanaject</w:t>
      </w:r>
      <w:proofErr w:type="spellEnd"/>
      <w:r w:rsidRPr="00C3377B">
        <w:rPr>
          <w:sz w:val="24"/>
          <w:szCs w:val="24"/>
        </w:rPr>
        <w:t xml:space="preserve">. Kvinder med </w:t>
      </w:r>
      <w:proofErr w:type="spellStart"/>
      <w:r w:rsidRPr="00C3377B">
        <w:rPr>
          <w:sz w:val="24"/>
          <w:szCs w:val="24"/>
        </w:rPr>
        <w:lastRenderedPageBreak/>
        <w:t>tromboliske</w:t>
      </w:r>
      <w:proofErr w:type="spellEnd"/>
      <w:r w:rsidRPr="00C3377B">
        <w:rPr>
          <w:sz w:val="24"/>
          <w:szCs w:val="24"/>
        </w:rPr>
        <w:t xml:space="preserve"> sygdomme i anamnesen er ikke blevet undersøgt i kliniske forsøg, og der foreligger ingen data, som kan understøtte sikkerheden af brug af </w:t>
      </w:r>
      <w:proofErr w:type="spellStart"/>
      <w:r w:rsidRPr="00C3377B">
        <w:rPr>
          <w:sz w:val="24"/>
          <w:szCs w:val="24"/>
        </w:rPr>
        <w:t>Sayanaject</w:t>
      </w:r>
      <w:proofErr w:type="spellEnd"/>
      <w:r w:rsidRPr="00C3377B">
        <w:rPr>
          <w:sz w:val="24"/>
          <w:szCs w:val="24"/>
        </w:rPr>
        <w:t xml:space="preserve"> hos denne population.</w:t>
      </w:r>
    </w:p>
    <w:p w:rsidR="00A456E9" w:rsidRPr="00C3377B" w:rsidRDefault="00A456E9" w:rsidP="00A456E9">
      <w:pPr>
        <w:ind w:left="851" w:hanging="851"/>
        <w:rPr>
          <w:sz w:val="24"/>
          <w:szCs w:val="24"/>
        </w:rPr>
      </w:pPr>
    </w:p>
    <w:p w:rsidR="00A456E9" w:rsidRPr="00C3377B" w:rsidRDefault="00A456E9" w:rsidP="00A456E9">
      <w:pPr>
        <w:ind w:left="851"/>
        <w:rPr>
          <w:i/>
          <w:iCs/>
          <w:sz w:val="24"/>
          <w:szCs w:val="24"/>
        </w:rPr>
      </w:pPr>
      <w:r w:rsidRPr="00C3377B">
        <w:rPr>
          <w:i/>
          <w:iCs/>
          <w:sz w:val="24"/>
          <w:szCs w:val="24"/>
        </w:rPr>
        <w:t xml:space="preserve">Anafylaksi og </w:t>
      </w:r>
      <w:proofErr w:type="spellStart"/>
      <w:r w:rsidRPr="00C3377B">
        <w:rPr>
          <w:i/>
          <w:iCs/>
          <w:sz w:val="24"/>
          <w:szCs w:val="24"/>
        </w:rPr>
        <w:t>anafylaktiske</w:t>
      </w:r>
      <w:proofErr w:type="spellEnd"/>
      <w:r w:rsidRPr="00C3377B">
        <w:rPr>
          <w:i/>
          <w:iCs/>
          <w:sz w:val="24"/>
          <w:szCs w:val="24"/>
        </w:rPr>
        <w:t xml:space="preserve"> reaktioner</w:t>
      </w:r>
    </w:p>
    <w:p w:rsidR="00A456E9" w:rsidRPr="00C3377B" w:rsidRDefault="00A456E9" w:rsidP="00A456E9">
      <w:pPr>
        <w:ind w:left="851"/>
        <w:rPr>
          <w:sz w:val="24"/>
          <w:szCs w:val="24"/>
        </w:rPr>
      </w:pPr>
      <w:r w:rsidRPr="00C3377B">
        <w:rPr>
          <w:sz w:val="24"/>
          <w:szCs w:val="24"/>
        </w:rPr>
        <w:t xml:space="preserve">Hvis der forekommer en </w:t>
      </w:r>
      <w:proofErr w:type="spellStart"/>
      <w:r w:rsidRPr="00C3377B">
        <w:rPr>
          <w:sz w:val="24"/>
          <w:szCs w:val="24"/>
        </w:rPr>
        <w:t>anafylaktisk</w:t>
      </w:r>
      <w:proofErr w:type="spellEnd"/>
      <w:r w:rsidRPr="00C3377B">
        <w:rPr>
          <w:sz w:val="24"/>
          <w:szCs w:val="24"/>
        </w:rPr>
        <w:t xml:space="preserve"> reaktion, skal der indledes passende behandling. Alvorlige </w:t>
      </w:r>
      <w:proofErr w:type="spellStart"/>
      <w:r w:rsidRPr="00C3377B">
        <w:rPr>
          <w:sz w:val="24"/>
          <w:szCs w:val="24"/>
        </w:rPr>
        <w:t>anafylaktiske</w:t>
      </w:r>
      <w:proofErr w:type="spellEnd"/>
      <w:r w:rsidRPr="00C3377B">
        <w:rPr>
          <w:sz w:val="24"/>
          <w:szCs w:val="24"/>
        </w:rPr>
        <w:t xml:space="preserve"> reaktioner kræver akut lægebehandling.</w:t>
      </w:r>
    </w:p>
    <w:p w:rsidR="00A456E9" w:rsidRPr="00C3377B" w:rsidRDefault="00A456E9" w:rsidP="00A456E9">
      <w:pPr>
        <w:ind w:left="851" w:hanging="851"/>
        <w:rPr>
          <w:i/>
          <w:iCs/>
          <w:sz w:val="24"/>
          <w:szCs w:val="24"/>
        </w:rPr>
      </w:pPr>
    </w:p>
    <w:p w:rsidR="00A456E9" w:rsidRPr="00C3377B" w:rsidRDefault="00A456E9" w:rsidP="00A456E9">
      <w:pPr>
        <w:ind w:left="851"/>
        <w:rPr>
          <w:i/>
          <w:iCs/>
          <w:sz w:val="24"/>
          <w:szCs w:val="24"/>
        </w:rPr>
      </w:pPr>
      <w:r w:rsidRPr="00C3377B">
        <w:rPr>
          <w:i/>
          <w:iCs/>
          <w:sz w:val="24"/>
          <w:szCs w:val="24"/>
        </w:rPr>
        <w:t>Øjensygdomme</w:t>
      </w:r>
    </w:p>
    <w:p w:rsidR="00A456E9" w:rsidRPr="00C3377B" w:rsidRDefault="00A456E9" w:rsidP="00A456E9">
      <w:pPr>
        <w:ind w:left="851"/>
        <w:rPr>
          <w:b/>
          <w:bCs/>
          <w:sz w:val="24"/>
          <w:szCs w:val="24"/>
        </w:rPr>
      </w:pPr>
      <w:r w:rsidRPr="00C3377B">
        <w:rPr>
          <w:sz w:val="24"/>
          <w:szCs w:val="24"/>
        </w:rPr>
        <w:t xml:space="preserve">Lægemidlet må ikke administreres igen, før der er foretaget en undersøgelse, hvis der pludselig forekommer delvist eller fuldstændigt synstab, eller hvis der pludselig opstår </w:t>
      </w:r>
      <w:proofErr w:type="spellStart"/>
      <w:r w:rsidRPr="00C3377B">
        <w:rPr>
          <w:sz w:val="24"/>
          <w:szCs w:val="24"/>
        </w:rPr>
        <w:t>proptosis</w:t>
      </w:r>
      <w:proofErr w:type="spellEnd"/>
      <w:r w:rsidRPr="00C3377B">
        <w:rPr>
          <w:sz w:val="24"/>
          <w:szCs w:val="24"/>
        </w:rPr>
        <w:t xml:space="preserve">, </w:t>
      </w:r>
      <w:proofErr w:type="spellStart"/>
      <w:r w:rsidRPr="00C3377B">
        <w:rPr>
          <w:sz w:val="24"/>
          <w:szCs w:val="24"/>
        </w:rPr>
        <w:t>diplopi</w:t>
      </w:r>
      <w:proofErr w:type="spellEnd"/>
      <w:r w:rsidRPr="00C3377B">
        <w:rPr>
          <w:sz w:val="24"/>
          <w:szCs w:val="24"/>
        </w:rPr>
        <w:t xml:space="preserve"> eller migræne. Hvis en undersøgelse påviser papilødem eller </w:t>
      </w:r>
      <w:proofErr w:type="spellStart"/>
      <w:r w:rsidRPr="00C3377B">
        <w:rPr>
          <w:sz w:val="24"/>
          <w:szCs w:val="24"/>
        </w:rPr>
        <w:t>retinale</w:t>
      </w:r>
      <w:proofErr w:type="spellEnd"/>
      <w:r w:rsidRPr="00C3377B">
        <w:rPr>
          <w:sz w:val="24"/>
          <w:szCs w:val="24"/>
        </w:rPr>
        <w:t xml:space="preserve"> </w:t>
      </w:r>
      <w:proofErr w:type="spellStart"/>
      <w:r w:rsidRPr="00C3377B">
        <w:rPr>
          <w:sz w:val="24"/>
          <w:szCs w:val="24"/>
        </w:rPr>
        <w:t>vaskulære</w:t>
      </w:r>
      <w:proofErr w:type="spellEnd"/>
      <w:r w:rsidRPr="00C3377B">
        <w:rPr>
          <w:sz w:val="24"/>
          <w:szCs w:val="24"/>
        </w:rPr>
        <w:t xml:space="preserve"> læsioner, må lægemidlet ikke administreres igen</w:t>
      </w:r>
      <w:r w:rsidRPr="00C3377B">
        <w:rPr>
          <w:b/>
          <w:sz w:val="24"/>
          <w:szCs w:val="24"/>
        </w:rPr>
        <w:t>.</w:t>
      </w:r>
    </w:p>
    <w:p w:rsidR="00A456E9" w:rsidRPr="00BB79AB" w:rsidRDefault="00A456E9" w:rsidP="00A456E9">
      <w:pPr>
        <w:ind w:left="851" w:hanging="851"/>
        <w:rPr>
          <w:bCs/>
          <w:sz w:val="24"/>
          <w:szCs w:val="24"/>
        </w:rPr>
      </w:pPr>
    </w:p>
    <w:p w:rsidR="00A456E9" w:rsidRPr="00C3377B" w:rsidRDefault="00A456E9" w:rsidP="00A456E9">
      <w:pPr>
        <w:ind w:left="851"/>
        <w:rPr>
          <w:sz w:val="24"/>
          <w:szCs w:val="24"/>
          <w:u w:val="single"/>
        </w:rPr>
      </w:pPr>
      <w:r w:rsidRPr="00C3377B">
        <w:rPr>
          <w:sz w:val="24"/>
          <w:szCs w:val="24"/>
          <w:u w:val="single"/>
        </w:rPr>
        <w:t>Forsigtighedsregler</w:t>
      </w:r>
    </w:p>
    <w:p w:rsidR="00A456E9" w:rsidRPr="00C3377B" w:rsidRDefault="00A456E9" w:rsidP="00A456E9">
      <w:pPr>
        <w:ind w:firstLine="851"/>
        <w:rPr>
          <w:i/>
          <w:sz w:val="24"/>
          <w:szCs w:val="24"/>
        </w:rPr>
      </w:pPr>
      <w:r w:rsidRPr="00C3377B">
        <w:rPr>
          <w:i/>
          <w:sz w:val="24"/>
          <w:szCs w:val="24"/>
        </w:rPr>
        <w:t>Vægtændringer</w:t>
      </w:r>
    </w:p>
    <w:p w:rsidR="00A456E9" w:rsidRPr="00C3377B" w:rsidRDefault="00A456E9" w:rsidP="00A456E9">
      <w:pPr>
        <w:ind w:left="851"/>
        <w:rPr>
          <w:sz w:val="24"/>
          <w:szCs w:val="24"/>
        </w:rPr>
      </w:pPr>
      <w:r w:rsidRPr="00C3377B">
        <w:rPr>
          <w:sz w:val="24"/>
          <w:szCs w:val="24"/>
        </w:rPr>
        <w:t>Vægtændringer er almindelige, men uforudsigelige. I fase 3-studier blev kropsvægten fulgt over 12 måneder. Vægten hos halvdelen (50 %) af kvinderne forblev inden for 2,2 kg af den oprindelige kropsvægt. 12 % af kvinderne tabte mere end 2,2 kg, og 38 % af kvinderne tog mere end 2,3 kg på.</w:t>
      </w:r>
    </w:p>
    <w:p w:rsidR="00A456E9" w:rsidRPr="00C3377B" w:rsidRDefault="00A456E9" w:rsidP="00A456E9">
      <w:pPr>
        <w:ind w:left="851"/>
        <w:rPr>
          <w:sz w:val="24"/>
          <w:szCs w:val="24"/>
          <w:highlight w:val="yellow"/>
        </w:rPr>
      </w:pPr>
    </w:p>
    <w:p w:rsidR="00A456E9" w:rsidRPr="00C3377B" w:rsidRDefault="00A456E9" w:rsidP="00A456E9">
      <w:pPr>
        <w:ind w:left="851"/>
        <w:rPr>
          <w:b/>
          <w:bCs/>
          <w:i/>
          <w:iCs/>
          <w:color w:val="000000"/>
          <w:sz w:val="24"/>
          <w:szCs w:val="24"/>
        </w:rPr>
      </w:pPr>
      <w:r w:rsidRPr="00C3377B">
        <w:rPr>
          <w:i/>
          <w:sz w:val="24"/>
          <w:szCs w:val="24"/>
        </w:rPr>
        <w:t>Væskeretention</w:t>
      </w:r>
    </w:p>
    <w:p w:rsidR="00A456E9" w:rsidRPr="00C3377B" w:rsidRDefault="00A456E9" w:rsidP="00A456E9">
      <w:pPr>
        <w:ind w:left="851"/>
        <w:rPr>
          <w:color w:val="000000"/>
          <w:sz w:val="24"/>
          <w:szCs w:val="24"/>
        </w:rPr>
      </w:pPr>
      <w:r w:rsidRPr="00C3377B">
        <w:rPr>
          <w:color w:val="000000"/>
          <w:sz w:val="24"/>
          <w:szCs w:val="24"/>
        </w:rPr>
        <w:t>Det er påvist, at gestagener kan forårsage en vis grad af væskeretention, og der bør derfor udvises forsigtighed ved behandling af eventuelle patienter med en allerede eksisterende medicinsk tilstand, som kan blive påvirket negativt af væskeretention.</w:t>
      </w:r>
    </w:p>
    <w:p w:rsidR="00A456E9" w:rsidRPr="00C3377B" w:rsidRDefault="00A456E9" w:rsidP="00A456E9">
      <w:pPr>
        <w:ind w:left="851"/>
        <w:rPr>
          <w:iCs/>
          <w:sz w:val="24"/>
          <w:szCs w:val="24"/>
          <w:highlight w:val="yellow"/>
          <w:u w:val="single"/>
        </w:rPr>
      </w:pPr>
    </w:p>
    <w:p w:rsidR="00A456E9" w:rsidRPr="00C3377B" w:rsidRDefault="00A456E9" w:rsidP="00A456E9">
      <w:pPr>
        <w:ind w:left="851"/>
        <w:rPr>
          <w:i/>
          <w:iCs/>
          <w:color w:val="000000"/>
          <w:sz w:val="24"/>
          <w:szCs w:val="24"/>
        </w:rPr>
      </w:pPr>
      <w:r w:rsidRPr="00C3377B">
        <w:rPr>
          <w:i/>
          <w:sz w:val="24"/>
          <w:szCs w:val="24"/>
        </w:rPr>
        <w:t>Tilbagevendende ovulation</w:t>
      </w:r>
    </w:p>
    <w:p w:rsidR="00A456E9" w:rsidRPr="00C3377B" w:rsidRDefault="00A456E9" w:rsidP="00A456E9">
      <w:pPr>
        <w:ind w:left="851"/>
        <w:rPr>
          <w:bCs/>
          <w:sz w:val="24"/>
          <w:szCs w:val="24"/>
        </w:rPr>
      </w:pPr>
      <w:r w:rsidRPr="00C3377B">
        <w:rPr>
          <w:sz w:val="24"/>
          <w:szCs w:val="24"/>
        </w:rPr>
        <w:t xml:space="preserve">Efter én enkelt dosis DMPA-subkutan injektion var den kumulative rate for tilbagevendende ovulation målt ved hjælp af plasmaprogesteron 97,4 % (38/39 patienter) ét år efter administration. Efter det 14-ugers behandlingsvindue var den tidligste tilbagevenden til ovulation én uge, og medianperioden til ovulation var 30 uger. Kvinder skal rådgives, om at der er en risiko for forsinkelse af ovulationen efter brug af denne metode, uanset brugsvarigheden. Det anerkendes dog, at </w:t>
      </w:r>
      <w:proofErr w:type="spellStart"/>
      <w:r w:rsidRPr="00C3377B">
        <w:rPr>
          <w:sz w:val="24"/>
          <w:szCs w:val="24"/>
        </w:rPr>
        <w:t>amenorré</w:t>
      </w:r>
      <w:proofErr w:type="spellEnd"/>
      <w:r w:rsidRPr="00C3377B">
        <w:rPr>
          <w:sz w:val="24"/>
          <w:szCs w:val="24"/>
        </w:rPr>
        <w:t xml:space="preserve"> og/eller uregelmæssig menstruation efter </w:t>
      </w:r>
      <w:proofErr w:type="spellStart"/>
      <w:r w:rsidRPr="00C3377B">
        <w:rPr>
          <w:sz w:val="24"/>
          <w:szCs w:val="24"/>
        </w:rPr>
        <w:t>seponering</w:t>
      </w:r>
      <w:proofErr w:type="spellEnd"/>
      <w:r w:rsidRPr="00C3377B">
        <w:rPr>
          <w:sz w:val="24"/>
          <w:szCs w:val="24"/>
        </w:rPr>
        <w:t xml:space="preserve"> af hormonel antikonception kan skyldes en underliggende sygdom, der er forbundet med </w:t>
      </w:r>
      <w:proofErr w:type="spellStart"/>
      <w:r w:rsidRPr="00C3377B">
        <w:rPr>
          <w:sz w:val="24"/>
          <w:szCs w:val="24"/>
        </w:rPr>
        <w:t>menstruel</w:t>
      </w:r>
      <w:proofErr w:type="spellEnd"/>
      <w:r w:rsidRPr="00C3377B">
        <w:rPr>
          <w:sz w:val="24"/>
          <w:szCs w:val="24"/>
        </w:rPr>
        <w:t xml:space="preserve"> uregelmæssighed, især polycystisk ovariesyndrom.</w:t>
      </w:r>
    </w:p>
    <w:p w:rsidR="00A456E9" w:rsidRPr="00C3377B" w:rsidRDefault="00A456E9" w:rsidP="00A456E9">
      <w:pPr>
        <w:ind w:left="851"/>
        <w:rPr>
          <w:iCs/>
          <w:sz w:val="24"/>
          <w:szCs w:val="24"/>
        </w:rPr>
      </w:pPr>
    </w:p>
    <w:p w:rsidR="00A456E9" w:rsidRPr="00C3377B" w:rsidRDefault="00A456E9" w:rsidP="00A456E9">
      <w:pPr>
        <w:ind w:left="851"/>
        <w:rPr>
          <w:i/>
          <w:iCs/>
          <w:sz w:val="24"/>
          <w:szCs w:val="24"/>
        </w:rPr>
      </w:pPr>
      <w:r w:rsidRPr="00C3377B">
        <w:rPr>
          <w:i/>
          <w:sz w:val="24"/>
          <w:szCs w:val="24"/>
        </w:rPr>
        <w:t>Psykiske forstyrrelser</w:t>
      </w:r>
    </w:p>
    <w:p w:rsidR="00A456E9" w:rsidRPr="003872ED" w:rsidRDefault="00A456E9" w:rsidP="00A456E9">
      <w:pPr>
        <w:ind w:left="851"/>
        <w:rPr>
          <w:spacing w:val="-2"/>
          <w:szCs w:val="24"/>
        </w:rPr>
      </w:pPr>
      <w:r w:rsidRPr="00414777">
        <w:rPr>
          <w:spacing w:val="-2"/>
          <w:szCs w:val="24"/>
        </w:rPr>
        <w:t>Nedtrykthed og depression er velkendte bivirkninger ved hormonelle præventionsmidler (se pkt. 4.8). Depression kan være alvorligt og er en velkendt risikofaktor for selvmordsadfærd og selvmord. Kvinder</w:t>
      </w:r>
      <w:r w:rsidRPr="0057189C">
        <w:rPr>
          <w:spacing w:val="-2"/>
          <w:szCs w:val="24"/>
        </w:rPr>
        <w:t xml:space="preserve"> bør rådes til at kontakte deres læge, hvis de oplever humørsvingninger og depressive symptomer, herunder kort tid efter behandlingsstart.</w:t>
      </w:r>
      <w:r>
        <w:rPr>
          <w:spacing w:val="-2"/>
          <w:szCs w:val="24"/>
        </w:rPr>
        <w:t xml:space="preserve"> </w:t>
      </w:r>
    </w:p>
    <w:p w:rsidR="00A456E9" w:rsidRPr="00C3377B" w:rsidRDefault="00A456E9" w:rsidP="00A456E9">
      <w:pPr>
        <w:ind w:left="851"/>
        <w:rPr>
          <w:sz w:val="24"/>
          <w:szCs w:val="24"/>
        </w:rPr>
      </w:pPr>
    </w:p>
    <w:p w:rsidR="00A456E9" w:rsidRDefault="00A456E9" w:rsidP="00A456E9">
      <w:pPr>
        <w:ind w:left="851"/>
        <w:rPr>
          <w:i/>
          <w:iCs/>
          <w:sz w:val="24"/>
          <w:szCs w:val="24"/>
        </w:rPr>
      </w:pPr>
      <w:r>
        <w:rPr>
          <w:i/>
          <w:iCs/>
          <w:sz w:val="24"/>
          <w:szCs w:val="24"/>
        </w:rPr>
        <w:t>Beskyttelse mod seksuelt overførte infektioner</w:t>
      </w:r>
    </w:p>
    <w:p w:rsidR="00A456E9" w:rsidRDefault="00A456E9" w:rsidP="00A456E9">
      <w:pPr>
        <w:ind w:left="851"/>
        <w:rPr>
          <w:sz w:val="24"/>
          <w:szCs w:val="24"/>
        </w:rPr>
      </w:pPr>
      <w:r>
        <w:rPr>
          <w:sz w:val="24"/>
          <w:szCs w:val="24"/>
        </w:rPr>
        <w:t xml:space="preserve">Kvinder skal rådgives om, at </w:t>
      </w:r>
      <w:proofErr w:type="spellStart"/>
      <w:r>
        <w:rPr>
          <w:sz w:val="24"/>
          <w:szCs w:val="24"/>
        </w:rPr>
        <w:t>Sayanaject</w:t>
      </w:r>
      <w:proofErr w:type="spellEnd"/>
      <w:r>
        <w:rPr>
          <w:sz w:val="24"/>
          <w:szCs w:val="24"/>
        </w:rPr>
        <w:t xml:space="preserve"> ikke beskytter mod seksuelt overførte infektioner, herunder HIV-infektion (AIDS). Dog er DMPA en steril injektion, som ikke udsætter dem for seksuelt overførte infektioner, hvis den anvendes som anvist. Sikker sex, herunder korrekt og konsekvent brug af kondom, nedsætter overførslen af seksuelt overførte infektioner, herunder HIV-infektion, gennem seksuel kontakt.</w:t>
      </w:r>
    </w:p>
    <w:p w:rsidR="00A456E9" w:rsidRDefault="00A456E9" w:rsidP="00A456E9">
      <w:pPr>
        <w:ind w:left="851"/>
        <w:rPr>
          <w:sz w:val="24"/>
          <w:szCs w:val="24"/>
        </w:rPr>
      </w:pPr>
    </w:p>
    <w:p w:rsidR="00A456E9" w:rsidRDefault="00A456E9" w:rsidP="00A456E9">
      <w:pPr>
        <w:ind w:left="851"/>
        <w:rPr>
          <w:sz w:val="24"/>
          <w:szCs w:val="24"/>
        </w:rPr>
      </w:pPr>
      <w:r>
        <w:rPr>
          <w:sz w:val="24"/>
          <w:szCs w:val="24"/>
        </w:rPr>
        <w:t>Fordele og risici ved antikonception skal vurderes individuelt for hver kvinde.</w:t>
      </w:r>
    </w:p>
    <w:p w:rsidR="00A456E9" w:rsidRPr="00C3377B" w:rsidRDefault="00A456E9" w:rsidP="00A456E9">
      <w:pPr>
        <w:ind w:left="851"/>
        <w:rPr>
          <w:sz w:val="24"/>
          <w:szCs w:val="24"/>
        </w:rPr>
      </w:pPr>
    </w:p>
    <w:p w:rsidR="00A456E9" w:rsidRPr="00C3377B" w:rsidRDefault="00A456E9" w:rsidP="00A456E9">
      <w:pPr>
        <w:keepNext/>
        <w:ind w:left="851"/>
        <w:rPr>
          <w:i/>
          <w:iCs/>
          <w:sz w:val="24"/>
          <w:szCs w:val="24"/>
        </w:rPr>
      </w:pPr>
      <w:r w:rsidRPr="00C3377B">
        <w:rPr>
          <w:i/>
          <w:iCs/>
          <w:sz w:val="24"/>
          <w:szCs w:val="24"/>
        </w:rPr>
        <w:t>Kulhydrat/metabolisme</w:t>
      </w:r>
    </w:p>
    <w:p w:rsidR="00A456E9" w:rsidRPr="00C3377B" w:rsidRDefault="00A456E9" w:rsidP="00A456E9">
      <w:pPr>
        <w:ind w:left="851"/>
        <w:rPr>
          <w:sz w:val="24"/>
          <w:szCs w:val="24"/>
        </w:rPr>
      </w:pPr>
      <w:r w:rsidRPr="00C3377B">
        <w:rPr>
          <w:sz w:val="24"/>
          <w:szCs w:val="24"/>
        </w:rPr>
        <w:t xml:space="preserve">Nogle patienter, der får gestagener, kan udvise et fald i </w:t>
      </w:r>
      <w:proofErr w:type="spellStart"/>
      <w:r w:rsidRPr="00C3377B">
        <w:rPr>
          <w:sz w:val="24"/>
          <w:szCs w:val="24"/>
        </w:rPr>
        <w:t>glu</w:t>
      </w:r>
      <w:r>
        <w:rPr>
          <w:sz w:val="24"/>
          <w:szCs w:val="24"/>
        </w:rPr>
        <w:t>c</w:t>
      </w:r>
      <w:r w:rsidRPr="00C3377B">
        <w:rPr>
          <w:sz w:val="24"/>
          <w:szCs w:val="24"/>
        </w:rPr>
        <w:t>osetolerancen</w:t>
      </w:r>
      <w:proofErr w:type="spellEnd"/>
      <w:r w:rsidRPr="00C3377B">
        <w:rPr>
          <w:sz w:val="24"/>
          <w:szCs w:val="24"/>
        </w:rPr>
        <w:t>. Diabetespatienter skal overvåges omhyggeligt, når de modtager en sådan behandling.</w:t>
      </w:r>
    </w:p>
    <w:p w:rsidR="00A456E9" w:rsidRPr="00C3377B" w:rsidRDefault="00A456E9" w:rsidP="00A456E9">
      <w:pPr>
        <w:ind w:left="851"/>
        <w:rPr>
          <w:color w:val="000000"/>
          <w:sz w:val="24"/>
          <w:szCs w:val="24"/>
        </w:rPr>
      </w:pPr>
    </w:p>
    <w:p w:rsidR="00A456E9" w:rsidRPr="00C3377B" w:rsidRDefault="00A456E9" w:rsidP="00A456E9">
      <w:pPr>
        <w:ind w:left="851"/>
        <w:rPr>
          <w:i/>
          <w:iCs/>
          <w:color w:val="000000"/>
          <w:sz w:val="24"/>
          <w:szCs w:val="24"/>
        </w:rPr>
      </w:pPr>
      <w:r w:rsidRPr="00C3377B">
        <w:rPr>
          <w:i/>
          <w:iCs/>
          <w:color w:val="000000"/>
          <w:sz w:val="24"/>
          <w:szCs w:val="24"/>
        </w:rPr>
        <w:t>Leverfunktion</w:t>
      </w:r>
    </w:p>
    <w:p w:rsidR="00A456E9" w:rsidRPr="00C3377B" w:rsidRDefault="00A456E9" w:rsidP="00A456E9">
      <w:pPr>
        <w:ind w:left="851"/>
        <w:rPr>
          <w:color w:val="000000"/>
          <w:sz w:val="24"/>
          <w:szCs w:val="24"/>
        </w:rPr>
      </w:pPr>
      <w:r w:rsidRPr="00C3377B">
        <w:rPr>
          <w:color w:val="000000"/>
          <w:sz w:val="24"/>
          <w:szCs w:val="24"/>
        </w:rPr>
        <w:t xml:space="preserve">Hvis der udvikles gulsot hos en kvinde, der får </w:t>
      </w:r>
      <w:proofErr w:type="spellStart"/>
      <w:r w:rsidRPr="00C3377B">
        <w:rPr>
          <w:color w:val="000000"/>
          <w:sz w:val="24"/>
          <w:szCs w:val="24"/>
        </w:rPr>
        <w:t>Sayanaject</w:t>
      </w:r>
      <w:proofErr w:type="spellEnd"/>
      <w:r w:rsidRPr="00C3377B">
        <w:rPr>
          <w:color w:val="000000"/>
          <w:sz w:val="24"/>
          <w:szCs w:val="24"/>
        </w:rPr>
        <w:t>, bør det overvejes at undlade fornyet administration af lægemidlet</w:t>
      </w:r>
      <w:r w:rsidR="007E522B">
        <w:rPr>
          <w:color w:val="000000"/>
          <w:sz w:val="24"/>
          <w:szCs w:val="24"/>
        </w:rPr>
        <w:t xml:space="preserve"> </w:t>
      </w:r>
      <w:r w:rsidRPr="00C3377B">
        <w:rPr>
          <w:color w:val="000000"/>
          <w:sz w:val="24"/>
          <w:szCs w:val="24"/>
        </w:rPr>
        <w:t>(se pkt. 4.3).</w:t>
      </w:r>
    </w:p>
    <w:p w:rsidR="00A456E9" w:rsidRPr="00C3377B" w:rsidRDefault="00A456E9" w:rsidP="00A456E9">
      <w:pPr>
        <w:ind w:left="851"/>
        <w:rPr>
          <w:color w:val="000000"/>
          <w:sz w:val="24"/>
          <w:szCs w:val="24"/>
        </w:rPr>
      </w:pPr>
    </w:p>
    <w:p w:rsidR="00A456E9" w:rsidRPr="00C3377B" w:rsidRDefault="00A456E9" w:rsidP="00A456E9">
      <w:pPr>
        <w:ind w:left="851"/>
        <w:rPr>
          <w:i/>
          <w:sz w:val="24"/>
          <w:szCs w:val="24"/>
        </w:rPr>
      </w:pPr>
      <w:r w:rsidRPr="00C3377B">
        <w:rPr>
          <w:i/>
          <w:sz w:val="24"/>
          <w:szCs w:val="24"/>
        </w:rPr>
        <w:t>Hypertension og lipidforstyrrelser</w:t>
      </w:r>
    </w:p>
    <w:p w:rsidR="00A456E9" w:rsidRPr="00C3377B" w:rsidRDefault="00A456E9" w:rsidP="00A456E9">
      <w:pPr>
        <w:ind w:left="851"/>
        <w:rPr>
          <w:sz w:val="24"/>
          <w:szCs w:val="24"/>
        </w:rPr>
      </w:pPr>
      <w:r w:rsidRPr="00C3377B">
        <w:rPr>
          <w:sz w:val="24"/>
          <w:szCs w:val="24"/>
        </w:rPr>
        <w:t xml:space="preserve">Begrænset evidens tyder på, at der er en lidt forøget risiko for </w:t>
      </w:r>
      <w:proofErr w:type="spellStart"/>
      <w:r w:rsidRPr="00C3377B">
        <w:rPr>
          <w:sz w:val="24"/>
          <w:szCs w:val="24"/>
        </w:rPr>
        <w:t>kardiovaskulære</w:t>
      </w:r>
      <w:proofErr w:type="spellEnd"/>
      <w:r w:rsidRPr="00C3377B">
        <w:rPr>
          <w:sz w:val="24"/>
          <w:szCs w:val="24"/>
        </w:rPr>
        <w:t xml:space="preserve"> hændelser blandt kvinder med hypertension eller lipidforstyrrelser, som bruger injektionspræparater med gestagen alene. Hvis der forekommer hypertension under behandling med </w:t>
      </w:r>
      <w:proofErr w:type="spellStart"/>
      <w:r w:rsidRPr="00C3377B">
        <w:rPr>
          <w:sz w:val="24"/>
          <w:szCs w:val="24"/>
        </w:rPr>
        <w:t>Sayanaject</w:t>
      </w:r>
      <w:proofErr w:type="spellEnd"/>
      <w:r w:rsidRPr="00C3377B">
        <w:rPr>
          <w:sz w:val="24"/>
          <w:szCs w:val="24"/>
        </w:rPr>
        <w:t xml:space="preserve">, og/eller et forhøjet blodtryk ikke kan kontrolleres tilstrækkeligt ved hjælp af </w:t>
      </w:r>
      <w:proofErr w:type="spellStart"/>
      <w:r w:rsidRPr="00C3377B">
        <w:rPr>
          <w:sz w:val="24"/>
          <w:szCs w:val="24"/>
        </w:rPr>
        <w:t>antihypertensiva</w:t>
      </w:r>
      <w:proofErr w:type="spellEnd"/>
      <w:r w:rsidRPr="00C3377B">
        <w:rPr>
          <w:sz w:val="24"/>
          <w:szCs w:val="24"/>
        </w:rPr>
        <w:t xml:space="preserve">, bør behandling med </w:t>
      </w:r>
      <w:proofErr w:type="spellStart"/>
      <w:r w:rsidRPr="00C3377B">
        <w:rPr>
          <w:sz w:val="24"/>
          <w:szCs w:val="24"/>
        </w:rPr>
        <w:t>Sayanaject</w:t>
      </w:r>
      <w:proofErr w:type="spellEnd"/>
      <w:r w:rsidRPr="00C3377B">
        <w:rPr>
          <w:sz w:val="24"/>
          <w:szCs w:val="24"/>
        </w:rPr>
        <w:t xml:space="preserve"> seponeres. Yderligere risikofaktorer for arteriel trombose omfatter: hypertension, rygning, alder, lipidforstyrrelser, migræne, overvægt, positiv familiær anamnese, hjerteklapsygdomme, atrieflimren.</w:t>
      </w:r>
    </w:p>
    <w:p w:rsidR="00A456E9" w:rsidRPr="00C3377B" w:rsidRDefault="00A456E9" w:rsidP="00A456E9">
      <w:pPr>
        <w:ind w:left="851"/>
        <w:rPr>
          <w:sz w:val="24"/>
          <w:szCs w:val="24"/>
        </w:rPr>
      </w:pPr>
    </w:p>
    <w:p w:rsidR="00A456E9" w:rsidRPr="00C3377B" w:rsidRDefault="00A456E9" w:rsidP="00A456E9">
      <w:pPr>
        <w:ind w:left="851"/>
        <w:rPr>
          <w:sz w:val="24"/>
          <w:szCs w:val="24"/>
        </w:rPr>
      </w:pPr>
      <w:proofErr w:type="spellStart"/>
      <w:r w:rsidRPr="00C3377B">
        <w:rPr>
          <w:sz w:val="24"/>
          <w:szCs w:val="24"/>
        </w:rPr>
        <w:t>Sayanaject</w:t>
      </w:r>
      <w:proofErr w:type="spellEnd"/>
      <w:r w:rsidRPr="00C3377B">
        <w:rPr>
          <w:sz w:val="24"/>
          <w:szCs w:val="24"/>
        </w:rPr>
        <w:t xml:space="preserve"> bør anvendes med forsigtighed hos patienter med en eller flere af disse risikofaktorer.</w:t>
      </w:r>
    </w:p>
    <w:p w:rsidR="00A456E9" w:rsidRPr="00C3377B" w:rsidRDefault="00A456E9" w:rsidP="00A456E9">
      <w:pPr>
        <w:ind w:left="851"/>
        <w:rPr>
          <w:color w:val="000000"/>
          <w:sz w:val="24"/>
          <w:szCs w:val="24"/>
        </w:rPr>
      </w:pPr>
    </w:p>
    <w:p w:rsidR="00A456E9" w:rsidRPr="00C3377B" w:rsidRDefault="00A456E9" w:rsidP="00A456E9">
      <w:pPr>
        <w:keepNext/>
        <w:ind w:left="851"/>
        <w:rPr>
          <w:i/>
          <w:sz w:val="24"/>
          <w:szCs w:val="24"/>
        </w:rPr>
      </w:pPr>
      <w:r w:rsidRPr="00C3377B">
        <w:rPr>
          <w:i/>
          <w:sz w:val="24"/>
          <w:szCs w:val="24"/>
        </w:rPr>
        <w:t>Andre tilstande</w:t>
      </w:r>
    </w:p>
    <w:p w:rsidR="00A456E9" w:rsidRPr="00C3377B" w:rsidRDefault="00A456E9" w:rsidP="00A456E9">
      <w:pPr>
        <w:ind w:left="851"/>
        <w:rPr>
          <w:color w:val="000000"/>
          <w:sz w:val="24"/>
          <w:szCs w:val="24"/>
        </w:rPr>
      </w:pPr>
      <w:r w:rsidRPr="00C3377B">
        <w:rPr>
          <w:iCs/>
          <w:sz w:val="24"/>
          <w:szCs w:val="24"/>
        </w:rPr>
        <w:t xml:space="preserve">Følgende tilstande er rapporteret både under graviditet og ved brug af </w:t>
      </w:r>
      <w:proofErr w:type="spellStart"/>
      <w:r w:rsidRPr="00C3377B">
        <w:rPr>
          <w:iCs/>
          <w:sz w:val="24"/>
          <w:szCs w:val="24"/>
        </w:rPr>
        <w:t>gonadesteroider</w:t>
      </w:r>
      <w:proofErr w:type="spellEnd"/>
      <w:r w:rsidRPr="00C3377B">
        <w:rPr>
          <w:iCs/>
          <w:sz w:val="24"/>
          <w:szCs w:val="24"/>
        </w:rPr>
        <w:t xml:space="preserve">, men der er ikke påvist nogen forbindelse til brugen af progestagener: </w:t>
      </w:r>
      <w:r w:rsidRPr="00C3377B">
        <w:rPr>
          <w:sz w:val="24"/>
          <w:szCs w:val="24"/>
        </w:rPr>
        <w:t xml:space="preserve">gulsot og/eller </w:t>
      </w:r>
      <w:proofErr w:type="spellStart"/>
      <w:r w:rsidRPr="00C3377B">
        <w:rPr>
          <w:sz w:val="24"/>
          <w:szCs w:val="24"/>
        </w:rPr>
        <w:t>pruritus</w:t>
      </w:r>
      <w:proofErr w:type="spellEnd"/>
      <w:r w:rsidRPr="00C3377B">
        <w:rPr>
          <w:sz w:val="24"/>
          <w:szCs w:val="24"/>
        </w:rPr>
        <w:t xml:space="preserve"> relateret til </w:t>
      </w:r>
      <w:proofErr w:type="spellStart"/>
      <w:r w:rsidRPr="00C3377B">
        <w:rPr>
          <w:sz w:val="24"/>
          <w:szCs w:val="24"/>
        </w:rPr>
        <w:t>cholestase</w:t>
      </w:r>
      <w:proofErr w:type="spellEnd"/>
      <w:r w:rsidRPr="00C3377B">
        <w:rPr>
          <w:sz w:val="24"/>
          <w:szCs w:val="24"/>
        </w:rPr>
        <w:t xml:space="preserve">, dannelse af galdesten, </w:t>
      </w:r>
      <w:proofErr w:type="spellStart"/>
      <w:r w:rsidRPr="00C3377B">
        <w:rPr>
          <w:sz w:val="24"/>
          <w:szCs w:val="24"/>
        </w:rPr>
        <w:t>porfyri</w:t>
      </w:r>
      <w:proofErr w:type="spellEnd"/>
      <w:r w:rsidRPr="00C3377B">
        <w:rPr>
          <w:sz w:val="24"/>
          <w:szCs w:val="24"/>
        </w:rPr>
        <w:t xml:space="preserve">, systemisk lupus </w:t>
      </w:r>
      <w:proofErr w:type="spellStart"/>
      <w:r w:rsidRPr="00C3377B">
        <w:rPr>
          <w:sz w:val="24"/>
          <w:szCs w:val="24"/>
        </w:rPr>
        <w:t>erythematosus</w:t>
      </w:r>
      <w:proofErr w:type="spellEnd"/>
      <w:r w:rsidRPr="00C3377B">
        <w:rPr>
          <w:sz w:val="24"/>
          <w:szCs w:val="24"/>
        </w:rPr>
        <w:t xml:space="preserve">, </w:t>
      </w:r>
      <w:proofErr w:type="spellStart"/>
      <w:r w:rsidRPr="00C3377B">
        <w:rPr>
          <w:sz w:val="24"/>
          <w:szCs w:val="24"/>
        </w:rPr>
        <w:t>hæmolytisk</w:t>
      </w:r>
      <w:proofErr w:type="spellEnd"/>
      <w:r w:rsidRPr="00C3377B">
        <w:rPr>
          <w:sz w:val="24"/>
          <w:szCs w:val="24"/>
        </w:rPr>
        <w:t xml:space="preserve">-uræmisk syndrom, </w:t>
      </w:r>
      <w:proofErr w:type="spellStart"/>
      <w:r w:rsidRPr="00C3377B">
        <w:rPr>
          <w:sz w:val="24"/>
          <w:szCs w:val="24"/>
        </w:rPr>
        <w:t>chorea</w:t>
      </w:r>
      <w:proofErr w:type="spellEnd"/>
      <w:r w:rsidRPr="00C3377B">
        <w:rPr>
          <w:sz w:val="24"/>
          <w:szCs w:val="24"/>
        </w:rPr>
        <w:t xml:space="preserve"> </w:t>
      </w:r>
      <w:proofErr w:type="spellStart"/>
      <w:r w:rsidRPr="00C3377B">
        <w:rPr>
          <w:sz w:val="24"/>
          <w:szCs w:val="24"/>
        </w:rPr>
        <w:t>minor</w:t>
      </w:r>
      <w:proofErr w:type="spellEnd"/>
      <w:r w:rsidRPr="00C3377B">
        <w:rPr>
          <w:sz w:val="24"/>
          <w:szCs w:val="24"/>
        </w:rPr>
        <w:t xml:space="preserve">, herpes </w:t>
      </w:r>
      <w:proofErr w:type="spellStart"/>
      <w:r w:rsidRPr="00C3377B">
        <w:rPr>
          <w:sz w:val="24"/>
          <w:szCs w:val="24"/>
        </w:rPr>
        <w:t>gestationis</w:t>
      </w:r>
      <w:proofErr w:type="spellEnd"/>
      <w:r w:rsidRPr="00C3377B">
        <w:rPr>
          <w:sz w:val="24"/>
          <w:szCs w:val="24"/>
        </w:rPr>
        <w:t xml:space="preserve">, </w:t>
      </w:r>
      <w:proofErr w:type="spellStart"/>
      <w:r w:rsidRPr="00C3377B">
        <w:rPr>
          <w:sz w:val="24"/>
          <w:szCs w:val="24"/>
        </w:rPr>
        <w:t>otosklerose</w:t>
      </w:r>
      <w:proofErr w:type="spellEnd"/>
      <w:r w:rsidRPr="00C3377B">
        <w:rPr>
          <w:sz w:val="24"/>
          <w:szCs w:val="24"/>
        </w:rPr>
        <w:t>-relateret høretab</w:t>
      </w:r>
      <w:r w:rsidRPr="00C3377B">
        <w:rPr>
          <w:color w:val="000000"/>
          <w:sz w:val="24"/>
          <w:szCs w:val="24"/>
        </w:rPr>
        <w:t>.</w:t>
      </w:r>
    </w:p>
    <w:p w:rsidR="00A456E9" w:rsidRPr="00C3377B" w:rsidRDefault="00A456E9" w:rsidP="00A456E9">
      <w:pPr>
        <w:ind w:left="851"/>
        <w:rPr>
          <w:color w:val="000000"/>
          <w:sz w:val="24"/>
          <w:szCs w:val="24"/>
        </w:rPr>
      </w:pPr>
    </w:p>
    <w:p w:rsidR="00A456E9" w:rsidRPr="00C3377B" w:rsidRDefault="00A456E9" w:rsidP="00A456E9">
      <w:pPr>
        <w:ind w:left="851"/>
        <w:rPr>
          <w:rStyle w:val="Kommentarhenvisning"/>
          <w:sz w:val="24"/>
          <w:szCs w:val="24"/>
        </w:rPr>
      </w:pPr>
      <w:r w:rsidRPr="00C3377B">
        <w:rPr>
          <w:rStyle w:val="Kommentarhenvisning"/>
          <w:sz w:val="24"/>
          <w:szCs w:val="24"/>
        </w:rPr>
        <w:t xml:space="preserve">Hvis en eller flere af de nævnte tilstande/risikofaktorer er til stede, bør fordelene ved brug af </w:t>
      </w:r>
      <w:proofErr w:type="spellStart"/>
      <w:r w:rsidRPr="00C3377B">
        <w:rPr>
          <w:rStyle w:val="Kommentarhenvisning"/>
          <w:sz w:val="24"/>
          <w:szCs w:val="24"/>
        </w:rPr>
        <w:t>Sayanaject</w:t>
      </w:r>
      <w:proofErr w:type="spellEnd"/>
      <w:r w:rsidRPr="00C3377B">
        <w:rPr>
          <w:rStyle w:val="Kommentarhenvisning"/>
          <w:sz w:val="24"/>
          <w:szCs w:val="24"/>
        </w:rPr>
        <w:t xml:space="preserve"> afvejes i forhold til de mulige risici for hver enkelt kvinde og drøftes med kvinden, før hun beslutter at begynde at anvende det. Hvis en af disse tilstande eller risikofaktorer forværres eller forekommer første gang, skal kvinden kontakte sin læge.</w:t>
      </w:r>
      <w:r w:rsidR="007E522B">
        <w:rPr>
          <w:rStyle w:val="Kommentarhenvisning"/>
          <w:sz w:val="24"/>
          <w:szCs w:val="24"/>
        </w:rPr>
        <w:t xml:space="preserve"> </w:t>
      </w:r>
      <w:r w:rsidRPr="00C3377B">
        <w:rPr>
          <w:rStyle w:val="Kommentarhenvisning"/>
          <w:sz w:val="24"/>
          <w:szCs w:val="24"/>
        </w:rPr>
        <w:t xml:space="preserve">Lægen skal så beslutte, om </w:t>
      </w:r>
      <w:proofErr w:type="spellStart"/>
      <w:r w:rsidRPr="00C3377B">
        <w:rPr>
          <w:rStyle w:val="Kommentarhenvisning"/>
          <w:sz w:val="24"/>
          <w:szCs w:val="24"/>
        </w:rPr>
        <w:t>Sayanaject</w:t>
      </w:r>
      <w:proofErr w:type="spellEnd"/>
      <w:r w:rsidRPr="00C3377B">
        <w:rPr>
          <w:rStyle w:val="Kommentarhenvisning"/>
          <w:sz w:val="24"/>
          <w:szCs w:val="24"/>
        </w:rPr>
        <w:t xml:space="preserve"> bør seponeres.</w:t>
      </w:r>
    </w:p>
    <w:p w:rsidR="00A456E9" w:rsidRPr="00C3377B" w:rsidRDefault="00A456E9" w:rsidP="00A456E9">
      <w:pPr>
        <w:ind w:left="851" w:hanging="851"/>
        <w:rPr>
          <w:color w:val="000000"/>
          <w:sz w:val="24"/>
          <w:szCs w:val="24"/>
          <w:highlight w:val="yellow"/>
        </w:rPr>
      </w:pPr>
    </w:p>
    <w:p w:rsidR="00A456E9" w:rsidRPr="00C3377B" w:rsidRDefault="00A456E9" w:rsidP="00A456E9">
      <w:pPr>
        <w:ind w:left="851"/>
        <w:rPr>
          <w:i/>
          <w:iCs/>
          <w:sz w:val="24"/>
          <w:szCs w:val="24"/>
        </w:rPr>
      </w:pPr>
      <w:r w:rsidRPr="00C3377B">
        <w:rPr>
          <w:i/>
          <w:iCs/>
          <w:sz w:val="24"/>
          <w:szCs w:val="24"/>
        </w:rPr>
        <w:t>Laboratorietest</w:t>
      </w:r>
    </w:p>
    <w:p w:rsidR="00A456E9" w:rsidRPr="00C3377B" w:rsidRDefault="00A456E9" w:rsidP="00A456E9">
      <w:pPr>
        <w:ind w:left="851"/>
        <w:rPr>
          <w:sz w:val="24"/>
          <w:szCs w:val="24"/>
        </w:rPr>
      </w:pPr>
      <w:r w:rsidRPr="00C3377B">
        <w:rPr>
          <w:sz w:val="24"/>
          <w:szCs w:val="24"/>
        </w:rPr>
        <w:t xml:space="preserve">Patologen bør informeres om </w:t>
      </w:r>
      <w:proofErr w:type="spellStart"/>
      <w:r w:rsidRPr="00C3377B">
        <w:rPr>
          <w:sz w:val="24"/>
          <w:szCs w:val="24"/>
        </w:rPr>
        <w:t>progestogenbehandlingen</w:t>
      </w:r>
      <w:proofErr w:type="spellEnd"/>
      <w:r w:rsidRPr="00C3377B">
        <w:rPr>
          <w:sz w:val="24"/>
          <w:szCs w:val="24"/>
        </w:rPr>
        <w:t xml:space="preserve">, når relevante prøver indsendes. Lægen bør informeres om, at visse endokrin- og leverfunktionstest samt blodkomponenter kan blive påvirket af </w:t>
      </w:r>
      <w:proofErr w:type="spellStart"/>
      <w:r w:rsidRPr="00C3377B">
        <w:rPr>
          <w:sz w:val="24"/>
          <w:szCs w:val="24"/>
        </w:rPr>
        <w:t>progestogenbehandling</w:t>
      </w:r>
      <w:proofErr w:type="spellEnd"/>
      <w:r w:rsidRPr="00C3377B">
        <w:rPr>
          <w:sz w:val="24"/>
          <w:szCs w:val="24"/>
        </w:rPr>
        <w:t>:</w:t>
      </w:r>
    </w:p>
    <w:p w:rsidR="00A456E9" w:rsidRPr="00C3377B" w:rsidRDefault="00A456E9" w:rsidP="00A456E9">
      <w:pPr>
        <w:numPr>
          <w:ilvl w:val="0"/>
          <w:numId w:val="10"/>
        </w:numPr>
        <w:tabs>
          <w:tab w:val="clear" w:pos="567"/>
        </w:tabs>
        <w:ind w:left="1276" w:hanging="425"/>
        <w:rPr>
          <w:sz w:val="24"/>
          <w:szCs w:val="24"/>
        </w:rPr>
      </w:pPr>
      <w:r w:rsidRPr="00C3377B">
        <w:rPr>
          <w:sz w:val="24"/>
          <w:szCs w:val="24"/>
        </w:rPr>
        <w:t xml:space="preserve">Steroidniveauet i plasma og urin falder (f.eks. progesteron, </w:t>
      </w:r>
      <w:proofErr w:type="spellStart"/>
      <w:r w:rsidRPr="00C3377B">
        <w:rPr>
          <w:sz w:val="24"/>
          <w:szCs w:val="24"/>
        </w:rPr>
        <w:t>estradiol</w:t>
      </w:r>
      <w:proofErr w:type="spellEnd"/>
      <w:r w:rsidRPr="00C3377B">
        <w:rPr>
          <w:sz w:val="24"/>
          <w:szCs w:val="24"/>
        </w:rPr>
        <w:t xml:space="preserve">, </w:t>
      </w:r>
      <w:proofErr w:type="spellStart"/>
      <w:r w:rsidRPr="00C3377B">
        <w:rPr>
          <w:sz w:val="24"/>
          <w:szCs w:val="24"/>
        </w:rPr>
        <w:t>pregnanediol</w:t>
      </w:r>
      <w:proofErr w:type="spellEnd"/>
      <w:r w:rsidRPr="00C3377B">
        <w:rPr>
          <w:sz w:val="24"/>
          <w:szCs w:val="24"/>
        </w:rPr>
        <w:t>, testosteron, kortisol)</w:t>
      </w:r>
    </w:p>
    <w:p w:rsidR="00A456E9" w:rsidRPr="00C3377B" w:rsidRDefault="00A456E9" w:rsidP="00A456E9">
      <w:pPr>
        <w:numPr>
          <w:ilvl w:val="0"/>
          <w:numId w:val="10"/>
        </w:numPr>
        <w:tabs>
          <w:tab w:val="clear" w:pos="567"/>
        </w:tabs>
        <w:ind w:left="1276" w:hanging="425"/>
        <w:rPr>
          <w:sz w:val="24"/>
          <w:szCs w:val="24"/>
        </w:rPr>
      </w:pPr>
      <w:r w:rsidRPr="00C3377B">
        <w:rPr>
          <w:sz w:val="24"/>
          <w:szCs w:val="24"/>
        </w:rPr>
        <w:t xml:space="preserve">Niveauet af </w:t>
      </w:r>
      <w:proofErr w:type="spellStart"/>
      <w:r w:rsidRPr="00C3377B">
        <w:rPr>
          <w:sz w:val="24"/>
          <w:szCs w:val="24"/>
        </w:rPr>
        <w:t>gonadotropin</w:t>
      </w:r>
      <w:proofErr w:type="spellEnd"/>
      <w:r w:rsidRPr="00C3377B">
        <w:rPr>
          <w:sz w:val="24"/>
          <w:szCs w:val="24"/>
        </w:rPr>
        <w:t xml:space="preserve"> i plasma og urin falder (f.eks. LH, FSH).</w:t>
      </w:r>
    </w:p>
    <w:p w:rsidR="00A456E9" w:rsidRPr="00C3377B" w:rsidRDefault="00A456E9" w:rsidP="00A456E9">
      <w:pPr>
        <w:numPr>
          <w:ilvl w:val="0"/>
          <w:numId w:val="10"/>
        </w:numPr>
        <w:tabs>
          <w:tab w:val="clear" w:pos="567"/>
        </w:tabs>
        <w:ind w:left="1276" w:hanging="425"/>
        <w:rPr>
          <w:sz w:val="24"/>
          <w:szCs w:val="24"/>
        </w:rPr>
      </w:pPr>
      <w:r w:rsidRPr="00C3377B">
        <w:rPr>
          <w:sz w:val="24"/>
          <w:szCs w:val="24"/>
        </w:rPr>
        <w:t xml:space="preserve">Koncentrationerne af kønshormonbindende </w:t>
      </w:r>
      <w:proofErr w:type="spellStart"/>
      <w:r w:rsidRPr="00C3377B">
        <w:rPr>
          <w:sz w:val="24"/>
          <w:szCs w:val="24"/>
        </w:rPr>
        <w:t>globulin</w:t>
      </w:r>
      <w:proofErr w:type="spellEnd"/>
      <w:r w:rsidRPr="00C3377B">
        <w:rPr>
          <w:sz w:val="24"/>
          <w:szCs w:val="24"/>
        </w:rPr>
        <w:t xml:space="preserve"> (SHBG) falder.</w:t>
      </w:r>
    </w:p>
    <w:p w:rsidR="00A456E9" w:rsidRPr="00C3377B" w:rsidRDefault="00A456E9" w:rsidP="00A456E9">
      <w:pPr>
        <w:ind w:left="851" w:hanging="851"/>
        <w:rPr>
          <w:rStyle w:val="Kommentarhenvisning"/>
          <w:sz w:val="24"/>
          <w:szCs w:val="24"/>
        </w:rPr>
      </w:pPr>
    </w:p>
    <w:p w:rsidR="00A456E9" w:rsidRPr="00C3377B" w:rsidRDefault="00A456E9" w:rsidP="00A456E9">
      <w:pPr>
        <w:ind w:left="851"/>
        <w:rPr>
          <w:rStyle w:val="Kommentarhenvisning"/>
          <w:i/>
          <w:sz w:val="24"/>
          <w:szCs w:val="24"/>
        </w:rPr>
      </w:pPr>
      <w:r w:rsidRPr="00C3377B">
        <w:rPr>
          <w:rStyle w:val="Kommentarhenvisning"/>
          <w:i/>
          <w:sz w:val="24"/>
          <w:szCs w:val="24"/>
        </w:rPr>
        <w:t>Vigtig information om hjælpestoffer</w:t>
      </w:r>
    </w:p>
    <w:p w:rsidR="00A456E9" w:rsidRPr="00C3377B" w:rsidRDefault="00A456E9" w:rsidP="00A456E9">
      <w:pPr>
        <w:ind w:left="851"/>
        <w:rPr>
          <w:rStyle w:val="Kommentarhenvisning"/>
          <w:sz w:val="24"/>
          <w:szCs w:val="24"/>
        </w:rPr>
      </w:pPr>
      <w:r w:rsidRPr="00C3377B">
        <w:rPr>
          <w:rStyle w:val="Kommentarhenvisning"/>
          <w:sz w:val="24"/>
          <w:szCs w:val="24"/>
        </w:rPr>
        <w:t xml:space="preserve">Da dette lægemiddel indeholder </w:t>
      </w:r>
      <w:proofErr w:type="spellStart"/>
      <w:r w:rsidRPr="00C3377B">
        <w:rPr>
          <w:rStyle w:val="Kommentarhenvisning"/>
          <w:sz w:val="24"/>
          <w:szCs w:val="24"/>
        </w:rPr>
        <w:t>methylparahydroxybenzoat</w:t>
      </w:r>
      <w:proofErr w:type="spellEnd"/>
      <w:r w:rsidRPr="00C3377B">
        <w:rPr>
          <w:rStyle w:val="Kommentarhenvisning"/>
          <w:sz w:val="24"/>
          <w:szCs w:val="24"/>
        </w:rPr>
        <w:t xml:space="preserve"> (E218) og </w:t>
      </w:r>
      <w:proofErr w:type="spellStart"/>
      <w:r w:rsidRPr="00C3377B">
        <w:rPr>
          <w:rStyle w:val="Kommentarhenvisning"/>
          <w:sz w:val="24"/>
          <w:szCs w:val="24"/>
        </w:rPr>
        <w:t>propylparahydroxybenzoat</w:t>
      </w:r>
      <w:proofErr w:type="spellEnd"/>
      <w:r w:rsidRPr="00C3377B">
        <w:rPr>
          <w:rStyle w:val="Kommentarhenvisning"/>
          <w:sz w:val="24"/>
          <w:szCs w:val="24"/>
        </w:rPr>
        <w:t xml:space="preserve"> (E216), kan det give allergiske reaktioner (muligvis forsinkede) og, undtagelsesvis, </w:t>
      </w:r>
      <w:proofErr w:type="spellStart"/>
      <w:proofErr w:type="gramStart"/>
      <w:r w:rsidRPr="00C3377B">
        <w:rPr>
          <w:rStyle w:val="Kommentarhenvisning"/>
          <w:sz w:val="24"/>
          <w:szCs w:val="24"/>
        </w:rPr>
        <w:t>bronchospasme.Dette</w:t>
      </w:r>
      <w:proofErr w:type="spellEnd"/>
      <w:proofErr w:type="gramEnd"/>
      <w:r w:rsidRPr="00C3377B">
        <w:rPr>
          <w:rStyle w:val="Kommentarhenvisning"/>
          <w:sz w:val="24"/>
          <w:szCs w:val="24"/>
        </w:rPr>
        <w:t xml:space="preserve"> lægemiddel indeholder mindre end 1 mmol natrium (23 mg) pr. 104 mg/0,65 ml og er stort set ‘natriumfrit’.</w:t>
      </w:r>
    </w:p>
    <w:p w:rsidR="00A456E9" w:rsidRPr="00C3377B" w:rsidRDefault="00A456E9" w:rsidP="00A456E9">
      <w:pPr>
        <w:tabs>
          <w:tab w:val="left" w:pos="851"/>
        </w:tabs>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4.5</w:t>
      </w:r>
      <w:r w:rsidRPr="00C3377B">
        <w:rPr>
          <w:b/>
          <w:sz w:val="24"/>
          <w:szCs w:val="24"/>
        </w:rPr>
        <w:tab/>
        <w:t>Interaktion med andre lægemidler og andre former for interaktion</w:t>
      </w:r>
    </w:p>
    <w:p w:rsidR="00A456E9" w:rsidRPr="00C3377B" w:rsidRDefault="00A456E9" w:rsidP="00A456E9">
      <w:pPr>
        <w:ind w:left="851"/>
        <w:rPr>
          <w:bCs/>
          <w:sz w:val="24"/>
          <w:szCs w:val="24"/>
        </w:rPr>
      </w:pPr>
      <w:r w:rsidRPr="00C3377B">
        <w:rPr>
          <w:color w:val="000000"/>
          <w:sz w:val="24"/>
          <w:szCs w:val="24"/>
        </w:rPr>
        <w:t xml:space="preserve">Der er ikke udført interaktionsstudier med </w:t>
      </w:r>
      <w:proofErr w:type="spellStart"/>
      <w:r w:rsidRPr="00C3377B">
        <w:rPr>
          <w:color w:val="000000"/>
          <w:sz w:val="24"/>
          <w:szCs w:val="24"/>
        </w:rPr>
        <w:t>Sayanaject</w:t>
      </w:r>
      <w:proofErr w:type="spellEnd"/>
      <w:r w:rsidRPr="00C3377B">
        <w:rPr>
          <w:color w:val="000000"/>
          <w:sz w:val="24"/>
          <w:szCs w:val="24"/>
        </w:rPr>
        <w:t>.</w:t>
      </w:r>
    </w:p>
    <w:p w:rsidR="00A456E9" w:rsidRPr="00C3377B" w:rsidRDefault="00A456E9" w:rsidP="00A456E9">
      <w:pPr>
        <w:ind w:left="851"/>
        <w:rPr>
          <w:bCs/>
          <w:sz w:val="24"/>
          <w:szCs w:val="24"/>
          <w:highlight w:val="yellow"/>
        </w:rPr>
      </w:pPr>
    </w:p>
    <w:p w:rsidR="00A456E9" w:rsidRPr="00C3377B" w:rsidRDefault="00A456E9" w:rsidP="00A456E9">
      <w:pPr>
        <w:numPr>
          <w:ilvl w:val="12"/>
          <w:numId w:val="0"/>
        </w:numPr>
        <w:ind w:left="851"/>
        <w:rPr>
          <w:sz w:val="24"/>
          <w:szCs w:val="24"/>
        </w:rPr>
      </w:pPr>
      <w:r w:rsidRPr="00C3377B">
        <w:rPr>
          <w:sz w:val="24"/>
          <w:szCs w:val="24"/>
        </w:rPr>
        <w:t xml:space="preserve">Interaktioner med andre medicinske behandlinger (herunder orale </w:t>
      </w:r>
      <w:proofErr w:type="spellStart"/>
      <w:r w:rsidRPr="00C3377B">
        <w:rPr>
          <w:sz w:val="24"/>
          <w:szCs w:val="24"/>
        </w:rPr>
        <w:t>antikoagulanter</w:t>
      </w:r>
      <w:proofErr w:type="spellEnd"/>
      <w:r w:rsidRPr="00C3377B">
        <w:rPr>
          <w:sz w:val="24"/>
          <w:szCs w:val="24"/>
        </w:rPr>
        <w:t>) er sjældent rapporteret, men der er ikke påvist kausalitet. Muligheden for interaktioner bør overvejes hos patienter, der modtager samtidig behandling med andre lægemidler.</w:t>
      </w:r>
    </w:p>
    <w:p w:rsidR="00A456E9" w:rsidRPr="00C3377B" w:rsidRDefault="00A456E9" w:rsidP="00A456E9">
      <w:pPr>
        <w:numPr>
          <w:ilvl w:val="12"/>
          <w:numId w:val="0"/>
        </w:numPr>
        <w:ind w:left="851"/>
        <w:rPr>
          <w:sz w:val="24"/>
          <w:szCs w:val="24"/>
        </w:rPr>
      </w:pPr>
    </w:p>
    <w:p w:rsidR="00A456E9" w:rsidRPr="00C3377B" w:rsidRDefault="00A456E9" w:rsidP="00A456E9">
      <w:pPr>
        <w:ind w:left="851"/>
        <w:rPr>
          <w:sz w:val="24"/>
          <w:szCs w:val="24"/>
        </w:rPr>
      </w:pPr>
      <w:r w:rsidRPr="00C3377B">
        <w:rPr>
          <w:sz w:val="24"/>
          <w:szCs w:val="24"/>
        </w:rPr>
        <w:t xml:space="preserve">MPA </w:t>
      </w:r>
      <w:proofErr w:type="spellStart"/>
      <w:r w:rsidRPr="00C3377B">
        <w:rPr>
          <w:sz w:val="24"/>
          <w:szCs w:val="24"/>
        </w:rPr>
        <w:t>metaboliseres</w:t>
      </w:r>
      <w:proofErr w:type="spellEnd"/>
      <w:r w:rsidRPr="00C3377B">
        <w:rPr>
          <w:sz w:val="24"/>
          <w:szCs w:val="24"/>
        </w:rPr>
        <w:t xml:space="preserve"> </w:t>
      </w:r>
      <w:r w:rsidRPr="00C3377B">
        <w:rPr>
          <w:i/>
          <w:sz w:val="24"/>
          <w:szCs w:val="24"/>
        </w:rPr>
        <w:t xml:space="preserve">in </w:t>
      </w:r>
      <w:proofErr w:type="spellStart"/>
      <w:r w:rsidRPr="00C3377B">
        <w:rPr>
          <w:i/>
          <w:sz w:val="24"/>
          <w:szCs w:val="24"/>
        </w:rPr>
        <w:t>vitro</w:t>
      </w:r>
      <w:proofErr w:type="spellEnd"/>
      <w:r w:rsidRPr="00C3377B">
        <w:rPr>
          <w:sz w:val="24"/>
          <w:szCs w:val="24"/>
        </w:rPr>
        <w:t xml:space="preserve"> primært ved </w:t>
      </w:r>
      <w:proofErr w:type="spellStart"/>
      <w:r w:rsidRPr="00C3377B">
        <w:rPr>
          <w:sz w:val="24"/>
          <w:szCs w:val="24"/>
        </w:rPr>
        <w:t>hydroxylering</w:t>
      </w:r>
      <w:proofErr w:type="spellEnd"/>
      <w:r w:rsidRPr="00C3377B">
        <w:rPr>
          <w:sz w:val="24"/>
          <w:szCs w:val="24"/>
        </w:rPr>
        <w:t xml:space="preserve"> via CYP3A4. Der er ikke udført specifikke lægemiddelinteraktionsstudier, som vurderer den kliniske virkning af CYP3A4-inducerer eller -inhibitorer på MPA, og den kliniske virkning af CYP3A4-inducerer eller -inhibitorer er derfor ikke kendt.</w:t>
      </w:r>
    </w:p>
    <w:p w:rsidR="00A456E9" w:rsidRPr="00C3377B"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4.6</w:t>
      </w:r>
      <w:r w:rsidRPr="00C3377B">
        <w:rPr>
          <w:b/>
          <w:sz w:val="24"/>
          <w:szCs w:val="24"/>
        </w:rPr>
        <w:tab/>
      </w:r>
      <w:r w:rsidR="00DE2D1D">
        <w:rPr>
          <w:b/>
          <w:sz w:val="24"/>
          <w:szCs w:val="24"/>
        </w:rPr>
        <w:t>Fertilitet, g</w:t>
      </w:r>
      <w:r w:rsidRPr="00C3377B">
        <w:rPr>
          <w:b/>
          <w:sz w:val="24"/>
          <w:szCs w:val="24"/>
        </w:rPr>
        <w:t>raviditet og amning</w:t>
      </w:r>
    </w:p>
    <w:p w:rsidR="00A456E9" w:rsidRPr="00C3377B" w:rsidRDefault="00A456E9" w:rsidP="00A456E9">
      <w:pPr>
        <w:ind w:firstLine="851"/>
        <w:rPr>
          <w:i/>
          <w:snapToGrid w:val="0"/>
          <w:sz w:val="24"/>
          <w:szCs w:val="24"/>
          <w:u w:val="single"/>
        </w:rPr>
      </w:pPr>
      <w:r w:rsidRPr="00C3377B">
        <w:rPr>
          <w:sz w:val="24"/>
          <w:szCs w:val="24"/>
          <w:u w:val="single"/>
        </w:rPr>
        <w:t>Fertilitet</w:t>
      </w:r>
    </w:p>
    <w:p w:rsidR="00A456E9" w:rsidRPr="00C3377B" w:rsidRDefault="00A456E9" w:rsidP="00A456E9">
      <w:pPr>
        <w:ind w:left="851"/>
        <w:rPr>
          <w:i/>
          <w:snapToGrid w:val="0"/>
          <w:sz w:val="24"/>
          <w:szCs w:val="24"/>
        </w:rPr>
      </w:pPr>
      <w:proofErr w:type="spellStart"/>
      <w:r w:rsidRPr="00C3377B">
        <w:rPr>
          <w:color w:val="000000"/>
          <w:sz w:val="24"/>
          <w:szCs w:val="24"/>
        </w:rPr>
        <w:t>Sayanaject</w:t>
      </w:r>
      <w:proofErr w:type="spellEnd"/>
      <w:r w:rsidRPr="00C3377B">
        <w:rPr>
          <w:color w:val="000000"/>
          <w:sz w:val="24"/>
          <w:szCs w:val="24"/>
        </w:rPr>
        <w:t xml:space="preserve"> er indiceret til forebyggelse af graviditet.</w:t>
      </w:r>
    </w:p>
    <w:p w:rsidR="00A456E9" w:rsidRPr="00C3377B" w:rsidRDefault="00A456E9" w:rsidP="00A456E9">
      <w:pPr>
        <w:spacing w:before="100" w:beforeAutospacing="1" w:after="75"/>
        <w:ind w:left="851"/>
        <w:rPr>
          <w:color w:val="000000"/>
          <w:sz w:val="24"/>
          <w:szCs w:val="24"/>
          <w:lang w:eastAsia="en-GB"/>
        </w:rPr>
      </w:pPr>
      <w:r w:rsidRPr="00C3377B">
        <w:rPr>
          <w:sz w:val="24"/>
          <w:szCs w:val="24"/>
        </w:rPr>
        <w:t xml:space="preserve">Kvinder kan opleve en forsinket tilbagevenden til fertilitet (undfangelse) efter </w:t>
      </w:r>
      <w:proofErr w:type="spellStart"/>
      <w:r w:rsidRPr="00C3377B">
        <w:rPr>
          <w:sz w:val="24"/>
          <w:szCs w:val="24"/>
        </w:rPr>
        <w:t>seponering</w:t>
      </w:r>
      <w:proofErr w:type="spellEnd"/>
      <w:r w:rsidRPr="00C3377B">
        <w:rPr>
          <w:sz w:val="24"/>
          <w:szCs w:val="24"/>
        </w:rPr>
        <w:t xml:space="preserve"> af </w:t>
      </w:r>
      <w:proofErr w:type="spellStart"/>
      <w:r w:rsidRPr="00C3377B">
        <w:rPr>
          <w:sz w:val="24"/>
          <w:szCs w:val="24"/>
        </w:rPr>
        <w:t>Sayanaject</w:t>
      </w:r>
      <w:proofErr w:type="spellEnd"/>
      <w:r w:rsidRPr="00C3377B">
        <w:rPr>
          <w:sz w:val="24"/>
          <w:szCs w:val="24"/>
        </w:rPr>
        <w:t xml:space="preserve"> (se pkt. 4.4).</w:t>
      </w:r>
    </w:p>
    <w:p w:rsidR="00A456E9" w:rsidRPr="00C3377B" w:rsidRDefault="00A456E9" w:rsidP="00A456E9">
      <w:pPr>
        <w:ind w:left="851"/>
        <w:rPr>
          <w:i/>
          <w:sz w:val="24"/>
          <w:szCs w:val="24"/>
        </w:rPr>
      </w:pPr>
    </w:p>
    <w:p w:rsidR="00A456E9" w:rsidRPr="00C3377B" w:rsidRDefault="00A456E9" w:rsidP="00A456E9">
      <w:pPr>
        <w:ind w:left="851"/>
        <w:rPr>
          <w:i/>
          <w:sz w:val="24"/>
          <w:szCs w:val="24"/>
          <w:u w:val="single"/>
        </w:rPr>
      </w:pPr>
      <w:r w:rsidRPr="00C3377B">
        <w:rPr>
          <w:sz w:val="24"/>
          <w:szCs w:val="24"/>
          <w:u w:val="single"/>
        </w:rPr>
        <w:t>Graviditet</w:t>
      </w:r>
    </w:p>
    <w:p w:rsidR="00A456E9" w:rsidRPr="00C3377B" w:rsidRDefault="00A456E9" w:rsidP="00A456E9">
      <w:pPr>
        <w:ind w:left="851"/>
        <w:rPr>
          <w:sz w:val="24"/>
          <w:szCs w:val="24"/>
        </w:rPr>
      </w:pPr>
      <w:proofErr w:type="spellStart"/>
      <w:r w:rsidRPr="00C3377B">
        <w:rPr>
          <w:sz w:val="24"/>
          <w:szCs w:val="24"/>
        </w:rPr>
        <w:t>Sayanaject</w:t>
      </w:r>
      <w:proofErr w:type="spellEnd"/>
      <w:r w:rsidRPr="00C3377B">
        <w:rPr>
          <w:sz w:val="24"/>
          <w:szCs w:val="24"/>
        </w:rPr>
        <w:t xml:space="preserve"> er kontraindiceret hos kvinder, der er gravide. Nogle rapporter tyder på en forbindelse mellem intrauterin eksponering for </w:t>
      </w:r>
      <w:proofErr w:type="spellStart"/>
      <w:r w:rsidRPr="00C3377B">
        <w:rPr>
          <w:sz w:val="24"/>
          <w:szCs w:val="24"/>
        </w:rPr>
        <w:t>progestationelle</w:t>
      </w:r>
      <w:proofErr w:type="spellEnd"/>
      <w:r w:rsidRPr="00C3377B">
        <w:rPr>
          <w:sz w:val="24"/>
          <w:szCs w:val="24"/>
        </w:rPr>
        <w:t xml:space="preserve"> lægemidler i de første tre måneder af graviditeten og genitale abnormiteter hos drenge- og pigefostre. Hvis </w:t>
      </w:r>
      <w:proofErr w:type="spellStart"/>
      <w:r w:rsidRPr="00C3377B">
        <w:rPr>
          <w:sz w:val="24"/>
          <w:szCs w:val="24"/>
        </w:rPr>
        <w:t>Sayanaject</w:t>
      </w:r>
      <w:proofErr w:type="spellEnd"/>
      <w:r w:rsidRPr="00C3377B">
        <w:rPr>
          <w:sz w:val="24"/>
          <w:szCs w:val="24"/>
        </w:rPr>
        <w:t xml:space="preserve"> anvendes under graviditet, eller hvis patienten bliver gravid, mens hun anvender dette lægemiddel, bør patienten advares om den potentielle fare for fostret.</w:t>
      </w:r>
    </w:p>
    <w:p w:rsidR="00A456E9" w:rsidRPr="00C3377B" w:rsidRDefault="00A456E9" w:rsidP="00A456E9">
      <w:pPr>
        <w:ind w:left="851"/>
        <w:rPr>
          <w:sz w:val="24"/>
          <w:szCs w:val="24"/>
        </w:rPr>
      </w:pPr>
    </w:p>
    <w:p w:rsidR="00A456E9" w:rsidRPr="00C3377B" w:rsidRDefault="00A456E9" w:rsidP="00A456E9">
      <w:pPr>
        <w:ind w:left="851"/>
        <w:rPr>
          <w:sz w:val="24"/>
          <w:szCs w:val="24"/>
        </w:rPr>
      </w:pPr>
      <w:r w:rsidRPr="00C3377B">
        <w:rPr>
          <w:sz w:val="24"/>
          <w:szCs w:val="24"/>
        </w:rPr>
        <w:t xml:space="preserve">Et studie fandt, at spædbørn, der var en følge af utilsigtet graviditet, som </w:t>
      </w:r>
      <w:r>
        <w:rPr>
          <w:sz w:val="24"/>
          <w:szCs w:val="24"/>
        </w:rPr>
        <w:t>skete</w:t>
      </w:r>
      <w:r w:rsidRPr="00C3377B">
        <w:rPr>
          <w:sz w:val="24"/>
          <w:szCs w:val="24"/>
        </w:rPr>
        <w:t xml:space="preserve"> 1 til 2 måneder efter injektion af </w:t>
      </w:r>
      <w:r>
        <w:rPr>
          <w:sz w:val="24"/>
          <w:szCs w:val="24"/>
        </w:rPr>
        <w:t xml:space="preserve">DMPA </w:t>
      </w:r>
      <w:proofErr w:type="spellStart"/>
      <w:r w:rsidRPr="00C3377B">
        <w:rPr>
          <w:sz w:val="24"/>
          <w:szCs w:val="24"/>
        </w:rPr>
        <w:t>i.m</w:t>
      </w:r>
      <w:proofErr w:type="spellEnd"/>
      <w:r w:rsidRPr="00C3377B">
        <w:rPr>
          <w:sz w:val="24"/>
          <w:szCs w:val="24"/>
        </w:rPr>
        <w:t>.</w:t>
      </w:r>
      <w:r w:rsidRPr="00A717BF">
        <w:rPr>
          <w:sz w:val="24"/>
          <w:szCs w:val="24"/>
        </w:rPr>
        <w:t xml:space="preserve"> </w:t>
      </w:r>
      <w:r>
        <w:rPr>
          <w:sz w:val="24"/>
          <w:szCs w:val="24"/>
        </w:rPr>
        <w:t xml:space="preserve">(150 mg), </w:t>
      </w:r>
      <w:r w:rsidRPr="00C3377B">
        <w:rPr>
          <w:sz w:val="24"/>
          <w:szCs w:val="24"/>
        </w:rPr>
        <w:t xml:space="preserve">havde en øget risiko for lav fødselsvægt. Dette er igen blevet forbundet med en øget risiko for neonatal død. Den generelle risiko herfor er dog meget lav, da graviditet, mens patienten er på </w:t>
      </w:r>
      <w:r>
        <w:rPr>
          <w:sz w:val="24"/>
          <w:szCs w:val="24"/>
        </w:rPr>
        <w:t>DMPA</w:t>
      </w:r>
      <w:r w:rsidRPr="00C3377B">
        <w:rPr>
          <w:sz w:val="24"/>
          <w:szCs w:val="24"/>
        </w:rPr>
        <w:t xml:space="preserve"> </w:t>
      </w:r>
      <w:proofErr w:type="spellStart"/>
      <w:r w:rsidRPr="00C3377B">
        <w:rPr>
          <w:sz w:val="24"/>
          <w:szCs w:val="24"/>
        </w:rPr>
        <w:t>i.m</w:t>
      </w:r>
      <w:proofErr w:type="spellEnd"/>
      <w:r w:rsidRPr="00C3377B">
        <w:rPr>
          <w:sz w:val="24"/>
          <w:szCs w:val="24"/>
        </w:rPr>
        <w:t>.</w:t>
      </w:r>
      <w:r>
        <w:rPr>
          <w:sz w:val="24"/>
          <w:szCs w:val="24"/>
        </w:rPr>
        <w:t xml:space="preserve"> (150 mg)</w:t>
      </w:r>
      <w:r w:rsidRPr="00C3377B">
        <w:rPr>
          <w:sz w:val="24"/>
          <w:szCs w:val="24"/>
        </w:rPr>
        <w:t>, ikke er almindeligt.</w:t>
      </w:r>
    </w:p>
    <w:p w:rsidR="00A456E9" w:rsidRPr="00C3377B" w:rsidRDefault="00A456E9" w:rsidP="00A456E9">
      <w:pPr>
        <w:ind w:left="851"/>
        <w:rPr>
          <w:sz w:val="24"/>
          <w:szCs w:val="24"/>
          <w:u w:val="single"/>
        </w:rPr>
      </w:pPr>
    </w:p>
    <w:p w:rsidR="00A456E9" w:rsidRPr="00C3377B" w:rsidRDefault="00A456E9" w:rsidP="00A456E9">
      <w:pPr>
        <w:ind w:left="851"/>
        <w:rPr>
          <w:b/>
          <w:bCs/>
          <w:color w:val="000000"/>
          <w:sz w:val="24"/>
          <w:szCs w:val="24"/>
        </w:rPr>
      </w:pPr>
      <w:r w:rsidRPr="00C3377B">
        <w:rPr>
          <w:sz w:val="24"/>
          <w:szCs w:val="24"/>
        </w:rPr>
        <w:t xml:space="preserve">Børn, der har været eksponeret for MPA in </w:t>
      </w:r>
      <w:proofErr w:type="spellStart"/>
      <w:r w:rsidRPr="00C3377B">
        <w:rPr>
          <w:sz w:val="24"/>
          <w:szCs w:val="24"/>
        </w:rPr>
        <w:t>utero</w:t>
      </w:r>
      <w:proofErr w:type="spellEnd"/>
      <w:r w:rsidRPr="00C3377B">
        <w:rPr>
          <w:sz w:val="24"/>
          <w:szCs w:val="24"/>
        </w:rPr>
        <w:t xml:space="preserve"> og er blevet fulgt indtil ungdommen, viste ingen tegn på uønskede virkninger på helbredet, herunder deres fysiske, intellektuelle, seksuelle eller sociale udvikling.</w:t>
      </w:r>
    </w:p>
    <w:p w:rsidR="00A456E9" w:rsidRPr="00C3377B" w:rsidRDefault="00A456E9" w:rsidP="00A456E9">
      <w:pPr>
        <w:ind w:left="851"/>
        <w:rPr>
          <w:sz w:val="24"/>
          <w:szCs w:val="24"/>
        </w:rPr>
      </w:pPr>
    </w:p>
    <w:p w:rsidR="00A456E9" w:rsidRPr="00C3377B" w:rsidRDefault="00A456E9" w:rsidP="00A456E9">
      <w:pPr>
        <w:ind w:left="851"/>
        <w:rPr>
          <w:sz w:val="24"/>
          <w:szCs w:val="24"/>
          <w:u w:val="single"/>
        </w:rPr>
      </w:pPr>
      <w:r w:rsidRPr="00C3377B">
        <w:rPr>
          <w:sz w:val="24"/>
          <w:szCs w:val="24"/>
          <w:u w:val="single"/>
        </w:rPr>
        <w:t>Amning</w:t>
      </w:r>
    </w:p>
    <w:p w:rsidR="00A456E9" w:rsidRPr="00C3377B" w:rsidRDefault="00A456E9" w:rsidP="00A456E9">
      <w:pPr>
        <w:ind w:left="851"/>
        <w:rPr>
          <w:snapToGrid w:val="0"/>
          <w:sz w:val="24"/>
          <w:szCs w:val="24"/>
        </w:rPr>
      </w:pPr>
      <w:r w:rsidRPr="00C3377B">
        <w:rPr>
          <w:sz w:val="24"/>
          <w:szCs w:val="24"/>
        </w:rPr>
        <w:t xml:space="preserve">Lave sporbare mængder af lægemiddel er blevet fundet i mælk hos mødre, der får MPA. Hos ammende mødre, der behandles med </w:t>
      </w:r>
      <w:r>
        <w:rPr>
          <w:sz w:val="24"/>
          <w:szCs w:val="24"/>
        </w:rPr>
        <w:t>DMPA</w:t>
      </w:r>
      <w:r w:rsidRPr="00C3377B">
        <w:rPr>
          <w:sz w:val="24"/>
          <w:szCs w:val="24"/>
        </w:rPr>
        <w:t xml:space="preserve"> </w:t>
      </w:r>
      <w:proofErr w:type="spellStart"/>
      <w:r w:rsidRPr="00C3377B">
        <w:rPr>
          <w:sz w:val="24"/>
          <w:szCs w:val="24"/>
        </w:rPr>
        <w:t>i.m</w:t>
      </w:r>
      <w:proofErr w:type="spellEnd"/>
      <w:r w:rsidRPr="00C3377B">
        <w:rPr>
          <w:sz w:val="24"/>
          <w:szCs w:val="24"/>
        </w:rPr>
        <w:t>.</w:t>
      </w:r>
      <w:r>
        <w:rPr>
          <w:sz w:val="24"/>
          <w:szCs w:val="24"/>
        </w:rPr>
        <w:t xml:space="preserve"> (150 mg)</w:t>
      </w:r>
      <w:r w:rsidRPr="00C3377B">
        <w:rPr>
          <w:sz w:val="24"/>
          <w:szCs w:val="24"/>
        </w:rPr>
        <w:t xml:space="preserve">, er mælkens sammensætning, kvalitet og mængde ikke påvirket negativt. Nyfødte og spædbørn, der har været eksponeret for MPA fra modermælk, er blevet undersøgt for udviklings- og adfærdsmæssige virkninger gennem puberteten. Der er ikke bemærket nogen uønskede virkninger. På grund af de begrænsede data vedrørende virkningen af MPA hos ammede spædbørn, der er mindre end seks uger gamle, bør injektionen af </w:t>
      </w:r>
      <w:proofErr w:type="spellStart"/>
      <w:r w:rsidRPr="00C3377B">
        <w:rPr>
          <w:sz w:val="24"/>
          <w:szCs w:val="24"/>
        </w:rPr>
        <w:t>Sayanaject</w:t>
      </w:r>
      <w:proofErr w:type="spellEnd"/>
      <w:r w:rsidRPr="00C3377B">
        <w:rPr>
          <w:sz w:val="24"/>
          <w:szCs w:val="24"/>
        </w:rPr>
        <w:t xml:space="preserve"> dog tidligst gives seks uger </w:t>
      </w:r>
      <w:proofErr w:type="spellStart"/>
      <w:r w:rsidRPr="00C3377B">
        <w:rPr>
          <w:sz w:val="24"/>
          <w:szCs w:val="24"/>
        </w:rPr>
        <w:t>postpartum</w:t>
      </w:r>
      <w:proofErr w:type="spellEnd"/>
      <w:r w:rsidRPr="00C3377B">
        <w:rPr>
          <w:sz w:val="24"/>
          <w:szCs w:val="24"/>
        </w:rPr>
        <w:t>, når spædbarnets enzymsystem er mere udviklet.</w:t>
      </w:r>
    </w:p>
    <w:p w:rsidR="00A456E9" w:rsidRPr="00C3377B"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4.7</w:t>
      </w:r>
      <w:r w:rsidRPr="00C3377B">
        <w:rPr>
          <w:b/>
          <w:sz w:val="24"/>
          <w:szCs w:val="24"/>
        </w:rPr>
        <w:tab/>
        <w:t xml:space="preserve">Virkning på evnen til at føre motorkøretøj </w:t>
      </w:r>
      <w:r w:rsidR="00DE2D1D">
        <w:rPr>
          <w:b/>
          <w:sz w:val="24"/>
          <w:szCs w:val="24"/>
        </w:rPr>
        <w:t>og</w:t>
      </w:r>
      <w:r w:rsidRPr="00C3377B">
        <w:rPr>
          <w:b/>
          <w:sz w:val="24"/>
          <w:szCs w:val="24"/>
        </w:rPr>
        <w:t xml:space="preserve"> betjene maskiner</w:t>
      </w:r>
    </w:p>
    <w:p w:rsidR="00A456E9" w:rsidRDefault="00A456E9" w:rsidP="00A456E9">
      <w:pPr>
        <w:ind w:left="851"/>
        <w:rPr>
          <w:sz w:val="24"/>
          <w:szCs w:val="24"/>
        </w:rPr>
      </w:pPr>
      <w:r>
        <w:rPr>
          <w:sz w:val="24"/>
          <w:szCs w:val="24"/>
        </w:rPr>
        <w:t>Ikke mærkning.</w:t>
      </w:r>
    </w:p>
    <w:p w:rsidR="00A456E9" w:rsidRPr="00C3377B" w:rsidRDefault="00A456E9" w:rsidP="00A456E9">
      <w:pPr>
        <w:ind w:left="851"/>
        <w:rPr>
          <w:sz w:val="24"/>
          <w:szCs w:val="24"/>
        </w:rPr>
      </w:pPr>
      <w:proofErr w:type="spellStart"/>
      <w:r w:rsidRPr="00C3377B">
        <w:rPr>
          <w:sz w:val="24"/>
          <w:szCs w:val="24"/>
        </w:rPr>
        <w:t>Sayanaject</w:t>
      </w:r>
      <w:proofErr w:type="spellEnd"/>
      <w:r w:rsidRPr="00C3377B">
        <w:rPr>
          <w:sz w:val="24"/>
          <w:szCs w:val="24"/>
        </w:rPr>
        <w:t xml:space="preserve"> påvirker ikke evnen til at føre motorkøretøj og betjene maskiner.</w:t>
      </w:r>
    </w:p>
    <w:p w:rsidR="00A456E9" w:rsidRPr="00C3377B" w:rsidRDefault="00A456E9" w:rsidP="00A456E9">
      <w:pPr>
        <w:tabs>
          <w:tab w:val="left" w:pos="851"/>
        </w:tabs>
        <w:rPr>
          <w:sz w:val="24"/>
          <w:szCs w:val="24"/>
        </w:rPr>
      </w:pPr>
    </w:p>
    <w:p w:rsidR="00A456E9" w:rsidRPr="00C3377B" w:rsidRDefault="00A456E9" w:rsidP="00EA3888">
      <w:pPr>
        <w:keepNext/>
        <w:tabs>
          <w:tab w:val="left" w:pos="851"/>
        </w:tabs>
        <w:ind w:left="851" w:hanging="851"/>
        <w:rPr>
          <w:b/>
          <w:sz w:val="24"/>
          <w:szCs w:val="24"/>
        </w:rPr>
      </w:pPr>
      <w:r w:rsidRPr="00C3377B">
        <w:rPr>
          <w:b/>
          <w:sz w:val="24"/>
          <w:szCs w:val="24"/>
        </w:rPr>
        <w:lastRenderedPageBreak/>
        <w:t>4.8</w:t>
      </w:r>
      <w:r w:rsidRPr="00C3377B">
        <w:rPr>
          <w:b/>
          <w:sz w:val="24"/>
          <w:szCs w:val="24"/>
        </w:rPr>
        <w:tab/>
        <w:t>Bivirkninger</w:t>
      </w:r>
    </w:p>
    <w:p w:rsidR="00A456E9" w:rsidRDefault="00A456E9" w:rsidP="00EA3888">
      <w:pPr>
        <w:keepNext/>
        <w:ind w:firstLine="851"/>
        <w:rPr>
          <w:bCs/>
          <w:sz w:val="24"/>
          <w:szCs w:val="24"/>
        </w:rPr>
      </w:pPr>
      <w:r>
        <w:rPr>
          <w:sz w:val="24"/>
          <w:szCs w:val="24"/>
        </w:rPr>
        <w:t>Hændelser fra kliniske forsøg:</w:t>
      </w:r>
    </w:p>
    <w:p w:rsidR="00A456E9" w:rsidRDefault="00A456E9" w:rsidP="00EA3888">
      <w:pPr>
        <w:keepNext/>
        <w:ind w:left="851"/>
        <w:rPr>
          <w:bCs/>
          <w:sz w:val="24"/>
          <w:szCs w:val="24"/>
        </w:rPr>
      </w:pPr>
    </w:p>
    <w:p w:rsidR="00A456E9" w:rsidRDefault="00A456E9" w:rsidP="00A456E9">
      <w:pPr>
        <w:ind w:left="851"/>
        <w:rPr>
          <w:sz w:val="24"/>
          <w:szCs w:val="24"/>
        </w:rPr>
      </w:pPr>
      <w:r>
        <w:rPr>
          <w:sz w:val="24"/>
          <w:szCs w:val="24"/>
        </w:rPr>
        <w:t xml:space="preserve">Tabellen nedenfor indeholder en liste over bivirkninger, hvor hyppigheden er baseret på kausalitetsdata fra kliniske studier, der omfattede 2053 kvinder, som fik DMPA </w:t>
      </w:r>
      <w:proofErr w:type="spellStart"/>
      <w:r>
        <w:rPr>
          <w:sz w:val="24"/>
          <w:szCs w:val="24"/>
        </w:rPr>
        <w:t>s.c</w:t>
      </w:r>
      <w:proofErr w:type="spellEnd"/>
      <w:r>
        <w:rPr>
          <w:sz w:val="24"/>
          <w:szCs w:val="24"/>
        </w:rPr>
        <w:t xml:space="preserve">. som </w:t>
      </w:r>
      <w:proofErr w:type="spellStart"/>
      <w:r>
        <w:rPr>
          <w:sz w:val="24"/>
          <w:szCs w:val="24"/>
        </w:rPr>
        <w:t>kontraception</w:t>
      </w:r>
      <w:proofErr w:type="spellEnd"/>
      <w:r>
        <w:rPr>
          <w:sz w:val="24"/>
          <w:szCs w:val="24"/>
        </w:rPr>
        <w:t xml:space="preserve">. De hyppigst (&gt; 5 %) indberettede bivirkninger var hovedpine (8,9 %), </w:t>
      </w:r>
      <w:proofErr w:type="spellStart"/>
      <w:r>
        <w:rPr>
          <w:sz w:val="24"/>
          <w:szCs w:val="24"/>
        </w:rPr>
        <w:t>metroragi</w:t>
      </w:r>
      <w:proofErr w:type="spellEnd"/>
      <w:r>
        <w:rPr>
          <w:sz w:val="24"/>
          <w:szCs w:val="24"/>
        </w:rPr>
        <w:t xml:space="preserve"> (7,1 %), vægtforøgelse (6,9 %), </w:t>
      </w:r>
      <w:proofErr w:type="spellStart"/>
      <w:r>
        <w:rPr>
          <w:sz w:val="24"/>
          <w:szCs w:val="24"/>
        </w:rPr>
        <w:t>amenorré</w:t>
      </w:r>
      <w:proofErr w:type="spellEnd"/>
      <w:r>
        <w:rPr>
          <w:sz w:val="24"/>
          <w:szCs w:val="24"/>
        </w:rPr>
        <w:t xml:space="preserve"> (6,3 %) og reaktioner på injektionsstedet (alle typer, 6,1 %).</w:t>
      </w:r>
    </w:p>
    <w:p w:rsidR="00A456E9" w:rsidRDefault="00A456E9" w:rsidP="00A456E9">
      <w:pPr>
        <w:ind w:left="851"/>
        <w:rPr>
          <w:sz w:val="24"/>
          <w:szCs w:val="24"/>
        </w:rPr>
      </w:pPr>
    </w:p>
    <w:p w:rsidR="00A456E9" w:rsidRDefault="00A456E9" w:rsidP="00A456E9">
      <w:pPr>
        <w:ind w:left="851"/>
        <w:rPr>
          <w:sz w:val="24"/>
          <w:szCs w:val="24"/>
        </w:rPr>
      </w:pPr>
      <w:r>
        <w:rPr>
          <w:sz w:val="24"/>
          <w:szCs w:val="24"/>
        </w:rPr>
        <w:t>Bivirkninger er anført efter følgende kategorier. De er som følger:</w:t>
      </w:r>
    </w:p>
    <w:p w:rsidR="00A456E9" w:rsidRDefault="00A456E9" w:rsidP="00A456E9">
      <w:pPr>
        <w:ind w:left="851"/>
        <w:rPr>
          <w:sz w:val="24"/>
          <w:szCs w:val="24"/>
        </w:rPr>
      </w:pPr>
      <w:bookmarkStart w:id="1" w:name="OLE_LINK2"/>
      <w:r>
        <w:rPr>
          <w:sz w:val="24"/>
          <w:szCs w:val="24"/>
        </w:rPr>
        <w:t>Meget almindelig (≥ 1/10)</w:t>
      </w:r>
    </w:p>
    <w:p w:rsidR="00A456E9" w:rsidRDefault="00A456E9" w:rsidP="00A456E9">
      <w:pPr>
        <w:ind w:left="851"/>
        <w:rPr>
          <w:sz w:val="24"/>
          <w:szCs w:val="24"/>
        </w:rPr>
      </w:pPr>
      <w:r>
        <w:rPr>
          <w:sz w:val="24"/>
          <w:szCs w:val="24"/>
        </w:rPr>
        <w:t>Almindelig (≥ 1/100 til &lt; 1/10)</w:t>
      </w:r>
    </w:p>
    <w:p w:rsidR="00A456E9" w:rsidRDefault="00A456E9" w:rsidP="00A456E9">
      <w:pPr>
        <w:ind w:left="851"/>
        <w:rPr>
          <w:sz w:val="24"/>
          <w:szCs w:val="24"/>
        </w:rPr>
      </w:pPr>
      <w:r>
        <w:rPr>
          <w:sz w:val="24"/>
          <w:szCs w:val="24"/>
        </w:rPr>
        <w:t>Ikke almindelig (≥ 1/1.000 til &lt; 1/100)</w:t>
      </w:r>
    </w:p>
    <w:p w:rsidR="00A456E9" w:rsidRDefault="00A456E9" w:rsidP="00A456E9">
      <w:pPr>
        <w:ind w:left="851"/>
        <w:rPr>
          <w:sz w:val="24"/>
          <w:szCs w:val="24"/>
        </w:rPr>
      </w:pPr>
      <w:bookmarkStart w:id="2" w:name="OLE_LINK1"/>
      <w:r>
        <w:rPr>
          <w:sz w:val="24"/>
          <w:szCs w:val="24"/>
        </w:rPr>
        <w:t>Sjælden</w:t>
      </w:r>
      <w:r>
        <w:rPr>
          <w:sz w:val="24"/>
          <w:szCs w:val="24"/>
          <w:lang w:val="el-GR"/>
        </w:rPr>
        <w:t xml:space="preserve"> (</w:t>
      </w:r>
      <w:r>
        <w:rPr>
          <w:sz w:val="24"/>
          <w:szCs w:val="24"/>
        </w:rPr>
        <w:t xml:space="preserve">≥ </w:t>
      </w:r>
      <w:r>
        <w:rPr>
          <w:sz w:val="24"/>
          <w:szCs w:val="24"/>
          <w:lang w:val="el-GR"/>
        </w:rPr>
        <w:t>1/10</w:t>
      </w:r>
      <w:r>
        <w:rPr>
          <w:sz w:val="24"/>
          <w:szCs w:val="24"/>
        </w:rPr>
        <w:t>.</w:t>
      </w:r>
      <w:r>
        <w:rPr>
          <w:sz w:val="24"/>
          <w:szCs w:val="24"/>
          <w:lang w:val="el-GR"/>
        </w:rPr>
        <w:t>000</w:t>
      </w:r>
      <w:r>
        <w:rPr>
          <w:sz w:val="24"/>
          <w:szCs w:val="24"/>
        </w:rPr>
        <w:t xml:space="preserve"> til</w:t>
      </w:r>
      <w:r>
        <w:rPr>
          <w:sz w:val="24"/>
          <w:szCs w:val="24"/>
          <w:lang w:val="el-GR"/>
        </w:rPr>
        <w:t xml:space="preserve"> </w:t>
      </w:r>
      <w:r>
        <w:rPr>
          <w:sz w:val="24"/>
          <w:szCs w:val="24"/>
        </w:rPr>
        <w:t xml:space="preserve">&lt; </w:t>
      </w:r>
      <w:r>
        <w:rPr>
          <w:sz w:val="24"/>
          <w:szCs w:val="24"/>
          <w:lang w:val="el-GR"/>
        </w:rPr>
        <w:t>1/1</w:t>
      </w:r>
      <w:r>
        <w:rPr>
          <w:sz w:val="24"/>
          <w:szCs w:val="24"/>
        </w:rPr>
        <w:t>.</w:t>
      </w:r>
      <w:r>
        <w:rPr>
          <w:sz w:val="24"/>
          <w:szCs w:val="24"/>
          <w:lang w:val="el-GR"/>
        </w:rPr>
        <w:t>000)</w:t>
      </w:r>
    </w:p>
    <w:bookmarkEnd w:id="2"/>
    <w:p w:rsidR="00A456E9" w:rsidRDefault="00A456E9" w:rsidP="00A456E9">
      <w:pPr>
        <w:ind w:left="851"/>
        <w:rPr>
          <w:sz w:val="24"/>
          <w:szCs w:val="24"/>
        </w:rPr>
      </w:pPr>
      <w:r>
        <w:rPr>
          <w:sz w:val="24"/>
          <w:szCs w:val="24"/>
        </w:rPr>
        <w:t>Meget sjælden (&lt; 1/10.000)</w:t>
      </w:r>
    </w:p>
    <w:p w:rsidR="00A456E9" w:rsidRDefault="00A456E9" w:rsidP="00A456E9">
      <w:pPr>
        <w:ind w:left="851"/>
        <w:rPr>
          <w:sz w:val="24"/>
          <w:szCs w:val="24"/>
        </w:rPr>
      </w:pPr>
      <w:r>
        <w:rPr>
          <w:sz w:val="24"/>
          <w:szCs w:val="24"/>
        </w:rPr>
        <w:t>Ikke kendt (kan ikke estimeres ud fra forhåndenværende data)</w:t>
      </w:r>
    </w:p>
    <w:bookmarkEnd w:id="1"/>
    <w:p w:rsidR="00A456E9" w:rsidRDefault="00A456E9" w:rsidP="00A456E9">
      <w:pPr>
        <w:ind w:left="851"/>
        <w:rPr>
          <w:sz w:val="24"/>
          <w:szCs w:val="24"/>
        </w:rPr>
      </w:pPr>
    </w:p>
    <w:p w:rsidR="00A456E9" w:rsidRDefault="00A456E9" w:rsidP="00A456E9">
      <w:pPr>
        <w:ind w:left="851"/>
        <w:rPr>
          <w:sz w:val="24"/>
          <w:szCs w:val="24"/>
        </w:rPr>
      </w:pPr>
      <w:r>
        <w:rPr>
          <w:sz w:val="24"/>
          <w:szCs w:val="24"/>
        </w:rPr>
        <w:t>Hændelser fra overvågning efter markedsføringen:</w:t>
      </w:r>
    </w:p>
    <w:p w:rsidR="00A456E9" w:rsidRDefault="00A456E9" w:rsidP="00A456E9">
      <w:pPr>
        <w:ind w:left="851"/>
        <w:rPr>
          <w:sz w:val="24"/>
          <w:szCs w:val="24"/>
        </w:rPr>
      </w:pPr>
    </w:p>
    <w:p w:rsidR="00A456E9" w:rsidRDefault="00A456E9" w:rsidP="00A456E9">
      <w:pPr>
        <w:ind w:left="851"/>
        <w:rPr>
          <w:sz w:val="24"/>
          <w:szCs w:val="24"/>
        </w:rPr>
      </w:pPr>
      <w:r>
        <w:rPr>
          <w:sz w:val="24"/>
          <w:szCs w:val="24"/>
        </w:rPr>
        <w:t xml:space="preserve">Desuden er bivirkninger af medicinsk betydning, der er udledt af data fra perioden efter markedsføringen vedrørende brugen af </w:t>
      </w:r>
      <w:proofErr w:type="spellStart"/>
      <w:r>
        <w:rPr>
          <w:sz w:val="24"/>
          <w:szCs w:val="24"/>
        </w:rPr>
        <w:t>injicerbart</w:t>
      </w:r>
      <w:proofErr w:type="spellEnd"/>
      <w:r>
        <w:rPr>
          <w:sz w:val="24"/>
          <w:szCs w:val="24"/>
        </w:rPr>
        <w:t xml:space="preserve"> DMPA (</w:t>
      </w:r>
      <w:proofErr w:type="spellStart"/>
      <w:r>
        <w:rPr>
          <w:sz w:val="24"/>
          <w:szCs w:val="24"/>
        </w:rPr>
        <w:t>i.m</w:t>
      </w:r>
      <w:proofErr w:type="spellEnd"/>
      <w:r>
        <w:rPr>
          <w:sz w:val="24"/>
          <w:szCs w:val="24"/>
        </w:rPr>
        <w:t xml:space="preserve">. eller </w:t>
      </w:r>
      <w:proofErr w:type="spellStart"/>
      <w:r>
        <w:rPr>
          <w:sz w:val="24"/>
          <w:szCs w:val="24"/>
        </w:rPr>
        <w:t>s.c</w:t>
      </w:r>
      <w:proofErr w:type="spellEnd"/>
      <w:r>
        <w:rPr>
          <w:sz w:val="24"/>
          <w:szCs w:val="24"/>
        </w:rPr>
        <w:t>.), også taget med i nedenstående liste:</w:t>
      </w:r>
    </w:p>
    <w:p w:rsidR="00A456E9" w:rsidRPr="00C3377B" w:rsidRDefault="00A456E9" w:rsidP="00A456E9">
      <w:pPr>
        <w:tabs>
          <w:tab w:val="left" w:pos="-720"/>
          <w:tab w:val="left" w:pos="0"/>
        </w:tabs>
        <w:suppressAutoHyphens/>
        <w:ind w:left="851" w:hanging="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6"/>
        <w:gridCol w:w="1207"/>
        <w:gridCol w:w="2208"/>
        <w:gridCol w:w="1695"/>
        <w:gridCol w:w="1267"/>
        <w:gridCol w:w="1605"/>
      </w:tblGrid>
      <w:tr w:rsidR="00A456E9" w:rsidTr="007E522B">
        <w:trPr>
          <w:trHeight w:val="144"/>
          <w:tblHeader/>
        </w:trPr>
        <w:tc>
          <w:tcPr>
            <w:tcW w:w="84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Cs/>
                <w:sz w:val="22"/>
                <w:szCs w:val="22"/>
              </w:rPr>
            </w:pPr>
            <w:bookmarkStart w:id="3" w:name="_Hlk365479477"/>
            <w:r w:rsidRPr="00F51590">
              <w:rPr>
                <w:b/>
                <w:sz w:val="22"/>
                <w:szCs w:val="22"/>
              </w:rPr>
              <w:t>Systemorgan</w:t>
            </w:r>
            <w:r w:rsidRPr="00F51590">
              <w:rPr>
                <w:b/>
                <w:sz w:val="22"/>
                <w:szCs w:val="22"/>
              </w:rPr>
              <w:softHyphen/>
              <w:t>klasse</w:t>
            </w:r>
          </w:p>
        </w:tc>
        <w:tc>
          <w:tcPr>
            <w:tcW w:w="720"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Cs/>
                <w:sz w:val="22"/>
                <w:szCs w:val="22"/>
              </w:rPr>
            </w:pPr>
            <w:r w:rsidRPr="00F51590">
              <w:rPr>
                <w:b/>
                <w:iCs/>
                <w:sz w:val="22"/>
                <w:szCs w:val="22"/>
              </w:rPr>
              <w:t>Meget almindelig</w:t>
            </w:r>
          </w:p>
        </w:tc>
        <w:tc>
          <w:tcPr>
            <w:tcW w:w="70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Cs/>
                <w:sz w:val="22"/>
                <w:szCs w:val="22"/>
              </w:rPr>
            </w:pPr>
            <w:r w:rsidRPr="00F51590">
              <w:rPr>
                <w:b/>
                <w:sz w:val="22"/>
                <w:szCs w:val="22"/>
              </w:rPr>
              <w:t>Almindelig</w:t>
            </w:r>
          </w:p>
        </w:tc>
        <w:tc>
          <w:tcPr>
            <w:tcW w:w="845"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Cs/>
                <w:sz w:val="22"/>
                <w:szCs w:val="22"/>
              </w:rPr>
            </w:pPr>
            <w:r w:rsidRPr="00F51590">
              <w:rPr>
                <w:b/>
                <w:sz w:val="22"/>
                <w:szCs w:val="22"/>
              </w:rPr>
              <w:t>Ikke almindelig</w:t>
            </w:r>
          </w:p>
        </w:tc>
        <w:tc>
          <w:tcPr>
            <w:tcW w:w="750"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sz w:val="22"/>
                <w:szCs w:val="22"/>
              </w:rPr>
            </w:pPr>
            <w:r w:rsidRPr="00F51590">
              <w:rPr>
                <w:b/>
                <w:sz w:val="22"/>
                <w:szCs w:val="22"/>
              </w:rPr>
              <w:t>Sjælden</w:t>
            </w:r>
          </w:p>
        </w:tc>
        <w:tc>
          <w:tcPr>
            <w:tcW w:w="1133"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Cs/>
                <w:sz w:val="22"/>
                <w:szCs w:val="22"/>
              </w:rPr>
            </w:pPr>
            <w:r w:rsidRPr="00F51590">
              <w:rPr>
                <w:b/>
                <w:sz w:val="22"/>
                <w:szCs w:val="22"/>
              </w:rPr>
              <w:t>Ikke kendt</w:t>
            </w:r>
          </w:p>
        </w:tc>
      </w:tr>
      <w:tr w:rsidR="00A456E9" w:rsidTr="007E522B">
        <w:trPr>
          <w:trHeight w:val="144"/>
        </w:trPr>
        <w:tc>
          <w:tcPr>
            <w:tcW w:w="84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iCs/>
                <w:sz w:val="22"/>
                <w:szCs w:val="22"/>
              </w:rPr>
            </w:pPr>
            <w:r w:rsidRPr="00F51590">
              <w:rPr>
                <w:sz w:val="22"/>
                <w:szCs w:val="22"/>
              </w:rPr>
              <w:t>Benigne, maligne og uspecificerede tumorer (inkl. cyster og polypper)</w:t>
            </w:r>
          </w:p>
        </w:tc>
        <w:tc>
          <w:tcPr>
            <w:tcW w:w="72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c>
          <w:tcPr>
            <w:tcW w:w="706"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c>
          <w:tcPr>
            <w:tcW w:w="845"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sz w:val="22"/>
                <w:szCs w:val="22"/>
              </w:rPr>
            </w:pPr>
          </w:p>
        </w:tc>
        <w:tc>
          <w:tcPr>
            <w:tcW w:w="750"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sz w:val="22"/>
                <w:szCs w:val="22"/>
              </w:rPr>
            </w:pPr>
            <w:r w:rsidRPr="00F51590">
              <w:rPr>
                <w:sz w:val="22"/>
                <w:szCs w:val="22"/>
              </w:rPr>
              <w:t>Brystcancer (se pkt. 4.4)</w:t>
            </w:r>
          </w:p>
        </w:tc>
        <w:tc>
          <w:tcPr>
            <w:tcW w:w="1133"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r>
      <w:tr w:rsidR="00A456E9" w:rsidTr="007E522B">
        <w:trPr>
          <w:trHeight w:val="144"/>
        </w:trPr>
        <w:tc>
          <w:tcPr>
            <w:tcW w:w="84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sz w:val="22"/>
                <w:szCs w:val="22"/>
              </w:rPr>
            </w:pPr>
            <w:r w:rsidRPr="00F51590">
              <w:rPr>
                <w:sz w:val="22"/>
                <w:szCs w:val="22"/>
              </w:rPr>
              <w:t>Immunsystemet</w:t>
            </w:r>
          </w:p>
        </w:tc>
        <w:tc>
          <w:tcPr>
            <w:tcW w:w="72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sz w:val="22"/>
                <w:szCs w:val="22"/>
              </w:rPr>
            </w:pPr>
          </w:p>
        </w:tc>
        <w:tc>
          <w:tcPr>
            <w:tcW w:w="706"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sz w:val="22"/>
                <w:szCs w:val="22"/>
              </w:rPr>
            </w:pPr>
          </w:p>
        </w:tc>
        <w:tc>
          <w:tcPr>
            <w:tcW w:w="845"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sz w:val="22"/>
                <w:szCs w:val="22"/>
              </w:rPr>
            </w:pPr>
            <w:r w:rsidRPr="00F51590">
              <w:rPr>
                <w:sz w:val="22"/>
                <w:szCs w:val="22"/>
              </w:rPr>
              <w:t>Lægemiddel-overfølsomhed (se pkt. 4.4)</w:t>
            </w:r>
          </w:p>
        </w:tc>
        <w:tc>
          <w:tcPr>
            <w:tcW w:w="75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sz w:val="22"/>
                <w:szCs w:val="22"/>
              </w:rPr>
            </w:pPr>
          </w:p>
        </w:tc>
        <w:tc>
          <w:tcPr>
            <w:tcW w:w="1133"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sz w:val="22"/>
                <w:szCs w:val="22"/>
              </w:rPr>
            </w:pPr>
            <w:proofErr w:type="spellStart"/>
            <w:r w:rsidRPr="00F51590">
              <w:rPr>
                <w:sz w:val="22"/>
                <w:szCs w:val="22"/>
              </w:rPr>
              <w:t>Anafylaktisk</w:t>
            </w:r>
            <w:proofErr w:type="spellEnd"/>
            <w:r w:rsidRPr="00F51590">
              <w:rPr>
                <w:sz w:val="22"/>
                <w:szCs w:val="22"/>
              </w:rPr>
              <w:t xml:space="preserve"> reaktion, </w:t>
            </w:r>
            <w:proofErr w:type="spellStart"/>
            <w:r w:rsidRPr="00F51590">
              <w:rPr>
                <w:sz w:val="22"/>
                <w:szCs w:val="22"/>
              </w:rPr>
              <w:t>anafylaktoid</w:t>
            </w:r>
            <w:proofErr w:type="spellEnd"/>
            <w:r w:rsidRPr="00F51590">
              <w:rPr>
                <w:sz w:val="22"/>
                <w:szCs w:val="22"/>
              </w:rPr>
              <w:t xml:space="preserve"> reaktion, </w:t>
            </w:r>
            <w:proofErr w:type="spellStart"/>
            <w:r w:rsidRPr="00F51590">
              <w:rPr>
                <w:sz w:val="22"/>
                <w:szCs w:val="22"/>
              </w:rPr>
              <w:t>angioødem</w:t>
            </w:r>
            <w:proofErr w:type="spellEnd"/>
            <w:r w:rsidRPr="00F51590">
              <w:rPr>
                <w:sz w:val="22"/>
                <w:szCs w:val="22"/>
              </w:rPr>
              <w:t xml:space="preserve"> (se pkt. 4.4)</w:t>
            </w:r>
          </w:p>
        </w:tc>
      </w:tr>
      <w:tr w:rsidR="00A456E9" w:rsidTr="007E522B">
        <w:trPr>
          <w:trHeight w:val="144"/>
        </w:trPr>
        <w:tc>
          <w:tcPr>
            <w:tcW w:w="846" w:type="pct"/>
            <w:tcBorders>
              <w:top w:val="single" w:sz="4" w:space="0" w:color="000000"/>
              <w:left w:val="single" w:sz="4" w:space="0" w:color="000000"/>
              <w:bottom w:val="single" w:sz="4" w:space="0" w:color="000000"/>
              <w:right w:val="single" w:sz="4" w:space="0" w:color="auto"/>
            </w:tcBorders>
            <w:hideMark/>
          </w:tcPr>
          <w:p w:rsidR="00A456E9" w:rsidRPr="00F51590" w:rsidRDefault="00A456E9" w:rsidP="007E522B">
            <w:pPr>
              <w:rPr>
                <w:iCs/>
                <w:sz w:val="22"/>
                <w:szCs w:val="22"/>
              </w:rPr>
            </w:pPr>
            <w:r w:rsidRPr="00F51590">
              <w:rPr>
                <w:iCs/>
                <w:sz w:val="22"/>
                <w:szCs w:val="22"/>
              </w:rPr>
              <w:t>Metabolisme og ernæring</w:t>
            </w:r>
          </w:p>
        </w:tc>
        <w:tc>
          <w:tcPr>
            <w:tcW w:w="720" w:type="pct"/>
            <w:tcBorders>
              <w:top w:val="single" w:sz="4" w:space="0" w:color="000000"/>
              <w:left w:val="single" w:sz="4" w:space="0" w:color="000000"/>
              <w:bottom w:val="single" w:sz="4" w:space="0" w:color="000000"/>
              <w:right w:val="single" w:sz="4" w:space="0" w:color="auto"/>
            </w:tcBorders>
          </w:tcPr>
          <w:p w:rsidR="00A456E9" w:rsidRPr="00F51590" w:rsidRDefault="00A456E9" w:rsidP="007E522B">
            <w:pPr>
              <w:rPr>
                <w:b/>
                <w:i/>
                <w:iCs/>
                <w:sz w:val="22"/>
                <w:szCs w:val="22"/>
              </w:rPr>
            </w:pPr>
          </w:p>
        </w:tc>
        <w:tc>
          <w:tcPr>
            <w:tcW w:w="706" w:type="pct"/>
            <w:tcBorders>
              <w:top w:val="single" w:sz="4" w:space="0" w:color="000000"/>
              <w:left w:val="single" w:sz="4" w:space="0" w:color="000000"/>
              <w:bottom w:val="single" w:sz="4" w:space="0" w:color="000000"/>
              <w:right w:val="single" w:sz="4" w:space="0" w:color="auto"/>
            </w:tcBorders>
          </w:tcPr>
          <w:p w:rsidR="00A456E9" w:rsidRPr="00F51590" w:rsidRDefault="00A456E9" w:rsidP="007E522B">
            <w:pPr>
              <w:rPr>
                <w:b/>
                <w:i/>
                <w:iCs/>
                <w:sz w:val="22"/>
                <w:szCs w:val="22"/>
              </w:rPr>
            </w:pPr>
          </w:p>
        </w:tc>
        <w:tc>
          <w:tcPr>
            <w:tcW w:w="845" w:type="pct"/>
            <w:tcBorders>
              <w:top w:val="single" w:sz="4" w:space="0" w:color="000000"/>
              <w:left w:val="single" w:sz="4" w:space="0" w:color="000000"/>
              <w:bottom w:val="single" w:sz="4" w:space="0" w:color="000000"/>
              <w:right w:val="single" w:sz="4" w:space="0" w:color="auto"/>
            </w:tcBorders>
            <w:hideMark/>
          </w:tcPr>
          <w:p w:rsidR="00A456E9" w:rsidRPr="00F51590" w:rsidRDefault="00A456E9" w:rsidP="007E522B">
            <w:pPr>
              <w:rPr>
                <w:b/>
                <w:i/>
                <w:iCs/>
                <w:sz w:val="22"/>
                <w:szCs w:val="22"/>
              </w:rPr>
            </w:pPr>
            <w:r w:rsidRPr="00F51590">
              <w:rPr>
                <w:sz w:val="22"/>
                <w:szCs w:val="22"/>
              </w:rPr>
              <w:t xml:space="preserve">Væskeretention (se pkt. 4.4), øget appetit, nedsat appetit </w:t>
            </w:r>
          </w:p>
        </w:tc>
        <w:tc>
          <w:tcPr>
            <w:tcW w:w="75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c>
          <w:tcPr>
            <w:tcW w:w="1133" w:type="pct"/>
            <w:tcBorders>
              <w:top w:val="single" w:sz="4" w:space="0" w:color="000000"/>
              <w:left w:val="single" w:sz="4" w:space="0" w:color="000000"/>
              <w:bottom w:val="single" w:sz="4" w:space="0" w:color="000000"/>
              <w:right w:val="single" w:sz="4" w:space="0" w:color="auto"/>
            </w:tcBorders>
          </w:tcPr>
          <w:p w:rsidR="00A456E9" w:rsidRPr="00F51590" w:rsidRDefault="00A456E9" w:rsidP="007E522B">
            <w:pPr>
              <w:rPr>
                <w:b/>
                <w:i/>
                <w:iCs/>
                <w:sz w:val="22"/>
                <w:szCs w:val="22"/>
              </w:rPr>
            </w:pPr>
          </w:p>
        </w:tc>
      </w:tr>
      <w:tr w:rsidR="00A456E9" w:rsidTr="007E522B">
        <w:trPr>
          <w:trHeight w:val="144"/>
        </w:trPr>
        <w:tc>
          <w:tcPr>
            <w:tcW w:w="84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iCs/>
                <w:sz w:val="22"/>
                <w:szCs w:val="22"/>
              </w:rPr>
            </w:pPr>
            <w:r w:rsidRPr="00F51590">
              <w:rPr>
                <w:iCs/>
                <w:sz w:val="22"/>
                <w:szCs w:val="22"/>
              </w:rPr>
              <w:t>Psykiske forstyrrelser</w:t>
            </w:r>
          </w:p>
        </w:tc>
        <w:tc>
          <w:tcPr>
            <w:tcW w:w="72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c>
          <w:tcPr>
            <w:tcW w:w="70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r w:rsidRPr="00F51590">
              <w:rPr>
                <w:sz w:val="22"/>
                <w:szCs w:val="22"/>
              </w:rPr>
              <w:t>Depression, søvnløshed, angst, affektive forstyrrelser, irritabilitet, nedsat libido</w:t>
            </w:r>
          </w:p>
        </w:tc>
        <w:tc>
          <w:tcPr>
            <w:tcW w:w="845"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iCs/>
                <w:sz w:val="22"/>
                <w:szCs w:val="22"/>
              </w:rPr>
            </w:pPr>
            <w:r w:rsidRPr="00F51590">
              <w:rPr>
                <w:sz w:val="22"/>
                <w:szCs w:val="22"/>
              </w:rPr>
              <w:t xml:space="preserve">Nervøsitet, følelsesmæssige forstyrrelser, </w:t>
            </w:r>
            <w:proofErr w:type="spellStart"/>
            <w:r w:rsidRPr="00F51590">
              <w:rPr>
                <w:sz w:val="22"/>
                <w:szCs w:val="22"/>
              </w:rPr>
              <w:t>anorgasmi</w:t>
            </w:r>
            <w:proofErr w:type="spellEnd"/>
          </w:p>
        </w:tc>
        <w:tc>
          <w:tcPr>
            <w:tcW w:w="75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sz w:val="22"/>
                <w:szCs w:val="22"/>
              </w:rPr>
            </w:pPr>
          </w:p>
        </w:tc>
        <w:tc>
          <w:tcPr>
            <w:tcW w:w="1133"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r>
      <w:tr w:rsidR="00A456E9" w:rsidTr="007E522B">
        <w:trPr>
          <w:trHeight w:val="144"/>
        </w:trPr>
        <w:tc>
          <w:tcPr>
            <w:tcW w:w="84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iCs/>
                <w:sz w:val="22"/>
                <w:szCs w:val="22"/>
              </w:rPr>
            </w:pPr>
            <w:r w:rsidRPr="00F51590">
              <w:rPr>
                <w:iCs/>
                <w:sz w:val="22"/>
                <w:szCs w:val="22"/>
              </w:rPr>
              <w:t>Nervesystemet</w:t>
            </w:r>
          </w:p>
        </w:tc>
        <w:tc>
          <w:tcPr>
            <w:tcW w:w="72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c>
          <w:tcPr>
            <w:tcW w:w="70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r w:rsidRPr="00F51590">
              <w:rPr>
                <w:sz w:val="22"/>
                <w:szCs w:val="22"/>
              </w:rPr>
              <w:t>Svimmelhed, hovedpine</w:t>
            </w:r>
          </w:p>
        </w:tc>
        <w:tc>
          <w:tcPr>
            <w:tcW w:w="845"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r w:rsidRPr="00F51590">
              <w:rPr>
                <w:sz w:val="22"/>
                <w:szCs w:val="22"/>
              </w:rPr>
              <w:t>Migræne, døsighed</w:t>
            </w:r>
          </w:p>
        </w:tc>
        <w:tc>
          <w:tcPr>
            <w:tcW w:w="75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sz w:val="22"/>
                <w:szCs w:val="22"/>
              </w:rPr>
            </w:pPr>
          </w:p>
        </w:tc>
        <w:tc>
          <w:tcPr>
            <w:tcW w:w="1133"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r w:rsidRPr="00F51590">
              <w:rPr>
                <w:sz w:val="22"/>
                <w:szCs w:val="22"/>
              </w:rPr>
              <w:t>Kramper</w:t>
            </w:r>
          </w:p>
        </w:tc>
      </w:tr>
      <w:tr w:rsidR="00A456E9" w:rsidTr="007E522B">
        <w:trPr>
          <w:trHeight w:val="144"/>
        </w:trPr>
        <w:tc>
          <w:tcPr>
            <w:tcW w:w="84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sz w:val="22"/>
                <w:szCs w:val="22"/>
              </w:rPr>
            </w:pPr>
            <w:r w:rsidRPr="00F51590">
              <w:rPr>
                <w:sz w:val="22"/>
                <w:szCs w:val="22"/>
              </w:rPr>
              <w:t>Øre og labyrint</w:t>
            </w:r>
          </w:p>
        </w:tc>
        <w:tc>
          <w:tcPr>
            <w:tcW w:w="72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sz w:val="22"/>
                <w:szCs w:val="22"/>
              </w:rPr>
            </w:pPr>
          </w:p>
        </w:tc>
        <w:tc>
          <w:tcPr>
            <w:tcW w:w="706"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sz w:val="22"/>
                <w:szCs w:val="22"/>
              </w:rPr>
            </w:pPr>
          </w:p>
        </w:tc>
        <w:tc>
          <w:tcPr>
            <w:tcW w:w="845"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sz w:val="22"/>
                <w:szCs w:val="22"/>
              </w:rPr>
            </w:pPr>
            <w:proofErr w:type="spellStart"/>
            <w:r w:rsidRPr="00F51590">
              <w:rPr>
                <w:sz w:val="22"/>
                <w:szCs w:val="22"/>
              </w:rPr>
              <w:t>Vertigo</w:t>
            </w:r>
            <w:proofErr w:type="spellEnd"/>
          </w:p>
        </w:tc>
        <w:tc>
          <w:tcPr>
            <w:tcW w:w="75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sz w:val="22"/>
                <w:szCs w:val="22"/>
              </w:rPr>
            </w:pPr>
          </w:p>
        </w:tc>
        <w:tc>
          <w:tcPr>
            <w:tcW w:w="1133"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sz w:val="22"/>
                <w:szCs w:val="22"/>
              </w:rPr>
            </w:pPr>
          </w:p>
        </w:tc>
      </w:tr>
      <w:tr w:rsidR="00A456E9" w:rsidTr="007E522B">
        <w:trPr>
          <w:trHeight w:val="144"/>
        </w:trPr>
        <w:tc>
          <w:tcPr>
            <w:tcW w:w="84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iCs/>
                <w:sz w:val="22"/>
                <w:szCs w:val="22"/>
              </w:rPr>
            </w:pPr>
            <w:r w:rsidRPr="00F51590">
              <w:rPr>
                <w:iCs/>
                <w:sz w:val="22"/>
                <w:szCs w:val="22"/>
              </w:rPr>
              <w:t>Hjerte</w:t>
            </w:r>
          </w:p>
        </w:tc>
        <w:tc>
          <w:tcPr>
            <w:tcW w:w="72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c>
          <w:tcPr>
            <w:tcW w:w="706"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c>
          <w:tcPr>
            <w:tcW w:w="845"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sz w:val="22"/>
                <w:szCs w:val="22"/>
              </w:rPr>
            </w:pPr>
            <w:proofErr w:type="spellStart"/>
            <w:r w:rsidRPr="00F51590">
              <w:rPr>
                <w:sz w:val="22"/>
                <w:szCs w:val="22"/>
              </w:rPr>
              <w:t>Takykardi</w:t>
            </w:r>
            <w:proofErr w:type="spellEnd"/>
          </w:p>
        </w:tc>
        <w:tc>
          <w:tcPr>
            <w:tcW w:w="75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sz w:val="22"/>
                <w:szCs w:val="22"/>
              </w:rPr>
            </w:pPr>
          </w:p>
        </w:tc>
        <w:tc>
          <w:tcPr>
            <w:tcW w:w="1133"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r>
      <w:tr w:rsidR="00A456E9" w:rsidTr="007E522B">
        <w:trPr>
          <w:trHeight w:val="144"/>
        </w:trPr>
        <w:tc>
          <w:tcPr>
            <w:tcW w:w="84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EA3888">
            <w:pPr>
              <w:keepNext/>
              <w:rPr>
                <w:iCs/>
                <w:sz w:val="22"/>
                <w:szCs w:val="22"/>
              </w:rPr>
            </w:pPr>
            <w:proofErr w:type="spellStart"/>
            <w:r w:rsidRPr="00F51590">
              <w:rPr>
                <w:iCs/>
                <w:sz w:val="22"/>
                <w:szCs w:val="22"/>
              </w:rPr>
              <w:lastRenderedPageBreak/>
              <w:t>Vaskulære</w:t>
            </w:r>
            <w:proofErr w:type="spellEnd"/>
            <w:r w:rsidRPr="00F51590">
              <w:rPr>
                <w:iCs/>
                <w:sz w:val="22"/>
                <w:szCs w:val="22"/>
              </w:rPr>
              <w:t xml:space="preserve"> sygdomme</w:t>
            </w:r>
          </w:p>
        </w:tc>
        <w:tc>
          <w:tcPr>
            <w:tcW w:w="720" w:type="pct"/>
            <w:tcBorders>
              <w:top w:val="single" w:sz="4" w:space="0" w:color="000000"/>
              <w:left w:val="single" w:sz="4" w:space="0" w:color="000000"/>
              <w:bottom w:val="single" w:sz="4" w:space="0" w:color="000000"/>
              <w:right w:val="single" w:sz="4" w:space="0" w:color="000000"/>
            </w:tcBorders>
          </w:tcPr>
          <w:p w:rsidR="00A456E9" w:rsidRPr="00F51590" w:rsidRDefault="00A456E9" w:rsidP="00EA3888">
            <w:pPr>
              <w:keepNext/>
              <w:rPr>
                <w:b/>
                <w:i/>
                <w:iCs/>
                <w:sz w:val="22"/>
                <w:szCs w:val="22"/>
              </w:rPr>
            </w:pPr>
          </w:p>
        </w:tc>
        <w:tc>
          <w:tcPr>
            <w:tcW w:w="706" w:type="pct"/>
            <w:tcBorders>
              <w:top w:val="single" w:sz="4" w:space="0" w:color="000000"/>
              <w:left w:val="single" w:sz="4" w:space="0" w:color="000000"/>
              <w:bottom w:val="single" w:sz="4" w:space="0" w:color="000000"/>
              <w:right w:val="single" w:sz="4" w:space="0" w:color="000000"/>
            </w:tcBorders>
          </w:tcPr>
          <w:p w:rsidR="00A456E9" w:rsidRPr="00F51590" w:rsidRDefault="00A456E9" w:rsidP="00EA3888">
            <w:pPr>
              <w:keepNext/>
              <w:rPr>
                <w:b/>
                <w:i/>
                <w:iCs/>
                <w:sz w:val="22"/>
                <w:szCs w:val="22"/>
              </w:rPr>
            </w:pPr>
          </w:p>
        </w:tc>
        <w:tc>
          <w:tcPr>
            <w:tcW w:w="845"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EA3888">
            <w:pPr>
              <w:keepNext/>
              <w:rPr>
                <w:b/>
                <w:i/>
                <w:iCs/>
                <w:sz w:val="22"/>
                <w:szCs w:val="22"/>
              </w:rPr>
            </w:pPr>
            <w:r w:rsidRPr="00F51590">
              <w:rPr>
                <w:sz w:val="22"/>
                <w:szCs w:val="22"/>
              </w:rPr>
              <w:t>Hypertension (se pkt. 4.4), åreknuder, hedeture</w:t>
            </w:r>
          </w:p>
        </w:tc>
        <w:tc>
          <w:tcPr>
            <w:tcW w:w="750" w:type="pct"/>
            <w:tcBorders>
              <w:top w:val="single" w:sz="4" w:space="0" w:color="000000"/>
              <w:left w:val="single" w:sz="4" w:space="0" w:color="000000"/>
              <w:bottom w:val="single" w:sz="4" w:space="0" w:color="000000"/>
              <w:right w:val="single" w:sz="4" w:space="0" w:color="000000"/>
            </w:tcBorders>
          </w:tcPr>
          <w:p w:rsidR="00A456E9" w:rsidRPr="00F51590" w:rsidRDefault="00A456E9" w:rsidP="00EA3888">
            <w:pPr>
              <w:keepNext/>
              <w:rPr>
                <w:sz w:val="22"/>
                <w:szCs w:val="22"/>
              </w:rPr>
            </w:pPr>
          </w:p>
        </w:tc>
        <w:tc>
          <w:tcPr>
            <w:tcW w:w="1133"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EA3888">
            <w:pPr>
              <w:keepNext/>
              <w:rPr>
                <w:b/>
                <w:i/>
                <w:iCs/>
                <w:sz w:val="22"/>
                <w:szCs w:val="22"/>
              </w:rPr>
            </w:pPr>
            <w:proofErr w:type="spellStart"/>
            <w:r w:rsidRPr="00F51590">
              <w:rPr>
                <w:sz w:val="22"/>
                <w:szCs w:val="22"/>
              </w:rPr>
              <w:t>Lungeemboli</w:t>
            </w:r>
            <w:proofErr w:type="spellEnd"/>
            <w:r w:rsidRPr="00F51590">
              <w:rPr>
                <w:sz w:val="22"/>
                <w:szCs w:val="22"/>
              </w:rPr>
              <w:t xml:space="preserve">, </w:t>
            </w:r>
            <w:proofErr w:type="spellStart"/>
            <w:r w:rsidRPr="00F51590">
              <w:rPr>
                <w:sz w:val="22"/>
                <w:szCs w:val="22"/>
              </w:rPr>
              <w:t>emboli</w:t>
            </w:r>
            <w:proofErr w:type="spellEnd"/>
            <w:r w:rsidRPr="00F51590">
              <w:rPr>
                <w:sz w:val="22"/>
                <w:szCs w:val="22"/>
              </w:rPr>
              <w:t xml:space="preserve"> og trombose (se pkt. 4.4), </w:t>
            </w:r>
            <w:proofErr w:type="spellStart"/>
            <w:r w:rsidRPr="00F51590">
              <w:rPr>
                <w:sz w:val="22"/>
                <w:szCs w:val="22"/>
              </w:rPr>
              <w:t>tromboflebitis</w:t>
            </w:r>
            <w:proofErr w:type="spellEnd"/>
          </w:p>
        </w:tc>
      </w:tr>
      <w:tr w:rsidR="00A456E9" w:rsidTr="007E522B">
        <w:trPr>
          <w:trHeight w:val="750"/>
        </w:trPr>
        <w:tc>
          <w:tcPr>
            <w:tcW w:w="84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iCs/>
                <w:sz w:val="22"/>
                <w:szCs w:val="22"/>
              </w:rPr>
            </w:pPr>
            <w:r w:rsidRPr="00F51590">
              <w:rPr>
                <w:iCs/>
                <w:sz w:val="22"/>
                <w:szCs w:val="22"/>
              </w:rPr>
              <w:t>Mave-tarm-kanalen</w:t>
            </w:r>
          </w:p>
        </w:tc>
        <w:tc>
          <w:tcPr>
            <w:tcW w:w="72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c>
          <w:tcPr>
            <w:tcW w:w="70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proofErr w:type="spellStart"/>
            <w:r w:rsidRPr="00F51590">
              <w:rPr>
                <w:sz w:val="22"/>
                <w:szCs w:val="22"/>
              </w:rPr>
              <w:t>Abdominalsmerter</w:t>
            </w:r>
            <w:proofErr w:type="spellEnd"/>
            <w:r w:rsidRPr="00F51590">
              <w:rPr>
                <w:sz w:val="22"/>
                <w:szCs w:val="22"/>
              </w:rPr>
              <w:t>, kvalme</w:t>
            </w:r>
          </w:p>
        </w:tc>
        <w:tc>
          <w:tcPr>
            <w:tcW w:w="845"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proofErr w:type="spellStart"/>
            <w:r w:rsidRPr="00F51590">
              <w:rPr>
                <w:sz w:val="22"/>
                <w:szCs w:val="22"/>
              </w:rPr>
              <w:t>Abdominal</w:t>
            </w:r>
            <w:proofErr w:type="spellEnd"/>
            <w:r w:rsidRPr="00F51590">
              <w:rPr>
                <w:sz w:val="22"/>
                <w:szCs w:val="22"/>
              </w:rPr>
              <w:t xml:space="preserve"> </w:t>
            </w:r>
            <w:proofErr w:type="spellStart"/>
            <w:r w:rsidRPr="00F51590">
              <w:rPr>
                <w:sz w:val="22"/>
                <w:szCs w:val="22"/>
              </w:rPr>
              <w:t>distension</w:t>
            </w:r>
            <w:proofErr w:type="spellEnd"/>
          </w:p>
        </w:tc>
        <w:tc>
          <w:tcPr>
            <w:tcW w:w="75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c>
          <w:tcPr>
            <w:tcW w:w="1133"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r>
      <w:tr w:rsidR="00A456E9" w:rsidTr="007E522B">
        <w:trPr>
          <w:trHeight w:val="287"/>
        </w:trPr>
        <w:tc>
          <w:tcPr>
            <w:tcW w:w="84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iCs/>
                <w:sz w:val="22"/>
                <w:szCs w:val="22"/>
              </w:rPr>
            </w:pPr>
            <w:r w:rsidRPr="00F51590">
              <w:rPr>
                <w:iCs/>
                <w:sz w:val="22"/>
                <w:szCs w:val="22"/>
              </w:rPr>
              <w:t>Lever og galdeveje</w:t>
            </w:r>
          </w:p>
        </w:tc>
        <w:tc>
          <w:tcPr>
            <w:tcW w:w="72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sz w:val="22"/>
                <w:szCs w:val="22"/>
              </w:rPr>
            </w:pPr>
          </w:p>
        </w:tc>
        <w:tc>
          <w:tcPr>
            <w:tcW w:w="706"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sz w:val="22"/>
                <w:szCs w:val="22"/>
              </w:rPr>
            </w:pPr>
          </w:p>
        </w:tc>
        <w:tc>
          <w:tcPr>
            <w:tcW w:w="845"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sz w:val="22"/>
                <w:szCs w:val="22"/>
              </w:rPr>
            </w:pPr>
          </w:p>
        </w:tc>
        <w:tc>
          <w:tcPr>
            <w:tcW w:w="75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sz w:val="22"/>
                <w:szCs w:val="22"/>
              </w:rPr>
            </w:pPr>
          </w:p>
        </w:tc>
        <w:tc>
          <w:tcPr>
            <w:tcW w:w="1133"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sz w:val="22"/>
                <w:szCs w:val="22"/>
              </w:rPr>
            </w:pPr>
            <w:r w:rsidRPr="00F51590">
              <w:rPr>
                <w:sz w:val="22"/>
                <w:szCs w:val="22"/>
              </w:rPr>
              <w:t>Gulsot, abnorm leverfunktion (se pkt. 4.4)</w:t>
            </w:r>
          </w:p>
        </w:tc>
      </w:tr>
      <w:tr w:rsidR="00A456E9" w:rsidTr="007E522B">
        <w:trPr>
          <w:trHeight w:val="1500"/>
        </w:trPr>
        <w:tc>
          <w:tcPr>
            <w:tcW w:w="84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iCs/>
                <w:sz w:val="22"/>
                <w:szCs w:val="22"/>
              </w:rPr>
            </w:pPr>
            <w:r w:rsidRPr="00F51590">
              <w:rPr>
                <w:iCs/>
                <w:sz w:val="22"/>
                <w:szCs w:val="22"/>
              </w:rPr>
              <w:t>Hud og subkutane væv</w:t>
            </w:r>
          </w:p>
        </w:tc>
        <w:tc>
          <w:tcPr>
            <w:tcW w:w="72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c>
          <w:tcPr>
            <w:tcW w:w="70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r w:rsidRPr="00F51590">
              <w:rPr>
                <w:sz w:val="22"/>
                <w:szCs w:val="22"/>
              </w:rPr>
              <w:t>Akne</w:t>
            </w:r>
          </w:p>
        </w:tc>
        <w:tc>
          <w:tcPr>
            <w:tcW w:w="845"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proofErr w:type="spellStart"/>
            <w:r w:rsidRPr="00C86168">
              <w:rPr>
                <w:sz w:val="22"/>
                <w:szCs w:val="22"/>
              </w:rPr>
              <w:t>Alopeci</w:t>
            </w:r>
            <w:proofErr w:type="spellEnd"/>
            <w:r w:rsidRPr="00C86168">
              <w:rPr>
                <w:sz w:val="22"/>
                <w:szCs w:val="22"/>
              </w:rPr>
              <w:t xml:space="preserve">, </w:t>
            </w:r>
            <w:proofErr w:type="spellStart"/>
            <w:r w:rsidRPr="00C86168">
              <w:rPr>
                <w:sz w:val="22"/>
                <w:szCs w:val="22"/>
              </w:rPr>
              <w:t>hirsutisme</w:t>
            </w:r>
            <w:proofErr w:type="spellEnd"/>
            <w:r w:rsidRPr="00C86168">
              <w:rPr>
                <w:sz w:val="22"/>
                <w:szCs w:val="22"/>
              </w:rPr>
              <w:t xml:space="preserve">, </w:t>
            </w:r>
            <w:proofErr w:type="spellStart"/>
            <w:r w:rsidRPr="00C86168">
              <w:rPr>
                <w:sz w:val="22"/>
                <w:szCs w:val="22"/>
              </w:rPr>
              <w:t>dermatitis</w:t>
            </w:r>
            <w:proofErr w:type="spellEnd"/>
            <w:r w:rsidRPr="00C86168">
              <w:rPr>
                <w:sz w:val="22"/>
                <w:szCs w:val="22"/>
              </w:rPr>
              <w:t xml:space="preserve">, </w:t>
            </w:r>
            <w:proofErr w:type="spellStart"/>
            <w:r w:rsidRPr="00C86168">
              <w:rPr>
                <w:sz w:val="22"/>
                <w:szCs w:val="22"/>
              </w:rPr>
              <w:t>ekkymose</w:t>
            </w:r>
            <w:proofErr w:type="spellEnd"/>
            <w:r w:rsidRPr="00C86168">
              <w:rPr>
                <w:sz w:val="22"/>
                <w:szCs w:val="22"/>
              </w:rPr>
              <w:t xml:space="preserve">, </w:t>
            </w:r>
            <w:proofErr w:type="spellStart"/>
            <w:r w:rsidRPr="00C86168">
              <w:rPr>
                <w:sz w:val="22"/>
                <w:szCs w:val="22"/>
              </w:rPr>
              <w:t>chloasma</w:t>
            </w:r>
            <w:proofErr w:type="spellEnd"/>
            <w:r w:rsidRPr="00C86168">
              <w:rPr>
                <w:sz w:val="22"/>
                <w:szCs w:val="22"/>
              </w:rPr>
              <w:t xml:space="preserve">, udslæt, </w:t>
            </w:r>
            <w:proofErr w:type="spellStart"/>
            <w:r w:rsidRPr="00C86168">
              <w:rPr>
                <w:sz w:val="22"/>
                <w:szCs w:val="22"/>
              </w:rPr>
              <w:t>pruritus</w:t>
            </w:r>
            <w:proofErr w:type="spellEnd"/>
            <w:r w:rsidRPr="00C86168">
              <w:rPr>
                <w:sz w:val="22"/>
                <w:szCs w:val="22"/>
              </w:rPr>
              <w:t xml:space="preserve">, </w:t>
            </w:r>
            <w:proofErr w:type="spellStart"/>
            <w:r w:rsidRPr="00C86168">
              <w:rPr>
                <w:sz w:val="22"/>
                <w:szCs w:val="22"/>
              </w:rPr>
              <w:t>urticaria</w:t>
            </w:r>
            <w:proofErr w:type="spellEnd"/>
          </w:p>
        </w:tc>
        <w:tc>
          <w:tcPr>
            <w:tcW w:w="750"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sz w:val="22"/>
                <w:szCs w:val="22"/>
              </w:rPr>
            </w:pPr>
            <w:r w:rsidRPr="00F51590">
              <w:rPr>
                <w:sz w:val="22"/>
                <w:szCs w:val="22"/>
              </w:rPr>
              <w:t xml:space="preserve">Erhvervet </w:t>
            </w:r>
            <w:proofErr w:type="spellStart"/>
            <w:r w:rsidRPr="00F51590">
              <w:rPr>
                <w:sz w:val="22"/>
                <w:szCs w:val="22"/>
              </w:rPr>
              <w:t>lipodystrofi</w:t>
            </w:r>
            <w:proofErr w:type="spellEnd"/>
          </w:p>
        </w:tc>
        <w:tc>
          <w:tcPr>
            <w:tcW w:w="1133"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r w:rsidRPr="00F51590">
              <w:rPr>
                <w:sz w:val="22"/>
                <w:szCs w:val="22"/>
              </w:rPr>
              <w:t>Strækmærker</w:t>
            </w:r>
          </w:p>
        </w:tc>
      </w:tr>
      <w:tr w:rsidR="00A456E9" w:rsidTr="007E522B">
        <w:trPr>
          <w:trHeight w:val="1770"/>
        </w:trPr>
        <w:tc>
          <w:tcPr>
            <w:tcW w:w="84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iCs/>
                <w:sz w:val="22"/>
                <w:szCs w:val="22"/>
              </w:rPr>
            </w:pPr>
            <w:r w:rsidRPr="00F51590">
              <w:rPr>
                <w:iCs/>
                <w:sz w:val="22"/>
                <w:szCs w:val="22"/>
              </w:rPr>
              <w:t>Knogler, led, muskler og bindevæv</w:t>
            </w:r>
          </w:p>
        </w:tc>
        <w:tc>
          <w:tcPr>
            <w:tcW w:w="72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c>
          <w:tcPr>
            <w:tcW w:w="70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r w:rsidRPr="00F51590">
              <w:rPr>
                <w:sz w:val="22"/>
                <w:szCs w:val="22"/>
              </w:rPr>
              <w:t>Rygsmerter, smerter i ekstremiteter</w:t>
            </w:r>
          </w:p>
        </w:tc>
        <w:tc>
          <w:tcPr>
            <w:tcW w:w="845"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proofErr w:type="spellStart"/>
            <w:r w:rsidRPr="00F51590">
              <w:rPr>
                <w:sz w:val="22"/>
                <w:szCs w:val="22"/>
              </w:rPr>
              <w:t>Arthralgi</w:t>
            </w:r>
            <w:proofErr w:type="spellEnd"/>
            <w:r w:rsidRPr="00F51590">
              <w:rPr>
                <w:sz w:val="22"/>
                <w:szCs w:val="22"/>
              </w:rPr>
              <w:t xml:space="preserve">, muskelspasmer </w:t>
            </w:r>
          </w:p>
        </w:tc>
        <w:tc>
          <w:tcPr>
            <w:tcW w:w="75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sz w:val="22"/>
                <w:szCs w:val="22"/>
              </w:rPr>
            </w:pPr>
          </w:p>
        </w:tc>
        <w:tc>
          <w:tcPr>
            <w:tcW w:w="1133"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r w:rsidRPr="00F51590">
              <w:rPr>
                <w:sz w:val="22"/>
                <w:szCs w:val="22"/>
              </w:rPr>
              <w:t xml:space="preserve">Osteoporose, </w:t>
            </w:r>
            <w:proofErr w:type="spellStart"/>
            <w:r w:rsidRPr="00F51590">
              <w:rPr>
                <w:sz w:val="22"/>
                <w:szCs w:val="22"/>
              </w:rPr>
              <w:t>osteoporotiske</w:t>
            </w:r>
            <w:proofErr w:type="spellEnd"/>
            <w:r w:rsidRPr="00F51590">
              <w:rPr>
                <w:sz w:val="22"/>
                <w:szCs w:val="22"/>
              </w:rPr>
              <w:t xml:space="preserve"> frakturer </w:t>
            </w:r>
          </w:p>
        </w:tc>
      </w:tr>
      <w:tr w:rsidR="00A456E9" w:rsidTr="007E522B">
        <w:trPr>
          <w:trHeight w:val="4290"/>
        </w:trPr>
        <w:tc>
          <w:tcPr>
            <w:tcW w:w="84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iCs/>
                <w:sz w:val="22"/>
                <w:szCs w:val="22"/>
              </w:rPr>
            </w:pPr>
            <w:r w:rsidRPr="00F51590">
              <w:rPr>
                <w:iCs/>
                <w:sz w:val="22"/>
                <w:szCs w:val="22"/>
              </w:rPr>
              <w:t>Det reproduktive system og mammae</w:t>
            </w:r>
          </w:p>
        </w:tc>
        <w:tc>
          <w:tcPr>
            <w:tcW w:w="72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c>
          <w:tcPr>
            <w:tcW w:w="70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proofErr w:type="spellStart"/>
            <w:r w:rsidRPr="00F51590">
              <w:rPr>
                <w:sz w:val="22"/>
                <w:szCs w:val="22"/>
              </w:rPr>
              <w:t>Menometroragi</w:t>
            </w:r>
            <w:proofErr w:type="spellEnd"/>
            <w:r w:rsidRPr="00F51590">
              <w:rPr>
                <w:sz w:val="22"/>
                <w:szCs w:val="22"/>
              </w:rPr>
              <w:t xml:space="preserve">, </w:t>
            </w:r>
            <w:proofErr w:type="spellStart"/>
            <w:r w:rsidRPr="00C86168">
              <w:rPr>
                <w:sz w:val="22"/>
                <w:szCs w:val="22"/>
              </w:rPr>
              <w:t>metroragi</w:t>
            </w:r>
            <w:proofErr w:type="spellEnd"/>
            <w:r w:rsidRPr="00F51590">
              <w:rPr>
                <w:sz w:val="22"/>
                <w:szCs w:val="22"/>
              </w:rPr>
              <w:t xml:space="preserve">, </w:t>
            </w:r>
            <w:proofErr w:type="spellStart"/>
            <w:r w:rsidRPr="00F51590">
              <w:rPr>
                <w:sz w:val="22"/>
                <w:szCs w:val="22"/>
              </w:rPr>
              <w:t>menoragi</w:t>
            </w:r>
            <w:proofErr w:type="spellEnd"/>
            <w:r w:rsidRPr="00F51590">
              <w:rPr>
                <w:sz w:val="22"/>
                <w:szCs w:val="22"/>
              </w:rPr>
              <w:t xml:space="preserve"> (se pkt. 4.4), </w:t>
            </w:r>
            <w:proofErr w:type="spellStart"/>
            <w:r w:rsidRPr="00F51590">
              <w:rPr>
                <w:sz w:val="22"/>
                <w:szCs w:val="22"/>
              </w:rPr>
              <w:t>dysmenorré</w:t>
            </w:r>
            <w:proofErr w:type="spellEnd"/>
            <w:r w:rsidRPr="00F51590">
              <w:rPr>
                <w:sz w:val="22"/>
                <w:szCs w:val="22"/>
              </w:rPr>
              <w:t xml:space="preserve">, </w:t>
            </w:r>
            <w:proofErr w:type="spellStart"/>
            <w:r w:rsidRPr="00F51590">
              <w:rPr>
                <w:sz w:val="22"/>
                <w:szCs w:val="22"/>
              </w:rPr>
              <w:t>amenorré</w:t>
            </w:r>
            <w:proofErr w:type="spellEnd"/>
            <w:r w:rsidRPr="00F51590">
              <w:rPr>
                <w:sz w:val="22"/>
                <w:szCs w:val="22"/>
              </w:rPr>
              <w:t xml:space="preserve">, </w:t>
            </w:r>
            <w:proofErr w:type="spellStart"/>
            <w:r w:rsidRPr="00F51590">
              <w:rPr>
                <w:sz w:val="22"/>
                <w:szCs w:val="22"/>
              </w:rPr>
              <w:t>vaginitis</w:t>
            </w:r>
            <w:proofErr w:type="spellEnd"/>
            <w:r w:rsidRPr="00F51590">
              <w:rPr>
                <w:sz w:val="22"/>
                <w:szCs w:val="22"/>
              </w:rPr>
              <w:t>, brystsmerter</w:t>
            </w:r>
          </w:p>
        </w:tc>
        <w:tc>
          <w:tcPr>
            <w:tcW w:w="845"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r w:rsidRPr="00F51590">
              <w:rPr>
                <w:sz w:val="22"/>
                <w:szCs w:val="22"/>
              </w:rPr>
              <w:t xml:space="preserve">Ovariecyster, </w:t>
            </w:r>
            <w:proofErr w:type="spellStart"/>
            <w:r w:rsidRPr="00F51590">
              <w:rPr>
                <w:sz w:val="22"/>
                <w:szCs w:val="22"/>
              </w:rPr>
              <w:t>uterin</w:t>
            </w:r>
            <w:proofErr w:type="spellEnd"/>
            <w:r w:rsidRPr="00F51590">
              <w:rPr>
                <w:sz w:val="22"/>
                <w:szCs w:val="22"/>
              </w:rPr>
              <w:t xml:space="preserve"> blødning (uregelmæssig, stigning, fald), vaginalt udflåd, </w:t>
            </w:r>
            <w:proofErr w:type="spellStart"/>
            <w:r w:rsidRPr="00F51590">
              <w:rPr>
                <w:sz w:val="22"/>
                <w:szCs w:val="22"/>
              </w:rPr>
              <w:t>dyspareuni</w:t>
            </w:r>
            <w:proofErr w:type="spellEnd"/>
            <w:r w:rsidRPr="00F51590">
              <w:rPr>
                <w:sz w:val="22"/>
                <w:szCs w:val="22"/>
              </w:rPr>
              <w:t xml:space="preserve">, </w:t>
            </w:r>
            <w:proofErr w:type="spellStart"/>
            <w:r w:rsidRPr="00F51590">
              <w:rPr>
                <w:sz w:val="22"/>
                <w:szCs w:val="22"/>
              </w:rPr>
              <w:t>galaktoré</w:t>
            </w:r>
            <w:proofErr w:type="spellEnd"/>
            <w:r w:rsidRPr="00F51590">
              <w:rPr>
                <w:sz w:val="22"/>
                <w:szCs w:val="22"/>
              </w:rPr>
              <w:t xml:space="preserve">, bækkensmerter, </w:t>
            </w:r>
            <w:proofErr w:type="spellStart"/>
            <w:r w:rsidRPr="00F51590">
              <w:rPr>
                <w:sz w:val="22"/>
                <w:szCs w:val="22"/>
              </w:rPr>
              <w:t>vulvovaginal</w:t>
            </w:r>
            <w:proofErr w:type="spellEnd"/>
            <w:r w:rsidRPr="00F51590">
              <w:rPr>
                <w:sz w:val="22"/>
                <w:szCs w:val="22"/>
              </w:rPr>
              <w:t xml:space="preserve"> tørhed, præmenstruelt syndrom, ømhed i bryst, brystforstørrelse</w:t>
            </w:r>
          </w:p>
        </w:tc>
        <w:tc>
          <w:tcPr>
            <w:tcW w:w="75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c>
          <w:tcPr>
            <w:tcW w:w="1133"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r>
      <w:tr w:rsidR="00A456E9" w:rsidTr="007E522B">
        <w:trPr>
          <w:trHeight w:val="3302"/>
        </w:trPr>
        <w:tc>
          <w:tcPr>
            <w:tcW w:w="84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iCs/>
                <w:sz w:val="22"/>
                <w:szCs w:val="22"/>
              </w:rPr>
            </w:pPr>
            <w:r w:rsidRPr="00F51590">
              <w:rPr>
                <w:iCs/>
                <w:sz w:val="22"/>
                <w:szCs w:val="22"/>
              </w:rPr>
              <w:lastRenderedPageBreak/>
              <w:t>Almene symptomer og reaktioner på administrations-stedet</w:t>
            </w:r>
          </w:p>
        </w:tc>
        <w:tc>
          <w:tcPr>
            <w:tcW w:w="72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c>
          <w:tcPr>
            <w:tcW w:w="70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r w:rsidRPr="00F51590">
              <w:rPr>
                <w:sz w:val="22"/>
                <w:szCs w:val="22"/>
              </w:rPr>
              <w:t>Træthed, reaktion på injektionsstedet, persisterende atrofi/fordybning/kløft på injektionsstedet, knude på injektionsstedet, smerter/ømhed på injektionsstedet</w:t>
            </w:r>
          </w:p>
        </w:tc>
        <w:tc>
          <w:tcPr>
            <w:tcW w:w="845"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proofErr w:type="spellStart"/>
            <w:r w:rsidRPr="00F51590">
              <w:rPr>
                <w:sz w:val="22"/>
                <w:szCs w:val="22"/>
              </w:rPr>
              <w:t>Pyreksi</w:t>
            </w:r>
            <w:proofErr w:type="spellEnd"/>
          </w:p>
        </w:tc>
        <w:tc>
          <w:tcPr>
            <w:tcW w:w="750" w:type="pct"/>
            <w:tcBorders>
              <w:top w:val="single" w:sz="4" w:space="0" w:color="000000"/>
              <w:left w:val="single" w:sz="4" w:space="0" w:color="000000"/>
              <w:bottom w:val="single" w:sz="4" w:space="0" w:color="000000"/>
              <w:right w:val="single" w:sz="4" w:space="0" w:color="000000"/>
            </w:tcBorders>
            <w:hideMark/>
          </w:tcPr>
          <w:p w:rsidR="00A456E9" w:rsidRPr="00F51590" w:rsidRDefault="00DE2D1D" w:rsidP="007E522B">
            <w:pPr>
              <w:rPr>
                <w:sz w:val="22"/>
                <w:szCs w:val="22"/>
              </w:rPr>
            </w:pPr>
            <w:r>
              <w:rPr>
                <w:sz w:val="22"/>
                <w:szCs w:val="22"/>
              </w:rPr>
              <w:t xml:space="preserve">Asteni, </w:t>
            </w:r>
            <w:proofErr w:type="spellStart"/>
            <w:r>
              <w:rPr>
                <w:sz w:val="22"/>
                <w:szCs w:val="22"/>
              </w:rPr>
              <w:t>m</w:t>
            </w:r>
            <w:r w:rsidRPr="000761EF">
              <w:rPr>
                <w:sz w:val="22"/>
                <w:szCs w:val="22"/>
              </w:rPr>
              <w:t>isfarv</w:t>
            </w:r>
            <w:r>
              <w:rPr>
                <w:sz w:val="22"/>
                <w:szCs w:val="22"/>
              </w:rPr>
              <w:t>-</w:t>
            </w:r>
            <w:r w:rsidRPr="000761EF">
              <w:rPr>
                <w:sz w:val="22"/>
                <w:szCs w:val="22"/>
              </w:rPr>
              <w:t>ning</w:t>
            </w:r>
            <w:proofErr w:type="spellEnd"/>
            <w:r w:rsidRPr="000761EF">
              <w:rPr>
                <w:sz w:val="22"/>
                <w:szCs w:val="22"/>
              </w:rPr>
              <w:t xml:space="preserve"> </w:t>
            </w:r>
            <w:r>
              <w:rPr>
                <w:sz w:val="22"/>
                <w:szCs w:val="22"/>
              </w:rPr>
              <w:t>på injektions-stedet</w:t>
            </w:r>
          </w:p>
        </w:tc>
        <w:tc>
          <w:tcPr>
            <w:tcW w:w="1133"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r>
      <w:tr w:rsidR="00A456E9" w:rsidTr="007E522B">
        <w:trPr>
          <w:trHeight w:val="881"/>
        </w:trPr>
        <w:tc>
          <w:tcPr>
            <w:tcW w:w="84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iCs/>
                <w:sz w:val="22"/>
                <w:szCs w:val="22"/>
              </w:rPr>
            </w:pPr>
            <w:r w:rsidRPr="00F51590">
              <w:rPr>
                <w:iCs/>
                <w:sz w:val="22"/>
                <w:szCs w:val="22"/>
              </w:rPr>
              <w:t>Undersøgelser</w:t>
            </w:r>
          </w:p>
        </w:tc>
        <w:tc>
          <w:tcPr>
            <w:tcW w:w="720"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c>
          <w:tcPr>
            <w:tcW w:w="706"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r w:rsidRPr="00F51590">
              <w:rPr>
                <w:sz w:val="22"/>
                <w:szCs w:val="22"/>
              </w:rPr>
              <w:t xml:space="preserve">Vægtforøgelse (se pkt. 4.4), abnorm </w:t>
            </w:r>
            <w:proofErr w:type="spellStart"/>
            <w:r w:rsidRPr="00F51590">
              <w:rPr>
                <w:sz w:val="22"/>
                <w:szCs w:val="22"/>
              </w:rPr>
              <w:t>cervikal</w:t>
            </w:r>
            <w:proofErr w:type="spellEnd"/>
            <w:r w:rsidRPr="00F51590">
              <w:rPr>
                <w:sz w:val="22"/>
                <w:szCs w:val="22"/>
              </w:rPr>
              <w:t xml:space="preserve"> </w:t>
            </w:r>
            <w:proofErr w:type="spellStart"/>
            <w:r w:rsidRPr="00F51590">
              <w:rPr>
                <w:sz w:val="22"/>
                <w:szCs w:val="22"/>
              </w:rPr>
              <w:t>abrasio</w:t>
            </w:r>
            <w:proofErr w:type="spellEnd"/>
          </w:p>
        </w:tc>
        <w:tc>
          <w:tcPr>
            <w:tcW w:w="845"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b/>
                <w:i/>
                <w:iCs/>
                <w:sz w:val="22"/>
                <w:szCs w:val="22"/>
              </w:rPr>
            </w:pPr>
            <w:r w:rsidRPr="00F51590">
              <w:rPr>
                <w:sz w:val="22"/>
                <w:szCs w:val="22"/>
              </w:rPr>
              <w:t xml:space="preserve">Nedsat knogletæthed (se pkt. 4.4), nedsat </w:t>
            </w:r>
            <w:proofErr w:type="spellStart"/>
            <w:r w:rsidRPr="00F51590">
              <w:rPr>
                <w:sz w:val="22"/>
                <w:szCs w:val="22"/>
              </w:rPr>
              <w:t>glucosetolerance</w:t>
            </w:r>
            <w:proofErr w:type="spellEnd"/>
            <w:r w:rsidRPr="00F51590">
              <w:rPr>
                <w:sz w:val="22"/>
                <w:szCs w:val="22"/>
              </w:rPr>
              <w:t xml:space="preserve"> (se pkt. 4.4), abnorme leverenzymer</w:t>
            </w:r>
          </w:p>
        </w:tc>
        <w:tc>
          <w:tcPr>
            <w:tcW w:w="750" w:type="pct"/>
            <w:tcBorders>
              <w:top w:val="single" w:sz="4" w:space="0" w:color="000000"/>
              <w:left w:val="single" w:sz="4" w:space="0" w:color="000000"/>
              <w:bottom w:val="single" w:sz="4" w:space="0" w:color="000000"/>
              <w:right w:val="single" w:sz="4" w:space="0" w:color="000000"/>
            </w:tcBorders>
            <w:hideMark/>
          </w:tcPr>
          <w:p w:rsidR="00A456E9" w:rsidRPr="00F51590" w:rsidRDefault="00A456E9" w:rsidP="007E522B">
            <w:pPr>
              <w:rPr>
                <w:sz w:val="22"/>
                <w:szCs w:val="22"/>
              </w:rPr>
            </w:pPr>
            <w:r w:rsidRPr="00F51590">
              <w:rPr>
                <w:sz w:val="22"/>
                <w:szCs w:val="22"/>
              </w:rPr>
              <w:t>Vægttab (se pkt. 4.4)</w:t>
            </w:r>
          </w:p>
        </w:tc>
        <w:tc>
          <w:tcPr>
            <w:tcW w:w="1133" w:type="pct"/>
            <w:tcBorders>
              <w:top w:val="single" w:sz="4" w:space="0" w:color="000000"/>
              <w:left w:val="single" w:sz="4" w:space="0" w:color="000000"/>
              <w:bottom w:val="single" w:sz="4" w:space="0" w:color="000000"/>
              <w:right w:val="single" w:sz="4" w:space="0" w:color="000000"/>
            </w:tcBorders>
          </w:tcPr>
          <w:p w:rsidR="00A456E9" w:rsidRPr="00F51590" w:rsidRDefault="00A456E9" w:rsidP="007E522B">
            <w:pPr>
              <w:rPr>
                <w:b/>
                <w:i/>
                <w:iCs/>
                <w:sz w:val="22"/>
                <w:szCs w:val="22"/>
              </w:rPr>
            </w:pPr>
          </w:p>
        </w:tc>
      </w:tr>
      <w:bookmarkEnd w:id="3"/>
    </w:tbl>
    <w:p w:rsidR="00A456E9" w:rsidRDefault="00A456E9" w:rsidP="00A456E9">
      <w:pPr>
        <w:rPr>
          <w:sz w:val="24"/>
          <w:szCs w:val="24"/>
          <w:u w:val="single"/>
        </w:rPr>
      </w:pPr>
    </w:p>
    <w:p w:rsidR="00A456E9" w:rsidRPr="00525B88" w:rsidRDefault="00A456E9" w:rsidP="00A456E9">
      <w:pPr>
        <w:autoSpaceDE w:val="0"/>
        <w:autoSpaceDN w:val="0"/>
        <w:ind w:left="851"/>
        <w:rPr>
          <w:sz w:val="24"/>
          <w:szCs w:val="24"/>
          <w:u w:val="single"/>
        </w:rPr>
      </w:pPr>
      <w:r w:rsidRPr="00525B88">
        <w:rPr>
          <w:sz w:val="24"/>
          <w:szCs w:val="24"/>
          <w:u w:val="single"/>
        </w:rPr>
        <w:t>Indberetning af formodede bivirkninger</w:t>
      </w:r>
    </w:p>
    <w:p w:rsidR="00A456E9" w:rsidRPr="00525B88" w:rsidRDefault="00A456E9" w:rsidP="00A456E9">
      <w:pPr>
        <w:ind w:left="851"/>
        <w:rPr>
          <w:sz w:val="24"/>
          <w:szCs w:val="24"/>
        </w:rPr>
      </w:pPr>
      <w:r w:rsidRPr="00525B88">
        <w:rPr>
          <w:sz w:val="24"/>
          <w:szCs w:val="24"/>
        </w:rPr>
        <w:t>Når lægemidlet er godkendt, er indberetning af formodede bivirkninger vigtig. Det muliggør løbende overvågning af benefit/</w:t>
      </w:r>
      <w:proofErr w:type="spellStart"/>
      <w:r w:rsidRPr="00525B88">
        <w:rPr>
          <w:sz w:val="24"/>
          <w:szCs w:val="24"/>
        </w:rPr>
        <w:t>risk</w:t>
      </w:r>
      <w:proofErr w:type="spellEnd"/>
      <w:r w:rsidRPr="00525B88">
        <w:rPr>
          <w:sz w:val="24"/>
          <w:szCs w:val="24"/>
        </w:rPr>
        <w:t xml:space="preserve">-forholdet for lægemidlet. </w:t>
      </w:r>
      <w:r w:rsidR="00A44074">
        <w:rPr>
          <w:sz w:val="24"/>
          <w:szCs w:val="24"/>
        </w:rPr>
        <w:t>S</w:t>
      </w:r>
      <w:r w:rsidRPr="00525B88">
        <w:rPr>
          <w:sz w:val="24"/>
          <w:szCs w:val="24"/>
        </w:rPr>
        <w:t>undhedsperson</w:t>
      </w:r>
      <w:r w:rsidR="00A44074">
        <w:rPr>
          <w:sz w:val="24"/>
          <w:szCs w:val="24"/>
        </w:rPr>
        <w:t>er</w:t>
      </w:r>
      <w:r w:rsidRPr="00525B88">
        <w:rPr>
          <w:sz w:val="24"/>
          <w:szCs w:val="24"/>
        </w:rPr>
        <w:t xml:space="preserve"> anmodes om at indberette alle formodede bivirkninger via:</w:t>
      </w:r>
    </w:p>
    <w:p w:rsidR="00A456E9" w:rsidRPr="00525B88" w:rsidRDefault="00A456E9" w:rsidP="00A456E9">
      <w:pPr>
        <w:ind w:left="851"/>
        <w:rPr>
          <w:sz w:val="24"/>
          <w:szCs w:val="24"/>
        </w:rPr>
      </w:pPr>
    </w:p>
    <w:p w:rsidR="00A456E9" w:rsidRPr="00F51590" w:rsidRDefault="00A456E9" w:rsidP="00A456E9">
      <w:pPr>
        <w:ind w:firstLine="851"/>
        <w:rPr>
          <w:sz w:val="24"/>
          <w:szCs w:val="24"/>
        </w:rPr>
      </w:pPr>
      <w:r w:rsidRPr="00F51590">
        <w:rPr>
          <w:sz w:val="24"/>
          <w:szCs w:val="24"/>
        </w:rPr>
        <w:t>Lægemiddelstyrelsen</w:t>
      </w:r>
    </w:p>
    <w:p w:rsidR="00A456E9" w:rsidRPr="00F51590" w:rsidRDefault="00A456E9" w:rsidP="00A456E9">
      <w:pPr>
        <w:ind w:firstLine="851"/>
        <w:rPr>
          <w:sz w:val="24"/>
          <w:szCs w:val="24"/>
        </w:rPr>
      </w:pPr>
      <w:r w:rsidRPr="00F51590">
        <w:rPr>
          <w:sz w:val="24"/>
          <w:szCs w:val="24"/>
        </w:rPr>
        <w:t>Axel Heides Gade 1</w:t>
      </w:r>
    </w:p>
    <w:p w:rsidR="00A456E9" w:rsidRPr="00F51590" w:rsidRDefault="00A456E9" w:rsidP="00A456E9">
      <w:pPr>
        <w:ind w:firstLine="851"/>
        <w:rPr>
          <w:sz w:val="24"/>
          <w:szCs w:val="24"/>
        </w:rPr>
      </w:pPr>
      <w:r w:rsidRPr="00F51590">
        <w:rPr>
          <w:sz w:val="24"/>
          <w:szCs w:val="24"/>
        </w:rPr>
        <w:t>DK-2300 København S</w:t>
      </w:r>
    </w:p>
    <w:p w:rsidR="00A456E9" w:rsidRPr="008C7F0A" w:rsidRDefault="00A456E9" w:rsidP="00A456E9">
      <w:pPr>
        <w:ind w:firstLine="851"/>
        <w:rPr>
          <w:sz w:val="24"/>
          <w:szCs w:val="24"/>
        </w:rPr>
      </w:pPr>
      <w:r w:rsidRPr="008C7F0A">
        <w:rPr>
          <w:sz w:val="24"/>
          <w:szCs w:val="24"/>
        </w:rPr>
        <w:t xml:space="preserve">Websted: </w:t>
      </w:r>
      <w:hyperlink r:id="rId15" w:history="1">
        <w:r w:rsidRPr="008C7F0A">
          <w:rPr>
            <w:rStyle w:val="Hyperlink"/>
            <w:sz w:val="24"/>
            <w:szCs w:val="24"/>
          </w:rPr>
          <w:t>www.meldenbivirkning.dk</w:t>
        </w:r>
      </w:hyperlink>
    </w:p>
    <w:p w:rsidR="00A456E9" w:rsidRPr="008C7F0A" w:rsidRDefault="00A456E9" w:rsidP="00A456E9">
      <w:pPr>
        <w:pStyle w:val="Sidehoved"/>
        <w:tabs>
          <w:tab w:val="left" w:pos="851"/>
        </w:tabs>
        <w:ind w:left="851" w:hanging="851"/>
        <w:rPr>
          <w:szCs w:val="24"/>
        </w:rPr>
      </w:pPr>
    </w:p>
    <w:p w:rsidR="00A456E9" w:rsidRPr="00C3377B" w:rsidRDefault="00A456E9" w:rsidP="00A456E9">
      <w:pPr>
        <w:tabs>
          <w:tab w:val="left" w:pos="851"/>
        </w:tabs>
        <w:ind w:left="851" w:hanging="851"/>
        <w:rPr>
          <w:b/>
          <w:sz w:val="24"/>
          <w:szCs w:val="24"/>
        </w:rPr>
      </w:pPr>
      <w:r w:rsidRPr="00C3377B">
        <w:rPr>
          <w:b/>
          <w:sz w:val="24"/>
          <w:szCs w:val="24"/>
        </w:rPr>
        <w:t>4.9</w:t>
      </w:r>
      <w:r w:rsidRPr="00C3377B">
        <w:rPr>
          <w:b/>
          <w:sz w:val="24"/>
          <w:szCs w:val="24"/>
        </w:rPr>
        <w:tab/>
        <w:t>Overdosering</w:t>
      </w:r>
    </w:p>
    <w:p w:rsidR="00A456E9" w:rsidRPr="00C3377B" w:rsidRDefault="00A456E9" w:rsidP="00A456E9">
      <w:pPr>
        <w:ind w:left="851" w:hanging="851"/>
        <w:rPr>
          <w:sz w:val="24"/>
          <w:szCs w:val="24"/>
        </w:rPr>
      </w:pPr>
      <w:r w:rsidRPr="00C3377B">
        <w:rPr>
          <w:sz w:val="24"/>
          <w:szCs w:val="24"/>
        </w:rPr>
        <w:tab/>
        <w:t xml:space="preserve">Der kræves ingen positiv handling ud over behandlingsophør. </w:t>
      </w:r>
    </w:p>
    <w:p w:rsidR="00A456E9" w:rsidRPr="00C3377B"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4.10</w:t>
      </w:r>
      <w:r w:rsidRPr="00C3377B">
        <w:rPr>
          <w:b/>
          <w:sz w:val="24"/>
          <w:szCs w:val="24"/>
        </w:rPr>
        <w:tab/>
        <w:t>Udlevering</w:t>
      </w:r>
    </w:p>
    <w:p w:rsidR="00A456E9" w:rsidRPr="00C3377B" w:rsidRDefault="00A456E9" w:rsidP="00A456E9">
      <w:pPr>
        <w:tabs>
          <w:tab w:val="left" w:pos="851"/>
        </w:tabs>
        <w:ind w:left="851" w:hanging="851"/>
        <w:rPr>
          <w:sz w:val="24"/>
          <w:szCs w:val="24"/>
        </w:rPr>
      </w:pPr>
      <w:r w:rsidRPr="00C3377B">
        <w:rPr>
          <w:sz w:val="24"/>
          <w:szCs w:val="24"/>
        </w:rPr>
        <w:tab/>
      </w:r>
      <w:r>
        <w:rPr>
          <w:sz w:val="24"/>
          <w:szCs w:val="24"/>
        </w:rPr>
        <w:t>B</w:t>
      </w:r>
    </w:p>
    <w:p w:rsidR="00A456E9" w:rsidRPr="00C3377B"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5.</w:t>
      </w:r>
      <w:r w:rsidRPr="00C3377B">
        <w:rPr>
          <w:b/>
          <w:sz w:val="24"/>
          <w:szCs w:val="24"/>
        </w:rPr>
        <w:tab/>
        <w:t>FARMAKOLOGISKE EGENSKABER</w:t>
      </w:r>
    </w:p>
    <w:p w:rsidR="00A456E9" w:rsidRPr="00C3377B" w:rsidRDefault="00A456E9" w:rsidP="00A456E9">
      <w:pPr>
        <w:tabs>
          <w:tab w:val="left" w:pos="851"/>
        </w:tabs>
        <w:ind w:left="851" w:hanging="851"/>
        <w:rPr>
          <w:sz w:val="24"/>
          <w:szCs w:val="24"/>
        </w:rPr>
      </w:pPr>
    </w:p>
    <w:p w:rsidR="00A456E9" w:rsidRPr="00C3377B" w:rsidRDefault="00A456E9" w:rsidP="00A456E9">
      <w:pPr>
        <w:tabs>
          <w:tab w:val="num" w:pos="851"/>
        </w:tabs>
        <w:ind w:left="851" w:hanging="851"/>
        <w:rPr>
          <w:b/>
          <w:sz w:val="24"/>
          <w:szCs w:val="24"/>
        </w:rPr>
      </w:pPr>
      <w:r w:rsidRPr="00C3377B">
        <w:rPr>
          <w:b/>
          <w:sz w:val="24"/>
          <w:szCs w:val="24"/>
        </w:rPr>
        <w:t>5.1</w:t>
      </w:r>
      <w:r w:rsidRPr="00C3377B">
        <w:rPr>
          <w:b/>
          <w:sz w:val="24"/>
          <w:szCs w:val="24"/>
        </w:rPr>
        <w:tab/>
      </w:r>
      <w:proofErr w:type="spellStart"/>
      <w:r w:rsidRPr="00C3377B">
        <w:rPr>
          <w:b/>
          <w:sz w:val="24"/>
          <w:szCs w:val="24"/>
        </w:rPr>
        <w:t>Farmakodynamiske</w:t>
      </w:r>
      <w:proofErr w:type="spellEnd"/>
      <w:r w:rsidRPr="00C3377B">
        <w:rPr>
          <w:b/>
          <w:sz w:val="24"/>
          <w:szCs w:val="24"/>
        </w:rPr>
        <w:t xml:space="preserve"> egenskaber</w:t>
      </w:r>
    </w:p>
    <w:p w:rsidR="00DE2D1D" w:rsidRDefault="00A456E9" w:rsidP="0015631A">
      <w:pPr>
        <w:ind w:left="851" w:hanging="851"/>
        <w:rPr>
          <w:sz w:val="24"/>
          <w:szCs w:val="24"/>
        </w:rPr>
      </w:pPr>
      <w:r w:rsidRPr="00C3377B">
        <w:rPr>
          <w:sz w:val="24"/>
          <w:szCs w:val="24"/>
        </w:rPr>
        <w:tab/>
      </w:r>
      <w:proofErr w:type="spellStart"/>
      <w:r w:rsidR="00DE2D1D">
        <w:rPr>
          <w:sz w:val="24"/>
          <w:szCs w:val="24"/>
        </w:rPr>
        <w:t>Farmakoterapeutisk</w:t>
      </w:r>
      <w:proofErr w:type="spellEnd"/>
      <w:r w:rsidR="00DE2D1D">
        <w:rPr>
          <w:sz w:val="24"/>
          <w:szCs w:val="24"/>
        </w:rPr>
        <w:t xml:space="preserve"> klassifikation: </w:t>
      </w:r>
      <w:proofErr w:type="spellStart"/>
      <w:r w:rsidR="00DE2D1D">
        <w:rPr>
          <w:sz w:val="24"/>
          <w:szCs w:val="24"/>
        </w:rPr>
        <w:t>P</w:t>
      </w:r>
      <w:r w:rsidR="00DE2D1D" w:rsidRPr="00C3377B">
        <w:rPr>
          <w:sz w:val="24"/>
          <w:szCs w:val="24"/>
        </w:rPr>
        <w:t>rogestogener</w:t>
      </w:r>
      <w:proofErr w:type="spellEnd"/>
      <w:r w:rsidR="00DE2D1D">
        <w:rPr>
          <w:sz w:val="24"/>
          <w:szCs w:val="24"/>
        </w:rPr>
        <w:t>.</w:t>
      </w:r>
    </w:p>
    <w:p w:rsidR="00DE2D1D" w:rsidRDefault="00DE2D1D" w:rsidP="0015631A">
      <w:pPr>
        <w:ind w:left="851" w:hanging="851"/>
        <w:rPr>
          <w:sz w:val="24"/>
          <w:szCs w:val="24"/>
        </w:rPr>
      </w:pPr>
      <w:r>
        <w:rPr>
          <w:sz w:val="24"/>
          <w:szCs w:val="24"/>
        </w:rPr>
        <w:tab/>
      </w:r>
      <w:r w:rsidRPr="00C3377B">
        <w:rPr>
          <w:sz w:val="24"/>
          <w:szCs w:val="24"/>
        </w:rPr>
        <w:t>ATC-kode: G</w:t>
      </w:r>
      <w:r>
        <w:rPr>
          <w:sz w:val="24"/>
          <w:szCs w:val="24"/>
        </w:rPr>
        <w:t xml:space="preserve"> </w:t>
      </w:r>
      <w:r w:rsidRPr="00C3377B">
        <w:rPr>
          <w:sz w:val="24"/>
          <w:szCs w:val="24"/>
        </w:rPr>
        <w:t>03</w:t>
      </w:r>
      <w:r>
        <w:rPr>
          <w:sz w:val="24"/>
          <w:szCs w:val="24"/>
        </w:rPr>
        <w:t xml:space="preserve"> </w:t>
      </w:r>
      <w:r w:rsidRPr="00C3377B">
        <w:rPr>
          <w:sz w:val="24"/>
          <w:szCs w:val="24"/>
        </w:rPr>
        <w:t>AC</w:t>
      </w:r>
      <w:r>
        <w:rPr>
          <w:sz w:val="24"/>
          <w:szCs w:val="24"/>
        </w:rPr>
        <w:t xml:space="preserve"> </w:t>
      </w:r>
      <w:r w:rsidRPr="00C3377B">
        <w:rPr>
          <w:sz w:val="24"/>
          <w:szCs w:val="24"/>
        </w:rPr>
        <w:t>06</w:t>
      </w:r>
      <w:r>
        <w:rPr>
          <w:sz w:val="24"/>
          <w:szCs w:val="24"/>
        </w:rPr>
        <w:t>.</w:t>
      </w:r>
    </w:p>
    <w:p w:rsidR="00DE2D1D" w:rsidRDefault="00DE2D1D" w:rsidP="0015631A">
      <w:pPr>
        <w:ind w:left="851" w:hanging="851"/>
        <w:rPr>
          <w:sz w:val="24"/>
          <w:szCs w:val="24"/>
        </w:rPr>
      </w:pPr>
    </w:p>
    <w:p w:rsidR="0015631A" w:rsidRDefault="0015631A" w:rsidP="00DE2D1D">
      <w:pPr>
        <w:ind w:left="851"/>
        <w:rPr>
          <w:sz w:val="24"/>
          <w:szCs w:val="24"/>
        </w:rPr>
      </w:pPr>
      <w:r>
        <w:rPr>
          <w:sz w:val="24"/>
          <w:szCs w:val="24"/>
        </w:rPr>
        <w:t>MPA er en analog til 17 </w:t>
      </w:r>
      <w:r>
        <w:rPr>
          <w:sz w:val="24"/>
          <w:szCs w:val="24"/>
        </w:rPr>
        <w:sym w:font="Symbol" w:char="F061"/>
      </w:r>
      <w:r>
        <w:rPr>
          <w:sz w:val="24"/>
          <w:szCs w:val="24"/>
        </w:rPr>
        <w:noBreakHyphen/>
      </w:r>
      <w:proofErr w:type="spellStart"/>
      <w:r>
        <w:rPr>
          <w:sz w:val="24"/>
          <w:szCs w:val="24"/>
        </w:rPr>
        <w:t>hydroxyprogesteron</w:t>
      </w:r>
      <w:proofErr w:type="spellEnd"/>
      <w:r>
        <w:rPr>
          <w:sz w:val="24"/>
          <w:szCs w:val="24"/>
        </w:rPr>
        <w:t xml:space="preserve"> med antiøstrogen, </w:t>
      </w:r>
      <w:proofErr w:type="spellStart"/>
      <w:r>
        <w:rPr>
          <w:sz w:val="24"/>
          <w:szCs w:val="24"/>
        </w:rPr>
        <w:t>antiandrogen</w:t>
      </w:r>
      <w:proofErr w:type="spellEnd"/>
      <w:r>
        <w:rPr>
          <w:sz w:val="24"/>
          <w:szCs w:val="24"/>
        </w:rPr>
        <w:t xml:space="preserve"> og </w:t>
      </w:r>
      <w:proofErr w:type="spellStart"/>
      <w:r>
        <w:rPr>
          <w:sz w:val="24"/>
          <w:szCs w:val="24"/>
        </w:rPr>
        <w:t>antigonadotrofisk</w:t>
      </w:r>
      <w:proofErr w:type="spellEnd"/>
      <w:r>
        <w:rPr>
          <w:sz w:val="24"/>
          <w:szCs w:val="24"/>
        </w:rPr>
        <w:t xml:space="preserve"> virkning. </w:t>
      </w:r>
    </w:p>
    <w:p w:rsidR="0015631A" w:rsidRDefault="0015631A" w:rsidP="0015631A">
      <w:pPr>
        <w:ind w:left="851" w:hanging="851"/>
        <w:rPr>
          <w:sz w:val="24"/>
          <w:szCs w:val="24"/>
        </w:rPr>
      </w:pPr>
    </w:p>
    <w:p w:rsidR="0015631A" w:rsidRDefault="0015631A" w:rsidP="0015631A">
      <w:pPr>
        <w:ind w:left="851"/>
        <w:rPr>
          <w:snapToGrid w:val="0"/>
          <w:sz w:val="24"/>
          <w:szCs w:val="24"/>
        </w:rPr>
      </w:pPr>
      <w:r>
        <w:rPr>
          <w:sz w:val="24"/>
          <w:szCs w:val="24"/>
        </w:rPr>
        <w:t xml:space="preserve">DMPA-subkutan injektion hæmmer udskillelsen af </w:t>
      </w:r>
      <w:proofErr w:type="spellStart"/>
      <w:r>
        <w:rPr>
          <w:sz w:val="24"/>
          <w:szCs w:val="24"/>
        </w:rPr>
        <w:t>gonadotropiner</w:t>
      </w:r>
      <w:proofErr w:type="spellEnd"/>
      <w:r>
        <w:rPr>
          <w:sz w:val="24"/>
          <w:szCs w:val="24"/>
        </w:rPr>
        <w:t xml:space="preserve">, som igen forhindrer follikelmodning og ovulation og </w:t>
      </w:r>
      <w:proofErr w:type="spellStart"/>
      <w:r>
        <w:t>cervikalslimen</w:t>
      </w:r>
      <w:proofErr w:type="spellEnd"/>
      <w:r>
        <w:t xml:space="preserve"> bliver tykkere, hvilket hæmmer sædcellerne i at trænge ind i uterus</w:t>
      </w:r>
      <w:r>
        <w:rPr>
          <w:sz w:val="24"/>
          <w:szCs w:val="24"/>
        </w:rPr>
        <w:t xml:space="preserve">. Disse virkninger giver den </w:t>
      </w:r>
      <w:proofErr w:type="spellStart"/>
      <w:r>
        <w:rPr>
          <w:sz w:val="24"/>
          <w:szCs w:val="24"/>
        </w:rPr>
        <w:t>antikonceptive</w:t>
      </w:r>
      <w:proofErr w:type="spellEnd"/>
      <w:r>
        <w:rPr>
          <w:sz w:val="24"/>
          <w:szCs w:val="24"/>
        </w:rPr>
        <w:t xml:space="preserve"> effekt.</w:t>
      </w:r>
    </w:p>
    <w:p w:rsidR="0015631A" w:rsidRDefault="0015631A" w:rsidP="0015631A">
      <w:pPr>
        <w:ind w:left="851" w:hanging="851"/>
        <w:rPr>
          <w:sz w:val="24"/>
          <w:szCs w:val="24"/>
        </w:rPr>
      </w:pPr>
    </w:p>
    <w:p w:rsidR="0015631A" w:rsidRDefault="0015631A" w:rsidP="0015631A">
      <w:pPr>
        <w:ind w:left="851"/>
        <w:rPr>
          <w:iCs/>
          <w:sz w:val="24"/>
          <w:szCs w:val="24"/>
          <w:u w:val="single"/>
        </w:rPr>
      </w:pPr>
      <w:r>
        <w:rPr>
          <w:iCs/>
          <w:sz w:val="24"/>
          <w:szCs w:val="24"/>
          <w:u w:val="single"/>
        </w:rPr>
        <w:t>Ændringer i knogletætheden hos voksne kvinder</w:t>
      </w:r>
    </w:p>
    <w:p w:rsidR="0015631A" w:rsidRDefault="0015631A" w:rsidP="0015631A">
      <w:pPr>
        <w:ind w:left="851"/>
        <w:rPr>
          <w:sz w:val="24"/>
          <w:szCs w:val="24"/>
        </w:rPr>
      </w:pPr>
      <w:r>
        <w:rPr>
          <w:sz w:val="24"/>
          <w:szCs w:val="24"/>
        </w:rPr>
        <w:t xml:space="preserve">Et studie, der sammenlignede ændringer i knogletætheden hos kvinder, der brugte DMPA </w:t>
      </w:r>
      <w:proofErr w:type="spellStart"/>
      <w:r>
        <w:rPr>
          <w:sz w:val="24"/>
          <w:szCs w:val="24"/>
        </w:rPr>
        <w:t>s.c</w:t>
      </w:r>
      <w:proofErr w:type="spellEnd"/>
      <w:r>
        <w:rPr>
          <w:sz w:val="24"/>
          <w:szCs w:val="24"/>
        </w:rPr>
        <w:t xml:space="preserve">., med kvinder, der brugte DMPA </w:t>
      </w:r>
      <w:proofErr w:type="spellStart"/>
      <w:r>
        <w:rPr>
          <w:sz w:val="24"/>
          <w:szCs w:val="24"/>
        </w:rPr>
        <w:t>i.m</w:t>
      </w:r>
      <w:proofErr w:type="spellEnd"/>
      <w:r>
        <w:rPr>
          <w:sz w:val="24"/>
          <w:szCs w:val="24"/>
        </w:rPr>
        <w:t xml:space="preserve">., viste tilsvarende tab af knogletæthed i de to grupper efter to års behandling. De gennemsnitlige ændringer i knogletæthed i procent i DMPA </w:t>
      </w:r>
      <w:proofErr w:type="spellStart"/>
      <w:r>
        <w:rPr>
          <w:sz w:val="24"/>
          <w:szCs w:val="24"/>
        </w:rPr>
        <w:t>s.c</w:t>
      </w:r>
      <w:proofErr w:type="spellEnd"/>
      <w:r>
        <w:rPr>
          <w:sz w:val="24"/>
          <w:szCs w:val="24"/>
        </w:rPr>
        <w:t>.-gruppen er anført i tabel 1.</w:t>
      </w:r>
    </w:p>
    <w:p w:rsidR="0015631A" w:rsidRDefault="0015631A" w:rsidP="0015631A">
      <w:pPr>
        <w:ind w:left="851"/>
        <w:rPr>
          <w:b/>
          <w:sz w:val="24"/>
          <w:szCs w:val="24"/>
        </w:rPr>
      </w:pPr>
    </w:p>
    <w:p w:rsidR="0015631A" w:rsidRDefault="0015631A" w:rsidP="0015631A">
      <w:pPr>
        <w:ind w:left="851"/>
        <w:rPr>
          <w:b/>
          <w:bCs/>
          <w:sz w:val="24"/>
          <w:szCs w:val="24"/>
          <w:lang w:eastAsia="en-GB"/>
        </w:rPr>
      </w:pPr>
      <w:r>
        <w:rPr>
          <w:b/>
          <w:sz w:val="24"/>
          <w:szCs w:val="24"/>
        </w:rPr>
        <w:t>Tabel 1. Gennemsnitlig procent-ændring (</w:t>
      </w:r>
      <w:r>
        <w:rPr>
          <w:b/>
          <w:bCs/>
          <w:sz w:val="24"/>
          <w:szCs w:val="24"/>
        </w:rPr>
        <w:t>med 95% konfidensintervaller)</w:t>
      </w:r>
      <w:r>
        <w:rPr>
          <w:b/>
          <w:bCs/>
          <w:sz w:val="24"/>
          <w:szCs w:val="22"/>
        </w:rPr>
        <w:t xml:space="preserve"> </w:t>
      </w:r>
      <w:r>
        <w:rPr>
          <w:b/>
          <w:sz w:val="24"/>
          <w:szCs w:val="24"/>
        </w:rPr>
        <w:t xml:space="preserve">fra baseline i knogletætheden hos voksne kvinder, der bruger DMPA </w:t>
      </w:r>
      <w:proofErr w:type="spellStart"/>
      <w:r>
        <w:rPr>
          <w:b/>
          <w:sz w:val="24"/>
          <w:szCs w:val="24"/>
        </w:rPr>
        <w:t>s.c</w:t>
      </w:r>
      <w:proofErr w:type="spellEnd"/>
      <w:r>
        <w:rPr>
          <w:b/>
          <w:sz w:val="24"/>
          <w:szCs w:val="24"/>
        </w:rPr>
        <w:t>., efter område på skelettet</w:t>
      </w:r>
    </w:p>
    <w:p w:rsidR="0015631A" w:rsidRDefault="0015631A" w:rsidP="0015631A">
      <w:pPr>
        <w:pStyle w:val="Brdtekst3"/>
        <w:ind w:left="851" w:hanging="851"/>
        <w:rPr>
          <w:sz w:val="24"/>
          <w:szCs w:val="24"/>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720"/>
        <w:gridCol w:w="1980"/>
        <w:gridCol w:w="720"/>
        <w:gridCol w:w="2083"/>
        <w:gridCol w:w="617"/>
        <w:gridCol w:w="1980"/>
      </w:tblGrid>
      <w:tr w:rsidR="0015631A" w:rsidTr="0015631A">
        <w:trPr>
          <w:cantSplit/>
        </w:trPr>
        <w:tc>
          <w:tcPr>
            <w:tcW w:w="1350" w:type="dxa"/>
            <w:vMerge w:val="restart"/>
            <w:tcBorders>
              <w:top w:val="single" w:sz="4" w:space="0" w:color="auto"/>
              <w:left w:val="single" w:sz="4" w:space="0" w:color="auto"/>
              <w:bottom w:val="single" w:sz="4" w:space="0" w:color="auto"/>
              <w:right w:val="single" w:sz="4" w:space="0" w:color="auto"/>
            </w:tcBorders>
          </w:tcPr>
          <w:p w:rsidR="0015631A" w:rsidRDefault="0015631A">
            <w:pPr>
              <w:rPr>
                <w:sz w:val="24"/>
                <w:szCs w:val="24"/>
              </w:rPr>
            </w:pPr>
          </w:p>
          <w:p w:rsidR="0015631A" w:rsidRDefault="0015631A">
            <w:pPr>
              <w:rPr>
                <w:sz w:val="24"/>
                <w:szCs w:val="24"/>
              </w:rPr>
            </w:pPr>
            <w:r>
              <w:rPr>
                <w:sz w:val="24"/>
                <w:szCs w:val="24"/>
              </w:rPr>
              <w:t>Tid på behandling</w:t>
            </w:r>
          </w:p>
        </w:tc>
        <w:tc>
          <w:tcPr>
            <w:tcW w:w="2700" w:type="dxa"/>
            <w:gridSpan w:val="2"/>
            <w:tcBorders>
              <w:top w:val="single" w:sz="4" w:space="0" w:color="auto"/>
              <w:left w:val="single" w:sz="4" w:space="0" w:color="auto"/>
              <w:bottom w:val="single" w:sz="4" w:space="0" w:color="auto"/>
              <w:right w:val="single" w:sz="4" w:space="0" w:color="auto"/>
            </w:tcBorders>
            <w:hideMark/>
          </w:tcPr>
          <w:p w:rsidR="0015631A" w:rsidRDefault="0015631A">
            <w:pPr>
              <w:rPr>
                <w:sz w:val="24"/>
                <w:szCs w:val="24"/>
              </w:rPr>
            </w:pPr>
            <w:proofErr w:type="spellStart"/>
            <w:r>
              <w:rPr>
                <w:sz w:val="24"/>
                <w:szCs w:val="24"/>
              </w:rPr>
              <w:t>Columna</w:t>
            </w:r>
            <w:proofErr w:type="spellEnd"/>
            <w:r>
              <w:rPr>
                <w:sz w:val="24"/>
                <w:szCs w:val="24"/>
              </w:rPr>
              <w:t xml:space="preserve"> </w:t>
            </w:r>
            <w:proofErr w:type="spellStart"/>
            <w:r>
              <w:rPr>
                <w:sz w:val="24"/>
                <w:szCs w:val="24"/>
              </w:rPr>
              <w:t>lumbalis</w:t>
            </w:r>
            <w:proofErr w:type="spellEnd"/>
          </w:p>
        </w:tc>
        <w:tc>
          <w:tcPr>
            <w:tcW w:w="2803" w:type="dxa"/>
            <w:gridSpan w:val="2"/>
            <w:tcBorders>
              <w:top w:val="single" w:sz="4" w:space="0" w:color="auto"/>
              <w:left w:val="single" w:sz="4" w:space="0" w:color="auto"/>
              <w:bottom w:val="single" w:sz="4" w:space="0" w:color="auto"/>
              <w:right w:val="single" w:sz="4" w:space="0" w:color="auto"/>
            </w:tcBorders>
            <w:hideMark/>
          </w:tcPr>
          <w:p w:rsidR="0015631A" w:rsidRDefault="0015631A">
            <w:pPr>
              <w:rPr>
                <w:sz w:val="24"/>
                <w:szCs w:val="24"/>
              </w:rPr>
            </w:pPr>
            <w:r>
              <w:rPr>
                <w:sz w:val="24"/>
                <w:szCs w:val="24"/>
              </w:rPr>
              <w:t>Hele hoften</w:t>
            </w:r>
          </w:p>
        </w:tc>
        <w:tc>
          <w:tcPr>
            <w:tcW w:w="25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15631A" w:rsidRDefault="0015631A">
            <w:pPr>
              <w:rPr>
                <w:sz w:val="24"/>
                <w:szCs w:val="24"/>
              </w:rPr>
            </w:pPr>
            <w:proofErr w:type="spellStart"/>
            <w:r>
              <w:rPr>
                <w:sz w:val="24"/>
                <w:szCs w:val="24"/>
              </w:rPr>
              <w:t>Collum</w:t>
            </w:r>
            <w:proofErr w:type="spellEnd"/>
            <w:r>
              <w:rPr>
                <w:sz w:val="24"/>
                <w:szCs w:val="24"/>
              </w:rPr>
              <w:t xml:space="preserve"> </w:t>
            </w:r>
            <w:proofErr w:type="spellStart"/>
            <w:r>
              <w:rPr>
                <w:sz w:val="24"/>
                <w:szCs w:val="24"/>
              </w:rPr>
              <w:t>femoris</w:t>
            </w:r>
            <w:proofErr w:type="spellEnd"/>
          </w:p>
        </w:tc>
      </w:tr>
      <w:tr w:rsidR="0015631A" w:rsidTr="0015631A">
        <w:trPr>
          <w:cantSplit/>
        </w:trPr>
        <w:tc>
          <w:tcPr>
            <w:tcW w:w="1350" w:type="dxa"/>
            <w:vMerge/>
            <w:tcBorders>
              <w:top w:val="single" w:sz="4" w:space="0" w:color="auto"/>
              <w:left w:val="single" w:sz="4" w:space="0" w:color="auto"/>
              <w:bottom w:val="single" w:sz="4" w:space="0" w:color="auto"/>
              <w:right w:val="single" w:sz="4" w:space="0" w:color="auto"/>
            </w:tcBorders>
            <w:vAlign w:val="center"/>
            <w:hideMark/>
          </w:tcPr>
          <w:p w:rsidR="0015631A" w:rsidRDefault="0015631A">
            <w:pPr>
              <w:rPr>
                <w:sz w:val="24"/>
                <w:szCs w:val="24"/>
              </w:rPr>
            </w:pPr>
          </w:p>
        </w:tc>
        <w:tc>
          <w:tcPr>
            <w:tcW w:w="720" w:type="dxa"/>
            <w:tcBorders>
              <w:top w:val="single" w:sz="4" w:space="0" w:color="auto"/>
              <w:left w:val="single" w:sz="4" w:space="0" w:color="auto"/>
              <w:bottom w:val="single" w:sz="4" w:space="0" w:color="auto"/>
              <w:right w:val="single" w:sz="4" w:space="0" w:color="auto"/>
            </w:tcBorders>
            <w:hideMark/>
          </w:tcPr>
          <w:p w:rsidR="0015631A" w:rsidRDefault="0015631A">
            <w:pPr>
              <w:rPr>
                <w:sz w:val="24"/>
                <w:szCs w:val="24"/>
              </w:rPr>
            </w:pPr>
            <w:r>
              <w:rPr>
                <w:sz w:val="24"/>
                <w:szCs w:val="24"/>
              </w:rPr>
              <w:t>N</w:t>
            </w:r>
          </w:p>
        </w:tc>
        <w:tc>
          <w:tcPr>
            <w:tcW w:w="1980" w:type="dxa"/>
            <w:tcBorders>
              <w:top w:val="single" w:sz="4" w:space="0" w:color="auto"/>
              <w:left w:val="single" w:sz="4" w:space="0" w:color="auto"/>
              <w:bottom w:val="single" w:sz="4" w:space="0" w:color="auto"/>
              <w:right w:val="single" w:sz="4" w:space="0" w:color="auto"/>
            </w:tcBorders>
            <w:hideMark/>
          </w:tcPr>
          <w:p w:rsidR="0015631A" w:rsidRDefault="0015631A">
            <w:pPr>
              <w:rPr>
                <w:sz w:val="24"/>
                <w:szCs w:val="24"/>
              </w:rPr>
            </w:pPr>
            <w:proofErr w:type="spellStart"/>
            <w:r>
              <w:rPr>
                <w:sz w:val="24"/>
                <w:szCs w:val="24"/>
              </w:rPr>
              <w:t>Gns</w:t>
            </w:r>
            <w:proofErr w:type="spellEnd"/>
            <w:r>
              <w:rPr>
                <w:sz w:val="24"/>
                <w:szCs w:val="24"/>
              </w:rPr>
              <w:t>. % -ændring</w:t>
            </w:r>
          </w:p>
          <w:p w:rsidR="0015631A" w:rsidRDefault="0015631A">
            <w:pPr>
              <w:rPr>
                <w:sz w:val="24"/>
                <w:szCs w:val="24"/>
              </w:rPr>
            </w:pPr>
            <w:r>
              <w:rPr>
                <w:sz w:val="24"/>
                <w:szCs w:val="24"/>
                <w:shd w:val="clear" w:color="auto" w:fill="FFFFFF"/>
              </w:rPr>
              <w:t>(95 % CI)</w:t>
            </w:r>
          </w:p>
        </w:tc>
        <w:tc>
          <w:tcPr>
            <w:tcW w:w="720" w:type="dxa"/>
            <w:tcBorders>
              <w:top w:val="single" w:sz="4" w:space="0" w:color="auto"/>
              <w:left w:val="single" w:sz="4" w:space="0" w:color="auto"/>
              <w:bottom w:val="single" w:sz="4" w:space="0" w:color="auto"/>
              <w:right w:val="single" w:sz="4" w:space="0" w:color="auto"/>
            </w:tcBorders>
            <w:hideMark/>
          </w:tcPr>
          <w:p w:rsidR="0015631A" w:rsidRDefault="0015631A">
            <w:pPr>
              <w:rPr>
                <w:sz w:val="24"/>
                <w:szCs w:val="24"/>
              </w:rPr>
            </w:pPr>
            <w:r>
              <w:rPr>
                <w:sz w:val="24"/>
                <w:szCs w:val="24"/>
              </w:rPr>
              <w:t>N</w:t>
            </w:r>
          </w:p>
        </w:tc>
        <w:tc>
          <w:tcPr>
            <w:tcW w:w="2083" w:type="dxa"/>
            <w:tcBorders>
              <w:top w:val="single" w:sz="4" w:space="0" w:color="auto"/>
              <w:left w:val="single" w:sz="4" w:space="0" w:color="auto"/>
              <w:bottom w:val="single" w:sz="4" w:space="0" w:color="auto"/>
              <w:right w:val="single" w:sz="4" w:space="0" w:color="auto"/>
            </w:tcBorders>
            <w:hideMark/>
          </w:tcPr>
          <w:p w:rsidR="0015631A" w:rsidRDefault="0015631A">
            <w:pPr>
              <w:rPr>
                <w:sz w:val="24"/>
                <w:szCs w:val="24"/>
              </w:rPr>
            </w:pPr>
            <w:proofErr w:type="spellStart"/>
            <w:r>
              <w:rPr>
                <w:sz w:val="24"/>
                <w:szCs w:val="24"/>
              </w:rPr>
              <w:t>Gns</w:t>
            </w:r>
            <w:proofErr w:type="spellEnd"/>
            <w:r>
              <w:rPr>
                <w:sz w:val="24"/>
                <w:szCs w:val="24"/>
              </w:rPr>
              <w:t>. % -ændring</w:t>
            </w:r>
          </w:p>
          <w:p w:rsidR="0015631A" w:rsidRDefault="0015631A">
            <w:pPr>
              <w:rPr>
                <w:sz w:val="24"/>
                <w:szCs w:val="24"/>
              </w:rPr>
            </w:pPr>
            <w:r>
              <w:rPr>
                <w:sz w:val="24"/>
                <w:szCs w:val="24"/>
                <w:shd w:val="clear" w:color="auto" w:fill="FFFFFF"/>
              </w:rPr>
              <w:t>(95 % CI)</w:t>
            </w:r>
          </w:p>
        </w:tc>
        <w:tc>
          <w:tcPr>
            <w:tcW w:w="617" w:type="dxa"/>
            <w:tcBorders>
              <w:top w:val="single" w:sz="4" w:space="0" w:color="auto"/>
              <w:left w:val="single" w:sz="4" w:space="0" w:color="auto"/>
              <w:bottom w:val="single" w:sz="4" w:space="0" w:color="auto"/>
              <w:right w:val="single" w:sz="4" w:space="0" w:color="auto"/>
            </w:tcBorders>
            <w:shd w:val="clear" w:color="auto" w:fill="FFFFFF"/>
            <w:hideMark/>
          </w:tcPr>
          <w:p w:rsidR="0015631A" w:rsidRDefault="0015631A">
            <w:pPr>
              <w:rPr>
                <w:sz w:val="24"/>
                <w:szCs w:val="24"/>
              </w:rPr>
            </w:pPr>
            <w:r>
              <w:rPr>
                <w:sz w:val="24"/>
                <w:szCs w:val="24"/>
              </w:rPr>
              <w:t>N</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15631A" w:rsidRDefault="0015631A">
            <w:pPr>
              <w:rPr>
                <w:sz w:val="24"/>
                <w:szCs w:val="24"/>
              </w:rPr>
            </w:pPr>
            <w:proofErr w:type="spellStart"/>
            <w:r>
              <w:rPr>
                <w:sz w:val="24"/>
                <w:szCs w:val="24"/>
              </w:rPr>
              <w:t>Gns</w:t>
            </w:r>
            <w:proofErr w:type="spellEnd"/>
            <w:r>
              <w:rPr>
                <w:sz w:val="24"/>
                <w:szCs w:val="24"/>
              </w:rPr>
              <w:t>. % -ændring</w:t>
            </w:r>
          </w:p>
          <w:p w:rsidR="0015631A" w:rsidRDefault="0015631A">
            <w:pPr>
              <w:rPr>
                <w:sz w:val="24"/>
                <w:szCs w:val="24"/>
              </w:rPr>
            </w:pPr>
            <w:r>
              <w:rPr>
                <w:sz w:val="24"/>
                <w:szCs w:val="24"/>
              </w:rPr>
              <w:t>(95 % CI)</w:t>
            </w:r>
          </w:p>
        </w:tc>
      </w:tr>
      <w:tr w:rsidR="0015631A" w:rsidTr="0015631A">
        <w:tc>
          <w:tcPr>
            <w:tcW w:w="1350" w:type="dxa"/>
            <w:tcBorders>
              <w:top w:val="single" w:sz="4" w:space="0" w:color="auto"/>
              <w:left w:val="single" w:sz="4" w:space="0" w:color="auto"/>
              <w:bottom w:val="single" w:sz="4" w:space="0" w:color="auto"/>
              <w:right w:val="single" w:sz="4" w:space="0" w:color="auto"/>
            </w:tcBorders>
            <w:hideMark/>
          </w:tcPr>
          <w:p w:rsidR="0015631A" w:rsidRDefault="0015631A">
            <w:pPr>
              <w:rPr>
                <w:sz w:val="24"/>
                <w:szCs w:val="24"/>
              </w:rPr>
            </w:pPr>
            <w:r>
              <w:rPr>
                <w:sz w:val="24"/>
                <w:szCs w:val="24"/>
              </w:rPr>
              <w:t>1 år</w:t>
            </w:r>
          </w:p>
        </w:tc>
        <w:tc>
          <w:tcPr>
            <w:tcW w:w="720" w:type="dxa"/>
            <w:tcBorders>
              <w:top w:val="single" w:sz="4" w:space="0" w:color="auto"/>
              <w:left w:val="single" w:sz="4" w:space="0" w:color="auto"/>
              <w:bottom w:val="single" w:sz="4" w:space="0" w:color="auto"/>
              <w:right w:val="single" w:sz="4" w:space="0" w:color="auto"/>
            </w:tcBorders>
            <w:hideMark/>
          </w:tcPr>
          <w:p w:rsidR="0015631A" w:rsidRDefault="0015631A">
            <w:pPr>
              <w:rPr>
                <w:sz w:val="24"/>
                <w:szCs w:val="24"/>
              </w:rPr>
            </w:pPr>
            <w:r>
              <w:rPr>
                <w:sz w:val="24"/>
                <w:szCs w:val="24"/>
              </w:rPr>
              <w:t>166</w:t>
            </w:r>
          </w:p>
        </w:tc>
        <w:tc>
          <w:tcPr>
            <w:tcW w:w="1980" w:type="dxa"/>
            <w:tcBorders>
              <w:top w:val="single" w:sz="4" w:space="0" w:color="auto"/>
              <w:left w:val="single" w:sz="4" w:space="0" w:color="auto"/>
              <w:bottom w:val="single" w:sz="4" w:space="0" w:color="auto"/>
              <w:right w:val="single" w:sz="4" w:space="0" w:color="auto"/>
            </w:tcBorders>
            <w:hideMark/>
          </w:tcPr>
          <w:p w:rsidR="0015631A" w:rsidRDefault="0015631A">
            <w:pPr>
              <w:rPr>
                <w:sz w:val="24"/>
                <w:szCs w:val="24"/>
              </w:rPr>
            </w:pPr>
            <w:r>
              <w:rPr>
                <w:sz w:val="24"/>
                <w:szCs w:val="24"/>
              </w:rPr>
              <w:t>-2,7</w:t>
            </w:r>
          </w:p>
          <w:p w:rsidR="0015631A" w:rsidRDefault="0015631A">
            <w:pPr>
              <w:rPr>
                <w:sz w:val="24"/>
                <w:szCs w:val="24"/>
              </w:rPr>
            </w:pPr>
            <w:r>
              <w:rPr>
                <w:sz w:val="24"/>
                <w:szCs w:val="24"/>
                <w:shd w:val="clear" w:color="auto" w:fill="FFFFFF"/>
              </w:rPr>
              <w:t>(-3,1 til -2,3)</w:t>
            </w:r>
          </w:p>
        </w:tc>
        <w:tc>
          <w:tcPr>
            <w:tcW w:w="720" w:type="dxa"/>
            <w:tcBorders>
              <w:top w:val="single" w:sz="4" w:space="0" w:color="auto"/>
              <w:left w:val="single" w:sz="4" w:space="0" w:color="auto"/>
              <w:bottom w:val="single" w:sz="4" w:space="0" w:color="auto"/>
              <w:right w:val="single" w:sz="4" w:space="0" w:color="auto"/>
            </w:tcBorders>
            <w:hideMark/>
          </w:tcPr>
          <w:p w:rsidR="0015631A" w:rsidRDefault="0015631A">
            <w:pPr>
              <w:rPr>
                <w:sz w:val="24"/>
                <w:szCs w:val="24"/>
              </w:rPr>
            </w:pPr>
            <w:r>
              <w:rPr>
                <w:sz w:val="24"/>
                <w:szCs w:val="24"/>
              </w:rPr>
              <w:t>166</w:t>
            </w:r>
          </w:p>
        </w:tc>
        <w:tc>
          <w:tcPr>
            <w:tcW w:w="2083" w:type="dxa"/>
            <w:tcBorders>
              <w:top w:val="single" w:sz="4" w:space="0" w:color="auto"/>
              <w:left w:val="single" w:sz="4" w:space="0" w:color="auto"/>
              <w:bottom w:val="single" w:sz="4" w:space="0" w:color="auto"/>
              <w:right w:val="single" w:sz="4" w:space="0" w:color="auto"/>
            </w:tcBorders>
            <w:hideMark/>
          </w:tcPr>
          <w:p w:rsidR="0015631A" w:rsidRDefault="0015631A">
            <w:pPr>
              <w:rPr>
                <w:sz w:val="24"/>
                <w:szCs w:val="24"/>
              </w:rPr>
            </w:pPr>
            <w:r>
              <w:rPr>
                <w:sz w:val="24"/>
                <w:szCs w:val="24"/>
              </w:rPr>
              <w:t>-1.7</w:t>
            </w:r>
          </w:p>
          <w:p w:rsidR="0015631A" w:rsidRDefault="0015631A">
            <w:pPr>
              <w:rPr>
                <w:sz w:val="24"/>
                <w:szCs w:val="24"/>
              </w:rPr>
            </w:pPr>
            <w:r>
              <w:rPr>
                <w:sz w:val="24"/>
                <w:szCs w:val="24"/>
              </w:rPr>
              <w:t>(-2,1 til -1,3)</w:t>
            </w:r>
          </w:p>
        </w:tc>
        <w:tc>
          <w:tcPr>
            <w:tcW w:w="617" w:type="dxa"/>
            <w:tcBorders>
              <w:top w:val="single" w:sz="4" w:space="0" w:color="auto"/>
              <w:left w:val="single" w:sz="4" w:space="0" w:color="auto"/>
              <w:bottom w:val="single" w:sz="4" w:space="0" w:color="auto"/>
              <w:right w:val="single" w:sz="4" w:space="0" w:color="auto"/>
            </w:tcBorders>
            <w:shd w:val="clear" w:color="auto" w:fill="FFFFFF"/>
            <w:hideMark/>
          </w:tcPr>
          <w:p w:rsidR="0015631A" w:rsidRDefault="0015631A">
            <w:pPr>
              <w:rPr>
                <w:sz w:val="24"/>
                <w:szCs w:val="24"/>
              </w:rPr>
            </w:pPr>
            <w:r>
              <w:rPr>
                <w:sz w:val="24"/>
                <w:szCs w:val="24"/>
              </w:rPr>
              <w:t>166</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15631A" w:rsidRDefault="0015631A">
            <w:pPr>
              <w:rPr>
                <w:sz w:val="24"/>
                <w:szCs w:val="24"/>
              </w:rPr>
            </w:pPr>
            <w:r>
              <w:rPr>
                <w:sz w:val="24"/>
                <w:szCs w:val="24"/>
              </w:rPr>
              <w:t>-1.9</w:t>
            </w:r>
          </w:p>
          <w:p w:rsidR="0015631A" w:rsidRDefault="0015631A">
            <w:pPr>
              <w:rPr>
                <w:sz w:val="24"/>
                <w:szCs w:val="24"/>
              </w:rPr>
            </w:pPr>
            <w:r>
              <w:rPr>
                <w:sz w:val="24"/>
                <w:szCs w:val="24"/>
                <w:shd w:val="clear" w:color="auto" w:fill="FFFFFF"/>
              </w:rPr>
              <w:t>(-2,5 til -1,4)</w:t>
            </w:r>
          </w:p>
        </w:tc>
      </w:tr>
      <w:tr w:rsidR="0015631A" w:rsidTr="0015631A">
        <w:tc>
          <w:tcPr>
            <w:tcW w:w="1350" w:type="dxa"/>
            <w:tcBorders>
              <w:top w:val="single" w:sz="4" w:space="0" w:color="auto"/>
              <w:left w:val="single" w:sz="4" w:space="0" w:color="auto"/>
              <w:bottom w:val="single" w:sz="4" w:space="0" w:color="auto"/>
              <w:right w:val="single" w:sz="4" w:space="0" w:color="auto"/>
            </w:tcBorders>
            <w:hideMark/>
          </w:tcPr>
          <w:p w:rsidR="0015631A" w:rsidRDefault="0015631A">
            <w:pPr>
              <w:rPr>
                <w:sz w:val="24"/>
                <w:szCs w:val="24"/>
              </w:rPr>
            </w:pPr>
            <w:r>
              <w:rPr>
                <w:sz w:val="24"/>
                <w:szCs w:val="24"/>
              </w:rPr>
              <w:t>2 år</w:t>
            </w:r>
          </w:p>
        </w:tc>
        <w:tc>
          <w:tcPr>
            <w:tcW w:w="720" w:type="dxa"/>
            <w:tcBorders>
              <w:top w:val="single" w:sz="4" w:space="0" w:color="auto"/>
              <w:left w:val="single" w:sz="4" w:space="0" w:color="auto"/>
              <w:bottom w:val="single" w:sz="4" w:space="0" w:color="auto"/>
              <w:right w:val="single" w:sz="4" w:space="0" w:color="auto"/>
            </w:tcBorders>
            <w:hideMark/>
          </w:tcPr>
          <w:p w:rsidR="0015631A" w:rsidRDefault="0015631A">
            <w:pPr>
              <w:rPr>
                <w:sz w:val="24"/>
                <w:szCs w:val="24"/>
              </w:rPr>
            </w:pPr>
            <w:r>
              <w:rPr>
                <w:sz w:val="24"/>
                <w:szCs w:val="24"/>
              </w:rPr>
              <w:t>106</w:t>
            </w:r>
          </w:p>
        </w:tc>
        <w:tc>
          <w:tcPr>
            <w:tcW w:w="1980" w:type="dxa"/>
            <w:tcBorders>
              <w:top w:val="single" w:sz="4" w:space="0" w:color="auto"/>
              <w:left w:val="single" w:sz="4" w:space="0" w:color="auto"/>
              <w:bottom w:val="single" w:sz="4" w:space="0" w:color="auto"/>
              <w:right w:val="single" w:sz="4" w:space="0" w:color="auto"/>
            </w:tcBorders>
            <w:hideMark/>
          </w:tcPr>
          <w:p w:rsidR="0015631A" w:rsidRDefault="0015631A">
            <w:pPr>
              <w:rPr>
                <w:sz w:val="24"/>
                <w:szCs w:val="24"/>
              </w:rPr>
            </w:pPr>
            <w:r>
              <w:rPr>
                <w:sz w:val="24"/>
                <w:szCs w:val="24"/>
              </w:rPr>
              <w:t>-4.1</w:t>
            </w:r>
          </w:p>
          <w:p w:rsidR="0015631A" w:rsidRDefault="0015631A">
            <w:pPr>
              <w:rPr>
                <w:sz w:val="24"/>
                <w:szCs w:val="24"/>
              </w:rPr>
            </w:pPr>
            <w:r>
              <w:rPr>
                <w:sz w:val="24"/>
                <w:szCs w:val="24"/>
              </w:rPr>
              <w:t>(-4,6 til -3,5)</w:t>
            </w:r>
          </w:p>
        </w:tc>
        <w:tc>
          <w:tcPr>
            <w:tcW w:w="720" w:type="dxa"/>
            <w:tcBorders>
              <w:top w:val="single" w:sz="4" w:space="0" w:color="auto"/>
              <w:left w:val="single" w:sz="4" w:space="0" w:color="auto"/>
              <w:bottom w:val="single" w:sz="4" w:space="0" w:color="auto"/>
              <w:right w:val="single" w:sz="4" w:space="0" w:color="auto"/>
            </w:tcBorders>
            <w:hideMark/>
          </w:tcPr>
          <w:p w:rsidR="0015631A" w:rsidRDefault="0015631A">
            <w:pPr>
              <w:rPr>
                <w:sz w:val="24"/>
                <w:szCs w:val="24"/>
              </w:rPr>
            </w:pPr>
            <w:r>
              <w:rPr>
                <w:sz w:val="24"/>
                <w:szCs w:val="24"/>
              </w:rPr>
              <w:t>106</w:t>
            </w:r>
          </w:p>
        </w:tc>
        <w:tc>
          <w:tcPr>
            <w:tcW w:w="2083" w:type="dxa"/>
            <w:tcBorders>
              <w:top w:val="single" w:sz="4" w:space="0" w:color="auto"/>
              <w:left w:val="single" w:sz="4" w:space="0" w:color="auto"/>
              <w:bottom w:val="single" w:sz="4" w:space="0" w:color="auto"/>
              <w:right w:val="single" w:sz="4" w:space="0" w:color="auto"/>
            </w:tcBorders>
            <w:hideMark/>
          </w:tcPr>
          <w:p w:rsidR="0015631A" w:rsidRDefault="0015631A">
            <w:pPr>
              <w:rPr>
                <w:sz w:val="24"/>
                <w:szCs w:val="24"/>
              </w:rPr>
            </w:pPr>
            <w:r>
              <w:rPr>
                <w:sz w:val="24"/>
                <w:szCs w:val="24"/>
              </w:rPr>
              <w:t>-3.5</w:t>
            </w:r>
          </w:p>
          <w:p w:rsidR="0015631A" w:rsidRDefault="0015631A">
            <w:pPr>
              <w:rPr>
                <w:sz w:val="24"/>
                <w:szCs w:val="24"/>
              </w:rPr>
            </w:pPr>
            <w:r>
              <w:rPr>
                <w:sz w:val="24"/>
                <w:szCs w:val="24"/>
              </w:rPr>
              <w:t xml:space="preserve">(-4,2 til -2,7) </w:t>
            </w:r>
          </w:p>
        </w:tc>
        <w:tc>
          <w:tcPr>
            <w:tcW w:w="617" w:type="dxa"/>
            <w:tcBorders>
              <w:top w:val="single" w:sz="4" w:space="0" w:color="auto"/>
              <w:left w:val="single" w:sz="4" w:space="0" w:color="auto"/>
              <w:bottom w:val="single" w:sz="4" w:space="0" w:color="auto"/>
              <w:right w:val="single" w:sz="4" w:space="0" w:color="auto"/>
            </w:tcBorders>
            <w:shd w:val="clear" w:color="auto" w:fill="FFFFFF"/>
            <w:hideMark/>
          </w:tcPr>
          <w:p w:rsidR="0015631A" w:rsidRDefault="0015631A">
            <w:pPr>
              <w:rPr>
                <w:sz w:val="24"/>
                <w:szCs w:val="24"/>
              </w:rPr>
            </w:pPr>
            <w:r>
              <w:rPr>
                <w:sz w:val="24"/>
                <w:szCs w:val="24"/>
              </w:rPr>
              <w:t>106</w:t>
            </w:r>
          </w:p>
        </w:tc>
        <w:tc>
          <w:tcPr>
            <w:tcW w:w="1980" w:type="dxa"/>
            <w:tcBorders>
              <w:top w:val="single" w:sz="4" w:space="0" w:color="auto"/>
              <w:left w:val="single" w:sz="4" w:space="0" w:color="auto"/>
              <w:bottom w:val="single" w:sz="4" w:space="0" w:color="auto"/>
              <w:right w:val="single" w:sz="4" w:space="0" w:color="auto"/>
            </w:tcBorders>
            <w:shd w:val="clear" w:color="auto" w:fill="FFFFFF"/>
            <w:hideMark/>
          </w:tcPr>
          <w:p w:rsidR="0015631A" w:rsidRDefault="0015631A">
            <w:pPr>
              <w:rPr>
                <w:sz w:val="24"/>
                <w:szCs w:val="24"/>
              </w:rPr>
            </w:pPr>
            <w:r>
              <w:rPr>
                <w:sz w:val="24"/>
                <w:szCs w:val="24"/>
              </w:rPr>
              <w:t>-3.5</w:t>
            </w:r>
          </w:p>
          <w:p w:rsidR="0015631A" w:rsidRDefault="0015631A">
            <w:pPr>
              <w:rPr>
                <w:sz w:val="24"/>
                <w:szCs w:val="24"/>
              </w:rPr>
            </w:pPr>
            <w:r>
              <w:rPr>
                <w:sz w:val="24"/>
                <w:szCs w:val="24"/>
              </w:rPr>
              <w:t xml:space="preserve">(-4,3 til -2,6) </w:t>
            </w:r>
          </w:p>
        </w:tc>
      </w:tr>
    </w:tbl>
    <w:p w:rsidR="0015631A" w:rsidRDefault="0015631A" w:rsidP="0015631A">
      <w:pPr>
        <w:ind w:left="851" w:hanging="851"/>
        <w:rPr>
          <w:iCs/>
          <w:sz w:val="24"/>
          <w:szCs w:val="24"/>
          <w:lang w:val="de-DE"/>
        </w:rPr>
      </w:pPr>
      <w:r>
        <w:rPr>
          <w:iCs/>
          <w:sz w:val="24"/>
          <w:szCs w:val="24"/>
          <w:lang w:val="de-DE"/>
        </w:rPr>
        <w:t xml:space="preserve">CI = </w:t>
      </w:r>
      <w:proofErr w:type="spellStart"/>
      <w:r>
        <w:rPr>
          <w:iCs/>
          <w:sz w:val="24"/>
          <w:szCs w:val="24"/>
          <w:lang w:val="de-DE"/>
        </w:rPr>
        <w:t>Konfidensinterval</w:t>
      </w:r>
      <w:proofErr w:type="spellEnd"/>
    </w:p>
    <w:p w:rsidR="0015631A" w:rsidRDefault="0015631A" w:rsidP="0015631A">
      <w:pPr>
        <w:ind w:left="851" w:hanging="851"/>
        <w:rPr>
          <w:sz w:val="24"/>
          <w:szCs w:val="24"/>
        </w:rPr>
      </w:pPr>
    </w:p>
    <w:p w:rsidR="0015631A" w:rsidRDefault="0015631A" w:rsidP="0015631A">
      <w:pPr>
        <w:ind w:left="851"/>
        <w:rPr>
          <w:color w:val="000000"/>
          <w:sz w:val="24"/>
          <w:szCs w:val="24"/>
        </w:rPr>
      </w:pPr>
      <w:r>
        <w:rPr>
          <w:sz w:val="24"/>
          <w:szCs w:val="24"/>
        </w:rPr>
        <w:t xml:space="preserve">I et andet kontrolleret klinisk studie udviste voksne kvinder, der brugte DMPA </w:t>
      </w:r>
      <w:proofErr w:type="spellStart"/>
      <w:r>
        <w:rPr>
          <w:sz w:val="24"/>
          <w:szCs w:val="24"/>
        </w:rPr>
        <w:t>i.m</w:t>
      </w:r>
      <w:proofErr w:type="spellEnd"/>
      <w:r>
        <w:rPr>
          <w:sz w:val="24"/>
          <w:szCs w:val="24"/>
        </w:rPr>
        <w:t xml:space="preserve">. i op til 5 år, et gennemsnitligt fald i knogletætheden i </w:t>
      </w:r>
      <w:proofErr w:type="spellStart"/>
      <w:r>
        <w:rPr>
          <w:sz w:val="24"/>
          <w:szCs w:val="24"/>
        </w:rPr>
        <w:t>columna</w:t>
      </w:r>
      <w:proofErr w:type="spellEnd"/>
      <w:r>
        <w:rPr>
          <w:sz w:val="24"/>
          <w:szCs w:val="24"/>
        </w:rPr>
        <w:t xml:space="preserve"> og hofte på 5-6 % sammenlignet med ingen signifikant ændring i knogletætheden hos kontrolgruppen. Faldet i knogletætheden var mest udtalt i løbet af de første to års brug, med mindre fald de følgende år. </w:t>
      </w:r>
      <w:r>
        <w:rPr>
          <w:color w:val="000000"/>
          <w:sz w:val="24"/>
          <w:szCs w:val="24"/>
        </w:rPr>
        <w:t xml:space="preserve">Der blev observeret gennemsnitlige ændringer i </w:t>
      </w:r>
      <w:proofErr w:type="spellStart"/>
      <w:r>
        <w:rPr>
          <w:color w:val="000000"/>
          <w:sz w:val="24"/>
          <w:szCs w:val="24"/>
        </w:rPr>
        <w:t>columna</w:t>
      </w:r>
      <w:proofErr w:type="spellEnd"/>
      <w:r>
        <w:rPr>
          <w:color w:val="000000"/>
          <w:sz w:val="24"/>
          <w:szCs w:val="24"/>
        </w:rPr>
        <w:t xml:space="preserve"> </w:t>
      </w:r>
      <w:proofErr w:type="spellStart"/>
      <w:r>
        <w:rPr>
          <w:color w:val="000000"/>
          <w:sz w:val="24"/>
          <w:szCs w:val="24"/>
        </w:rPr>
        <w:t>lumbalis</w:t>
      </w:r>
      <w:proofErr w:type="spellEnd"/>
      <w:r>
        <w:rPr>
          <w:color w:val="000000"/>
          <w:sz w:val="24"/>
          <w:szCs w:val="24"/>
        </w:rPr>
        <w:t xml:space="preserve">-knogletætheden på -2,9 %, -4,1 %, -4,9 %, -4,9 % og -5,4 % efter henholdsvis 1, 2, 3, 4 og 5 år. Der var lignende fald i knogletætheden for hele hoften og </w:t>
      </w:r>
      <w:proofErr w:type="spellStart"/>
      <w:r>
        <w:rPr>
          <w:color w:val="000000"/>
          <w:sz w:val="24"/>
          <w:szCs w:val="24"/>
        </w:rPr>
        <w:t>collum</w:t>
      </w:r>
      <w:proofErr w:type="spellEnd"/>
      <w:r>
        <w:rPr>
          <w:color w:val="000000"/>
          <w:sz w:val="24"/>
          <w:szCs w:val="24"/>
        </w:rPr>
        <w:t xml:space="preserve"> </w:t>
      </w:r>
      <w:proofErr w:type="spellStart"/>
      <w:r>
        <w:rPr>
          <w:color w:val="000000"/>
          <w:sz w:val="24"/>
          <w:szCs w:val="24"/>
        </w:rPr>
        <w:t>femoris</w:t>
      </w:r>
      <w:proofErr w:type="spellEnd"/>
      <w:r>
        <w:rPr>
          <w:color w:val="000000"/>
          <w:sz w:val="24"/>
          <w:szCs w:val="24"/>
        </w:rPr>
        <w:t>. Se tabel 2 nedenfor for at få yderligere oplysninger.</w:t>
      </w:r>
    </w:p>
    <w:p w:rsidR="0015631A" w:rsidRDefault="0015631A" w:rsidP="0015631A">
      <w:pPr>
        <w:ind w:left="851" w:hanging="851"/>
        <w:rPr>
          <w:color w:val="000000"/>
          <w:sz w:val="24"/>
          <w:szCs w:val="24"/>
        </w:rPr>
      </w:pPr>
    </w:p>
    <w:p w:rsidR="0015631A" w:rsidRDefault="0015631A" w:rsidP="0015631A">
      <w:pPr>
        <w:ind w:left="851"/>
        <w:rPr>
          <w:sz w:val="24"/>
          <w:szCs w:val="24"/>
        </w:rPr>
      </w:pPr>
      <w:r>
        <w:rPr>
          <w:sz w:val="24"/>
          <w:szCs w:val="24"/>
        </w:rPr>
        <w:t xml:space="preserve">Efter ophør med brug af DMPA </w:t>
      </w:r>
      <w:proofErr w:type="spellStart"/>
      <w:r>
        <w:rPr>
          <w:sz w:val="24"/>
          <w:szCs w:val="24"/>
        </w:rPr>
        <w:t>i.m</w:t>
      </w:r>
      <w:proofErr w:type="spellEnd"/>
      <w:r>
        <w:rPr>
          <w:sz w:val="24"/>
          <w:szCs w:val="24"/>
        </w:rPr>
        <w:t xml:space="preserve">. blev knogletætheden forøget mod baseline-værdierne i perioden efter behandlingen. En længere behandlingsvarighed var forbundet med en langsommere genvinding af knogletætheden. </w:t>
      </w:r>
    </w:p>
    <w:p w:rsidR="0015631A" w:rsidRDefault="0015631A" w:rsidP="0015631A">
      <w:pPr>
        <w:ind w:left="851"/>
        <w:rPr>
          <w:rFonts w:eastAsia="Calibri"/>
          <w:sz w:val="22"/>
          <w:szCs w:val="22"/>
        </w:rPr>
      </w:pPr>
    </w:p>
    <w:p w:rsidR="0015631A" w:rsidRDefault="0015631A" w:rsidP="0015631A">
      <w:pPr>
        <w:ind w:left="851"/>
        <w:rPr>
          <w:rFonts w:eastAsia="Calibri"/>
          <w:sz w:val="24"/>
          <w:szCs w:val="24"/>
        </w:rPr>
      </w:pPr>
      <w:r>
        <w:rPr>
          <w:rFonts w:eastAsia="Calibri"/>
          <w:sz w:val="24"/>
          <w:szCs w:val="24"/>
        </w:rPr>
        <w:t xml:space="preserve">I samme kliniske studie blev et begrænset antal kvinder, som havde anvendt DMPA </w:t>
      </w:r>
      <w:proofErr w:type="spellStart"/>
      <w:r>
        <w:rPr>
          <w:rFonts w:eastAsia="Calibri"/>
          <w:sz w:val="24"/>
          <w:szCs w:val="24"/>
        </w:rPr>
        <w:t>i.m</w:t>
      </w:r>
      <w:proofErr w:type="spellEnd"/>
      <w:r>
        <w:rPr>
          <w:rFonts w:eastAsia="Calibri"/>
          <w:sz w:val="24"/>
          <w:szCs w:val="24"/>
        </w:rPr>
        <w:t xml:space="preserve">. i 5 år, fulgt i 2 år efter </w:t>
      </w:r>
      <w:proofErr w:type="spellStart"/>
      <w:r>
        <w:rPr>
          <w:rFonts w:eastAsia="Calibri"/>
          <w:sz w:val="24"/>
          <w:szCs w:val="24"/>
        </w:rPr>
        <w:t>seponering</w:t>
      </w:r>
      <w:proofErr w:type="spellEnd"/>
      <w:r>
        <w:rPr>
          <w:rFonts w:eastAsia="Calibri"/>
          <w:sz w:val="24"/>
          <w:szCs w:val="24"/>
        </w:rPr>
        <w:t xml:space="preserve"> af DMPA </w:t>
      </w:r>
      <w:proofErr w:type="spellStart"/>
      <w:r>
        <w:rPr>
          <w:rFonts w:eastAsia="Calibri"/>
          <w:sz w:val="24"/>
          <w:szCs w:val="24"/>
        </w:rPr>
        <w:t>i.m</w:t>
      </w:r>
      <w:proofErr w:type="spellEnd"/>
      <w:r>
        <w:rPr>
          <w:rFonts w:eastAsia="Calibri"/>
          <w:sz w:val="24"/>
          <w:szCs w:val="24"/>
        </w:rPr>
        <w:t xml:space="preserve">. Knogletætheden steg mod baselineværdier i den 2-årige periode efter behandling. 2 år efter </w:t>
      </w:r>
      <w:proofErr w:type="spellStart"/>
      <w:r>
        <w:rPr>
          <w:rFonts w:eastAsia="Calibri"/>
          <w:sz w:val="24"/>
          <w:szCs w:val="24"/>
        </w:rPr>
        <w:t>seponering</w:t>
      </w:r>
      <w:proofErr w:type="spellEnd"/>
      <w:r>
        <w:rPr>
          <w:rFonts w:eastAsia="Calibri"/>
          <w:sz w:val="24"/>
          <w:szCs w:val="24"/>
        </w:rPr>
        <w:t xml:space="preserve"> af DMPA-injektioner var den gennemsnitlige knogletæthed øget for alle 3 områder på skelettet, men der forblev en reduktion (se tabel 2 herunder).</w:t>
      </w:r>
    </w:p>
    <w:p w:rsidR="0015631A" w:rsidRDefault="0015631A" w:rsidP="0015631A">
      <w:pPr>
        <w:rPr>
          <w:sz w:val="24"/>
          <w:szCs w:val="24"/>
        </w:rPr>
      </w:pPr>
    </w:p>
    <w:p w:rsidR="0015631A" w:rsidRDefault="0015631A" w:rsidP="0015631A">
      <w:pPr>
        <w:rPr>
          <w:b/>
          <w:bCs/>
          <w:sz w:val="24"/>
          <w:szCs w:val="24"/>
          <w:highlight w:val="yellow"/>
          <w:u w:val="single"/>
        </w:rPr>
      </w:pPr>
      <w:r>
        <w:rPr>
          <w:b/>
          <w:sz w:val="24"/>
          <w:szCs w:val="24"/>
        </w:rPr>
        <w:t>Tabel 2. Gennemsnitlig procent-ændring (</w:t>
      </w:r>
      <w:r>
        <w:rPr>
          <w:b/>
          <w:bCs/>
          <w:sz w:val="24"/>
          <w:szCs w:val="24"/>
        </w:rPr>
        <w:t>med 95% konfidensintervaller)</w:t>
      </w:r>
      <w:r>
        <w:rPr>
          <w:b/>
          <w:bCs/>
          <w:sz w:val="24"/>
          <w:szCs w:val="22"/>
        </w:rPr>
        <w:t xml:space="preserve"> </w:t>
      </w:r>
      <w:r>
        <w:rPr>
          <w:b/>
          <w:sz w:val="24"/>
          <w:szCs w:val="24"/>
        </w:rPr>
        <w:t xml:space="preserve">fra baseline i knogletætheden hos voksne efter område på skelettet og kohorte efter 5 års behandling med DMPA </w:t>
      </w:r>
      <w:proofErr w:type="spellStart"/>
      <w:r>
        <w:rPr>
          <w:b/>
          <w:sz w:val="24"/>
          <w:szCs w:val="24"/>
        </w:rPr>
        <w:t>i.m</w:t>
      </w:r>
      <w:proofErr w:type="spellEnd"/>
      <w:r>
        <w:rPr>
          <w:b/>
          <w:sz w:val="24"/>
          <w:szCs w:val="24"/>
        </w:rPr>
        <w:t>. og efter en 2-års periode efter behandlingen eller 7 års observation (kontrol)</w:t>
      </w:r>
    </w:p>
    <w:p w:rsidR="0015631A" w:rsidRDefault="0015631A" w:rsidP="0015631A">
      <w:pPr>
        <w:pStyle w:val="Style1"/>
        <w:adjustRightInd/>
        <w:ind w:left="851" w:hanging="851"/>
        <w:rPr>
          <w:b/>
          <w:bCs/>
          <w:highlight w:val="yellow"/>
          <w:lang w:val="da-DK"/>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1419"/>
        <w:gridCol w:w="1249"/>
        <w:gridCol w:w="1334"/>
        <w:gridCol w:w="1308"/>
        <w:gridCol w:w="1276"/>
        <w:gridCol w:w="1217"/>
      </w:tblGrid>
      <w:tr w:rsidR="0015631A" w:rsidTr="0015631A">
        <w:tc>
          <w:tcPr>
            <w:tcW w:w="865" w:type="pct"/>
            <w:tcBorders>
              <w:top w:val="single" w:sz="4" w:space="0" w:color="auto"/>
              <w:left w:val="single" w:sz="4" w:space="0" w:color="auto"/>
              <w:bottom w:val="single" w:sz="4" w:space="0" w:color="auto"/>
              <w:right w:val="single" w:sz="4" w:space="0" w:color="auto"/>
            </w:tcBorders>
            <w:hideMark/>
          </w:tcPr>
          <w:p w:rsidR="0015631A" w:rsidRDefault="0015631A">
            <w:pPr>
              <w:pStyle w:val="Style1"/>
              <w:adjustRightInd/>
              <w:rPr>
                <w:b/>
                <w:sz w:val="22"/>
                <w:szCs w:val="22"/>
                <w:lang w:val="da-DK"/>
              </w:rPr>
            </w:pPr>
            <w:r>
              <w:rPr>
                <w:b/>
                <w:sz w:val="22"/>
                <w:szCs w:val="22"/>
                <w:lang w:val="da-DK"/>
              </w:rPr>
              <w:t xml:space="preserve">Tid i </w:t>
            </w:r>
            <w:r>
              <w:rPr>
                <w:b/>
                <w:sz w:val="22"/>
                <w:szCs w:val="22"/>
                <w:lang w:val="da-DK"/>
              </w:rPr>
              <w:br/>
              <w:t>studiet</w:t>
            </w:r>
          </w:p>
        </w:tc>
        <w:tc>
          <w:tcPr>
            <w:tcW w:w="1414" w:type="pct"/>
            <w:gridSpan w:val="2"/>
            <w:tcBorders>
              <w:top w:val="single" w:sz="4" w:space="0" w:color="auto"/>
              <w:left w:val="single" w:sz="4" w:space="0" w:color="auto"/>
              <w:bottom w:val="single" w:sz="4" w:space="0" w:color="auto"/>
              <w:right w:val="single" w:sz="2" w:space="0" w:color="auto"/>
            </w:tcBorders>
            <w:hideMark/>
          </w:tcPr>
          <w:p w:rsidR="0015631A" w:rsidRDefault="0015631A">
            <w:pPr>
              <w:pStyle w:val="Style1"/>
              <w:adjustRightInd/>
              <w:rPr>
                <w:b/>
                <w:sz w:val="22"/>
                <w:szCs w:val="22"/>
                <w:lang w:val="da-DK"/>
              </w:rPr>
            </w:pPr>
            <w:proofErr w:type="spellStart"/>
            <w:r>
              <w:rPr>
                <w:b/>
                <w:sz w:val="22"/>
                <w:szCs w:val="22"/>
                <w:lang w:val="da-DK"/>
              </w:rPr>
              <w:t>Columna</w:t>
            </w:r>
            <w:proofErr w:type="spellEnd"/>
          </w:p>
        </w:tc>
        <w:tc>
          <w:tcPr>
            <w:tcW w:w="1400" w:type="pct"/>
            <w:gridSpan w:val="2"/>
            <w:tcBorders>
              <w:top w:val="single" w:sz="4" w:space="0" w:color="auto"/>
              <w:left w:val="single" w:sz="2" w:space="0" w:color="auto"/>
              <w:bottom w:val="single" w:sz="4" w:space="0" w:color="auto"/>
              <w:right w:val="single" w:sz="2" w:space="0" w:color="auto"/>
            </w:tcBorders>
            <w:hideMark/>
          </w:tcPr>
          <w:p w:rsidR="0015631A" w:rsidRDefault="0015631A">
            <w:pPr>
              <w:pStyle w:val="Style1"/>
              <w:adjustRightInd/>
              <w:rPr>
                <w:b/>
                <w:sz w:val="22"/>
                <w:szCs w:val="22"/>
                <w:lang w:val="da-DK"/>
              </w:rPr>
            </w:pPr>
            <w:r>
              <w:rPr>
                <w:b/>
                <w:sz w:val="22"/>
                <w:szCs w:val="22"/>
                <w:lang w:val="da-DK"/>
              </w:rPr>
              <w:t>Hele hoften</w:t>
            </w:r>
          </w:p>
        </w:tc>
        <w:tc>
          <w:tcPr>
            <w:tcW w:w="1322" w:type="pct"/>
            <w:gridSpan w:val="2"/>
            <w:tcBorders>
              <w:top w:val="single" w:sz="4" w:space="0" w:color="auto"/>
              <w:left w:val="single" w:sz="2" w:space="0" w:color="auto"/>
              <w:bottom w:val="single" w:sz="4" w:space="0" w:color="auto"/>
              <w:right w:val="single" w:sz="2" w:space="0" w:color="auto"/>
            </w:tcBorders>
            <w:hideMark/>
          </w:tcPr>
          <w:p w:rsidR="0015631A" w:rsidRDefault="0015631A">
            <w:pPr>
              <w:pStyle w:val="Style1"/>
              <w:adjustRightInd/>
              <w:rPr>
                <w:b/>
                <w:sz w:val="22"/>
                <w:szCs w:val="22"/>
                <w:lang w:val="da-DK"/>
              </w:rPr>
            </w:pPr>
            <w:proofErr w:type="spellStart"/>
            <w:r>
              <w:rPr>
                <w:b/>
                <w:sz w:val="22"/>
                <w:szCs w:val="22"/>
                <w:lang w:val="da-DK"/>
              </w:rPr>
              <w:t>Collum</w:t>
            </w:r>
            <w:proofErr w:type="spellEnd"/>
            <w:r>
              <w:rPr>
                <w:b/>
                <w:sz w:val="22"/>
                <w:szCs w:val="22"/>
                <w:lang w:val="da-DK"/>
              </w:rPr>
              <w:t xml:space="preserve"> </w:t>
            </w:r>
            <w:proofErr w:type="spellStart"/>
            <w:r>
              <w:rPr>
                <w:b/>
                <w:sz w:val="22"/>
                <w:szCs w:val="22"/>
                <w:lang w:val="da-DK"/>
              </w:rPr>
              <w:t>femoris</w:t>
            </w:r>
            <w:proofErr w:type="spellEnd"/>
          </w:p>
        </w:tc>
      </w:tr>
      <w:tr w:rsidR="0015631A" w:rsidTr="0015631A">
        <w:tc>
          <w:tcPr>
            <w:tcW w:w="865" w:type="pct"/>
            <w:tcBorders>
              <w:top w:val="single" w:sz="4" w:space="0" w:color="auto"/>
              <w:left w:val="single" w:sz="4" w:space="0" w:color="auto"/>
              <w:bottom w:val="single" w:sz="4" w:space="0" w:color="auto"/>
              <w:right w:val="single" w:sz="4" w:space="0" w:color="auto"/>
            </w:tcBorders>
          </w:tcPr>
          <w:p w:rsidR="0015631A" w:rsidRDefault="0015631A">
            <w:pPr>
              <w:pStyle w:val="Style1"/>
              <w:adjustRightInd/>
              <w:rPr>
                <w:sz w:val="22"/>
                <w:szCs w:val="22"/>
                <w:lang w:val="da-DK"/>
              </w:rPr>
            </w:pPr>
          </w:p>
        </w:tc>
        <w:tc>
          <w:tcPr>
            <w:tcW w:w="752" w:type="pct"/>
            <w:tcBorders>
              <w:top w:val="single" w:sz="4" w:space="0" w:color="auto"/>
              <w:left w:val="single" w:sz="4" w:space="0" w:color="auto"/>
              <w:bottom w:val="single" w:sz="4" w:space="0" w:color="auto"/>
              <w:right w:val="single" w:sz="4" w:space="0" w:color="auto"/>
            </w:tcBorders>
            <w:hideMark/>
          </w:tcPr>
          <w:p w:rsidR="0015631A" w:rsidRDefault="0015631A">
            <w:pPr>
              <w:pStyle w:val="Style1"/>
              <w:adjustRightInd/>
              <w:rPr>
                <w:sz w:val="22"/>
                <w:szCs w:val="22"/>
                <w:lang w:val="da-DK"/>
              </w:rPr>
            </w:pPr>
            <w:r>
              <w:rPr>
                <w:sz w:val="22"/>
                <w:szCs w:val="22"/>
                <w:lang w:val="da-DK"/>
              </w:rPr>
              <w:t>DMPA</w:t>
            </w:r>
          </w:p>
        </w:tc>
        <w:tc>
          <w:tcPr>
            <w:tcW w:w="662" w:type="pct"/>
            <w:tcBorders>
              <w:top w:val="single" w:sz="2" w:space="0" w:color="auto"/>
              <w:left w:val="single" w:sz="4" w:space="0" w:color="auto"/>
              <w:bottom w:val="single" w:sz="4" w:space="0" w:color="auto"/>
              <w:right w:val="single" w:sz="4" w:space="0" w:color="auto"/>
            </w:tcBorders>
            <w:hideMark/>
          </w:tcPr>
          <w:p w:rsidR="0015631A" w:rsidRDefault="0015631A">
            <w:pPr>
              <w:pStyle w:val="Style1"/>
              <w:adjustRightInd/>
              <w:rPr>
                <w:sz w:val="22"/>
                <w:szCs w:val="22"/>
                <w:lang w:val="da-DK"/>
              </w:rPr>
            </w:pPr>
            <w:r>
              <w:rPr>
                <w:sz w:val="22"/>
                <w:szCs w:val="22"/>
                <w:lang w:val="da-DK"/>
              </w:rPr>
              <w:t>Kontrol</w:t>
            </w:r>
          </w:p>
        </w:tc>
        <w:tc>
          <w:tcPr>
            <w:tcW w:w="707" w:type="pct"/>
            <w:tcBorders>
              <w:top w:val="single" w:sz="4" w:space="0" w:color="auto"/>
              <w:left w:val="single" w:sz="4" w:space="0" w:color="auto"/>
              <w:bottom w:val="single" w:sz="4" w:space="0" w:color="auto"/>
              <w:right w:val="single" w:sz="4" w:space="0" w:color="auto"/>
            </w:tcBorders>
            <w:hideMark/>
          </w:tcPr>
          <w:p w:rsidR="0015631A" w:rsidRDefault="0015631A">
            <w:pPr>
              <w:pStyle w:val="Style1"/>
              <w:adjustRightInd/>
              <w:rPr>
                <w:sz w:val="22"/>
                <w:szCs w:val="22"/>
                <w:lang w:val="da-DK"/>
              </w:rPr>
            </w:pPr>
            <w:r>
              <w:rPr>
                <w:sz w:val="22"/>
                <w:szCs w:val="22"/>
                <w:lang w:val="da-DK"/>
              </w:rPr>
              <w:t>DMPA</w:t>
            </w:r>
          </w:p>
        </w:tc>
        <w:tc>
          <w:tcPr>
            <w:tcW w:w="693" w:type="pct"/>
            <w:tcBorders>
              <w:top w:val="single" w:sz="2" w:space="0" w:color="auto"/>
              <w:left w:val="single" w:sz="4" w:space="0" w:color="auto"/>
              <w:bottom w:val="single" w:sz="4" w:space="0" w:color="auto"/>
              <w:right w:val="single" w:sz="4" w:space="0" w:color="auto"/>
            </w:tcBorders>
            <w:hideMark/>
          </w:tcPr>
          <w:p w:rsidR="0015631A" w:rsidRDefault="0015631A">
            <w:pPr>
              <w:pStyle w:val="Style1"/>
              <w:adjustRightInd/>
              <w:rPr>
                <w:sz w:val="22"/>
                <w:szCs w:val="22"/>
                <w:lang w:val="da-DK"/>
              </w:rPr>
            </w:pPr>
            <w:r>
              <w:rPr>
                <w:sz w:val="22"/>
                <w:szCs w:val="22"/>
                <w:lang w:val="da-DK"/>
              </w:rPr>
              <w:t>Kontrol</w:t>
            </w:r>
          </w:p>
        </w:tc>
        <w:tc>
          <w:tcPr>
            <w:tcW w:w="676" w:type="pct"/>
            <w:tcBorders>
              <w:top w:val="single" w:sz="4" w:space="0" w:color="auto"/>
              <w:left w:val="single" w:sz="4" w:space="0" w:color="auto"/>
              <w:bottom w:val="single" w:sz="4" w:space="0" w:color="auto"/>
              <w:right w:val="single" w:sz="4" w:space="0" w:color="auto"/>
            </w:tcBorders>
            <w:hideMark/>
          </w:tcPr>
          <w:p w:rsidR="0015631A" w:rsidRDefault="0015631A">
            <w:pPr>
              <w:pStyle w:val="Style1"/>
              <w:adjustRightInd/>
              <w:rPr>
                <w:sz w:val="22"/>
                <w:szCs w:val="22"/>
                <w:lang w:val="da-DK"/>
              </w:rPr>
            </w:pPr>
            <w:r>
              <w:rPr>
                <w:sz w:val="22"/>
                <w:szCs w:val="22"/>
                <w:lang w:val="da-DK"/>
              </w:rPr>
              <w:t>DMPA</w:t>
            </w:r>
          </w:p>
        </w:tc>
        <w:tc>
          <w:tcPr>
            <w:tcW w:w="646" w:type="pct"/>
            <w:tcBorders>
              <w:top w:val="single" w:sz="2" w:space="0" w:color="auto"/>
              <w:left w:val="single" w:sz="4" w:space="0" w:color="auto"/>
              <w:bottom w:val="single" w:sz="4" w:space="0" w:color="auto"/>
              <w:right w:val="single" w:sz="4" w:space="0" w:color="auto"/>
            </w:tcBorders>
            <w:hideMark/>
          </w:tcPr>
          <w:p w:rsidR="0015631A" w:rsidRDefault="0015631A">
            <w:pPr>
              <w:pStyle w:val="Style1"/>
              <w:adjustRightInd/>
              <w:rPr>
                <w:sz w:val="22"/>
                <w:szCs w:val="22"/>
                <w:lang w:val="da-DK"/>
              </w:rPr>
            </w:pPr>
            <w:r>
              <w:rPr>
                <w:sz w:val="22"/>
                <w:szCs w:val="22"/>
                <w:lang w:val="da-DK"/>
              </w:rPr>
              <w:t>Kontrol</w:t>
            </w:r>
          </w:p>
        </w:tc>
      </w:tr>
      <w:tr w:rsidR="0015631A" w:rsidTr="0015631A">
        <w:trPr>
          <w:trHeight w:val="485"/>
        </w:trPr>
        <w:tc>
          <w:tcPr>
            <w:tcW w:w="865" w:type="pct"/>
            <w:tcBorders>
              <w:top w:val="single" w:sz="4" w:space="0" w:color="auto"/>
              <w:left w:val="single" w:sz="4" w:space="0" w:color="auto"/>
              <w:bottom w:val="single" w:sz="4" w:space="0" w:color="auto"/>
              <w:right w:val="single" w:sz="4" w:space="0" w:color="auto"/>
            </w:tcBorders>
            <w:hideMark/>
          </w:tcPr>
          <w:p w:rsidR="0015631A" w:rsidRDefault="0015631A">
            <w:pPr>
              <w:pStyle w:val="Style1"/>
              <w:jc w:val="center"/>
              <w:rPr>
                <w:b/>
                <w:sz w:val="22"/>
                <w:szCs w:val="22"/>
                <w:lang w:val="da-DK"/>
              </w:rPr>
            </w:pPr>
            <w:r>
              <w:rPr>
                <w:b/>
                <w:sz w:val="22"/>
                <w:szCs w:val="22"/>
                <w:lang w:val="da-DK"/>
              </w:rPr>
              <w:t>5 år*</w:t>
            </w:r>
          </w:p>
          <w:p w:rsidR="0015631A" w:rsidRDefault="0015631A">
            <w:pPr>
              <w:pStyle w:val="Style1"/>
              <w:jc w:val="center"/>
              <w:rPr>
                <w:bCs/>
                <w:lang w:val="da-DK"/>
              </w:rPr>
            </w:pPr>
            <w:r>
              <w:rPr>
                <w:bCs/>
                <w:lang w:val="da-DK"/>
              </w:rPr>
              <w:t>n</w:t>
            </w:r>
          </w:p>
          <w:p w:rsidR="0015631A" w:rsidRDefault="0015631A">
            <w:pPr>
              <w:pStyle w:val="Style1"/>
              <w:rPr>
                <w:bCs/>
                <w:lang w:val="da-DK"/>
              </w:rPr>
            </w:pPr>
            <w:r>
              <w:rPr>
                <w:bCs/>
                <w:lang w:val="da-DK"/>
              </w:rPr>
              <w:t>Gennemsnitlig</w:t>
            </w:r>
          </w:p>
          <w:p w:rsidR="0015631A" w:rsidRDefault="0015631A">
            <w:pPr>
              <w:pStyle w:val="Style1"/>
              <w:jc w:val="center"/>
              <w:rPr>
                <w:bCs/>
                <w:lang w:val="da-DK"/>
              </w:rPr>
            </w:pPr>
            <w:r>
              <w:rPr>
                <w:bCs/>
                <w:lang w:val="da-DK"/>
              </w:rPr>
              <w:t>(SD)</w:t>
            </w:r>
          </w:p>
          <w:p w:rsidR="0015631A" w:rsidRDefault="0015631A">
            <w:pPr>
              <w:pStyle w:val="Style1"/>
              <w:jc w:val="center"/>
              <w:rPr>
                <w:b/>
                <w:sz w:val="22"/>
                <w:szCs w:val="22"/>
                <w:lang w:val="da-DK"/>
              </w:rPr>
            </w:pPr>
            <w:r>
              <w:rPr>
                <w:bCs/>
                <w:lang w:val="da-DK"/>
              </w:rPr>
              <w:t>95% CI</w:t>
            </w:r>
          </w:p>
        </w:tc>
        <w:tc>
          <w:tcPr>
            <w:tcW w:w="752" w:type="pct"/>
            <w:tcBorders>
              <w:top w:val="single" w:sz="4" w:space="0" w:color="auto"/>
              <w:left w:val="single" w:sz="4" w:space="0" w:color="auto"/>
              <w:bottom w:val="single" w:sz="4" w:space="0" w:color="auto"/>
              <w:right w:val="single" w:sz="4" w:space="0" w:color="auto"/>
            </w:tcBorders>
          </w:tcPr>
          <w:p w:rsidR="0015631A" w:rsidRDefault="0015631A">
            <w:pPr>
              <w:pStyle w:val="Style1"/>
              <w:adjustRightInd/>
              <w:jc w:val="center"/>
              <w:rPr>
                <w:sz w:val="22"/>
                <w:szCs w:val="22"/>
                <w:lang w:val="da-DK"/>
              </w:rPr>
            </w:pPr>
          </w:p>
          <w:p w:rsidR="0015631A" w:rsidRDefault="0015631A">
            <w:pPr>
              <w:pStyle w:val="Style1"/>
              <w:jc w:val="center"/>
              <w:rPr>
                <w:sz w:val="22"/>
                <w:szCs w:val="22"/>
                <w:lang w:val="da-DK"/>
              </w:rPr>
            </w:pPr>
            <w:r>
              <w:rPr>
                <w:sz w:val="22"/>
                <w:szCs w:val="22"/>
                <w:lang w:val="da-DK"/>
              </w:rPr>
              <w:t>33</w:t>
            </w:r>
          </w:p>
          <w:p w:rsidR="0015631A" w:rsidRDefault="0015631A">
            <w:pPr>
              <w:pStyle w:val="Style1"/>
              <w:jc w:val="center"/>
              <w:rPr>
                <w:sz w:val="22"/>
                <w:szCs w:val="22"/>
                <w:lang w:val="da-DK"/>
              </w:rPr>
            </w:pPr>
            <w:r>
              <w:rPr>
                <w:sz w:val="22"/>
                <w:szCs w:val="22"/>
                <w:lang w:val="da-DK"/>
              </w:rPr>
              <w:t>-5,4 %</w:t>
            </w:r>
          </w:p>
          <w:p w:rsidR="0015631A" w:rsidRDefault="0015631A">
            <w:pPr>
              <w:pStyle w:val="Style1"/>
              <w:jc w:val="center"/>
            </w:pPr>
            <w:r>
              <w:t>(3,57)</w:t>
            </w:r>
          </w:p>
          <w:p w:rsidR="0015631A" w:rsidRDefault="0015631A">
            <w:pPr>
              <w:pStyle w:val="Style1"/>
              <w:jc w:val="center"/>
              <w:rPr>
                <w:sz w:val="22"/>
                <w:szCs w:val="22"/>
                <w:lang w:val="da-DK"/>
              </w:rPr>
            </w:pPr>
            <w:r>
              <w:t>-6,65; -4,11</w:t>
            </w:r>
          </w:p>
        </w:tc>
        <w:tc>
          <w:tcPr>
            <w:tcW w:w="662" w:type="pct"/>
            <w:tcBorders>
              <w:top w:val="single" w:sz="4" w:space="0" w:color="auto"/>
              <w:left w:val="single" w:sz="4" w:space="0" w:color="auto"/>
              <w:bottom w:val="single" w:sz="4" w:space="0" w:color="auto"/>
              <w:right w:val="single" w:sz="4" w:space="0" w:color="auto"/>
            </w:tcBorders>
          </w:tcPr>
          <w:p w:rsidR="0015631A" w:rsidRDefault="0015631A">
            <w:pPr>
              <w:pStyle w:val="Style1"/>
              <w:adjustRightInd/>
              <w:jc w:val="center"/>
              <w:rPr>
                <w:sz w:val="22"/>
                <w:szCs w:val="22"/>
                <w:lang w:val="da-DK"/>
              </w:rPr>
            </w:pPr>
          </w:p>
          <w:p w:rsidR="0015631A" w:rsidRDefault="0015631A">
            <w:pPr>
              <w:pStyle w:val="Style1"/>
              <w:jc w:val="center"/>
              <w:rPr>
                <w:sz w:val="22"/>
                <w:szCs w:val="22"/>
                <w:lang w:val="da-DK"/>
              </w:rPr>
            </w:pPr>
            <w:r>
              <w:rPr>
                <w:sz w:val="22"/>
                <w:szCs w:val="22"/>
                <w:lang w:val="da-DK"/>
              </w:rPr>
              <w:t>105</w:t>
            </w:r>
          </w:p>
          <w:p w:rsidR="0015631A" w:rsidRDefault="0015631A">
            <w:pPr>
              <w:pStyle w:val="Style1"/>
              <w:jc w:val="center"/>
              <w:rPr>
                <w:sz w:val="22"/>
                <w:szCs w:val="22"/>
                <w:lang w:val="da-DK"/>
              </w:rPr>
            </w:pPr>
            <w:r>
              <w:rPr>
                <w:sz w:val="22"/>
                <w:szCs w:val="22"/>
                <w:lang w:val="da-DK"/>
              </w:rPr>
              <w:t>0,4 %</w:t>
            </w:r>
          </w:p>
          <w:p w:rsidR="0015631A" w:rsidRDefault="0015631A">
            <w:pPr>
              <w:pStyle w:val="Style1"/>
              <w:jc w:val="center"/>
              <w:rPr>
                <w:sz w:val="22"/>
                <w:szCs w:val="22"/>
              </w:rPr>
            </w:pPr>
            <w:r>
              <w:rPr>
                <w:sz w:val="22"/>
                <w:szCs w:val="22"/>
              </w:rPr>
              <w:t>(3,27)</w:t>
            </w:r>
          </w:p>
          <w:p w:rsidR="0015631A" w:rsidRDefault="0015631A">
            <w:pPr>
              <w:pStyle w:val="Style1"/>
              <w:jc w:val="center"/>
              <w:rPr>
                <w:sz w:val="22"/>
                <w:szCs w:val="22"/>
                <w:lang w:val="da-DK"/>
              </w:rPr>
            </w:pPr>
            <w:r>
              <w:rPr>
                <w:sz w:val="22"/>
                <w:szCs w:val="22"/>
                <w:lang w:val="en-GB" w:eastAsia="en-GB"/>
              </w:rPr>
              <w:t>-0,20; 1,06</w:t>
            </w:r>
          </w:p>
        </w:tc>
        <w:tc>
          <w:tcPr>
            <w:tcW w:w="707" w:type="pct"/>
            <w:tcBorders>
              <w:top w:val="single" w:sz="4" w:space="0" w:color="auto"/>
              <w:left w:val="single" w:sz="4" w:space="0" w:color="auto"/>
              <w:bottom w:val="single" w:sz="4" w:space="0" w:color="auto"/>
              <w:right w:val="single" w:sz="4" w:space="0" w:color="auto"/>
            </w:tcBorders>
          </w:tcPr>
          <w:p w:rsidR="0015631A" w:rsidRDefault="0015631A">
            <w:pPr>
              <w:pStyle w:val="Style1"/>
              <w:adjustRightInd/>
              <w:jc w:val="center"/>
              <w:rPr>
                <w:sz w:val="22"/>
                <w:szCs w:val="22"/>
                <w:lang w:val="da-DK"/>
              </w:rPr>
            </w:pPr>
          </w:p>
          <w:p w:rsidR="0015631A" w:rsidRDefault="0015631A">
            <w:pPr>
              <w:pStyle w:val="Style1"/>
              <w:jc w:val="center"/>
              <w:rPr>
                <w:sz w:val="22"/>
                <w:szCs w:val="22"/>
                <w:lang w:val="da-DK"/>
              </w:rPr>
            </w:pPr>
            <w:r>
              <w:rPr>
                <w:sz w:val="22"/>
                <w:szCs w:val="22"/>
                <w:lang w:val="da-DK"/>
              </w:rPr>
              <w:t>21</w:t>
            </w:r>
          </w:p>
          <w:p w:rsidR="0015631A" w:rsidRDefault="0015631A">
            <w:pPr>
              <w:pStyle w:val="Style1"/>
              <w:jc w:val="center"/>
              <w:rPr>
                <w:sz w:val="22"/>
                <w:szCs w:val="22"/>
                <w:lang w:val="da-DK"/>
              </w:rPr>
            </w:pPr>
            <w:r>
              <w:rPr>
                <w:sz w:val="22"/>
                <w:szCs w:val="22"/>
                <w:lang w:val="da-DK"/>
              </w:rPr>
              <w:t>-5,2 %</w:t>
            </w:r>
          </w:p>
          <w:p w:rsidR="0015631A" w:rsidRDefault="0015631A">
            <w:pPr>
              <w:pStyle w:val="Style1"/>
              <w:jc w:val="center"/>
              <w:rPr>
                <w:sz w:val="22"/>
                <w:szCs w:val="22"/>
              </w:rPr>
            </w:pPr>
            <w:r>
              <w:rPr>
                <w:sz w:val="22"/>
                <w:szCs w:val="22"/>
              </w:rPr>
              <w:t>(3,60)</w:t>
            </w:r>
          </w:p>
          <w:p w:rsidR="0015631A" w:rsidRDefault="0015631A">
            <w:pPr>
              <w:pStyle w:val="Style1"/>
              <w:jc w:val="center"/>
              <w:rPr>
                <w:sz w:val="22"/>
                <w:szCs w:val="22"/>
                <w:lang w:val="da-DK"/>
              </w:rPr>
            </w:pPr>
            <w:r>
              <w:rPr>
                <w:sz w:val="22"/>
                <w:szCs w:val="22"/>
                <w:lang w:val="en-GB" w:eastAsia="en-GB"/>
              </w:rPr>
              <w:t>-6,80; -3,52</w:t>
            </w:r>
          </w:p>
        </w:tc>
        <w:tc>
          <w:tcPr>
            <w:tcW w:w="693" w:type="pct"/>
            <w:tcBorders>
              <w:top w:val="single" w:sz="4" w:space="0" w:color="auto"/>
              <w:left w:val="single" w:sz="4" w:space="0" w:color="auto"/>
              <w:bottom w:val="single" w:sz="4" w:space="0" w:color="auto"/>
              <w:right w:val="single" w:sz="4" w:space="0" w:color="auto"/>
            </w:tcBorders>
          </w:tcPr>
          <w:p w:rsidR="0015631A" w:rsidRDefault="0015631A">
            <w:pPr>
              <w:pStyle w:val="Style1"/>
              <w:adjustRightInd/>
              <w:jc w:val="center"/>
              <w:rPr>
                <w:sz w:val="22"/>
                <w:szCs w:val="22"/>
                <w:lang w:val="da-DK"/>
              </w:rPr>
            </w:pPr>
          </w:p>
          <w:p w:rsidR="0015631A" w:rsidRDefault="0015631A">
            <w:pPr>
              <w:pStyle w:val="Style1"/>
              <w:jc w:val="center"/>
              <w:rPr>
                <w:sz w:val="22"/>
                <w:szCs w:val="22"/>
                <w:lang w:val="da-DK"/>
              </w:rPr>
            </w:pPr>
            <w:r>
              <w:rPr>
                <w:sz w:val="22"/>
                <w:szCs w:val="22"/>
                <w:lang w:val="da-DK"/>
              </w:rPr>
              <w:t>65</w:t>
            </w:r>
          </w:p>
          <w:p w:rsidR="0015631A" w:rsidRDefault="0015631A">
            <w:pPr>
              <w:pStyle w:val="Style1"/>
              <w:jc w:val="center"/>
              <w:rPr>
                <w:sz w:val="22"/>
                <w:szCs w:val="22"/>
                <w:lang w:val="da-DK"/>
              </w:rPr>
            </w:pPr>
            <w:r>
              <w:rPr>
                <w:sz w:val="22"/>
                <w:szCs w:val="22"/>
                <w:lang w:val="da-DK"/>
              </w:rPr>
              <w:t>0,2 %</w:t>
            </w:r>
          </w:p>
          <w:p w:rsidR="0015631A" w:rsidRDefault="0015631A">
            <w:pPr>
              <w:pStyle w:val="Style1"/>
              <w:jc w:val="center"/>
              <w:rPr>
                <w:sz w:val="22"/>
                <w:szCs w:val="22"/>
              </w:rPr>
            </w:pPr>
            <w:r>
              <w:rPr>
                <w:sz w:val="22"/>
                <w:szCs w:val="22"/>
              </w:rPr>
              <w:t>(3.18)</w:t>
            </w:r>
          </w:p>
          <w:p w:rsidR="0015631A" w:rsidRDefault="0015631A">
            <w:pPr>
              <w:pStyle w:val="Style1"/>
              <w:jc w:val="center"/>
              <w:rPr>
                <w:sz w:val="22"/>
                <w:szCs w:val="22"/>
                <w:lang w:val="da-DK"/>
              </w:rPr>
            </w:pPr>
            <w:r>
              <w:rPr>
                <w:sz w:val="22"/>
                <w:szCs w:val="22"/>
                <w:lang w:val="en-GB" w:eastAsia="en-GB"/>
              </w:rPr>
              <w:t>-0.60; 0.98</w:t>
            </w:r>
          </w:p>
        </w:tc>
        <w:tc>
          <w:tcPr>
            <w:tcW w:w="676" w:type="pct"/>
            <w:tcBorders>
              <w:top w:val="single" w:sz="4" w:space="0" w:color="auto"/>
              <w:left w:val="single" w:sz="4" w:space="0" w:color="auto"/>
              <w:bottom w:val="single" w:sz="4" w:space="0" w:color="auto"/>
              <w:right w:val="single" w:sz="4" w:space="0" w:color="auto"/>
            </w:tcBorders>
          </w:tcPr>
          <w:p w:rsidR="0015631A" w:rsidRDefault="0015631A">
            <w:pPr>
              <w:pStyle w:val="Style1"/>
              <w:adjustRightInd/>
              <w:jc w:val="center"/>
              <w:rPr>
                <w:sz w:val="22"/>
                <w:szCs w:val="22"/>
                <w:lang w:val="da-DK"/>
              </w:rPr>
            </w:pPr>
          </w:p>
          <w:p w:rsidR="0015631A" w:rsidRDefault="0015631A">
            <w:pPr>
              <w:pStyle w:val="Style1"/>
              <w:jc w:val="center"/>
              <w:rPr>
                <w:sz w:val="22"/>
                <w:szCs w:val="22"/>
                <w:lang w:val="da-DK"/>
              </w:rPr>
            </w:pPr>
            <w:r>
              <w:rPr>
                <w:sz w:val="22"/>
                <w:szCs w:val="22"/>
                <w:lang w:val="da-DK"/>
              </w:rPr>
              <w:t>34</w:t>
            </w:r>
          </w:p>
          <w:p w:rsidR="0015631A" w:rsidRDefault="0015631A">
            <w:pPr>
              <w:pStyle w:val="Style1"/>
              <w:jc w:val="center"/>
              <w:rPr>
                <w:sz w:val="22"/>
                <w:szCs w:val="22"/>
                <w:lang w:val="da-DK"/>
              </w:rPr>
            </w:pPr>
            <w:r>
              <w:rPr>
                <w:sz w:val="22"/>
                <w:szCs w:val="22"/>
                <w:lang w:val="da-DK"/>
              </w:rPr>
              <w:t>-6,1 %</w:t>
            </w:r>
          </w:p>
          <w:p w:rsidR="0015631A" w:rsidRDefault="0015631A">
            <w:pPr>
              <w:pStyle w:val="Style1"/>
              <w:jc w:val="center"/>
              <w:rPr>
                <w:sz w:val="22"/>
                <w:szCs w:val="22"/>
              </w:rPr>
            </w:pPr>
            <w:r>
              <w:rPr>
                <w:sz w:val="22"/>
                <w:szCs w:val="22"/>
              </w:rPr>
              <w:t>(4,68)</w:t>
            </w:r>
          </w:p>
          <w:p w:rsidR="0015631A" w:rsidRDefault="0015631A">
            <w:pPr>
              <w:pStyle w:val="Style1"/>
              <w:jc w:val="center"/>
              <w:rPr>
                <w:sz w:val="22"/>
                <w:szCs w:val="22"/>
                <w:lang w:val="da-DK"/>
              </w:rPr>
            </w:pPr>
            <w:r>
              <w:rPr>
                <w:sz w:val="22"/>
                <w:szCs w:val="22"/>
                <w:lang w:val="en-GB" w:eastAsia="en-GB"/>
              </w:rPr>
              <w:t>-7,75; -4,49</w:t>
            </w:r>
          </w:p>
        </w:tc>
        <w:tc>
          <w:tcPr>
            <w:tcW w:w="646" w:type="pct"/>
            <w:tcBorders>
              <w:top w:val="single" w:sz="4" w:space="0" w:color="auto"/>
              <w:left w:val="single" w:sz="4" w:space="0" w:color="auto"/>
              <w:bottom w:val="single" w:sz="4" w:space="0" w:color="auto"/>
              <w:right w:val="single" w:sz="4" w:space="0" w:color="auto"/>
            </w:tcBorders>
          </w:tcPr>
          <w:p w:rsidR="0015631A" w:rsidRDefault="0015631A">
            <w:pPr>
              <w:pStyle w:val="Style1"/>
              <w:adjustRightInd/>
              <w:jc w:val="center"/>
              <w:rPr>
                <w:sz w:val="22"/>
                <w:szCs w:val="22"/>
                <w:lang w:val="da-DK"/>
              </w:rPr>
            </w:pPr>
          </w:p>
          <w:p w:rsidR="0015631A" w:rsidRDefault="0015631A">
            <w:pPr>
              <w:pStyle w:val="Style1"/>
              <w:jc w:val="center"/>
              <w:rPr>
                <w:sz w:val="22"/>
                <w:szCs w:val="22"/>
                <w:lang w:val="da-DK"/>
              </w:rPr>
            </w:pPr>
            <w:r>
              <w:rPr>
                <w:sz w:val="22"/>
                <w:szCs w:val="22"/>
                <w:lang w:val="da-DK"/>
              </w:rPr>
              <w:t>106</w:t>
            </w:r>
          </w:p>
          <w:p w:rsidR="0015631A" w:rsidRDefault="0015631A">
            <w:pPr>
              <w:pStyle w:val="Style1"/>
              <w:jc w:val="center"/>
              <w:rPr>
                <w:sz w:val="22"/>
                <w:szCs w:val="22"/>
                <w:lang w:val="da-DK"/>
              </w:rPr>
            </w:pPr>
            <w:r>
              <w:rPr>
                <w:sz w:val="22"/>
                <w:szCs w:val="22"/>
                <w:lang w:val="da-DK"/>
              </w:rPr>
              <w:t>-0,3 %</w:t>
            </w:r>
          </w:p>
          <w:p w:rsidR="0015631A" w:rsidRDefault="0015631A">
            <w:pPr>
              <w:pStyle w:val="Style1"/>
              <w:jc w:val="center"/>
              <w:rPr>
                <w:sz w:val="22"/>
                <w:szCs w:val="22"/>
              </w:rPr>
            </w:pPr>
            <w:r>
              <w:rPr>
                <w:sz w:val="22"/>
                <w:szCs w:val="22"/>
              </w:rPr>
              <w:t>(5,22)</w:t>
            </w:r>
          </w:p>
          <w:p w:rsidR="0015631A" w:rsidRDefault="0015631A">
            <w:pPr>
              <w:pStyle w:val="Style1"/>
              <w:jc w:val="center"/>
              <w:rPr>
                <w:sz w:val="22"/>
                <w:szCs w:val="22"/>
                <w:lang w:val="da-DK"/>
              </w:rPr>
            </w:pPr>
            <w:r>
              <w:rPr>
                <w:sz w:val="22"/>
                <w:szCs w:val="22"/>
                <w:lang w:val="en-GB" w:eastAsia="en-GB"/>
              </w:rPr>
              <w:t>-1,27; 0,73</w:t>
            </w:r>
          </w:p>
        </w:tc>
      </w:tr>
      <w:tr w:rsidR="0015631A" w:rsidTr="0015631A">
        <w:trPr>
          <w:trHeight w:val="485"/>
        </w:trPr>
        <w:tc>
          <w:tcPr>
            <w:tcW w:w="865" w:type="pct"/>
            <w:tcBorders>
              <w:top w:val="single" w:sz="4" w:space="0" w:color="auto"/>
              <w:left w:val="single" w:sz="4" w:space="0" w:color="auto"/>
              <w:bottom w:val="single" w:sz="4" w:space="0" w:color="auto"/>
              <w:right w:val="single" w:sz="4" w:space="0" w:color="auto"/>
            </w:tcBorders>
            <w:hideMark/>
          </w:tcPr>
          <w:p w:rsidR="0015631A" w:rsidRDefault="0015631A">
            <w:pPr>
              <w:pStyle w:val="Style1"/>
              <w:jc w:val="center"/>
              <w:rPr>
                <w:b/>
                <w:sz w:val="22"/>
                <w:szCs w:val="22"/>
                <w:lang w:val="da-DK"/>
              </w:rPr>
            </w:pPr>
            <w:r>
              <w:rPr>
                <w:b/>
                <w:sz w:val="22"/>
                <w:szCs w:val="22"/>
                <w:lang w:val="da-DK"/>
              </w:rPr>
              <w:lastRenderedPageBreak/>
              <w:t>7 år**</w:t>
            </w:r>
          </w:p>
          <w:p w:rsidR="0015631A" w:rsidRDefault="0015631A">
            <w:pPr>
              <w:pStyle w:val="Style1"/>
              <w:jc w:val="center"/>
              <w:rPr>
                <w:bCs/>
                <w:lang w:val="da-DK"/>
              </w:rPr>
            </w:pPr>
            <w:r>
              <w:rPr>
                <w:bCs/>
                <w:lang w:val="da-DK"/>
              </w:rPr>
              <w:t>n</w:t>
            </w:r>
          </w:p>
          <w:p w:rsidR="0015631A" w:rsidRDefault="0015631A">
            <w:pPr>
              <w:pStyle w:val="Style1"/>
              <w:rPr>
                <w:bCs/>
                <w:lang w:val="da-DK"/>
              </w:rPr>
            </w:pPr>
            <w:r>
              <w:rPr>
                <w:bCs/>
                <w:lang w:val="da-DK"/>
              </w:rPr>
              <w:t>Gennemsnitlig</w:t>
            </w:r>
          </w:p>
          <w:p w:rsidR="0015631A" w:rsidRDefault="0015631A">
            <w:pPr>
              <w:pStyle w:val="Style1"/>
              <w:jc w:val="center"/>
              <w:rPr>
                <w:bCs/>
                <w:lang w:val="da-DK"/>
              </w:rPr>
            </w:pPr>
            <w:r>
              <w:rPr>
                <w:bCs/>
                <w:lang w:val="da-DK"/>
              </w:rPr>
              <w:t xml:space="preserve"> (SD)</w:t>
            </w:r>
          </w:p>
          <w:p w:rsidR="0015631A" w:rsidRDefault="0015631A">
            <w:pPr>
              <w:pStyle w:val="Style1"/>
              <w:jc w:val="center"/>
              <w:rPr>
                <w:b/>
                <w:sz w:val="22"/>
                <w:szCs w:val="22"/>
                <w:lang w:val="da-DK"/>
              </w:rPr>
            </w:pPr>
            <w:r>
              <w:rPr>
                <w:bCs/>
                <w:lang w:val="da-DK"/>
              </w:rPr>
              <w:t>95% CI</w:t>
            </w:r>
          </w:p>
        </w:tc>
        <w:tc>
          <w:tcPr>
            <w:tcW w:w="752" w:type="pct"/>
            <w:tcBorders>
              <w:top w:val="single" w:sz="4" w:space="0" w:color="auto"/>
              <w:left w:val="single" w:sz="4" w:space="0" w:color="auto"/>
              <w:bottom w:val="single" w:sz="4" w:space="0" w:color="auto"/>
              <w:right w:val="single" w:sz="4" w:space="0" w:color="auto"/>
            </w:tcBorders>
          </w:tcPr>
          <w:p w:rsidR="0015631A" w:rsidRDefault="0015631A">
            <w:pPr>
              <w:pStyle w:val="Style1"/>
              <w:adjustRightInd/>
              <w:jc w:val="center"/>
              <w:rPr>
                <w:sz w:val="22"/>
                <w:szCs w:val="22"/>
                <w:lang w:val="da-DK"/>
              </w:rPr>
            </w:pPr>
          </w:p>
          <w:p w:rsidR="0015631A" w:rsidRDefault="0015631A">
            <w:pPr>
              <w:pStyle w:val="Style1"/>
              <w:jc w:val="center"/>
              <w:rPr>
                <w:sz w:val="22"/>
                <w:szCs w:val="22"/>
                <w:lang w:val="da-DK"/>
              </w:rPr>
            </w:pPr>
            <w:r>
              <w:rPr>
                <w:sz w:val="22"/>
                <w:szCs w:val="22"/>
                <w:lang w:val="da-DK"/>
              </w:rPr>
              <w:t>12</w:t>
            </w:r>
          </w:p>
          <w:p w:rsidR="0015631A" w:rsidRDefault="0015631A">
            <w:pPr>
              <w:pStyle w:val="Style1"/>
              <w:jc w:val="center"/>
              <w:rPr>
                <w:sz w:val="22"/>
                <w:szCs w:val="22"/>
                <w:lang w:val="da-DK"/>
              </w:rPr>
            </w:pPr>
            <w:r>
              <w:rPr>
                <w:sz w:val="22"/>
                <w:szCs w:val="22"/>
                <w:lang w:val="da-DK"/>
              </w:rPr>
              <w:t>-3,1 %</w:t>
            </w:r>
          </w:p>
          <w:p w:rsidR="0015631A" w:rsidRDefault="0015631A">
            <w:pPr>
              <w:pStyle w:val="Style1"/>
              <w:jc w:val="center"/>
              <w:rPr>
                <w:sz w:val="22"/>
                <w:szCs w:val="22"/>
              </w:rPr>
            </w:pPr>
            <w:r>
              <w:rPr>
                <w:sz w:val="22"/>
                <w:szCs w:val="22"/>
              </w:rPr>
              <w:t>(3,15)</w:t>
            </w:r>
          </w:p>
          <w:p w:rsidR="0015631A" w:rsidRDefault="0015631A">
            <w:pPr>
              <w:pStyle w:val="Style1"/>
              <w:jc w:val="center"/>
            </w:pPr>
            <w:r>
              <w:rPr>
                <w:sz w:val="22"/>
                <w:szCs w:val="22"/>
                <w:lang w:val="en-GB" w:eastAsia="en-GB"/>
              </w:rPr>
              <w:t>-5,13; -1,13</w:t>
            </w:r>
          </w:p>
        </w:tc>
        <w:tc>
          <w:tcPr>
            <w:tcW w:w="662" w:type="pct"/>
            <w:tcBorders>
              <w:top w:val="single" w:sz="4" w:space="0" w:color="auto"/>
              <w:left w:val="single" w:sz="4" w:space="0" w:color="auto"/>
              <w:bottom w:val="single" w:sz="4" w:space="0" w:color="auto"/>
              <w:right w:val="single" w:sz="4" w:space="0" w:color="auto"/>
            </w:tcBorders>
          </w:tcPr>
          <w:p w:rsidR="0015631A" w:rsidRDefault="0015631A">
            <w:pPr>
              <w:pStyle w:val="Style1"/>
              <w:adjustRightInd/>
              <w:jc w:val="center"/>
              <w:rPr>
                <w:sz w:val="22"/>
                <w:szCs w:val="22"/>
                <w:lang w:val="da-DK"/>
              </w:rPr>
            </w:pPr>
          </w:p>
          <w:p w:rsidR="0015631A" w:rsidRDefault="0015631A">
            <w:pPr>
              <w:pStyle w:val="Style1"/>
              <w:jc w:val="center"/>
              <w:rPr>
                <w:sz w:val="22"/>
                <w:szCs w:val="22"/>
                <w:lang w:val="da-DK"/>
              </w:rPr>
            </w:pPr>
            <w:r>
              <w:rPr>
                <w:sz w:val="22"/>
                <w:szCs w:val="22"/>
                <w:lang w:val="da-DK"/>
              </w:rPr>
              <w:t xml:space="preserve"> 60</w:t>
            </w:r>
          </w:p>
          <w:p w:rsidR="0015631A" w:rsidRDefault="0015631A">
            <w:pPr>
              <w:pStyle w:val="Style1"/>
              <w:jc w:val="center"/>
              <w:rPr>
                <w:sz w:val="22"/>
                <w:szCs w:val="22"/>
                <w:lang w:val="da-DK"/>
              </w:rPr>
            </w:pPr>
            <w:r>
              <w:rPr>
                <w:sz w:val="22"/>
                <w:szCs w:val="22"/>
                <w:lang w:val="da-DK"/>
              </w:rPr>
              <w:t>0,5 %</w:t>
            </w:r>
          </w:p>
          <w:p w:rsidR="0015631A" w:rsidRDefault="0015631A">
            <w:pPr>
              <w:pStyle w:val="Style1"/>
              <w:jc w:val="center"/>
              <w:rPr>
                <w:sz w:val="22"/>
                <w:szCs w:val="22"/>
              </w:rPr>
            </w:pPr>
            <w:r>
              <w:rPr>
                <w:sz w:val="22"/>
                <w:szCs w:val="22"/>
              </w:rPr>
              <w:t>(3,65)</w:t>
            </w:r>
          </w:p>
          <w:p w:rsidR="0015631A" w:rsidRDefault="0015631A">
            <w:pPr>
              <w:pStyle w:val="Style1"/>
              <w:jc w:val="center"/>
              <w:rPr>
                <w:sz w:val="22"/>
                <w:szCs w:val="22"/>
                <w:lang w:val="da-DK"/>
              </w:rPr>
            </w:pPr>
            <w:r>
              <w:rPr>
                <w:sz w:val="22"/>
                <w:szCs w:val="22"/>
                <w:lang w:val="en-GB" w:eastAsia="en-GB"/>
              </w:rPr>
              <w:t>-0,39; 1,49</w:t>
            </w:r>
          </w:p>
        </w:tc>
        <w:tc>
          <w:tcPr>
            <w:tcW w:w="707" w:type="pct"/>
            <w:tcBorders>
              <w:top w:val="single" w:sz="4" w:space="0" w:color="auto"/>
              <w:left w:val="single" w:sz="4" w:space="0" w:color="auto"/>
              <w:bottom w:val="single" w:sz="4" w:space="0" w:color="auto"/>
              <w:right w:val="single" w:sz="4" w:space="0" w:color="auto"/>
            </w:tcBorders>
          </w:tcPr>
          <w:p w:rsidR="0015631A" w:rsidRDefault="0015631A">
            <w:pPr>
              <w:pStyle w:val="Style1"/>
              <w:adjustRightInd/>
              <w:jc w:val="center"/>
              <w:rPr>
                <w:sz w:val="22"/>
                <w:szCs w:val="22"/>
                <w:lang w:val="da-DK"/>
              </w:rPr>
            </w:pPr>
          </w:p>
          <w:p w:rsidR="0015631A" w:rsidRDefault="0015631A">
            <w:pPr>
              <w:pStyle w:val="Style1"/>
              <w:jc w:val="center"/>
              <w:rPr>
                <w:sz w:val="22"/>
                <w:szCs w:val="22"/>
                <w:lang w:val="da-DK"/>
              </w:rPr>
            </w:pPr>
            <w:r>
              <w:rPr>
                <w:sz w:val="22"/>
                <w:szCs w:val="22"/>
                <w:lang w:val="da-DK"/>
              </w:rPr>
              <w:t>7</w:t>
            </w:r>
          </w:p>
          <w:p w:rsidR="0015631A" w:rsidRDefault="0015631A">
            <w:pPr>
              <w:pStyle w:val="Style1"/>
              <w:jc w:val="center"/>
              <w:rPr>
                <w:sz w:val="22"/>
                <w:szCs w:val="22"/>
                <w:lang w:val="da-DK"/>
              </w:rPr>
            </w:pPr>
            <w:r>
              <w:rPr>
                <w:sz w:val="22"/>
                <w:szCs w:val="22"/>
                <w:lang w:val="da-DK"/>
              </w:rPr>
              <w:t>-1,3 %</w:t>
            </w:r>
          </w:p>
          <w:p w:rsidR="0015631A" w:rsidRDefault="0015631A">
            <w:pPr>
              <w:pStyle w:val="Style1"/>
              <w:jc w:val="center"/>
              <w:rPr>
                <w:sz w:val="22"/>
                <w:szCs w:val="22"/>
              </w:rPr>
            </w:pPr>
            <w:r>
              <w:rPr>
                <w:sz w:val="22"/>
                <w:szCs w:val="22"/>
              </w:rPr>
              <w:t>(4,95)</w:t>
            </w:r>
          </w:p>
          <w:p w:rsidR="0015631A" w:rsidRDefault="0015631A">
            <w:pPr>
              <w:pStyle w:val="Style1"/>
              <w:jc w:val="center"/>
              <w:rPr>
                <w:sz w:val="22"/>
                <w:szCs w:val="22"/>
                <w:lang w:val="da-DK"/>
              </w:rPr>
            </w:pPr>
            <w:r>
              <w:rPr>
                <w:sz w:val="22"/>
                <w:szCs w:val="22"/>
                <w:lang w:val="en-GB" w:eastAsia="en-GB"/>
              </w:rPr>
              <w:t>-5,92; 3,23</w:t>
            </w:r>
          </w:p>
        </w:tc>
        <w:tc>
          <w:tcPr>
            <w:tcW w:w="693" w:type="pct"/>
            <w:tcBorders>
              <w:top w:val="single" w:sz="4" w:space="0" w:color="auto"/>
              <w:left w:val="single" w:sz="4" w:space="0" w:color="auto"/>
              <w:bottom w:val="single" w:sz="4" w:space="0" w:color="auto"/>
              <w:right w:val="single" w:sz="4" w:space="0" w:color="auto"/>
            </w:tcBorders>
          </w:tcPr>
          <w:p w:rsidR="0015631A" w:rsidRDefault="0015631A">
            <w:pPr>
              <w:pStyle w:val="Style1"/>
              <w:adjustRightInd/>
              <w:jc w:val="center"/>
              <w:rPr>
                <w:sz w:val="22"/>
                <w:szCs w:val="22"/>
                <w:lang w:val="da-DK"/>
              </w:rPr>
            </w:pPr>
          </w:p>
          <w:p w:rsidR="0015631A" w:rsidRDefault="0015631A">
            <w:pPr>
              <w:pStyle w:val="Style1"/>
              <w:jc w:val="center"/>
              <w:rPr>
                <w:sz w:val="22"/>
                <w:szCs w:val="22"/>
                <w:lang w:val="da-DK"/>
              </w:rPr>
            </w:pPr>
            <w:r>
              <w:rPr>
                <w:sz w:val="22"/>
                <w:szCs w:val="22"/>
                <w:lang w:val="da-DK"/>
              </w:rPr>
              <w:t>39</w:t>
            </w:r>
          </w:p>
          <w:p w:rsidR="0015631A" w:rsidRDefault="0015631A">
            <w:pPr>
              <w:pStyle w:val="Style1"/>
              <w:jc w:val="center"/>
              <w:rPr>
                <w:sz w:val="22"/>
                <w:szCs w:val="22"/>
                <w:lang w:val="da-DK"/>
              </w:rPr>
            </w:pPr>
            <w:r>
              <w:rPr>
                <w:sz w:val="22"/>
                <w:szCs w:val="22"/>
                <w:lang w:val="da-DK"/>
              </w:rPr>
              <w:t>0,9 %</w:t>
            </w:r>
          </w:p>
          <w:p w:rsidR="0015631A" w:rsidRDefault="0015631A">
            <w:pPr>
              <w:pStyle w:val="Style1"/>
              <w:jc w:val="center"/>
              <w:rPr>
                <w:sz w:val="22"/>
                <w:szCs w:val="22"/>
              </w:rPr>
            </w:pPr>
            <w:r>
              <w:rPr>
                <w:sz w:val="22"/>
                <w:szCs w:val="22"/>
              </w:rPr>
              <w:t>(3,81)</w:t>
            </w:r>
          </w:p>
          <w:p w:rsidR="0015631A" w:rsidRDefault="0015631A">
            <w:pPr>
              <w:pStyle w:val="Style1"/>
              <w:jc w:val="center"/>
              <w:rPr>
                <w:sz w:val="22"/>
                <w:szCs w:val="22"/>
                <w:lang w:val="da-DK"/>
              </w:rPr>
            </w:pPr>
            <w:r>
              <w:rPr>
                <w:sz w:val="22"/>
                <w:szCs w:val="22"/>
                <w:lang w:val="en-GB" w:eastAsia="en-GB"/>
              </w:rPr>
              <w:t>-0,29; 2,17</w:t>
            </w:r>
          </w:p>
        </w:tc>
        <w:tc>
          <w:tcPr>
            <w:tcW w:w="676" w:type="pct"/>
            <w:tcBorders>
              <w:top w:val="single" w:sz="4" w:space="0" w:color="auto"/>
              <w:left w:val="single" w:sz="4" w:space="0" w:color="auto"/>
              <w:bottom w:val="single" w:sz="4" w:space="0" w:color="auto"/>
              <w:right w:val="single" w:sz="4" w:space="0" w:color="auto"/>
            </w:tcBorders>
          </w:tcPr>
          <w:p w:rsidR="0015631A" w:rsidRDefault="0015631A">
            <w:pPr>
              <w:pStyle w:val="Style1"/>
              <w:adjustRightInd/>
              <w:jc w:val="center"/>
              <w:rPr>
                <w:sz w:val="22"/>
                <w:szCs w:val="22"/>
                <w:lang w:val="da-DK"/>
              </w:rPr>
            </w:pPr>
          </w:p>
          <w:p w:rsidR="0015631A" w:rsidRDefault="0015631A">
            <w:pPr>
              <w:pStyle w:val="Style1"/>
              <w:jc w:val="center"/>
              <w:rPr>
                <w:sz w:val="22"/>
                <w:szCs w:val="22"/>
                <w:lang w:val="da-DK"/>
              </w:rPr>
            </w:pPr>
            <w:r>
              <w:rPr>
                <w:sz w:val="22"/>
                <w:szCs w:val="22"/>
                <w:lang w:val="da-DK"/>
              </w:rPr>
              <w:t>13</w:t>
            </w:r>
          </w:p>
          <w:p w:rsidR="0015631A" w:rsidRDefault="0015631A">
            <w:pPr>
              <w:pStyle w:val="Style1"/>
              <w:jc w:val="center"/>
              <w:rPr>
                <w:sz w:val="22"/>
                <w:szCs w:val="22"/>
                <w:lang w:val="da-DK"/>
              </w:rPr>
            </w:pPr>
            <w:r>
              <w:rPr>
                <w:sz w:val="22"/>
                <w:szCs w:val="22"/>
                <w:lang w:val="da-DK"/>
              </w:rPr>
              <w:t>-5,4 %</w:t>
            </w:r>
          </w:p>
          <w:p w:rsidR="0015631A" w:rsidRDefault="0015631A">
            <w:pPr>
              <w:pStyle w:val="Style1"/>
              <w:jc w:val="center"/>
              <w:rPr>
                <w:sz w:val="22"/>
                <w:szCs w:val="22"/>
              </w:rPr>
            </w:pPr>
            <w:r>
              <w:rPr>
                <w:sz w:val="22"/>
                <w:szCs w:val="22"/>
              </w:rPr>
              <w:t>(2,73)</w:t>
            </w:r>
          </w:p>
          <w:p w:rsidR="0015631A" w:rsidRDefault="0015631A">
            <w:pPr>
              <w:pStyle w:val="Style1"/>
              <w:jc w:val="center"/>
              <w:rPr>
                <w:sz w:val="22"/>
                <w:szCs w:val="22"/>
                <w:lang w:val="da-DK"/>
              </w:rPr>
            </w:pPr>
            <w:r>
              <w:rPr>
                <w:sz w:val="22"/>
                <w:szCs w:val="22"/>
                <w:lang w:val="en-GB" w:eastAsia="en-GB"/>
              </w:rPr>
              <w:t>-7,03; -3,73</w:t>
            </w:r>
          </w:p>
        </w:tc>
        <w:tc>
          <w:tcPr>
            <w:tcW w:w="646" w:type="pct"/>
            <w:tcBorders>
              <w:top w:val="single" w:sz="4" w:space="0" w:color="auto"/>
              <w:left w:val="single" w:sz="4" w:space="0" w:color="auto"/>
              <w:bottom w:val="single" w:sz="4" w:space="0" w:color="auto"/>
              <w:right w:val="single" w:sz="4" w:space="0" w:color="auto"/>
            </w:tcBorders>
            <w:hideMark/>
          </w:tcPr>
          <w:p w:rsidR="0015631A" w:rsidRDefault="0015631A">
            <w:pPr>
              <w:pStyle w:val="Style1"/>
              <w:jc w:val="center"/>
              <w:rPr>
                <w:sz w:val="22"/>
                <w:szCs w:val="22"/>
                <w:lang w:val="da-DK"/>
              </w:rPr>
            </w:pPr>
            <w:r>
              <w:rPr>
                <w:sz w:val="22"/>
                <w:szCs w:val="22"/>
                <w:lang w:val="da-DK"/>
              </w:rPr>
              <w:t>63</w:t>
            </w:r>
          </w:p>
          <w:p w:rsidR="0015631A" w:rsidRDefault="0015631A">
            <w:pPr>
              <w:pStyle w:val="Style1"/>
              <w:jc w:val="center"/>
              <w:rPr>
                <w:sz w:val="22"/>
                <w:szCs w:val="22"/>
                <w:lang w:val="da-DK"/>
              </w:rPr>
            </w:pPr>
            <w:r>
              <w:rPr>
                <w:sz w:val="22"/>
                <w:szCs w:val="22"/>
                <w:lang w:val="da-DK"/>
              </w:rPr>
              <w:t>0,0 %</w:t>
            </w:r>
          </w:p>
          <w:p w:rsidR="0015631A" w:rsidRDefault="0015631A">
            <w:pPr>
              <w:pStyle w:val="Style1"/>
              <w:jc w:val="center"/>
              <w:rPr>
                <w:sz w:val="22"/>
                <w:szCs w:val="22"/>
              </w:rPr>
            </w:pPr>
            <w:r>
              <w:rPr>
                <w:sz w:val="22"/>
                <w:szCs w:val="22"/>
              </w:rPr>
              <w:t>(5,88)</w:t>
            </w:r>
          </w:p>
          <w:p w:rsidR="0015631A" w:rsidRDefault="0015631A">
            <w:pPr>
              <w:pStyle w:val="Style1"/>
              <w:jc w:val="center"/>
              <w:rPr>
                <w:sz w:val="22"/>
                <w:szCs w:val="22"/>
                <w:lang w:val="da-DK"/>
              </w:rPr>
            </w:pPr>
            <w:r>
              <w:rPr>
                <w:sz w:val="22"/>
                <w:szCs w:val="22"/>
                <w:lang w:val="en-GB" w:eastAsia="en-GB"/>
              </w:rPr>
              <w:t>-1,51; 1,45</w:t>
            </w:r>
          </w:p>
        </w:tc>
      </w:tr>
    </w:tbl>
    <w:p w:rsidR="0015631A" w:rsidRDefault="0015631A" w:rsidP="0015631A">
      <w:pPr>
        <w:rPr>
          <w:sz w:val="24"/>
          <w:szCs w:val="24"/>
        </w:rPr>
      </w:pPr>
      <w:r>
        <w:rPr>
          <w:sz w:val="24"/>
          <w:szCs w:val="24"/>
        </w:rPr>
        <w:t xml:space="preserve">*Behandlingsgruppen bestod af kvinder, der fik DMPA </w:t>
      </w:r>
      <w:proofErr w:type="spellStart"/>
      <w:r>
        <w:rPr>
          <w:sz w:val="24"/>
          <w:szCs w:val="24"/>
        </w:rPr>
        <w:t>i.m</w:t>
      </w:r>
      <w:proofErr w:type="spellEnd"/>
      <w:r>
        <w:rPr>
          <w:sz w:val="24"/>
          <w:szCs w:val="24"/>
        </w:rPr>
        <w:t>. i 5 år, og kontrolgruppen bestod af kvinder, der ikke brugte en hormonel antikonception i denne periode.</w:t>
      </w:r>
    </w:p>
    <w:p w:rsidR="0015631A" w:rsidRDefault="0015631A" w:rsidP="0015631A">
      <w:pPr>
        <w:rPr>
          <w:sz w:val="24"/>
          <w:szCs w:val="24"/>
        </w:rPr>
      </w:pPr>
      <w:r>
        <w:rPr>
          <w:sz w:val="24"/>
          <w:szCs w:val="24"/>
        </w:rPr>
        <w:t xml:space="preserve">**Behandlingsgruppen bestod af kvinder, der fik DMPA </w:t>
      </w:r>
      <w:proofErr w:type="spellStart"/>
      <w:r>
        <w:rPr>
          <w:sz w:val="24"/>
          <w:szCs w:val="24"/>
        </w:rPr>
        <w:t>i.m</w:t>
      </w:r>
      <w:proofErr w:type="spellEnd"/>
      <w:r>
        <w:rPr>
          <w:sz w:val="24"/>
          <w:szCs w:val="24"/>
        </w:rPr>
        <w:t>. i 5 år og derefter fik opfølgning i 2 år efter brugen, og kontrolgruppen bestod af kvinder, der ikke brugte en hormonel antikonception i 7 år.</w:t>
      </w:r>
    </w:p>
    <w:p w:rsidR="0015631A" w:rsidRPr="0015631A" w:rsidRDefault="0015631A" w:rsidP="0015631A">
      <w:pPr>
        <w:ind w:left="851" w:hanging="851"/>
        <w:rPr>
          <w:iCs/>
          <w:sz w:val="24"/>
          <w:szCs w:val="24"/>
        </w:rPr>
      </w:pPr>
      <w:r w:rsidRPr="0015631A">
        <w:rPr>
          <w:iCs/>
          <w:sz w:val="24"/>
          <w:szCs w:val="24"/>
        </w:rPr>
        <w:t>SD = Standardafvigelse</w:t>
      </w:r>
    </w:p>
    <w:p w:rsidR="0015631A" w:rsidRPr="0015631A" w:rsidRDefault="0015631A" w:rsidP="0015631A">
      <w:pPr>
        <w:ind w:left="851" w:hanging="851"/>
        <w:rPr>
          <w:iCs/>
          <w:sz w:val="24"/>
          <w:szCs w:val="24"/>
        </w:rPr>
      </w:pPr>
      <w:r w:rsidRPr="0015631A">
        <w:rPr>
          <w:iCs/>
          <w:sz w:val="24"/>
          <w:szCs w:val="24"/>
        </w:rPr>
        <w:t>CI = Konfidensinterval</w:t>
      </w:r>
    </w:p>
    <w:p w:rsidR="0015631A" w:rsidRDefault="0015631A" w:rsidP="0015631A">
      <w:pPr>
        <w:rPr>
          <w:sz w:val="24"/>
          <w:szCs w:val="24"/>
        </w:rPr>
      </w:pPr>
    </w:p>
    <w:p w:rsidR="0015631A" w:rsidRDefault="0015631A" w:rsidP="0015631A">
      <w:pPr>
        <w:ind w:left="851" w:hanging="851"/>
        <w:rPr>
          <w:sz w:val="24"/>
          <w:szCs w:val="24"/>
          <w:u w:val="single"/>
        </w:rPr>
      </w:pPr>
    </w:p>
    <w:p w:rsidR="0015631A" w:rsidRDefault="0015631A" w:rsidP="0015631A">
      <w:pPr>
        <w:ind w:left="851"/>
        <w:rPr>
          <w:sz w:val="24"/>
          <w:szCs w:val="24"/>
          <w:u w:val="single"/>
        </w:rPr>
      </w:pPr>
      <w:r>
        <w:rPr>
          <w:sz w:val="24"/>
          <w:szCs w:val="24"/>
          <w:u w:val="single"/>
        </w:rPr>
        <w:t>Ændringer i knogletætheden hos unge kvinder (12-18 år)</w:t>
      </w:r>
    </w:p>
    <w:p w:rsidR="0015631A" w:rsidRDefault="0015631A" w:rsidP="0015631A">
      <w:pPr>
        <w:ind w:left="851"/>
        <w:rPr>
          <w:b/>
          <w:bCs/>
          <w:iCs/>
          <w:sz w:val="24"/>
          <w:szCs w:val="24"/>
          <w:u w:val="single"/>
        </w:rPr>
      </w:pPr>
    </w:p>
    <w:p w:rsidR="0015631A" w:rsidRDefault="0015631A" w:rsidP="0015631A">
      <w:pPr>
        <w:widowControl w:val="0"/>
        <w:ind w:left="851"/>
        <w:rPr>
          <w:sz w:val="24"/>
          <w:szCs w:val="24"/>
        </w:rPr>
      </w:pPr>
      <w:r>
        <w:rPr>
          <w:sz w:val="24"/>
          <w:szCs w:val="24"/>
        </w:rPr>
        <w:t xml:space="preserve">Resultaterne fra et open-label, ikke-randomiseret klinisk studie af </w:t>
      </w:r>
      <w:proofErr w:type="spellStart"/>
      <w:r>
        <w:rPr>
          <w:sz w:val="24"/>
          <w:szCs w:val="24"/>
        </w:rPr>
        <w:t>medroxyprogesteronacetat</w:t>
      </w:r>
      <w:proofErr w:type="spellEnd"/>
      <w:r>
        <w:rPr>
          <w:sz w:val="24"/>
          <w:szCs w:val="24"/>
        </w:rPr>
        <w:t xml:space="preserve">-injektion (150 mg </w:t>
      </w:r>
      <w:proofErr w:type="spellStart"/>
      <w:r>
        <w:rPr>
          <w:sz w:val="24"/>
          <w:szCs w:val="24"/>
        </w:rPr>
        <w:t>i.m</w:t>
      </w:r>
      <w:proofErr w:type="spellEnd"/>
      <w:r>
        <w:rPr>
          <w:sz w:val="24"/>
          <w:szCs w:val="24"/>
        </w:rPr>
        <w:t xml:space="preserve">. hver 12. uge i op til 240 uger (4,6 år), efterfulgt af målinger efter behandlingen) hos unge kvinder (12-18 år) viste også, at </w:t>
      </w:r>
      <w:proofErr w:type="spellStart"/>
      <w:r>
        <w:rPr>
          <w:sz w:val="24"/>
          <w:szCs w:val="24"/>
        </w:rPr>
        <w:t>medroxyprogesteronacetat</w:t>
      </w:r>
      <w:proofErr w:type="spellEnd"/>
      <w:r>
        <w:rPr>
          <w:sz w:val="24"/>
          <w:szCs w:val="24"/>
        </w:rPr>
        <w:t xml:space="preserve"> </w:t>
      </w:r>
      <w:proofErr w:type="spellStart"/>
      <w:r>
        <w:rPr>
          <w:sz w:val="24"/>
          <w:szCs w:val="24"/>
        </w:rPr>
        <w:t>i.m</w:t>
      </w:r>
      <w:proofErr w:type="spellEnd"/>
      <w:r>
        <w:rPr>
          <w:sz w:val="24"/>
          <w:szCs w:val="24"/>
        </w:rPr>
        <w:t xml:space="preserve">. var forbundet med et signifikant fald i knogletætheden fra baseline. Blandt forsøgspersoner, der fik ≥ 4 injektioner/60-ugers periode, var det gennemsnitlige fald i </w:t>
      </w:r>
      <w:proofErr w:type="spellStart"/>
      <w:r>
        <w:rPr>
          <w:sz w:val="24"/>
          <w:szCs w:val="24"/>
        </w:rPr>
        <w:t>columna</w:t>
      </w:r>
      <w:proofErr w:type="spellEnd"/>
      <w:r>
        <w:rPr>
          <w:sz w:val="24"/>
          <w:szCs w:val="24"/>
        </w:rPr>
        <w:t xml:space="preserve"> </w:t>
      </w:r>
      <w:proofErr w:type="spellStart"/>
      <w:r>
        <w:rPr>
          <w:sz w:val="24"/>
          <w:szCs w:val="24"/>
        </w:rPr>
        <w:t>lumbalis</w:t>
      </w:r>
      <w:proofErr w:type="spellEnd"/>
      <w:r>
        <w:rPr>
          <w:sz w:val="24"/>
          <w:szCs w:val="24"/>
        </w:rPr>
        <w:t xml:space="preserve">-knogletætheden -2,1 % efter 240 uger (4,6 år). Det gennemsnitlige fald for hele hoften og </w:t>
      </w:r>
      <w:proofErr w:type="spellStart"/>
      <w:r>
        <w:rPr>
          <w:sz w:val="24"/>
          <w:szCs w:val="24"/>
        </w:rPr>
        <w:t>collum</w:t>
      </w:r>
      <w:proofErr w:type="spellEnd"/>
      <w:r>
        <w:rPr>
          <w:sz w:val="24"/>
          <w:szCs w:val="24"/>
        </w:rPr>
        <w:t xml:space="preserve"> </w:t>
      </w:r>
      <w:proofErr w:type="spellStart"/>
      <w:r>
        <w:rPr>
          <w:sz w:val="24"/>
          <w:szCs w:val="24"/>
        </w:rPr>
        <w:t>femoris</w:t>
      </w:r>
      <w:proofErr w:type="spellEnd"/>
      <w:r>
        <w:rPr>
          <w:sz w:val="24"/>
          <w:szCs w:val="24"/>
        </w:rPr>
        <w:t xml:space="preserve"> var henholdsvis -6,4 % og -5,4 %. Se tabel 3.  I modsætning hertil viste en ikke-sammenlignelig kohorte af ikke-matchede, ubehandlede forsøgspersoner med knogleparametre ved baseline, der var forskellige fra DMPA-brugernes, gennemsnitlige stigninger i knogletætheden ved 240 uger på 6,4 %, 1,7 % og 1,9 % for henholdsvis </w:t>
      </w:r>
      <w:proofErr w:type="spellStart"/>
      <w:r>
        <w:rPr>
          <w:sz w:val="24"/>
          <w:szCs w:val="24"/>
        </w:rPr>
        <w:t>columna</w:t>
      </w:r>
      <w:proofErr w:type="spellEnd"/>
      <w:r>
        <w:rPr>
          <w:sz w:val="24"/>
          <w:szCs w:val="24"/>
        </w:rPr>
        <w:t xml:space="preserve"> </w:t>
      </w:r>
      <w:proofErr w:type="spellStart"/>
      <w:r>
        <w:rPr>
          <w:sz w:val="24"/>
          <w:szCs w:val="24"/>
        </w:rPr>
        <w:t>lumbalis</w:t>
      </w:r>
      <w:proofErr w:type="spellEnd"/>
      <w:r>
        <w:rPr>
          <w:sz w:val="24"/>
          <w:szCs w:val="24"/>
        </w:rPr>
        <w:t xml:space="preserve">, hele hoften og </w:t>
      </w:r>
      <w:proofErr w:type="spellStart"/>
      <w:r>
        <w:rPr>
          <w:sz w:val="24"/>
          <w:szCs w:val="24"/>
        </w:rPr>
        <w:t>collum</w:t>
      </w:r>
      <w:proofErr w:type="spellEnd"/>
      <w:r>
        <w:rPr>
          <w:sz w:val="24"/>
          <w:szCs w:val="24"/>
        </w:rPr>
        <w:t xml:space="preserve"> </w:t>
      </w:r>
      <w:proofErr w:type="spellStart"/>
      <w:r>
        <w:rPr>
          <w:sz w:val="24"/>
          <w:szCs w:val="24"/>
        </w:rPr>
        <w:t>femoris</w:t>
      </w:r>
      <w:proofErr w:type="spellEnd"/>
      <w:r>
        <w:rPr>
          <w:sz w:val="24"/>
          <w:szCs w:val="24"/>
        </w:rPr>
        <w:t>.</w:t>
      </w:r>
    </w:p>
    <w:p w:rsidR="0015631A" w:rsidRDefault="0015631A" w:rsidP="0015631A">
      <w:pPr>
        <w:tabs>
          <w:tab w:val="left" w:pos="851"/>
        </w:tabs>
        <w:rPr>
          <w:b/>
          <w:bCs/>
          <w:sz w:val="24"/>
          <w:szCs w:val="24"/>
        </w:rPr>
      </w:pPr>
      <w:r>
        <w:rPr>
          <w:b/>
          <w:bCs/>
          <w:sz w:val="24"/>
          <w:szCs w:val="24"/>
        </w:rPr>
        <w:t xml:space="preserve">Tabel 3. Gennemsnitlig procent-ændring </w:t>
      </w:r>
      <w:r>
        <w:rPr>
          <w:b/>
          <w:sz w:val="24"/>
          <w:szCs w:val="24"/>
        </w:rPr>
        <w:t>(</w:t>
      </w:r>
      <w:r>
        <w:rPr>
          <w:b/>
          <w:bCs/>
          <w:sz w:val="24"/>
          <w:szCs w:val="24"/>
        </w:rPr>
        <w:t>med 95% konfidensintervaller) fra baseline i knogletætheden hos unge, som får ≥4 injektioner/60 ugers periode, efter område på skelettet</w:t>
      </w:r>
    </w:p>
    <w:p w:rsidR="0015631A" w:rsidRDefault="0015631A" w:rsidP="0015631A">
      <w:pPr>
        <w:keepNext/>
        <w:tabs>
          <w:tab w:val="left" w:pos="851"/>
        </w:tabs>
        <w:ind w:left="851"/>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24"/>
        <w:gridCol w:w="2506"/>
      </w:tblGrid>
      <w:tr w:rsidR="0015631A" w:rsidTr="0015631A">
        <w:tc>
          <w:tcPr>
            <w:tcW w:w="2250" w:type="dxa"/>
            <w:tcBorders>
              <w:top w:val="single" w:sz="4" w:space="0" w:color="auto"/>
              <w:left w:val="single" w:sz="4" w:space="0" w:color="auto"/>
              <w:bottom w:val="single" w:sz="4" w:space="0" w:color="auto"/>
              <w:right w:val="single" w:sz="4" w:space="0" w:color="auto"/>
            </w:tcBorders>
            <w:hideMark/>
          </w:tcPr>
          <w:p w:rsidR="0015631A" w:rsidRDefault="0015631A">
            <w:pPr>
              <w:pStyle w:val="Style1"/>
              <w:spacing w:before="120"/>
              <w:jc w:val="center"/>
              <w:rPr>
                <w:b/>
                <w:bCs/>
                <w:spacing w:val="2"/>
                <w:sz w:val="22"/>
                <w:lang w:val="da-DK"/>
              </w:rPr>
            </w:pPr>
            <w:r>
              <w:rPr>
                <w:b/>
                <w:bCs/>
                <w:sz w:val="22"/>
                <w:lang w:val="da-DK"/>
              </w:rPr>
              <w:t>Behandlingsvarighed</w:t>
            </w:r>
          </w:p>
        </w:tc>
        <w:tc>
          <w:tcPr>
            <w:tcW w:w="3330" w:type="dxa"/>
            <w:gridSpan w:val="2"/>
            <w:tcBorders>
              <w:top w:val="single" w:sz="4" w:space="0" w:color="auto"/>
              <w:left w:val="single" w:sz="4" w:space="0" w:color="auto"/>
              <w:bottom w:val="single" w:sz="4" w:space="0" w:color="auto"/>
              <w:right w:val="single" w:sz="4" w:space="0" w:color="auto"/>
            </w:tcBorders>
            <w:hideMark/>
          </w:tcPr>
          <w:p w:rsidR="0015631A" w:rsidRDefault="0015631A">
            <w:pPr>
              <w:pStyle w:val="Style1"/>
              <w:adjustRightInd/>
              <w:spacing w:before="120"/>
              <w:jc w:val="center"/>
              <w:rPr>
                <w:b/>
                <w:bCs/>
                <w:spacing w:val="2"/>
                <w:sz w:val="22"/>
                <w:lang w:val="da-DK"/>
              </w:rPr>
            </w:pPr>
            <w:r>
              <w:rPr>
                <w:b/>
                <w:bCs/>
                <w:sz w:val="22"/>
                <w:lang w:val="da-DK"/>
              </w:rPr>
              <w:t xml:space="preserve">DMPA </w:t>
            </w:r>
            <w:proofErr w:type="spellStart"/>
            <w:r>
              <w:rPr>
                <w:b/>
                <w:bCs/>
                <w:sz w:val="22"/>
                <w:lang w:val="da-DK"/>
              </w:rPr>
              <w:t>i.m</w:t>
            </w:r>
            <w:proofErr w:type="spellEnd"/>
            <w:r>
              <w:rPr>
                <w:b/>
                <w:bCs/>
                <w:sz w:val="22"/>
                <w:lang w:val="da-DK"/>
              </w:rPr>
              <w:t>.</w:t>
            </w:r>
          </w:p>
        </w:tc>
      </w:tr>
      <w:tr w:rsidR="0015631A" w:rsidTr="0015631A">
        <w:tc>
          <w:tcPr>
            <w:tcW w:w="2250" w:type="dxa"/>
            <w:tcBorders>
              <w:top w:val="single" w:sz="4" w:space="0" w:color="auto"/>
              <w:left w:val="single" w:sz="4" w:space="0" w:color="auto"/>
              <w:bottom w:val="single" w:sz="4" w:space="0" w:color="auto"/>
              <w:right w:val="single" w:sz="4" w:space="0" w:color="auto"/>
            </w:tcBorders>
          </w:tcPr>
          <w:p w:rsidR="0015631A" w:rsidRDefault="0015631A">
            <w:pPr>
              <w:pStyle w:val="Style1"/>
              <w:adjustRightInd/>
              <w:spacing w:before="120"/>
              <w:rPr>
                <w:b/>
                <w:bCs/>
                <w:spacing w:val="2"/>
                <w:sz w:val="22"/>
                <w:lang w:val="da-DK"/>
              </w:rPr>
            </w:pPr>
          </w:p>
        </w:tc>
        <w:tc>
          <w:tcPr>
            <w:tcW w:w="824" w:type="dxa"/>
            <w:tcBorders>
              <w:top w:val="single" w:sz="4" w:space="0" w:color="auto"/>
              <w:left w:val="single" w:sz="4" w:space="0" w:color="auto"/>
              <w:bottom w:val="single" w:sz="4" w:space="0" w:color="auto"/>
              <w:right w:val="single" w:sz="4" w:space="0" w:color="auto"/>
            </w:tcBorders>
            <w:hideMark/>
          </w:tcPr>
          <w:p w:rsidR="0015631A" w:rsidRDefault="0015631A">
            <w:pPr>
              <w:pStyle w:val="Style1"/>
              <w:keepNext/>
              <w:adjustRightInd/>
              <w:spacing w:before="120"/>
              <w:jc w:val="center"/>
              <w:rPr>
                <w:b/>
                <w:bCs/>
                <w:spacing w:val="2"/>
                <w:sz w:val="22"/>
                <w:lang w:val="da-DK"/>
              </w:rPr>
            </w:pPr>
            <w:r>
              <w:rPr>
                <w:b/>
                <w:bCs/>
                <w:sz w:val="22"/>
                <w:lang w:val="da-DK"/>
              </w:rPr>
              <w:t>N</w:t>
            </w:r>
          </w:p>
        </w:tc>
        <w:tc>
          <w:tcPr>
            <w:tcW w:w="2506" w:type="dxa"/>
            <w:tcBorders>
              <w:top w:val="single" w:sz="4" w:space="0" w:color="auto"/>
              <w:left w:val="single" w:sz="4" w:space="0" w:color="auto"/>
              <w:bottom w:val="single" w:sz="4" w:space="0" w:color="auto"/>
              <w:right w:val="single" w:sz="4" w:space="0" w:color="auto"/>
            </w:tcBorders>
            <w:hideMark/>
          </w:tcPr>
          <w:p w:rsidR="0015631A" w:rsidRDefault="0015631A">
            <w:pPr>
              <w:pStyle w:val="Style1"/>
              <w:keepNext/>
              <w:spacing w:before="120"/>
              <w:jc w:val="center"/>
              <w:rPr>
                <w:b/>
                <w:bCs/>
                <w:spacing w:val="2"/>
                <w:sz w:val="22"/>
                <w:lang w:val="da-DK"/>
              </w:rPr>
            </w:pPr>
            <w:proofErr w:type="spellStart"/>
            <w:r>
              <w:rPr>
                <w:b/>
                <w:bCs/>
                <w:sz w:val="22"/>
                <w:lang w:val="da-DK"/>
              </w:rPr>
              <w:t>Gns</w:t>
            </w:r>
            <w:proofErr w:type="spellEnd"/>
            <w:r>
              <w:rPr>
                <w:b/>
                <w:bCs/>
                <w:sz w:val="22"/>
                <w:lang w:val="da-DK"/>
              </w:rPr>
              <w:t>. %-ændring</w:t>
            </w:r>
          </w:p>
        </w:tc>
      </w:tr>
      <w:tr w:rsidR="0015631A" w:rsidTr="0015631A">
        <w:tc>
          <w:tcPr>
            <w:tcW w:w="2250" w:type="dxa"/>
            <w:tcBorders>
              <w:top w:val="single" w:sz="4" w:space="0" w:color="auto"/>
              <w:left w:val="single" w:sz="4" w:space="0" w:color="auto"/>
              <w:bottom w:val="single" w:sz="4" w:space="0" w:color="auto"/>
              <w:right w:val="single" w:sz="4" w:space="0" w:color="auto"/>
            </w:tcBorders>
            <w:hideMark/>
          </w:tcPr>
          <w:p w:rsidR="0015631A" w:rsidRDefault="0015631A">
            <w:pPr>
              <w:rPr>
                <w:rFonts w:eastAsia="Calibri"/>
                <w:b/>
                <w:bCs/>
                <w:sz w:val="22"/>
                <w:szCs w:val="24"/>
              </w:rPr>
            </w:pPr>
            <w:r>
              <w:rPr>
                <w:rFonts w:eastAsia="Calibri"/>
                <w:b/>
                <w:bCs/>
                <w:sz w:val="22"/>
                <w:szCs w:val="24"/>
              </w:rPr>
              <w:t>Knogletæthed i hele hoften</w:t>
            </w:r>
          </w:p>
          <w:p w:rsidR="0015631A" w:rsidRDefault="0015631A">
            <w:pPr>
              <w:keepNext/>
              <w:ind w:leftChars="6" w:left="14"/>
              <w:rPr>
                <w:rFonts w:eastAsia="Calibri"/>
                <w:sz w:val="22"/>
                <w:szCs w:val="24"/>
              </w:rPr>
            </w:pPr>
            <w:r>
              <w:rPr>
                <w:rFonts w:eastAsia="Calibri"/>
                <w:sz w:val="22"/>
                <w:szCs w:val="24"/>
              </w:rPr>
              <w:t>Uge 60 (1,2 år)</w:t>
            </w:r>
          </w:p>
          <w:p w:rsidR="0015631A" w:rsidRDefault="0015631A">
            <w:pPr>
              <w:keepNext/>
              <w:ind w:leftChars="6" w:left="14"/>
              <w:rPr>
                <w:rFonts w:eastAsia="Calibri"/>
                <w:sz w:val="22"/>
                <w:szCs w:val="24"/>
              </w:rPr>
            </w:pPr>
            <w:r>
              <w:rPr>
                <w:rFonts w:eastAsia="Calibri"/>
                <w:sz w:val="22"/>
                <w:szCs w:val="24"/>
              </w:rPr>
              <w:t>Uge 120 (2,3 år)</w:t>
            </w:r>
          </w:p>
          <w:p w:rsidR="0015631A" w:rsidRDefault="0015631A">
            <w:pPr>
              <w:keepNext/>
              <w:ind w:leftChars="6" w:left="14"/>
              <w:rPr>
                <w:rFonts w:eastAsia="Calibri"/>
                <w:sz w:val="22"/>
                <w:szCs w:val="22"/>
              </w:rPr>
            </w:pPr>
            <w:r>
              <w:rPr>
                <w:rFonts w:eastAsia="Calibri"/>
                <w:sz w:val="22"/>
                <w:szCs w:val="22"/>
              </w:rPr>
              <w:t>Uge 180 (3,5 år)</w:t>
            </w:r>
          </w:p>
          <w:p w:rsidR="0015631A" w:rsidRDefault="0015631A">
            <w:pPr>
              <w:pStyle w:val="Style1"/>
              <w:keepNext/>
              <w:adjustRightInd/>
              <w:ind w:leftChars="6" w:left="14"/>
              <w:rPr>
                <w:b/>
                <w:bCs/>
                <w:spacing w:val="2"/>
                <w:sz w:val="22"/>
                <w:lang w:val="da-DK"/>
              </w:rPr>
            </w:pPr>
            <w:r>
              <w:rPr>
                <w:sz w:val="22"/>
                <w:szCs w:val="22"/>
                <w:lang w:val="da-DK"/>
              </w:rPr>
              <w:t>Uge 240 (4,6 år)</w:t>
            </w:r>
          </w:p>
        </w:tc>
        <w:tc>
          <w:tcPr>
            <w:tcW w:w="824" w:type="dxa"/>
            <w:tcBorders>
              <w:top w:val="single" w:sz="4" w:space="0" w:color="auto"/>
              <w:left w:val="single" w:sz="4" w:space="0" w:color="auto"/>
              <w:bottom w:val="single" w:sz="4" w:space="0" w:color="auto"/>
              <w:right w:val="single" w:sz="4" w:space="0" w:color="auto"/>
            </w:tcBorders>
          </w:tcPr>
          <w:p w:rsidR="0015631A" w:rsidRDefault="0015631A">
            <w:pPr>
              <w:keepNext/>
              <w:jc w:val="center"/>
              <w:rPr>
                <w:rFonts w:eastAsia="Calibri"/>
                <w:sz w:val="22"/>
                <w:szCs w:val="24"/>
              </w:rPr>
            </w:pPr>
          </w:p>
          <w:p w:rsidR="0015631A" w:rsidRDefault="0015631A">
            <w:pPr>
              <w:jc w:val="center"/>
              <w:rPr>
                <w:rFonts w:eastAsia="Calibri"/>
                <w:sz w:val="22"/>
                <w:szCs w:val="24"/>
              </w:rPr>
            </w:pPr>
          </w:p>
          <w:p w:rsidR="0015631A" w:rsidRDefault="0015631A">
            <w:pPr>
              <w:keepNext/>
              <w:jc w:val="center"/>
              <w:rPr>
                <w:rFonts w:eastAsia="Calibri"/>
                <w:sz w:val="22"/>
                <w:szCs w:val="24"/>
              </w:rPr>
            </w:pPr>
            <w:r>
              <w:rPr>
                <w:rFonts w:eastAsia="Calibri"/>
                <w:sz w:val="22"/>
                <w:szCs w:val="24"/>
              </w:rPr>
              <w:t>113</w:t>
            </w:r>
          </w:p>
          <w:p w:rsidR="0015631A" w:rsidRDefault="0015631A">
            <w:pPr>
              <w:keepNext/>
              <w:jc w:val="center"/>
              <w:rPr>
                <w:rFonts w:eastAsia="Calibri"/>
                <w:sz w:val="22"/>
                <w:szCs w:val="24"/>
              </w:rPr>
            </w:pPr>
            <w:r>
              <w:rPr>
                <w:rFonts w:eastAsia="Calibri"/>
                <w:sz w:val="22"/>
                <w:szCs w:val="24"/>
              </w:rPr>
              <w:t>73</w:t>
            </w:r>
          </w:p>
          <w:p w:rsidR="0015631A" w:rsidRDefault="0015631A">
            <w:pPr>
              <w:keepNext/>
              <w:jc w:val="center"/>
              <w:rPr>
                <w:rFonts w:eastAsia="Calibri"/>
                <w:sz w:val="22"/>
                <w:szCs w:val="22"/>
              </w:rPr>
            </w:pPr>
            <w:r>
              <w:rPr>
                <w:rFonts w:eastAsia="Calibri"/>
                <w:sz w:val="22"/>
                <w:szCs w:val="22"/>
              </w:rPr>
              <w:t>45</w:t>
            </w:r>
          </w:p>
          <w:p w:rsidR="0015631A" w:rsidRDefault="0015631A">
            <w:pPr>
              <w:pStyle w:val="Style1"/>
              <w:keepNext/>
              <w:adjustRightInd/>
              <w:jc w:val="center"/>
              <w:rPr>
                <w:b/>
                <w:bCs/>
                <w:spacing w:val="2"/>
                <w:sz w:val="22"/>
              </w:rPr>
            </w:pPr>
            <w:r>
              <w:rPr>
                <w:sz w:val="22"/>
                <w:szCs w:val="22"/>
                <w:lang w:val="da-DK"/>
              </w:rPr>
              <w:t>28</w:t>
            </w:r>
          </w:p>
        </w:tc>
        <w:tc>
          <w:tcPr>
            <w:tcW w:w="2506" w:type="dxa"/>
            <w:tcBorders>
              <w:top w:val="single" w:sz="4" w:space="0" w:color="auto"/>
              <w:left w:val="single" w:sz="4" w:space="0" w:color="auto"/>
              <w:bottom w:val="single" w:sz="4" w:space="0" w:color="auto"/>
              <w:right w:val="single" w:sz="4" w:space="0" w:color="auto"/>
            </w:tcBorders>
          </w:tcPr>
          <w:p w:rsidR="0015631A" w:rsidRDefault="0015631A">
            <w:pPr>
              <w:keepNext/>
              <w:jc w:val="center"/>
              <w:rPr>
                <w:rFonts w:eastAsia="Calibri"/>
                <w:sz w:val="22"/>
                <w:szCs w:val="24"/>
              </w:rPr>
            </w:pPr>
          </w:p>
          <w:p w:rsidR="0015631A" w:rsidRDefault="0015631A">
            <w:pPr>
              <w:keepNext/>
              <w:jc w:val="center"/>
              <w:rPr>
                <w:rFonts w:eastAsia="Calibri"/>
                <w:sz w:val="22"/>
                <w:szCs w:val="24"/>
              </w:rPr>
            </w:pPr>
          </w:p>
          <w:p w:rsidR="0015631A" w:rsidRDefault="0015631A">
            <w:pPr>
              <w:keepNext/>
              <w:jc w:val="center"/>
              <w:rPr>
                <w:sz w:val="22"/>
                <w:szCs w:val="22"/>
                <w:lang w:val="en-GB" w:eastAsia="en-GB"/>
              </w:rPr>
            </w:pPr>
            <w:r>
              <w:rPr>
                <w:sz w:val="22"/>
                <w:szCs w:val="22"/>
              </w:rPr>
              <w:t>2,</w:t>
            </w:r>
            <w:proofErr w:type="gramStart"/>
            <w:r>
              <w:rPr>
                <w:sz w:val="22"/>
                <w:szCs w:val="22"/>
              </w:rPr>
              <w:t xml:space="preserve">7  </w:t>
            </w:r>
            <w:r>
              <w:rPr>
                <w:sz w:val="22"/>
                <w:szCs w:val="22"/>
                <w:lang w:val="en-GB" w:eastAsia="en-GB"/>
              </w:rPr>
              <w:t>[</w:t>
            </w:r>
            <w:proofErr w:type="gramEnd"/>
            <w:r>
              <w:rPr>
                <w:sz w:val="22"/>
                <w:szCs w:val="22"/>
                <w:lang w:val="en-GB" w:eastAsia="en-GB"/>
              </w:rPr>
              <w:t>-3,27; -2,12]</w:t>
            </w:r>
          </w:p>
          <w:p w:rsidR="0015631A" w:rsidRDefault="0015631A">
            <w:pPr>
              <w:keepNext/>
              <w:jc w:val="center"/>
              <w:rPr>
                <w:sz w:val="22"/>
                <w:szCs w:val="22"/>
                <w:lang w:val="en-GB" w:eastAsia="en-GB"/>
              </w:rPr>
            </w:pPr>
            <w:r>
              <w:rPr>
                <w:sz w:val="22"/>
                <w:szCs w:val="22"/>
              </w:rPr>
              <w:t>-5,</w:t>
            </w:r>
            <w:proofErr w:type="gramStart"/>
            <w:r>
              <w:rPr>
                <w:sz w:val="22"/>
                <w:szCs w:val="22"/>
              </w:rPr>
              <w:t>4</w:t>
            </w:r>
            <w:r>
              <w:rPr>
                <w:sz w:val="22"/>
                <w:szCs w:val="22"/>
                <w:lang w:val="en-GB" w:eastAsia="en-GB"/>
              </w:rPr>
              <w:t xml:space="preserve">  [</w:t>
            </w:r>
            <w:proofErr w:type="gramEnd"/>
            <w:r>
              <w:rPr>
                <w:sz w:val="22"/>
                <w:szCs w:val="22"/>
                <w:lang w:val="en-GB" w:eastAsia="en-GB"/>
              </w:rPr>
              <w:t>-6,16; -4,64]</w:t>
            </w:r>
          </w:p>
          <w:p w:rsidR="0015631A" w:rsidRDefault="0015631A">
            <w:pPr>
              <w:keepNext/>
              <w:jc w:val="center"/>
              <w:rPr>
                <w:sz w:val="22"/>
                <w:szCs w:val="22"/>
                <w:lang w:val="en-GB" w:eastAsia="en-GB"/>
              </w:rPr>
            </w:pPr>
            <w:r>
              <w:rPr>
                <w:sz w:val="22"/>
                <w:szCs w:val="22"/>
              </w:rPr>
              <w:t>-6,</w:t>
            </w:r>
            <w:proofErr w:type="gramStart"/>
            <w:r>
              <w:rPr>
                <w:sz w:val="22"/>
                <w:szCs w:val="22"/>
              </w:rPr>
              <w:t xml:space="preserve">4 </w:t>
            </w:r>
            <w:r>
              <w:rPr>
                <w:sz w:val="22"/>
                <w:szCs w:val="22"/>
                <w:lang w:val="en-GB" w:eastAsia="en-GB"/>
              </w:rPr>
              <w:t xml:space="preserve"> [</w:t>
            </w:r>
            <w:proofErr w:type="gramEnd"/>
            <w:r>
              <w:rPr>
                <w:sz w:val="22"/>
                <w:szCs w:val="22"/>
                <w:lang w:val="en-GB" w:eastAsia="en-GB"/>
              </w:rPr>
              <w:t>-7,38; -5,37]</w:t>
            </w:r>
          </w:p>
          <w:p w:rsidR="0015631A" w:rsidRDefault="0015631A">
            <w:pPr>
              <w:pStyle w:val="Style1"/>
              <w:keepNext/>
              <w:adjustRightInd/>
              <w:jc w:val="center"/>
              <w:rPr>
                <w:b/>
                <w:bCs/>
                <w:spacing w:val="2"/>
                <w:sz w:val="22"/>
              </w:rPr>
            </w:pPr>
            <w:r>
              <w:rPr>
                <w:sz w:val="22"/>
                <w:szCs w:val="22"/>
              </w:rPr>
              <w:t>-6,</w:t>
            </w:r>
            <w:proofErr w:type="gramStart"/>
            <w:r>
              <w:rPr>
                <w:sz w:val="22"/>
                <w:szCs w:val="22"/>
              </w:rPr>
              <w:t xml:space="preserve">4  </w:t>
            </w:r>
            <w:r>
              <w:rPr>
                <w:sz w:val="22"/>
                <w:szCs w:val="22"/>
                <w:lang w:val="en-GB" w:eastAsia="en-GB"/>
              </w:rPr>
              <w:t>[</w:t>
            </w:r>
            <w:proofErr w:type="gramEnd"/>
            <w:r>
              <w:rPr>
                <w:sz w:val="22"/>
                <w:szCs w:val="22"/>
                <w:lang w:val="en-GB" w:eastAsia="en-GB"/>
              </w:rPr>
              <w:t>-8,56; -4,24]</w:t>
            </w:r>
          </w:p>
        </w:tc>
      </w:tr>
      <w:tr w:rsidR="0015631A" w:rsidTr="0015631A">
        <w:tc>
          <w:tcPr>
            <w:tcW w:w="2250" w:type="dxa"/>
            <w:tcBorders>
              <w:top w:val="single" w:sz="4" w:space="0" w:color="auto"/>
              <w:left w:val="single" w:sz="4" w:space="0" w:color="auto"/>
              <w:bottom w:val="single" w:sz="4" w:space="0" w:color="auto"/>
              <w:right w:val="single" w:sz="4" w:space="0" w:color="auto"/>
            </w:tcBorders>
            <w:hideMark/>
          </w:tcPr>
          <w:p w:rsidR="0015631A" w:rsidRDefault="0015631A">
            <w:pPr>
              <w:keepNext/>
              <w:rPr>
                <w:rFonts w:eastAsia="Calibri"/>
                <w:b/>
                <w:bCs/>
                <w:sz w:val="22"/>
                <w:szCs w:val="24"/>
              </w:rPr>
            </w:pPr>
            <w:r>
              <w:rPr>
                <w:rFonts w:eastAsia="Calibri"/>
                <w:b/>
                <w:bCs/>
                <w:sz w:val="22"/>
                <w:szCs w:val="24"/>
              </w:rPr>
              <w:t xml:space="preserve">Knogletæthed i </w:t>
            </w:r>
            <w:proofErr w:type="spellStart"/>
            <w:r>
              <w:rPr>
                <w:rFonts w:eastAsia="Calibri"/>
                <w:b/>
                <w:bCs/>
                <w:sz w:val="22"/>
                <w:szCs w:val="24"/>
              </w:rPr>
              <w:t>collum</w:t>
            </w:r>
            <w:proofErr w:type="spellEnd"/>
            <w:r>
              <w:rPr>
                <w:rFonts w:eastAsia="Calibri"/>
                <w:b/>
                <w:bCs/>
                <w:sz w:val="22"/>
                <w:szCs w:val="24"/>
              </w:rPr>
              <w:t xml:space="preserve"> </w:t>
            </w:r>
            <w:proofErr w:type="spellStart"/>
            <w:r>
              <w:rPr>
                <w:rFonts w:eastAsia="Calibri"/>
                <w:b/>
                <w:bCs/>
                <w:sz w:val="22"/>
                <w:szCs w:val="24"/>
              </w:rPr>
              <w:t>femoris</w:t>
            </w:r>
            <w:proofErr w:type="spellEnd"/>
          </w:p>
          <w:p w:rsidR="0015631A" w:rsidRDefault="0015631A">
            <w:pPr>
              <w:rPr>
                <w:rFonts w:eastAsia="Calibri"/>
                <w:sz w:val="22"/>
                <w:szCs w:val="24"/>
              </w:rPr>
            </w:pPr>
            <w:r>
              <w:rPr>
                <w:rFonts w:eastAsia="Calibri"/>
                <w:sz w:val="22"/>
                <w:szCs w:val="24"/>
              </w:rPr>
              <w:t>Uge 60</w:t>
            </w:r>
          </w:p>
          <w:p w:rsidR="0015631A" w:rsidRDefault="0015631A">
            <w:pPr>
              <w:keepNext/>
              <w:ind w:left="13" w:hangingChars="6" w:hanging="13"/>
              <w:rPr>
                <w:rFonts w:eastAsia="Calibri"/>
                <w:sz w:val="22"/>
                <w:szCs w:val="24"/>
              </w:rPr>
            </w:pPr>
            <w:r>
              <w:rPr>
                <w:rFonts w:eastAsia="Calibri"/>
                <w:sz w:val="22"/>
                <w:szCs w:val="24"/>
              </w:rPr>
              <w:t>Uge 120</w:t>
            </w:r>
          </w:p>
          <w:p w:rsidR="0015631A" w:rsidRDefault="0015631A">
            <w:pPr>
              <w:keepNext/>
              <w:ind w:left="13" w:hangingChars="6" w:hanging="13"/>
              <w:rPr>
                <w:rFonts w:eastAsia="Calibri"/>
                <w:sz w:val="22"/>
                <w:szCs w:val="24"/>
              </w:rPr>
            </w:pPr>
            <w:r>
              <w:rPr>
                <w:rFonts w:eastAsia="Calibri"/>
                <w:sz w:val="22"/>
                <w:szCs w:val="24"/>
              </w:rPr>
              <w:t xml:space="preserve">Uge 180 </w:t>
            </w:r>
          </w:p>
          <w:p w:rsidR="0015631A" w:rsidRDefault="0015631A">
            <w:pPr>
              <w:keepNext/>
              <w:rPr>
                <w:rFonts w:eastAsia="Calibri"/>
                <w:b/>
                <w:bCs/>
                <w:sz w:val="22"/>
                <w:szCs w:val="24"/>
              </w:rPr>
            </w:pPr>
            <w:r>
              <w:rPr>
                <w:rFonts w:eastAsia="Calibri"/>
                <w:sz w:val="22"/>
                <w:szCs w:val="24"/>
              </w:rPr>
              <w:t>Uge 240</w:t>
            </w:r>
          </w:p>
        </w:tc>
        <w:tc>
          <w:tcPr>
            <w:tcW w:w="824" w:type="dxa"/>
            <w:tcBorders>
              <w:top w:val="single" w:sz="4" w:space="0" w:color="auto"/>
              <w:left w:val="single" w:sz="4" w:space="0" w:color="auto"/>
              <w:bottom w:val="single" w:sz="4" w:space="0" w:color="auto"/>
              <w:right w:val="single" w:sz="4" w:space="0" w:color="auto"/>
            </w:tcBorders>
          </w:tcPr>
          <w:p w:rsidR="0015631A" w:rsidRDefault="0015631A">
            <w:pPr>
              <w:keepNext/>
              <w:jc w:val="center"/>
              <w:rPr>
                <w:rFonts w:eastAsia="Calibri"/>
                <w:sz w:val="22"/>
                <w:szCs w:val="24"/>
              </w:rPr>
            </w:pPr>
          </w:p>
          <w:p w:rsidR="0015631A" w:rsidRDefault="0015631A">
            <w:pPr>
              <w:keepNext/>
              <w:jc w:val="center"/>
              <w:rPr>
                <w:rFonts w:eastAsia="Calibri"/>
                <w:sz w:val="22"/>
                <w:szCs w:val="24"/>
              </w:rPr>
            </w:pPr>
          </w:p>
          <w:p w:rsidR="0015631A" w:rsidRDefault="0015631A">
            <w:pPr>
              <w:keepNext/>
              <w:jc w:val="center"/>
              <w:rPr>
                <w:rFonts w:eastAsia="Calibri"/>
                <w:sz w:val="22"/>
                <w:szCs w:val="24"/>
              </w:rPr>
            </w:pPr>
            <w:r>
              <w:rPr>
                <w:rFonts w:eastAsia="Calibri"/>
                <w:sz w:val="22"/>
                <w:szCs w:val="24"/>
              </w:rPr>
              <w:t>113</w:t>
            </w:r>
          </w:p>
          <w:p w:rsidR="0015631A" w:rsidRDefault="0015631A">
            <w:pPr>
              <w:keepNext/>
              <w:jc w:val="center"/>
              <w:rPr>
                <w:rFonts w:eastAsia="Calibri"/>
                <w:sz w:val="22"/>
                <w:szCs w:val="24"/>
              </w:rPr>
            </w:pPr>
            <w:r>
              <w:rPr>
                <w:rFonts w:eastAsia="Calibri"/>
                <w:sz w:val="22"/>
                <w:szCs w:val="24"/>
              </w:rPr>
              <w:t>73</w:t>
            </w:r>
          </w:p>
          <w:p w:rsidR="0015631A" w:rsidRDefault="0015631A">
            <w:pPr>
              <w:keepNext/>
              <w:jc w:val="center"/>
              <w:rPr>
                <w:rFonts w:eastAsia="Calibri"/>
                <w:sz w:val="22"/>
                <w:szCs w:val="24"/>
              </w:rPr>
            </w:pPr>
            <w:r>
              <w:rPr>
                <w:rFonts w:eastAsia="Calibri"/>
                <w:sz w:val="22"/>
                <w:szCs w:val="24"/>
              </w:rPr>
              <w:t>45</w:t>
            </w:r>
          </w:p>
          <w:p w:rsidR="0015631A" w:rsidRDefault="0015631A">
            <w:pPr>
              <w:keepNext/>
              <w:jc w:val="center"/>
              <w:rPr>
                <w:rFonts w:eastAsia="Calibri"/>
                <w:sz w:val="22"/>
                <w:szCs w:val="24"/>
              </w:rPr>
            </w:pPr>
            <w:r>
              <w:rPr>
                <w:rFonts w:eastAsia="Calibri"/>
                <w:sz w:val="22"/>
                <w:szCs w:val="24"/>
              </w:rPr>
              <w:t>28</w:t>
            </w:r>
          </w:p>
        </w:tc>
        <w:tc>
          <w:tcPr>
            <w:tcW w:w="2506" w:type="dxa"/>
            <w:tcBorders>
              <w:top w:val="single" w:sz="4" w:space="0" w:color="auto"/>
              <w:left w:val="single" w:sz="4" w:space="0" w:color="auto"/>
              <w:bottom w:val="single" w:sz="4" w:space="0" w:color="auto"/>
              <w:right w:val="single" w:sz="4" w:space="0" w:color="auto"/>
            </w:tcBorders>
          </w:tcPr>
          <w:p w:rsidR="0015631A" w:rsidRDefault="0015631A">
            <w:pPr>
              <w:keepNext/>
              <w:jc w:val="center"/>
              <w:rPr>
                <w:rFonts w:eastAsia="Calibri"/>
                <w:sz w:val="22"/>
                <w:szCs w:val="24"/>
              </w:rPr>
            </w:pPr>
          </w:p>
          <w:p w:rsidR="0015631A" w:rsidRDefault="0015631A">
            <w:pPr>
              <w:keepNext/>
              <w:jc w:val="center"/>
              <w:rPr>
                <w:sz w:val="22"/>
                <w:szCs w:val="22"/>
              </w:rPr>
            </w:pPr>
          </w:p>
          <w:p w:rsidR="0015631A" w:rsidRDefault="0015631A">
            <w:pPr>
              <w:keepNext/>
              <w:jc w:val="center"/>
              <w:rPr>
                <w:sz w:val="22"/>
                <w:szCs w:val="22"/>
              </w:rPr>
            </w:pPr>
            <w:r>
              <w:rPr>
                <w:sz w:val="22"/>
                <w:szCs w:val="22"/>
              </w:rPr>
              <w:t>-2,</w:t>
            </w:r>
            <w:proofErr w:type="gramStart"/>
            <w:r>
              <w:rPr>
                <w:sz w:val="22"/>
                <w:szCs w:val="22"/>
              </w:rPr>
              <w:t xml:space="preserve">9  </w:t>
            </w:r>
            <w:r>
              <w:rPr>
                <w:sz w:val="22"/>
                <w:szCs w:val="22"/>
                <w:lang w:val="en-GB" w:eastAsia="en-GB"/>
              </w:rPr>
              <w:t>[</w:t>
            </w:r>
            <w:proofErr w:type="gramEnd"/>
            <w:r>
              <w:rPr>
                <w:sz w:val="22"/>
                <w:szCs w:val="22"/>
                <w:lang w:val="en-GB" w:eastAsia="en-GB"/>
              </w:rPr>
              <w:t>-3.72; -2.15]</w:t>
            </w:r>
          </w:p>
          <w:p w:rsidR="0015631A" w:rsidRDefault="0015631A">
            <w:pPr>
              <w:keepNext/>
              <w:jc w:val="center"/>
              <w:rPr>
                <w:sz w:val="22"/>
                <w:szCs w:val="22"/>
                <w:lang w:val="en-GB" w:eastAsia="en-GB"/>
              </w:rPr>
            </w:pPr>
            <w:r>
              <w:rPr>
                <w:sz w:val="22"/>
                <w:szCs w:val="22"/>
              </w:rPr>
              <w:t>-5,</w:t>
            </w:r>
            <w:proofErr w:type="gramStart"/>
            <w:r>
              <w:rPr>
                <w:sz w:val="22"/>
                <w:szCs w:val="22"/>
              </w:rPr>
              <w:t>3</w:t>
            </w:r>
            <w:r>
              <w:rPr>
                <w:sz w:val="22"/>
                <w:szCs w:val="22"/>
                <w:lang w:val="en-GB" w:eastAsia="en-GB"/>
              </w:rPr>
              <w:t xml:space="preserve">  [</w:t>
            </w:r>
            <w:proofErr w:type="gramEnd"/>
            <w:r>
              <w:rPr>
                <w:sz w:val="22"/>
                <w:szCs w:val="22"/>
                <w:lang w:val="en-GB" w:eastAsia="en-GB"/>
              </w:rPr>
              <w:t>-6.23; -4.37]</w:t>
            </w:r>
          </w:p>
          <w:p w:rsidR="0015631A" w:rsidRDefault="0015631A">
            <w:pPr>
              <w:keepNext/>
              <w:jc w:val="center"/>
              <w:rPr>
                <w:sz w:val="22"/>
                <w:szCs w:val="22"/>
                <w:lang w:val="en-GB" w:eastAsia="en-GB"/>
              </w:rPr>
            </w:pPr>
            <w:r>
              <w:rPr>
                <w:sz w:val="22"/>
                <w:szCs w:val="22"/>
              </w:rPr>
              <w:t>-6,</w:t>
            </w:r>
            <w:proofErr w:type="gramStart"/>
            <w:r>
              <w:rPr>
                <w:sz w:val="22"/>
                <w:szCs w:val="22"/>
              </w:rPr>
              <w:t xml:space="preserve">0  </w:t>
            </w:r>
            <w:r>
              <w:rPr>
                <w:sz w:val="22"/>
                <w:szCs w:val="22"/>
                <w:lang w:val="en-GB" w:eastAsia="en-GB"/>
              </w:rPr>
              <w:t>[</w:t>
            </w:r>
            <w:proofErr w:type="gramEnd"/>
            <w:r>
              <w:rPr>
                <w:sz w:val="22"/>
                <w:szCs w:val="22"/>
                <w:lang w:val="en-GB" w:eastAsia="en-GB"/>
              </w:rPr>
              <w:t>-7.31; -4.59]</w:t>
            </w:r>
          </w:p>
          <w:p w:rsidR="0015631A" w:rsidRDefault="0015631A">
            <w:pPr>
              <w:keepNext/>
              <w:jc w:val="center"/>
              <w:rPr>
                <w:rFonts w:eastAsia="Calibri"/>
                <w:sz w:val="22"/>
                <w:szCs w:val="24"/>
              </w:rPr>
            </w:pPr>
            <w:r>
              <w:rPr>
                <w:sz w:val="22"/>
                <w:szCs w:val="22"/>
              </w:rPr>
              <w:t>-5,</w:t>
            </w:r>
            <w:proofErr w:type="gramStart"/>
            <w:r>
              <w:rPr>
                <w:sz w:val="22"/>
                <w:szCs w:val="22"/>
              </w:rPr>
              <w:t xml:space="preserve">4 </w:t>
            </w:r>
            <w:r>
              <w:rPr>
                <w:sz w:val="22"/>
                <w:szCs w:val="22"/>
                <w:lang w:val="en-GB" w:eastAsia="en-GB"/>
              </w:rPr>
              <w:t xml:space="preserve"> [</w:t>
            </w:r>
            <w:proofErr w:type="gramEnd"/>
            <w:r>
              <w:rPr>
                <w:sz w:val="22"/>
                <w:szCs w:val="22"/>
                <w:lang w:val="en-GB" w:eastAsia="en-GB"/>
              </w:rPr>
              <w:t>-7.81; -3.00]</w:t>
            </w:r>
          </w:p>
        </w:tc>
      </w:tr>
      <w:tr w:rsidR="0015631A" w:rsidTr="0015631A">
        <w:tc>
          <w:tcPr>
            <w:tcW w:w="2250" w:type="dxa"/>
            <w:tcBorders>
              <w:top w:val="single" w:sz="4" w:space="0" w:color="auto"/>
              <w:left w:val="single" w:sz="4" w:space="0" w:color="auto"/>
              <w:bottom w:val="single" w:sz="4" w:space="0" w:color="auto"/>
              <w:right w:val="single" w:sz="4" w:space="0" w:color="auto"/>
            </w:tcBorders>
            <w:hideMark/>
          </w:tcPr>
          <w:p w:rsidR="0015631A" w:rsidRDefault="0015631A">
            <w:pPr>
              <w:rPr>
                <w:rFonts w:eastAsia="Calibri"/>
                <w:b/>
                <w:bCs/>
                <w:sz w:val="22"/>
                <w:szCs w:val="24"/>
              </w:rPr>
            </w:pPr>
            <w:r>
              <w:rPr>
                <w:rFonts w:eastAsia="Calibri"/>
                <w:b/>
                <w:bCs/>
                <w:sz w:val="22"/>
                <w:szCs w:val="24"/>
              </w:rPr>
              <w:t xml:space="preserve">Knogletæthed i </w:t>
            </w:r>
            <w:proofErr w:type="spellStart"/>
            <w:r>
              <w:rPr>
                <w:rFonts w:eastAsia="Calibri"/>
                <w:b/>
                <w:bCs/>
                <w:sz w:val="22"/>
                <w:szCs w:val="24"/>
              </w:rPr>
              <w:t>columna</w:t>
            </w:r>
            <w:proofErr w:type="spellEnd"/>
            <w:r>
              <w:rPr>
                <w:rFonts w:eastAsia="Calibri"/>
                <w:b/>
                <w:bCs/>
                <w:sz w:val="22"/>
                <w:szCs w:val="24"/>
              </w:rPr>
              <w:t xml:space="preserve"> </w:t>
            </w:r>
            <w:proofErr w:type="spellStart"/>
            <w:r>
              <w:rPr>
                <w:rFonts w:eastAsia="Calibri"/>
                <w:b/>
                <w:bCs/>
                <w:sz w:val="22"/>
                <w:szCs w:val="24"/>
              </w:rPr>
              <w:t>lumbalis</w:t>
            </w:r>
            <w:proofErr w:type="spellEnd"/>
          </w:p>
          <w:p w:rsidR="0015631A" w:rsidRDefault="0015631A">
            <w:pPr>
              <w:keepNext/>
              <w:rPr>
                <w:rFonts w:eastAsia="Calibri"/>
                <w:sz w:val="22"/>
                <w:szCs w:val="24"/>
              </w:rPr>
            </w:pPr>
            <w:r>
              <w:rPr>
                <w:rFonts w:eastAsia="Calibri"/>
                <w:sz w:val="22"/>
                <w:szCs w:val="24"/>
              </w:rPr>
              <w:t>Uge 60</w:t>
            </w:r>
          </w:p>
          <w:p w:rsidR="0015631A" w:rsidRDefault="0015631A">
            <w:pPr>
              <w:keepNext/>
              <w:rPr>
                <w:rFonts w:eastAsia="Calibri"/>
                <w:sz w:val="22"/>
                <w:szCs w:val="24"/>
              </w:rPr>
            </w:pPr>
            <w:r>
              <w:rPr>
                <w:rFonts w:eastAsia="Calibri"/>
                <w:sz w:val="22"/>
                <w:szCs w:val="24"/>
              </w:rPr>
              <w:t>Uge 120</w:t>
            </w:r>
          </w:p>
          <w:p w:rsidR="0015631A" w:rsidRDefault="0015631A">
            <w:pPr>
              <w:keepNext/>
              <w:rPr>
                <w:rFonts w:eastAsia="Calibri"/>
                <w:sz w:val="22"/>
                <w:szCs w:val="24"/>
              </w:rPr>
            </w:pPr>
            <w:r>
              <w:rPr>
                <w:rFonts w:eastAsia="Calibri"/>
                <w:sz w:val="22"/>
                <w:szCs w:val="24"/>
              </w:rPr>
              <w:t xml:space="preserve">Uge 180 </w:t>
            </w:r>
          </w:p>
          <w:p w:rsidR="0015631A" w:rsidRDefault="0015631A">
            <w:pPr>
              <w:keepNext/>
              <w:rPr>
                <w:rFonts w:eastAsia="Calibri"/>
                <w:b/>
                <w:bCs/>
                <w:sz w:val="22"/>
                <w:szCs w:val="24"/>
              </w:rPr>
            </w:pPr>
            <w:r>
              <w:rPr>
                <w:rFonts w:eastAsia="Calibri"/>
                <w:sz w:val="22"/>
                <w:szCs w:val="24"/>
              </w:rPr>
              <w:t>Uge 240</w:t>
            </w:r>
          </w:p>
        </w:tc>
        <w:tc>
          <w:tcPr>
            <w:tcW w:w="824" w:type="dxa"/>
            <w:tcBorders>
              <w:top w:val="single" w:sz="4" w:space="0" w:color="auto"/>
              <w:left w:val="single" w:sz="4" w:space="0" w:color="auto"/>
              <w:bottom w:val="single" w:sz="4" w:space="0" w:color="auto"/>
              <w:right w:val="single" w:sz="4" w:space="0" w:color="auto"/>
            </w:tcBorders>
          </w:tcPr>
          <w:p w:rsidR="0015631A" w:rsidRDefault="0015631A">
            <w:pPr>
              <w:keepNext/>
              <w:jc w:val="center"/>
              <w:rPr>
                <w:rFonts w:eastAsia="Calibri"/>
                <w:sz w:val="22"/>
                <w:szCs w:val="24"/>
              </w:rPr>
            </w:pPr>
          </w:p>
          <w:p w:rsidR="0015631A" w:rsidRDefault="0015631A">
            <w:pPr>
              <w:keepNext/>
              <w:jc w:val="center"/>
              <w:rPr>
                <w:rFonts w:eastAsia="Calibri"/>
                <w:sz w:val="22"/>
                <w:szCs w:val="24"/>
              </w:rPr>
            </w:pPr>
          </w:p>
          <w:p w:rsidR="0015631A" w:rsidRDefault="0015631A">
            <w:pPr>
              <w:keepNext/>
              <w:jc w:val="center"/>
              <w:rPr>
                <w:rFonts w:eastAsia="Calibri"/>
                <w:sz w:val="22"/>
                <w:szCs w:val="24"/>
              </w:rPr>
            </w:pPr>
            <w:r>
              <w:rPr>
                <w:rFonts w:eastAsia="Calibri"/>
                <w:sz w:val="22"/>
                <w:szCs w:val="24"/>
              </w:rPr>
              <w:t>114</w:t>
            </w:r>
          </w:p>
          <w:p w:rsidR="0015631A" w:rsidRDefault="0015631A">
            <w:pPr>
              <w:keepNext/>
              <w:jc w:val="center"/>
              <w:rPr>
                <w:rFonts w:eastAsia="Calibri"/>
                <w:sz w:val="22"/>
                <w:szCs w:val="24"/>
              </w:rPr>
            </w:pPr>
            <w:r>
              <w:rPr>
                <w:rFonts w:eastAsia="Calibri"/>
                <w:sz w:val="22"/>
                <w:szCs w:val="24"/>
              </w:rPr>
              <w:t>73</w:t>
            </w:r>
          </w:p>
          <w:p w:rsidR="0015631A" w:rsidRDefault="0015631A">
            <w:pPr>
              <w:keepNext/>
              <w:jc w:val="center"/>
              <w:rPr>
                <w:rFonts w:eastAsia="Calibri"/>
                <w:sz w:val="22"/>
                <w:szCs w:val="24"/>
              </w:rPr>
            </w:pPr>
            <w:r>
              <w:rPr>
                <w:rFonts w:eastAsia="Calibri"/>
                <w:sz w:val="22"/>
                <w:szCs w:val="24"/>
              </w:rPr>
              <w:t>45</w:t>
            </w:r>
          </w:p>
          <w:p w:rsidR="0015631A" w:rsidRDefault="0015631A">
            <w:pPr>
              <w:keepNext/>
              <w:jc w:val="center"/>
              <w:rPr>
                <w:rFonts w:eastAsia="Calibri"/>
                <w:sz w:val="22"/>
                <w:szCs w:val="24"/>
              </w:rPr>
            </w:pPr>
            <w:r>
              <w:rPr>
                <w:rFonts w:eastAsia="Calibri"/>
                <w:sz w:val="22"/>
                <w:szCs w:val="24"/>
              </w:rPr>
              <w:t>27</w:t>
            </w:r>
          </w:p>
        </w:tc>
        <w:tc>
          <w:tcPr>
            <w:tcW w:w="2506" w:type="dxa"/>
            <w:tcBorders>
              <w:top w:val="single" w:sz="4" w:space="0" w:color="auto"/>
              <w:left w:val="single" w:sz="4" w:space="0" w:color="auto"/>
              <w:bottom w:val="single" w:sz="4" w:space="0" w:color="auto"/>
              <w:right w:val="single" w:sz="4" w:space="0" w:color="auto"/>
            </w:tcBorders>
          </w:tcPr>
          <w:p w:rsidR="0015631A" w:rsidRDefault="0015631A">
            <w:pPr>
              <w:keepNext/>
              <w:jc w:val="center"/>
              <w:rPr>
                <w:rFonts w:eastAsia="Calibri"/>
                <w:sz w:val="22"/>
                <w:szCs w:val="24"/>
              </w:rPr>
            </w:pPr>
          </w:p>
          <w:p w:rsidR="0015631A" w:rsidRDefault="0015631A">
            <w:pPr>
              <w:keepNext/>
              <w:jc w:val="center"/>
              <w:rPr>
                <w:rFonts w:eastAsia="Calibri"/>
                <w:sz w:val="22"/>
                <w:szCs w:val="24"/>
              </w:rPr>
            </w:pPr>
          </w:p>
          <w:p w:rsidR="0015631A" w:rsidRDefault="0015631A">
            <w:pPr>
              <w:keepNext/>
              <w:jc w:val="center"/>
              <w:rPr>
                <w:sz w:val="22"/>
                <w:szCs w:val="22"/>
              </w:rPr>
            </w:pPr>
            <w:r>
              <w:rPr>
                <w:sz w:val="22"/>
                <w:szCs w:val="22"/>
              </w:rPr>
              <w:t>-2,</w:t>
            </w:r>
            <w:proofErr w:type="gramStart"/>
            <w:r>
              <w:rPr>
                <w:sz w:val="22"/>
                <w:szCs w:val="22"/>
              </w:rPr>
              <w:t xml:space="preserve">5  </w:t>
            </w:r>
            <w:r>
              <w:rPr>
                <w:sz w:val="22"/>
                <w:szCs w:val="22"/>
                <w:lang w:val="en-GB" w:eastAsia="en-GB"/>
              </w:rPr>
              <w:t>[</w:t>
            </w:r>
            <w:proofErr w:type="gramEnd"/>
            <w:r>
              <w:rPr>
                <w:sz w:val="22"/>
                <w:szCs w:val="22"/>
                <w:lang w:val="en-GB" w:eastAsia="en-GB"/>
              </w:rPr>
              <w:t>-2,95; -1,98]</w:t>
            </w:r>
          </w:p>
          <w:p w:rsidR="0015631A" w:rsidRDefault="0015631A">
            <w:pPr>
              <w:keepNext/>
              <w:jc w:val="center"/>
              <w:rPr>
                <w:sz w:val="22"/>
                <w:szCs w:val="22"/>
                <w:lang w:val="en-GB" w:eastAsia="en-GB"/>
              </w:rPr>
            </w:pPr>
            <w:r>
              <w:rPr>
                <w:sz w:val="22"/>
                <w:szCs w:val="22"/>
              </w:rPr>
              <w:t>-2,</w:t>
            </w:r>
            <w:proofErr w:type="gramStart"/>
            <w:r>
              <w:rPr>
                <w:sz w:val="22"/>
                <w:szCs w:val="22"/>
              </w:rPr>
              <w:t xml:space="preserve">7 </w:t>
            </w:r>
            <w:r>
              <w:rPr>
                <w:sz w:val="22"/>
                <w:szCs w:val="22"/>
                <w:lang w:val="en-GB" w:eastAsia="en-GB"/>
              </w:rPr>
              <w:t xml:space="preserve"> [</w:t>
            </w:r>
            <w:proofErr w:type="gramEnd"/>
            <w:r>
              <w:rPr>
                <w:sz w:val="22"/>
                <w:szCs w:val="22"/>
                <w:lang w:val="en-GB" w:eastAsia="en-GB"/>
              </w:rPr>
              <w:t>-3,57; -1,91]</w:t>
            </w:r>
          </w:p>
          <w:p w:rsidR="0015631A" w:rsidRDefault="0015631A">
            <w:pPr>
              <w:keepNext/>
              <w:jc w:val="center"/>
              <w:rPr>
                <w:sz w:val="22"/>
                <w:szCs w:val="22"/>
                <w:lang w:val="en-GB" w:eastAsia="en-GB"/>
              </w:rPr>
            </w:pPr>
            <w:r>
              <w:rPr>
                <w:sz w:val="22"/>
                <w:szCs w:val="22"/>
              </w:rPr>
              <w:t>-2,</w:t>
            </w:r>
            <w:proofErr w:type="gramStart"/>
            <w:r>
              <w:rPr>
                <w:sz w:val="22"/>
                <w:szCs w:val="22"/>
              </w:rPr>
              <w:t xml:space="preserve">7 </w:t>
            </w:r>
            <w:r>
              <w:rPr>
                <w:sz w:val="22"/>
                <w:szCs w:val="22"/>
                <w:lang w:val="en-GB" w:eastAsia="en-GB"/>
              </w:rPr>
              <w:t xml:space="preserve"> [</w:t>
            </w:r>
            <w:proofErr w:type="gramEnd"/>
            <w:r>
              <w:rPr>
                <w:sz w:val="22"/>
                <w:szCs w:val="22"/>
                <w:lang w:val="en-GB" w:eastAsia="en-GB"/>
              </w:rPr>
              <w:t>-3,99; -1,35]</w:t>
            </w:r>
          </w:p>
          <w:p w:rsidR="0015631A" w:rsidRDefault="0015631A">
            <w:pPr>
              <w:keepNext/>
              <w:jc w:val="center"/>
              <w:rPr>
                <w:rFonts w:eastAsia="Calibri"/>
                <w:sz w:val="22"/>
                <w:szCs w:val="24"/>
              </w:rPr>
            </w:pPr>
            <w:r>
              <w:rPr>
                <w:sz w:val="22"/>
                <w:szCs w:val="22"/>
              </w:rPr>
              <w:t>-2,</w:t>
            </w:r>
            <w:proofErr w:type="gramStart"/>
            <w:r>
              <w:rPr>
                <w:sz w:val="22"/>
                <w:szCs w:val="22"/>
              </w:rPr>
              <w:t xml:space="preserve">1 </w:t>
            </w:r>
            <w:r>
              <w:rPr>
                <w:sz w:val="22"/>
                <w:szCs w:val="22"/>
                <w:lang w:val="en-GB" w:eastAsia="en-GB"/>
              </w:rPr>
              <w:t xml:space="preserve"> [</w:t>
            </w:r>
            <w:proofErr w:type="gramEnd"/>
            <w:r>
              <w:rPr>
                <w:sz w:val="22"/>
                <w:szCs w:val="22"/>
                <w:lang w:val="en-GB" w:eastAsia="en-GB"/>
              </w:rPr>
              <w:t>-4,16; -0,07]</w:t>
            </w:r>
          </w:p>
        </w:tc>
      </w:tr>
    </w:tbl>
    <w:p w:rsidR="0015631A" w:rsidRDefault="0015631A" w:rsidP="0015631A">
      <w:pPr>
        <w:ind w:left="851"/>
        <w:rPr>
          <w:iCs/>
          <w:sz w:val="24"/>
          <w:szCs w:val="24"/>
          <w:lang w:val="de-DE"/>
        </w:rPr>
      </w:pPr>
      <w:r>
        <w:rPr>
          <w:iCs/>
          <w:sz w:val="24"/>
          <w:szCs w:val="24"/>
          <w:lang w:val="de-DE"/>
        </w:rPr>
        <w:t xml:space="preserve">CI = </w:t>
      </w:r>
      <w:proofErr w:type="spellStart"/>
      <w:r>
        <w:rPr>
          <w:iCs/>
          <w:sz w:val="24"/>
          <w:szCs w:val="24"/>
          <w:lang w:val="de-DE"/>
        </w:rPr>
        <w:t>Konfidensinterval</w:t>
      </w:r>
      <w:proofErr w:type="spellEnd"/>
    </w:p>
    <w:p w:rsidR="0015631A" w:rsidRDefault="0015631A" w:rsidP="0015631A">
      <w:pPr>
        <w:tabs>
          <w:tab w:val="left" w:pos="851"/>
        </w:tabs>
        <w:ind w:left="851" w:hanging="851"/>
        <w:rPr>
          <w:sz w:val="24"/>
          <w:szCs w:val="24"/>
        </w:rPr>
      </w:pPr>
    </w:p>
    <w:p w:rsidR="0015631A" w:rsidRDefault="0015631A" w:rsidP="0015631A">
      <w:pPr>
        <w:keepNext/>
        <w:widowControl w:val="0"/>
        <w:ind w:left="851"/>
        <w:rPr>
          <w:rFonts w:eastAsia="Calibri"/>
          <w:sz w:val="24"/>
          <w:szCs w:val="22"/>
        </w:rPr>
      </w:pPr>
      <w:r>
        <w:rPr>
          <w:sz w:val="24"/>
          <w:szCs w:val="24"/>
        </w:rPr>
        <w:lastRenderedPageBreak/>
        <w:t xml:space="preserve">Opfølgning efter behandlingen hos unge deltagere fra </w:t>
      </w:r>
      <w:r>
        <w:rPr>
          <w:rFonts w:eastAsia="Calibri"/>
          <w:sz w:val="24"/>
          <w:szCs w:val="22"/>
        </w:rPr>
        <w:t xml:space="preserve">det samme studie, som fik mindst 1 DMPA-injektion og fik foretaget mindst 1 opfølgende måling af knogletæthed efter </w:t>
      </w:r>
      <w:proofErr w:type="spellStart"/>
      <w:r>
        <w:rPr>
          <w:rFonts w:eastAsia="Calibri"/>
          <w:sz w:val="24"/>
          <w:szCs w:val="22"/>
        </w:rPr>
        <w:t>seponering</w:t>
      </w:r>
      <w:proofErr w:type="spellEnd"/>
      <w:r>
        <w:rPr>
          <w:rFonts w:eastAsia="Calibri"/>
          <w:sz w:val="24"/>
          <w:szCs w:val="22"/>
        </w:rPr>
        <w:t xml:space="preserve"> af DMPA</w:t>
      </w:r>
      <w:r>
        <w:rPr>
          <w:rFonts w:eastAsia="Calibri"/>
          <w:sz w:val="24"/>
        </w:rPr>
        <w:t xml:space="preserve"> </w:t>
      </w:r>
      <w:proofErr w:type="spellStart"/>
      <w:r>
        <w:rPr>
          <w:rFonts w:eastAsia="Calibri"/>
          <w:sz w:val="24"/>
        </w:rPr>
        <w:t>i.m</w:t>
      </w:r>
      <w:proofErr w:type="spellEnd"/>
      <w:r>
        <w:rPr>
          <w:rFonts w:eastAsia="Calibri"/>
          <w:sz w:val="24"/>
        </w:rPr>
        <w:t>.</w:t>
      </w:r>
      <w:r>
        <w:rPr>
          <w:rFonts w:eastAsia="Calibri"/>
          <w:sz w:val="24"/>
          <w:szCs w:val="22"/>
        </w:rPr>
        <w:t xml:space="preserve">, er vist i tabel 4. </w:t>
      </w:r>
      <w:r>
        <w:rPr>
          <w:sz w:val="24"/>
          <w:szCs w:val="24"/>
        </w:rPr>
        <w:t xml:space="preserve">Medianantallet af injektioner under behandlingsfasen for denne kohorte var 9. På tidspunktet for den sidste DMPA-injektion var de procentvise ændringerne i knogletæthed fra baseline i denne kohorte </w:t>
      </w:r>
      <w:proofErr w:type="gramStart"/>
      <w:r>
        <w:rPr>
          <w:sz w:val="24"/>
          <w:szCs w:val="24"/>
        </w:rPr>
        <w:t>på  -</w:t>
      </w:r>
      <w:proofErr w:type="gramEnd"/>
      <w:r>
        <w:rPr>
          <w:sz w:val="24"/>
          <w:szCs w:val="24"/>
        </w:rPr>
        <w:t xml:space="preserve">2,7 %, -4,1 % og -3,9 % i henholdsvis </w:t>
      </w:r>
      <w:proofErr w:type="spellStart"/>
      <w:r>
        <w:rPr>
          <w:sz w:val="24"/>
          <w:szCs w:val="24"/>
        </w:rPr>
        <w:t>columna</w:t>
      </w:r>
      <w:proofErr w:type="spellEnd"/>
      <w:r>
        <w:rPr>
          <w:sz w:val="24"/>
          <w:szCs w:val="24"/>
        </w:rPr>
        <w:t xml:space="preserve">, hele hoften og </w:t>
      </w:r>
      <w:proofErr w:type="spellStart"/>
      <w:r>
        <w:rPr>
          <w:sz w:val="24"/>
          <w:szCs w:val="24"/>
        </w:rPr>
        <w:t>collum</w:t>
      </w:r>
      <w:proofErr w:type="spellEnd"/>
      <w:r>
        <w:rPr>
          <w:sz w:val="24"/>
          <w:szCs w:val="24"/>
        </w:rPr>
        <w:t xml:space="preserve"> </w:t>
      </w:r>
      <w:proofErr w:type="spellStart"/>
      <w:r>
        <w:rPr>
          <w:sz w:val="24"/>
          <w:szCs w:val="24"/>
        </w:rPr>
        <w:t>femoris</w:t>
      </w:r>
      <w:proofErr w:type="spellEnd"/>
      <w:r>
        <w:rPr>
          <w:sz w:val="24"/>
          <w:szCs w:val="24"/>
        </w:rPr>
        <w:t xml:space="preserve">. Disse gennemsnitlige fald i knogletæthed vendte tilbage til baseline over tid efter </w:t>
      </w:r>
      <w:proofErr w:type="spellStart"/>
      <w:r>
        <w:rPr>
          <w:sz w:val="24"/>
          <w:szCs w:val="24"/>
        </w:rPr>
        <w:t>seponering</w:t>
      </w:r>
      <w:proofErr w:type="spellEnd"/>
      <w:r>
        <w:rPr>
          <w:sz w:val="24"/>
          <w:szCs w:val="24"/>
        </w:rPr>
        <w:t xml:space="preserve"> af DMPA </w:t>
      </w:r>
      <w:proofErr w:type="spellStart"/>
      <w:r>
        <w:rPr>
          <w:sz w:val="24"/>
          <w:szCs w:val="24"/>
        </w:rPr>
        <w:t>i.m</w:t>
      </w:r>
      <w:proofErr w:type="spellEnd"/>
      <w:r>
        <w:rPr>
          <w:sz w:val="24"/>
          <w:szCs w:val="24"/>
        </w:rPr>
        <w:t xml:space="preserve">. Det tog 1,2 år i </w:t>
      </w:r>
      <w:proofErr w:type="spellStart"/>
      <w:r>
        <w:rPr>
          <w:sz w:val="24"/>
          <w:szCs w:val="24"/>
        </w:rPr>
        <w:t>columna</w:t>
      </w:r>
      <w:proofErr w:type="spellEnd"/>
      <w:r>
        <w:rPr>
          <w:sz w:val="24"/>
          <w:szCs w:val="24"/>
        </w:rPr>
        <w:t xml:space="preserve"> </w:t>
      </w:r>
      <w:proofErr w:type="spellStart"/>
      <w:r>
        <w:rPr>
          <w:sz w:val="24"/>
          <w:szCs w:val="24"/>
        </w:rPr>
        <w:t>lumbalis</w:t>
      </w:r>
      <w:proofErr w:type="spellEnd"/>
      <w:r>
        <w:rPr>
          <w:sz w:val="24"/>
          <w:szCs w:val="24"/>
        </w:rPr>
        <w:t xml:space="preserve">, 4,6 år i hele hoften </w:t>
      </w:r>
      <w:proofErr w:type="gramStart"/>
      <w:r>
        <w:rPr>
          <w:sz w:val="24"/>
          <w:szCs w:val="24"/>
        </w:rPr>
        <w:t>og  4</w:t>
      </w:r>
      <w:proofErr w:type="gramEnd"/>
      <w:r>
        <w:rPr>
          <w:sz w:val="24"/>
          <w:szCs w:val="24"/>
        </w:rPr>
        <w:t xml:space="preserve">,6  år i </w:t>
      </w:r>
      <w:proofErr w:type="spellStart"/>
      <w:r>
        <w:rPr>
          <w:sz w:val="24"/>
          <w:szCs w:val="24"/>
        </w:rPr>
        <w:t>collum</w:t>
      </w:r>
      <w:proofErr w:type="spellEnd"/>
      <w:r>
        <w:rPr>
          <w:sz w:val="24"/>
          <w:szCs w:val="24"/>
        </w:rPr>
        <w:t xml:space="preserve"> </w:t>
      </w:r>
      <w:proofErr w:type="spellStart"/>
      <w:r>
        <w:rPr>
          <w:sz w:val="24"/>
          <w:szCs w:val="24"/>
        </w:rPr>
        <w:t>femoris</w:t>
      </w:r>
      <w:proofErr w:type="spellEnd"/>
      <w:r>
        <w:rPr>
          <w:sz w:val="24"/>
          <w:szCs w:val="24"/>
        </w:rPr>
        <w:t xml:space="preserve"> at vende tilbage til baseline. Det er dog vigtigt at bemærke, at et stort antal forsøgspersoner udgik i forsøget, og disse resultater er derfor baseret på et mindre antal forsøgspersoner, og nogle forsøgspersoner havde stadig nedsat knogletæthed i hele hoften efter 240 uger efter behandlingens ophør. Længere behandlingsvarighed og rygning var forbundet med langsommere restitution. Se tabel 4 nedenfor. </w:t>
      </w:r>
    </w:p>
    <w:p w:rsidR="0015631A" w:rsidRDefault="0015631A" w:rsidP="0015631A">
      <w:pPr>
        <w:ind w:left="851"/>
        <w:rPr>
          <w:rFonts w:eastAsia="Arial"/>
          <w:i/>
          <w:iCs/>
          <w:sz w:val="22"/>
          <w:szCs w:val="22"/>
        </w:rPr>
      </w:pPr>
    </w:p>
    <w:p w:rsidR="0015631A" w:rsidRDefault="0015631A" w:rsidP="0015631A">
      <w:pPr>
        <w:tabs>
          <w:tab w:val="left" w:pos="851"/>
        </w:tabs>
        <w:ind w:left="851" w:hanging="851"/>
        <w:rPr>
          <w:rFonts w:eastAsia="Calibri"/>
          <w:b/>
          <w:bCs/>
          <w:color w:val="231F20"/>
          <w:sz w:val="24"/>
          <w:szCs w:val="22"/>
        </w:rPr>
      </w:pPr>
      <w:r>
        <w:rPr>
          <w:rFonts w:eastAsia="Calibri"/>
          <w:b/>
          <w:bCs/>
          <w:sz w:val="24"/>
          <w:szCs w:val="22"/>
        </w:rPr>
        <w:t>Tabel 4. Gennemsnitlig</w:t>
      </w:r>
      <w:r>
        <w:rPr>
          <w:rFonts w:eastAsia="Calibri"/>
          <w:b/>
          <w:bCs/>
          <w:color w:val="231F20"/>
          <w:sz w:val="24"/>
          <w:szCs w:val="22"/>
        </w:rPr>
        <w:t xml:space="preserve"> procent-ændring (</w:t>
      </w:r>
      <w:r>
        <w:rPr>
          <w:b/>
          <w:bCs/>
          <w:sz w:val="24"/>
          <w:szCs w:val="24"/>
        </w:rPr>
        <w:t xml:space="preserve">med 95% konfidensintervaller) </w:t>
      </w:r>
      <w:r>
        <w:rPr>
          <w:rFonts w:eastAsia="Calibri"/>
          <w:b/>
          <w:bCs/>
          <w:color w:val="231F20"/>
          <w:sz w:val="24"/>
          <w:szCs w:val="24"/>
        </w:rPr>
        <w:t>fra baseline</w:t>
      </w:r>
      <w:r>
        <w:rPr>
          <w:rFonts w:eastAsia="Calibri"/>
          <w:b/>
          <w:bCs/>
          <w:color w:val="231F20"/>
          <w:sz w:val="24"/>
          <w:szCs w:val="22"/>
        </w:rPr>
        <w:t xml:space="preserve"> i knogletæthed hos unge efter </w:t>
      </w:r>
      <w:proofErr w:type="spellStart"/>
      <w:r>
        <w:rPr>
          <w:rFonts w:eastAsia="Calibri"/>
          <w:b/>
          <w:bCs/>
          <w:color w:val="231F20"/>
          <w:sz w:val="24"/>
          <w:szCs w:val="22"/>
        </w:rPr>
        <w:t>seponering</w:t>
      </w:r>
      <w:proofErr w:type="spellEnd"/>
      <w:r>
        <w:rPr>
          <w:rFonts w:eastAsia="Calibri"/>
          <w:b/>
          <w:bCs/>
          <w:color w:val="231F20"/>
          <w:sz w:val="24"/>
          <w:szCs w:val="22"/>
        </w:rPr>
        <w:t xml:space="preserve"> af DMPA</w:t>
      </w:r>
    </w:p>
    <w:p w:rsidR="0015631A" w:rsidRDefault="0015631A" w:rsidP="0015631A">
      <w:pPr>
        <w:tabs>
          <w:tab w:val="left" w:pos="851"/>
        </w:tabs>
        <w:ind w:left="851" w:hanging="851"/>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635"/>
        <w:gridCol w:w="1275"/>
        <w:gridCol w:w="1843"/>
        <w:gridCol w:w="1701"/>
        <w:gridCol w:w="1276"/>
        <w:gridCol w:w="1559"/>
      </w:tblGrid>
      <w:tr w:rsidR="0015631A" w:rsidTr="0015631A">
        <w:tc>
          <w:tcPr>
            <w:tcW w:w="1487" w:type="dxa"/>
            <w:tcBorders>
              <w:top w:val="single" w:sz="4" w:space="0" w:color="auto"/>
              <w:left w:val="single" w:sz="4" w:space="0" w:color="auto"/>
              <w:bottom w:val="single" w:sz="4" w:space="0" w:color="auto"/>
              <w:right w:val="single" w:sz="4" w:space="0" w:color="auto"/>
            </w:tcBorders>
            <w:vAlign w:val="center"/>
            <w:hideMark/>
          </w:tcPr>
          <w:p w:rsidR="0015631A" w:rsidRDefault="0015631A">
            <w:pPr>
              <w:jc w:val="center"/>
              <w:rPr>
                <w:rFonts w:eastAsia="Calibri"/>
                <w:b/>
                <w:color w:val="231F20"/>
                <w:sz w:val="22"/>
                <w:szCs w:val="22"/>
              </w:rPr>
            </w:pPr>
            <w:r>
              <w:rPr>
                <w:rFonts w:eastAsia="Calibri"/>
                <w:b/>
                <w:bCs/>
                <w:color w:val="231F20"/>
                <w:sz w:val="22"/>
                <w:szCs w:val="22"/>
              </w:rPr>
              <w:t>Uge efter</w:t>
            </w:r>
          </w:p>
          <w:p w:rsidR="0015631A" w:rsidRDefault="0015631A">
            <w:pPr>
              <w:pStyle w:val="Style1"/>
              <w:keepNext/>
              <w:adjustRightInd/>
              <w:ind w:leftChars="6" w:left="14"/>
              <w:jc w:val="center"/>
              <w:rPr>
                <w:b/>
                <w:bCs/>
                <w:sz w:val="22"/>
                <w:szCs w:val="22"/>
                <w:lang w:val="da-DK"/>
              </w:rPr>
            </w:pPr>
            <w:proofErr w:type="spellStart"/>
            <w:r>
              <w:rPr>
                <w:rFonts w:eastAsia="Calibri"/>
                <w:b/>
                <w:bCs/>
                <w:color w:val="231F20"/>
                <w:sz w:val="22"/>
                <w:szCs w:val="22"/>
                <w:lang w:val="da-DK"/>
              </w:rPr>
              <w:t>seponering</w:t>
            </w:r>
            <w:proofErr w:type="spellEnd"/>
            <w:r>
              <w:rPr>
                <w:rFonts w:eastAsia="Calibri"/>
                <w:b/>
                <w:bCs/>
                <w:color w:val="231F20"/>
                <w:sz w:val="22"/>
                <w:szCs w:val="22"/>
                <w:lang w:val="da-DK"/>
              </w:rPr>
              <w:t xml:space="preserve"> af DMPA</w:t>
            </w:r>
          </w:p>
        </w:tc>
        <w:tc>
          <w:tcPr>
            <w:tcW w:w="635" w:type="dxa"/>
            <w:tcBorders>
              <w:top w:val="single" w:sz="4" w:space="0" w:color="auto"/>
              <w:left w:val="single" w:sz="4" w:space="0" w:color="auto"/>
              <w:bottom w:val="single" w:sz="4" w:space="0" w:color="auto"/>
              <w:right w:val="single" w:sz="4" w:space="0" w:color="auto"/>
            </w:tcBorders>
            <w:vAlign w:val="center"/>
            <w:hideMark/>
          </w:tcPr>
          <w:p w:rsidR="0015631A" w:rsidRDefault="0015631A">
            <w:pPr>
              <w:jc w:val="center"/>
              <w:rPr>
                <w:rFonts w:eastAsia="Calibri"/>
                <w:b/>
                <w:bCs/>
                <w:sz w:val="22"/>
                <w:szCs w:val="22"/>
              </w:rPr>
            </w:pPr>
            <w:r>
              <w:rPr>
                <w:rFonts w:eastAsia="Calibri"/>
                <w:b/>
                <w:bCs/>
                <w:sz w:val="22"/>
                <w:szCs w:val="22"/>
              </w:rPr>
              <w:t>N</w:t>
            </w:r>
          </w:p>
        </w:tc>
        <w:tc>
          <w:tcPr>
            <w:tcW w:w="1275" w:type="dxa"/>
            <w:tcBorders>
              <w:top w:val="single" w:sz="4" w:space="0" w:color="auto"/>
              <w:left w:val="single" w:sz="4" w:space="0" w:color="auto"/>
              <w:bottom w:val="single" w:sz="4" w:space="0" w:color="auto"/>
              <w:right w:val="single" w:sz="4" w:space="0" w:color="auto"/>
            </w:tcBorders>
            <w:hideMark/>
          </w:tcPr>
          <w:p w:rsidR="0015631A" w:rsidRDefault="0015631A">
            <w:pPr>
              <w:jc w:val="center"/>
              <w:rPr>
                <w:rFonts w:eastAsia="Calibri"/>
                <w:b/>
                <w:bCs/>
                <w:color w:val="231F20"/>
                <w:sz w:val="22"/>
                <w:szCs w:val="22"/>
              </w:rPr>
            </w:pPr>
            <w:r>
              <w:rPr>
                <w:rFonts w:eastAsia="Calibri"/>
                <w:b/>
                <w:bCs/>
                <w:color w:val="231F20"/>
                <w:sz w:val="22"/>
                <w:szCs w:val="22"/>
              </w:rPr>
              <w:t xml:space="preserve">Median antal </w:t>
            </w:r>
            <w:proofErr w:type="spellStart"/>
            <w:r>
              <w:rPr>
                <w:rFonts w:eastAsia="Calibri"/>
                <w:b/>
                <w:bCs/>
                <w:color w:val="231F20"/>
                <w:sz w:val="22"/>
                <w:szCs w:val="22"/>
              </w:rPr>
              <w:t>injektion-er</w:t>
            </w:r>
            <w:proofErr w:type="spellEnd"/>
            <w:r>
              <w:rPr>
                <w:rFonts w:eastAsia="Calibri"/>
                <w:b/>
                <w:bCs/>
                <w:color w:val="231F20"/>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15631A" w:rsidRDefault="0015631A">
            <w:pPr>
              <w:jc w:val="center"/>
              <w:rPr>
                <w:rFonts w:eastAsia="Calibri"/>
                <w:b/>
                <w:bCs/>
                <w:color w:val="231F20"/>
                <w:sz w:val="22"/>
                <w:szCs w:val="22"/>
              </w:rPr>
            </w:pPr>
            <w:proofErr w:type="spellStart"/>
            <w:r>
              <w:rPr>
                <w:rFonts w:eastAsia="Calibri"/>
                <w:b/>
                <w:bCs/>
                <w:color w:val="231F20"/>
                <w:sz w:val="22"/>
                <w:szCs w:val="22"/>
              </w:rPr>
              <w:t>Gns</w:t>
            </w:r>
            <w:proofErr w:type="spellEnd"/>
            <w:r>
              <w:rPr>
                <w:rFonts w:eastAsia="Calibri"/>
                <w:b/>
                <w:bCs/>
                <w:color w:val="231F20"/>
                <w:sz w:val="22"/>
                <w:szCs w:val="22"/>
              </w:rPr>
              <w:t>. %-ændring (SE) fra baseline til afslutning af behandlingen</w:t>
            </w:r>
          </w:p>
        </w:tc>
        <w:tc>
          <w:tcPr>
            <w:tcW w:w="1701" w:type="dxa"/>
            <w:tcBorders>
              <w:top w:val="single" w:sz="4" w:space="0" w:color="auto"/>
              <w:left w:val="single" w:sz="4" w:space="0" w:color="auto"/>
              <w:bottom w:val="single" w:sz="4" w:space="0" w:color="auto"/>
              <w:right w:val="single" w:sz="4" w:space="0" w:color="auto"/>
            </w:tcBorders>
            <w:hideMark/>
          </w:tcPr>
          <w:p w:rsidR="0015631A" w:rsidRDefault="0015631A">
            <w:pPr>
              <w:jc w:val="center"/>
              <w:rPr>
                <w:rFonts w:eastAsia="Calibri"/>
                <w:b/>
                <w:bCs/>
                <w:color w:val="231F20"/>
                <w:sz w:val="22"/>
                <w:szCs w:val="22"/>
              </w:rPr>
            </w:pPr>
            <w:r>
              <w:rPr>
                <w:rFonts w:eastAsia="Calibri"/>
                <w:b/>
                <w:color w:val="231F20"/>
                <w:sz w:val="22"/>
                <w:szCs w:val="22"/>
                <w:lang w:val="en-GB"/>
              </w:rPr>
              <w:t>95% CI</w:t>
            </w:r>
          </w:p>
        </w:tc>
        <w:tc>
          <w:tcPr>
            <w:tcW w:w="1276" w:type="dxa"/>
            <w:tcBorders>
              <w:top w:val="single" w:sz="4" w:space="0" w:color="auto"/>
              <w:left w:val="single" w:sz="4" w:space="0" w:color="auto"/>
              <w:bottom w:val="single" w:sz="4" w:space="0" w:color="auto"/>
              <w:right w:val="single" w:sz="4" w:space="0" w:color="auto"/>
            </w:tcBorders>
            <w:vAlign w:val="center"/>
            <w:hideMark/>
          </w:tcPr>
          <w:p w:rsidR="0015631A" w:rsidRDefault="0015631A">
            <w:pPr>
              <w:jc w:val="center"/>
              <w:rPr>
                <w:rFonts w:eastAsia="Calibri"/>
                <w:b/>
                <w:bCs/>
                <w:sz w:val="22"/>
                <w:szCs w:val="22"/>
                <w:u w:val="single"/>
              </w:rPr>
            </w:pPr>
            <w:proofErr w:type="spellStart"/>
            <w:r>
              <w:rPr>
                <w:rFonts w:eastAsia="Calibri"/>
                <w:b/>
                <w:bCs/>
                <w:color w:val="231F20"/>
                <w:sz w:val="22"/>
                <w:szCs w:val="22"/>
              </w:rPr>
              <w:t>Gns</w:t>
            </w:r>
            <w:proofErr w:type="spellEnd"/>
            <w:r>
              <w:rPr>
                <w:rFonts w:eastAsia="Calibri"/>
                <w:b/>
                <w:bCs/>
                <w:color w:val="231F20"/>
                <w:sz w:val="22"/>
                <w:szCs w:val="22"/>
              </w:rPr>
              <w:t>. %-ændring fra baseline til post-</w:t>
            </w:r>
            <w:proofErr w:type="gramStart"/>
            <w:r>
              <w:rPr>
                <w:rFonts w:eastAsia="Calibri"/>
                <w:b/>
                <w:bCs/>
                <w:color w:val="231F20"/>
                <w:sz w:val="22"/>
                <w:szCs w:val="22"/>
              </w:rPr>
              <w:t>DMPA besøg</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15631A" w:rsidRDefault="0015631A">
            <w:pPr>
              <w:jc w:val="center"/>
              <w:rPr>
                <w:rFonts w:eastAsia="Calibri"/>
                <w:b/>
                <w:bCs/>
                <w:color w:val="231F20"/>
                <w:sz w:val="22"/>
                <w:szCs w:val="22"/>
              </w:rPr>
            </w:pPr>
            <w:r>
              <w:rPr>
                <w:rFonts w:eastAsia="Calibri"/>
                <w:b/>
                <w:color w:val="231F20"/>
                <w:sz w:val="22"/>
                <w:szCs w:val="22"/>
                <w:lang w:val="en-GB"/>
              </w:rPr>
              <w:t>95% CI</w:t>
            </w:r>
          </w:p>
        </w:tc>
      </w:tr>
      <w:tr w:rsidR="0015631A" w:rsidTr="0015631A">
        <w:tc>
          <w:tcPr>
            <w:tcW w:w="8217" w:type="dxa"/>
            <w:gridSpan w:val="6"/>
            <w:tcBorders>
              <w:top w:val="single" w:sz="4" w:space="0" w:color="auto"/>
              <w:left w:val="single" w:sz="4" w:space="0" w:color="auto"/>
              <w:bottom w:val="single" w:sz="4" w:space="0" w:color="auto"/>
              <w:right w:val="single" w:sz="4" w:space="0" w:color="auto"/>
            </w:tcBorders>
            <w:hideMark/>
          </w:tcPr>
          <w:p w:rsidR="0015631A" w:rsidRDefault="0015631A">
            <w:pPr>
              <w:tabs>
                <w:tab w:val="left" w:pos="4806"/>
              </w:tabs>
              <w:rPr>
                <w:rFonts w:eastAsia="Calibri"/>
                <w:b/>
                <w:bCs/>
                <w:sz w:val="22"/>
                <w:szCs w:val="22"/>
              </w:rPr>
            </w:pPr>
            <w:r>
              <w:rPr>
                <w:rFonts w:eastAsia="Calibri"/>
                <w:b/>
                <w:bCs/>
                <w:sz w:val="22"/>
                <w:szCs w:val="22"/>
              </w:rPr>
              <w:t>Knogletæthed i hele hoften</w:t>
            </w:r>
          </w:p>
        </w:tc>
        <w:tc>
          <w:tcPr>
            <w:tcW w:w="1559" w:type="dxa"/>
            <w:tcBorders>
              <w:top w:val="single" w:sz="4" w:space="0" w:color="auto"/>
              <w:left w:val="single" w:sz="4" w:space="0" w:color="auto"/>
              <w:bottom w:val="single" w:sz="4" w:space="0" w:color="auto"/>
              <w:right w:val="single" w:sz="4" w:space="0" w:color="auto"/>
            </w:tcBorders>
          </w:tcPr>
          <w:p w:rsidR="0015631A" w:rsidRDefault="0015631A">
            <w:pPr>
              <w:tabs>
                <w:tab w:val="left" w:pos="4806"/>
              </w:tabs>
              <w:jc w:val="center"/>
              <w:rPr>
                <w:rFonts w:eastAsia="Calibri"/>
                <w:b/>
                <w:bCs/>
                <w:sz w:val="22"/>
                <w:szCs w:val="22"/>
              </w:rPr>
            </w:pPr>
          </w:p>
        </w:tc>
      </w:tr>
      <w:tr w:rsidR="0015631A" w:rsidTr="0015631A">
        <w:tc>
          <w:tcPr>
            <w:tcW w:w="1487" w:type="dxa"/>
            <w:tcBorders>
              <w:top w:val="single" w:sz="4" w:space="0" w:color="auto"/>
              <w:left w:val="single" w:sz="4" w:space="0" w:color="auto"/>
              <w:bottom w:val="single" w:sz="4" w:space="0" w:color="auto"/>
              <w:right w:val="single" w:sz="4" w:space="0" w:color="auto"/>
            </w:tcBorders>
            <w:hideMark/>
          </w:tcPr>
          <w:p w:rsidR="0015631A" w:rsidRDefault="0015631A">
            <w:pPr>
              <w:pStyle w:val="Style1"/>
              <w:keepNext/>
              <w:adjustRightInd/>
              <w:ind w:leftChars="6" w:left="14"/>
              <w:jc w:val="center"/>
              <w:rPr>
                <w:sz w:val="22"/>
                <w:szCs w:val="22"/>
              </w:rPr>
            </w:pPr>
            <w:r>
              <w:rPr>
                <w:sz w:val="22"/>
                <w:szCs w:val="22"/>
              </w:rPr>
              <w:t>0</w:t>
            </w:r>
          </w:p>
          <w:p w:rsidR="0015631A" w:rsidRDefault="0015631A">
            <w:pPr>
              <w:pStyle w:val="Style1"/>
              <w:keepNext/>
              <w:adjustRightInd/>
              <w:ind w:leftChars="6" w:left="14"/>
              <w:jc w:val="center"/>
              <w:rPr>
                <w:sz w:val="22"/>
                <w:szCs w:val="22"/>
              </w:rPr>
            </w:pPr>
            <w:r>
              <w:rPr>
                <w:sz w:val="22"/>
                <w:szCs w:val="22"/>
              </w:rPr>
              <w:t>24</w:t>
            </w:r>
          </w:p>
          <w:p w:rsidR="0015631A" w:rsidRDefault="0015631A">
            <w:pPr>
              <w:pStyle w:val="Style1"/>
              <w:keepNext/>
              <w:adjustRightInd/>
              <w:ind w:leftChars="6" w:left="14"/>
              <w:jc w:val="center"/>
              <w:rPr>
                <w:sz w:val="22"/>
                <w:szCs w:val="22"/>
              </w:rPr>
            </w:pPr>
            <w:r>
              <w:rPr>
                <w:sz w:val="22"/>
                <w:szCs w:val="22"/>
              </w:rPr>
              <w:t>60</w:t>
            </w:r>
          </w:p>
          <w:p w:rsidR="0015631A" w:rsidRDefault="0015631A">
            <w:pPr>
              <w:pStyle w:val="Style1"/>
              <w:keepNext/>
              <w:adjustRightInd/>
              <w:ind w:leftChars="6" w:left="14"/>
              <w:jc w:val="center"/>
              <w:rPr>
                <w:sz w:val="22"/>
                <w:szCs w:val="22"/>
              </w:rPr>
            </w:pPr>
            <w:r>
              <w:rPr>
                <w:sz w:val="22"/>
                <w:szCs w:val="22"/>
              </w:rPr>
              <w:t>120</w:t>
            </w:r>
          </w:p>
          <w:p w:rsidR="0015631A" w:rsidRDefault="0015631A">
            <w:pPr>
              <w:pStyle w:val="Style1"/>
              <w:keepNext/>
              <w:adjustRightInd/>
              <w:ind w:leftChars="6" w:left="14"/>
              <w:jc w:val="center"/>
              <w:rPr>
                <w:sz w:val="22"/>
                <w:szCs w:val="22"/>
              </w:rPr>
            </w:pPr>
            <w:r>
              <w:rPr>
                <w:sz w:val="22"/>
                <w:szCs w:val="22"/>
              </w:rPr>
              <w:t>180</w:t>
            </w:r>
          </w:p>
          <w:p w:rsidR="0015631A" w:rsidRDefault="0015631A">
            <w:pPr>
              <w:pStyle w:val="Style1"/>
              <w:keepNext/>
              <w:adjustRightInd/>
              <w:ind w:leftChars="6" w:left="14"/>
              <w:jc w:val="center"/>
              <w:rPr>
                <w:sz w:val="22"/>
                <w:szCs w:val="22"/>
              </w:rPr>
            </w:pPr>
            <w:r>
              <w:rPr>
                <w:sz w:val="22"/>
                <w:szCs w:val="22"/>
              </w:rPr>
              <w:t>240</w:t>
            </w:r>
          </w:p>
        </w:tc>
        <w:tc>
          <w:tcPr>
            <w:tcW w:w="635" w:type="dxa"/>
            <w:tcBorders>
              <w:top w:val="single" w:sz="4" w:space="0" w:color="auto"/>
              <w:left w:val="single" w:sz="4" w:space="0" w:color="auto"/>
              <w:bottom w:val="single" w:sz="4" w:space="0" w:color="auto"/>
              <w:right w:val="single" w:sz="4" w:space="0" w:color="auto"/>
            </w:tcBorders>
            <w:hideMark/>
          </w:tcPr>
          <w:p w:rsidR="0015631A" w:rsidRDefault="0015631A">
            <w:pPr>
              <w:keepNext/>
              <w:ind w:leftChars="6" w:left="14"/>
              <w:jc w:val="center"/>
              <w:rPr>
                <w:rFonts w:eastAsia="Calibri"/>
                <w:sz w:val="22"/>
                <w:szCs w:val="22"/>
              </w:rPr>
            </w:pPr>
            <w:r>
              <w:rPr>
                <w:rFonts w:eastAsia="Calibri"/>
                <w:sz w:val="22"/>
                <w:szCs w:val="22"/>
              </w:rPr>
              <w:t>98</w:t>
            </w:r>
          </w:p>
          <w:p w:rsidR="0015631A" w:rsidRDefault="0015631A">
            <w:pPr>
              <w:keepNext/>
              <w:ind w:leftChars="6" w:left="14"/>
              <w:jc w:val="center"/>
              <w:rPr>
                <w:rFonts w:eastAsia="Calibri"/>
                <w:sz w:val="22"/>
                <w:szCs w:val="22"/>
              </w:rPr>
            </w:pPr>
            <w:r>
              <w:rPr>
                <w:rFonts w:eastAsia="Calibri"/>
                <w:sz w:val="22"/>
                <w:szCs w:val="22"/>
              </w:rPr>
              <w:t>74</w:t>
            </w:r>
          </w:p>
          <w:p w:rsidR="0015631A" w:rsidRDefault="0015631A">
            <w:pPr>
              <w:keepNext/>
              <w:ind w:leftChars="6" w:left="14"/>
              <w:jc w:val="center"/>
              <w:rPr>
                <w:rFonts w:eastAsia="Calibri"/>
                <w:sz w:val="22"/>
                <w:szCs w:val="22"/>
              </w:rPr>
            </w:pPr>
            <w:r>
              <w:rPr>
                <w:rFonts w:eastAsia="Calibri"/>
                <w:sz w:val="22"/>
                <w:szCs w:val="22"/>
              </w:rPr>
              <w:t>71</w:t>
            </w:r>
          </w:p>
          <w:p w:rsidR="0015631A" w:rsidRDefault="0015631A">
            <w:pPr>
              <w:keepNext/>
              <w:ind w:leftChars="6" w:left="14"/>
              <w:jc w:val="center"/>
              <w:rPr>
                <w:rFonts w:eastAsia="Calibri"/>
                <w:sz w:val="22"/>
                <w:szCs w:val="22"/>
              </w:rPr>
            </w:pPr>
            <w:r>
              <w:rPr>
                <w:rFonts w:eastAsia="Calibri"/>
                <w:sz w:val="22"/>
                <w:szCs w:val="22"/>
              </w:rPr>
              <w:t>52</w:t>
            </w:r>
          </w:p>
          <w:p w:rsidR="0015631A" w:rsidRDefault="0015631A">
            <w:pPr>
              <w:keepNext/>
              <w:ind w:leftChars="6" w:left="14"/>
              <w:jc w:val="center"/>
              <w:rPr>
                <w:rFonts w:eastAsia="Calibri"/>
                <w:sz w:val="22"/>
                <w:szCs w:val="22"/>
              </w:rPr>
            </w:pPr>
            <w:r>
              <w:rPr>
                <w:rFonts w:eastAsia="Calibri"/>
                <w:sz w:val="22"/>
                <w:szCs w:val="22"/>
              </w:rPr>
              <w:t>39</w:t>
            </w:r>
          </w:p>
          <w:p w:rsidR="0015631A" w:rsidRDefault="0015631A">
            <w:pPr>
              <w:jc w:val="center"/>
              <w:rPr>
                <w:rFonts w:eastAsia="Calibri"/>
                <w:b/>
                <w:bCs/>
                <w:sz w:val="22"/>
                <w:szCs w:val="22"/>
                <w:u w:val="single"/>
              </w:rPr>
            </w:pPr>
            <w:r>
              <w:rPr>
                <w:rFonts w:eastAsia="Calibri"/>
                <w:sz w:val="22"/>
                <w:szCs w:val="22"/>
              </w:rPr>
              <w:t>25</w:t>
            </w:r>
          </w:p>
        </w:tc>
        <w:tc>
          <w:tcPr>
            <w:tcW w:w="1275" w:type="dxa"/>
            <w:tcBorders>
              <w:top w:val="single" w:sz="4" w:space="0" w:color="auto"/>
              <w:left w:val="single" w:sz="4" w:space="0" w:color="auto"/>
              <w:bottom w:val="single" w:sz="4" w:space="0" w:color="auto"/>
              <w:right w:val="single" w:sz="4" w:space="0" w:color="auto"/>
            </w:tcBorders>
            <w:hideMark/>
          </w:tcPr>
          <w:p w:rsidR="0015631A" w:rsidRDefault="0015631A">
            <w:pPr>
              <w:keepNext/>
              <w:ind w:leftChars="6" w:left="14"/>
              <w:jc w:val="center"/>
              <w:rPr>
                <w:sz w:val="22"/>
                <w:szCs w:val="22"/>
              </w:rPr>
            </w:pPr>
            <w:r>
              <w:rPr>
                <w:sz w:val="22"/>
                <w:szCs w:val="22"/>
              </w:rPr>
              <w:t>9</w:t>
            </w:r>
          </w:p>
          <w:p w:rsidR="0015631A" w:rsidRDefault="0015631A">
            <w:pPr>
              <w:keepNext/>
              <w:ind w:leftChars="6" w:left="14"/>
              <w:jc w:val="center"/>
              <w:rPr>
                <w:sz w:val="22"/>
                <w:szCs w:val="22"/>
              </w:rPr>
            </w:pPr>
            <w:r>
              <w:rPr>
                <w:sz w:val="22"/>
                <w:szCs w:val="22"/>
              </w:rPr>
              <w:t>9</w:t>
            </w:r>
          </w:p>
          <w:p w:rsidR="0015631A" w:rsidRDefault="0015631A">
            <w:pPr>
              <w:keepNext/>
              <w:ind w:leftChars="6" w:left="14"/>
              <w:jc w:val="center"/>
              <w:rPr>
                <w:sz w:val="22"/>
                <w:szCs w:val="22"/>
              </w:rPr>
            </w:pPr>
            <w:r>
              <w:rPr>
                <w:sz w:val="22"/>
                <w:szCs w:val="22"/>
              </w:rPr>
              <w:t>8</w:t>
            </w:r>
          </w:p>
          <w:p w:rsidR="0015631A" w:rsidRDefault="0015631A">
            <w:pPr>
              <w:keepNext/>
              <w:ind w:leftChars="6" w:left="14"/>
              <w:jc w:val="center"/>
              <w:rPr>
                <w:sz w:val="22"/>
                <w:szCs w:val="22"/>
              </w:rPr>
            </w:pPr>
            <w:r>
              <w:rPr>
                <w:sz w:val="22"/>
                <w:szCs w:val="22"/>
              </w:rPr>
              <w:t>10</w:t>
            </w:r>
          </w:p>
          <w:p w:rsidR="0015631A" w:rsidRDefault="0015631A">
            <w:pPr>
              <w:keepNext/>
              <w:ind w:leftChars="6" w:left="14"/>
              <w:jc w:val="center"/>
              <w:rPr>
                <w:sz w:val="22"/>
                <w:szCs w:val="22"/>
              </w:rPr>
            </w:pPr>
            <w:r>
              <w:rPr>
                <w:sz w:val="22"/>
                <w:szCs w:val="22"/>
              </w:rPr>
              <w:t>7</w:t>
            </w:r>
          </w:p>
          <w:p w:rsidR="0015631A" w:rsidRDefault="0015631A">
            <w:pPr>
              <w:keepNext/>
              <w:ind w:leftChars="6" w:left="14"/>
              <w:jc w:val="center"/>
              <w:rPr>
                <w:sz w:val="22"/>
                <w:szCs w:val="22"/>
              </w:rPr>
            </w:pPr>
            <w:r>
              <w:rPr>
                <w:sz w:val="22"/>
                <w:szCs w:val="22"/>
              </w:rPr>
              <w:t>9</w:t>
            </w:r>
          </w:p>
        </w:tc>
        <w:tc>
          <w:tcPr>
            <w:tcW w:w="1843" w:type="dxa"/>
            <w:tcBorders>
              <w:top w:val="single" w:sz="4" w:space="0" w:color="auto"/>
              <w:left w:val="single" w:sz="4" w:space="0" w:color="auto"/>
              <w:bottom w:val="single" w:sz="4" w:space="0" w:color="auto"/>
              <w:right w:val="single" w:sz="4" w:space="0" w:color="auto"/>
            </w:tcBorders>
            <w:hideMark/>
          </w:tcPr>
          <w:p w:rsidR="0015631A" w:rsidRDefault="0015631A">
            <w:pPr>
              <w:keepNext/>
              <w:ind w:leftChars="6" w:left="14"/>
              <w:jc w:val="center"/>
              <w:rPr>
                <w:sz w:val="22"/>
                <w:szCs w:val="22"/>
              </w:rPr>
            </w:pPr>
            <w:r>
              <w:rPr>
                <w:sz w:val="22"/>
                <w:szCs w:val="22"/>
              </w:rPr>
              <w:t>-4,1 (0,43)</w:t>
            </w:r>
          </w:p>
          <w:p w:rsidR="0015631A" w:rsidRDefault="0015631A">
            <w:pPr>
              <w:keepNext/>
              <w:ind w:leftChars="6" w:left="14"/>
              <w:jc w:val="center"/>
              <w:rPr>
                <w:sz w:val="22"/>
                <w:szCs w:val="22"/>
              </w:rPr>
            </w:pPr>
            <w:r>
              <w:rPr>
                <w:sz w:val="22"/>
                <w:szCs w:val="22"/>
              </w:rPr>
              <w:t>-4,1 (0,53)</w:t>
            </w:r>
          </w:p>
          <w:p w:rsidR="0015631A" w:rsidRDefault="0015631A">
            <w:pPr>
              <w:keepNext/>
              <w:ind w:leftChars="6" w:left="14"/>
              <w:jc w:val="center"/>
              <w:rPr>
                <w:sz w:val="22"/>
                <w:szCs w:val="22"/>
              </w:rPr>
            </w:pPr>
            <w:r>
              <w:rPr>
                <w:sz w:val="22"/>
                <w:szCs w:val="22"/>
              </w:rPr>
              <w:t>-3,6 (0,46)</w:t>
            </w:r>
          </w:p>
          <w:p w:rsidR="0015631A" w:rsidRDefault="0015631A">
            <w:pPr>
              <w:keepNext/>
              <w:ind w:leftChars="6" w:left="14"/>
              <w:jc w:val="center"/>
              <w:rPr>
                <w:sz w:val="22"/>
                <w:szCs w:val="22"/>
              </w:rPr>
            </w:pPr>
            <w:r>
              <w:rPr>
                <w:sz w:val="22"/>
                <w:szCs w:val="22"/>
              </w:rPr>
              <w:t>-4,3 (0,64)</w:t>
            </w:r>
          </w:p>
          <w:p w:rsidR="0015631A" w:rsidRDefault="0015631A">
            <w:pPr>
              <w:keepNext/>
              <w:ind w:leftChars="6" w:left="14"/>
              <w:jc w:val="center"/>
              <w:rPr>
                <w:sz w:val="22"/>
                <w:szCs w:val="22"/>
              </w:rPr>
            </w:pPr>
            <w:r>
              <w:rPr>
                <w:sz w:val="22"/>
                <w:szCs w:val="22"/>
              </w:rPr>
              <w:t>-4,1 (0,72)</w:t>
            </w:r>
          </w:p>
          <w:p w:rsidR="0015631A" w:rsidRDefault="0015631A">
            <w:pPr>
              <w:keepNext/>
              <w:ind w:leftChars="6" w:left="14"/>
              <w:jc w:val="center"/>
              <w:rPr>
                <w:sz w:val="22"/>
                <w:szCs w:val="22"/>
              </w:rPr>
            </w:pPr>
            <w:r>
              <w:rPr>
                <w:sz w:val="22"/>
                <w:szCs w:val="22"/>
              </w:rPr>
              <w:t>-3,4 (0,67)</w:t>
            </w:r>
          </w:p>
        </w:tc>
        <w:tc>
          <w:tcPr>
            <w:tcW w:w="1701" w:type="dxa"/>
            <w:tcBorders>
              <w:top w:val="single" w:sz="4" w:space="0" w:color="auto"/>
              <w:left w:val="single" w:sz="4" w:space="0" w:color="auto"/>
              <w:bottom w:val="single" w:sz="4" w:space="0" w:color="auto"/>
              <w:right w:val="single" w:sz="4" w:space="0" w:color="auto"/>
            </w:tcBorders>
            <w:hideMark/>
          </w:tcPr>
          <w:p w:rsidR="0015631A" w:rsidRDefault="0015631A">
            <w:pPr>
              <w:keepNext/>
              <w:ind w:leftChars="6" w:left="14"/>
              <w:jc w:val="center"/>
              <w:rPr>
                <w:sz w:val="22"/>
                <w:szCs w:val="22"/>
                <w:lang w:val="en-GB" w:eastAsia="en-GB"/>
              </w:rPr>
            </w:pPr>
            <w:r>
              <w:rPr>
                <w:sz w:val="22"/>
                <w:szCs w:val="22"/>
                <w:lang w:val="en-GB" w:eastAsia="en-GB"/>
              </w:rPr>
              <w:t>[ -4,95; -3,25]</w:t>
            </w:r>
          </w:p>
          <w:p w:rsidR="0015631A" w:rsidRDefault="0015631A">
            <w:pPr>
              <w:keepNext/>
              <w:ind w:leftChars="6" w:left="14"/>
              <w:jc w:val="center"/>
              <w:rPr>
                <w:sz w:val="22"/>
                <w:szCs w:val="22"/>
                <w:lang w:val="en-GB" w:eastAsia="en-GB"/>
              </w:rPr>
            </w:pPr>
            <w:r>
              <w:rPr>
                <w:sz w:val="22"/>
                <w:szCs w:val="22"/>
                <w:lang w:val="en-GB" w:eastAsia="en-GB"/>
              </w:rPr>
              <w:t>[ -5,15; -3,04]</w:t>
            </w:r>
          </w:p>
          <w:p w:rsidR="0015631A" w:rsidRDefault="0015631A">
            <w:pPr>
              <w:keepNext/>
              <w:ind w:leftChars="6" w:left="14"/>
              <w:jc w:val="center"/>
              <w:rPr>
                <w:sz w:val="22"/>
                <w:szCs w:val="22"/>
                <w:lang w:val="en-GB" w:eastAsia="en-GB"/>
              </w:rPr>
            </w:pPr>
            <w:r>
              <w:rPr>
                <w:sz w:val="22"/>
                <w:szCs w:val="22"/>
                <w:lang w:val="en-GB" w:eastAsia="en-GB"/>
              </w:rPr>
              <w:t>[ -4,48; -2,66]</w:t>
            </w:r>
          </w:p>
          <w:p w:rsidR="0015631A" w:rsidRDefault="0015631A">
            <w:pPr>
              <w:keepNext/>
              <w:ind w:leftChars="6" w:left="14"/>
              <w:jc w:val="center"/>
              <w:rPr>
                <w:sz w:val="22"/>
                <w:szCs w:val="22"/>
                <w:lang w:val="en-GB" w:eastAsia="en-GB"/>
              </w:rPr>
            </w:pPr>
            <w:r>
              <w:rPr>
                <w:sz w:val="22"/>
                <w:szCs w:val="22"/>
                <w:lang w:val="en-GB" w:eastAsia="en-GB"/>
              </w:rPr>
              <w:t>[ -5,56; -2,98]</w:t>
            </w:r>
          </w:p>
          <w:p w:rsidR="0015631A" w:rsidRDefault="0015631A">
            <w:pPr>
              <w:keepNext/>
              <w:ind w:leftChars="6" w:left="14"/>
              <w:jc w:val="center"/>
              <w:rPr>
                <w:sz w:val="22"/>
                <w:szCs w:val="22"/>
                <w:lang w:val="en-GB" w:eastAsia="en-GB"/>
              </w:rPr>
            </w:pPr>
            <w:r>
              <w:rPr>
                <w:sz w:val="22"/>
                <w:szCs w:val="22"/>
                <w:lang w:val="en-GB" w:eastAsia="en-GB"/>
              </w:rPr>
              <w:t>[ -5,55; -2,63]</w:t>
            </w:r>
          </w:p>
          <w:p w:rsidR="0015631A" w:rsidRDefault="0015631A">
            <w:pPr>
              <w:keepNext/>
              <w:ind w:leftChars="6" w:left="14"/>
              <w:jc w:val="center"/>
              <w:rPr>
                <w:sz w:val="22"/>
                <w:szCs w:val="22"/>
              </w:rPr>
            </w:pPr>
            <w:r>
              <w:rPr>
                <w:sz w:val="22"/>
                <w:szCs w:val="22"/>
                <w:lang w:val="en-GB" w:eastAsia="en-GB"/>
              </w:rPr>
              <w:t>[ -4,73; -1,98]</w:t>
            </w:r>
          </w:p>
        </w:tc>
        <w:tc>
          <w:tcPr>
            <w:tcW w:w="1276" w:type="dxa"/>
            <w:tcBorders>
              <w:top w:val="single" w:sz="4" w:space="0" w:color="auto"/>
              <w:left w:val="single" w:sz="4" w:space="0" w:color="auto"/>
              <w:bottom w:val="single" w:sz="4" w:space="0" w:color="auto"/>
              <w:right w:val="single" w:sz="4" w:space="0" w:color="auto"/>
            </w:tcBorders>
            <w:hideMark/>
          </w:tcPr>
          <w:p w:rsidR="0015631A" w:rsidRDefault="0015631A">
            <w:pPr>
              <w:keepNext/>
              <w:ind w:leftChars="6" w:left="14"/>
              <w:jc w:val="center"/>
              <w:rPr>
                <w:sz w:val="22"/>
                <w:szCs w:val="22"/>
              </w:rPr>
            </w:pPr>
            <w:r>
              <w:rPr>
                <w:sz w:val="22"/>
                <w:szCs w:val="22"/>
              </w:rPr>
              <w:t>N/A</w:t>
            </w:r>
          </w:p>
          <w:p w:rsidR="0015631A" w:rsidRDefault="0015631A">
            <w:pPr>
              <w:keepNext/>
              <w:ind w:leftChars="6" w:left="14"/>
              <w:jc w:val="center"/>
              <w:rPr>
                <w:sz w:val="22"/>
                <w:szCs w:val="22"/>
              </w:rPr>
            </w:pPr>
            <w:r>
              <w:rPr>
                <w:sz w:val="22"/>
                <w:szCs w:val="22"/>
              </w:rPr>
              <w:t>-4.0 (0,61)</w:t>
            </w:r>
          </w:p>
          <w:p w:rsidR="0015631A" w:rsidRDefault="0015631A">
            <w:pPr>
              <w:keepNext/>
              <w:ind w:leftChars="6" w:left="14"/>
              <w:jc w:val="center"/>
              <w:rPr>
                <w:sz w:val="22"/>
                <w:szCs w:val="22"/>
              </w:rPr>
            </w:pPr>
            <w:r>
              <w:rPr>
                <w:sz w:val="22"/>
                <w:szCs w:val="22"/>
              </w:rPr>
              <w:t>-2.8 (0,56)</w:t>
            </w:r>
          </w:p>
          <w:p w:rsidR="0015631A" w:rsidRDefault="0015631A">
            <w:pPr>
              <w:keepNext/>
              <w:ind w:leftChars="6" w:left="14"/>
              <w:jc w:val="center"/>
              <w:rPr>
                <w:sz w:val="22"/>
                <w:szCs w:val="22"/>
              </w:rPr>
            </w:pPr>
            <w:r>
              <w:rPr>
                <w:sz w:val="22"/>
                <w:szCs w:val="22"/>
              </w:rPr>
              <w:t>-1.7 (0,72)</w:t>
            </w:r>
          </w:p>
          <w:p w:rsidR="0015631A" w:rsidRDefault="0015631A">
            <w:pPr>
              <w:keepNext/>
              <w:ind w:leftChars="6" w:left="14"/>
              <w:jc w:val="center"/>
              <w:rPr>
                <w:sz w:val="22"/>
                <w:szCs w:val="22"/>
              </w:rPr>
            </w:pPr>
            <w:r>
              <w:rPr>
                <w:sz w:val="22"/>
                <w:szCs w:val="22"/>
              </w:rPr>
              <w:t>-1.2 (0,85)</w:t>
            </w:r>
          </w:p>
          <w:p w:rsidR="0015631A" w:rsidRDefault="0015631A">
            <w:pPr>
              <w:keepNext/>
              <w:ind w:leftChars="6" w:left="14"/>
              <w:jc w:val="center"/>
              <w:rPr>
                <w:rFonts w:eastAsia="Calibri"/>
                <w:sz w:val="22"/>
                <w:szCs w:val="22"/>
              </w:rPr>
            </w:pPr>
            <w:r>
              <w:rPr>
                <w:sz w:val="22"/>
                <w:szCs w:val="22"/>
              </w:rPr>
              <w:t>0.1 (0,98)</w:t>
            </w:r>
          </w:p>
        </w:tc>
        <w:tc>
          <w:tcPr>
            <w:tcW w:w="1559" w:type="dxa"/>
            <w:tcBorders>
              <w:top w:val="single" w:sz="4" w:space="0" w:color="auto"/>
              <w:left w:val="single" w:sz="4" w:space="0" w:color="auto"/>
              <w:bottom w:val="single" w:sz="4" w:space="0" w:color="auto"/>
              <w:right w:val="single" w:sz="4" w:space="0" w:color="auto"/>
            </w:tcBorders>
          </w:tcPr>
          <w:p w:rsidR="0015631A" w:rsidRDefault="0015631A">
            <w:pPr>
              <w:keepNext/>
              <w:ind w:leftChars="6" w:left="14"/>
              <w:jc w:val="center"/>
              <w:rPr>
                <w:sz w:val="22"/>
                <w:szCs w:val="22"/>
                <w:lang w:val="en-GB" w:eastAsia="en-GB"/>
              </w:rPr>
            </w:pPr>
          </w:p>
          <w:p w:rsidR="0015631A" w:rsidRDefault="0015631A">
            <w:pPr>
              <w:keepNext/>
              <w:ind w:leftChars="6" w:left="14"/>
              <w:jc w:val="center"/>
              <w:rPr>
                <w:sz w:val="22"/>
                <w:szCs w:val="22"/>
                <w:lang w:val="en-GB" w:eastAsia="en-GB"/>
              </w:rPr>
            </w:pPr>
            <w:r>
              <w:rPr>
                <w:sz w:val="22"/>
                <w:szCs w:val="22"/>
                <w:lang w:val="en-GB" w:eastAsia="en-GB"/>
              </w:rPr>
              <w:t>[ -5,25; -2,80]</w:t>
            </w:r>
          </w:p>
          <w:p w:rsidR="0015631A" w:rsidRDefault="0015631A">
            <w:pPr>
              <w:keepNext/>
              <w:ind w:leftChars="6" w:left="14"/>
              <w:jc w:val="center"/>
              <w:rPr>
                <w:sz w:val="22"/>
                <w:szCs w:val="22"/>
                <w:lang w:val="en-GB" w:eastAsia="en-GB"/>
              </w:rPr>
            </w:pPr>
            <w:r>
              <w:rPr>
                <w:sz w:val="22"/>
                <w:szCs w:val="22"/>
                <w:lang w:val="en-GB" w:eastAsia="en-GB"/>
              </w:rPr>
              <w:t>[ -3,97; -1,72]</w:t>
            </w:r>
          </w:p>
          <w:p w:rsidR="0015631A" w:rsidRDefault="0015631A">
            <w:pPr>
              <w:keepNext/>
              <w:ind w:leftChars="6" w:left="14"/>
              <w:jc w:val="center"/>
              <w:rPr>
                <w:sz w:val="22"/>
                <w:szCs w:val="22"/>
                <w:lang w:val="en-GB" w:eastAsia="en-GB"/>
              </w:rPr>
            </w:pPr>
            <w:r>
              <w:rPr>
                <w:sz w:val="22"/>
                <w:szCs w:val="22"/>
                <w:lang w:val="en-GB" w:eastAsia="en-GB"/>
              </w:rPr>
              <w:t>[ -3,14; -0,26]</w:t>
            </w:r>
          </w:p>
          <w:p w:rsidR="0015631A" w:rsidRDefault="0015631A">
            <w:pPr>
              <w:keepNext/>
              <w:ind w:leftChars="6" w:left="14"/>
              <w:jc w:val="center"/>
              <w:rPr>
                <w:sz w:val="22"/>
                <w:szCs w:val="22"/>
                <w:lang w:val="en-GB" w:eastAsia="en-GB"/>
              </w:rPr>
            </w:pPr>
            <w:r>
              <w:rPr>
                <w:sz w:val="22"/>
                <w:szCs w:val="22"/>
                <w:lang w:val="en-GB" w:eastAsia="en-GB"/>
              </w:rPr>
              <w:t>[ -2,96; 0,46]</w:t>
            </w:r>
          </w:p>
          <w:p w:rsidR="0015631A" w:rsidRDefault="0015631A">
            <w:pPr>
              <w:keepNext/>
              <w:ind w:leftChars="6" w:left="14"/>
              <w:jc w:val="center"/>
              <w:rPr>
                <w:sz w:val="22"/>
                <w:szCs w:val="22"/>
              </w:rPr>
            </w:pPr>
            <w:r>
              <w:rPr>
                <w:sz w:val="22"/>
                <w:szCs w:val="22"/>
                <w:lang w:val="en-GB" w:eastAsia="en-GB"/>
              </w:rPr>
              <w:t>[ -1,95; 2,11]</w:t>
            </w:r>
          </w:p>
        </w:tc>
      </w:tr>
      <w:tr w:rsidR="0015631A" w:rsidTr="0015631A">
        <w:tc>
          <w:tcPr>
            <w:tcW w:w="8217" w:type="dxa"/>
            <w:gridSpan w:val="6"/>
            <w:tcBorders>
              <w:top w:val="single" w:sz="4" w:space="0" w:color="auto"/>
              <w:left w:val="single" w:sz="4" w:space="0" w:color="auto"/>
              <w:bottom w:val="single" w:sz="4" w:space="0" w:color="auto"/>
              <w:right w:val="single" w:sz="4" w:space="0" w:color="auto"/>
            </w:tcBorders>
            <w:hideMark/>
          </w:tcPr>
          <w:p w:rsidR="0015631A" w:rsidRDefault="0015631A">
            <w:pPr>
              <w:rPr>
                <w:rFonts w:eastAsia="Calibri"/>
                <w:b/>
                <w:bCs/>
                <w:sz w:val="22"/>
                <w:szCs w:val="22"/>
                <w:u w:val="single"/>
              </w:rPr>
            </w:pPr>
            <w:r>
              <w:rPr>
                <w:rFonts w:eastAsia="Calibri"/>
                <w:b/>
                <w:bCs/>
                <w:sz w:val="22"/>
                <w:szCs w:val="22"/>
              </w:rPr>
              <w:t xml:space="preserve">Knogletæthed i </w:t>
            </w:r>
            <w:proofErr w:type="spellStart"/>
            <w:r>
              <w:rPr>
                <w:rFonts w:eastAsia="Calibri"/>
                <w:b/>
                <w:bCs/>
                <w:sz w:val="22"/>
                <w:szCs w:val="22"/>
              </w:rPr>
              <w:t>collum</w:t>
            </w:r>
            <w:proofErr w:type="spellEnd"/>
            <w:r>
              <w:rPr>
                <w:rFonts w:eastAsia="Calibri"/>
                <w:b/>
                <w:bCs/>
                <w:sz w:val="22"/>
                <w:szCs w:val="22"/>
              </w:rPr>
              <w:t xml:space="preserve"> </w:t>
            </w:r>
            <w:proofErr w:type="spellStart"/>
            <w:r>
              <w:rPr>
                <w:rFonts w:eastAsia="Calibri"/>
                <w:b/>
                <w:bCs/>
                <w:sz w:val="22"/>
                <w:szCs w:val="22"/>
              </w:rPr>
              <w:t>femoris</w:t>
            </w:r>
            <w:proofErr w:type="spellEnd"/>
          </w:p>
        </w:tc>
        <w:tc>
          <w:tcPr>
            <w:tcW w:w="1559" w:type="dxa"/>
            <w:tcBorders>
              <w:top w:val="single" w:sz="4" w:space="0" w:color="auto"/>
              <w:left w:val="single" w:sz="4" w:space="0" w:color="auto"/>
              <w:bottom w:val="single" w:sz="4" w:space="0" w:color="auto"/>
              <w:right w:val="single" w:sz="4" w:space="0" w:color="auto"/>
            </w:tcBorders>
          </w:tcPr>
          <w:p w:rsidR="0015631A" w:rsidRDefault="0015631A">
            <w:pPr>
              <w:jc w:val="center"/>
              <w:rPr>
                <w:rFonts w:eastAsia="Calibri"/>
                <w:b/>
                <w:bCs/>
                <w:sz w:val="22"/>
                <w:szCs w:val="22"/>
              </w:rPr>
            </w:pPr>
          </w:p>
        </w:tc>
      </w:tr>
      <w:tr w:rsidR="0015631A" w:rsidTr="0015631A">
        <w:tc>
          <w:tcPr>
            <w:tcW w:w="1487" w:type="dxa"/>
            <w:tcBorders>
              <w:top w:val="single" w:sz="4" w:space="0" w:color="auto"/>
              <w:left w:val="single" w:sz="4" w:space="0" w:color="auto"/>
              <w:bottom w:val="single" w:sz="4" w:space="0" w:color="auto"/>
              <w:right w:val="single" w:sz="4" w:space="0" w:color="auto"/>
            </w:tcBorders>
            <w:hideMark/>
          </w:tcPr>
          <w:p w:rsidR="0015631A" w:rsidRDefault="0015631A">
            <w:pPr>
              <w:pStyle w:val="Style1"/>
              <w:adjustRightInd/>
              <w:ind w:leftChars="6" w:left="14"/>
              <w:jc w:val="center"/>
              <w:rPr>
                <w:sz w:val="22"/>
                <w:szCs w:val="22"/>
              </w:rPr>
            </w:pPr>
            <w:r>
              <w:rPr>
                <w:sz w:val="22"/>
                <w:szCs w:val="22"/>
              </w:rPr>
              <w:t xml:space="preserve">0 </w:t>
            </w:r>
          </w:p>
          <w:p w:rsidR="0015631A" w:rsidRDefault="0015631A">
            <w:pPr>
              <w:pStyle w:val="Style1"/>
              <w:adjustRightInd/>
              <w:ind w:leftChars="6" w:left="14"/>
              <w:jc w:val="center"/>
              <w:rPr>
                <w:sz w:val="22"/>
                <w:szCs w:val="22"/>
              </w:rPr>
            </w:pPr>
            <w:r>
              <w:rPr>
                <w:sz w:val="22"/>
                <w:szCs w:val="22"/>
              </w:rPr>
              <w:t xml:space="preserve">24 </w:t>
            </w:r>
          </w:p>
          <w:p w:rsidR="0015631A" w:rsidRDefault="0015631A">
            <w:pPr>
              <w:pStyle w:val="Style1"/>
              <w:adjustRightInd/>
              <w:ind w:leftChars="6" w:left="14"/>
              <w:jc w:val="center"/>
              <w:rPr>
                <w:sz w:val="22"/>
                <w:szCs w:val="22"/>
              </w:rPr>
            </w:pPr>
            <w:r>
              <w:rPr>
                <w:sz w:val="22"/>
                <w:szCs w:val="22"/>
              </w:rPr>
              <w:t>60</w:t>
            </w:r>
          </w:p>
          <w:p w:rsidR="0015631A" w:rsidRDefault="0015631A">
            <w:pPr>
              <w:pStyle w:val="Style1"/>
              <w:adjustRightInd/>
              <w:ind w:leftChars="6" w:left="14"/>
              <w:jc w:val="center"/>
              <w:rPr>
                <w:sz w:val="22"/>
                <w:szCs w:val="22"/>
              </w:rPr>
            </w:pPr>
            <w:r>
              <w:rPr>
                <w:sz w:val="22"/>
                <w:szCs w:val="22"/>
              </w:rPr>
              <w:t>120</w:t>
            </w:r>
          </w:p>
          <w:p w:rsidR="0015631A" w:rsidRDefault="0015631A">
            <w:pPr>
              <w:pStyle w:val="Style1"/>
              <w:adjustRightInd/>
              <w:ind w:leftChars="6" w:left="14"/>
              <w:jc w:val="center"/>
              <w:rPr>
                <w:sz w:val="22"/>
                <w:szCs w:val="22"/>
              </w:rPr>
            </w:pPr>
            <w:r>
              <w:rPr>
                <w:sz w:val="22"/>
                <w:szCs w:val="22"/>
              </w:rPr>
              <w:t>180</w:t>
            </w:r>
          </w:p>
          <w:p w:rsidR="0015631A" w:rsidRDefault="0015631A">
            <w:pPr>
              <w:pStyle w:val="Style1"/>
              <w:adjustRightInd/>
              <w:ind w:leftChars="6" w:left="14"/>
              <w:jc w:val="center"/>
              <w:rPr>
                <w:sz w:val="22"/>
                <w:szCs w:val="22"/>
              </w:rPr>
            </w:pPr>
            <w:r>
              <w:rPr>
                <w:sz w:val="22"/>
                <w:szCs w:val="22"/>
              </w:rPr>
              <w:t>240</w:t>
            </w:r>
          </w:p>
        </w:tc>
        <w:tc>
          <w:tcPr>
            <w:tcW w:w="635" w:type="dxa"/>
            <w:tcBorders>
              <w:top w:val="single" w:sz="4" w:space="0" w:color="auto"/>
              <w:left w:val="single" w:sz="4" w:space="0" w:color="auto"/>
              <w:bottom w:val="single" w:sz="4" w:space="0" w:color="auto"/>
              <w:right w:val="single" w:sz="4" w:space="0" w:color="auto"/>
            </w:tcBorders>
            <w:hideMark/>
          </w:tcPr>
          <w:p w:rsidR="0015631A" w:rsidRDefault="0015631A">
            <w:pPr>
              <w:keepNext/>
              <w:ind w:leftChars="6" w:left="14"/>
              <w:jc w:val="center"/>
              <w:rPr>
                <w:rFonts w:eastAsia="Calibri"/>
                <w:sz w:val="22"/>
                <w:szCs w:val="22"/>
              </w:rPr>
            </w:pPr>
            <w:r>
              <w:rPr>
                <w:rFonts w:eastAsia="Calibri"/>
                <w:sz w:val="22"/>
                <w:szCs w:val="22"/>
              </w:rPr>
              <w:t>98</w:t>
            </w:r>
          </w:p>
          <w:p w:rsidR="0015631A" w:rsidRDefault="0015631A">
            <w:pPr>
              <w:keepNext/>
              <w:ind w:leftChars="6" w:left="14"/>
              <w:jc w:val="center"/>
              <w:rPr>
                <w:rFonts w:eastAsia="Calibri"/>
                <w:sz w:val="22"/>
                <w:szCs w:val="22"/>
              </w:rPr>
            </w:pPr>
            <w:r>
              <w:rPr>
                <w:rFonts w:eastAsia="Calibri"/>
                <w:sz w:val="22"/>
                <w:szCs w:val="22"/>
              </w:rPr>
              <w:t>74</w:t>
            </w:r>
          </w:p>
          <w:p w:rsidR="0015631A" w:rsidRDefault="0015631A">
            <w:pPr>
              <w:keepNext/>
              <w:ind w:leftChars="6" w:left="14"/>
              <w:jc w:val="center"/>
              <w:rPr>
                <w:rFonts w:eastAsia="Calibri"/>
                <w:sz w:val="22"/>
                <w:szCs w:val="22"/>
              </w:rPr>
            </w:pPr>
            <w:r>
              <w:rPr>
                <w:rFonts w:eastAsia="Calibri"/>
                <w:sz w:val="22"/>
                <w:szCs w:val="22"/>
              </w:rPr>
              <w:t>71</w:t>
            </w:r>
          </w:p>
          <w:p w:rsidR="0015631A" w:rsidRDefault="0015631A">
            <w:pPr>
              <w:keepNext/>
              <w:ind w:leftChars="6" w:left="14"/>
              <w:jc w:val="center"/>
              <w:rPr>
                <w:rFonts w:eastAsia="Calibri"/>
                <w:sz w:val="22"/>
                <w:szCs w:val="22"/>
              </w:rPr>
            </w:pPr>
            <w:r>
              <w:rPr>
                <w:rFonts w:eastAsia="Calibri"/>
                <w:sz w:val="22"/>
                <w:szCs w:val="22"/>
              </w:rPr>
              <w:t>52</w:t>
            </w:r>
          </w:p>
          <w:p w:rsidR="0015631A" w:rsidRDefault="0015631A">
            <w:pPr>
              <w:keepNext/>
              <w:ind w:leftChars="6" w:left="14"/>
              <w:jc w:val="center"/>
              <w:rPr>
                <w:rFonts w:eastAsia="Calibri"/>
                <w:sz w:val="22"/>
                <w:szCs w:val="22"/>
              </w:rPr>
            </w:pPr>
            <w:r>
              <w:rPr>
                <w:rFonts w:eastAsia="Calibri"/>
                <w:sz w:val="22"/>
                <w:szCs w:val="22"/>
              </w:rPr>
              <w:t>39</w:t>
            </w:r>
          </w:p>
          <w:p w:rsidR="0015631A" w:rsidRDefault="0015631A">
            <w:pPr>
              <w:jc w:val="center"/>
              <w:rPr>
                <w:rFonts w:eastAsia="Calibri"/>
                <w:b/>
                <w:bCs/>
                <w:sz w:val="22"/>
                <w:szCs w:val="22"/>
                <w:u w:val="single"/>
              </w:rPr>
            </w:pPr>
            <w:r>
              <w:rPr>
                <w:rFonts w:eastAsia="Calibri"/>
                <w:sz w:val="22"/>
                <w:szCs w:val="22"/>
              </w:rPr>
              <w:t>25</w:t>
            </w:r>
          </w:p>
        </w:tc>
        <w:tc>
          <w:tcPr>
            <w:tcW w:w="1275" w:type="dxa"/>
            <w:tcBorders>
              <w:top w:val="single" w:sz="4" w:space="0" w:color="auto"/>
              <w:left w:val="single" w:sz="4" w:space="0" w:color="auto"/>
              <w:bottom w:val="single" w:sz="4" w:space="0" w:color="auto"/>
              <w:right w:val="single" w:sz="4" w:space="0" w:color="auto"/>
            </w:tcBorders>
            <w:hideMark/>
          </w:tcPr>
          <w:p w:rsidR="0015631A" w:rsidRDefault="0015631A">
            <w:pPr>
              <w:keepNext/>
              <w:ind w:leftChars="6" w:left="14"/>
              <w:jc w:val="center"/>
              <w:rPr>
                <w:sz w:val="22"/>
                <w:szCs w:val="22"/>
              </w:rPr>
            </w:pPr>
            <w:r>
              <w:rPr>
                <w:sz w:val="22"/>
                <w:szCs w:val="22"/>
              </w:rPr>
              <w:t>9</w:t>
            </w:r>
          </w:p>
          <w:p w:rsidR="0015631A" w:rsidRDefault="0015631A">
            <w:pPr>
              <w:keepNext/>
              <w:ind w:leftChars="6" w:left="14"/>
              <w:jc w:val="center"/>
              <w:rPr>
                <w:sz w:val="22"/>
                <w:szCs w:val="22"/>
              </w:rPr>
            </w:pPr>
            <w:r>
              <w:rPr>
                <w:sz w:val="22"/>
                <w:szCs w:val="22"/>
              </w:rPr>
              <w:t>9</w:t>
            </w:r>
          </w:p>
          <w:p w:rsidR="0015631A" w:rsidRDefault="0015631A">
            <w:pPr>
              <w:keepNext/>
              <w:ind w:leftChars="6" w:left="14"/>
              <w:jc w:val="center"/>
              <w:rPr>
                <w:sz w:val="22"/>
                <w:szCs w:val="22"/>
              </w:rPr>
            </w:pPr>
            <w:r>
              <w:rPr>
                <w:sz w:val="22"/>
                <w:szCs w:val="22"/>
              </w:rPr>
              <w:t>8</w:t>
            </w:r>
          </w:p>
          <w:p w:rsidR="0015631A" w:rsidRDefault="0015631A">
            <w:pPr>
              <w:keepNext/>
              <w:ind w:leftChars="6" w:left="14"/>
              <w:jc w:val="center"/>
              <w:rPr>
                <w:sz w:val="22"/>
                <w:szCs w:val="22"/>
              </w:rPr>
            </w:pPr>
            <w:r>
              <w:rPr>
                <w:sz w:val="22"/>
                <w:szCs w:val="22"/>
              </w:rPr>
              <w:t>10</w:t>
            </w:r>
          </w:p>
          <w:p w:rsidR="0015631A" w:rsidRDefault="0015631A">
            <w:pPr>
              <w:keepNext/>
              <w:ind w:leftChars="6" w:left="14"/>
              <w:jc w:val="center"/>
              <w:rPr>
                <w:sz w:val="22"/>
                <w:szCs w:val="22"/>
              </w:rPr>
            </w:pPr>
            <w:r>
              <w:rPr>
                <w:sz w:val="22"/>
                <w:szCs w:val="22"/>
              </w:rPr>
              <w:t>7</w:t>
            </w:r>
          </w:p>
          <w:p w:rsidR="0015631A" w:rsidRDefault="0015631A">
            <w:pPr>
              <w:keepNext/>
              <w:ind w:leftChars="6" w:left="14"/>
              <w:jc w:val="center"/>
              <w:rPr>
                <w:sz w:val="22"/>
                <w:szCs w:val="22"/>
              </w:rPr>
            </w:pPr>
            <w:r>
              <w:rPr>
                <w:sz w:val="22"/>
                <w:szCs w:val="22"/>
              </w:rPr>
              <w:t>9</w:t>
            </w:r>
          </w:p>
        </w:tc>
        <w:tc>
          <w:tcPr>
            <w:tcW w:w="1843" w:type="dxa"/>
            <w:tcBorders>
              <w:top w:val="single" w:sz="4" w:space="0" w:color="auto"/>
              <w:left w:val="single" w:sz="4" w:space="0" w:color="auto"/>
              <w:bottom w:val="single" w:sz="4" w:space="0" w:color="auto"/>
              <w:right w:val="single" w:sz="4" w:space="0" w:color="auto"/>
            </w:tcBorders>
            <w:hideMark/>
          </w:tcPr>
          <w:p w:rsidR="0015631A" w:rsidRDefault="0015631A">
            <w:pPr>
              <w:keepNext/>
              <w:ind w:leftChars="6" w:left="14"/>
              <w:jc w:val="center"/>
              <w:rPr>
                <w:sz w:val="22"/>
                <w:szCs w:val="22"/>
              </w:rPr>
            </w:pPr>
            <w:r>
              <w:rPr>
                <w:sz w:val="22"/>
                <w:szCs w:val="22"/>
              </w:rPr>
              <w:t>-3,9 (0,50)</w:t>
            </w:r>
          </w:p>
          <w:p w:rsidR="0015631A" w:rsidRDefault="0015631A">
            <w:pPr>
              <w:keepNext/>
              <w:ind w:leftChars="6" w:left="14"/>
              <w:jc w:val="center"/>
              <w:rPr>
                <w:sz w:val="22"/>
                <w:szCs w:val="22"/>
              </w:rPr>
            </w:pPr>
            <w:r>
              <w:rPr>
                <w:sz w:val="22"/>
                <w:szCs w:val="22"/>
              </w:rPr>
              <w:t>-3,8 (0,60)</w:t>
            </w:r>
          </w:p>
          <w:p w:rsidR="0015631A" w:rsidRDefault="0015631A">
            <w:pPr>
              <w:keepNext/>
              <w:ind w:leftChars="6" w:left="14"/>
              <w:jc w:val="center"/>
              <w:rPr>
                <w:sz w:val="22"/>
                <w:szCs w:val="22"/>
              </w:rPr>
            </w:pPr>
            <w:r>
              <w:rPr>
                <w:sz w:val="22"/>
                <w:szCs w:val="22"/>
              </w:rPr>
              <w:t>-3,3 (0,56)</w:t>
            </w:r>
          </w:p>
          <w:p w:rsidR="0015631A" w:rsidRDefault="0015631A">
            <w:pPr>
              <w:keepNext/>
              <w:ind w:leftChars="6" w:left="14"/>
              <w:jc w:val="center"/>
              <w:rPr>
                <w:sz w:val="22"/>
                <w:szCs w:val="22"/>
              </w:rPr>
            </w:pPr>
            <w:r>
              <w:rPr>
                <w:sz w:val="22"/>
                <w:szCs w:val="22"/>
              </w:rPr>
              <w:t>-3,8 (0,74)</w:t>
            </w:r>
          </w:p>
          <w:p w:rsidR="0015631A" w:rsidRDefault="0015631A">
            <w:pPr>
              <w:keepNext/>
              <w:ind w:leftChars="6" w:left="14"/>
              <w:jc w:val="center"/>
              <w:rPr>
                <w:sz w:val="22"/>
                <w:szCs w:val="22"/>
              </w:rPr>
            </w:pPr>
            <w:r>
              <w:rPr>
                <w:sz w:val="22"/>
                <w:szCs w:val="22"/>
              </w:rPr>
              <w:t>-3,9 (0,85)</w:t>
            </w:r>
          </w:p>
          <w:p w:rsidR="0015631A" w:rsidRDefault="0015631A">
            <w:pPr>
              <w:keepNext/>
              <w:ind w:leftChars="6" w:left="14"/>
              <w:jc w:val="center"/>
              <w:rPr>
                <w:sz w:val="22"/>
                <w:szCs w:val="22"/>
              </w:rPr>
            </w:pPr>
            <w:r>
              <w:rPr>
                <w:sz w:val="22"/>
                <w:szCs w:val="22"/>
              </w:rPr>
              <w:t>-3,4 (0,80)</w:t>
            </w:r>
          </w:p>
        </w:tc>
        <w:tc>
          <w:tcPr>
            <w:tcW w:w="1701" w:type="dxa"/>
            <w:tcBorders>
              <w:top w:val="single" w:sz="4" w:space="0" w:color="auto"/>
              <w:left w:val="single" w:sz="4" w:space="0" w:color="auto"/>
              <w:bottom w:val="single" w:sz="4" w:space="0" w:color="auto"/>
              <w:right w:val="single" w:sz="4" w:space="0" w:color="auto"/>
            </w:tcBorders>
            <w:hideMark/>
          </w:tcPr>
          <w:p w:rsidR="0015631A" w:rsidRDefault="0015631A">
            <w:pPr>
              <w:keepNext/>
              <w:ind w:leftChars="6" w:left="14"/>
              <w:jc w:val="center"/>
              <w:rPr>
                <w:sz w:val="22"/>
                <w:szCs w:val="22"/>
                <w:lang w:val="en-GB" w:eastAsia="en-GB"/>
              </w:rPr>
            </w:pPr>
            <w:r>
              <w:rPr>
                <w:sz w:val="22"/>
                <w:szCs w:val="22"/>
                <w:lang w:val="en-GB" w:eastAsia="en-GB"/>
              </w:rPr>
              <w:t>[ -4,92; -2,92]</w:t>
            </w:r>
          </w:p>
          <w:p w:rsidR="0015631A" w:rsidRDefault="0015631A">
            <w:pPr>
              <w:keepNext/>
              <w:ind w:leftChars="6" w:left="14"/>
              <w:jc w:val="center"/>
              <w:rPr>
                <w:sz w:val="22"/>
                <w:szCs w:val="22"/>
                <w:lang w:val="en-GB" w:eastAsia="en-GB"/>
              </w:rPr>
            </w:pPr>
            <w:r>
              <w:rPr>
                <w:sz w:val="22"/>
                <w:szCs w:val="22"/>
                <w:lang w:val="en-GB" w:eastAsia="en-GB"/>
              </w:rPr>
              <w:t>[ -5,01; -2,62]</w:t>
            </w:r>
          </w:p>
          <w:p w:rsidR="0015631A" w:rsidRDefault="0015631A">
            <w:pPr>
              <w:keepNext/>
              <w:ind w:leftChars="6" w:left="14"/>
              <w:jc w:val="center"/>
              <w:rPr>
                <w:sz w:val="22"/>
                <w:szCs w:val="22"/>
                <w:lang w:val="en-GB" w:eastAsia="en-GB"/>
              </w:rPr>
            </w:pPr>
            <w:r>
              <w:rPr>
                <w:sz w:val="22"/>
                <w:szCs w:val="22"/>
                <w:lang w:val="en-GB" w:eastAsia="en-GB"/>
              </w:rPr>
              <w:t>[ -4,41; -2,18]</w:t>
            </w:r>
          </w:p>
          <w:p w:rsidR="0015631A" w:rsidRDefault="0015631A">
            <w:pPr>
              <w:keepNext/>
              <w:ind w:leftChars="6" w:left="14"/>
              <w:jc w:val="center"/>
              <w:rPr>
                <w:sz w:val="22"/>
                <w:szCs w:val="22"/>
                <w:lang w:val="en-GB" w:eastAsia="en-GB"/>
              </w:rPr>
            </w:pPr>
            <w:r>
              <w:rPr>
                <w:sz w:val="22"/>
                <w:szCs w:val="22"/>
                <w:lang w:val="en-GB" w:eastAsia="en-GB"/>
              </w:rPr>
              <w:t>[ -5,25; -2,28]</w:t>
            </w:r>
          </w:p>
          <w:p w:rsidR="0015631A" w:rsidRDefault="0015631A">
            <w:pPr>
              <w:keepNext/>
              <w:ind w:leftChars="6" w:left="14"/>
              <w:jc w:val="center"/>
              <w:rPr>
                <w:sz w:val="22"/>
                <w:szCs w:val="22"/>
                <w:lang w:val="en-GB" w:eastAsia="en-GB"/>
              </w:rPr>
            </w:pPr>
            <w:r>
              <w:rPr>
                <w:sz w:val="22"/>
                <w:szCs w:val="22"/>
                <w:lang w:val="en-GB" w:eastAsia="en-GB"/>
              </w:rPr>
              <w:t>[ -5,62; -2,17]</w:t>
            </w:r>
          </w:p>
          <w:p w:rsidR="0015631A" w:rsidRDefault="0015631A">
            <w:pPr>
              <w:keepNext/>
              <w:ind w:leftChars="6" w:left="14"/>
              <w:jc w:val="center"/>
              <w:rPr>
                <w:sz w:val="22"/>
                <w:szCs w:val="22"/>
              </w:rPr>
            </w:pPr>
            <w:r>
              <w:rPr>
                <w:sz w:val="22"/>
                <w:szCs w:val="22"/>
                <w:lang w:val="en-GB" w:eastAsia="en-GB"/>
              </w:rPr>
              <w:t>[ -5,07; -1,78]</w:t>
            </w:r>
          </w:p>
        </w:tc>
        <w:tc>
          <w:tcPr>
            <w:tcW w:w="1276" w:type="dxa"/>
            <w:tcBorders>
              <w:top w:val="single" w:sz="4" w:space="0" w:color="auto"/>
              <w:left w:val="single" w:sz="4" w:space="0" w:color="auto"/>
              <w:bottom w:val="single" w:sz="4" w:space="0" w:color="auto"/>
              <w:right w:val="single" w:sz="4" w:space="0" w:color="auto"/>
            </w:tcBorders>
            <w:hideMark/>
          </w:tcPr>
          <w:p w:rsidR="0015631A" w:rsidRDefault="0015631A">
            <w:pPr>
              <w:keepNext/>
              <w:ind w:leftChars="6" w:left="14"/>
              <w:jc w:val="center"/>
              <w:rPr>
                <w:sz w:val="22"/>
                <w:szCs w:val="22"/>
              </w:rPr>
            </w:pPr>
            <w:r>
              <w:rPr>
                <w:sz w:val="22"/>
                <w:szCs w:val="22"/>
              </w:rPr>
              <w:t>N/A</w:t>
            </w:r>
          </w:p>
          <w:p w:rsidR="0015631A" w:rsidRDefault="0015631A">
            <w:pPr>
              <w:keepNext/>
              <w:ind w:leftChars="6" w:left="14"/>
              <w:jc w:val="center"/>
              <w:rPr>
                <w:sz w:val="22"/>
                <w:szCs w:val="22"/>
              </w:rPr>
            </w:pPr>
            <w:r>
              <w:rPr>
                <w:sz w:val="22"/>
                <w:szCs w:val="22"/>
              </w:rPr>
              <w:t>-4,0 (0,71)</w:t>
            </w:r>
          </w:p>
          <w:p w:rsidR="0015631A" w:rsidRDefault="0015631A">
            <w:pPr>
              <w:keepNext/>
              <w:ind w:leftChars="6" w:left="14"/>
              <w:jc w:val="center"/>
              <w:rPr>
                <w:sz w:val="22"/>
                <w:szCs w:val="22"/>
              </w:rPr>
            </w:pPr>
            <w:r>
              <w:rPr>
                <w:sz w:val="22"/>
                <w:szCs w:val="22"/>
              </w:rPr>
              <w:t>-3,6 (0,70)</w:t>
            </w:r>
          </w:p>
          <w:p w:rsidR="0015631A" w:rsidRDefault="0015631A">
            <w:pPr>
              <w:keepNext/>
              <w:ind w:leftChars="6" w:left="14"/>
              <w:jc w:val="center"/>
              <w:rPr>
                <w:sz w:val="22"/>
                <w:szCs w:val="22"/>
              </w:rPr>
            </w:pPr>
            <w:r>
              <w:rPr>
                <w:sz w:val="22"/>
                <w:szCs w:val="22"/>
              </w:rPr>
              <w:t>-1,8 (0,82)</w:t>
            </w:r>
          </w:p>
          <w:p w:rsidR="0015631A" w:rsidRDefault="0015631A">
            <w:pPr>
              <w:keepNext/>
              <w:ind w:leftChars="6" w:left="14"/>
              <w:jc w:val="center"/>
              <w:rPr>
                <w:sz w:val="22"/>
                <w:szCs w:val="22"/>
              </w:rPr>
            </w:pPr>
            <w:r>
              <w:rPr>
                <w:sz w:val="22"/>
                <w:szCs w:val="22"/>
              </w:rPr>
              <w:t>-1,0 (0,98)</w:t>
            </w:r>
          </w:p>
          <w:p w:rsidR="0015631A" w:rsidRDefault="0015631A">
            <w:pPr>
              <w:keepNext/>
              <w:ind w:leftChars="6" w:left="14"/>
              <w:jc w:val="center"/>
              <w:rPr>
                <w:rFonts w:eastAsia="Calibri"/>
                <w:sz w:val="22"/>
                <w:szCs w:val="22"/>
              </w:rPr>
            </w:pPr>
            <w:r>
              <w:rPr>
                <w:sz w:val="22"/>
                <w:szCs w:val="22"/>
              </w:rPr>
              <w:t>-0,7 (1,19)</w:t>
            </w:r>
          </w:p>
        </w:tc>
        <w:tc>
          <w:tcPr>
            <w:tcW w:w="1559" w:type="dxa"/>
            <w:tcBorders>
              <w:top w:val="single" w:sz="4" w:space="0" w:color="auto"/>
              <w:left w:val="single" w:sz="4" w:space="0" w:color="auto"/>
              <w:bottom w:val="single" w:sz="4" w:space="0" w:color="auto"/>
              <w:right w:val="single" w:sz="4" w:space="0" w:color="auto"/>
            </w:tcBorders>
          </w:tcPr>
          <w:p w:rsidR="0015631A" w:rsidRDefault="0015631A">
            <w:pPr>
              <w:keepNext/>
              <w:ind w:leftChars="6" w:left="14"/>
              <w:jc w:val="center"/>
              <w:rPr>
                <w:sz w:val="22"/>
                <w:szCs w:val="22"/>
                <w:lang w:val="en-GB" w:eastAsia="en-GB"/>
              </w:rPr>
            </w:pPr>
          </w:p>
          <w:p w:rsidR="0015631A" w:rsidRDefault="0015631A">
            <w:pPr>
              <w:keepNext/>
              <w:ind w:leftChars="6" w:left="14"/>
              <w:jc w:val="center"/>
              <w:rPr>
                <w:sz w:val="22"/>
                <w:szCs w:val="22"/>
                <w:lang w:val="en-GB" w:eastAsia="en-GB"/>
              </w:rPr>
            </w:pPr>
            <w:r>
              <w:rPr>
                <w:sz w:val="22"/>
                <w:szCs w:val="22"/>
                <w:lang w:val="en-GB" w:eastAsia="en-GB"/>
              </w:rPr>
              <w:t>[ -5,40; -2,55]</w:t>
            </w:r>
          </w:p>
          <w:p w:rsidR="0015631A" w:rsidRDefault="0015631A">
            <w:pPr>
              <w:keepNext/>
              <w:ind w:leftChars="6" w:left="14"/>
              <w:jc w:val="center"/>
              <w:rPr>
                <w:sz w:val="22"/>
                <w:szCs w:val="22"/>
                <w:lang w:val="en-GB" w:eastAsia="en-GB"/>
              </w:rPr>
            </w:pPr>
            <w:r>
              <w:rPr>
                <w:sz w:val="22"/>
                <w:szCs w:val="22"/>
                <w:lang w:val="en-GB" w:eastAsia="en-GB"/>
              </w:rPr>
              <w:t>[ -4,99; -2,18]</w:t>
            </w:r>
          </w:p>
          <w:p w:rsidR="0015631A" w:rsidRDefault="0015631A">
            <w:pPr>
              <w:keepNext/>
              <w:ind w:leftChars="6" w:left="14"/>
              <w:jc w:val="center"/>
              <w:rPr>
                <w:sz w:val="22"/>
                <w:szCs w:val="22"/>
                <w:lang w:val="en-GB" w:eastAsia="en-GB"/>
              </w:rPr>
            </w:pPr>
            <w:r>
              <w:rPr>
                <w:sz w:val="22"/>
                <w:szCs w:val="22"/>
                <w:lang w:val="en-GB" w:eastAsia="en-GB"/>
              </w:rPr>
              <w:t>[ -3,43; -0,13]</w:t>
            </w:r>
          </w:p>
          <w:p w:rsidR="0015631A" w:rsidRDefault="0015631A">
            <w:pPr>
              <w:keepNext/>
              <w:ind w:leftChars="6" w:left="14"/>
              <w:jc w:val="center"/>
              <w:rPr>
                <w:sz w:val="22"/>
                <w:szCs w:val="22"/>
                <w:lang w:val="en-GB" w:eastAsia="en-GB"/>
              </w:rPr>
            </w:pPr>
            <w:r>
              <w:rPr>
                <w:sz w:val="22"/>
                <w:szCs w:val="22"/>
                <w:lang w:val="en-GB" w:eastAsia="en-GB"/>
              </w:rPr>
              <w:t>[ -3,00; 0,97]</w:t>
            </w:r>
          </w:p>
          <w:p w:rsidR="0015631A" w:rsidRDefault="0015631A">
            <w:pPr>
              <w:keepNext/>
              <w:ind w:leftChars="6" w:left="14"/>
              <w:jc w:val="center"/>
              <w:rPr>
                <w:sz w:val="22"/>
                <w:szCs w:val="22"/>
              </w:rPr>
            </w:pPr>
            <w:r>
              <w:rPr>
                <w:sz w:val="22"/>
                <w:szCs w:val="22"/>
                <w:lang w:val="en-GB" w:eastAsia="en-GB"/>
              </w:rPr>
              <w:t>[ -3,20; 1,72]</w:t>
            </w:r>
          </w:p>
        </w:tc>
      </w:tr>
      <w:tr w:rsidR="0015631A" w:rsidTr="0015631A">
        <w:tc>
          <w:tcPr>
            <w:tcW w:w="9776" w:type="dxa"/>
            <w:gridSpan w:val="7"/>
            <w:tcBorders>
              <w:top w:val="single" w:sz="4" w:space="0" w:color="auto"/>
              <w:left w:val="single" w:sz="4" w:space="0" w:color="auto"/>
              <w:bottom w:val="single" w:sz="4" w:space="0" w:color="auto"/>
              <w:right w:val="single" w:sz="4" w:space="0" w:color="auto"/>
            </w:tcBorders>
            <w:hideMark/>
          </w:tcPr>
          <w:p w:rsidR="0015631A" w:rsidRDefault="0015631A">
            <w:pPr>
              <w:keepNext/>
              <w:rPr>
                <w:rFonts w:eastAsia="Calibri"/>
                <w:b/>
                <w:bCs/>
                <w:sz w:val="22"/>
                <w:szCs w:val="22"/>
              </w:rPr>
            </w:pPr>
            <w:r>
              <w:rPr>
                <w:rFonts w:eastAsia="Calibri"/>
                <w:b/>
                <w:bCs/>
                <w:sz w:val="22"/>
                <w:szCs w:val="22"/>
              </w:rPr>
              <w:t xml:space="preserve">Knogletæthed i </w:t>
            </w:r>
            <w:proofErr w:type="spellStart"/>
            <w:r>
              <w:rPr>
                <w:rFonts w:eastAsia="Calibri"/>
                <w:b/>
                <w:bCs/>
                <w:sz w:val="22"/>
                <w:szCs w:val="22"/>
              </w:rPr>
              <w:t>columna</w:t>
            </w:r>
            <w:proofErr w:type="spellEnd"/>
            <w:r>
              <w:rPr>
                <w:rFonts w:eastAsia="Calibri"/>
                <w:b/>
                <w:bCs/>
                <w:sz w:val="22"/>
                <w:szCs w:val="22"/>
              </w:rPr>
              <w:t xml:space="preserve"> </w:t>
            </w:r>
            <w:proofErr w:type="spellStart"/>
            <w:r>
              <w:rPr>
                <w:rFonts w:eastAsia="Calibri"/>
                <w:b/>
                <w:bCs/>
                <w:sz w:val="22"/>
                <w:szCs w:val="22"/>
              </w:rPr>
              <w:t>lumbalis</w:t>
            </w:r>
            <w:proofErr w:type="spellEnd"/>
          </w:p>
        </w:tc>
      </w:tr>
      <w:tr w:rsidR="0015631A" w:rsidTr="0015631A">
        <w:tc>
          <w:tcPr>
            <w:tcW w:w="1487" w:type="dxa"/>
            <w:tcBorders>
              <w:top w:val="single" w:sz="4" w:space="0" w:color="auto"/>
              <w:left w:val="single" w:sz="4" w:space="0" w:color="auto"/>
              <w:bottom w:val="single" w:sz="4" w:space="0" w:color="auto"/>
              <w:right w:val="single" w:sz="4" w:space="0" w:color="auto"/>
            </w:tcBorders>
            <w:hideMark/>
          </w:tcPr>
          <w:p w:rsidR="0015631A" w:rsidRDefault="0015631A">
            <w:pPr>
              <w:pStyle w:val="Style1"/>
              <w:keepNext/>
              <w:adjustRightInd/>
              <w:ind w:leftChars="6" w:left="14"/>
              <w:jc w:val="center"/>
              <w:rPr>
                <w:sz w:val="22"/>
                <w:szCs w:val="22"/>
              </w:rPr>
            </w:pPr>
            <w:r>
              <w:rPr>
                <w:sz w:val="22"/>
                <w:szCs w:val="22"/>
              </w:rPr>
              <w:t xml:space="preserve">0 </w:t>
            </w:r>
          </w:p>
          <w:p w:rsidR="0015631A" w:rsidRDefault="0015631A">
            <w:pPr>
              <w:pStyle w:val="Style1"/>
              <w:keepNext/>
              <w:adjustRightInd/>
              <w:ind w:leftChars="6" w:left="14"/>
              <w:jc w:val="center"/>
              <w:rPr>
                <w:sz w:val="22"/>
                <w:szCs w:val="22"/>
              </w:rPr>
            </w:pPr>
            <w:r>
              <w:rPr>
                <w:sz w:val="22"/>
                <w:szCs w:val="22"/>
              </w:rPr>
              <w:t>24</w:t>
            </w:r>
          </w:p>
          <w:p w:rsidR="0015631A" w:rsidRDefault="0015631A">
            <w:pPr>
              <w:pStyle w:val="Style1"/>
              <w:keepNext/>
              <w:adjustRightInd/>
              <w:ind w:leftChars="6" w:left="14"/>
              <w:jc w:val="center"/>
              <w:rPr>
                <w:sz w:val="22"/>
                <w:szCs w:val="22"/>
              </w:rPr>
            </w:pPr>
            <w:r>
              <w:rPr>
                <w:sz w:val="22"/>
                <w:szCs w:val="22"/>
              </w:rPr>
              <w:t>60</w:t>
            </w:r>
          </w:p>
          <w:p w:rsidR="0015631A" w:rsidRDefault="0015631A">
            <w:pPr>
              <w:pStyle w:val="Style1"/>
              <w:keepNext/>
              <w:adjustRightInd/>
              <w:ind w:leftChars="6" w:left="14"/>
              <w:jc w:val="center"/>
              <w:rPr>
                <w:sz w:val="22"/>
                <w:szCs w:val="22"/>
              </w:rPr>
            </w:pPr>
            <w:r>
              <w:rPr>
                <w:sz w:val="22"/>
                <w:szCs w:val="22"/>
              </w:rPr>
              <w:t>120</w:t>
            </w:r>
          </w:p>
          <w:p w:rsidR="0015631A" w:rsidRDefault="0015631A">
            <w:pPr>
              <w:pStyle w:val="Style1"/>
              <w:keepNext/>
              <w:adjustRightInd/>
              <w:ind w:leftChars="6" w:left="14"/>
              <w:jc w:val="center"/>
              <w:rPr>
                <w:sz w:val="22"/>
                <w:szCs w:val="22"/>
              </w:rPr>
            </w:pPr>
            <w:r>
              <w:rPr>
                <w:sz w:val="22"/>
                <w:szCs w:val="22"/>
              </w:rPr>
              <w:t>180</w:t>
            </w:r>
          </w:p>
          <w:p w:rsidR="0015631A" w:rsidRDefault="0015631A">
            <w:pPr>
              <w:jc w:val="center"/>
              <w:rPr>
                <w:rFonts w:eastAsia="Calibri"/>
                <w:b/>
                <w:bCs/>
                <w:sz w:val="22"/>
                <w:szCs w:val="22"/>
                <w:u w:val="single"/>
              </w:rPr>
            </w:pPr>
            <w:r>
              <w:rPr>
                <w:rFonts w:eastAsia="Calibri"/>
                <w:sz w:val="22"/>
                <w:szCs w:val="22"/>
              </w:rPr>
              <w:t>240</w:t>
            </w:r>
          </w:p>
        </w:tc>
        <w:tc>
          <w:tcPr>
            <w:tcW w:w="635" w:type="dxa"/>
            <w:tcBorders>
              <w:top w:val="single" w:sz="4" w:space="0" w:color="auto"/>
              <w:left w:val="single" w:sz="4" w:space="0" w:color="auto"/>
              <w:bottom w:val="single" w:sz="4" w:space="0" w:color="auto"/>
              <w:right w:val="single" w:sz="4" w:space="0" w:color="auto"/>
            </w:tcBorders>
            <w:hideMark/>
          </w:tcPr>
          <w:p w:rsidR="0015631A" w:rsidRDefault="0015631A">
            <w:pPr>
              <w:keepNext/>
              <w:ind w:leftChars="6" w:left="14"/>
              <w:jc w:val="center"/>
              <w:rPr>
                <w:rFonts w:eastAsia="Calibri"/>
                <w:sz w:val="22"/>
                <w:szCs w:val="22"/>
              </w:rPr>
            </w:pPr>
            <w:r>
              <w:rPr>
                <w:rFonts w:eastAsia="Calibri"/>
                <w:sz w:val="22"/>
                <w:szCs w:val="22"/>
              </w:rPr>
              <w:t>98</w:t>
            </w:r>
          </w:p>
          <w:p w:rsidR="0015631A" w:rsidRDefault="0015631A">
            <w:pPr>
              <w:keepNext/>
              <w:ind w:leftChars="6" w:left="14"/>
              <w:jc w:val="center"/>
              <w:rPr>
                <w:rFonts w:eastAsia="Calibri"/>
                <w:sz w:val="22"/>
                <w:szCs w:val="22"/>
              </w:rPr>
            </w:pPr>
            <w:r>
              <w:rPr>
                <w:rFonts w:eastAsia="Calibri"/>
                <w:sz w:val="22"/>
                <w:szCs w:val="22"/>
              </w:rPr>
              <w:t>74</w:t>
            </w:r>
          </w:p>
          <w:p w:rsidR="0015631A" w:rsidRDefault="0015631A">
            <w:pPr>
              <w:keepNext/>
              <w:ind w:leftChars="6" w:left="14"/>
              <w:jc w:val="center"/>
              <w:rPr>
                <w:rFonts w:eastAsia="Calibri"/>
                <w:sz w:val="22"/>
                <w:szCs w:val="22"/>
              </w:rPr>
            </w:pPr>
            <w:r>
              <w:rPr>
                <w:rFonts w:eastAsia="Calibri"/>
                <w:sz w:val="22"/>
                <w:szCs w:val="22"/>
              </w:rPr>
              <w:t>70</w:t>
            </w:r>
          </w:p>
          <w:p w:rsidR="0015631A" w:rsidRDefault="0015631A">
            <w:pPr>
              <w:keepNext/>
              <w:ind w:leftChars="6" w:left="14"/>
              <w:jc w:val="center"/>
              <w:rPr>
                <w:rFonts w:eastAsia="Calibri"/>
                <w:sz w:val="22"/>
                <w:szCs w:val="22"/>
              </w:rPr>
            </w:pPr>
            <w:r>
              <w:rPr>
                <w:rFonts w:eastAsia="Calibri"/>
                <w:sz w:val="22"/>
                <w:szCs w:val="22"/>
              </w:rPr>
              <w:t>52</w:t>
            </w:r>
          </w:p>
          <w:p w:rsidR="0015631A" w:rsidRDefault="0015631A">
            <w:pPr>
              <w:keepNext/>
              <w:ind w:leftChars="6" w:left="14"/>
              <w:jc w:val="center"/>
              <w:rPr>
                <w:rFonts w:eastAsia="Calibri"/>
                <w:sz w:val="22"/>
                <w:szCs w:val="22"/>
              </w:rPr>
            </w:pPr>
            <w:r>
              <w:rPr>
                <w:rFonts w:eastAsia="Calibri"/>
                <w:sz w:val="22"/>
                <w:szCs w:val="22"/>
              </w:rPr>
              <w:t>39</w:t>
            </w:r>
          </w:p>
          <w:p w:rsidR="0015631A" w:rsidRDefault="0015631A">
            <w:pPr>
              <w:keepNext/>
              <w:ind w:leftChars="6" w:left="14"/>
              <w:jc w:val="center"/>
              <w:rPr>
                <w:rFonts w:eastAsia="Calibri"/>
                <w:sz w:val="22"/>
                <w:szCs w:val="22"/>
              </w:rPr>
            </w:pPr>
            <w:r>
              <w:rPr>
                <w:rFonts w:eastAsia="Calibri"/>
                <w:sz w:val="22"/>
                <w:szCs w:val="22"/>
              </w:rPr>
              <w:t>25</w:t>
            </w:r>
          </w:p>
        </w:tc>
        <w:tc>
          <w:tcPr>
            <w:tcW w:w="1275" w:type="dxa"/>
            <w:tcBorders>
              <w:top w:val="single" w:sz="4" w:space="0" w:color="auto"/>
              <w:left w:val="single" w:sz="4" w:space="0" w:color="auto"/>
              <w:bottom w:val="single" w:sz="4" w:space="0" w:color="auto"/>
              <w:right w:val="single" w:sz="4" w:space="0" w:color="auto"/>
            </w:tcBorders>
          </w:tcPr>
          <w:p w:rsidR="0015631A" w:rsidRDefault="0015631A">
            <w:pPr>
              <w:keepNext/>
              <w:ind w:leftChars="6" w:left="14"/>
              <w:jc w:val="center"/>
              <w:rPr>
                <w:sz w:val="22"/>
                <w:szCs w:val="22"/>
              </w:rPr>
            </w:pPr>
            <w:r>
              <w:rPr>
                <w:sz w:val="22"/>
                <w:szCs w:val="22"/>
              </w:rPr>
              <w:t>9</w:t>
            </w:r>
          </w:p>
          <w:p w:rsidR="0015631A" w:rsidRDefault="0015631A">
            <w:pPr>
              <w:keepNext/>
              <w:ind w:leftChars="6" w:left="14"/>
              <w:jc w:val="center"/>
              <w:rPr>
                <w:sz w:val="22"/>
                <w:szCs w:val="22"/>
              </w:rPr>
            </w:pPr>
            <w:r>
              <w:rPr>
                <w:sz w:val="22"/>
                <w:szCs w:val="22"/>
              </w:rPr>
              <w:t>9</w:t>
            </w:r>
          </w:p>
          <w:p w:rsidR="0015631A" w:rsidRDefault="0015631A">
            <w:pPr>
              <w:keepNext/>
              <w:ind w:leftChars="6" w:left="14"/>
              <w:jc w:val="center"/>
              <w:rPr>
                <w:sz w:val="22"/>
                <w:szCs w:val="22"/>
              </w:rPr>
            </w:pPr>
            <w:r>
              <w:rPr>
                <w:sz w:val="22"/>
                <w:szCs w:val="22"/>
              </w:rPr>
              <w:t>8</w:t>
            </w:r>
          </w:p>
          <w:p w:rsidR="0015631A" w:rsidRDefault="0015631A">
            <w:pPr>
              <w:keepNext/>
              <w:ind w:leftChars="6" w:left="14"/>
              <w:jc w:val="center"/>
              <w:rPr>
                <w:sz w:val="22"/>
                <w:szCs w:val="22"/>
              </w:rPr>
            </w:pPr>
            <w:r>
              <w:rPr>
                <w:sz w:val="22"/>
                <w:szCs w:val="22"/>
              </w:rPr>
              <w:t>10</w:t>
            </w:r>
          </w:p>
          <w:p w:rsidR="0015631A" w:rsidRDefault="0015631A">
            <w:pPr>
              <w:keepNext/>
              <w:ind w:leftChars="6" w:left="14"/>
              <w:jc w:val="center"/>
              <w:rPr>
                <w:sz w:val="22"/>
                <w:szCs w:val="22"/>
              </w:rPr>
            </w:pPr>
            <w:r>
              <w:rPr>
                <w:sz w:val="22"/>
                <w:szCs w:val="22"/>
              </w:rPr>
              <w:t>7</w:t>
            </w:r>
          </w:p>
          <w:p w:rsidR="0015631A" w:rsidRDefault="0015631A">
            <w:pPr>
              <w:keepNext/>
              <w:ind w:leftChars="6" w:left="14"/>
              <w:jc w:val="center"/>
              <w:rPr>
                <w:sz w:val="22"/>
                <w:szCs w:val="22"/>
              </w:rPr>
            </w:pPr>
            <w:r>
              <w:rPr>
                <w:sz w:val="22"/>
                <w:szCs w:val="22"/>
              </w:rPr>
              <w:t>9</w:t>
            </w:r>
          </w:p>
          <w:p w:rsidR="0015631A" w:rsidRDefault="0015631A">
            <w:pPr>
              <w:keepNext/>
              <w:ind w:leftChars="6" w:left="14"/>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rsidR="0015631A" w:rsidRDefault="0015631A">
            <w:pPr>
              <w:keepNext/>
              <w:ind w:leftChars="6" w:left="14"/>
              <w:jc w:val="center"/>
              <w:rPr>
                <w:sz w:val="22"/>
                <w:szCs w:val="22"/>
              </w:rPr>
            </w:pPr>
            <w:r>
              <w:rPr>
                <w:sz w:val="22"/>
                <w:szCs w:val="22"/>
              </w:rPr>
              <w:t>-2,7 (0,39)</w:t>
            </w:r>
          </w:p>
          <w:p w:rsidR="0015631A" w:rsidRDefault="0015631A">
            <w:pPr>
              <w:keepNext/>
              <w:ind w:leftChars="6" w:left="14"/>
              <w:jc w:val="center"/>
              <w:rPr>
                <w:sz w:val="22"/>
                <w:szCs w:val="22"/>
              </w:rPr>
            </w:pPr>
            <w:r>
              <w:rPr>
                <w:sz w:val="22"/>
                <w:szCs w:val="22"/>
              </w:rPr>
              <w:t>-2,6 (0,43)</w:t>
            </w:r>
          </w:p>
          <w:p w:rsidR="0015631A" w:rsidRDefault="0015631A">
            <w:pPr>
              <w:keepNext/>
              <w:ind w:leftChars="6" w:left="14"/>
              <w:jc w:val="center"/>
              <w:rPr>
                <w:sz w:val="22"/>
                <w:szCs w:val="22"/>
              </w:rPr>
            </w:pPr>
            <w:r>
              <w:rPr>
                <w:sz w:val="22"/>
                <w:szCs w:val="22"/>
              </w:rPr>
              <w:t>-2,8 (0,43)</w:t>
            </w:r>
          </w:p>
          <w:p w:rsidR="0015631A" w:rsidRDefault="0015631A">
            <w:pPr>
              <w:keepNext/>
              <w:ind w:leftChars="6" w:left="14"/>
              <w:jc w:val="center"/>
              <w:rPr>
                <w:sz w:val="22"/>
                <w:szCs w:val="22"/>
              </w:rPr>
            </w:pPr>
            <w:r>
              <w:rPr>
                <w:sz w:val="22"/>
                <w:szCs w:val="22"/>
              </w:rPr>
              <w:t>-2,7 (0,61)</w:t>
            </w:r>
          </w:p>
          <w:p w:rsidR="0015631A" w:rsidRDefault="0015631A">
            <w:pPr>
              <w:keepNext/>
              <w:ind w:leftChars="6" w:left="14"/>
              <w:jc w:val="center"/>
              <w:rPr>
                <w:sz w:val="22"/>
                <w:szCs w:val="22"/>
              </w:rPr>
            </w:pPr>
            <w:r>
              <w:rPr>
                <w:sz w:val="22"/>
                <w:szCs w:val="22"/>
              </w:rPr>
              <w:t>-3,0 (0,67)</w:t>
            </w:r>
          </w:p>
          <w:p w:rsidR="0015631A" w:rsidRDefault="0015631A">
            <w:pPr>
              <w:keepNext/>
              <w:ind w:leftChars="6" w:left="14"/>
              <w:jc w:val="center"/>
              <w:rPr>
                <w:sz w:val="22"/>
                <w:szCs w:val="22"/>
              </w:rPr>
            </w:pPr>
            <w:r>
              <w:rPr>
                <w:sz w:val="22"/>
                <w:szCs w:val="22"/>
              </w:rPr>
              <w:t>-2,6 (0,80)</w:t>
            </w:r>
          </w:p>
        </w:tc>
        <w:tc>
          <w:tcPr>
            <w:tcW w:w="1701" w:type="dxa"/>
            <w:tcBorders>
              <w:top w:val="single" w:sz="4" w:space="0" w:color="auto"/>
              <w:left w:val="single" w:sz="4" w:space="0" w:color="auto"/>
              <w:bottom w:val="single" w:sz="4" w:space="0" w:color="auto"/>
              <w:right w:val="single" w:sz="4" w:space="0" w:color="auto"/>
            </w:tcBorders>
            <w:hideMark/>
          </w:tcPr>
          <w:p w:rsidR="0015631A" w:rsidRDefault="0015631A">
            <w:pPr>
              <w:keepNext/>
              <w:ind w:leftChars="6" w:left="14"/>
              <w:jc w:val="center"/>
              <w:rPr>
                <w:sz w:val="22"/>
                <w:szCs w:val="22"/>
                <w:lang w:val="en-GB" w:eastAsia="en-GB"/>
              </w:rPr>
            </w:pPr>
            <w:r>
              <w:rPr>
                <w:sz w:val="22"/>
                <w:szCs w:val="22"/>
                <w:lang w:val="en-GB" w:eastAsia="en-GB"/>
              </w:rPr>
              <w:t>[ -3,45; -1,91]</w:t>
            </w:r>
          </w:p>
          <w:p w:rsidR="0015631A" w:rsidRDefault="0015631A">
            <w:pPr>
              <w:keepNext/>
              <w:ind w:leftChars="6" w:left="14"/>
              <w:jc w:val="center"/>
              <w:rPr>
                <w:sz w:val="22"/>
                <w:szCs w:val="22"/>
                <w:lang w:val="en-GB" w:eastAsia="en-GB"/>
              </w:rPr>
            </w:pPr>
            <w:r>
              <w:rPr>
                <w:sz w:val="22"/>
                <w:szCs w:val="22"/>
                <w:lang w:val="en-GB" w:eastAsia="en-GB"/>
              </w:rPr>
              <w:t>[ -3,42; -1,69]</w:t>
            </w:r>
          </w:p>
          <w:p w:rsidR="0015631A" w:rsidRDefault="0015631A">
            <w:pPr>
              <w:keepNext/>
              <w:ind w:leftChars="6" w:left="14"/>
              <w:jc w:val="center"/>
              <w:rPr>
                <w:sz w:val="22"/>
                <w:szCs w:val="22"/>
                <w:lang w:val="en-GB" w:eastAsia="en-GB"/>
              </w:rPr>
            </w:pPr>
            <w:r>
              <w:rPr>
                <w:sz w:val="22"/>
                <w:szCs w:val="22"/>
                <w:lang w:val="en-GB" w:eastAsia="en-GB"/>
              </w:rPr>
              <w:t>[ -3,66; -1,96]</w:t>
            </w:r>
          </w:p>
          <w:p w:rsidR="0015631A" w:rsidRDefault="0015631A">
            <w:pPr>
              <w:keepNext/>
              <w:ind w:leftChars="6" w:left="14"/>
              <w:jc w:val="center"/>
              <w:rPr>
                <w:sz w:val="22"/>
                <w:szCs w:val="22"/>
                <w:lang w:val="en-GB" w:eastAsia="en-GB"/>
              </w:rPr>
            </w:pPr>
            <w:r>
              <w:rPr>
                <w:sz w:val="22"/>
                <w:szCs w:val="22"/>
                <w:lang w:val="en-GB" w:eastAsia="en-GB"/>
              </w:rPr>
              <w:t>[ -3,96; -1,50]</w:t>
            </w:r>
          </w:p>
          <w:p w:rsidR="0015631A" w:rsidRDefault="0015631A">
            <w:pPr>
              <w:keepNext/>
              <w:ind w:leftChars="6" w:left="14"/>
              <w:jc w:val="center"/>
              <w:rPr>
                <w:sz w:val="22"/>
                <w:szCs w:val="22"/>
                <w:lang w:val="en-GB" w:eastAsia="en-GB"/>
              </w:rPr>
            </w:pPr>
            <w:r>
              <w:rPr>
                <w:sz w:val="22"/>
                <w:szCs w:val="22"/>
                <w:lang w:val="en-GB" w:eastAsia="en-GB"/>
              </w:rPr>
              <w:t>[ -4,35; -1,66]</w:t>
            </w:r>
          </w:p>
          <w:p w:rsidR="0015631A" w:rsidRDefault="0015631A">
            <w:pPr>
              <w:keepNext/>
              <w:ind w:leftChars="6" w:left="14"/>
              <w:jc w:val="center"/>
              <w:rPr>
                <w:sz w:val="22"/>
                <w:szCs w:val="22"/>
              </w:rPr>
            </w:pPr>
            <w:r>
              <w:rPr>
                <w:sz w:val="22"/>
                <w:szCs w:val="22"/>
                <w:lang w:val="en-GB" w:eastAsia="en-GB"/>
              </w:rPr>
              <w:t>[ -4,28; -0,99]</w:t>
            </w:r>
          </w:p>
        </w:tc>
        <w:tc>
          <w:tcPr>
            <w:tcW w:w="1276" w:type="dxa"/>
            <w:tcBorders>
              <w:top w:val="single" w:sz="4" w:space="0" w:color="auto"/>
              <w:left w:val="single" w:sz="4" w:space="0" w:color="auto"/>
              <w:bottom w:val="single" w:sz="4" w:space="0" w:color="auto"/>
              <w:right w:val="single" w:sz="4" w:space="0" w:color="auto"/>
            </w:tcBorders>
            <w:hideMark/>
          </w:tcPr>
          <w:p w:rsidR="0015631A" w:rsidRDefault="0015631A">
            <w:pPr>
              <w:keepNext/>
              <w:ind w:leftChars="6" w:left="14"/>
              <w:jc w:val="center"/>
              <w:rPr>
                <w:sz w:val="22"/>
                <w:szCs w:val="22"/>
              </w:rPr>
            </w:pPr>
            <w:r>
              <w:rPr>
                <w:sz w:val="22"/>
                <w:szCs w:val="22"/>
              </w:rPr>
              <w:t>N/A</w:t>
            </w:r>
          </w:p>
          <w:p w:rsidR="0015631A" w:rsidRDefault="0015631A">
            <w:pPr>
              <w:keepNext/>
              <w:ind w:leftChars="6" w:left="14"/>
              <w:jc w:val="center"/>
              <w:rPr>
                <w:sz w:val="22"/>
                <w:szCs w:val="22"/>
              </w:rPr>
            </w:pPr>
            <w:r>
              <w:rPr>
                <w:sz w:val="22"/>
                <w:szCs w:val="22"/>
              </w:rPr>
              <w:t>-2,5 (0,51)</w:t>
            </w:r>
          </w:p>
          <w:p w:rsidR="0015631A" w:rsidRDefault="0015631A">
            <w:pPr>
              <w:keepNext/>
              <w:ind w:leftChars="6" w:left="14"/>
              <w:jc w:val="center"/>
              <w:rPr>
                <w:sz w:val="22"/>
                <w:szCs w:val="22"/>
              </w:rPr>
            </w:pPr>
            <w:r>
              <w:rPr>
                <w:sz w:val="22"/>
                <w:szCs w:val="22"/>
              </w:rPr>
              <w:t>-0,2 (0,60)</w:t>
            </w:r>
          </w:p>
          <w:p w:rsidR="0015631A" w:rsidRDefault="0015631A">
            <w:pPr>
              <w:keepNext/>
              <w:ind w:leftChars="6" w:left="14"/>
              <w:jc w:val="center"/>
              <w:rPr>
                <w:sz w:val="22"/>
                <w:szCs w:val="22"/>
              </w:rPr>
            </w:pPr>
            <w:r>
              <w:rPr>
                <w:sz w:val="22"/>
                <w:szCs w:val="22"/>
              </w:rPr>
              <w:t>2,2 (0,73)</w:t>
            </w:r>
          </w:p>
          <w:p w:rsidR="0015631A" w:rsidRDefault="0015631A">
            <w:pPr>
              <w:keepNext/>
              <w:ind w:leftChars="6" w:left="14"/>
              <w:jc w:val="center"/>
              <w:rPr>
                <w:sz w:val="22"/>
                <w:szCs w:val="22"/>
              </w:rPr>
            </w:pPr>
            <w:r>
              <w:rPr>
                <w:sz w:val="22"/>
                <w:szCs w:val="22"/>
              </w:rPr>
              <w:t>2,8 (0,79)</w:t>
            </w:r>
          </w:p>
          <w:p w:rsidR="0015631A" w:rsidRDefault="0015631A">
            <w:pPr>
              <w:keepNext/>
              <w:ind w:leftChars="6" w:left="14"/>
              <w:jc w:val="center"/>
              <w:rPr>
                <w:rFonts w:eastAsia="Calibri"/>
                <w:sz w:val="22"/>
                <w:szCs w:val="22"/>
              </w:rPr>
            </w:pPr>
            <w:r>
              <w:rPr>
                <w:sz w:val="22"/>
                <w:szCs w:val="22"/>
              </w:rPr>
              <w:t>4,5 (1,03)</w:t>
            </w:r>
          </w:p>
        </w:tc>
        <w:tc>
          <w:tcPr>
            <w:tcW w:w="1559" w:type="dxa"/>
            <w:tcBorders>
              <w:top w:val="single" w:sz="4" w:space="0" w:color="auto"/>
              <w:left w:val="single" w:sz="4" w:space="0" w:color="auto"/>
              <w:bottom w:val="single" w:sz="4" w:space="0" w:color="auto"/>
              <w:right w:val="single" w:sz="4" w:space="0" w:color="auto"/>
            </w:tcBorders>
          </w:tcPr>
          <w:p w:rsidR="0015631A" w:rsidRDefault="0015631A">
            <w:pPr>
              <w:keepNext/>
              <w:ind w:leftChars="6" w:left="14"/>
              <w:jc w:val="center"/>
              <w:rPr>
                <w:sz w:val="22"/>
                <w:szCs w:val="22"/>
                <w:lang w:val="en-GB" w:eastAsia="en-GB"/>
              </w:rPr>
            </w:pPr>
          </w:p>
          <w:p w:rsidR="0015631A" w:rsidRDefault="0015631A">
            <w:pPr>
              <w:keepNext/>
              <w:ind w:leftChars="6" w:left="14"/>
              <w:jc w:val="center"/>
              <w:rPr>
                <w:sz w:val="22"/>
                <w:szCs w:val="22"/>
                <w:lang w:val="en-GB" w:eastAsia="en-GB"/>
              </w:rPr>
            </w:pPr>
            <w:r>
              <w:rPr>
                <w:sz w:val="22"/>
                <w:szCs w:val="22"/>
                <w:lang w:val="en-GB" w:eastAsia="en-GB"/>
              </w:rPr>
              <w:t>[ -3,52; -1,48]</w:t>
            </w:r>
          </w:p>
          <w:p w:rsidR="0015631A" w:rsidRDefault="0015631A">
            <w:pPr>
              <w:keepNext/>
              <w:ind w:leftChars="6" w:left="14"/>
              <w:jc w:val="center"/>
              <w:rPr>
                <w:sz w:val="22"/>
                <w:szCs w:val="22"/>
                <w:lang w:val="en-GB" w:eastAsia="en-GB"/>
              </w:rPr>
            </w:pPr>
            <w:r>
              <w:rPr>
                <w:sz w:val="22"/>
                <w:szCs w:val="22"/>
                <w:lang w:val="en-GB" w:eastAsia="en-GB"/>
              </w:rPr>
              <w:t>[ -1,41; 1,01]</w:t>
            </w:r>
          </w:p>
          <w:p w:rsidR="0015631A" w:rsidRDefault="0015631A">
            <w:pPr>
              <w:keepNext/>
              <w:ind w:leftChars="6" w:left="14"/>
              <w:jc w:val="center"/>
              <w:rPr>
                <w:sz w:val="22"/>
                <w:szCs w:val="22"/>
                <w:lang w:val="en-GB" w:eastAsia="en-GB"/>
              </w:rPr>
            </w:pPr>
            <w:r>
              <w:rPr>
                <w:sz w:val="22"/>
                <w:szCs w:val="22"/>
                <w:lang w:val="en-GB" w:eastAsia="en-GB"/>
              </w:rPr>
              <w:t>[ 0,74; 3,67]</w:t>
            </w:r>
          </w:p>
          <w:p w:rsidR="0015631A" w:rsidRDefault="0015631A">
            <w:pPr>
              <w:keepNext/>
              <w:ind w:leftChars="6" w:left="14"/>
              <w:jc w:val="center"/>
              <w:rPr>
                <w:sz w:val="22"/>
                <w:szCs w:val="22"/>
                <w:lang w:val="en-GB" w:eastAsia="en-GB"/>
              </w:rPr>
            </w:pPr>
            <w:r>
              <w:rPr>
                <w:sz w:val="22"/>
                <w:szCs w:val="22"/>
                <w:lang w:val="en-GB" w:eastAsia="en-GB"/>
              </w:rPr>
              <w:t>[ 1,16; 4,35]</w:t>
            </w:r>
          </w:p>
          <w:p w:rsidR="0015631A" w:rsidRDefault="0015631A">
            <w:pPr>
              <w:keepNext/>
              <w:ind w:leftChars="6" w:left="14"/>
              <w:jc w:val="center"/>
              <w:rPr>
                <w:sz w:val="22"/>
                <w:szCs w:val="22"/>
              </w:rPr>
            </w:pPr>
            <w:r>
              <w:rPr>
                <w:sz w:val="22"/>
                <w:szCs w:val="22"/>
                <w:lang w:val="en-GB" w:eastAsia="en-GB"/>
              </w:rPr>
              <w:t>[ 2,35; 6,61]</w:t>
            </w:r>
          </w:p>
        </w:tc>
      </w:tr>
    </w:tbl>
    <w:p w:rsidR="0015631A" w:rsidRDefault="0015631A" w:rsidP="0015631A">
      <w:pPr>
        <w:keepNext/>
        <w:widowControl w:val="0"/>
        <w:rPr>
          <w:bCs/>
          <w:sz w:val="24"/>
          <w:szCs w:val="24"/>
        </w:rPr>
      </w:pPr>
      <w:r>
        <w:rPr>
          <w:bCs/>
          <w:sz w:val="24"/>
          <w:szCs w:val="24"/>
        </w:rPr>
        <w:t>SE = Standardfejl</w:t>
      </w:r>
    </w:p>
    <w:p w:rsidR="0015631A" w:rsidRDefault="0015631A" w:rsidP="0015631A">
      <w:pPr>
        <w:rPr>
          <w:bCs/>
          <w:sz w:val="24"/>
          <w:szCs w:val="24"/>
        </w:rPr>
      </w:pPr>
      <w:r>
        <w:rPr>
          <w:bCs/>
          <w:sz w:val="24"/>
          <w:szCs w:val="24"/>
        </w:rPr>
        <w:t>CI = konfidensinterval</w:t>
      </w:r>
    </w:p>
    <w:p w:rsidR="0015631A" w:rsidRDefault="0015631A" w:rsidP="00EA3888">
      <w:pPr>
        <w:widowControl w:val="0"/>
        <w:ind w:left="851"/>
        <w:rPr>
          <w:rFonts w:eastAsia="Calibri"/>
          <w:sz w:val="24"/>
          <w:szCs w:val="24"/>
          <w:u w:val="single"/>
        </w:rPr>
      </w:pPr>
    </w:p>
    <w:p w:rsidR="0015631A" w:rsidRDefault="0015631A" w:rsidP="00EA3888">
      <w:pPr>
        <w:keepNext/>
        <w:ind w:left="851"/>
        <w:rPr>
          <w:rFonts w:eastAsia="Calibri"/>
          <w:sz w:val="24"/>
          <w:szCs w:val="24"/>
          <w:u w:val="single"/>
        </w:rPr>
      </w:pPr>
      <w:r>
        <w:rPr>
          <w:rFonts w:eastAsia="Calibri"/>
          <w:sz w:val="24"/>
          <w:szCs w:val="24"/>
          <w:u w:val="single"/>
        </w:rPr>
        <w:lastRenderedPageBreak/>
        <w:t xml:space="preserve">Forholdet mellem frakturforekomst og brug af DMPA </w:t>
      </w:r>
      <w:proofErr w:type="spellStart"/>
      <w:r>
        <w:rPr>
          <w:rFonts w:eastAsia="Calibri"/>
          <w:sz w:val="24"/>
          <w:szCs w:val="24"/>
          <w:u w:val="single"/>
        </w:rPr>
        <w:t>i.m</w:t>
      </w:r>
      <w:proofErr w:type="spellEnd"/>
      <w:r>
        <w:rPr>
          <w:rFonts w:eastAsia="Calibri"/>
          <w:sz w:val="24"/>
          <w:szCs w:val="24"/>
          <w:u w:val="single"/>
        </w:rPr>
        <w:t>. (150 mg) hos kvinder i den fødedygtige alder</w:t>
      </w:r>
    </w:p>
    <w:p w:rsidR="0015631A" w:rsidRDefault="0015631A" w:rsidP="00EA3888">
      <w:pPr>
        <w:keepNext/>
        <w:widowControl w:val="0"/>
        <w:ind w:left="851"/>
        <w:rPr>
          <w:rFonts w:eastAsia="Calibri"/>
          <w:b/>
          <w:sz w:val="24"/>
          <w:szCs w:val="24"/>
        </w:rPr>
      </w:pPr>
    </w:p>
    <w:p w:rsidR="0015631A" w:rsidRDefault="0015631A" w:rsidP="00EA3888">
      <w:pPr>
        <w:keepNext/>
        <w:ind w:left="851"/>
        <w:rPr>
          <w:rFonts w:eastAsia="Calibri"/>
          <w:sz w:val="24"/>
          <w:szCs w:val="24"/>
        </w:rPr>
      </w:pPr>
      <w:r>
        <w:rPr>
          <w:rFonts w:eastAsia="Calibri"/>
          <w:sz w:val="24"/>
          <w:szCs w:val="24"/>
        </w:rPr>
        <w:t xml:space="preserve">Et stort retrospektivt kohortestudie med data fra General Practice Research-databasen (GPRD) omfattede N = 41.876 kvinder, som brugte DMPA til antikonception og havde data tilgængelige fra 6-24 måneder før deres første brug af DMPA og i gennemsnit 5,5 år efter deres første DMPA-injektion. Den observerede risiko for frakturer var generelt højere i DMPA-kohorten ved sammenligning med ikke-brugere både "før" og "efter" DMPA-brug. Risikoen for frakturer i perioden "efter" den første DMPA-injektion blev sammenlignet med perioden "før" den første injektion: </w:t>
      </w:r>
      <w:proofErr w:type="spellStart"/>
      <w:r>
        <w:rPr>
          <w:rFonts w:eastAsia="Calibri"/>
          <w:sz w:val="24"/>
          <w:szCs w:val="24"/>
        </w:rPr>
        <w:t>Incidensrateforhold</w:t>
      </w:r>
      <w:proofErr w:type="spellEnd"/>
      <w:r>
        <w:rPr>
          <w:rFonts w:eastAsia="Calibri"/>
          <w:sz w:val="24"/>
          <w:szCs w:val="24"/>
        </w:rPr>
        <w:t xml:space="preserve"> = 1,01 (95 % CI: 0,92, 1,11), der tyder på, at DMPA ikke øgede risikoen for knoglefraktur.</w:t>
      </w:r>
    </w:p>
    <w:p w:rsidR="0015631A" w:rsidRDefault="0015631A" w:rsidP="0015631A">
      <w:pPr>
        <w:keepNext/>
        <w:widowControl w:val="0"/>
        <w:ind w:left="851"/>
        <w:rPr>
          <w:rFonts w:eastAsia="Calibri"/>
          <w:sz w:val="24"/>
          <w:szCs w:val="24"/>
        </w:rPr>
      </w:pPr>
    </w:p>
    <w:p w:rsidR="0015631A" w:rsidRDefault="0015631A" w:rsidP="0015631A">
      <w:pPr>
        <w:keepNext/>
        <w:widowControl w:val="0"/>
        <w:ind w:left="851"/>
        <w:rPr>
          <w:rFonts w:eastAsia="Calibri"/>
          <w:sz w:val="24"/>
          <w:szCs w:val="24"/>
        </w:rPr>
      </w:pPr>
      <w:r>
        <w:rPr>
          <w:rFonts w:eastAsia="Calibri"/>
          <w:sz w:val="24"/>
          <w:szCs w:val="24"/>
        </w:rPr>
        <w:t>Den maksimale opfølgning i dette studie var 15 år, og derfor kan eventuelle virkninger af DMPA, der strækker sig ud over 15 års opfølgning, ikke afgøres. Det er vigtigt at bemærke, at dette studie ikke kunne afgøre, om brugen af DMPA har en virkning på frakturhyppigheden senere i livet, dvs. efter overgangsalderen.</w:t>
      </w:r>
    </w:p>
    <w:p w:rsidR="00A456E9" w:rsidRPr="00C3377B" w:rsidRDefault="00A456E9" w:rsidP="0015631A">
      <w:pPr>
        <w:ind w:left="851" w:hanging="851"/>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5.2</w:t>
      </w:r>
      <w:r w:rsidRPr="00C3377B">
        <w:rPr>
          <w:b/>
          <w:sz w:val="24"/>
          <w:szCs w:val="24"/>
        </w:rPr>
        <w:tab/>
      </w:r>
      <w:proofErr w:type="spellStart"/>
      <w:r w:rsidRPr="00C3377B">
        <w:rPr>
          <w:b/>
          <w:sz w:val="24"/>
          <w:szCs w:val="24"/>
        </w:rPr>
        <w:t>Farmakokinetiske</w:t>
      </w:r>
      <w:proofErr w:type="spellEnd"/>
      <w:r w:rsidRPr="00C3377B">
        <w:rPr>
          <w:b/>
          <w:sz w:val="24"/>
          <w:szCs w:val="24"/>
        </w:rPr>
        <w:t xml:space="preserve"> egenskaber</w:t>
      </w:r>
    </w:p>
    <w:p w:rsidR="00A456E9" w:rsidRDefault="00A456E9" w:rsidP="00A456E9">
      <w:pPr>
        <w:ind w:left="851"/>
        <w:rPr>
          <w:sz w:val="24"/>
          <w:szCs w:val="24"/>
        </w:rPr>
      </w:pPr>
      <w:r w:rsidRPr="00C3377B">
        <w:rPr>
          <w:sz w:val="24"/>
          <w:szCs w:val="24"/>
        </w:rPr>
        <w:t xml:space="preserve">De </w:t>
      </w:r>
      <w:proofErr w:type="spellStart"/>
      <w:r w:rsidRPr="00C3377B">
        <w:rPr>
          <w:sz w:val="24"/>
          <w:szCs w:val="24"/>
        </w:rPr>
        <w:t>farmakokinetiske</w:t>
      </w:r>
      <w:proofErr w:type="spellEnd"/>
      <w:r w:rsidRPr="00C3377B">
        <w:rPr>
          <w:sz w:val="24"/>
          <w:szCs w:val="24"/>
        </w:rPr>
        <w:t xml:space="preserve"> parametre for MPA </w:t>
      </w:r>
      <w:r w:rsidRPr="00E66138">
        <w:rPr>
          <w:sz w:val="24"/>
          <w:szCs w:val="24"/>
        </w:rPr>
        <w:t xml:space="preserve">efter én enkelt DMPA-injektion </w:t>
      </w:r>
      <w:proofErr w:type="spellStart"/>
      <w:r w:rsidRPr="00E66138">
        <w:rPr>
          <w:sz w:val="24"/>
          <w:szCs w:val="24"/>
        </w:rPr>
        <w:t>s.c</w:t>
      </w:r>
      <w:proofErr w:type="spellEnd"/>
      <w:r w:rsidRPr="00E66138">
        <w:rPr>
          <w:sz w:val="24"/>
          <w:szCs w:val="24"/>
        </w:rPr>
        <w:t>. er vist</w:t>
      </w:r>
      <w:r w:rsidRPr="00C3377B">
        <w:rPr>
          <w:sz w:val="24"/>
          <w:szCs w:val="24"/>
        </w:rPr>
        <w:t xml:space="preserve"> i tabel </w:t>
      </w:r>
      <w:r>
        <w:rPr>
          <w:sz w:val="24"/>
          <w:szCs w:val="24"/>
        </w:rPr>
        <w:t>5</w:t>
      </w:r>
      <w:r w:rsidRPr="00C3377B">
        <w:rPr>
          <w:sz w:val="24"/>
          <w:szCs w:val="24"/>
        </w:rPr>
        <w:t>.</w:t>
      </w:r>
    </w:p>
    <w:p w:rsidR="00A456E9" w:rsidRPr="00C3377B" w:rsidRDefault="00A456E9" w:rsidP="00A456E9">
      <w:pPr>
        <w:ind w:left="851"/>
        <w:rPr>
          <w:sz w:val="24"/>
          <w:szCs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Pr>
      <w:tblGrid>
        <w:gridCol w:w="1023"/>
        <w:gridCol w:w="1365"/>
        <w:gridCol w:w="1041"/>
        <w:gridCol w:w="1365"/>
        <w:gridCol w:w="1943"/>
        <w:gridCol w:w="1943"/>
        <w:gridCol w:w="958"/>
      </w:tblGrid>
      <w:tr w:rsidR="00A456E9" w:rsidRPr="00C3377B" w:rsidTr="007E522B">
        <w:trPr>
          <w:cantSplit/>
          <w:trHeight w:val="338"/>
        </w:trPr>
        <w:tc>
          <w:tcPr>
            <w:tcW w:w="5000" w:type="pct"/>
            <w:gridSpan w:val="7"/>
            <w:tcBorders>
              <w:top w:val="nil"/>
              <w:left w:val="nil"/>
              <w:right w:val="nil"/>
            </w:tcBorders>
          </w:tcPr>
          <w:p w:rsidR="00A456E9" w:rsidRPr="00C3377B" w:rsidRDefault="00A456E9" w:rsidP="007E522B">
            <w:pPr>
              <w:keepNext/>
              <w:rPr>
                <w:b/>
                <w:bCs/>
                <w:sz w:val="24"/>
                <w:szCs w:val="24"/>
              </w:rPr>
            </w:pPr>
            <w:r w:rsidRPr="00C3377B">
              <w:rPr>
                <w:b/>
                <w:bCs/>
                <w:sz w:val="24"/>
                <w:szCs w:val="24"/>
              </w:rPr>
              <w:t xml:space="preserve">Tabel </w:t>
            </w:r>
            <w:r>
              <w:rPr>
                <w:b/>
                <w:bCs/>
                <w:sz w:val="24"/>
                <w:szCs w:val="24"/>
              </w:rPr>
              <w:t>5</w:t>
            </w:r>
            <w:r w:rsidRPr="00C3377B">
              <w:rPr>
                <w:b/>
                <w:bCs/>
                <w:sz w:val="24"/>
                <w:szCs w:val="24"/>
              </w:rPr>
              <w:t xml:space="preserve">. </w:t>
            </w:r>
            <w:proofErr w:type="spellStart"/>
            <w:r w:rsidRPr="00C3377B">
              <w:rPr>
                <w:b/>
                <w:bCs/>
                <w:sz w:val="24"/>
                <w:szCs w:val="24"/>
              </w:rPr>
              <w:t>Farmakokinetiske</w:t>
            </w:r>
            <w:proofErr w:type="spellEnd"/>
            <w:r w:rsidRPr="00C3377B">
              <w:rPr>
                <w:b/>
                <w:bCs/>
                <w:sz w:val="24"/>
                <w:szCs w:val="24"/>
              </w:rPr>
              <w:t xml:space="preserve"> parametre for MPA </w:t>
            </w:r>
          </w:p>
          <w:p w:rsidR="00A456E9" w:rsidRPr="00C3377B" w:rsidRDefault="00A456E9" w:rsidP="007E522B">
            <w:pPr>
              <w:keepNext/>
              <w:suppressAutoHyphens/>
              <w:rPr>
                <w:b/>
                <w:bCs/>
                <w:sz w:val="24"/>
                <w:szCs w:val="24"/>
              </w:rPr>
            </w:pPr>
            <w:r w:rsidRPr="00C3377B">
              <w:rPr>
                <w:b/>
                <w:sz w:val="24"/>
                <w:szCs w:val="24"/>
              </w:rPr>
              <w:t xml:space="preserve">Efter én enkelt injektion af DMPA </w:t>
            </w:r>
            <w:proofErr w:type="spellStart"/>
            <w:r w:rsidRPr="00C3377B">
              <w:rPr>
                <w:b/>
                <w:sz w:val="24"/>
                <w:szCs w:val="24"/>
              </w:rPr>
              <w:t>s.c</w:t>
            </w:r>
            <w:proofErr w:type="spellEnd"/>
            <w:r w:rsidRPr="00C3377B">
              <w:rPr>
                <w:b/>
                <w:sz w:val="24"/>
                <w:szCs w:val="24"/>
              </w:rPr>
              <w:t>. hos raske kvinder (n = 42)</w:t>
            </w:r>
          </w:p>
        </w:tc>
      </w:tr>
      <w:tr w:rsidR="00A456E9" w:rsidRPr="00C3377B" w:rsidTr="007E522B">
        <w:trPr>
          <w:trHeight w:val="232"/>
        </w:trPr>
        <w:tc>
          <w:tcPr>
            <w:tcW w:w="531" w:type="pct"/>
            <w:tcBorders>
              <w:left w:val="nil"/>
              <w:bottom w:val="double" w:sz="6" w:space="0" w:color="auto"/>
              <w:right w:val="nil"/>
            </w:tcBorders>
          </w:tcPr>
          <w:p w:rsidR="00A456E9" w:rsidRPr="00C3377B" w:rsidRDefault="00A456E9" w:rsidP="007E522B">
            <w:pPr>
              <w:keepNext/>
              <w:suppressAutoHyphens/>
              <w:rPr>
                <w:sz w:val="24"/>
                <w:szCs w:val="24"/>
              </w:rPr>
            </w:pPr>
          </w:p>
        </w:tc>
        <w:tc>
          <w:tcPr>
            <w:tcW w:w="708" w:type="pct"/>
            <w:tcBorders>
              <w:left w:val="nil"/>
              <w:bottom w:val="double" w:sz="6" w:space="0" w:color="auto"/>
            </w:tcBorders>
          </w:tcPr>
          <w:p w:rsidR="00A456E9" w:rsidRPr="00C3377B" w:rsidRDefault="00A456E9" w:rsidP="007E522B">
            <w:pPr>
              <w:keepNext/>
              <w:suppressAutoHyphens/>
              <w:rPr>
                <w:sz w:val="24"/>
                <w:szCs w:val="24"/>
              </w:rPr>
            </w:pPr>
            <w:proofErr w:type="spellStart"/>
            <w:r w:rsidRPr="00C3377B">
              <w:rPr>
                <w:sz w:val="24"/>
                <w:szCs w:val="24"/>
              </w:rPr>
              <w:t>C</w:t>
            </w:r>
            <w:r w:rsidRPr="00C3377B">
              <w:rPr>
                <w:sz w:val="24"/>
                <w:szCs w:val="24"/>
                <w:vertAlign w:val="subscript"/>
              </w:rPr>
              <w:t>max</w:t>
            </w:r>
            <w:proofErr w:type="spellEnd"/>
          </w:p>
          <w:p w:rsidR="00A456E9" w:rsidRPr="00C3377B" w:rsidRDefault="00A456E9" w:rsidP="007E522B">
            <w:pPr>
              <w:keepNext/>
              <w:suppressAutoHyphens/>
              <w:rPr>
                <w:sz w:val="24"/>
                <w:szCs w:val="24"/>
              </w:rPr>
            </w:pPr>
            <w:r w:rsidRPr="00C3377B">
              <w:rPr>
                <w:sz w:val="24"/>
                <w:szCs w:val="24"/>
              </w:rPr>
              <w:t>(</w:t>
            </w:r>
            <w:proofErr w:type="spellStart"/>
            <w:r w:rsidRPr="00C3377B">
              <w:rPr>
                <w:sz w:val="24"/>
                <w:szCs w:val="24"/>
              </w:rPr>
              <w:t>ng</w:t>
            </w:r>
            <w:proofErr w:type="spellEnd"/>
            <w:r w:rsidRPr="00C3377B">
              <w:rPr>
                <w:sz w:val="24"/>
                <w:szCs w:val="24"/>
              </w:rPr>
              <w:t>/ml)</w:t>
            </w:r>
          </w:p>
        </w:tc>
        <w:tc>
          <w:tcPr>
            <w:tcW w:w="540" w:type="pct"/>
            <w:tcBorders>
              <w:bottom w:val="nil"/>
            </w:tcBorders>
          </w:tcPr>
          <w:p w:rsidR="00A456E9" w:rsidRPr="00C3377B" w:rsidRDefault="00A456E9" w:rsidP="007E522B">
            <w:pPr>
              <w:keepNext/>
              <w:suppressAutoHyphens/>
              <w:rPr>
                <w:sz w:val="24"/>
                <w:szCs w:val="24"/>
              </w:rPr>
            </w:pPr>
            <w:proofErr w:type="spellStart"/>
            <w:r w:rsidRPr="00C3377B">
              <w:rPr>
                <w:sz w:val="24"/>
                <w:szCs w:val="24"/>
              </w:rPr>
              <w:t>T</w:t>
            </w:r>
            <w:r w:rsidRPr="00C3377B">
              <w:rPr>
                <w:sz w:val="24"/>
                <w:szCs w:val="24"/>
                <w:vertAlign w:val="subscript"/>
              </w:rPr>
              <w:t>max</w:t>
            </w:r>
            <w:proofErr w:type="spellEnd"/>
          </w:p>
          <w:p w:rsidR="00A456E9" w:rsidRPr="00C3377B" w:rsidRDefault="00A456E9" w:rsidP="007E522B">
            <w:pPr>
              <w:keepNext/>
              <w:suppressAutoHyphens/>
              <w:rPr>
                <w:sz w:val="24"/>
                <w:szCs w:val="24"/>
              </w:rPr>
            </w:pPr>
            <w:r w:rsidRPr="00C3377B">
              <w:rPr>
                <w:sz w:val="24"/>
                <w:szCs w:val="24"/>
              </w:rPr>
              <w:t>(dag)</w:t>
            </w:r>
          </w:p>
        </w:tc>
        <w:tc>
          <w:tcPr>
            <w:tcW w:w="708" w:type="pct"/>
            <w:tcBorders>
              <w:bottom w:val="nil"/>
            </w:tcBorders>
          </w:tcPr>
          <w:p w:rsidR="00A456E9" w:rsidRPr="00C3377B" w:rsidRDefault="00A456E9" w:rsidP="007E522B">
            <w:pPr>
              <w:keepNext/>
              <w:suppressAutoHyphens/>
              <w:rPr>
                <w:sz w:val="24"/>
                <w:szCs w:val="24"/>
              </w:rPr>
            </w:pPr>
            <w:r w:rsidRPr="00C3377B">
              <w:rPr>
                <w:sz w:val="24"/>
                <w:szCs w:val="24"/>
              </w:rPr>
              <w:t>C</w:t>
            </w:r>
            <w:r w:rsidRPr="00C3377B">
              <w:rPr>
                <w:sz w:val="24"/>
                <w:szCs w:val="24"/>
                <w:vertAlign w:val="subscript"/>
              </w:rPr>
              <w:t>91 (min)</w:t>
            </w:r>
          </w:p>
          <w:p w:rsidR="00A456E9" w:rsidRPr="00C3377B" w:rsidRDefault="00A456E9" w:rsidP="007E522B">
            <w:pPr>
              <w:keepNext/>
              <w:suppressAutoHyphens/>
              <w:rPr>
                <w:sz w:val="24"/>
                <w:szCs w:val="24"/>
              </w:rPr>
            </w:pPr>
            <w:r w:rsidRPr="00C3377B">
              <w:rPr>
                <w:sz w:val="24"/>
                <w:szCs w:val="24"/>
              </w:rPr>
              <w:t xml:space="preserve"> (</w:t>
            </w:r>
            <w:proofErr w:type="spellStart"/>
            <w:r w:rsidRPr="00C3377B">
              <w:rPr>
                <w:sz w:val="24"/>
                <w:szCs w:val="24"/>
              </w:rPr>
              <w:t>ng</w:t>
            </w:r>
            <w:proofErr w:type="spellEnd"/>
            <w:r w:rsidRPr="00C3377B">
              <w:rPr>
                <w:sz w:val="24"/>
                <w:szCs w:val="24"/>
              </w:rPr>
              <w:t>/ml)</w:t>
            </w:r>
          </w:p>
        </w:tc>
        <w:tc>
          <w:tcPr>
            <w:tcW w:w="1008" w:type="pct"/>
            <w:tcBorders>
              <w:bottom w:val="nil"/>
            </w:tcBorders>
          </w:tcPr>
          <w:p w:rsidR="00A456E9" w:rsidRPr="00C3377B" w:rsidRDefault="00A456E9" w:rsidP="007E522B">
            <w:pPr>
              <w:keepNext/>
              <w:suppressAutoHyphens/>
              <w:rPr>
                <w:sz w:val="24"/>
                <w:szCs w:val="24"/>
              </w:rPr>
            </w:pPr>
            <w:r w:rsidRPr="00C3377B">
              <w:rPr>
                <w:sz w:val="24"/>
                <w:szCs w:val="24"/>
              </w:rPr>
              <w:t>AUC</w:t>
            </w:r>
            <w:r w:rsidRPr="00C3377B">
              <w:rPr>
                <w:sz w:val="24"/>
                <w:szCs w:val="24"/>
                <w:vertAlign w:val="subscript"/>
              </w:rPr>
              <w:t>0-91</w:t>
            </w:r>
          </w:p>
          <w:p w:rsidR="00A456E9" w:rsidRPr="00C3377B" w:rsidRDefault="00A456E9" w:rsidP="007E522B">
            <w:pPr>
              <w:keepNext/>
              <w:suppressAutoHyphens/>
              <w:rPr>
                <w:sz w:val="24"/>
                <w:szCs w:val="24"/>
              </w:rPr>
            </w:pPr>
            <w:r w:rsidRPr="00C3377B">
              <w:rPr>
                <w:sz w:val="24"/>
                <w:szCs w:val="24"/>
              </w:rPr>
              <w:t>(</w:t>
            </w:r>
            <w:proofErr w:type="spellStart"/>
            <w:r w:rsidRPr="00C3377B">
              <w:rPr>
                <w:sz w:val="24"/>
                <w:szCs w:val="24"/>
              </w:rPr>
              <w:t>ng·dag</w:t>
            </w:r>
            <w:proofErr w:type="spellEnd"/>
            <w:r w:rsidRPr="00C3377B">
              <w:rPr>
                <w:sz w:val="24"/>
                <w:szCs w:val="24"/>
              </w:rPr>
              <w:t>/ml)</w:t>
            </w:r>
          </w:p>
        </w:tc>
        <w:tc>
          <w:tcPr>
            <w:tcW w:w="1008" w:type="pct"/>
            <w:tcBorders>
              <w:bottom w:val="nil"/>
            </w:tcBorders>
          </w:tcPr>
          <w:p w:rsidR="00A456E9" w:rsidRPr="00C3377B" w:rsidRDefault="00A456E9" w:rsidP="007E522B">
            <w:pPr>
              <w:keepNext/>
              <w:suppressAutoHyphens/>
              <w:rPr>
                <w:strike/>
                <w:sz w:val="24"/>
                <w:szCs w:val="24"/>
              </w:rPr>
            </w:pPr>
            <w:r w:rsidRPr="00C3377B">
              <w:rPr>
                <w:sz w:val="24"/>
                <w:szCs w:val="24"/>
              </w:rPr>
              <w:t>AUC</w:t>
            </w:r>
            <w:r w:rsidRPr="00C3377B">
              <w:rPr>
                <w:sz w:val="24"/>
                <w:szCs w:val="24"/>
                <w:vertAlign w:val="subscript"/>
              </w:rPr>
              <w:t>0-</w:t>
            </w:r>
            <w:r w:rsidRPr="00C3377B">
              <w:rPr>
                <w:sz w:val="24"/>
                <w:szCs w:val="24"/>
                <w:vertAlign w:val="subscript"/>
              </w:rPr>
              <w:sym w:font="Symbol" w:char="F0A5"/>
            </w:r>
          </w:p>
          <w:p w:rsidR="00A456E9" w:rsidRPr="00C3377B" w:rsidRDefault="00A456E9" w:rsidP="007E522B">
            <w:pPr>
              <w:keepNext/>
              <w:suppressAutoHyphens/>
              <w:rPr>
                <w:sz w:val="24"/>
                <w:szCs w:val="24"/>
              </w:rPr>
            </w:pPr>
            <w:r w:rsidRPr="00C3377B">
              <w:rPr>
                <w:sz w:val="24"/>
                <w:szCs w:val="24"/>
              </w:rPr>
              <w:t>(</w:t>
            </w:r>
            <w:proofErr w:type="spellStart"/>
            <w:r w:rsidRPr="00C3377B">
              <w:rPr>
                <w:sz w:val="24"/>
                <w:szCs w:val="24"/>
              </w:rPr>
              <w:t>ng·dag</w:t>
            </w:r>
            <w:proofErr w:type="spellEnd"/>
            <w:r w:rsidRPr="00C3377B">
              <w:rPr>
                <w:sz w:val="24"/>
                <w:szCs w:val="24"/>
              </w:rPr>
              <w:t>/ml)</w:t>
            </w:r>
          </w:p>
        </w:tc>
        <w:tc>
          <w:tcPr>
            <w:tcW w:w="497" w:type="pct"/>
            <w:tcBorders>
              <w:bottom w:val="nil"/>
              <w:right w:val="nil"/>
            </w:tcBorders>
          </w:tcPr>
          <w:p w:rsidR="00A456E9" w:rsidRPr="00C3377B" w:rsidRDefault="00A456E9" w:rsidP="007E522B">
            <w:pPr>
              <w:keepNext/>
              <w:suppressAutoHyphens/>
              <w:rPr>
                <w:sz w:val="24"/>
                <w:szCs w:val="24"/>
              </w:rPr>
            </w:pPr>
            <w:r w:rsidRPr="00C3377B">
              <w:rPr>
                <w:sz w:val="24"/>
                <w:szCs w:val="24"/>
              </w:rPr>
              <w:t>t½</w:t>
            </w:r>
          </w:p>
          <w:p w:rsidR="00A456E9" w:rsidRPr="00C3377B" w:rsidRDefault="00A456E9" w:rsidP="007E522B">
            <w:pPr>
              <w:keepNext/>
              <w:suppressAutoHyphens/>
              <w:rPr>
                <w:sz w:val="24"/>
                <w:szCs w:val="24"/>
              </w:rPr>
            </w:pPr>
            <w:r w:rsidRPr="00C3377B">
              <w:rPr>
                <w:sz w:val="24"/>
                <w:szCs w:val="24"/>
              </w:rPr>
              <w:t>(dag)</w:t>
            </w:r>
          </w:p>
        </w:tc>
      </w:tr>
      <w:tr w:rsidR="00A456E9" w:rsidRPr="00C3377B" w:rsidTr="007E522B">
        <w:trPr>
          <w:trHeight w:val="112"/>
        </w:trPr>
        <w:tc>
          <w:tcPr>
            <w:tcW w:w="531" w:type="pct"/>
            <w:tcBorders>
              <w:top w:val="nil"/>
              <w:left w:val="nil"/>
              <w:bottom w:val="nil"/>
            </w:tcBorders>
          </w:tcPr>
          <w:p w:rsidR="00A456E9" w:rsidRPr="00C3377B" w:rsidRDefault="00A456E9" w:rsidP="007E522B">
            <w:pPr>
              <w:keepNext/>
              <w:suppressAutoHyphens/>
              <w:rPr>
                <w:sz w:val="24"/>
                <w:szCs w:val="24"/>
              </w:rPr>
            </w:pPr>
            <w:proofErr w:type="spellStart"/>
            <w:r w:rsidRPr="00C3377B">
              <w:rPr>
                <w:sz w:val="24"/>
                <w:szCs w:val="24"/>
              </w:rPr>
              <w:t>Gns</w:t>
            </w:r>
            <w:proofErr w:type="spellEnd"/>
            <w:r w:rsidRPr="00C3377B">
              <w:rPr>
                <w:sz w:val="24"/>
                <w:szCs w:val="24"/>
              </w:rPr>
              <w:t>.</w:t>
            </w:r>
          </w:p>
        </w:tc>
        <w:tc>
          <w:tcPr>
            <w:tcW w:w="708" w:type="pct"/>
            <w:tcBorders>
              <w:top w:val="nil"/>
            </w:tcBorders>
          </w:tcPr>
          <w:p w:rsidR="00A456E9" w:rsidRPr="00C3377B" w:rsidRDefault="00A456E9" w:rsidP="007E522B">
            <w:pPr>
              <w:keepNext/>
              <w:suppressAutoHyphens/>
              <w:rPr>
                <w:sz w:val="24"/>
                <w:szCs w:val="24"/>
              </w:rPr>
            </w:pPr>
            <w:r w:rsidRPr="00C3377B">
              <w:rPr>
                <w:sz w:val="24"/>
                <w:szCs w:val="24"/>
              </w:rPr>
              <w:t>1.56</w:t>
            </w:r>
          </w:p>
        </w:tc>
        <w:tc>
          <w:tcPr>
            <w:tcW w:w="540" w:type="pct"/>
            <w:tcBorders>
              <w:top w:val="double" w:sz="6" w:space="0" w:color="auto"/>
            </w:tcBorders>
          </w:tcPr>
          <w:p w:rsidR="00A456E9" w:rsidRPr="00C3377B" w:rsidRDefault="00A456E9" w:rsidP="007E522B">
            <w:pPr>
              <w:keepNext/>
              <w:suppressAutoHyphens/>
              <w:rPr>
                <w:sz w:val="24"/>
                <w:szCs w:val="24"/>
              </w:rPr>
            </w:pPr>
            <w:r w:rsidRPr="00C3377B">
              <w:rPr>
                <w:sz w:val="24"/>
                <w:szCs w:val="24"/>
              </w:rPr>
              <w:t>8.8</w:t>
            </w:r>
          </w:p>
        </w:tc>
        <w:tc>
          <w:tcPr>
            <w:tcW w:w="708" w:type="pct"/>
            <w:tcBorders>
              <w:top w:val="double" w:sz="6" w:space="0" w:color="auto"/>
            </w:tcBorders>
          </w:tcPr>
          <w:p w:rsidR="00A456E9" w:rsidRPr="00C3377B" w:rsidRDefault="00A456E9" w:rsidP="007E522B">
            <w:pPr>
              <w:keepNext/>
              <w:suppressAutoHyphens/>
              <w:rPr>
                <w:sz w:val="24"/>
                <w:szCs w:val="24"/>
              </w:rPr>
            </w:pPr>
            <w:r w:rsidRPr="00C3377B">
              <w:rPr>
                <w:sz w:val="24"/>
                <w:szCs w:val="24"/>
              </w:rPr>
              <w:t>0.402</w:t>
            </w:r>
          </w:p>
        </w:tc>
        <w:tc>
          <w:tcPr>
            <w:tcW w:w="1008" w:type="pct"/>
            <w:tcBorders>
              <w:top w:val="double" w:sz="6" w:space="0" w:color="auto"/>
            </w:tcBorders>
          </w:tcPr>
          <w:p w:rsidR="00A456E9" w:rsidRPr="00C3377B" w:rsidRDefault="00A456E9" w:rsidP="007E522B">
            <w:pPr>
              <w:keepNext/>
              <w:suppressAutoHyphens/>
              <w:rPr>
                <w:sz w:val="24"/>
                <w:szCs w:val="24"/>
              </w:rPr>
            </w:pPr>
            <w:r w:rsidRPr="00C3377B">
              <w:rPr>
                <w:sz w:val="24"/>
                <w:szCs w:val="24"/>
              </w:rPr>
              <w:t>66.98</w:t>
            </w:r>
          </w:p>
        </w:tc>
        <w:tc>
          <w:tcPr>
            <w:tcW w:w="1008" w:type="pct"/>
            <w:tcBorders>
              <w:top w:val="double" w:sz="6" w:space="0" w:color="auto"/>
            </w:tcBorders>
          </w:tcPr>
          <w:p w:rsidR="00A456E9" w:rsidRPr="00C3377B" w:rsidRDefault="00A456E9" w:rsidP="007E522B">
            <w:pPr>
              <w:keepNext/>
              <w:suppressAutoHyphens/>
              <w:rPr>
                <w:sz w:val="24"/>
                <w:szCs w:val="24"/>
              </w:rPr>
            </w:pPr>
            <w:r w:rsidRPr="00C3377B">
              <w:rPr>
                <w:sz w:val="24"/>
                <w:szCs w:val="24"/>
              </w:rPr>
              <w:t>92.84</w:t>
            </w:r>
          </w:p>
        </w:tc>
        <w:tc>
          <w:tcPr>
            <w:tcW w:w="497" w:type="pct"/>
            <w:tcBorders>
              <w:top w:val="double" w:sz="6" w:space="0" w:color="auto"/>
              <w:right w:val="nil"/>
            </w:tcBorders>
          </w:tcPr>
          <w:p w:rsidR="00A456E9" w:rsidRPr="00C3377B" w:rsidRDefault="00A456E9" w:rsidP="007E522B">
            <w:pPr>
              <w:keepNext/>
              <w:suppressAutoHyphens/>
              <w:rPr>
                <w:sz w:val="24"/>
                <w:szCs w:val="24"/>
              </w:rPr>
            </w:pPr>
            <w:r w:rsidRPr="00C3377B">
              <w:rPr>
                <w:sz w:val="24"/>
                <w:szCs w:val="24"/>
              </w:rPr>
              <w:t>43</w:t>
            </w:r>
          </w:p>
        </w:tc>
      </w:tr>
      <w:tr w:rsidR="00A456E9" w:rsidRPr="00C3377B" w:rsidTr="007E522B">
        <w:trPr>
          <w:trHeight w:val="112"/>
        </w:trPr>
        <w:tc>
          <w:tcPr>
            <w:tcW w:w="531" w:type="pct"/>
            <w:tcBorders>
              <w:top w:val="nil"/>
              <w:left w:val="nil"/>
              <w:bottom w:val="nil"/>
            </w:tcBorders>
          </w:tcPr>
          <w:p w:rsidR="00A456E9" w:rsidRPr="00C3377B" w:rsidRDefault="00A456E9" w:rsidP="007E522B">
            <w:pPr>
              <w:keepNext/>
              <w:suppressAutoHyphens/>
              <w:rPr>
                <w:sz w:val="24"/>
                <w:szCs w:val="24"/>
              </w:rPr>
            </w:pPr>
            <w:r w:rsidRPr="00C3377B">
              <w:rPr>
                <w:sz w:val="24"/>
                <w:szCs w:val="24"/>
              </w:rPr>
              <w:t>Min.</w:t>
            </w:r>
          </w:p>
        </w:tc>
        <w:tc>
          <w:tcPr>
            <w:tcW w:w="708" w:type="pct"/>
          </w:tcPr>
          <w:p w:rsidR="00A456E9" w:rsidRPr="00C3377B" w:rsidRDefault="00A456E9" w:rsidP="007E522B">
            <w:pPr>
              <w:keepNext/>
              <w:suppressAutoHyphens/>
              <w:rPr>
                <w:sz w:val="24"/>
                <w:szCs w:val="24"/>
              </w:rPr>
            </w:pPr>
            <w:r w:rsidRPr="00C3377B">
              <w:rPr>
                <w:sz w:val="24"/>
                <w:szCs w:val="24"/>
              </w:rPr>
              <w:t>0.53</w:t>
            </w:r>
          </w:p>
        </w:tc>
        <w:tc>
          <w:tcPr>
            <w:tcW w:w="540" w:type="pct"/>
          </w:tcPr>
          <w:p w:rsidR="00A456E9" w:rsidRPr="00C3377B" w:rsidRDefault="00A456E9" w:rsidP="007E522B">
            <w:pPr>
              <w:keepNext/>
              <w:suppressAutoHyphens/>
              <w:rPr>
                <w:sz w:val="24"/>
                <w:szCs w:val="24"/>
              </w:rPr>
            </w:pPr>
            <w:r w:rsidRPr="00C3377B">
              <w:rPr>
                <w:sz w:val="24"/>
                <w:szCs w:val="24"/>
              </w:rPr>
              <w:t>2.0</w:t>
            </w:r>
          </w:p>
        </w:tc>
        <w:tc>
          <w:tcPr>
            <w:tcW w:w="708" w:type="pct"/>
          </w:tcPr>
          <w:p w:rsidR="00A456E9" w:rsidRPr="00C3377B" w:rsidRDefault="00A456E9" w:rsidP="007E522B">
            <w:pPr>
              <w:keepNext/>
              <w:suppressAutoHyphens/>
              <w:rPr>
                <w:sz w:val="24"/>
                <w:szCs w:val="24"/>
              </w:rPr>
            </w:pPr>
            <w:r w:rsidRPr="00C3377B">
              <w:rPr>
                <w:sz w:val="24"/>
                <w:szCs w:val="24"/>
              </w:rPr>
              <w:t>0.133</w:t>
            </w:r>
          </w:p>
        </w:tc>
        <w:tc>
          <w:tcPr>
            <w:tcW w:w="1008" w:type="pct"/>
          </w:tcPr>
          <w:p w:rsidR="00A456E9" w:rsidRPr="00C3377B" w:rsidRDefault="00A456E9" w:rsidP="007E522B">
            <w:pPr>
              <w:keepNext/>
              <w:suppressAutoHyphens/>
              <w:rPr>
                <w:sz w:val="24"/>
                <w:szCs w:val="24"/>
              </w:rPr>
            </w:pPr>
            <w:r w:rsidRPr="00C3377B">
              <w:rPr>
                <w:sz w:val="24"/>
                <w:szCs w:val="24"/>
              </w:rPr>
              <w:t>20.63</w:t>
            </w:r>
          </w:p>
        </w:tc>
        <w:tc>
          <w:tcPr>
            <w:tcW w:w="1008" w:type="pct"/>
          </w:tcPr>
          <w:p w:rsidR="00A456E9" w:rsidRPr="00C3377B" w:rsidRDefault="00A456E9" w:rsidP="007E522B">
            <w:pPr>
              <w:keepNext/>
              <w:suppressAutoHyphens/>
              <w:rPr>
                <w:sz w:val="24"/>
                <w:szCs w:val="24"/>
              </w:rPr>
            </w:pPr>
            <w:r w:rsidRPr="00C3377B">
              <w:rPr>
                <w:sz w:val="24"/>
                <w:szCs w:val="24"/>
              </w:rPr>
              <w:t>31.36</w:t>
            </w:r>
          </w:p>
        </w:tc>
        <w:tc>
          <w:tcPr>
            <w:tcW w:w="497" w:type="pct"/>
            <w:tcBorders>
              <w:right w:val="nil"/>
            </w:tcBorders>
          </w:tcPr>
          <w:p w:rsidR="00A456E9" w:rsidRPr="00C3377B" w:rsidRDefault="00A456E9" w:rsidP="007E522B">
            <w:pPr>
              <w:keepNext/>
              <w:suppressAutoHyphens/>
              <w:rPr>
                <w:sz w:val="24"/>
                <w:szCs w:val="24"/>
              </w:rPr>
            </w:pPr>
            <w:r w:rsidRPr="00C3377B">
              <w:rPr>
                <w:sz w:val="24"/>
                <w:szCs w:val="24"/>
              </w:rPr>
              <w:t>16</w:t>
            </w:r>
          </w:p>
        </w:tc>
      </w:tr>
      <w:tr w:rsidR="00A456E9" w:rsidRPr="00C3377B" w:rsidTr="007E522B">
        <w:trPr>
          <w:trHeight w:val="112"/>
        </w:trPr>
        <w:tc>
          <w:tcPr>
            <w:tcW w:w="531" w:type="pct"/>
            <w:tcBorders>
              <w:top w:val="nil"/>
              <w:left w:val="nil"/>
              <w:bottom w:val="nil"/>
            </w:tcBorders>
          </w:tcPr>
          <w:p w:rsidR="00A456E9" w:rsidRPr="00C3377B" w:rsidRDefault="00A456E9" w:rsidP="007E522B">
            <w:pPr>
              <w:keepNext/>
              <w:suppressAutoHyphens/>
              <w:rPr>
                <w:sz w:val="24"/>
                <w:szCs w:val="24"/>
              </w:rPr>
            </w:pPr>
            <w:r w:rsidRPr="00C3377B">
              <w:rPr>
                <w:sz w:val="24"/>
                <w:szCs w:val="24"/>
              </w:rPr>
              <w:t>Maks.</w:t>
            </w:r>
          </w:p>
        </w:tc>
        <w:tc>
          <w:tcPr>
            <w:tcW w:w="708" w:type="pct"/>
            <w:tcBorders>
              <w:bottom w:val="nil"/>
            </w:tcBorders>
          </w:tcPr>
          <w:p w:rsidR="00A456E9" w:rsidRPr="00C3377B" w:rsidRDefault="00A456E9" w:rsidP="007E522B">
            <w:pPr>
              <w:keepNext/>
              <w:suppressAutoHyphens/>
              <w:rPr>
                <w:sz w:val="24"/>
                <w:szCs w:val="24"/>
              </w:rPr>
            </w:pPr>
            <w:r w:rsidRPr="00C3377B">
              <w:rPr>
                <w:sz w:val="24"/>
                <w:szCs w:val="24"/>
              </w:rPr>
              <w:t>3.08</w:t>
            </w:r>
          </w:p>
        </w:tc>
        <w:tc>
          <w:tcPr>
            <w:tcW w:w="540" w:type="pct"/>
            <w:tcBorders>
              <w:bottom w:val="nil"/>
            </w:tcBorders>
          </w:tcPr>
          <w:p w:rsidR="00A456E9" w:rsidRPr="00C3377B" w:rsidRDefault="00A456E9" w:rsidP="007E522B">
            <w:pPr>
              <w:keepNext/>
              <w:suppressAutoHyphens/>
              <w:rPr>
                <w:sz w:val="24"/>
                <w:szCs w:val="24"/>
              </w:rPr>
            </w:pPr>
            <w:r w:rsidRPr="00C3377B">
              <w:rPr>
                <w:sz w:val="24"/>
                <w:szCs w:val="24"/>
              </w:rPr>
              <w:t>80.0</w:t>
            </w:r>
          </w:p>
        </w:tc>
        <w:tc>
          <w:tcPr>
            <w:tcW w:w="708" w:type="pct"/>
            <w:tcBorders>
              <w:bottom w:val="nil"/>
            </w:tcBorders>
          </w:tcPr>
          <w:p w:rsidR="00A456E9" w:rsidRPr="00C3377B" w:rsidRDefault="00A456E9" w:rsidP="007E522B">
            <w:pPr>
              <w:keepNext/>
              <w:suppressAutoHyphens/>
              <w:rPr>
                <w:sz w:val="24"/>
                <w:szCs w:val="24"/>
              </w:rPr>
            </w:pPr>
            <w:r w:rsidRPr="00C3377B">
              <w:rPr>
                <w:sz w:val="24"/>
                <w:szCs w:val="24"/>
              </w:rPr>
              <w:t>0.733</w:t>
            </w:r>
          </w:p>
        </w:tc>
        <w:tc>
          <w:tcPr>
            <w:tcW w:w="1008" w:type="pct"/>
            <w:tcBorders>
              <w:bottom w:val="nil"/>
            </w:tcBorders>
          </w:tcPr>
          <w:p w:rsidR="00A456E9" w:rsidRPr="00C3377B" w:rsidRDefault="00A456E9" w:rsidP="007E522B">
            <w:pPr>
              <w:keepNext/>
              <w:suppressAutoHyphens/>
              <w:rPr>
                <w:sz w:val="24"/>
                <w:szCs w:val="24"/>
              </w:rPr>
            </w:pPr>
            <w:r w:rsidRPr="00C3377B">
              <w:rPr>
                <w:sz w:val="24"/>
                <w:szCs w:val="24"/>
              </w:rPr>
              <w:t>139.79</w:t>
            </w:r>
          </w:p>
        </w:tc>
        <w:tc>
          <w:tcPr>
            <w:tcW w:w="1008" w:type="pct"/>
            <w:tcBorders>
              <w:bottom w:val="nil"/>
            </w:tcBorders>
          </w:tcPr>
          <w:p w:rsidR="00A456E9" w:rsidRPr="00C3377B" w:rsidRDefault="00A456E9" w:rsidP="007E522B">
            <w:pPr>
              <w:keepNext/>
              <w:suppressAutoHyphens/>
              <w:rPr>
                <w:sz w:val="24"/>
                <w:szCs w:val="24"/>
              </w:rPr>
            </w:pPr>
            <w:r w:rsidRPr="00C3377B">
              <w:rPr>
                <w:sz w:val="24"/>
                <w:szCs w:val="24"/>
              </w:rPr>
              <w:t>162.29</w:t>
            </w:r>
          </w:p>
        </w:tc>
        <w:tc>
          <w:tcPr>
            <w:tcW w:w="497" w:type="pct"/>
            <w:tcBorders>
              <w:bottom w:val="nil"/>
              <w:right w:val="nil"/>
            </w:tcBorders>
          </w:tcPr>
          <w:p w:rsidR="00A456E9" w:rsidRPr="00C3377B" w:rsidRDefault="00A456E9" w:rsidP="007E522B">
            <w:pPr>
              <w:keepNext/>
              <w:suppressAutoHyphens/>
              <w:rPr>
                <w:sz w:val="24"/>
                <w:szCs w:val="24"/>
              </w:rPr>
            </w:pPr>
            <w:r w:rsidRPr="00C3377B">
              <w:rPr>
                <w:sz w:val="24"/>
                <w:szCs w:val="24"/>
              </w:rPr>
              <w:t>114</w:t>
            </w:r>
          </w:p>
        </w:tc>
      </w:tr>
      <w:tr w:rsidR="00A456E9" w:rsidRPr="00C3377B" w:rsidTr="007E522B">
        <w:trPr>
          <w:cantSplit/>
          <w:trHeight w:val="208"/>
        </w:trPr>
        <w:tc>
          <w:tcPr>
            <w:tcW w:w="5000" w:type="pct"/>
            <w:gridSpan w:val="7"/>
            <w:tcBorders>
              <w:left w:val="nil"/>
              <w:bottom w:val="nil"/>
              <w:right w:val="nil"/>
            </w:tcBorders>
          </w:tcPr>
          <w:p w:rsidR="00A456E9" w:rsidRPr="00C3377B" w:rsidRDefault="00A456E9" w:rsidP="007E522B">
            <w:pPr>
              <w:keepNext/>
              <w:suppressAutoHyphens/>
              <w:rPr>
                <w:sz w:val="24"/>
                <w:szCs w:val="24"/>
              </w:rPr>
            </w:pPr>
            <w:proofErr w:type="spellStart"/>
            <w:r w:rsidRPr="00C3377B">
              <w:rPr>
                <w:sz w:val="24"/>
                <w:szCs w:val="24"/>
              </w:rPr>
              <w:t>C</w:t>
            </w:r>
            <w:r w:rsidRPr="00C3377B">
              <w:rPr>
                <w:sz w:val="24"/>
                <w:szCs w:val="24"/>
                <w:vertAlign w:val="subscript"/>
              </w:rPr>
              <w:t>max</w:t>
            </w:r>
            <w:proofErr w:type="spellEnd"/>
            <w:r w:rsidRPr="00C3377B">
              <w:rPr>
                <w:sz w:val="24"/>
                <w:szCs w:val="24"/>
              </w:rPr>
              <w:t xml:space="preserve"> = maks. serumkoncentration, </w:t>
            </w:r>
            <w:proofErr w:type="spellStart"/>
            <w:r w:rsidRPr="00C3377B">
              <w:rPr>
                <w:sz w:val="24"/>
                <w:szCs w:val="24"/>
              </w:rPr>
              <w:t>T</w:t>
            </w:r>
            <w:r w:rsidRPr="00C3377B">
              <w:rPr>
                <w:sz w:val="24"/>
                <w:szCs w:val="24"/>
                <w:vertAlign w:val="subscript"/>
              </w:rPr>
              <w:t>max</w:t>
            </w:r>
            <w:proofErr w:type="spellEnd"/>
            <w:r w:rsidRPr="00C3377B">
              <w:rPr>
                <w:sz w:val="24"/>
                <w:szCs w:val="24"/>
              </w:rPr>
              <w:t xml:space="preserve"> = tidspunkt for observation af </w:t>
            </w:r>
            <w:proofErr w:type="spellStart"/>
            <w:r w:rsidRPr="00C3377B">
              <w:rPr>
                <w:sz w:val="24"/>
                <w:szCs w:val="24"/>
              </w:rPr>
              <w:t>C</w:t>
            </w:r>
            <w:r w:rsidRPr="00C3377B">
              <w:rPr>
                <w:sz w:val="24"/>
                <w:szCs w:val="24"/>
                <w:vertAlign w:val="subscript"/>
              </w:rPr>
              <w:t>max</w:t>
            </w:r>
            <w:proofErr w:type="spellEnd"/>
            <w:r w:rsidRPr="00C3377B">
              <w:rPr>
                <w:sz w:val="24"/>
                <w:szCs w:val="24"/>
              </w:rPr>
              <w:t>, AUC</w:t>
            </w:r>
            <w:r w:rsidRPr="00C3377B">
              <w:rPr>
                <w:sz w:val="24"/>
                <w:szCs w:val="24"/>
                <w:vertAlign w:val="subscript"/>
              </w:rPr>
              <w:t>0-91</w:t>
            </w:r>
            <w:r w:rsidRPr="00C3377B">
              <w:rPr>
                <w:sz w:val="24"/>
                <w:szCs w:val="24"/>
              </w:rPr>
              <w:t> = areal under koncentration-tidskurven over 91 dage, t½ = terminal halveringstid, 1 nanogram = 10</w:t>
            </w:r>
            <w:r w:rsidRPr="00C3377B">
              <w:rPr>
                <w:sz w:val="24"/>
                <w:szCs w:val="24"/>
                <w:vertAlign w:val="superscript"/>
              </w:rPr>
              <w:t>3</w:t>
            </w:r>
            <w:r w:rsidRPr="00C3377B">
              <w:rPr>
                <w:sz w:val="24"/>
                <w:szCs w:val="24"/>
              </w:rPr>
              <w:t xml:space="preserve"> picogram.</w:t>
            </w:r>
          </w:p>
        </w:tc>
      </w:tr>
    </w:tbl>
    <w:p w:rsidR="00A456E9" w:rsidRPr="00C3377B" w:rsidRDefault="00A456E9" w:rsidP="00A456E9">
      <w:pPr>
        <w:ind w:left="851" w:hanging="851"/>
        <w:rPr>
          <w:b/>
          <w:bCs/>
          <w:sz w:val="24"/>
          <w:szCs w:val="24"/>
        </w:rPr>
      </w:pPr>
    </w:p>
    <w:p w:rsidR="00A456E9" w:rsidRPr="002A28DF" w:rsidRDefault="00A456E9" w:rsidP="00A456E9">
      <w:pPr>
        <w:ind w:left="851"/>
        <w:rPr>
          <w:sz w:val="24"/>
          <w:szCs w:val="24"/>
          <w:u w:val="single"/>
        </w:rPr>
      </w:pPr>
      <w:r w:rsidRPr="002A28DF">
        <w:rPr>
          <w:sz w:val="24"/>
          <w:szCs w:val="24"/>
          <w:u w:val="single"/>
        </w:rPr>
        <w:t>Generelle karakteristika</w:t>
      </w:r>
    </w:p>
    <w:p w:rsidR="00A456E9" w:rsidRPr="002A28DF" w:rsidRDefault="00A456E9" w:rsidP="00A456E9">
      <w:pPr>
        <w:ind w:left="851"/>
        <w:rPr>
          <w:sz w:val="24"/>
          <w:szCs w:val="24"/>
        </w:rPr>
      </w:pPr>
    </w:p>
    <w:p w:rsidR="00A456E9" w:rsidRPr="002A28DF" w:rsidRDefault="00A456E9" w:rsidP="00A456E9">
      <w:pPr>
        <w:ind w:left="851"/>
        <w:rPr>
          <w:i/>
          <w:iCs/>
          <w:sz w:val="24"/>
          <w:szCs w:val="24"/>
        </w:rPr>
      </w:pPr>
      <w:r w:rsidRPr="002A28DF">
        <w:rPr>
          <w:i/>
          <w:sz w:val="24"/>
          <w:szCs w:val="24"/>
        </w:rPr>
        <w:t>Absorption</w:t>
      </w:r>
    </w:p>
    <w:p w:rsidR="00A456E9" w:rsidRPr="002A28DF" w:rsidRDefault="00A456E9" w:rsidP="00A456E9">
      <w:pPr>
        <w:ind w:left="851"/>
        <w:rPr>
          <w:sz w:val="24"/>
          <w:szCs w:val="24"/>
        </w:rPr>
      </w:pPr>
      <w:r w:rsidRPr="002A28DF">
        <w:rPr>
          <w:sz w:val="24"/>
          <w:szCs w:val="24"/>
        </w:rPr>
        <w:t xml:space="preserve">Absorption af MPA fra injektionsstedet </w:t>
      </w:r>
      <w:proofErr w:type="spellStart"/>
      <w:r w:rsidRPr="002A28DF">
        <w:rPr>
          <w:sz w:val="24"/>
          <w:szCs w:val="24"/>
        </w:rPr>
        <w:t>s.c</w:t>
      </w:r>
      <w:proofErr w:type="spellEnd"/>
      <w:r w:rsidRPr="002A28DF">
        <w:rPr>
          <w:sz w:val="24"/>
          <w:szCs w:val="24"/>
        </w:rPr>
        <w:t xml:space="preserve">. for at nå behandlingsniveauet sker relativt hurtigt. Det gennemsnitlige </w:t>
      </w:r>
      <w:proofErr w:type="spellStart"/>
      <w:r w:rsidRPr="002A28DF">
        <w:rPr>
          <w:sz w:val="24"/>
          <w:szCs w:val="24"/>
        </w:rPr>
        <w:t>T</w:t>
      </w:r>
      <w:r w:rsidRPr="002A28DF">
        <w:rPr>
          <w:sz w:val="24"/>
          <w:szCs w:val="24"/>
          <w:vertAlign w:val="subscript"/>
        </w:rPr>
        <w:t>max</w:t>
      </w:r>
      <w:proofErr w:type="spellEnd"/>
      <w:r w:rsidRPr="002A28DF">
        <w:rPr>
          <w:sz w:val="24"/>
          <w:szCs w:val="24"/>
        </w:rPr>
        <w:t xml:space="preserve"> nås ca. en uge efter injektion. De maksimale MPA-koncentrationer (</w:t>
      </w:r>
      <w:proofErr w:type="spellStart"/>
      <w:r w:rsidRPr="002A28DF">
        <w:rPr>
          <w:sz w:val="24"/>
          <w:szCs w:val="24"/>
        </w:rPr>
        <w:t>C</w:t>
      </w:r>
      <w:r w:rsidRPr="002A28DF">
        <w:rPr>
          <w:sz w:val="24"/>
          <w:szCs w:val="24"/>
          <w:vertAlign w:val="subscript"/>
        </w:rPr>
        <w:t>max</w:t>
      </w:r>
      <w:proofErr w:type="spellEnd"/>
      <w:r w:rsidRPr="002A28DF">
        <w:rPr>
          <w:sz w:val="24"/>
          <w:szCs w:val="24"/>
        </w:rPr>
        <w:t xml:space="preserve">) ligger generelt i intervallet fra 0,5 til 3,0 </w:t>
      </w:r>
      <w:proofErr w:type="spellStart"/>
      <w:r w:rsidRPr="002A28DF">
        <w:rPr>
          <w:sz w:val="24"/>
          <w:szCs w:val="24"/>
        </w:rPr>
        <w:t>ng</w:t>
      </w:r>
      <w:proofErr w:type="spellEnd"/>
      <w:r w:rsidRPr="002A28DF">
        <w:rPr>
          <w:sz w:val="24"/>
          <w:szCs w:val="24"/>
        </w:rPr>
        <w:t xml:space="preserve">/ml med et gennemsnitligt </w:t>
      </w:r>
      <w:proofErr w:type="spellStart"/>
      <w:r w:rsidRPr="002A28DF">
        <w:rPr>
          <w:sz w:val="24"/>
          <w:szCs w:val="24"/>
        </w:rPr>
        <w:t>C</w:t>
      </w:r>
      <w:r w:rsidRPr="002A28DF">
        <w:rPr>
          <w:sz w:val="24"/>
          <w:szCs w:val="24"/>
          <w:vertAlign w:val="subscript"/>
        </w:rPr>
        <w:t>max</w:t>
      </w:r>
      <w:proofErr w:type="spellEnd"/>
      <w:r w:rsidRPr="002A28DF">
        <w:rPr>
          <w:sz w:val="24"/>
          <w:szCs w:val="24"/>
        </w:rPr>
        <w:t xml:space="preserve"> på 1,5 </w:t>
      </w:r>
      <w:proofErr w:type="spellStart"/>
      <w:r w:rsidRPr="002A28DF">
        <w:rPr>
          <w:sz w:val="24"/>
          <w:szCs w:val="24"/>
        </w:rPr>
        <w:t>ng</w:t>
      </w:r>
      <w:proofErr w:type="spellEnd"/>
      <w:r w:rsidRPr="002A28DF">
        <w:rPr>
          <w:sz w:val="24"/>
          <w:szCs w:val="24"/>
        </w:rPr>
        <w:t xml:space="preserve">/ml efter én enkelt injektion </w:t>
      </w:r>
      <w:proofErr w:type="spellStart"/>
      <w:r w:rsidRPr="002A28DF">
        <w:rPr>
          <w:sz w:val="24"/>
          <w:szCs w:val="24"/>
        </w:rPr>
        <w:t>s.c</w:t>
      </w:r>
      <w:proofErr w:type="spellEnd"/>
      <w:r w:rsidRPr="002A28DF">
        <w:rPr>
          <w:sz w:val="24"/>
          <w:szCs w:val="24"/>
        </w:rPr>
        <w:t>.</w:t>
      </w:r>
    </w:p>
    <w:p w:rsidR="00A456E9" w:rsidRPr="002A28DF" w:rsidRDefault="00A456E9" w:rsidP="00A456E9">
      <w:pPr>
        <w:ind w:left="851"/>
        <w:rPr>
          <w:sz w:val="24"/>
          <w:szCs w:val="24"/>
        </w:rPr>
      </w:pPr>
    </w:p>
    <w:p w:rsidR="00A456E9" w:rsidRPr="002A28DF" w:rsidRDefault="00A456E9" w:rsidP="00A456E9">
      <w:pPr>
        <w:ind w:left="851"/>
        <w:rPr>
          <w:i/>
          <w:iCs/>
          <w:sz w:val="24"/>
          <w:szCs w:val="24"/>
        </w:rPr>
      </w:pPr>
      <w:r w:rsidRPr="002A28DF">
        <w:rPr>
          <w:i/>
          <w:iCs/>
          <w:sz w:val="24"/>
          <w:szCs w:val="24"/>
        </w:rPr>
        <w:t>Betydning af injektionsstedet</w:t>
      </w:r>
    </w:p>
    <w:p w:rsidR="00A456E9" w:rsidRPr="002A28DF" w:rsidRDefault="00A456E9" w:rsidP="00A456E9">
      <w:pPr>
        <w:ind w:left="851"/>
        <w:rPr>
          <w:sz w:val="24"/>
          <w:szCs w:val="24"/>
        </w:rPr>
      </w:pPr>
      <w:r w:rsidRPr="002A28DF">
        <w:rPr>
          <w:sz w:val="24"/>
          <w:szCs w:val="24"/>
        </w:rPr>
        <w:t xml:space="preserve">DMPA blev administreret subkutant i foran på låret eller maven for at vurdere virkningen på </w:t>
      </w:r>
      <w:proofErr w:type="spellStart"/>
      <w:r w:rsidRPr="002A28DF">
        <w:rPr>
          <w:sz w:val="24"/>
          <w:szCs w:val="24"/>
        </w:rPr>
        <w:t>MPA's</w:t>
      </w:r>
      <w:proofErr w:type="spellEnd"/>
      <w:r w:rsidRPr="002A28DF">
        <w:rPr>
          <w:sz w:val="24"/>
          <w:szCs w:val="24"/>
        </w:rPr>
        <w:t xml:space="preserve"> koncentration-tidsprofil. </w:t>
      </w:r>
      <w:proofErr w:type="spellStart"/>
      <w:r w:rsidRPr="002A28DF">
        <w:rPr>
          <w:sz w:val="24"/>
          <w:szCs w:val="24"/>
        </w:rPr>
        <w:t>MPA's</w:t>
      </w:r>
      <w:proofErr w:type="spellEnd"/>
      <w:r w:rsidRPr="002A28DF">
        <w:rPr>
          <w:sz w:val="24"/>
          <w:szCs w:val="24"/>
        </w:rPr>
        <w:t xml:space="preserve"> minimumskoncentrationer (</w:t>
      </w:r>
      <w:proofErr w:type="spellStart"/>
      <w:r w:rsidRPr="002A28DF">
        <w:rPr>
          <w:sz w:val="24"/>
          <w:szCs w:val="24"/>
        </w:rPr>
        <w:t>C</w:t>
      </w:r>
      <w:r w:rsidRPr="002A28DF">
        <w:rPr>
          <w:sz w:val="24"/>
          <w:szCs w:val="24"/>
          <w:vertAlign w:val="subscript"/>
        </w:rPr>
        <w:t>min</w:t>
      </w:r>
      <w:proofErr w:type="spellEnd"/>
      <w:r w:rsidRPr="002A28DF">
        <w:rPr>
          <w:sz w:val="24"/>
          <w:szCs w:val="24"/>
        </w:rPr>
        <w:t xml:space="preserve">, dag 91) var de samme for de to injektionssteder, hvilket tyder på, at injektionsstedet ikke har en negativ indflydelse på den </w:t>
      </w:r>
      <w:proofErr w:type="spellStart"/>
      <w:r w:rsidRPr="002A28DF">
        <w:rPr>
          <w:sz w:val="24"/>
          <w:szCs w:val="24"/>
        </w:rPr>
        <w:t>antikonceptive</w:t>
      </w:r>
      <w:proofErr w:type="spellEnd"/>
      <w:r w:rsidRPr="002A28DF">
        <w:rPr>
          <w:sz w:val="24"/>
          <w:szCs w:val="24"/>
        </w:rPr>
        <w:t xml:space="preserve"> virkning.</w:t>
      </w:r>
    </w:p>
    <w:p w:rsidR="00A456E9" w:rsidRPr="002A28DF" w:rsidRDefault="00A456E9" w:rsidP="00A456E9">
      <w:pPr>
        <w:ind w:left="851"/>
        <w:rPr>
          <w:i/>
          <w:iCs/>
          <w:sz w:val="24"/>
          <w:szCs w:val="24"/>
        </w:rPr>
      </w:pPr>
    </w:p>
    <w:p w:rsidR="00A456E9" w:rsidRPr="002A28DF" w:rsidRDefault="00A456E9" w:rsidP="00A456E9">
      <w:pPr>
        <w:ind w:left="851"/>
        <w:rPr>
          <w:i/>
          <w:iCs/>
          <w:sz w:val="24"/>
          <w:szCs w:val="24"/>
        </w:rPr>
      </w:pPr>
      <w:r w:rsidRPr="002A28DF">
        <w:rPr>
          <w:i/>
          <w:sz w:val="24"/>
          <w:szCs w:val="24"/>
        </w:rPr>
        <w:t>Fordeling</w:t>
      </w:r>
    </w:p>
    <w:p w:rsidR="00A456E9" w:rsidRPr="002A28DF" w:rsidRDefault="00A456E9" w:rsidP="00A456E9">
      <w:pPr>
        <w:ind w:left="851"/>
        <w:rPr>
          <w:sz w:val="24"/>
          <w:szCs w:val="24"/>
        </w:rPr>
      </w:pPr>
      <w:r w:rsidRPr="002A28DF">
        <w:rPr>
          <w:sz w:val="24"/>
          <w:szCs w:val="24"/>
        </w:rPr>
        <w:t xml:space="preserve">Den gennemsnitlige MPA-plasmaproteinbinding er 86 %. </w:t>
      </w:r>
      <w:proofErr w:type="spellStart"/>
      <w:r w:rsidRPr="002A28DF">
        <w:rPr>
          <w:sz w:val="24"/>
          <w:szCs w:val="24"/>
        </w:rPr>
        <w:t>MPA's</w:t>
      </w:r>
      <w:proofErr w:type="spellEnd"/>
      <w:r w:rsidRPr="002A28DF">
        <w:rPr>
          <w:sz w:val="24"/>
          <w:szCs w:val="24"/>
        </w:rPr>
        <w:t xml:space="preserve"> binding sker primært til serumalbumin. Der sker ingen binding af MPA med SHBG.</w:t>
      </w:r>
    </w:p>
    <w:p w:rsidR="00A456E9" w:rsidRPr="002A28DF" w:rsidRDefault="00A456E9" w:rsidP="00A456E9">
      <w:pPr>
        <w:ind w:left="851"/>
        <w:rPr>
          <w:sz w:val="24"/>
          <w:szCs w:val="24"/>
        </w:rPr>
      </w:pPr>
    </w:p>
    <w:p w:rsidR="00A456E9" w:rsidRPr="002A28DF" w:rsidRDefault="00A456E9" w:rsidP="00EA3888">
      <w:pPr>
        <w:keepNext/>
        <w:ind w:left="851"/>
        <w:rPr>
          <w:i/>
          <w:iCs/>
          <w:sz w:val="24"/>
          <w:szCs w:val="24"/>
        </w:rPr>
      </w:pPr>
      <w:r w:rsidRPr="002A28DF">
        <w:rPr>
          <w:i/>
          <w:sz w:val="24"/>
          <w:szCs w:val="24"/>
        </w:rPr>
        <w:lastRenderedPageBreak/>
        <w:t>Biotransformation</w:t>
      </w:r>
    </w:p>
    <w:p w:rsidR="00A456E9" w:rsidRPr="002A28DF" w:rsidRDefault="00A456E9" w:rsidP="00A456E9">
      <w:pPr>
        <w:ind w:left="851"/>
        <w:rPr>
          <w:sz w:val="24"/>
          <w:szCs w:val="24"/>
        </w:rPr>
      </w:pPr>
      <w:r w:rsidRPr="002A28DF">
        <w:rPr>
          <w:sz w:val="24"/>
          <w:szCs w:val="24"/>
        </w:rPr>
        <w:t xml:space="preserve">MPA </w:t>
      </w:r>
      <w:proofErr w:type="spellStart"/>
      <w:r w:rsidRPr="002A28DF">
        <w:rPr>
          <w:sz w:val="24"/>
          <w:szCs w:val="24"/>
        </w:rPr>
        <w:t>metaboliseres</w:t>
      </w:r>
      <w:proofErr w:type="spellEnd"/>
      <w:r w:rsidRPr="002A28DF">
        <w:rPr>
          <w:sz w:val="24"/>
          <w:szCs w:val="24"/>
        </w:rPr>
        <w:t xml:space="preserve"> i vidt omfang i leveren via P450-enzymer. Metabolismen involverer især ring A- og/eller sidekæde-reduktion, tab af acetylgruppen, </w:t>
      </w:r>
      <w:proofErr w:type="spellStart"/>
      <w:r w:rsidRPr="002A28DF">
        <w:rPr>
          <w:sz w:val="24"/>
          <w:szCs w:val="24"/>
        </w:rPr>
        <w:t>hydroxylering</w:t>
      </w:r>
      <w:proofErr w:type="spellEnd"/>
      <w:r w:rsidRPr="002A28DF">
        <w:rPr>
          <w:sz w:val="24"/>
          <w:szCs w:val="24"/>
        </w:rPr>
        <w:t xml:space="preserve"> i 2-, 6- og 21-stillingerne eller en kombination af disse stillinger, og resultatet er mere end 10 metabolitter. </w:t>
      </w:r>
    </w:p>
    <w:p w:rsidR="00A456E9" w:rsidRPr="002A28DF" w:rsidRDefault="00A456E9" w:rsidP="00A456E9">
      <w:pPr>
        <w:ind w:left="851"/>
        <w:rPr>
          <w:i/>
          <w:iCs/>
          <w:sz w:val="24"/>
          <w:szCs w:val="24"/>
        </w:rPr>
      </w:pPr>
    </w:p>
    <w:p w:rsidR="00A456E9" w:rsidRPr="002A28DF" w:rsidRDefault="00A456E9" w:rsidP="00A456E9">
      <w:pPr>
        <w:ind w:left="851"/>
        <w:rPr>
          <w:i/>
          <w:iCs/>
          <w:sz w:val="24"/>
          <w:szCs w:val="24"/>
        </w:rPr>
      </w:pPr>
      <w:r w:rsidRPr="002A28DF">
        <w:rPr>
          <w:i/>
          <w:sz w:val="24"/>
          <w:szCs w:val="24"/>
        </w:rPr>
        <w:t>Elimination</w:t>
      </w:r>
    </w:p>
    <w:p w:rsidR="00A456E9" w:rsidRPr="002A28DF" w:rsidRDefault="00A456E9" w:rsidP="00A456E9">
      <w:pPr>
        <w:ind w:left="851"/>
        <w:rPr>
          <w:sz w:val="24"/>
          <w:szCs w:val="24"/>
        </w:rPr>
      </w:pPr>
      <w:r w:rsidRPr="002A28DF">
        <w:rPr>
          <w:sz w:val="24"/>
          <w:szCs w:val="24"/>
        </w:rPr>
        <w:t xml:space="preserve">Restkoncentrationer af MPA ved udgangen af doseringsintervallet (3 måneder) ved DMPA-subkutaninjektion ligger generelt under 0,5 </w:t>
      </w:r>
      <w:proofErr w:type="spellStart"/>
      <w:r w:rsidRPr="002A28DF">
        <w:rPr>
          <w:sz w:val="24"/>
          <w:szCs w:val="24"/>
        </w:rPr>
        <w:t>ng</w:t>
      </w:r>
      <w:proofErr w:type="spellEnd"/>
      <w:r w:rsidRPr="002A28DF">
        <w:rPr>
          <w:sz w:val="24"/>
          <w:szCs w:val="24"/>
        </w:rPr>
        <w:t xml:space="preserve">/ml og er i overensstemmelse med </w:t>
      </w:r>
      <w:proofErr w:type="spellStart"/>
      <w:r w:rsidRPr="002A28DF">
        <w:rPr>
          <w:sz w:val="24"/>
          <w:szCs w:val="24"/>
        </w:rPr>
        <w:t>MPA's</w:t>
      </w:r>
      <w:proofErr w:type="spellEnd"/>
      <w:r w:rsidRPr="002A28DF">
        <w:rPr>
          <w:sz w:val="24"/>
          <w:szCs w:val="24"/>
        </w:rPr>
        <w:t xml:space="preserve"> angivelige terminale halveringstid på ~40 dage efter administration </w:t>
      </w:r>
      <w:proofErr w:type="spellStart"/>
      <w:proofErr w:type="gramStart"/>
      <w:r w:rsidRPr="002A28DF">
        <w:rPr>
          <w:sz w:val="24"/>
          <w:szCs w:val="24"/>
        </w:rPr>
        <w:t>s.c</w:t>
      </w:r>
      <w:proofErr w:type="spellEnd"/>
      <w:r w:rsidRPr="002A28DF">
        <w:rPr>
          <w:sz w:val="24"/>
          <w:szCs w:val="24"/>
        </w:rPr>
        <w:t>.</w:t>
      </w:r>
      <w:r>
        <w:rPr>
          <w:sz w:val="24"/>
          <w:szCs w:val="24"/>
        </w:rPr>
        <w:t>.</w:t>
      </w:r>
      <w:proofErr w:type="gramEnd"/>
      <w:r w:rsidRPr="002A28DF">
        <w:rPr>
          <w:sz w:val="24"/>
          <w:szCs w:val="24"/>
        </w:rPr>
        <w:t xml:space="preserve"> De fleste MPA-metabolitter udskilles i urinen som </w:t>
      </w:r>
      <w:proofErr w:type="spellStart"/>
      <w:r w:rsidRPr="002A28DF">
        <w:rPr>
          <w:sz w:val="24"/>
          <w:szCs w:val="24"/>
        </w:rPr>
        <w:t>glucuronidkonjugater</w:t>
      </w:r>
      <w:proofErr w:type="spellEnd"/>
      <w:r w:rsidRPr="002A28DF">
        <w:rPr>
          <w:sz w:val="24"/>
          <w:szCs w:val="24"/>
        </w:rPr>
        <w:t>, og kun små mængder udskilles som sulfater.</w:t>
      </w:r>
    </w:p>
    <w:p w:rsidR="00A456E9" w:rsidRPr="002A28DF" w:rsidRDefault="00A456E9" w:rsidP="00A456E9">
      <w:pPr>
        <w:ind w:left="851"/>
        <w:rPr>
          <w:i/>
          <w:iCs/>
          <w:sz w:val="24"/>
          <w:szCs w:val="24"/>
        </w:rPr>
      </w:pPr>
    </w:p>
    <w:p w:rsidR="00A456E9" w:rsidRPr="002A28DF" w:rsidRDefault="00A456E9" w:rsidP="00A456E9">
      <w:pPr>
        <w:ind w:left="851"/>
        <w:rPr>
          <w:i/>
          <w:iCs/>
          <w:sz w:val="24"/>
          <w:szCs w:val="24"/>
        </w:rPr>
      </w:pPr>
      <w:r w:rsidRPr="002A28DF">
        <w:rPr>
          <w:i/>
          <w:iCs/>
          <w:sz w:val="24"/>
          <w:szCs w:val="24"/>
        </w:rPr>
        <w:t>Linearitet/non-linearitet</w:t>
      </w:r>
    </w:p>
    <w:p w:rsidR="00A456E9" w:rsidRPr="002A28DF" w:rsidRDefault="00A456E9" w:rsidP="00A456E9">
      <w:pPr>
        <w:ind w:left="851"/>
        <w:rPr>
          <w:sz w:val="24"/>
          <w:szCs w:val="24"/>
        </w:rPr>
      </w:pPr>
      <w:r w:rsidRPr="002A28DF">
        <w:rPr>
          <w:sz w:val="24"/>
          <w:szCs w:val="24"/>
        </w:rPr>
        <w:t xml:space="preserve">Baseret på enkeltdosis-data var der ikke evidens for non-linearitet over dosisintervallet på 50 til 150 mg efter administration </w:t>
      </w:r>
      <w:proofErr w:type="spellStart"/>
      <w:r w:rsidRPr="002A28DF">
        <w:rPr>
          <w:sz w:val="24"/>
          <w:szCs w:val="24"/>
        </w:rPr>
        <w:t>s.c</w:t>
      </w:r>
      <w:proofErr w:type="spellEnd"/>
      <w:r w:rsidRPr="002A28DF">
        <w:rPr>
          <w:sz w:val="24"/>
          <w:szCs w:val="24"/>
        </w:rPr>
        <w:t xml:space="preserve">. Forholdet mellem AUC eller </w:t>
      </w:r>
      <w:proofErr w:type="spellStart"/>
      <w:r w:rsidRPr="002A28DF">
        <w:rPr>
          <w:sz w:val="24"/>
          <w:szCs w:val="24"/>
        </w:rPr>
        <w:t>C</w:t>
      </w:r>
      <w:r w:rsidRPr="002A28DF">
        <w:rPr>
          <w:sz w:val="24"/>
          <w:szCs w:val="24"/>
          <w:vertAlign w:val="subscript"/>
        </w:rPr>
        <w:t>min</w:t>
      </w:r>
      <w:proofErr w:type="spellEnd"/>
      <w:r w:rsidRPr="002A28DF">
        <w:rPr>
          <w:sz w:val="24"/>
          <w:szCs w:val="24"/>
        </w:rPr>
        <w:t xml:space="preserve"> og MPA-dosen </w:t>
      </w:r>
      <w:proofErr w:type="spellStart"/>
      <w:r w:rsidRPr="002A28DF">
        <w:rPr>
          <w:sz w:val="24"/>
          <w:szCs w:val="24"/>
        </w:rPr>
        <w:t>s.c</w:t>
      </w:r>
      <w:proofErr w:type="spellEnd"/>
      <w:r w:rsidRPr="002A28DF">
        <w:rPr>
          <w:sz w:val="24"/>
          <w:szCs w:val="24"/>
        </w:rPr>
        <w:t xml:space="preserve">. syntes at være lineært. Det gennemsnitlige </w:t>
      </w:r>
      <w:proofErr w:type="spellStart"/>
      <w:r w:rsidRPr="002A28DF">
        <w:rPr>
          <w:sz w:val="24"/>
          <w:szCs w:val="24"/>
        </w:rPr>
        <w:t>C</w:t>
      </w:r>
      <w:r w:rsidRPr="002A28DF">
        <w:rPr>
          <w:sz w:val="24"/>
          <w:szCs w:val="24"/>
          <w:vertAlign w:val="subscript"/>
        </w:rPr>
        <w:t>max</w:t>
      </w:r>
      <w:proofErr w:type="spellEnd"/>
      <w:r w:rsidRPr="002A28DF">
        <w:rPr>
          <w:sz w:val="24"/>
          <w:szCs w:val="24"/>
        </w:rPr>
        <w:t xml:space="preserve"> ændredes ikke væsentligt ved øget dosis. </w:t>
      </w:r>
    </w:p>
    <w:p w:rsidR="00A456E9" w:rsidRPr="002A28DF" w:rsidRDefault="00A456E9" w:rsidP="00A456E9">
      <w:pPr>
        <w:ind w:left="851"/>
        <w:rPr>
          <w:sz w:val="24"/>
          <w:szCs w:val="24"/>
        </w:rPr>
      </w:pPr>
    </w:p>
    <w:p w:rsidR="00A456E9" w:rsidRPr="002A28DF" w:rsidRDefault="00A456E9" w:rsidP="00A456E9">
      <w:pPr>
        <w:ind w:left="851"/>
        <w:rPr>
          <w:i/>
          <w:iCs/>
          <w:sz w:val="24"/>
          <w:szCs w:val="24"/>
        </w:rPr>
      </w:pPr>
      <w:r w:rsidRPr="002A28DF">
        <w:rPr>
          <w:i/>
          <w:iCs/>
          <w:sz w:val="24"/>
          <w:szCs w:val="24"/>
        </w:rPr>
        <w:t>Race</w:t>
      </w:r>
    </w:p>
    <w:p w:rsidR="00A456E9" w:rsidRPr="002A28DF" w:rsidRDefault="00A456E9" w:rsidP="00A456E9">
      <w:pPr>
        <w:ind w:left="851"/>
        <w:rPr>
          <w:sz w:val="24"/>
          <w:szCs w:val="24"/>
        </w:rPr>
      </w:pPr>
      <w:r w:rsidRPr="002A28DF">
        <w:rPr>
          <w:sz w:val="24"/>
          <w:szCs w:val="24"/>
        </w:rPr>
        <w:t xml:space="preserve">Der var ingen tydelige forskelle i </w:t>
      </w:r>
      <w:proofErr w:type="spellStart"/>
      <w:r w:rsidRPr="002A28DF">
        <w:rPr>
          <w:sz w:val="24"/>
          <w:szCs w:val="24"/>
        </w:rPr>
        <w:t>MPA's</w:t>
      </w:r>
      <w:proofErr w:type="spellEnd"/>
      <w:r w:rsidRPr="002A28DF">
        <w:rPr>
          <w:sz w:val="24"/>
          <w:szCs w:val="24"/>
        </w:rPr>
        <w:t xml:space="preserve"> farmakokinetik og/eller dynamik efter administration af DMPA </w:t>
      </w:r>
      <w:proofErr w:type="spellStart"/>
      <w:r w:rsidRPr="002A28DF">
        <w:rPr>
          <w:sz w:val="24"/>
          <w:szCs w:val="24"/>
        </w:rPr>
        <w:t>s.c</w:t>
      </w:r>
      <w:proofErr w:type="spellEnd"/>
      <w:r w:rsidRPr="002A28DF">
        <w:rPr>
          <w:sz w:val="24"/>
          <w:szCs w:val="24"/>
        </w:rPr>
        <w:t xml:space="preserve">. hos kvinder med de etniske baggrunde, der blev undersøgt. </w:t>
      </w:r>
      <w:proofErr w:type="spellStart"/>
      <w:r w:rsidRPr="002A28DF">
        <w:rPr>
          <w:sz w:val="24"/>
          <w:szCs w:val="24"/>
        </w:rPr>
        <w:t>MPA's</w:t>
      </w:r>
      <w:proofErr w:type="spellEnd"/>
      <w:r w:rsidRPr="002A28DF">
        <w:rPr>
          <w:sz w:val="24"/>
          <w:szCs w:val="24"/>
        </w:rPr>
        <w:t xml:space="preserve"> farmakokinetik/dynamik er blevet vurderet hos asiatiske kvinder i et separat studie.</w:t>
      </w:r>
    </w:p>
    <w:p w:rsidR="00A456E9" w:rsidRPr="002A28DF" w:rsidRDefault="00A456E9" w:rsidP="00A456E9">
      <w:pPr>
        <w:ind w:left="851"/>
        <w:rPr>
          <w:sz w:val="24"/>
          <w:szCs w:val="24"/>
        </w:rPr>
      </w:pPr>
    </w:p>
    <w:p w:rsidR="00A456E9" w:rsidRPr="002A28DF" w:rsidRDefault="00A456E9" w:rsidP="00A456E9">
      <w:pPr>
        <w:ind w:left="851"/>
        <w:rPr>
          <w:i/>
          <w:iCs/>
          <w:sz w:val="24"/>
          <w:szCs w:val="24"/>
        </w:rPr>
      </w:pPr>
      <w:r w:rsidRPr="002A28DF">
        <w:rPr>
          <w:i/>
          <w:iCs/>
          <w:sz w:val="24"/>
          <w:szCs w:val="24"/>
        </w:rPr>
        <w:t>Betydning af kropsvægt</w:t>
      </w:r>
    </w:p>
    <w:p w:rsidR="00A456E9" w:rsidRDefault="00A456E9" w:rsidP="00A456E9">
      <w:pPr>
        <w:ind w:left="851"/>
        <w:rPr>
          <w:sz w:val="24"/>
          <w:szCs w:val="24"/>
        </w:rPr>
      </w:pPr>
      <w:r>
        <w:rPr>
          <w:sz w:val="24"/>
          <w:szCs w:val="24"/>
        </w:rPr>
        <w:t xml:space="preserve">Dosisjustering af </w:t>
      </w:r>
      <w:proofErr w:type="spellStart"/>
      <w:r>
        <w:rPr>
          <w:sz w:val="24"/>
          <w:szCs w:val="24"/>
        </w:rPr>
        <w:t>Sayanaject</w:t>
      </w:r>
      <w:proofErr w:type="spellEnd"/>
      <w:r>
        <w:rPr>
          <w:sz w:val="24"/>
          <w:szCs w:val="24"/>
        </w:rPr>
        <w:t xml:space="preserve"> er ikke nødvendig på grund af kropsvægt. Betydning af kropsvægten på </w:t>
      </w:r>
      <w:proofErr w:type="spellStart"/>
      <w:r>
        <w:rPr>
          <w:sz w:val="24"/>
          <w:szCs w:val="24"/>
        </w:rPr>
        <w:t>MPA's</w:t>
      </w:r>
      <w:proofErr w:type="spellEnd"/>
      <w:r>
        <w:rPr>
          <w:sz w:val="24"/>
          <w:szCs w:val="24"/>
        </w:rPr>
        <w:t xml:space="preserve"> farmakokinetik blev vurderet hos en delmængde af kvinder (n = 42, BMI lå i intervallet fra 18,2 til 46,0 kg/m</w:t>
      </w:r>
      <w:r>
        <w:rPr>
          <w:sz w:val="24"/>
          <w:szCs w:val="24"/>
          <w:vertAlign w:val="superscript"/>
        </w:rPr>
        <w:t>2</w:t>
      </w:r>
      <w:r>
        <w:rPr>
          <w:sz w:val="24"/>
          <w:szCs w:val="24"/>
        </w:rPr>
        <w:t>). AUC</w:t>
      </w:r>
      <w:r>
        <w:rPr>
          <w:sz w:val="24"/>
          <w:szCs w:val="24"/>
          <w:vertAlign w:val="subscript"/>
        </w:rPr>
        <w:t>0-91</w:t>
      </w:r>
      <w:r>
        <w:rPr>
          <w:sz w:val="24"/>
          <w:szCs w:val="24"/>
        </w:rPr>
        <w:t>-værdierne for MPA var 68,5, 74,8, og 61,8 </w:t>
      </w:r>
      <w:proofErr w:type="spellStart"/>
      <w:r>
        <w:rPr>
          <w:sz w:val="24"/>
          <w:szCs w:val="24"/>
        </w:rPr>
        <w:t>ng</w:t>
      </w:r>
      <w:proofErr w:type="spellEnd"/>
      <w:r>
        <w:rPr>
          <w:sz w:val="24"/>
          <w:szCs w:val="24"/>
        </w:rPr>
        <w:t xml:space="preserve"> -dag/ml hos kvinder med BMI-kategorier på henholdsvis </w:t>
      </w:r>
      <w:r>
        <w:rPr>
          <w:sz w:val="24"/>
          <w:szCs w:val="24"/>
        </w:rPr>
        <w:sym w:font="Symbol" w:char="F0A3"/>
      </w:r>
      <w:r>
        <w:rPr>
          <w:sz w:val="24"/>
          <w:szCs w:val="24"/>
        </w:rPr>
        <w:t xml:space="preserve"> 25 kg/m2, &gt; 25 til ≤ 30 kg/m2 og &gt; 30 kg/m2. Det gennemsnitlige MPA </w:t>
      </w:r>
      <w:proofErr w:type="spellStart"/>
      <w:r>
        <w:rPr>
          <w:sz w:val="24"/>
          <w:szCs w:val="24"/>
        </w:rPr>
        <w:t>Cmax</w:t>
      </w:r>
      <w:proofErr w:type="spellEnd"/>
      <w:r>
        <w:rPr>
          <w:sz w:val="24"/>
          <w:szCs w:val="24"/>
        </w:rPr>
        <w:t xml:space="preserve"> var henholdsvis 1,65 </w:t>
      </w:r>
      <w:proofErr w:type="spellStart"/>
      <w:r>
        <w:rPr>
          <w:sz w:val="24"/>
          <w:szCs w:val="24"/>
        </w:rPr>
        <w:t>ng</w:t>
      </w:r>
      <w:proofErr w:type="spellEnd"/>
      <w:r>
        <w:rPr>
          <w:sz w:val="24"/>
          <w:szCs w:val="24"/>
        </w:rPr>
        <w:t xml:space="preserve">/ml hos kvinder med et BMI </w:t>
      </w:r>
      <w:r>
        <w:rPr>
          <w:sz w:val="24"/>
          <w:szCs w:val="24"/>
        </w:rPr>
        <w:sym w:font="Symbol" w:char="F0A3"/>
      </w:r>
      <w:r>
        <w:rPr>
          <w:sz w:val="24"/>
          <w:szCs w:val="24"/>
        </w:rPr>
        <w:t xml:space="preserve"> 25 kg/m2, 1,76 </w:t>
      </w:r>
      <w:proofErr w:type="spellStart"/>
      <w:r>
        <w:rPr>
          <w:sz w:val="24"/>
          <w:szCs w:val="24"/>
        </w:rPr>
        <w:t>ng</w:t>
      </w:r>
      <w:proofErr w:type="spellEnd"/>
      <w:r>
        <w:rPr>
          <w:sz w:val="24"/>
          <w:szCs w:val="24"/>
        </w:rPr>
        <w:t>/ml hos kvinder med et BMI &gt; 25 til ≤ 30 kg/m</w:t>
      </w:r>
      <w:r>
        <w:rPr>
          <w:sz w:val="24"/>
          <w:szCs w:val="24"/>
          <w:vertAlign w:val="superscript"/>
        </w:rPr>
        <w:t xml:space="preserve">2 </w:t>
      </w:r>
      <w:r>
        <w:rPr>
          <w:sz w:val="24"/>
          <w:szCs w:val="24"/>
        </w:rPr>
        <w:t xml:space="preserve">og 1,40 </w:t>
      </w:r>
      <w:proofErr w:type="spellStart"/>
      <w:r>
        <w:rPr>
          <w:sz w:val="24"/>
          <w:szCs w:val="24"/>
        </w:rPr>
        <w:t>ng</w:t>
      </w:r>
      <w:proofErr w:type="spellEnd"/>
      <w:r>
        <w:rPr>
          <w:sz w:val="24"/>
          <w:szCs w:val="24"/>
        </w:rPr>
        <w:t>/ml hos kvinder med et BMI &gt; 30 kg/m</w:t>
      </w:r>
      <w:r>
        <w:rPr>
          <w:sz w:val="24"/>
          <w:szCs w:val="24"/>
          <w:vertAlign w:val="superscript"/>
        </w:rPr>
        <w:t>2</w:t>
      </w:r>
      <w:r>
        <w:rPr>
          <w:sz w:val="24"/>
          <w:szCs w:val="24"/>
        </w:rPr>
        <w:t xml:space="preserve">. Intervallet for </w:t>
      </w:r>
      <w:proofErr w:type="spellStart"/>
      <w:r>
        <w:rPr>
          <w:sz w:val="24"/>
          <w:szCs w:val="24"/>
        </w:rPr>
        <w:t>MPA's</w:t>
      </w:r>
      <w:proofErr w:type="spellEnd"/>
      <w:r>
        <w:rPr>
          <w:sz w:val="24"/>
          <w:szCs w:val="24"/>
        </w:rPr>
        <w:t xml:space="preserve"> minimumskoncentrationer (</w:t>
      </w:r>
      <w:proofErr w:type="spellStart"/>
      <w:r>
        <w:rPr>
          <w:sz w:val="24"/>
          <w:szCs w:val="24"/>
        </w:rPr>
        <w:t>C</w:t>
      </w:r>
      <w:r>
        <w:rPr>
          <w:sz w:val="24"/>
          <w:szCs w:val="24"/>
          <w:vertAlign w:val="subscript"/>
        </w:rPr>
        <w:t>min</w:t>
      </w:r>
      <w:proofErr w:type="spellEnd"/>
      <w:r>
        <w:rPr>
          <w:sz w:val="24"/>
          <w:szCs w:val="24"/>
        </w:rPr>
        <w:t>) og halveringstider var sammenlignelige for de 3 BMI-grupper.</w:t>
      </w:r>
    </w:p>
    <w:p w:rsidR="00A456E9" w:rsidRPr="00DD24B7" w:rsidRDefault="00A456E9" w:rsidP="00A456E9">
      <w:pPr>
        <w:ind w:left="851"/>
        <w:rPr>
          <w:sz w:val="24"/>
          <w:szCs w:val="24"/>
        </w:rPr>
      </w:pPr>
    </w:p>
    <w:p w:rsidR="00A456E9" w:rsidRPr="00BB79AB" w:rsidRDefault="00A456E9" w:rsidP="00A456E9">
      <w:pPr>
        <w:ind w:left="851"/>
        <w:rPr>
          <w:sz w:val="24"/>
          <w:szCs w:val="24"/>
          <w:u w:val="single"/>
        </w:rPr>
      </w:pPr>
      <w:proofErr w:type="spellStart"/>
      <w:r w:rsidRPr="00BB79AB">
        <w:rPr>
          <w:sz w:val="24"/>
          <w:szCs w:val="24"/>
          <w:u w:val="single"/>
        </w:rPr>
        <w:t>Farmakokinetiske</w:t>
      </w:r>
      <w:proofErr w:type="spellEnd"/>
      <w:r w:rsidRPr="00BB79AB">
        <w:rPr>
          <w:sz w:val="24"/>
          <w:szCs w:val="24"/>
          <w:u w:val="single"/>
        </w:rPr>
        <w:t>/</w:t>
      </w:r>
      <w:proofErr w:type="spellStart"/>
      <w:r w:rsidRPr="00BB79AB">
        <w:rPr>
          <w:sz w:val="24"/>
          <w:szCs w:val="24"/>
          <w:u w:val="single"/>
        </w:rPr>
        <w:t>farmakodynamiske</w:t>
      </w:r>
      <w:proofErr w:type="spellEnd"/>
      <w:r w:rsidRPr="00BB79AB">
        <w:rPr>
          <w:sz w:val="24"/>
          <w:szCs w:val="24"/>
          <w:u w:val="single"/>
        </w:rPr>
        <w:t xml:space="preserve"> forhold</w:t>
      </w:r>
    </w:p>
    <w:p w:rsidR="00A456E9" w:rsidRPr="00DD24B7" w:rsidRDefault="00A456E9" w:rsidP="00A456E9">
      <w:pPr>
        <w:ind w:left="851"/>
        <w:rPr>
          <w:sz w:val="24"/>
          <w:szCs w:val="24"/>
        </w:rPr>
      </w:pPr>
    </w:p>
    <w:p w:rsidR="00A456E9" w:rsidRPr="002A28DF" w:rsidRDefault="00A456E9" w:rsidP="00A456E9">
      <w:pPr>
        <w:ind w:left="851"/>
        <w:rPr>
          <w:sz w:val="24"/>
          <w:szCs w:val="24"/>
        </w:rPr>
      </w:pPr>
      <w:r w:rsidRPr="002A28DF">
        <w:rPr>
          <w:sz w:val="24"/>
          <w:szCs w:val="24"/>
        </w:rPr>
        <w:t xml:space="preserve">Fra et </w:t>
      </w:r>
      <w:proofErr w:type="spellStart"/>
      <w:r w:rsidRPr="002A28DF">
        <w:rPr>
          <w:sz w:val="24"/>
          <w:szCs w:val="24"/>
        </w:rPr>
        <w:t>farmakodynamisk</w:t>
      </w:r>
      <w:proofErr w:type="spellEnd"/>
      <w:r w:rsidRPr="002A28DF">
        <w:rPr>
          <w:sz w:val="24"/>
          <w:szCs w:val="24"/>
        </w:rPr>
        <w:t xml:space="preserve"> synspunkt er varigheden af ovulationssuppressionen afhængig af, at den terapeutiske MPA-koncentration opretholdes gennem hele doseringsintervallet på 13 uger.</w:t>
      </w:r>
    </w:p>
    <w:p w:rsidR="00A456E9" w:rsidRPr="00C3377B" w:rsidRDefault="00A456E9" w:rsidP="00A456E9">
      <w:pPr>
        <w:tabs>
          <w:tab w:val="left" w:pos="851"/>
        </w:tabs>
        <w:ind w:left="851" w:hanging="851"/>
        <w:rPr>
          <w:sz w:val="24"/>
          <w:szCs w:val="24"/>
        </w:rPr>
      </w:pPr>
    </w:p>
    <w:p w:rsidR="00A456E9" w:rsidRPr="00C3377B" w:rsidRDefault="00A456E9" w:rsidP="00A456E9">
      <w:pPr>
        <w:keepNext/>
        <w:tabs>
          <w:tab w:val="left" w:pos="851"/>
        </w:tabs>
        <w:ind w:left="851" w:hanging="851"/>
        <w:rPr>
          <w:b/>
          <w:sz w:val="24"/>
          <w:szCs w:val="24"/>
        </w:rPr>
      </w:pPr>
      <w:r w:rsidRPr="00C3377B">
        <w:rPr>
          <w:b/>
          <w:sz w:val="24"/>
          <w:szCs w:val="24"/>
        </w:rPr>
        <w:t>5.3</w:t>
      </w:r>
      <w:r w:rsidRPr="00C3377B">
        <w:rPr>
          <w:b/>
          <w:sz w:val="24"/>
          <w:szCs w:val="24"/>
        </w:rPr>
        <w:tab/>
      </w:r>
      <w:r w:rsidR="00DE2D1D">
        <w:rPr>
          <w:b/>
          <w:sz w:val="24"/>
          <w:szCs w:val="24"/>
        </w:rPr>
        <w:t>Non-</w:t>
      </w:r>
      <w:r w:rsidRPr="00C3377B">
        <w:rPr>
          <w:b/>
          <w:sz w:val="24"/>
          <w:szCs w:val="24"/>
        </w:rPr>
        <w:t>kliniske sikkerhedsdata</w:t>
      </w:r>
    </w:p>
    <w:p w:rsidR="00A456E9" w:rsidRPr="00C3377B" w:rsidRDefault="00A456E9" w:rsidP="00A456E9">
      <w:pPr>
        <w:ind w:left="851"/>
        <w:rPr>
          <w:sz w:val="24"/>
          <w:szCs w:val="24"/>
        </w:rPr>
      </w:pPr>
      <w:r w:rsidRPr="00C3377B">
        <w:rPr>
          <w:sz w:val="24"/>
          <w:szCs w:val="24"/>
        </w:rPr>
        <w:t xml:space="preserve">Prækliniske data viser ingen speciel risiko for mennesker vurderet ud fra konventionelle studier af sikkerhedsfarmakologi, toksicitet efter gentagne doser, genotoksicitet og </w:t>
      </w:r>
      <w:proofErr w:type="spellStart"/>
      <w:r w:rsidRPr="00C3377B">
        <w:rPr>
          <w:sz w:val="24"/>
          <w:szCs w:val="24"/>
        </w:rPr>
        <w:t>karcinogenicitet</w:t>
      </w:r>
      <w:proofErr w:type="spellEnd"/>
      <w:r w:rsidRPr="00C3377B">
        <w:rPr>
          <w:sz w:val="24"/>
          <w:szCs w:val="24"/>
        </w:rPr>
        <w:t xml:space="preserve">. Det er påvist, at </w:t>
      </w:r>
      <w:proofErr w:type="spellStart"/>
      <w:r w:rsidRPr="00C3377B">
        <w:rPr>
          <w:sz w:val="24"/>
          <w:szCs w:val="24"/>
        </w:rPr>
        <w:t>medroxyprogestronacetat</w:t>
      </w:r>
      <w:proofErr w:type="spellEnd"/>
      <w:r w:rsidRPr="00C3377B">
        <w:rPr>
          <w:sz w:val="24"/>
          <w:szCs w:val="24"/>
        </w:rPr>
        <w:t xml:space="preserve"> har uønsket virkning på reproduktion hos dyr, og det er kontraindiceret til brug under graviditet.</w:t>
      </w:r>
    </w:p>
    <w:p w:rsidR="00A456E9" w:rsidRPr="00C3377B"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sz w:val="24"/>
          <w:szCs w:val="24"/>
        </w:rPr>
      </w:pPr>
    </w:p>
    <w:p w:rsidR="00A456E9" w:rsidRPr="00C3377B" w:rsidRDefault="00A456E9" w:rsidP="00EA3888">
      <w:pPr>
        <w:keepNext/>
        <w:tabs>
          <w:tab w:val="left" w:pos="851"/>
        </w:tabs>
        <w:ind w:left="851" w:hanging="851"/>
        <w:rPr>
          <w:b/>
          <w:sz w:val="24"/>
          <w:szCs w:val="24"/>
        </w:rPr>
      </w:pPr>
      <w:r w:rsidRPr="00C3377B">
        <w:rPr>
          <w:b/>
          <w:sz w:val="24"/>
          <w:szCs w:val="24"/>
        </w:rPr>
        <w:lastRenderedPageBreak/>
        <w:t>6.</w:t>
      </w:r>
      <w:r w:rsidRPr="00C3377B">
        <w:rPr>
          <w:b/>
          <w:sz w:val="24"/>
          <w:szCs w:val="24"/>
        </w:rPr>
        <w:tab/>
        <w:t>FARMACEUTISKE OPLYSNINGER</w:t>
      </w:r>
    </w:p>
    <w:p w:rsidR="00A456E9" w:rsidRPr="00C3377B" w:rsidRDefault="00A456E9" w:rsidP="00EA3888">
      <w:pPr>
        <w:keepNext/>
        <w:tabs>
          <w:tab w:val="left" w:pos="851"/>
        </w:tabs>
        <w:ind w:left="851" w:hanging="851"/>
        <w:rPr>
          <w:b/>
          <w:sz w:val="24"/>
          <w:szCs w:val="24"/>
        </w:rPr>
      </w:pPr>
    </w:p>
    <w:p w:rsidR="00A456E9" w:rsidRPr="00C3377B" w:rsidRDefault="00A456E9" w:rsidP="00EA3888">
      <w:pPr>
        <w:keepNext/>
        <w:tabs>
          <w:tab w:val="left" w:pos="851"/>
        </w:tabs>
        <w:ind w:left="851" w:hanging="851"/>
        <w:rPr>
          <w:b/>
          <w:sz w:val="24"/>
          <w:szCs w:val="24"/>
        </w:rPr>
      </w:pPr>
      <w:r w:rsidRPr="00C3377B">
        <w:rPr>
          <w:b/>
          <w:sz w:val="24"/>
          <w:szCs w:val="24"/>
        </w:rPr>
        <w:t>6.1</w:t>
      </w:r>
      <w:r w:rsidRPr="00C3377B">
        <w:rPr>
          <w:b/>
          <w:sz w:val="24"/>
          <w:szCs w:val="24"/>
        </w:rPr>
        <w:tab/>
        <w:t>Hjælpestoffer</w:t>
      </w:r>
    </w:p>
    <w:p w:rsidR="00A456E9" w:rsidRPr="00C3377B" w:rsidRDefault="00A456E9" w:rsidP="00A456E9">
      <w:pPr>
        <w:ind w:left="851"/>
        <w:rPr>
          <w:b/>
          <w:bCs/>
          <w:sz w:val="24"/>
          <w:szCs w:val="24"/>
        </w:rPr>
      </w:pPr>
      <w:proofErr w:type="spellStart"/>
      <w:r w:rsidRPr="00C3377B">
        <w:rPr>
          <w:sz w:val="24"/>
          <w:szCs w:val="24"/>
        </w:rPr>
        <w:t>Macrogol</w:t>
      </w:r>
      <w:proofErr w:type="spellEnd"/>
      <w:r w:rsidRPr="00C3377B">
        <w:rPr>
          <w:sz w:val="24"/>
          <w:szCs w:val="24"/>
        </w:rPr>
        <w:t xml:space="preserve"> 3350</w:t>
      </w:r>
    </w:p>
    <w:p w:rsidR="00A456E9" w:rsidRPr="00C3377B" w:rsidRDefault="00A456E9" w:rsidP="00A456E9">
      <w:pPr>
        <w:ind w:left="851"/>
        <w:rPr>
          <w:sz w:val="24"/>
          <w:szCs w:val="24"/>
        </w:rPr>
      </w:pPr>
      <w:proofErr w:type="spellStart"/>
      <w:r w:rsidRPr="00C3377B">
        <w:rPr>
          <w:sz w:val="24"/>
          <w:szCs w:val="24"/>
        </w:rPr>
        <w:t>Methylparahydroxybenzoat</w:t>
      </w:r>
      <w:proofErr w:type="spellEnd"/>
      <w:r w:rsidRPr="00C3377B">
        <w:rPr>
          <w:sz w:val="24"/>
          <w:szCs w:val="24"/>
        </w:rPr>
        <w:t xml:space="preserve"> (E218)</w:t>
      </w:r>
    </w:p>
    <w:p w:rsidR="00A456E9" w:rsidRPr="00C3377B" w:rsidRDefault="00A456E9" w:rsidP="00A456E9">
      <w:pPr>
        <w:ind w:left="851"/>
        <w:rPr>
          <w:sz w:val="24"/>
          <w:szCs w:val="24"/>
          <w:u w:val="single"/>
        </w:rPr>
      </w:pPr>
      <w:proofErr w:type="spellStart"/>
      <w:r w:rsidRPr="00C3377B">
        <w:rPr>
          <w:sz w:val="24"/>
          <w:szCs w:val="24"/>
        </w:rPr>
        <w:t>Propylparahydroxybenzoat</w:t>
      </w:r>
      <w:proofErr w:type="spellEnd"/>
      <w:r w:rsidRPr="00C3377B">
        <w:rPr>
          <w:sz w:val="24"/>
          <w:szCs w:val="24"/>
        </w:rPr>
        <w:t xml:space="preserve"> (E216)</w:t>
      </w:r>
    </w:p>
    <w:p w:rsidR="00A456E9" w:rsidRPr="00190BD3" w:rsidRDefault="00A456E9" w:rsidP="00A456E9">
      <w:pPr>
        <w:ind w:left="851"/>
        <w:rPr>
          <w:sz w:val="24"/>
          <w:szCs w:val="24"/>
        </w:rPr>
      </w:pPr>
      <w:proofErr w:type="spellStart"/>
      <w:r w:rsidRPr="00190BD3">
        <w:rPr>
          <w:sz w:val="24"/>
          <w:szCs w:val="24"/>
        </w:rPr>
        <w:t>Natriumchlorid</w:t>
      </w:r>
      <w:proofErr w:type="spellEnd"/>
    </w:p>
    <w:p w:rsidR="00A456E9" w:rsidRPr="00190BD3" w:rsidRDefault="00A456E9" w:rsidP="00A456E9">
      <w:pPr>
        <w:ind w:left="851"/>
        <w:rPr>
          <w:sz w:val="24"/>
          <w:szCs w:val="24"/>
        </w:rPr>
      </w:pPr>
      <w:proofErr w:type="spellStart"/>
      <w:r w:rsidRPr="00190BD3">
        <w:rPr>
          <w:sz w:val="24"/>
          <w:szCs w:val="24"/>
        </w:rPr>
        <w:t>Polysorbat</w:t>
      </w:r>
      <w:proofErr w:type="spellEnd"/>
      <w:r w:rsidRPr="00190BD3">
        <w:rPr>
          <w:sz w:val="24"/>
          <w:szCs w:val="24"/>
        </w:rPr>
        <w:t xml:space="preserve"> 80</w:t>
      </w:r>
    </w:p>
    <w:p w:rsidR="00A456E9" w:rsidRPr="00190BD3" w:rsidRDefault="00A456E9" w:rsidP="00A456E9">
      <w:pPr>
        <w:ind w:left="851"/>
        <w:rPr>
          <w:sz w:val="24"/>
          <w:szCs w:val="24"/>
        </w:rPr>
      </w:pPr>
      <w:r w:rsidRPr="00190BD3">
        <w:rPr>
          <w:sz w:val="24"/>
          <w:szCs w:val="24"/>
        </w:rPr>
        <w:t xml:space="preserve">Monobasisk </w:t>
      </w:r>
      <w:proofErr w:type="spellStart"/>
      <w:r w:rsidRPr="00190BD3">
        <w:rPr>
          <w:sz w:val="24"/>
          <w:szCs w:val="24"/>
        </w:rPr>
        <w:t>natriumphosphat</w:t>
      </w:r>
      <w:proofErr w:type="spellEnd"/>
      <w:r w:rsidRPr="00190BD3">
        <w:rPr>
          <w:sz w:val="24"/>
          <w:szCs w:val="24"/>
        </w:rPr>
        <w:t>, monohydrat</w:t>
      </w:r>
    </w:p>
    <w:p w:rsidR="00A456E9" w:rsidRPr="00190BD3" w:rsidRDefault="00A456E9" w:rsidP="00A456E9">
      <w:pPr>
        <w:ind w:left="851"/>
        <w:rPr>
          <w:sz w:val="24"/>
          <w:szCs w:val="24"/>
        </w:rPr>
      </w:pPr>
      <w:proofErr w:type="spellStart"/>
      <w:r w:rsidRPr="00190BD3">
        <w:rPr>
          <w:sz w:val="24"/>
          <w:szCs w:val="24"/>
        </w:rPr>
        <w:t>Dinatriumphosphat</w:t>
      </w:r>
      <w:proofErr w:type="spellEnd"/>
      <w:r w:rsidRPr="00190BD3">
        <w:rPr>
          <w:sz w:val="24"/>
          <w:szCs w:val="24"/>
        </w:rPr>
        <w:t xml:space="preserve">, </w:t>
      </w:r>
      <w:proofErr w:type="spellStart"/>
      <w:r w:rsidRPr="00190BD3">
        <w:rPr>
          <w:sz w:val="24"/>
          <w:szCs w:val="24"/>
        </w:rPr>
        <w:t>dodecahydrat</w:t>
      </w:r>
      <w:proofErr w:type="spellEnd"/>
    </w:p>
    <w:p w:rsidR="00A456E9" w:rsidRPr="00C3377B" w:rsidRDefault="00A456E9" w:rsidP="00A456E9">
      <w:pPr>
        <w:ind w:left="851"/>
        <w:rPr>
          <w:sz w:val="24"/>
          <w:szCs w:val="24"/>
        </w:rPr>
      </w:pPr>
      <w:proofErr w:type="spellStart"/>
      <w:r w:rsidRPr="00C3377B">
        <w:rPr>
          <w:sz w:val="24"/>
          <w:szCs w:val="24"/>
        </w:rPr>
        <w:t>Methionin</w:t>
      </w:r>
      <w:proofErr w:type="spellEnd"/>
      <w:r w:rsidRPr="00C3377B">
        <w:rPr>
          <w:sz w:val="24"/>
          <w:szCs w:val="24"/>
        </w:rPr>
        <w:t xml:space="preserve"> </w:t>
      </w:r>
    </w:p>
    <w:p w:rsidR="00A456E9" w:rsidRPr="00C3377B" w:rsidRDefault="00A456E9" w:rsidP="00A456E9">
      <w:pPr>
        <w:ind w:left="851"/>
        <w:rPr>
          <w:sz w:val="24"/>
          <w:szCs w:val="24"/>
        </w:rPr>
      </w:pPr>
      <w:proofErr w:type="spellStart"/>
      <w:r w:rsidRPr="00C3377B">
        <w:rPr>
          <w:sz w:val="24"/>
          <w:szCs w:val="24"/>
        </w:rPr>
        <w:t>Povidon</w:t>
      </w:r>
      <w:proofErr w:type="spellEnd"/>
      <w:r w:rsidRPr="00C3377B">
        <w:rPr>
          <w:sz w:val="24"/>
          <w:szCs w:val="24"/>
        </w:rPr>
        <w:t xml:space="preserve"> </w:t>
      </w:r>
    </w:p>
    <w:p w:rsidR="00A456E9" w:rsidRPr="00C3377B" w:rsidRDefault="00A456E9" w:rsidP="00A456E9">
      <w:pPr>
        <w:keepNext/>
        <w:ind w:left="851"/>
        <w:rPr>
          <w:sz w:val="24"/>
          <w:szCs w:val="24"/>
        </w:rPr>
      </w:pPr>
      <w:proofErr w:type="spellStart"/>
      <w:r w:rsidRPr="00C3377B">
        <w:rPr>
          <w:sz w:val="24"/>
          <w:szCs w:val="24"/>
        </w:rPr>
        <w:t>Hydrogenchlorid</w:t>
      </w:r>
      <w:proofErr w:type="spellEnd"/>
      <w:r w:rsidRPr="00C3377B">
        <w:rPr>
          <w:sz w:val="24"/>
          <w:szCs w:val="24"/>
        </w:rPr>
        <w:t xml:space="preserve"> og/eller natriumhydroxid til pH-justering</w:t>
      </w:r>
    </w:p>
    <w:p w:rsidR="00A456E9" w:rsidRPr="00C3377B" w:rsidRDefault="00A456E9" w:rsidP="00A456E9">
      <w:pPr>
        <w:ind w:left="851"/>
        <w:rPr>
          <w:sz w:val="24"/>
          <w:szCs w:val="24"/>
        </w:rPr>
      </w:pPr>
      <w:r w:rsidRPr="00C3377B">
        <w:rPr>
          <w:sz w:val="24"/>
          <w:szCs w:val="24"/>
        </w:rPr>
        <w:t>Vand til injektionsvæske</w:t>
      </w:r>
      <w:r>
        <w:rPr>
          <w:sz w:val="24"/>
          <w:szCs w:val="24"/>
        </w:rPr>
        <w:t>r</w:t>
      </w:r>
      <w:r w:rsidRPr="00C3377B">
        <w:rPr>
          <w:sz w:val="24"/>
          <w:szCs w:val="24"/>
        </w:rPr>
        <w:t xml:space="preserve"> </w:t>
      </w:r>
    </w:p>
    <w:p w:rsidR="00A456E9" w:rsidRPr="00C3377B" w:rsidRDefault="00A456E9" w:rsidP="00A456E9">
      <w:pPr>
        <w:tabs>
          <w:tab w:val="left" w:pos="851"/>
        </w:tabs>
        <w:ind w:left="851" w:hanging="851"/>
        <w:rPr>
          <w:sz w:val="24"/>
          <w:szCs w:val="24"/>
        </w:rPr>
      </w:pPr>
    </w:p>
    <w:p w:rsidR="00A456E9" w:rsidRPr="00C3377B" w:rsidRDefault="00A456E9" w:rsidP="00A456E9">
      <w:pPr>
        <w:keepNext/>
        <w:tabs>
          <w:tab w:val="left" w:pos="851"/>
        </w:tabs>
        <w:ind w:left="851" w:hanging="851"/>
        <w:rPr>
          <w:b/>
          <w:sz w:val="24"/>
          <w:szCs w:val="24"/>
        </w:rPr>
      </w:pPr>
      <w:r w:rsidRPr="00C3377B">
        <w:rPr>
          <w:b/>
          <w:sz w:val="24"/>
          <w:szCs w:val="24"/>
        </w:rPr>
        <w:t>6.2</w:t>
      </w:r>
      <w:r w:rsidRPr="00C3377B">
        <w:rPr>
          <w:b/>
          <w:sz w:val="24"/>
          <w:szCs w:val="24"/>
        </w:rPr>
        <w:tab/>
        <w:t>Uforligeligheder</w:t>
      </w:r>
    </w:p>
    <w:p w:rsidR="00A456E9" w:rsidRPr="00C3377B" w:rsidRDefault="00A456E9" w:rsidP="00A456E9">
      <w:pPr>
        <w:tabs>
          <w:tab w:val="left" w:pos="3795"/>
        </w:tabs>
        <w:ind w:left="851" w:hanging="851"/>
        <w:rPr>
          <w:sz w:val="24"/>
          <w:szCs w:val="24"/>
        </w:rPr>
      </w:pPr>
      <w:r w:rsidRPr="00C3377B">
        <w:rPr>
          <w:sz w:val="24"/>
          <w:szCs w:val="24"/>
        </w:rPr>
        <w:tab/>
        <w:t>Ikke relevant</w:t>
      </w:r>
    </w:p>
    <w:p w:rsidR="00A456E9" w:rsidRPr="00C3377B"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6.3</w:t>
      </w:r>
      <w:r w:rsidRPr="00C3377B">
        <w:rPr>
          <w:b/>
          <w:sz w:val="24"/>
          <w:szCs w:val="24"/>
        </w:rPr>
        <w:tab/>
        <w:t>Opbevaringstid</w:t>
      </w:r>
    </w:p>
    <w:p w:rsidR="00A456E9" w:rsidRPr="00C3377B" w:rsidRDefault="00A456E9" w:rsidP="00A456E9">
      <w:pPr>
        <w:ind w:left="851" w:hanging="851"/>
        <w:rPr>
          <w:sz w:val="24"/>
          <w:szCs w:val="24"/>
        </w:rPr>
      </w:pPr>
      <w:r w:rsidRPr="00C3377B">
        <w:rPr>
          <w:sz w:val="24"/>
          <w:szCs w:val="24"/>
        </w:rPr>
        <w:tab/>
      </w:r>
      <w:r>
        <w:rPr>
          <w:sz w:val="24"/>
          <w:szCs w:val="24"/>
        </w:rPr>
        <w:t>Uåbnet: 3</w:t>
      </w:r>
      <w:r w:rsidRPr="00C3377B">
        <w:rPr>
          <w:sz w:val="24"/>
          <w:szCs w:val="24"/>
        </w:rPr>
        <w:t xml:space="preserve"> år</w:t>
      </w:r>
    </w:p>
    <w:p w:rsidR="00A456E9" w:rsidRPr="00C3377B" w:rsidRDefault="00A456E9" w:rsidP="00A456E9">
      <w:pPr>
        <w:ind w:left="851"/>
        <w:rPr>
          <w:b/>
          <w:sz w:val="24"/>
          <w:szCs w:val="24"/>
        </w:rPr>
      </w:pPr>
      <w:r w:rsidRPr="00C3377B">
        <w:rPr>
          <w:sz w:val="24"/>
          <w:szCs w:val="24"/>
        </w:rPr>
        <w:t xml:space="preserve">Efter åbning: anvendes straks. En eventuel ubrugt portion bortskaffes </w:t>
      </w:r>
    </w:p>
    <w:p w:rsidR="00A456E9" w:rsidRPr="00C3377B"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6.4</w:t>
      </w:r>
      <w:r w:rsidRPr="00C3377B">
        <w:rPr>
          <w:b/>
          <w:sz w:val="24"/>
          <w:szCs w:val="24"/>
        </w:rPr>
        <w:tab/>
        <w:t>Særlige opbevaringsforhold</w:t>
      </w:r>
    </w:p>
    <w:p w:rsidR="00A456E9" w:rsidRPr="00C3377B" w:rsidRDefault="00A456E9" w:rsidP="00A456E9">
      <w:pPr>
        <w:ind w:left="851" w:hanging="851"/>
        <w:rPr>
          <w:b/>
          <w:bCs/>
          <w:sz w:val="24"/>
          <w:szCs w:val="24"/>
        </w:rPr>
      </w:pPr>
      <w:r w:rsidRPr="00C3377B">
        <w:rPr>
          <w:sz w:val="24"/>
          <w:szCs w:val="24"/>
        </w:rPr>
        <w:tab/>
        <w:t>Må ikke opbevares i køleskab eller nedfryses</w:t>
      </w:r>
    </w:p>
    <w:p w:rsidR="00A456E9" w:rsidRPr="00C3377B"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6.5</w:t>
      </w:r>
      <w:r w:rsidRPr="00C3377B">
        <w:rPr>
          <w:b/>
          <w:sz w:val="24"/>
          <w:szCs w:val="24"/>
        </w:rPr>
        <w:tab/>
        <w:t>Emballagetyp</w:t>
      </w:r>
      <w:r w:rsidR="00DE2D1D">
        <w:rPr>
          <w:b/>
          <w:sz w:val="24"/>
          <w:szCs w:val="24"/>
        </w:rPr>
        <w:t>e</w:t>
      </w:r>
      <w:r w:rsidRPr="00C3377B">
        <w:rPr>
          <w:b/>
          <w:sz w:val="24"/>
          <w:szCs w:val="24"/>
        </w:rPr>
        <w:t xml:space="preserve"> og pakningsstørrelser</w:t>
      </w:r>
    </w:p>
    <w:p w:rsidR="00A456E9" w:rsidRPr="00C3377B" w:rsidRDefault="00A456E9" w:rsidP="00A456E9">
      <w:pPr>
        <w:autoSpaceDE w:val="0"/>
        <w:autoSpaceDN w:val="0"/>
        <w:adjustRightInd w:val="0"/>
        <w:ind w:left="851"/>
        <w:rPr>
          <w:sz w:val="24"/>
          <w:szCs w:val="24"/>
        </w:rPr>
      </w:pPr>
      <w:proofErr w:type="spellStart"/>
      <w:r w:rsidRPr="00C3377B">
        <w:rPr>
          <w:sz w:val="24"/>
          <w:szCs w:val="24"/>
        </w:rPr>
        <w:t>Sayanaject</w:t>
      </w:r>
      <w:proofErr w:type="spellEnd"/>
      <w:r w:rsidRPr="00C3377B">
        <w:rPr>
          <w:sz w:val="24"/>
          <w:szCs w:val="24"/>
        </w:rPr>
        <w:t xml:space="preserve"> injektionsvæske, suspension leveres i en enkeltdosisbeholder i form af en </w:t>
      </w:r>
      <w:proofErr w:type="spellStart"/>
      <w:r w:rsidRPr="00C3377B">
        <w:rPr>
          <w:sz w:val="24"/>
          <w:szCs w:val="24"/>
        </w:rPr>
        <w:t>forfyldt</w:t>
      </w:r>
      <w:proofErr w:type="spellEnd"/>
      <w:r w:rsidRPr="00C3377B">
        <w:rPr>
          <w:sz w:val="24"/>
          <w:szCs w:val="24"/>
        </w:rPr>
        <w:t xml:space="preserve"> injektor indeholdende 0,65 ml. Injektoren omfatter et lineært kammer af LD-</w:t>
      </w:r>
      <w:proofErr w:type="spellStart"/>
      <w:r w:rsidRPr="00C3377B">
        <w:rPr>
          <w:sz w:val="24"/>
          <w:szCs w:val="24"/>
        </w:rPr>
        <w:t>polyethylenlaminat</w:t>
      </w:r>
      <w:proofErr w:type="spellEnd"/>
      <w:r w:rsidRPr="00C3377B">
        <w:rPr>
          <w:sz w:val="24"/>
          <w:szCs w:val="24"/>
        </w:rPr>
        <w:t xml:space="preserve"> med en </w:t>
      </w:r>
      <w:proofErr w:type="spellStart"/>
      <w:r w:rsidRPr="00C3377B">
        <w:rPr>
          <w:sz w:val="24"/>
          <w:szCs w:val="24"/>
        </w:rPr>
        <w:t>silikoniseret</w:t>
      </w:r>
      <w:proofErr w:type="spellEnd"/>
      <w:r w:rsidRPr="00C3377B">
        <w:rPr>
          <w:sz w:val="24"/>
          <w:szCs w:val="24"/>
        </w:rPr>
        <w:t xml:space="preserve"> AISI Type 30</w:t>
      </w:r>
      <w:r>
        <w:rPr>
          <w:sz w:val="24"/>
          <w:szCs w:val="24"/>
        </w:rPr>
        <w:t>4</w:t>
      </w:r>
      <w:r w:rsidRPr="00C3377B">
        <w:rPr>
          <w:sz w:val="24"/>
          <w:szCs w:val="24"/>
        </w:rPr>
        <w:t xml:space="preserve"> 23 gauge nål af rustfrit stål med tynd væg, som monteres via en LD- </w:t>
      </w:r>
      <w:proofErr w:type="spellStart"/>
      <w:r w:rsidRPr="00C3377B">
        <w:rPr>
          <w:sz w:val="24"/>
          <w:szCs w:val="24"/>
        </w:rPr>
        <w:t>polyethylenport</w:t>
      </w:r>
      <w:proofErr w:type="spellEnd"/>
      <w:r w:rsidRPr="00C3377B">
        <w:rPr>
          <w:sz w:val="24"/>
          <w:szCs w:val="24"/>
        </w:rPr>
        <w:t xml:space="preserve"> og -ventil. </w:t>
      </w:r>
    </w:p>
    <w:p w:rsidR="00A456E9" w:rsidRPr="00C3377B"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6.6</w:t>
      </w:r>
      <w:r w:rsidRPr="00C3377B">
        <w:rPr>
          <w:b/>
          <w:sz w:val="24"/>
          <w:szCs w:val="24"/>
        </w:rPr>
        <w:tab/>
        <w:t xml:space="preserve">Regler for </w:t>
      </w:r>
      <w:r w:rsidR="00DE2D1D">
        <w:rPr>
          <w:b/>
          <w:sz w:val="24"/>
          <w:szCs w:val="24"/>
        </w:rPr>
        <w:t>bortskaffelse</w:t>
      </w:r>
      <w:r w:rsidRPr="00C3377B">
        <w:rPr>
          <w:b/>
          <w:sz w:val="24"/>
          <w:szCs w:val="24"/>
        </w:rPr>
        <w:t xml:space="preserve"> og anden håndtering</w:t>
      </w:r>
    </w:p>
    <w:p w:rsidR="00A456E9" w:rsidRPr="00C3377B" w:rsidRDefault="00A456E9" w:rsidP="00A456E9">
      <w:pPr>
        <w:ind w:left="851" w:hanging="851"/>
        <w:rPr>
          <w:sz w:val="24"/>
          <w:szCs w:val="24"/>
        </w:rPr>
      </w:pPr>
      <w:r w:rsidRPr="00C3377B">
        <w:rPr>
          <w:sz w:val="24"/>
          <w:szCs w:val="24"/>
        </w:rPr>
        <w:tab/>
        <w:t xml:space="preserve">Kun til engangsbrug. </w:t>
      </w:r>
    </w:p>
    <w:p w:rsidR="00A456E9" w:rsidRPr="00C3377B" w:rsidRDefault="00A456E9" w:rsidP="00A456E9">
      <w:pPr>
        <w:ind w:left="851" w:hanging="851"/>
        <w:rPr>
          <w:sz w:val="24"/>
          <w:szCs w:val="24"/>
        </w:rPr>
      </w:pPr>
    </w:p>
    <w:p w:rsidR="00A456E9" w:rsidRPr="00C3377B" w:rsidRDefault="00A456E9" w:rsidP="00A456E9">
      <w:pPr>
        <w:ind w:left="851"/>
        <w:rPr>
          <w:sz w:val="24"/>
          <w:szCs w:val="24"/>
        </w:rPr>
      </w:pPr>
      <w:r w:rsidRPr="00C3377B">
        <w:rPr>
          <w:sz w:val="24"/>
          <w:szCs w:val="24"/>
        </w:rPr>
        <w:t xml:space="preserve">Ikke anvendt lægemiddel samt affald heraf skal bortskaffes i henhold til lokale retningslinjer. </w:t>
      </w:r>
    </w:p>
    <w:p w:rsidR="00A456E9" w:rsidRPr="00C3377B" w:rsidRDefault="00A456E9" w:rsidP="00A456E9">
      <w:pPr>
        <w:tabs>
          <w:tab w:val="left" w:pos="851"/>
        </w:tabs>
        <w:ind w:left="851" w:hanging="851"/>
        <w:jc w:val="both"/>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7.</w:t>
      </w:r>
      <w:r w:rsidRPr="00C3377B">
        <w:rPr>
          <w:b/>
          <w:sz w:val="24"/>
          <w:szCs w:val="24"/>
        </w:rPr>
        <w:tab/>
        <w:t>INDEHAVER AF MARKEDSFØRINGSTILLADELSEN</w:t>
      </w:r>
    </w:p>
    <w:p w:rsidR="00A456E9" w:rsidRPr="00C3377B" w:rsidRDefault="00A456E9" w:rsidP="00A456E9">
      <w:pPr>
        <w:ind w:left="851" w:hanging="851"/>
        <w:rPr>
          <w:sz w:val="24"/>
          <w:szCs w:val="24"/>
        </w:rPr>
      </w:pPr>
      <w:r w:rsidRPr="00C3377B">
        <w:rPr>
          <w:sz w:val="24"/>
          <w:szCs w:val="24"/>
        </w:rPr>
        <w:tab/>
        <w:t>Pfizer ApS</w:t>
      </w:r>
    </w:p>
    <w:p w:rsidR="00A456E9" w:rsidRPr="00C3377B" w:rsidRDefault="00A456E9" w:rsidP="00A456E9">
      <w:pPr>
        <w:ind w:left="851"/>
        <w:rPr>
          <w:sz w:val="24"/>
          <w:szCs w:val="24"/>
        </w:rPr>
      </w:pPr>
      <w:r w:rsidRPr="00C3377B">
        <w:rPr>
          <w:sz w:val="24"/>
          <w:szCs w:val="24"/>
        </w:rPr>
        <w:t>Lautrupvang 8</w:t>
      </w:r>
    </w:p>
    <w:p w:rsidR="00A456E9" w:rsidRDefault="00A456E9" w:rsidP="00A456E9">
      <w:pPr>
        <w:ind w:left="851"/>
        <w:rPr>
          <w:sz w:val="24"/>
          <w:szCs w:val="24"/>
        </w:rPr>
      </w:pPr>
      <w:r w:rsidRPr="00C3377B">
        <w:rPr>
          <w:sz w:val="24"/>
          <w:szCs w:val="24"/>
        </w:rPr>
        <w:t>2750 Ballerup</w:t>
      </w:r>
    </w:p>
    <w:p w:rsidR="00A456E9" w:rsidRPr="00C3377B"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8.</w:t>
      </w:r>
      <w:r w:rsidRPr="00C3377B">
        <w:rPr>
          <w:b/>
          <w:sz w:val="24"/>
          <w:szCs w:val="24"/>
        </w:rPr>
        <w:tab/>
        <w:t>MARKEDSFØRINGSTILLADELSESNUMMER (</w:t>
      </w:r>
      <w:r w:rsidR="00DE2D1D">
        <w:rPr>
          <w:b/>
          <w:sz w:val="24"/>
          <w:szCs w:val="24"/>
        </w:rPr>
        <w:t>-</w:t>
      </w:r>
      <w:r w:rsidRPr="00C3377B">
        <w:rPr>
          <w:b/>
          <w:sz w:val="24"/>
          <w:szCs w:val="24"/>
        </w:rPr>
        <w:t>NUMRE)</w:t>
      </w:r>
    </w:p>
    <w:p w:rsidR="00A456E9" w:rsidRPr="00C3377B" w:rsidRDefault="00A456E9" w:rsidP="00A456E9">
      <w:pPr>
        <w:tabs>
          <w:tab w:val="left" w:pos="851"/>
        </w:tabs>
        <w:ind w:left="851" w:hanging="851"/>
        <w:rPr>
          <w:sz w:val="24"/>
          <w:szCs w:val="24"/>
        </w:rPr>
      </w:pPr>
      <w:r w:rsidRPr="00C3377B">
        <w:rPr>
          <w:sz w:val="24"/>
          <w:szCs w:val="24"/>
        </w:rPr>
        <w:tab/>
        <w:t>52630</w:t>
      </w:r>
    </w:p>
    <w:p w:rsidR="00A456E9" w:rsidRPr="00C3377B" w:rsidRDefault="00A456E9" w:rsidP="00A456E9">
      <w:pPr>
        <w:tabs>
          <w:tab w:val="left" w:pos="851"/>
        </w:tabs>
        <w:ind w:left="851" w:hanging="851"/>
        <w:jc w:val="both"/>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9.</w:t>
      </w:r>
      <w:r w:rsidRPr="00C3377B">
        <w:rPr>
          <w:b/>
          <w:sz w:val="24"/>
          <w:szCs w:val="24"/>
        </w:rPr>
        <w:tab/>
        <w:t>DATO FOR FØRSTE MARKEDSFØRINGSTILLADELSE</w:t>
      </w:r>
    </w:p>
    <w:p w:rsidR="00A456E9" w:rsidRPr="00C3377B" w:rsidRDefault="00A456E9" w:rsidP="00A456E9">
      <w:pPr>
        <w:tabs>
          <w:tab w:val="left" w:pos="851"/>
        </w:tabs>
        <w:ind w:left="851" w:hanging="851"/>
        <w:rPr>
          <w:sz w:val="24"/>
          <w:szCs w:val="24"/>
        </w:rPr>
      </w:pPr>
      <w:r w:rsidRPr="00C3377B">
        <w:rPr>
          <w:sz w:val="24"/>
          <w:szCs w:val="24"/>
        </w:rPr>
        <w:tab/>
        <w:t>17. december 2014</w:t>
      </w:r>
    </w:p>
    <w:p w:rsidR="00A456E9" w:rsidRPr="00C3377B" w:rsidRDefault="00A456E9" w:rsidP="00A456E9">
      <w:pPr>
        <w:tabs>
          <w:tab w:val="left" w:pos="851"/>
        </w:tabs>
        <w:ind w:left="851" w:hanging="851"/>
        <w:rPr>
          <w:sz w:val="24"/>
          <w:szCs w:val="24"/>
        </w:rPr>
      </w:pPr>
    </w:p>
    <w:p w:rsidR="00A456E9" w:rsidRPr="00C3377B" w:rsidRDefault="00A456E9" w:rsidP="00A456E9">
      <w:pPr>
        <w:tabs>
          <w:tab w:val="left" w:pos="851"/>
        </w:tabs>
        <w:ind w:left="851" w:hanging="851"/>
        <w:rPr>
          <w:b/>
          <w:sz w:val="24"/>
          <w:szCs w:val="24"/>
        </w:rPr>
      </w:pPr>
      <w:r w:rsidRPr="00C3377B">
        <w:rPr>
          <w:b/>
          <w:sz w:val="24"/>
          <w:szCs w:val="24"/>
        </w:rPr>
        <w:t>10.</w:t>
      </w:r>
      <w:r w:rsidRPr="00C3377B">
        <w:rPr>
          <w:b/>
          <w:sz w:val="24"/>
          <w:szCs w:val="24"/>
        </w:rPr>
        <w:tab/>
        <w:t>DATO FOR ÆNDRING AF TEKSTEN</w:t>
      </w:r>
    </w:p>
    <w:p w:rsidR="00A456E9" w:rsidRPr="00C3377B" w:rsidRDefault="00A456E9" w:rsidP="00A456E9">
      <w:pPr>
        <w:tabs>
          <w:tab w:val="left" w:pos="851"/>
        </w:tabs>
        <w:ind w:left="851" w:hanging="851"/>
        <w:rPr>
          <w:sz w:val="24"/>
          <w:szCs w:val="24"/>
        </w:rPr>
      </w:pPr>
      <w:r w:rsidRPr="00C3377B">
        <w:rPr>
          <w:sz w:val="24"/>
          <w:szCs w:val="24"/>
        </w:rPr>
        <w:tab/>
      </w:r>
      <w:r w:rsidR="00DE2D1D">
        <w:rPr>
          <w:sz w:val="24"/>
          <w:szCs w:val="24"/>
        </w:rPr>
        <w:t>13</w:t>
      </w:r>
      <w:r w:rsidR="00A44074" w:rsidRPr="00A44074">
        <w:rPr>
          <w:sz w:val="24"/>
          <w:szCs w:val="24"/>
        </w:rPr>
        <w:t xml:space="preserve">. </w:t>
      </w:r>
      <w:r w:rsidR="00DE2D1D">
        <w:rPr>
          <w:sz w:val="24"/>
          <w:szCs w:val="24"/>
        </w:rPr>
        <w:t>december</w:t>
      </w:r>
      <w:r w:rsidR="00A44074" w:rsidRPr="00A44074">
        <w:rPr>
          <w:sz w:val="24"/>
          <w:szCs w:val="24"/>
        </w:rPr>
        <w:t xml:space="preserve"> 202</w:t>
      </w:r>
      <w:r w:rsidR="00DE2D1D">
        <w:rPr>
          <w:sz w:val="24"/>
          <w:szCs w:val="24"/>
        </w:rPr>
        <w:t>3</w:t>
      </w:r>
    </w:p>
    <w:p w:rsidR="009260DE" w:rsidRPr="00A456E9" w:rsidRDefault="009260DE" w:rsidP="00A456E9"/>
    <w:sectPr w:rsidR="009260DE" w:rsidRPr="00A456E9"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22B" w:rsidRDefault="007E522B">
      <w:r>
        <w:separator/>
      </w:r>
    </w:p>
  </w:endnote>
  <w:endnote w:type="continuationSeparator" w:id="0">
    <w:p w:rsidR="007E522B" w:rsidRDefault="007E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22B" w:rsidRDefault="007E522B">
    <w:pPr>
      <w:pStyle w:val="Sidefod"/>
      <w:pBdr>
        <w:bottom w:val="single" w:sz="6" w:space="1" w:color="auto"/>
      </w:pBdr>
    </w:pPr>
  </w:p>
  <w:p w:rsidR="007E522B" w:rsidRDefault="007E522B" w:rsidP="00C42586">
    <w:pPr>
      <w:pStyle w:val="Sidefod"/>
      <w:tabs>
        <w:tab w:val="clear" w:pos="4819"/>
        <w:tab w:val="left" w:pos="8505"/>
      </w:tabs>
      <w:rPr>
        <w:i/>
        <w:sz w:val="18"/>
        <w:szCs w:val="18"/>
      </w:rPr>
    </w:pPr>
  </w:p>
  <w:p w:rsidR="007E522B" w:rsidRPr="00B373D7" w:rsidRDefault="007E522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Sayanaject, injektionsvæske, suspension 104 mg-0,65 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22B" w:rsidRDefault="007E522B">
      <w:r>
        <w:separator/>
      </w:r>
    </w:p>
  </w:footnote>
  <w:footnote w:type="continuationSeparator" w:id="0">
    <w:p w:rsidR="007E522B" w:rsidRDefault="007E5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EAA2326"/>
    <w:multiLevelType w:val="hybridMultilevel"/>
    <w:tmpl w:val="67A835C2"/>
    <w:lvl w:ilvl="0" w:tplc="BD4237FE">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25EE488E"/>
    <w:multiLevelType w:val="hybridMultilevel"/>
    <w:tmpl w:val="7D0A7F3A"/>
    <w:lvl w:ilvl="0" w:tplc="A156CAF2">
      <w:start w:val="1"/>
      <w:numFmt w:val="lowerLetter"/>
      <w:lvlText w:val="%1)"/>
      <w:lvlJc w:val="left"/>
      <w:pPr>
        <w:tabs>
          <w:tab w:val="num" w:pos="567"/>
        </w:tabs>
        <w:ind w:left="567" w:hanging="567"/>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E541609"/>
    <w:multiLevelType w:val="hybridMultilevel"/>
    <w:tmpl w:val="B630E04A"/>
    <w:lvl w:ilvl="0" w:tplc="B888CF38">
      <w:start w:val="1"/>
      <w:numFmt w:val="decimal"/>
      <w:lvlText w:val="%1."/>
      <w:lvlJc w:val="left"/>
      <w:pPr>
        <w:tabs>
          <w:tab w:val="num" w:pos="570"/>
        </w:tabs>
        <w:ind w:left="570" w:hanging="570"/>
      </w:pPr>
      <w:rPr>
        <w:rFonts w:cs="Times New Roman" w:hint="default"/>
      </w:rPr>
    </w:lvl>
    <w:lvl w:ilvl="1" w:tplc="82428388">
      <w:start w:val="1"/>
      <w:numFmt w:val="bullet"/>
      <w:pStyle w:val="Bullet1"/>
      <w:lvlText w:val=""/>
      <w:lvlJc w:val="left"/>
      <w:pPr>
        <w:tabs>
          <w:tab w:val="num" w:pos="1077"/>
        </w:tabs>
        <w:ind w:left="1077" w:hanging="357"/>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7E620DB"/>
    <w:multiLevelType w:val="multilevel"/>
    <w:tmpl w:val="E0BABBC6"/>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20"/>
        </w:tabs>
        <w:ind w:left="720" w:hanging="363"/>
      </w:pPr>
      <w:rPr>
        <w:rFonts w:ascii="Times New Roman" w:hAnsi="Times New Roman" w:hint="default"/>
      </w:rPr>
    </w:lvl>
    <w:lvl w:ilvl="2">
      <w:numFmt w:val="bullet"/>
      <w:lvlText w:val=""/>
      <w:lvlJc w:val="left"/>
      <w:pPr>
        <w:tabs>
          <w:tab w:val="num" w:pos="1077"/>
        </w:tabs>
        <w:ind w:left="1077" w:hanging="357"/>
      </w:pPr>
      <w:rPr>
        <w:rFonts w:ascii="Symbol" w:hAnsi="Symbol" w:hint="default"/>
      </w:rPr>
    </w:lvl>
    <w:lvl w:ilvl="3">
      <w:start w:val="1"/>
      <w:numFmt w:val="lowerLetter"/>
      <w:lvlText w:val="%4)"/>
      <w:lvlJc w:val="left"/>
      <w:pPr>
        <w:tabs>
          <w:tab w:val="num" w:pos="567"/>
        </w:tabs>
        <w:ind w:left="567" w:hanging="567"/>
      </w:pPr>
      <w:rPr>
        <w:rFonts w:ascii="Arial" w:hAnsi="Arial" w:cs="Times New Roman" w:hint="default"/>
        <w:b w:val="0"/>
        <w:i w:val="0"/>
        <w:sz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A4555D2"/>
    <w:multiLevelType w:val="hybridMultilevel"/>
    <w:tmpl w:val="6884166E"/>
    <w:lvl w:ilvl="0" w:tplc="BD4237F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72050C2F"/>
    <w:multiLevelType w:val="singleLevel"/>
    <w:tmpl w:val="700E3864"/>
    <w:lvl w:ilvl="0">
      <w:start w:val="1"/>
      <w:numFmt w:val="bullet"/>
      <w:lvlText w:val=""/>
      <w:lvlJc w:val="left"/>
      <w:pPr>
        <w:tabs>
          <w:tab w:val="num" w:pos="864"/>
        </w:tabs>
        <w:ind w:left="864" w:hanging="648"/>
      </w:pPr>
      <w:rPr>
        <w:rFonts w:ascii="Symbol" w:hAnsi="Symbol" w:hint="default"/>
        <w:sz w:val="16"/>
      </w:rPr>
    </w:lvl>
  </w:abstractNum>
  <w:abstractNum w:abstractNumId="14" w15:restartNumberingAfterBreak="0">
    <w:nsid w:val="782D2BD0"/>
    <w:multiLevelType w:val="hybridMultilevel"/>
    <w:tmpl w:val="F9B413FE"/>
    <w:lvl w:ilvl="0" w:tplc="BD4237F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9"/>
  </w:num>
  <w:num w:numId="9">
    <w:abstractNumId w:val="14"/>
  </w:num>
  <w:num w:numId="10">
    <w:abstractNumId w:val="2"/>
  </w:num>
  <w:num w:numId="11">
    <w:abstractNumId w:val="13"/>
  </w:num>
  <w:num w:numId="12">
    <w:abstractNumId w:val="3"/>
  </w:num>
  <w:num w:numId="13">
    <w:abstractNumId w:val="6"/>
  </w:num>
  <w:num w:numId="14">
    <w:abstractNumId w:val="1"/>
  </w:num>
  <w:num w:numId="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E9"/>
    <w:rsid w:val="000259B9"/>
    <w:rsid w:val="00041491"/>
    <w:rsid w:val="000452BC"/>
    <w:rsid w:val="00050D16"/>
    <w:rsid w:val="00074F2A"/>
    <w:rsid w:val="000A1CA8"/>
    <w:rsid w:val="000A466B"/>
    <w:rsid w:val="000B058C"/>
    <w:rsid w:val="000E4EE6"/>
    <w:rsid w:val="00135AA2"/>
    <w:rsid w:val="001454E2"/>
    <w:rsid w:val="00150742"/>
    <w:rsid w:val="0015631A"/>
    <w:rsid w:val="00163A26"/>
    <w:rsid w:val="00206CE8"/>
    <w:rsid w:val="0021526C"/>
    <w:rsid w:val="00283A2B"/>
    <w:rsid w:val="002B30AD"/>
    <w:rsid w:val="002C2C01"/>
    <w:rsid w:val="003A29AE"/>
    <w:rsid w:val="003A32D7"/>
    <w:rsid w:val="003B4074"/>
    <w:rsid w:val="003C769A"/>
    <w:rsid w:val="003F1838"/>
    <w:rsid w:val="00440AAC"/>
    <w:rsid w:val="0045746C"/>
    <w:rsid w:val="0049104B"/>
    <w:rsid w:val="004E3B12"/>
    <w:rsid w:val="00532310"/>
    <w:rsid w:val="00560ECC"/>
    <w:rsid w:val="00565F0F"/>
    <w:rsid w:val="00594A86"/>
    <w:rsid w:val="00596D86"/>
    <w:rsid w:val="005C437F"/>
    <w:rsid w:val="00637F5A"/>
    <w:rsid w:val="006560B1"/>
    <w:rsid w:val="006756DD"/>
    <w:rsid w:val="00737275"/>
    <w:rsid w:val="00740EEC"/>
    <w:rsid w:val="0078011A"/>
    <w:rsid w:val="00782AF4"/>
    <w:rsid w:val="00790EE7"/>
    <w:rsid w:val="007B6649"/>
    <w:rsid w:val="007E522B"/>
    <w:rsid w:val="007E57E7"/>
    <w:rsid w:val="0081546F"/>
    <w:rsid w:val="0082576E"/>
    <w:rsid w:val="00907F75"/>
    <w:rsid w:val="009260DE"/>
    <w:rsid w:val="0093258A"/>
    <w:rsid w:val="00965D4A"/>
    <w:rsid w:val="009C7BA3"/>
    <w:rsid w:val="009D1F5A"/>
    <w:rsid w:val="00A44074"/>
    <w:rsid w:val="00A456E9"/>
    <w:rsid w:val="00B003BF"/>
    <w:rsid w:val="00B373D7"/>
    <w:rsid w:val="00BD0750"/>
    <w:rsid w:val="00C36276"/>
    <w:rsid w:val="00C42586"/>
    <w:rsid w:val="00C60CCD"/>
    <w:rsid w:val="00C84483"/>
    <w:rsid w:val="00C86168"/>
    <w:rsid w:val="00C95551"/>
    <w:rsid w:val="00CB20D7"/>
    <w:rsid w:val="00D020B0"/>
    <w:rsid w:val="00D11748"/>
    <w:rsid w:val="00D366CF"/>
    <w:rsid w:val="00DE2D1D"/>
    <w:rsid w:val="00E108AA"/>
    <w:rsid w:val="00E31812"/>
    <w:rsid w:val="00E3749A"/>
    <w:rsid w:val="00E7437F"/>
    <w:rsid w:val="00E865B8"/>
    <w:rsid w:val="00EA388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F8F493-5D99-420B-BDD9-2677EFF1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A456E9"/>
    <w:rPr>
      <w:color w:val="808080"/>
    </w:rPr>
  </w:style>
  <w:style w:type="paragraph" w:customStyle="1" w:styleId="Paragraph">
    <w:name w:val="Paragraph"/>
    <w:link w:val="ParagraphChar"/>
    <w:uiPriority w:val="99"/>
    <w:rsid w:val="00A456E9"/>
    <w:pPr>
      <w:spacing w:after="240"/>
    </w:pPr>
    <w:rPr>
      <w:sz w:val="22"/>
      <w:lang w:val="en-US" w:eastAsia="en-US"/>
    </w:rPr>
  </w:style>
  <w:style w:type="paragraph" w:styleId="Brdtekst">
    <w:name w:val="Body Text"/>
    <w:basedOn w:val="Normal"/>
    <w:link w:val="BrdtekstTegn"/>
    <w:uiPriority w:val="99"/>
    <w:rsid w:val="00A456E9"/>
    <w:rPr>
      <w:sz w:val="24"/>
      <w:szCs w:val="24"/>
      <w:lang w:val="x-none" w:eastAsia="x-none"/>
    </w:rPr>
  </w:style>
  <w:style w:type="character" w:customStyle="1" w:styleId="BrdtekstTegn">
    <w:name w:val="Brødtekst Tegn"/>
    <w:basedOn w:val="Standardskrifttypeiafsnit"/>
    <w:link w:val="Brdtekst"/>
    <w:uiPriority w:val="99"/>
    <w:rsid w:val="00A456E9"/>
    <w:rPr>
      <w:sz w:val="24"/>
      <w:szCs w:val="24"/>
      <w:lang w:val="x-none" w:eastAsia="x-none"/>
    </w:rPr>
  </w:style>
  <w:style w:type="paragraph" w:styleId="Brdtekst2">
    <w:name w:val="Body Text 2"/>
    <w:basedOn w:val="Normal"/>
    <w:link w:val="Brdtekst2Tegn"/>
    <w:uiPriority w:val="99"/>
    <w:rsid w:val="00A456E9"/>
    <w:pPr>
      <w:keepNext/>
      <w:keepLines/>
    </w:pPr>
    <w:rPr>
      <w:sz w:val="24"/>
      <w:szCs w:val="24"/>
      <w:lang w:val="x-none" w:eastAsia="x-none"/>
    </w:rPr>
  </w:style>
  <w:style w:type="character" w:customStyle="1" w:styleId="Brdtekst2Tegn">
    <w:name w:val="Brødtekst 2 Tegn"/>
    <w:basedOn w:val="Standardskrifttypeiafsnit"/>
    <w:link w:val="Brdtekst2"/>
    <w:uiPriority w:val="99"/>
    <w:rsid w:val="00A456E9"/>
    <w:rPr>
      <w:sz w:val="24"/>
      <w:szCs w:val="24"/>
      <w:lang w:val="x-none" w:eastAsia="x-none"/>
    </w:rPr>
  </w:style>
  <w:style w:type="character" w:customStyle="1" w:styleId="ParagraphChar">
    <w:name w:val="Paragraph Char"/>
    <w:link w:val="Paragraph"/>
    <w:uiPriority w:val="99"/>
    <w:locked/>
    <w:rsid w:val="00A456E9"/>
    <w:rPr>
      <w:sz w:val="22"/>
      <w:lang w:val="en-US" w:eastAsia="en-US"/>
    </w:rPr>
  </w:style>
  <w:style w:type="paragraph" w:styleId="Billedtekst">
    <w:name w:val="caption"/>
    <w:basedOn w:val="Normal"/>
    <w:next w:val="Paragraph"/>
    <w:uiPriority w:val="99"/>
    <w:qFormat/>
    <w:rsid w:val="00A456E9"/>
    <w:pPr>
      <w:keepNext/>
      <w:tabs>
        <w:tab w:val="left" w:pos="1152"/>
      </w:tabs>
      <w:spacing w:after="240"/>
      <w:ind w:left="1152" w:hanging="1152"/>
    </w:pPr>
    <w:rPr>
      <w:rFonts w:ascii="Times New Roman Bold" w:hAnsi="Times New Roman Bold" w:cs="Arial"/>
      <w:b/>
      <w:bCs/>
      <w:sz w:val="24"/>
      <w:szCs w:val="24"/>
      <w:lang w:val="en-US"/>
    </w:rPr>
  </w:style>
  <w:style w:type="paragraph" w:customStyle="1" w:styleId="TableText">
    <w:name w:val="TableText"/>
    <w:uiPriority w:val="99"/>
    <w:rsid w:val="00A456E9"/>
    <w:rPr>
      <w:rFonts w:cs="Arial"/>
      <w:lang w:val="en-US" w:eastAsia="en-US"/>
    </w:rPr>
  </w:style>
  <w:style w:type="paragraph" w:customStyle="1" w:styleId="TableTextFootnote">
    <w:name w:val="TableText Footnote"/>
    <w:uiPriority w:val="99"/>
    <w:rsid w:val="00A456E9"/>
    <w:rPr>
      <w:lang w:val="en-US" w:eastAsia="en-US"/>
    </w:rPr>
  </w:style>
  <w:style w:type="character" w:customStyle="1" w:styleId="TableText12">
    <w:name w:val="TableText 12"/>
    <w:uiPriority w:val="99"/>
    <w:rsid w:val="00A456E9"/>
    <w:rPr>
      <w:rFonts w:ascii="Times New Roman" w:hAnsi="Times New Roman"/>
      <w:sz w:val="24"/>
    </w:rPr>
  </w:style>
  <w:style w:type="paragraph" w:styleId="Ingenafstand">
    <w:name w:val="No Spacing"/>
    <w:uiPriority w:val="99"/>
    <w:qFormat/>
    <w:rsid w:val="00A456E9"/>
    <w:rPr>
      <w:rFonts w:ascii="Calibri" w:hAnsi="Calibri"/>
      <w:sz w:val="22"/>
      <w:szCs w:val="22"/>
      <w:lang w:val="en-GB" w:eastAsia="en-US"/>
    </w:rPr>
  </w:style>
  <w:style w:type="paragraph" w:styleId="Brdtekst3">
    <w:name w:val="Body Text 3"/>
    <w:basedOn w:val="Normal"/>
    <w:link w:val="Brdtekst3Tegn"/>
    <w:uiPriority w:val="99"/>
    <w:semiHidden/>
    <w:unhideWhenUsed/>
    <w:rsid w:val="00A456E9"/>
    <w:pPr>
      <w:spacing w:after="120"/>
    </w:pPr>
    <w:rPr>
      <w:sz w:val="16"/>
      <w:szCs w:val="16"/>
    </w:rPr>
  </w:style>
  <w:style w:type="character" w:customStyle="1" w:styleId="Brdtekst3Tegn">
    <w:name w:val="Brødtekst 3 Tegn"/>
    <w:basedOn w:val="Standardskrifttypeiafsnit"/>
    <w:link w:val="Brdtekst3"/>
    <w:uiPriority w:val="99"/>
    <w:semiHidden/>
    <w:rsid w:val="00A456E9"/>
    <w:rPr>
      <w:sz w:val="16"/>
      <w:szCs w:val="16"/>
      <w:lang w:eastAsia="en-US"/>
    </w:rPr>
  </w:style>
  <w:style w:type="paragraph" w:customStyle="1" w:styleId="Style1">
    <w:name w:val="Style 1"/>
    <w:basedOn w:val="Normal"/>
    <w:rsid w:val="00A456E9"/>
    <w:pPr>
      <w:widowControl w:val="0"/>
      <w:autoSpaceDE w:val="0"/>
      <w:autoSpaceDN w:val="0"/>
      <w:adjustRightInd w:val="0"/>
    </w:pPr>
    <w:rPr>
      <w:sz w:val="24"/>
      <w:szCs w:val="24"/>
      <w:lang w:val="en-US"/>
    </w:rPr>
  </w:style>
  <w:style w:type="paragraph" w:customStyle="1" w:styleId="Document1">
    <w:name w:val="Document 1"/>
    <w:uiPriority w:val="99"/>
    <w:rsid w:val="00A456E9"/>
    <w:pPr>
      <w:keepNext/>
      <w:keepLines/>
      <w:tabs>
        <w:tab w:val="left" w:pos="-720"/>
      </w:tabs>
      <w:suppressAutoHyphens/>
    </w:pPr>
    <w:rPr>
      <w:rFonts w:ascii="Courier" w:hAnsi="Courier"/>
      <w:sz w:val="24"/>
      <w:lang w:val="en-US" w:eastAsia="en-US"/>
    </w:rPr>
  </w:style>
  <w:style w:type="character" w:customStyle="1" w:styleId="a">
    <w:name w:val="_a"/>
    <w:rsid w:val="00A456E9"/>
    <w:rPr>
      <w:rFonts w:cs="Times New Roman"/>
    </w:rPr>
  </w:style>
  <w:style w:type="paragraph" w:customStyle="1" w:styleId="heading8txt">
    <w:name w:val="heading8/txt"/>
    <w:rsid w:val="00A456E9"/>
    <w:pPr>
      <w:tabs>
        <w:tab w:val="left" w:pos="-720"/>
      </w:tabs>
      <w:suppressAutoHyphens/>
      <w:spacing w:line="480" w:lineRule="auto"/>
    </w:pPr>
    <w:rPr>
      <w:rFonts w:ascii="Courier New" w:hAnsi="Courier New"/>
      <w:b/>
      <w:sz w:val="24"/>
      <w:lang w:val="en-US" w:eastAsia="en-US"/>
    </w:rPr>
  </w:style>
  <w:style w:type="paragraph" w:customStyle="1" w:styleId="Bullet1">
    <w:name w:val="Bullet 1"/>
    <w:basedOn w:val="Normal"/>
    <w:rsid w:val="00A456E9"/>
    <w:pPr>
      <w:numPr>
        <w:ilvl w:val="1"/>
        <w:numId w:val="12"/>
      </w:numPr>
      <w:spacing w:line="260" w:lineRule="exact"/>
    </w:pPr>
    <w:rPr>
      <w:sz w:val="22"/>
      <w:lang w:val="en-GB"/>
    </w:rPr>
  </w:style>
  <w:style w:type="character" w:customStyle="1" w:styleId="a0">
    <w:name w:val="a"/>
    <w:uiPriority w:val="99"/>
    <w:rsid w:val="00A456E9"/>
    <w:rPr>
      <w:rFonts w:cs="Times New Roman"/>
    </w:rPr>
  </w:style>
  <w:style w:type="character" w:styleId="Hyperlink">
    <w:name w:val="Hyperlink"/>
    <w:uiPriority w:val="99"/>
    <w:semiHidden/>
    <w:unhideWhenUsed/>
    <w:rsid w:val="00A45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7708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meldenbivirkning.dk"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5675</Words>
  <Characters>34365</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2023010569 pkt. 4.8 samt QRD</dc:description>
  <cp:lastModifiedBy>Helle Søndersted</cp:lastModifiedBy>
  <cp:revision>2</cp:revision>
  <cp:lastPrinted>2012-08-22T08:53:00Z</cp:lastPrinted>
  <dcterms:created xsi:type="dcterms:W3CDTF">2023-12-13T08:08:00Z</dcterms:created>
  <dcterms:modified xsi:type="dcterms:W3CDTF">2023-12-13T08:08:00Z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