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DDC" w:rsidRPr="00FC2650" w:rsidRDefault="00232DDC" w:rsidP="00232DDC">
      <w:pPr>
        <w:rPr>
          <w:sz w:val="24"/>
          <w:szCs w:val="24"/>
        </w:rPr>
      </w:pPr>
      <w:r w:rsidRPr="001B746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6B60697" wp14:editId="1027943E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B7467">
        <w:rPr>
          <w:sz w:val="24"/>
          <w:szCs w:val="24"/>
        </w:rPr>
        <w:br w:type="textWrapping" w:clear="all"/>
      </w:r>
    </w:p>
    <w:p w:rsidR="00232DDC" w:rsidRPr="001B7467" w:rsidRDefault="00232DDC" w:rsidP="00232DDC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1B7467">
        <w:rPr>
          <w:b w:val="0"/>
          <w:szCs w:val="24"/>
          <w:lang w:eastAsia="en-US"/>
        </w:rPr>
        <w:tab/>
      </w:r>
      <w:r w:rsidR="00CA1AE2">
        <w:rPr>
          <w:szCs w:val="24"/>
        </w:rPr>
        <w:t>26. marts 2024</w:t>
      </w:r>
    </w:p>
    <w:p w:rsidR="00232DDC" w:rsidRPr="001B7467" w:rsidRDefault="00232DDC" w:rsidP="00232DDC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FB13ED" w:rsidRDefault="00FB13ED" w:rsidP="00232DDC">
      <w:pPr>
        <w:pStyle w:val="Titel"/>
        <w:jc w:val="left"/>
        <w:rPr>
          <w:b w:val="0"/>
          <w:szCs w:val="24"/>
        </w:rPr>
      </w:pPr>
    </w:p>
    <w:p w:rsidR="00CA1AE2" w:rsidRPr="001B7467" w:rsidRDefault="00CA1AE2" w:rsidP="00232DDC">
      <w:pPr>
        <w:pStyle w:val="Titel"/>
        <w:jc w:val="left"/>
        <w:rPr>
          <w:b w:val="0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PRODUKTRESUMÉ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for</w:t>
      </w: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</w:p>
    <w:p w:rsidR="00232DDC" w:rsidRPr="001B7467" w:rsidRDefault="00232DDC" w:rsidP="00232DDC">
      <w:pPr>
        <w:jc w:val="center"/>
        <w:rPr>
          <w:b/>
          <w:sz w:val="24"/>
          <w:szCs w:val="24"/>
        </w:rPr>
      </w:pPr>
      <w:proofErr w:type="spellStart"/>
      <w:r w:rsidRPr="001B7467">
        <w:rPr>
          <w:b/>
          <w:sz w:val="24"/>
          <w:szCs w:val="24"/>
        </w:rPr>
        <w:t>Scatol</w:t>
      </w:r>
      <w:proofErr w:type="spellEnd"/>
      <w:r w:rsidRPr="001B7467">
        <w:rPr>
          <w:b/>
          <w:sz w:val="24"/>
          <w:szCs w:val="24"/>
        </w:rPr>
        <w:t>, tabletter</w:t>
      </w: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0.</w:t>
      </w:r>
      <w:r w:rsidRPr="001B7467">
        <w:rPr>
          <w:b/>
          <w:sz w:val="24"/>
          <w:szCs w:val="24"/>
        </w:rPr>
        <w:tab/>
        <w:t>D.SP.NR.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31663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1.</w:t>
      </w:r>
      <w:r w:rsidRPr="001B7467">
        <w:rPr>
          <w:b/>
          <w:sz w:val="24"/>
          <w:szCs w:val="24"/>
        </w:rPr>
        <w:tab/>
        <w:t>LÆGEMIDLETS NAVN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B7467">
        <w:rPr>
          <w:sz w:val="24"/>
          <w:szCs w:val="24"/>
        </w:rPr>
        <w:t>Scatol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2.</w:t>
      </w:r>
      <w:r w:rsidRPr="001B7467">
        <w:rPr>
          <w:b/>
          <w:sz w:val="24"/>
          <w:szCs w:val="24"/>
        </w:rPr>
        <w:tab/>
        <w:t>KVALITATIV OG KVANTITATIV SAMMENSÆTNING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1 tablet indeholder 3 mg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Alle hjælpestoffer er anført under pkt. 6.1.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3.</w:t>
      </w:r>
      <w:r w:rsidRPr="001B7467">
        <w:rPr>
          <w:b/>
          <w:sz w:val="24"/>
          <w:szCs w:val="24"/>
        </w:rPr>
        <w:tab/>
        <w:t>LÆGEMIDDELFORM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Tabletter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Runde, hvide eller råhvide, flade tabletter med skrå kant og en diameter på 5,5 mm og en tykkelse på 2,1 mm.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</w:t>
      </w:r>
      <w:r w:rsidRPr="001B7467">
        <w:rPr>
          <w:b/>
          <w:sz w:val="24"/>
          <w:szCs w:val="24"/>
        </w:rPr>
        <w:tab/>
        <w:t>KLINISKE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1B7467">
        <w:rPr>
          <w:b/>
          <w:sz w:val="24"/>
          <w:szCs w:val="24"/>
        </w:rPr>
        <w:t>4.1</w:t>
      </w:r>
      <w:r w:rsidRPr="001B7467">
        <w:rPr>
          <w:b/>
          <w:sz w:val="24"/>
          <w:szCs w:val="24"/>
        </w:rPr>
        <w:tab/>
        <w:t>Terapeutiske indikationer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gastrointestinal</w:t>
      </w:r>
      <w:proofErr w:type="spellEnd"/>
      <w:r w:rsidRPr="001B7467">
        <w:rPr>
          <w:sz w:val="24"/>
          <w:szCs w:val="24"/>
        </w:rPr>
        <w:t xml:space="preserve"> </w:t>
      </w:r>
      <w:proofErr w:type="spellStart"/>
      <w:r w:rsidRPr="001B7467">
        <w:rPr>
          <w:sz w:val="24"/>
          <w:szCs w:val="24"/>
        </w:rPr>
        <w:t>strongyloidiasis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sz w:val="24"/>
          <w:szCs w:val="24"/>
        </w:rPr>
        <w:t>anguillulosis</w:t>
      </w:r>
      <w:proofErr w:type="spellEnd"/>
      <w:r w:rsidRPr="001B7467">
        <w:rPr>
          <w:sz w:val="24"/>
          <w:szCs w:val="24"/>
        </w:rPr>
        <w:t>).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formodet eller diagnosticeret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patienter med lymfatisk </w:t>
      </w:r>
      <w:proofErr w:type="spellStart"/>
      <w:r w:rsidRPr="001B7467">
        <w:rPr>
          <w:sz w:val="24"/>
          <w:szCs w:val="24"/>
        </w:rPr>
        <w:t>filariasis</w:t>
      </w:r>
      <w:proofErr w:type="spellEnd"/>
      <w:r w:rsidRPr="001B7467">
        <w:rPr>
          <w:sz w:val="24"/>
          <w:szCs w:val="24"/>
        </w:rPr>
        <w:t xml:space="preserve"> på grund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numPr>
          <w:ilvl w:val="0"/>
          <w:numId w:val="6"/>
        </w:numPr>
        <w:tabs>
          <w:tab w:val="left" w:pos="851"/>
          <w:tab w:val="left" w:pos="1134"/>
        </w:tabs>
        <w:ind w:left="1134" w:hanging="283"/>
        <w:rPr>
          <w:sz w:val="24"/>
          <w:szCs w:val="24"/>
        </w:rPr>
      </w:pPr>
      <w:r w:rsidRPr="001B7467">
        <w:rPr>
          <w:sz w:val="24"/>
          <w:szCs w:val="24"/>
        </w:rPr>
        <w:t xml:space="preserve">Behandling af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(</w:t>
      </w:r>
      <w:proofErr w:type="spellStart"/>
      <w:r w:rsidRPr="001B7467">
        <w:rPr>
          <w:i/>
          <w:sz w:val="24"/>
          <w:szCs w:val="24"/>
        </w:rPr>
        <w:t>Sarcoptes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scabiei</w:t>
      </w:r>
      <w:proofErr w:type="spellEnd"/>
      <w:r w:rsidRPr="001B7467">
        <w:rPr>
          <w:i/>
          <w:sz w:val="24"/>
          <w:szCs w:val="24"/>
        </w:rPr>
        <w:t xml:space="preserve"> var </w:t>
      </w:r>
      <w:proofErr w:type="spellStart"/>
      <w:r w:rsidRPr="001B7467">
        <w:rPr>
          <w:i/>
          <w:sz w:val="24"/>
          <w:szCs w:val="24"/>
        </w:rPr>
        <w:t>hominis</w:t>
      </w:r>
      <w:proofErr w:type="spellEnd"/>
      <w:r w:rsidRPr="001B7467">
        <w:rPr>
          <w:i/>
          <w:sz w:val="24"/>
          <w:szCs w:val="24"/>
        </w:rPr>
        <w:t>)</w:t>
      </w:r>
      <w:r w:rsidRPr="001B7467">
        <w:rPr>
          <w:sz w:val="24"/>
          <w:szCs w:val="24"/>
        </w:rPr>
        <w:t xml:space="preserve">. Det er berettiget at give behandling, hvis der er diagnosticeret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på baggrund af klinisk og/eller </w:t>
      </w:r>
      <w:proofErr w:type="spellStart"/>
      <w:r w:rsidRPr="001B7467">
        <w:rPr>
          <w:sz w:val="24"/>
          <w:szCs w:val="24"/>
        </w:rPr>
        <w:t>parasitologisk</w:t>
      </w:r>
      <w:proofErr w:type="spellEnd"/>
      <w:r w:rsidRPr="001B7467">
        <w:rPr>
          <w:sz w:val="24"/>
          <w:szCs w:val="24"/>
        </w:rPr>
        <w:t xml:space="preserve"> undersøgelse. Uden en formel diagnose er det ikke berettiget at give behandling i tilfælde af </w:t>
      </w:r>
      <w:proofErr w:type="spellStart"/>
      <w:r w:rsidRPr="001B7467">
        <w:rPr>
          <w:sz w:val="24"/>
          <w:szCs w:val="24"/>
        </w:rPr>
        <w:t>pruritus</w:t>
      </w:r>
      <w:proofErr w:type="spellEnd"/>
      <w:r w:rsidRPr="001B7467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Der bør tages højde for officielle retningslinjer. De officielle retningslinjer omfatter normalt retningslinjerne fra WHO og sundhedsmyndighederne.</w:t>
      </w:r>
    </w:p>
    <w:p w:rsidR="00D0579C" w:rsidRDefault="00D0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Dosering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gastrointestinal</w:t>
      </w:r>
      <w:proofErr w:type="spellEnd"/>
      <w:r w:rsidRPr="001B7467">
        <w:rPr>
          <w:sz w:val="24"/>
          <w:szCs w:val="24"/>
          <w:u w:val="single"/>
        </w:rPr>
        <w:t xml:space="preserve"> </w:t>
      </w:r>
      <w:proofErr w:type="spellStart"/>
      <w:r w:rsidRPr="001B7467">
        <w:rPr>
          <w:sz w:val="24"/>
          <w:szCs w:val="24"/>
          <w:u w:val="single"/>
        </w:rPr>
        <w:t>strongyloidiasis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tbl>
      <w:tblPr>
        <w:tblW w:w="652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3"/>
      </w:tblGrid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(antal tabletter a 3 mg)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24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25 til 35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36 til 50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51 til 65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66 til 79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fem</w:t>
            </w:r>
          </w:p>
        </w:tc>
      </w:tr>
      <w:tr w:rsidR="00232DDC" w:rsidRPr="001B7467" w:rsidTr="003B4BCE">
        <w:tc>
          <w:tcPr>
            <w:tcW w:w="2977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  <w:cs/>
              </w:rPr>
              <w:t xml:space="preserve">≥ </w:t>
            </w:r>
            <w:r w:rsidRPr="001B7467">
              <w:rPr>
                <w:sz w:val="24"/>
                <w:szCs w:val="24"/>
              </w:rPr>
              <w:t xml:space="preserve">80 </w:t>
            </w:r>
          </w:p>
        </w:tc>
        <w:tc>
          <w:tcPr>
            <w:tcW w:w="3543" w:type="dxa"/>
            <w:shd w:val="clear" w:color="auto" w:fill="auto"/>
          </w:tcPr>
          <w:p w:rsidR="00232DDC" w:rsidRPr="001B7467" w:rsidRDefault="00232DDC" w:rsidP="003B4BCE">
            <w:pPr>
              <w:ind w:left="10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mikrofilaræmi</w:t>
      </w:r>
      <w:proofErr w:type="spellEnd"/>
      <w:r w:rsidRPr="001B7467">
        <w:rPr>
          <w:sz w:val="24"/>
          <w:szCs w:val="24"/>
          <w:u w:val="single"/>
        </w:rPr>
        <w:t xml:space="preserve"> forårsaget af </w:t>
      </w:r>
      <w:proofErr w:type="spellStart"/>
      <w:r w:rsidRPr="001B7467">
        <w:rPr>
          <w:i/>
          <w:sz w:val="24"/>
          <w:szCs w:val="24"/>
          <w:u w:val="single"/>
        </w:rPr>
        <w:t>Wuchereria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bancrofti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1B7467">
        <w:rPr>
          <w:sz w:val="24"/>
          <w:szCs w:val="24"/>
        </w:rPr>
        <w:t xml:space="preserve">Den anbefalede dosering til massebehandling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forårsaget af </w:t>
      </w:r>
      <w:proofErr w:type="spellStart"/>
      <w:r w:rsidRPr="001B7467">
        <w:rPr>
          <w:i/>
          <w:sz w:val="24"/>
          <w:szCs w:val="24"/>
        </w:rPr>
        <w:t>Wuchereria</w:t>
      </w:r>
      <w:proofErr w:type="spellEnd"/>
      <w:r w:rsidRPr="001B7467">
        <w:rPr>
          <w:i/>
          <w:sz w:val="24"/>
          <w:szCs w:val="24"/>
        </w:rPr>
        <w:t xml:space="preserve"> </w:t>
      </w:r>
      <w:proofErr w:type="spellStart"/>
      <w:r w:rsidRPr="001B7467">
        <w:rPr>
          <w:i/>
          <w:sz w:val="24"/>
          <w:szCs w:val="24"/>
        </w:rPr>
        <w:t>bancrofti</w:t>
      </w:r>
      <w:proofErr w:type="spellEnd"/>
      <w:r w:rsidRPr="001B7467">
        <w:rPr>
          <w:sz w:val="24"/>
          <w:szCs w:val="24"/>
        </w:rPr>
        <w:t xml:space="preserve"> er en enkelt oral dosis på cirka 150 til 200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>/kg legemsvægt en gang hver 6.</w:t>
      </w:r>
      <w:r w:rsidR="00CA1AE2">
        <w:rPr>
          <w:sz w:val="24"/>
          <w:szCs w:val="24"/>
        </w:rPr>
        <w:t> </w:t>
      </w:r>
      <w:r w:rsidRPr="001B7467">
        <w:rPr>
          <w:sz w:val="24"/>
          <w:szCs w:val="24"/>
        </w:rPr>
        <w:t>måned.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I endemiske områder, hvor der kun kan gives behandling en gang hver 12. måned, er den anbefalede dosering 300 til 400 </w:t>
      </w:r>
      <w:proofErr w:type="spellStart"/>
      <w:r w:rsidRPr="001B7467">
        <w:rPr>
          <w:sz w:val="24"/>
          <w:szCs w:val="24"/>
        </w:rPr>
        <w:t>μg</w:t>
      </w:r>
      <w:proofErr w:type="spellEnd"/>
      <w:r w:rsidRPr="001B7467">
        <w:rPr>
          <w:sz w:val="24"/>
          <w:szCs w:val="24"/>
        </w:rPr>
        <w:t xml:space="preserve"> pr. kg. legemsvægt for at opretholde tilstrækkelig suppression af </w:t>
      </w:r>
      <w:proofErr w:type="spellStart"/>
      <w:r w:rsidRPr="001B7467">
        <w:rPr>
          <w:sz w:val="24"/>
          <w:szCs w:val="24"/>
        </w:rPr>
        <w:t>mikrofilaræmi</w:t>
      </w:r>
      <w:proofErr w:type="spellEnd"/>
      <w:r w:rsidRPr="001B7467">
        <w:rPr>
          <w:sz w:val="24"/>
          <w:szCs w:val="24"/>
        </w:rPr>
        <w:t xml:space="preserve"> hos de behandlede patienter.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Vejledende dosering på baggrund af patientens vægt: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3313"/>
        <w:gridCol w:w="3314"/>
      </w:tblGrid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LEGEMSVÆGT (kg)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6. måned (antal tabletter a 3 mg)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15 til 25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26 til 44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45 til 64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854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65 til 84</w:t>
            </w:r>
          </w:p>
        </w:tc>
        <w:tc>
          <w:tcPr>
            <w:tcW w:w="3313" w:type="dxa"/>
            <w:shd w:val="clear" w:color="auto" w:fill="auto"/>
          </w:tcPr>
          <w:p w:rsidR="00232DDC" w:rsidRPr="001B7467" w:rsidRDefault="00232DDC" w:rsidP="003B4BCE">
            <w:pPr>
              <w:ind w:left="156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  <w:tc>
          <w:tcPr>
            <w:tcW w:w="3314" w:type="dxa"/>
            <w:shd w:val="clear" w:color="auto" w:fill="auto"/>
          </w:tcPr>
          <w:p w:rsidR="00232DDC" w:rsidRPr="001B7467" w:rsidRDefault="00232DDC" w:rsidP="003B4BCE">
            <w:pPr>
              <w:ind w:left="10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Alternativt kan doseringen af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 forbindelse med kemoterapeutisk massebehandling fastlægges på baggrund af patientens højde, som følger, hvis der ikke er en personvægt til rådighed: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9497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719"/>
        <w:gridCol w:w="3118"/>
      </w:tblGrid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HØJDE (cm)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973B38">
            <w:pPr>
              <w:ind w:left="67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</w:t>
            </w:r>
            <w:r w:rsidR="00973B38">
              <w:rPr>
                <w:b/>
                <w:sz w:val="24"/>
                <w:szCs w:val="24"/>
              </w:rPr>
              <w:t xml:space="preserve"> </w:t>
            </w:r>
            <w:r w:rsidRPr="001B7467">
              <w:rPr>
                <w:b/>
                <w:sz w:val="24"/>
                <w:szCs w:val="24"/>
              </w:rPr>
              <w:t>6. måned (antal tabletter a 3 mg)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b/>
                <w:bCs/>
                <w:sz w:val="24"/>
                <w:szCs w:val="24"/>
              </w:rPr>
            </w:pPr>
            <w:r w:rsidRPr="001B7467">
              <w:rPr>
                <w:b/>
                <w:sz w:val="24"/>
                <w:szCs w:val="24"/>
              </w:rPr>
              <w:t>DOSIS ved administration en gang hver 12. måned (antal tabletter a 3 mg)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90 til 119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en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to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120 til 140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to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fire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141 til 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tre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seks</w:t>
            </w:r>
          </w:p>
        </w:tc>
      </w:tr>
      <w:tr w:rsidR="00232DDC" w:rsidRPr="001B7467" w:rsidTr="003B4BCE">
        <w:tc>
          <w:tcPr>
            <w:tcW w:w="2660" w:type="dxa"/>
            <w:shd w:val="clear" w:color="auto" w:fill="auto"/>
          </w:tcPr>
          <w:p w:rsidR="00232DDC" w:rsidRPr="001B7467" w:rsidRDefault="00232DDC" w:rsidP="003B4BCE">
            <w:pPr>
              <w:ind w:left="175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&gt; 158 </w:t>
            </w:r>
          </w:p>
        </w:tc>
        <w:tc>
          <w:tcPr>
            <w:tcW w:w="3719" w:type="dxa"/>
            <w:shd w:val="clear" w:color="auto" w:fill="auto"/>
          </w:tcPr>
          <w:p w:rsidR="00232DDC" w:rsidRPr="001B7467" w:rsidRDefault="00232DDC" w:rsidP="003B4BCE">
            <w:pPr>
              <w:ind w:left="67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 xml:space="preserve">fire </w:t>
            </w:r>
          </w:p>
        </w:tc>
        <w:tc>
          <w:tcPr>
            <w:tcW w:w="3118" w:type="dxa"/>
            <w:shd w:val="clear" w:color="auto" w:fill="auto"/>
          </w:tcPr>
          <w:p w:rsidR="00232DDC" w:rsidRPr="001B7467" w:rsidRDefault="00232DDC" w:rsidP="003B4BCE">
            <w:pPr>
              <w:ind w:left="14"/>
              <w:rPr>
                <w:sz w:val="24"/>
                <w:szCs w:val="24"/>
              </w:rPr>
            </w:pPr>
            <w:r w:rsidRPr="001B7467">
              <w:rPr>
                <w:sz w:val="24"/>
                <w:szCs w:val="24"/>
              </w:rPr>
              <w:t>otte</w:t>
            </w:r>
          </w:p>
        </w:tc>
      </w:tr>
    </w:tbl>
    <w:p w:rsidR="00D0579C" w:rsidRDefault="00D0579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D0579C" w:rsidRDefault="00D0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4A5A" w:rsidRDefault="00D94A5A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 xml:space="preserve">Behandling af </w:t>
      </w:r>
      <w:proofErr w:type="spellStart"/>
      <w:r w:rsidRPr="001B7467">
        <w:rPr>
          <w:sz w:val="24"/>
          <w:szCs w:val="24"/>
          <w:u w:val="single"/>
        </w:rPr>
        <w:t>scabies</w:t>
      </w:r>
      <w:proofErr w:type="spellEnd"/>
      <w:r w:rsidRPr="001B7467">
        <w:rPr>
          <w:sz w:val="24"/>
          <w:szCs w:val="24"/>
          <w:u w:val="single"/>
        </w:rPr>
        <w:t xml:space="preserve"> (</w:t>
      </w:r>
      <w:proofErr w:type="spellStart"/>
      <w:r w:rsidRPr="001B7467">
        <w:rPr>
          <w:i/>
          <w:sz w:val="24"/>
          <w:szCs w:val="24"/>
          <w:u w:val="single"/>
        </w:rPr>
        <w:t>Sarcoptes</w:t>
      </w:r>
      <w:proofErr w:type="spellEnd"/>
      <w:r w:rsidRPr="001B7467">
        <w:rPr>
          <w:i/>
          <w:sz w:val="24"/>
          <w:szCs w:val="24"/>
          <w:u w:val="single"/>
        </w:rPr>
        <w:t xml:space="preserve"> </w:t>
      </w:r>
      <w:proofErr w:type="spellStart"/>
      <w:r w:rsidRPr="001B7467">
        <w:rPr>
          <w:i/>
          <w:sz w:val="24"/>
          <w:szCs w:val="24"/>
          <w:u w:val="single"/>
        </w:rPr>
        <w:t>scabiei</w:t>
      </w:r>
      <w:proofErr w:type="spellEnd"/>
      <w:r w:rsidRPr="001B7467">
        <w:rPr>
          <w:i/>
          <w:sz w:val="24"/>
          <w:szCs w:val="24"/>
          <w:u w:val="single"/>
        </w:rPr>
        <w:t xml:space="preserve"> var </w:t>
      </w:r>
      <w:proofErr w:type="spellStart"/>
      <w:r w:rsidRPr="001B7467">
        <w:rPr>
          <w:i/>
          <w:sz w:val="24"/>
          <w:szCs w:val="24"/>
          <w:u w:val="single"/>
        </w:rPr>
        <w:t>hominis</w:t>
      </w:r>
      <w:proofErr w:type="spellEnd"/>
      <w:r w:rsidRPr="001B7467">
        <w:rPr>
          <w:sz w:val="24"/>
          <w:szCs w:val="24"/>
          <w:u w:val="single"/>
        </w:rPr>
        <w:t>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Den anbefalede dosering er en enkelt oral dosis på 200 mikrogram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pr. kg. legemsvægt.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6100AE" w:rsidRPr="009A1062" w:rsidRDefault="006100AE" w:rsidP="006100AE">
      <w:pPr>
        <w:tabs>
          <w:tab w:val="left" w:pos="851"/>
        </w:tabs>
        <w:ind w:left="851"/>
        <w:rPr>
          <w:i/>
          <w:sz w:val="24"/>
          <w:szCs w:val="24"/>
        </w:rPr>
      </w:pPr>
      <w:r w:rsidRPr="009A1062">
        <w:rPr>
          <w:i/>
          <w:sz w:val="24"/>
          <w:szCs w:val="24"/>
        </w:rPr>
        <w:t xml:space="preserve">Almindelig </w:t>
      </w:r>
      <w:proofErr w:type="spellStart"/>
      <w:r w:rsidRPr="009A1062">
        <w:rPr>
          <w:i/>
          <w:sz w:val="24"/>
          <w:szCs w:val="24"/>
        </w:rPr>
        <w:t>scabies</w:t>
      </w:r>
      <w:proofErr w:type="spellEnd"/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lastRenderedPageBreak/>
        <w:t xml:space="preserve">Administration af endnu en behandling inden for 8 til 15 dage efter den første dosis kan reducere risikoen for behandlingssvigt, eftersom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ikke er </w:t>
      </w:r>
      <w:proofErr w:type="spellStart"/>
      <w:r w:rsidRPr="009A1062">
        <w:rPr>
          <w:sz w:val="24"/>
          <w:szCs w:val="24"/>
        </w:rPr>
        <w:t>ovicidalt</w:t>
      </w:r>
      <w:proofErr w:type="spellEnd"/>
      <w:r w:rsidRPr="009A1062">
        <w:rPr>
          <w:sz w:val="24"/>
          <w:szCs w:val="24"/>
        </w:rPr>
        <w:t>.</w:t>
      </w:r>
    </w:p>
    <w:p w:rsidR="006100AE" w:rsidRPr="009A1062" w:rsidRDefault="006100AE" w:rsidP="006100AE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>Remission kan først vurderes endeligt efter 4 ugers behandling.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Profus og skorpedannende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Ved sådanne voldsomt inficerede former kan det være nødvendigt med endnu en dosis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inden for 8 til 15 dage og/eller samtidig topisk behandling for at opnå komplet remission.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/>
          <w:sz w:val="24"/>
          <w:szCs w:val="24"/>
        </w:rPr>
      </w:pPr>
      <w:r w:rsidRPr="001B7467">
        <w:rPr>
          <w:i/>
          <w:sz w:val="24"/>
          <w:szCs w:val="24"/>
        </w:rPr>
        <w:t xml:space="preserve">Information til patienter i behandling for </w:t>
      </w:r>
      <w:proofErr w:type="spellStart"/>
      <w:r w:rsidRPr="001B7467">
        <w:rPr>
          <w:i/>
          <w:sz w:val="24"/>
          <w:szCs w:val="24"/>
        </w:rPr>
        <w:t>scabies</w:t>
      </w:r>
      <w:proofErr w:type="spellEnd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Kontaktpersoner, især familiemedlemmer og partnere, bør have en lægeundersøgelse så hurtigt som muligt og om nødvendigt påbegynde behandling for </w:t>
      </w:r>
      <w:proofErr w:type="spellStart"/>
      <w:r w:rsidRPr="001B7467">
        <w:rPr>
          <w:sz w:val="24"/>
          <w:szCs w:val="24"/>
        </w:rPr>
        <w:t>scabies</w:t>
      </w:r>
      <w:proofErr w:type="spellEnd"/>
      <w:r w:rsidRPr="001B7467">
        <w:rPr>
          <w:sz w:val="24"/>
          <w:szCs w:val="24"/>
        </w:rPr>
        <w:t xml:space="preserve"> med det samme.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Der skal tages højde for hygiejniske forholdsregler for at undgå </w:t>
      </w:r>
      <w:proofErr w:type="spellStart"/>
      <w:r w:rsidRPr="001B7467">
        <w:rPr>
          <w:sz w:val="24"/>
          <w:szCs w:val="24"/>
        </w:rPr>
        <w:t>reinfektion</w:t>
      </w:r>
      <w:proofErr w:type="spellEnd"/>
      <w:r w:rsidRPr="001B7467">
        <w:rPr>
          <w:sz w:val="24"/>
          <w:szCs w:val="24"/>
        </w:rPr>
        <w:t xml:space="preserve"> (dvs. fingernegle skal holdes korte og rene), og de officielle retningslinjer vedrørende vask af tøj og sengelinned skal følges nøje.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Pædiatrisk population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Sikkerheden hos pædiatriske patienter, der vejer under 15 kg, er ikke klarlagt for nogen af indikationerne.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iCs/>
          <w:sz w:val="24"/>
          <w:szCs w:val="24"/>
          <w:u w:val="single"/>
        </w:rPr>
      </w:pPr>
      <w:r w:rsidRPr="001B7467">
        <w:rPr>
          <w:sz w:val="24"/>
          <w:szCs w:val="24"/>
          <w:u w:val="single"/>
        </w:rPr>
        <w:t>Ældre patienter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 xml:space="preserve">Kliniske studier med </w:t>
      </w:r>
      <w:proofErr w:type="spellStart"/>
      <w:r w:rsidRPr="001B7467">
        <w:rPr>
          <w:sz w:val="24"/>
          <w:szCs w:val="24"/>
        </w:rPr>
        <w:t>ivermectin</w:t>
      </w:r>
      <w:proofErr w:type="spellEnd"/>
      <w:r w:rsidRPr="001B7467">
        <w:rPr>
          <w:sz w:val="24"/>
          <w:szCs w:val="24"/>
        </w:rPr>
        <w:t xml:space="preserve"> omfattede ikke tilstrækkelige forsøgspersoner på 65 år og derover til at klarlægge, om de reagerede anderledes på lægemidlet end yngre forsøgspersoner. I klinisk praksis er der ikke set forskel i denne henseende mellem yngre og ældre patienter. Generelt set bør der altid udvises forsigtighed med enhver behandling hos ældre patienter, fordi de oftere har nedsat lever-, nyre- og hjertefunktion eller anden samtidig sygdom og oftere tager andre lægemidler.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 xml:space="preserve">Administration 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Oral anvendelse.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Til børn under 6 år bør tabletterne knuses inden indgivelsen.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1B7467">
        <w:rPr>
          <w:sz w:val="24"/>
          <w:szCs w:val="24"/>
        </w:rPr>
        <w:t>Behandlingen består af en enkelt oral dosis, der ind</w:t>
      </w:r>
      <w:r w:rsidRPr="009A1062">
        <w:rPr>
          <w:sz w:val="24"/>
          <w:szCs w:val="24"/>
        </w:rPr>
        <w:t>tages med vand.</w:t>
      </w:r>
    </w:p>
    <w:p w:rsidR="00A82BE4" w:rsidRPr="009A1062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Pr="001B7467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Dosen kan tages på et hvilket som helst tidspunkt af dagen. </w:t>
      </w:r>
      <w:proofErr w:type="spellStart"/>
      <w:r w:rsidRPr="009A1062">
        <w:rPr>
          <w:sz w:val="24"/>
          <w:szCs w:val="24"/>
        </w:rPr>
        <w:t>Scatol</w:t>
      </w:r>
      <w:proofErr w:type="spellEnd"/>
      <w:r w:rsidRPr="009A1062">
        <w:rPr>
          <w:sz w:val="24"/>
          <w:szCs w:val="24"/>
        </w:rPr>
        <w:t xml:space="preserve"> kan tages med eller uden mad (se pkt. 5.2).</w:t>
      </w:r>
    </w:p>
    <w:p w:rsidR="00232DDC" w:rsidRPr="00D94A5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4.3</w:t>
      </w:r>
      <w:r w:rsidRPr="001B7467">
        <w:rPr>
          <w:b/>
          <w:sz w:val="24"/>
          <w:szCs w:val="24"/>
        </w:rPr>
        <w:tab/>
        <w:t>Kontraindikationer</w:t>
      </w:r>
    </w:p>
    <w:p w:rsidR="00232DDC" w:rsidRPr="001B7467" w:rsidRDefault="00232DDC" w:rsidP="00232DDC">
      <w:pPr>
        <w:ind w:left="851"/>
        <w:rPr>
          <w:sz w:val="24"/>
          <w:szCs w:val="24"/>
        </w:rPr>
      </w:pPr>
      <w:r w:rsidRPr="001B7467">
        <w:rPr>
          <w:sz w:val="24"/>
          <w:szCs w:val="24"/>
        </w:rPr>
        <w:t>Overfølsomhed over for det aktive stof eller over for et eller flere af hjælpestofferne anført i pkt. 6.1.</w:t>
      </w:r>
    </w:p>
    <w:p w:rsidR="00D0579C" w:rsidRDefault="00D057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4.4</w:t>
      </w:r>
      <w:r w:rsidRPr="001B7467">
        <w:rPr>
          <w:b/>
          <w:sz w:val="24"/>
          <w:szCs w:val="24"/>
        </w:rPr>
        <w:tab/>
        <w:t>Særlige advarsler og forsigtighedsregler vedrørende brugen</w:t>
      </w:r>
    </w:p>
    <w:p w:rsidR="00232DDC" w:rsidRDefault="00232DDC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3D4B0D" w:rsidRPr="00663846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663846">
        <w:rPr>
          <w:sz w:val="24"/>
          <w:szCs w:val="24"/>
          <w:u w:val="single"/>
        </w:rPr>
        <w:t xml:space="preserve">Svære </w:t>
      </w:r>
      <w:proofErr w:type="spellStart"/>
      <w:r w:rsidRPr="00663846">
        <w:rPr>
          <w:sz w:val="24"/>
          <w:szCs w:val="24"/>
          <w:u w:val="single"/>
        </w:rPr>
        <w:t>kutane</w:t>
      </w:r>
      <w:proofErr w:type="spellEnd"/>
      <w:r w:rsidRPr="00663846">
        <w:rPr>
          <w:sz w:val="24"/>
          <w:szCs w:val="24"/>
          <w:u w:val="single"/>
        </w:rPr>
        <w:t xml:space="preserve"> bivirkninger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Svære </w:t>
      </w:r>
      <w:proofErr w:type="spellStart"/>
      <w:r w:rsidRPr="00180442">
        <w:rPr>
          <w:sz w:val="24"/>
          <w:szCs w:val="24"/>
        </w:rPr>
        <w:t>kutane</w:t>
      </w:r>
      <w:proofErr w:type="spellEnd"/>
      <w:r w:rsidRPr="00180442">
        <w:rPr>
          <w:sz w:val="24"/>
          <w:szCs w:val="24"/>
        </w:rPr>
        <w:t xml:space="preserve"> bivirkninger, herunder Stevens-Johnsons syndrom og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, som kan være livstruende eller fatale, er blevet indberettet i forbindelse med behandling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(se pkt. 4.8).</w:t>
      </w:r>
    </w:p>
    <w:p w:rsidR="003D4B0D" w:rsidRPr="00180442" w:rsidRDefault="003D4B0D" w:rsidP="003D4B0D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80442">
        <w:rPr>
          <w:sz w:val="24"/>
          <w:szCs w:val="24"/>
        </w:rPr>
        <w:t xml:space="preserve">Ved ordinering bør patienterne informeres om tegn og symptomer og monitoreres nøje for hudreaktioner. Hvis der opstår tegn og symptomer på sådanne bivirkninger, bør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straks seponeres og alternativ behandling overvejes. Hvis patienten har udviklet en svær </w:t>
      </w:r>
      <w:proofErr w:type="spellStart"/>
      <w:r w:rsidRPr="00180442">
        <w:rPr>
          <w:sz w:val="24"/>
          <w:szCs w:val="24"/>
        </w:rPr>
        <w:t>kutan</w:t>
      </w:r>
      <w:proofErr w:type="spellEnd"/>
      <w:r w:rsidRPr="00180442">
        <w:rPr>
          <w:sz w:val="24"/>
          <w:szCs w:val="24"/>
        </w:rPr>
        <w:t xml:space="preserve"> bivirkning såsom Stevens-Johnson</w:t>
      </w:r>
      <w:r w:rsidR="00CA1AE2">
        <w:rPr>
          <w:sz w:val="24"/>
          <w:szCs w:val="24"/>
        </w:rPr>
        <w:t>s</w:t>
      </w:r>
      <w:r w:rsidRPr="00180442">
        <w:rPr>
          <w:sz w:val="24"/>
          <w:szCs w:val="24"/>
        </w:rPr>
        <w:t xml:space="preserve"> syndrom </w:t>
      </w:r>
      <w:r w:rsidR="009E29C6">
        <w:rPr>
          <w:sz w:val="24"/>
          <w:szCs w:val="24"/>
        </w:rPr>
        <w:t>og</w:t>
      </w:r>
      <w:r w:rsidRPr="00180442">
        <w:rPr>
          <w:sz w:val="24"/>
          <w:szCs w:val="24"/>
        </w:rPr>
        <w:t xml:space="preserve"> toksisk </w:t>
      </w:r>
      <w:proofErr w:type="spellStart"/>
      <w:r w:rsidRPr="00180442">
        <w:rPr>
          <w:sz w:val="24"/>
          <w:szCs w:val="24"/>
        </w:rPr>
        <w:t>epidermal</w:t>
      </w:r>
      <w:proofErr w:type="spellEnd"/>
      <w:r w:rsidRPr="00180442">
        <w:rPr>
          <w:sz w:val="24"/>
          <w:szCs w:val="24"/>
        </w:rPr>
        <w:t xml:space="preserve"> </w:t>
      </w:r>
      <w:proofErr w:type="spellStart"/>
      <w:r w:rsidRPr="00180442">
        <w:rPr>
          <w:sz w:val="24"/>
          <w:szCs w:val="24"/>
        </w:rPr>
        <w:t>nekrolyse</w:t>
      </w:r>
      <w:proofErr w:type="spellEnd"/>
      <w:r w:rsidRPr="00180442">
        <w:rPr>
          <w:sz w:val="24"/>
          <w:szCs w:val="24"/>
        </w:rPr>
        <w:t xml:space="preserve"> ved brug af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, må behandlingen med </w:t>
      </w:r>
      <w:proofErr w:type="spellStart"/>
      <w:r w:rsidRPr="00180442">
        <w:rPr>
          <w:sz w:val="24"/>
          <w:szCs w:val="24"/>
        </w:rPr>
        <w:t>ivermectin</w:t>
      </w:r>
      <w:proofErr w:type="spellEnd"/>
      <w:r w:rsidRPr="00180442">
        <w:rPr>
          <w:sz w:val="24"/>
          <w:szCs w:val="24"/>
        </w:rPr>
        <w:t xml:space="preserve"> ikke genoptages på noget tidspunkt. </w:t>
      </w:r>
    </w:p>
    <w:p w:rsidR="003D4B0D" w:rsidRDefault="003D4B0D" w:rsidP="00232DDC">
      <w:pPr>
        <w:autoSpaceDE w:val="0"/>
        <w:autoSpaceDN w:val="0"/>
        <w:adjustRightInd w:val="0"/>
        <w:ind w:left="851"/>
        <w:rPr>
          <w:u w:val="single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Særlige advarsler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Virkningen af og doseringsregimet for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hos immunkompromitterede patienter i behandling for </w:t>
      </w:r>
      <w:proofErr w:type="spellStart"/>
      <w:r w:rsidRPr="00D94A5A">
        <w:rPr>
          <w:sz w:val="24"/>
          <w:szCs w:val="24"/>
        </w:rPr>
        <w:t>intestinal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strongyloidiasis</w:t>
      </w:r>
      <w:proofErr w:type="spellEnd"/>
      <w:r w:rsidRPr="00D94A5A">
        <w:rPr>
          <w:sz w:val="24"/>
          <w:szCs w:val="24"/>
        </w:rPr>
        <w:t xml:space="preserve"> er ikke klarlagt i adækvate kliniske studier. Der er rapporteret om tilfælde af persisterende </w:t>
      </w:r>
      <w:proofErr w:type="spellStart"/>
      <w:r w:rsidRPr="00D94A5A">
        <w:rPr>
          <w:sz w:val="24"/>
          <w:szCs w:val="24"/>
        </w:rPr>
        <w:t>infestation</w:t>
      </w:r>
      <w:proofErr w:type="spellEnd"/>
      <w:r w:rsidRPr="00D94A5A">
        <w:rPr>
          <w:sz w:val="24"/>
          <w:szCs w:val="24"/>
        </w:rPr>
        <w:t xml:space="preserve"> efter en enkelt dosis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>, især hos denne type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ikke en profylaktisk behandling for infektion med filarier eller </w:t>
      </w:r>
      <w:proofErr w:type="spellStart"/>
      <w:r w:rsidRPr="00D94A5A">
        <w:rPr>
          <w:sz w:val="24"/>
          <w:szCs w:val="24"/>
        </w:rPr>
        <w:t>anguillulosis</w:t>
      </w:r>
      <w:proofErr w:type="spellEnd"/>
      <w:r w:rsidRPr="00D94A5A">
        <w:rPr>
          <w:sz w:val="24"/>
          <w:szCs w:val="24"/>
        </w:rPr>
        <w:t xml:space="preserve">; der foreligger ingen data, der dokumenterer, at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effektivt med hensyn til at dræbe eller forebygge kønsmodning af infektiøse larver hos mennesker.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mod voksne orme af nogen </w:t>
      </w:r>
      <w:proofErr w:type="spellStart"/>
      <w:r w:rsidRPr="00D94A5A">
        <w:rPr>
          <w:sz w:val="24"/>
          <w:szCs w:val="24"/>
        </w:rPr>
        <w:t>filariearter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ikke påvist nogen gavnlig virkning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på tropisk </w:t>
      </w:r>
      <w:proofErr w:type="spellStart"/>
      <w:r w:rsidRPr="00D94A5A">
        <w:rPr>
          <w:sz w:val="24"/>
          <w:szCs w:val="24"/>
        </w:rPr>
        <w:t>pulmonal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eosinofili</w:t>
      </w:r>
      <w:proofErr w:type="spellEnd"/>
      <w:r w:rsidRPr="00D94A5A">
        <w:rPr>
          <w:sz w:val="24"/>
          <w:szCs w:val="24"/>
        </w:rPr>
        <w:t xml:space="preserve">, </w:t>
      </w:r>
      <w:proofErr w:type="spellStart"/>
      <w:r w:rsidRPr="00D94A5A">
        <w:rPr>
          <w:sz w:val="24"/>
          <w:szCs w:val="24"/>
        </w:rPr>
        <w:t>lymfadenitis</w:t>
      </w:r>
      <w:proofErr w:type="spellEnd"/>
      <w:r w:rsidRPr="00D94A5A">
        <w:rPr>
          <w:sz w:val="24"/>
          <w:szCs w:val="24"/>
        </w:rPr>
        <w:t xml:space="preserve"> eller </w:t>
      </w:r>
      <w:proofErr w:type="spellStart"/>
      <w:r w:rsidRPr="00D94A5A">
        <w:rPr>
          <w:sz w:val="24"/>
          <w:szCs w:val="24"/>
        </w:rPr>
        <w:t>lymfangitis</w:t>
      </w:r>
      <w:proofErr w:type="spellEnd"/>
      <w:r w:rsidRPr="00D94A5A">
        <w:rPr>
          <w:sz w:val="24"/>
          <w:szCs w:val="24"/>
        </w:rPr>
        <w:t xml:space="preserve"> i tilfælde af infektion med filarier.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Efter administration af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er intensiteten og sværhedsgraden af bivirkninger sandsynligvis relateret til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inden behandlingen, især i blodet. Hos patienter med samtidig infektion med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sz w:val="24"/>
          <w:szCs w:val="24"/>
        </w:rPr>
        <w:t xml:space="preserve">, er densiteten af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>, især i blodet, oftest høj, hvilket prædisponerer de behandlede patienter for en øget risiko for alvorlige bivirkninger.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>Der er i sjældne tilfælde rapporteret om CNS-bivirkninger (</w:t>
      </w:r>
      <w:proofErr w:type="spellStart"/>
      <w:r w:rsidRPr="00D94A5A">
        <w:rPr>
          <w:sz w:val="24"/>
          <w:szCs w:val="24"/>
        </w:rPr>
        <w:t>encefalopatier</w:t>
      </w:r>
      <w:proofErr w:type="spellEnd"/>
      <w:r w:rsidRPr="00D94A5A">
        <w:rPr>
          <w:sz w:val="24"/>
          <w:szCs w:val="24"/>
        </w:rPr>
        <w:t xml:space="preserve">) hos patienter i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, der samtidigt var inficeret med et stort antal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 af typen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 xml:space="preserve">. </w:t>
      </w:r>
      <w:r w:rsidRPr="00D94A5A">
        <w:rPr>
          <w:sz w:val="24"/>
          <w:szCs w:val="24"/>
        </w:rPr>
        <w:t xml:space="preserve">Der skal derfor tages særlige forholdsregler inden behandling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</w:t>
      </w:r>
      <w:r w:rsidRPr="00D94A5A">
        <w:rPr>
          <w:sz w:val="24"/>
          <w:szCs w:val="24"/>
        </w:rPr>
        <w:t>a</w:t>
      </w:r>
      <w:proofErr w:type="spellEnd"/>
      <w:r w:rsidRPr="00D94A5A">
        <w:rPr>
          <w:sz w:val="24"/>
          <w:szCs w:val="24"/>
        </w:rPr>
        <w:t>-endemiske områder (se pkt. 4.8).</w:t>
      </w:r>
    </w:p>
    <w:p w:rsidR="00CA1AE2" w:rsidRDefault="00CA1AE2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CA1AE2" w:rsidRDefault="00CA1AE2" w:rsidP="00CA1AE2">
      <w:pPr>
        <w:autoSpaceDE w:val="0"/>
        <w:autoSpaceDN w:val="0"/>
        <w:adjustRightInd w:val="0"/>
        <w:ind w:left="851"/>
        <w:rPr>
          <w:iCs/>
          <w:sz w:val="24"/>
          <w:szCs w:val="24"/>
        </w:rPr>
      </w:pPr>
      <w:r>
        <w:rPr>
          <w:sz w:val="24"/>
          <w:szCs w:val="24"/>
        </w:rPr>
        <w:t xml:space="preserve">Der er rapporteret om tilfælde af </w:t>
      </w:r>
      <w:proofErr w:type="spellStart"/>
      <w:r>
        <w:rPr>
          <w:sz w:val="24"/>
          <w:szCs w:val="24"/>
        </w:rPr>
        <w:t>neurotoksicitet</w:t>
      </w:r>
      <w:proofErr w:type="spellEnd"/>
      <w:r>
        <w:rPr>
          <w:sz w:val="24"/>
          <w:szCs w:val="24"/>
        </w:rPr>
        <w:t xml:space="preserve">, såsom bevidsthedstab og koma, i forbindelse med brug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 hos patienter uden infektion med</w:t>
      </w:r>
      <w:r>
        <w:rPr>
          <w:i/>
          <w:sz w:val="24"/>
          <w:szCs w:val="24"/>
        </w:rPr>
        <w:t xml:space="preserve"> Loa </w:t>
      </w:r>
      <w:proofErr w:type="spellStart"/>
      <w:r>
        <w:rPr>
          <w:i/>
          <w:sz w:val="24"/>
          <w:szCs w:val="24"/>
        </w:rPr>
        <w:t>loa</w:t>
      </w:r>
      <w:proofErr w:type="spellEnd"/>
      <w:r>
        <w:rPr>
          <w:i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Alvorlige neurologiske bivirkninger under behandling med </w:t>
      </w:r>
      <w:proofErr w:type="spellStart"/>
      <w:r>
        <w:rPr>
          <w:iCs/>
          <w:sz w:val="24"/>
          <w:szCs w:val="24"/>
        </w:rPr>
        <w:t>ivermectin</w:t>
      </w:r>
      <w:proofErr w:type="spellEnd"/>
      <w:r>
        <w:rPr>
          <w:iCs/>
          <w:sz w:val="24"/>
          <w:szCs w:val="24"/>
        </w:rPr>
        <w:t xml:space="preserve"> er primært blevet indberettet i tilfælde med overdosering. Disse reaktioner er som regel forsvundet med understøttende behandling og </w:t>
      </w:r>
      <w:proofErr w:type="spellStart"/>
      <w:r>
        <w:rPr>
          <w:iCs/>
          <w:sz w:val="24"/>
          <w:szCs w:val="24"/>
        </w:rPr>
        <w:t>seponering</w:t>
      </w:r>
      <w:proofErr w:type="spellEnd"/>
      <w:r>
        <w:rPr>
          <w:iCs/>
          <w:sz w:val="24"/>
          <w:szCs w:val="24"/>
        </w:rPr>
        <w:t xml:space="preserve"> af </w:t>
      </w:r>
      <w:proofErr w:type="spellStart"/>
      <w:r>
        <w:rPr>
          <w:iCs/>
          <w:sz w:val="24"/>
          <w:szCs w:val="24"/>
        </w:rPr>
        <w:t>ivermectin</w:t>
      </w:r>
      <w:proofErr w:type="spellEnd"/>
      <w:r>
        <w:rPr>
          <w:iCs/>
          <w:sz w:val="24"/>
          <w:szCs w:val="24"/>
        </w:rPr>
        <w:t xml:space="preserve"> (se pkt. 4.8 og 4.9). Begrænsede data tyder på, at risikoen for </w:t>
      </w:r>
      <w:proofErr w:type="spellStart"/>
      <w:r>
        <w:rPr>
          <w:iCs/>
          <w:sz w:val="24"/>
          <w:szCs w:val="24"/>
        </w:rPr>
        <w:t>neurotoksiske</w:t>
      </w:r>
      <w:proofErr w:type="spellEnd"/>
      <w:r>
        <w:rPr>
          <w:iCs/>
          <w:sz w:val="24"/>
          <w:szCs w:val="24"/>
        </w:rPr>
        <w:t xml:space="preserve"> virkninger kan være forhøjet hos patienter med nedsat P-</w:t>
      </w:r>
      <w:proofErr w:type="spellStart"/>
      <w:r>
        <w:rPr>
          <w:iCs/>
          <w:sz w:val="24"/>
          <w:szCs w:val="24"/>
        </w:rPr>
        <w:t>glykoprotein</w:t>
      </w:r>
      <w:proofErr w:type="spellEnd"/>
      <w:r>
        <w:rPr>
          <w:iCs/>
          <w:sz w:val="24"/>
          <w:szCs w:val="24"/>
        </w:rPr>
        <w:t>-aktivitet, f.eks. funktionstabsmutation i ABCB1-genet (MDR1).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Samtidig behandling med </w:t>
      </w:r>
      <w:proofErr w:type="spellStart"/>
      <w:r w:rsidRPr="00D94A5A">
        <w:rPr>
          <w:sz w:val="24"/>
          <w:szCs w:val="24"/>
        </w:rPr>
        <w:t>diethylcarbamazincitrat</w:t>
      </w:r>
      <w:proofErr w:type="spellEnd"/>
      <w:r w:rsidRPr="00D94A5A">
        <w:rPr>
          <w:sz w:val="24"/>
          <w:szCs w:val="24"/>
        </w:rPr>
        <w:t xml:space="preserve"> (DEC) og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i forbindelse med kemoterapeutisk massebehandling for </w:t>
      </w:r>
      <w:proofErr w:type="spellStart"/>
      <w:r w:rsidRPr="00D94A5A">
        <w:rPr>
          <w:sz w:val="24"/>
          <w:szCs w:val="24"/>
        </w:rPr>
        <w:t>filariasis</w:t>
      </w:r>
      <w:proofErr w:type="spellEnd"/>
      <w:r w:rsidRPr="00D94A5A">
        <w:rPr>
          <w:sz w:val="24"/>
          <w:szCs w:val="24"/>
        </w:rPr>
        <w:t xml:space="preserve"> forårsaget af </w:t>
      </w:r>
      <w:proofErr w:type="spellStart"/>
      <w:r w:rsidRPr="00D94A5A">
        <w:rPr>
          <w:i/>
          <w:sz w:val="24"/>
          <w:szCs w:val="24"/>
        </w:rPr>
        <w:t>Wuchereria</w:t>
      </w:r>
      <w:proofErr w:type="spellEnd"/>
      <w:r w:rsidRPr="00D94A5A">
        <w:rPr>
          <w:i/>
          <w:sz w:val="24"/>
          <w:szCs w:val="24"/>
        </w:rPr>
        <w:t xml:space="preserve"> </w:t>
      </w:r>
      <w:proofErr w:type="spellStart"/>
      <w:r w:rsidRPr="00D94A5A">
        <w:rPr>
          <w:i/>
          <w:sz w:val="24"/>
          <w:szCs w:val="24"/>
        </w:rPr>
        <w:t>Bancrofti</w:t>
      </w:r>
      <w:proofErr w:type="spellEnd"/>
      <w:r w:rsidRPr="00D94A5A">
        <w:rPr>
          <w:sz w:val="24"/>
          <w:szCs w:val="24"/>
        </w:rPr>
        <w:t xml:space="preserve"> i Afrika er frarådet. Samtidig infektion med andre </w:t>
      </w:r>
      <w:proofErr w:type="spellStart"/>
      <w:r w:rsidRPr="00D94A5A">
        <w:rPr>
          <w:sz w:val="24"/>
          <w:szCs w:val="24"/>
        </w:rPr>
        <w:t>mikrofilarier</w:t>
      </w:r>
      <w:proofErr w:type="spellEnd"/>
      <w:r w:rsidRPr="00D94A5A">
        <w:rPr>
          <w:sz w:val="24"/>
          <w:szCs w:val="24"/>
        </w:rPr>
        <w:t xml:space="preserve">, såsom </w:t>
      </w:r>
      <w:r w:rsidRPr="00D94A5A">
        <w:rPr>
          <w:i/>
          <w:sz w:val="24"/>
          <w:szCs w:val="24"/>
        </w:rPr>
        <w:t xml:space="preserve">Loa </w:t>
      </w:r>
      <w:proofErr w:type="spellStart"/>
      <w:r w:rsidRPr="00D94A5A">
        <w:rPr>
          <w:i/>
          <w:sz w:val="24"/>
          <w:szCs w:val="24"/>
        </w:rPr>
        <w:t>loa</w:t>
      </w:r>
      <w:proofErr w:type="spellEnd"/>
      <w:r w:rsidRPr="00D94A5A">
        <w:rPr>
          <w:i/>
          <w:sz w:val="24"/>
          <w:szCs w:val="24"/>
        </w:rPr>
        <w:t>,</w:t>
      </w:r>
      <w:r w:rsidRPr="00D94A5A">
        <w:rPr>
          <w:sz w:val="24"/>
          <w:szCs w:val="24"/>
        </w:rPr>
        <w:t xml:space="preserve"> kan resultere i høj </w:t>
      </w:r>
      <w:proofErr w:type="spellStart"/>
      <w:r w:rsidRPr="00D94A5A">
        <w:rPr>
          <w:sz w:val="24"/>
          <w:szCs w:val="24"/>
        </w:rPr>
        <w:t>mikrofilaræmi</w:t>
      </w:r>
      <w:proofErr w:type="spellEnd"/>
      <w:r w:rsidRPr="00D94A5A">
        <w:rPr>
          <w:sz w:val="24"/>
          <w:szCs w:val="24"/>
        </w:rPr>
        <w:t xml:space="preserve"> hos inficerede patienter.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Systemisk eksponering for DEC hos sådanne patienter kan resultere i alvorlige bivirkninger, der er relateret til lægemidlets hurtige og effektive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Der er rapporteret om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og/eller systemiske reaktioner af varierende sværhedsgrad (</w:t>
      </w:r>
      <w:proofErr w:type="spellStart"/>
      <w:r w:rsidRPr="00D94A5A">
        <w:rPr>
          <w:sz w:val="24"/>
          <w:szCs w:val="24"/>
        </w:rPr>
        <w:t>Mazzotti</w:t>
      </w:r>
      <w:proofErr w:type="spellEnd"/>
      <w:r w:rsidRPr="00D94A5A">
        <w:rPr>
          <w:sz w:val="24"/>
          <w:szCs w:val="24"/>
        </w:rPr>
        <w:t xml:space="preserve">-reaktion) og oftalmologiske reaktioner efter administration af lægemidler med hurtig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virkning, såsom DEC, hos patienter med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>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Disse reaktioner skyldes sandsynligvis inflammatorisk respons på nedbrydningsprodukter, der frigives efter </w:t>
      </w:r>
      <w:proofErr w:type="spellStart"/>
      <w:r w:rsidRPr="00D94A5A">
        <w:rPr>
          <w:sz w:val="24"/>
          <w:szCs w:val="24"/>
        </w:rPr>
        <w:t>mikrofilariernes</w:t>
      </w:r>
      <w:proofErr w:type="spellEnd"/>
      <w:r w:rsidRPr="00D94A5A">
        <w:rPr>
          <w:sz w:val="24"/>
          <w:szCs w:val="24"/>
        </w:rPr>
        <w:t xml:space="preserve"> død.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94A5A">
        <w:rPr>
          <w:sz w:val="24"/>
          <w:szCs w:val="24"/>
        </w:rPr>
        <w:t xml:space="preserve">Patienter, der bliver behandlet med </w:t>
      </w:r>
      <w:proofErr w:type="spellStart"/>
      <w:r w:rsidRPr="00D94A5A">
        <w:rPr>
          <w:sz w:val="24"/>
          <w:szCs w:val="24"/>
        </w:rPr>
        <w:t>ivermectin</w:t>
      </w:r>
      <w:proofErr w:type="spellEnd"/>
      <w:r w:rsidRPr="00D94A5A">
        <w:rPr>
          <w:sz w:val="24"/>
          <w:szCs w:val="24"/>
        </w:rPr>
        <w:t xml:space="preserve"> for </w:t>
      </w:r>
      <w:proofErr w:type="spellStart"/>
      <w:r w:rsidRPr="00D94A5A">
        <w:rPr>
          <w:sz w:val="24"/>
          <w:szCs w:val="24"/>
        </w:rPr>
        <w:t>onchocerciasis</w:t>
      </w:r>
      <w:proofErr w:type="spellEnd"/>
      <w:r w:rsidRPr="00D94A5A">
        <w:rPr>
          <w:sz w:val="24"/>
          <w:szCs w:val="24"/>
        </w:rPr>
        <w:t xml:space="preserve">, kan også opleve disse reaktioner, når de bliver behandlet for første gang. Efter behandling med et </w:t>
      </w:r>
      <w:proofErr w:type="spellStart"/>
      <w:r w:rsidRPr="00D94A5A">
        <w:rPr>
          <w:sz w:val="24"/>
          <w:szCs w:val="24"/>
        </w:rPr>
        <w:t>mikrofilariedræbende</w:t>
      </w:r>
      <w:proofErr w:type="spellEnd"/>
      <w:r w:rsidRPr="00D94A5A">
        <w:rPr>
          <w:sz w:val="24"/>
          <w:szCs w:val="24"/>
        </w:rPr>
        <w:t xml:space="preserve"> lægemiddel kan patienter med </w:t>
      </w:r>
      <w:proofErr w:type="spellStart"/>
      <w:r w:rsidRPr="00D94A5A">
        <w:rPr>
          <w:sz w:val="24"/>
          <w:szCs w:val="24"/>
        </w:rPr>
        <w:t>hyperreaktiv</w:t>
      </w:r>
      <w:proofErr w:type="spellEnd"/>
      <w:r w:rsidRPr="00D94A5A">
        <w:rPr>
          <w:sz w:val="24"/>
          <w:szCs w:val="24"/>
        </w:rPr>
        <w:t xml:space="preserve">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 xml:space="preserve"> eller </w:t>
      </w:r>
      <w:r w:rsidRPr="00D94A5A">
        <w:rPr>
          <w:sz w:val="24"/>
          <w:szCs w:val="24"/>
          <w:cs/>
        </w:rPr>
        <w:t>”</w:t>
      </w:r>
      <w:r w:rsidRPr="00D94A5A">
        <w:rPr>
          <w:sz w:val="24"/>
          <w:szCs w:val="24"/>
        </w:rPr>
        <w:t>Sowda</w:t>
      </w:r>
      <w:r w:rsidRPr="00D94A5A">
        <w:rPr>
          <w:sz w:val="24"/>
          <w:szCs w:val="24"/>
          <w:cs/>
        </w:rPr>
        <w:t xml:space="preserve">” </w:t>
      </w:r>
      <w:r w:rsidRPr="00D94A5A">
        <w:rPr>
          <w:sz w:val="24"/>
          <w:szCs w:val="24"/>
        </w:rPr>
        <w:t xml:space="preserve">(ses især i Yemen) have større risiko end andre for at opleve svære </w:t>
      </w:r>
      <w:proofErr w:type="spellStart"/>
      <w:r w:rsidRPr="00D94A5A">
        <w:rPr>
          <w:sz w:val="24"/>
          <w:szCs w:val="24"/>
        </w:rPr>
        <w:t>kutane</w:t>
      </w:r>
      <w:proofErr w:type="spellEnd"/>
      <w:r w:rsidRPr="00D94A5A">
        <w:rPr>
          <w:sz w:val="24"/>
          <w:szCs w:val="24"/>
        </w:rPr>
        <w:t xml:space="preserve"> bivirkninger (ødemer og forværring af </w:t>
      </w:r>
      <w:proofErr w:type="spellStart"/>
      <w:r w:rsidRPr="00D94A5A">
        <w:rPr>
          <w:sz w:val="24"/>
          <w:szCs w:val="24"/>
        </w:rPr>
        <w:t>onchodermatitis</w:t>
      </w:r>
      <w:proofErr w:type="spellEnd"/>
      <w:r w:rsidRPr="00D94A5A">
        <w:rPr>
          <w:sz w:val="24"/>
          <w:szCs w:val="24"/>
        </w:rPr>
        <w:t>).</w:t>
      </w: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232DDC" w:rsidRPr="00D94A5A" w:rsidRDefault="00232DDC" w:rsidP="00232DDC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</w:rPr>
      </w:pPr>
      <w:r w:rsidRPr="00D94A5A">
        <w:rPr>
          <w:sz w:val="24"/>
          <w:szCs w:val="24"/>
          <w:u w:val="single"/>
        </w:rPr>
        <w:t>Pædiatrisk population</w:t>
      </w:r>
    </w:p>
    <w:p w:rsidR="00232DDC" w:rsidRPr="00D94A5A" w:rsidRDefault="00232DDC" w:rsidP="00232DDC">
      <w:pPr>
        <w:ind w:left="851"/>
        <w:rPr>
          <w:sz w:val="24"/>
          <w:szCs w:val="24"/>
          <w:u w:val="single"/>
        </w:rPr>
      </w:pPr>
      <w:r w:rsidRPr="00D94A5A">
        <w:rPr>
          <w:sz w:val="24"/>
          <w:szCs w:val="24"/>
        </w:rPr>
        <w:t>Sikkerheden hos pædiatriske patienter, der vejer mindre end 15 kg, er ikke klarlagt.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4.5</w:t>
      </w:r>
      <w:r w:rsidRPr="001B7467">
        <w:rPr>
          <w:b/>
          <w:sz w:val="24"/>
          <w:szCs w:val="24"/>
        </w:rPr>
        <w:tab/>
        <w:t>Interaktion med andre lægemidler og andre former for interaktion</w:t>
      </w:r>
    </w:p>
    <w:p w:rsidR="00232DDC" w:rsidRPr="004B0D36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B0D36">
        <w:rPr>
          <w:sz w:val="24"/>
          <w:szCs w:val="24"/>
        </w:rPr>
        <w:t>Der er ikke udført interaktionsstudier.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232DDC" w:rsidRPr="00341255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Graviditet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Data om en massebehandling af </w:t>
      </w:r>
      <w:proofErr w:type="spellStart"/>
      <w:r w:rsidRPr="00145A41">
        <w:rPr>
          <w:sz w:val="24"/>
          <w:szCs w:val="24"/>
        </w:rPr>
        <w:t>onchocerciasis</w:t>
      </w:r>
      <w:proofErr w:type="spellEnd"/>
      <w:r w:rsidRPr="00145A41">
        <w:rPr>
          <w:sz w:val="24"/>
          <w:szCs w:val="24"/>
        </w:rPr>
        <w:t xml:space="preserve"> hos et begrænset antal (cirka 300) gravide kvinder viste ingen bivirkninger, såsom medfødte misdannelser, spontan abort, dødfødsler eller spædbørnsmortalitet, som kunne være forbundet med </w:t>
      </w:r>
      <w:proofErr w:type="spellStart"/>
      <w:r w:rsidRPr="00145A41">
        <w:rPr>
          <w:sz w:val="24"/>
          <w:szCs w:val="24"/>
        </w:rPr>
        <w:t>ivermectinbehandling</w:t>
      </w:r>
      <w:proofErr w:type="spellEnd"/>
      <w:r w:rsidRPr="00145A41">
        <w:rPr>
          <w:sz w:val="24"/>
          <w:szCs w:val="24"/>
        </w:rPr>
        <w:t xml:space="preserve"> i første </w:t>
      </w:r>
      <w:proofErr w:type="spellStart"/>
      <w:r w:rsidRPr="00145A41">
        <w:rPr>
          <w:sz w:val="24"/>
          <w:szCs w:val="24"/>
        </w:rPr>
        <w:t>graviditetstrimester</w:t>
      </w:r>
      <w:proofErr w:type="spellEnd"/>
      <w:r w:rsidRPr="00145A41">
        <w:rPr>
          <w:sz w:val="24"/>
          <w:szCs w:val="24"/>
        </w:rPr>
        <w:t>. Der foreligger ingen andre epidemiologiske data på nuværende tidspunkt.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>Dyreforsøg har påvist reproduktionstoksicitet (se pkt. 5.3); den prædiktive værdi af disse observationer er imidlertid ikke klarlagt.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bør kun anvendes på tvingende indikation.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Amning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Mindre end 2 % af den indgivne dosis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går over i brystmælken.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145A41">
        <w:rPr>
          <w:sz w:val="24"/>
          <w:szCs w:val="24"/>
        </w:rPr>
        <w:t xml:space="preserve">Sikkerheden hos nyfødte spædbørn er ikke klarlagt. </w:t>
      </w: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må kun anvendes hos ammende mødre, hvis den forventede fordel opvejer den potentielle risiko for spædbarnet.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5A41">
        <w:rPr>
          <w:sz w:val="24"/>
          <w:szCs w:val="24"/>
          <w:u w:val="single"/>
        </w:rPr>
        <w:t>Fertilitet</w:t>
      </w:r>
    </w:p>
    <w:p w:rsidR="00232DDC" w:rsidRPr="00145A4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45A41">
        <w:rPr>
          <w:sz w:val="24"/>
          <w:szCs w:val="24"/>
        </w:rPr>
        <w:t>Ivermectin</w:t>
      </w:r>
      <w:proofErr w:type="spellEnd"/>
      <w:r w:rsidRPr="00145A41">
        <w:rPr>
          <w:sz w:val="24"/>
          <w:szCs w:val="24"/>
        </w:rPr>
        <w:t xml:space="preserve"> havde ingen negativ indvirkning på frugtbarheden hos rotter i doser, der var op til 3 gange højere end den højeste anbefalede dosis til mennesker på 200 </w:t>
      </w:r>
      <w:proofErr w:type="spellStart"/>
      <w:r w:rsidRPr="00145A41">
        <w:rPr>
          <w:sz w:val="24"/>
          <w:szCs w:val="24"/>
        </w:rPr>
        <w:t>μg</w:t>
      </w:r>
      <w:proofErr w:type="spellEnd"/>
      <w:r w:rsidRPr="00145A41">
        <w:rPr>
          <w:sz w:val="24"/>
          <w:szCs w:val="24"/>
        </w:rPr>
        <w:t>/kg (på basis af mg/m</w:t>
      </w:r>
      <w:r w:rsidRPr="00145A41">
        <w:rPr>
          <w:sz w:val="24"/>
          <w:szCs w:val="24"/>
          <w:vertAlign w:val="superscript"/>
        </w:rPr>
        <w:t>2/</w:t>
      </w:r>
      <w:r w:rsidRPr="00145A41">
        <w:rPr>
          <w:sz w:val="24"/>
          <w:szCs w:val="24"/>
        </w:rPr>
        <w:t>dag).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232DDC" w:rsidRPr="004A67C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A67C7">
        <w:rPr>
          <w:sz w:val="24"/>
          <w:szCs w:val="24"/>
        </w:rPr>
        <w:t xml:space="preserve">Det er ikke undersøgt, om </w:t>
      </w:r>
      <w:proofErr w:type="spellStart"/>
      <w:r w:rsidRPr="004A67C7">
        <w:rPr>
          <w:sz w:val="24"/>
          <w:szCs w:val="24"/>
        </w:rPr>
        <w:t>Scatol</w:t>
      </w:r>
      <w:proofErr w:type="spellEnd"/>
      <w:r w:rsidRPr="004A67C7">
        <w:rPr>
          <w:sz w:val="24"/>
          <w:szCs w:val="24"/>
        </w:rPr>
        <w:t xml:space="preserve"> påvirker evnen til at føre motorkøretøj og betjene maskiner. Det kan ikke udelukkes, at nogle patienter vil opleve bivirkninger, såsom svimmelhed, døsighed, </w:t>
      </w:r>
      <w:proofErr w:type="spellStart"/>
      <w:r w:rsidRPr="004A67C7">
        <w:rPr>
          <w:sz w:val="24"/>
          <w:szCs w:val="24"/>
        </w:rPr>
        <w:t>vertigo</w:t>
      </w:r>
      <w:proofErr w:type="spellEnd"/>
      <w:r w:rsidRPr="004A67C7">
        <w:rPr>
          <w:sz w:val="24"/>
          <w:szCs w:val="24"/>
        </w:rPr>
        <w:t xml:space="preserve"> og </w:t>
      </w:r>
      <w:proofErr w:type="spellStart"/>
      <w:r w:rsidRPr="004A67C7">
        <w:rPr>
          <w:sz w:val="24"/>
          <w:szCs w:val="24"/>
        </w:rPr>
        <w:t>tremor</w:t>
      </w:r>
      <w:proofErr w:type="spellEnd"/>
      <w:r w:rsidRPr="004A67C7">
        <w:rPr>
          <w:sz w:val="24"/>
          <w:szCs w:val="24"/>
        </w:rPr>
        <w:t>, som kan påvirke evnen til at føre motorkøretøj og betjene maskiner (se pkt. 4.8).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4.8</w:t>
      </w:r>
      <w:r w:rsidRPr="001B7467">
        <w:rPr>
          <w:b/>
          <w:sz w:val="24"/>
          <w:szCs w:val="24"/>
        </w:rPr>
        <w:tab/>
        <w:t>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leverforstyrrelser inklusive akut hepatitis, øgede leverenzymer, </w:t>
      </w:r>
      <w:proofErr w:type="spellStart"/>
      <w:r w:rsidRPr="0045009D">
        <w:rPr>
          <w:szCs w:val="24"/>
        </w:rPr>
        <w:t>hyperbilirubinæmi</w:t>
      </w:r>
      <w:proofErr w:type="spellEnd"/>
      <w:r w:rsidRPr="0045009D">
        <w:rPr>
          <w:szCs w:val="24"/>
        </w:rPr>
        <w:t xml:space="preserve"> og hæmaturi.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I meget sjældne tilfælde er der også rapporteret om toksisk </w:t>
      </w:r>
      <w:proofErr w:type="spellStart"/>
      <w:r w:rsidRPr="0045009D">
        <w:rPr>
          <w:szCs w:val="24"/>
        </w:rPr>
        <w:t>epidermal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nekrolyse</w:t>
      </w:r>
      <w:proofErr w:type="spellEnd"/>
      <w:r w:rsidRPr="0045009D">
        <w:rPr>
          <w:szCs w:val="24"/>
        </w:rPr>
        <w:t xml:space="preserve"> og Stevens-Johnsons syndrom.</w:t>
      </w:r>
    </w:p>
    <w:p w:rsidR="00CA1AE2" w:rsidRDefault="00CA1AE2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CA1AE2" w:rsidRDefault="00CA1AE2" w:rsidP="00CA1AE2">
      <w:pPr>
        <w:pStyle w:val="Sidehoved"/>
        <w:tabs>
          <w:tab w:val="left" w:pos="851"/>
        </w:tabs>
        <w:ind w:left="851"/>
        <w:rPr>
          <w:szCs w:val="24"/>
        </w:rPr>
      </w:pPr>
      <w:r>
        <w:rPr>
          <w:szCs w:val="24"/>
        </w:rPr>
        <w:t xml:space="preserve">Der er rapporteret om tilfælde af </w:t>
      </w:r>
      <w:proofErr w:type="spellStart"/>
      <w:r>
        <w:rPr>
          <w:szCs w:val="24"/>
        </w:rPr>
        <w:t>neurotoksicitet</w:t>
      </w:r>
      <w:proofErr w:type="spellEnd"/>
      <w:r>
        <w:rPr>
          <w:szCs w:val="24"/>
        </w:rPr>
        <w:t>, såsom bevidsthedssvækkelse og koma (se pkt. 4.4 og 4.9).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Bivirkningerne er relateret til parasitdensiteten og er i de fleste tilfælde milde og forbigående, men sværhedsgraden kan være øget hos patienter, der er inficeret med mere end én parasit, især i tilfælde af </w:t>
      </w:r>
      <w:proofErr w:type="spellStart"/>
      <w:r w:rsidRPr="0045009D">
        <w:rPr>
          <w:szCs w:val="24"/>
        </w:rPr>
        <w:t>infestation</w:t>
      </w:r>
      <w:proofErr w:type="spellEnd"/>
      <w:r w:rsidRPr="0045009D">
        <w:rPr>
          <w:szCs w:val="24"/>
        </w:rPr>
        <w:t xml:space="preserve">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sjældne, svære og potentielt fatale tilfælde af encefalopati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, især hos patienter, der også var svært inficeret med </w:t>
      </w:r>
      <w:r w:rsidRPr="0045009D">
        <w:rPr>
          <w:i/>
          <w:szCs w:val="24"/>
        </w:rPr>
        <w:t xml:space="preserve">Loa </w:t>
      </w:r>
      <w:proofErr w:type="spellStart"/>
      <w:r w:rsidRPr="0045009D">
        <w:rPr>
          <w:i/>
          <w:szCs w:val="24"/>
        </w:rPr>
        <w:t>loa</w:t>
      </w:r>
      <w:proofErr w:type="spellEnd"/>
      <w:r w:rsidRPr="0045009D">
        <w:rPr>
          <w:szCs w:val="24"/>
        </w:rPr>
        <w:t xml:space="preserve">. Hos sådanne patienter er der også rapporteret om følgende bivirkninger: ryg- eller nakkesmerter, </w:t>
      </w:r>
      <w:proofErr w:type="spellStart"/>
      <w:r w:rsidRPr="0045009D">
        <w:rPr>
          <w:szCs w:val="24"/>
        </w:rPr>
        <w:t>okulær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hyperæmi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subkonjunktival</w:t>
      </w:r>
      <w:proofErr w:type="spellEnd"/>
      <w:r w:rsidRPr="0045009D">
        <w:rPr>
          <w:szCs w:val="24"/>
        </w:rPr>
        <w:t xml:space="preserve"> blødning, dyspnø, urin- og/eller afføringsinkontinens, problemer med at stå/gå, ændringer i mental status, konfusion, letargi, </w:t>
      </w:r>
      <w:proofErr w:type="spellStart"/>
      <w:r w:rsidRPr="0045009D">
        <w:rPr>
          <w:szCs w:val="24"/>
        </w:rPr>
        <w:t>stupor</w:t>
      </w:r>
      <w:proofErr w:type="spellEnd"/>
      <w:r w:rsidRPr="0045009D">
        <w:rPr>
          <w:szCs w:val="24"/>
        </w:rPr>
        <w:t xml:space="preserve"> eller koma (se pkt. 4.4).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patienter, der fik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til behandling af </w:t>
      </w:r>
      <w:proofErr w:type="spellStart"/>
      <w:r w:rsidRPr="0045009D">
        <w:rPr>
          <w:szCs w:val="24"/>
        </w:rPr>
        <w:t>strongyloidiasis</w:t>
      </w:r>
      <w:proofErr w:type="spellEnd"/>
      <w:r w:rsidRPr="0045009D">
        <w:rPr>
          <w:szCs w:val="24"/>
        </w:rPr>
        <w:t xml:space="preserve">, er der rapporteret om følgende bivirkninger: asteni, mavesmerter, anoreksi, obstipation, diarré, kvalme, opkastning, svimmelhed, døsighed,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tremor</w:t>
      </w:r>
      <w:proofErr w:type="spellEnd"/>
      <w:r w:rsidRPr="0045009D">
        <w:rPr>
          <w:szCs w:val="24"/>
        </w:rPr>
        <w:t xml:space="preserve">, forbigående </w:t>
      </w:r>
      <w:proofErr w:type="spellStart"/>
      <w:r w:rsidRPr="0045009D">
        <w:rPr>
          <w:szCs w:val="24"/>
        </w:rPr>
        <w:t>hypereosinofili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leukopeni</w:t>
      </w:r>
      <w:proofErr w:type="spellEnd"/>
      <w:r w:rsidRPr="0045009D">
        <w:rPr>
          <w:szCs w:val="24"/>
        </w:rPr>
        <w:t xml:space="preserve">/anæmi og øget ALAT/basisk fosfatase. Ved behandling af </w:t>
      </w:r>
      <w:proofErr w:type="spellStart"/>
      <w:r w:rsidRPr="0045009D">
        <w:rPr>
          <w:szCs w:val="24"/>
        </w:rPr>
        <w:t>filariasis</w:t>
      </w:r>
      <w:proofErr w:type="spellEnd"/>
      <w:r w:rsidRPr="0045009D">
        <w:rPr>
          <w:szCs w:val="24"/>
        </w:rPr>
        <w:t xml:space="preserve"> på grund af </w:t>
      </w:r>
      <w:proofErr w:type="spellStart"/>
      <w:r w:rsidRPr="0045009D">
        <w:rPr>
          <w:i/>
          <w:szCs w:val="24"/>
        </w:rPr>
        <w:t>Wuchereria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bancrofti</w:t>
      </w:r>
      <w:proofErr w:type="spellEnd"/>
      <w:r w:rsidRPr="0045009D">
        <w:rPr>
          <w:i/>
          <w:szCs w:val="24"/>
        </w:rPr>
        <w:t xml:space="preserve"> </w:t>
      </w:r>
      <w:r w:rsidRPr="0045009D">
        <w:rPr>
          <w:szCs w:val="24"/>
        </w:rPr>
        <w:t xml:space="preserve">er intensiteten af bivirkninger tilsyneladende ikke dosisafhængig, men relateret til densiteten af </w:t>
      </w:r>
      <w:proofErr w:type="spellStart"/>
      <w:r w:rsidRPr="0045009D">
        <w:rPr>
          <w:szCs w:val="24"/>
        </w:rPr>
        <w:t>mikrofilarier</w:t>
      </w:r>
      <w:proofErr w:type="spellEnd"/>
      <w:r w:rsidRPr="0045009D">
        <w:rPr>
          <w:szCs w:val="24"/>
        </w:rPr>
        <w:t xml:space="preserve"> i blodet. Der er rapporteret om følgende: feber, hovedpine, asteni, svaghed, myalgi,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diffuse smerter, fordøjelsesproblemer såsom anoreksi, kvalme, </w:t>
      </w:r>
      <w:proofErr w:type="spellStart"/>
      <w:r w:rsidRPr="0045009D">
        <w:rPr>
          <w:szCs w:val="24"/>
        </w:rPr>
        <w:t>abdominale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epigastriske</w:t>
      </w:r>
      <w:proofErr w:type="spellEnd"/>
      <w:r w:rsidRPr="0045009D">
        <w:rPr>
          <w:szCs w:val="24"/>
        </w:rPr>
        <w:t xml:space="preserve"> smerter, hoste, gener i forbindelse med vejrtrækning, ømhed i halsen,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kulderystelser,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profus sveden, </w:t>
      </w:r>
      <w:proofErr w:type="spellStart"/>
      <w:r w:rsidRPr="0045009D">
        <w:rPr>
          <w:szCs w:val="24"/>
        </w:rPr>
        <w:t>testikulære</w:t>
      </w:r>
      <w:proofErr w:type="spellEnd"/>
      <w:r w:rsidRPr="0045009D">
        <w:rPr>
          <w:szCs w:val="24"/>
        </w:rPr>
        <w:t xml:space="preserve"> smerter eller gener.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 xml:space="preserve"> hos patienter, der var inficeret med </w:t>
      </w:r>
      <w:proofErr w:type="spellStart"/>
      <w:r w:rsidRPr="0045009D">
        <w:rPr>
          <w:i/>
          <w:szCs w:val="24"/>
        </w:rPr>
        <w:t>Onchocerca</w:t>
      </w:r>
      <w:proofErr w:type="spellEnd"/>
      <w:r w:rsidRPr="0045009D">
        <w:rPr>
          <w:i/>
          <w:szCs w:val="24"/>
        </w:rPr>
        <w:t xml:space="preserve"> </w:t>
      </w:r>
      <w:proofErr w:type="spellStart"/>
      <w:r w:rsidRPr="0045009D">
        <w:rPr>
          <w:i/>
          <w:szCs w:val="24"/>
        </w:rPr>
        <w:t>volvulu</w:t>
      </w:r>
      <w:r w:rsidRPr="0045009D">
        <w:rPr>
          <w:szCs w:val="24"/>
        </w:rPr>
        <w:t>s</w:t>
      </w:r>
      <w:proofErr w:type="spellEnd"/>
      <w:r w:rsidRPr="0045009D">
        <w:rPr>
          <w:szCs w:val="24"/>
        </w:rPr>
        <w:t xml:space="preserve">, er der set følgende overfølsomhedsreaktioner af </w:t>
      </w:r>
      <w:proofErr w:type="spellStart"/>
      <w:r w:rsidRPr="0045009D">
        <w:rPr>
          <w:szCs w:val="24"/>
        </w:rPr>
        <w:t>Mazzotti</w:t>
      </w:r>
      <w:proofErr w:type="spellEnd"/>
      <w:r w:rsidRPr="0045009D">
        <w:rPr>
          <w:szCs w:val="24"/>
        </w:rPr>
        <w:t xml:space="preserve">-typen som følge af </w:t>
      </w:r>
      <w:proofErr w:type="spellStart"/>
      <w:r w:rsidRPr="0045009D">
        <w:rPr>
          <w:szCs w:val="24"/>
        </w:rPr>
        <w:t>mikrofilariernes</w:t>
      </w:r>
      <w:proofErr w:type="spellEnd"/>
      <w:r w:rsidRPr="0045009D">
        <w:rPr>
          <w:szCs w:val="24"/>
        </w:rPr>
        <w:t xml:space="preserve"> død: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urtikarielt</w:t>
      </w:r>
      <w:proofErr w:type="spellEnd"/>
      <w:r w:rsidRPr="0045009D">
        <w:rPr>
          <w:szCs w:val="24"/>
        </w:rPr>
        <w:t xml:space="preserve"> udslæt,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artralgi</w:t>
      </w:r>
      <w:proofErr w:type="spellEnd"/>
      <w:r w:rsidRPr="0045009D">
        <w:rPr>
          <w:szCs w:val="24"/>
        </w:rPr>
        <w:t xml:space="preserve">, myalgi (inklusive </w:t>
      </w:r>
      <w:proofErr w:type="spellStart"/>
      <w:r w:rsidRPr="0045009D">
        <w:rPr>
          <w:szCs w:val="24"/>
        </w:rPr>
        <w:t>abdominal</w:t>
      </w:r>
      <w:proofErr w:type="spellEnd"/>
      <w:r w:rsidRPr="0045009D">
        <w:rPr>
          <w:szCs w:val="24"/>
        </w:rPr>
        <w:t xml:space="preserve"> myalgi), feber, ødemer, </w:t>
      </w:r>
      <w:proofErr w:type="spellStart"/>
      <w:r w:rsidRPr="0045009D">
        <w:rPr>
          <w:szCs w:val="24"/>
        </w:rPr>
        <w:t>lymfadenitis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adenopatier</w:t>
      </w:r>
      <w:proofErr w:type="spellEnd"/>
      <w:r w:rsidRPr="0045009D">
        <w:rPr>
          <w:szCs w:val="24"/>
        </w:rPr>
        <w:t xml:space="preserve">, kvalme, opkastning, diarré, </w:t>
      </w:r>
      <w:proofErr w:type="spellStart"/>
      <w:r w:rsidRPr="0045009D">
        <w:rPr>
          <w:szCs w:val="24"/>
        </w:rPr>
        <w:t>ortostatisk</w:t>
      </w:r>
      <w:proofErr w:type="spellEnd"/>
      <w:r w:rsidRPr="0045009D">
        <w:rPr>
          <w:szCs w:val="24"/>
        </w:rPr>
        <w:t xml:space="preserve"> hypotension, </w:t>
      </w:r>
      <w:proofErr w:type="spellStart"/>
      <w:r w:rsidRPr="0045009D">
        <w:rPr>
          <w:szCs w:val="24"/>
        </w:rPr>
        <w:t>vertigo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takykardi</w:t>
      </w:r>
      <w:proofErr w:type="spellEnd"/>
      <w:r w:rsidRPr="0045009D">
        <w:rPr>
          <w:szCs w:val="24"/>
        </w:rPr>
        <w:t xml:space="preserve">, asteni, hovedpine. I sjældne tilfælde har disse symptomer optrådt i svær grad. I nogle få tilfælde er der rapporteret om </w:t>
      </w:r>
      <w:proofErr w:type="spellStart"/>
      <w:r w:rsidRPr="0045009D">
        <w:rPr>
          <w:szCs w:val="24"/>
        </w:rPr>
        <w:t>eksacerbation</w:t>
      </w:r>
      <w:proofErr w:type="spellEnd"/>
      <w:r w:rsidRPr="0045009D">
        <w:rPr>
          <w:szCs w:val="24"/>
        </w:rPr>
        <w:t xml:space="preserve"> af astma. Hos sådanne patienter er der også rapporteret om usædvanlig fornemmelse i øjnene, øjenlågsødem, </w:t>
      </w:r>
      <w:proofErr w:type="spellStart"/>
      <w:r w:rsidRPr="0045009D">
        <w:rPr>
          <w:szCs w:val="24"/>
        </w:rPr>
        <w:t>anterior</w:t>
      </w:r>
      <w:proofErr w:type="spellEnd"/>
      <w:r w:rsidRPr="0045009D">
        <w:rPr>
          <w:szCs w:val="24"/>
        </w:rPr>
        <w:t xml:space="preserve"> </w:t>
      </w:r>
      <w:proofErr w:type="spellStart"/>
      <w:r w:rsidRPr="0045009D">
        <w:rPr>
          <w:szCs w:val="24"/>
        </w:rPr>
        <w:t>uveitis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konjunktivitis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limbitis</w:t>
      </w:r>
      <w:proofErr w:type="spellEnd"/>
      <w:r w:rsidRPr="0045009D">
        <w:rPr>
          <w:szCs w:val="24"/>
        </w:rPr>
        <w:t xml:space="preserve">, </w:t>
      </w:r>
      <w:proofErr w:type="spellStart"/>
      <w:r w:rsidRPr="0045009D">
        <w:rPr>
          <w:szCs w:val="24"/>
        </w:rPr>
        <w:t>keratitis</w:t>
      </w:r>
      <w:proofErr w:type="spellEnd"/>
      <w:r w:rsidRPr="0045009D">
        <w:rPr>
          <w:szCs w:val="24"/>
        </w:rPr>
        <w:t xml:space="preserve"> og </w:t>
      </w:r>
      <w:proofErr w:type="spellStart"/>
      <w:r w:rsidRPr="0045009D">
        <w:rPr>
          <w:szCs w:val="24"/>
        </w:rPr>
        <w:t>chorioretinitis</w:t>
      </w:r>
      <w:proofErr w:type="spellEnd"/>
      <w:r w:rsidRPr="0045009D">
        <w:rPr>
          <w:szCs w:val="24"/>
        </w:rPr>
        <w:t xml:space="preserve"> eller </w:t>
      </w:r>
      <w:proofErr w:type="spellStart"/>
      <w:r w:rsidRPr="0045009D">
        <w:rPr>
          <w:szCs w:val="24"/>
        </w:rPr>
        <w:t>choroiditis</w:t>
      </w:r>
      <w:proofErr w:type="spellEnd"/>
      <w:r w:rsidRPr="0045009D">
        <w:rPr>
          <w:szCs w:val="24"/>
        </w:rPr>
        <w:t xml:space="preserve">. Undertiden er disse manifestationer, som kan skyldes selve sygdommen, også blevet beskrevet efter behandling. De optrådte sjældent i svær grad, og de forsvandt som regel uden </w:t>
      </w:r>
      <w:proofErr w:type="spellStart"/>
      <w:r w:rsidRPr="0045009D">
        <w:rPr>
          <w:szCs w:val="24"/>
        </w:rPr>
        <w:t>kortikosteroidbehandling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rapporteret om </w:t>
      </w:r>
      <w:proofErr w:type="spellStart"/>
      <w:r w:rsidRPr="0045009D">
        <w:rPr>
          <w:szCs w:val="24"/>
        </w:rPr>
        <w:t>konjunktival</w:t>
      </w:r>
      <w:proofErr w:type="spellEnd"/>
      <w:r w:rsidRPr="0045009D">
        <w:rPr>
          <w:szCs w:val="24"/>
        </w:rPr>
        <w:t xml:space="preserve"> blødning hos patienter med </w:t>
      </w:r>
      <w:proofErr w:type="spellStart"/>
      <w:r w:rsidRPr="0045009D">
        <w:rPr>
          <w:szCs w:val="24"/>
        </w:rPr>
        <w:t>onchocerciasis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Der er også rapporteret om udstødelse af voksne </w:t>
      </w:r>
      <w:proofErr w:type="spellStart"/>
      <w:r w:rsidRPr="0045009D">
        <w:rPr>
          <w:i/>
          <w:szCs w:val="24"/>
        </w:rPr>
        <w:t>Ascaris</w:t>
      </w:r>
      <w:proofErr w:type="spellEnd"/>
      <w:r w:rsidRPr="0045009D">
        <w:rPr>
          <w:szCs w:val="24"/>
        </w:rPr>
        <w:t xml:space="preserve"> efter administration af </w:t>
      </w:r>
      <w:proofErr w:type="spellStart"/>
      <w:r w:rsidRPr="0045009D">
        <w:rPr>
          <w:szCs w:val="24"/>
        </w:rPr>
        <w:t>ivermectin</w:t>
      </w:r>
      <w:proofErr w:type="spellEnd"/>
      <w:r w:rsidRPr="0045009D">
        <w:rPr>
          <w:szCs w:val="24"/>
        </w:rPr>
        <w:t>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 xml:space="preserve">Hos patienter med </w:t>
      </w:r>
      <w:proofErr w:type="spellStart"/>
      <w:r w:rsidRPr="0045009D">
        <w:rPr>
          <w:szCs w:val="24"/>
        </w:rPr>
        <w:t>scabies</w:t>
      </w:r>
      <w:proofErr w:type="spellEnd"/>
      <w:r w:rsidRPr="0045009D">
        <w:rPr>
          <w:szCs w:val="24"/>
        </w:rPr>
        <w:t xml:space="preserve"> kan der ses forbigående forværring af </w:t>
      </w:r>
      <w:proofErr w:type="spellStart"/>
      <w:r w:rsidRPr="0045009D">
        <w:rPr>
          <w:szCs w:val="24"/>
        </w:rPr>
        <w:t>pruritus</w:t>
      </w:r>
      <w:proofErr w:type="spellEnd"/>
      <w:r w:rsidRPr="0045009D">
        <w:rPr>
          <w:szCs w:val="24"/>
        </w:rPr>
        <w:t xml:space="preserve"> i starten af behandlingen.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45009D">
        <w:rPr>
          <w:szCs w:val="24"/>
          <w:u w:val="single"/>
        </w:rPr>
        <w:t>Indberetning af formodede bivirkninger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45009D">
        <w:rPr>
          <w:szCs w:val="24"/>
        </w:rPr>
        <w:t>risk</w:t>
      </w:r>
      <w:proofErr w:type="spellEnd"/>
      <w:r w:rsidRPr="0045009D">
        <w:rPr>
          <w:szCs w:val="24"/>
        </w:rPr>
        <w:t xml:space="preserve">-forholdet for lægemidlet. </w:t>
      </w:r>
      <w:r w:rsidR="006F37B1">
        <w:rPr>
          <w:szCs w:val="24"/>
        </w:rPr>
        <w:t>S</w:t>
      </w:r>
      <w:r w:rsidRPr="0045009D">
        <w:rPr>
          <w:szCs w:val="24"/>
        </w:rPr>
        <w:t>undhedsperson</w:t>
      </w:r>
      <w:r w:rsidR="006F37B1">
        <w:rPr>
          <w:szCs w:val="24"/>
        </w:rPr>
        <w:t>er</w:t>
      </w:r>
      <w:r w:rsidRPr="0045009D">
        <w:rPr>
          <w:szCs w:val="24"/>
        </w:rPr>
        <w:t xml:space="preserve"> anmodes om at indberette alle formodede bivirkninger via: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Lægemiddelstyrelsen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Axel Heides Gade 1</w:t>
      </w:r>
    </w:p>
    <w:p w:rsidR="00232DDC" w:rsidRPr="0045009D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45009D">
        <w:rPr>
          <w:szCs w:val="24"/>
        </w:rPr>
        <w:t>DK-2300 København S</w:t>
      </w:r>
    </w:p>
    <w:p w:rsidR="00232DDC" w:rsidRPr="00C8404C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  <w:r w:rsidRPr="00C8404C">
        <w:rPr>
          <w:szCs w:val="24"/>
        </w:rPr>
        <w:t>Websted: www.meldenbivirkning.dk</w:t>
      </w:r>
    </w:p>
    <w:p w:rsidR="00232DDC" w:rsidRPr="001B7467" w:rsidRDefault="00232DDC" w:rsidP="00232DDC">
      <w:pPr>
        <w:pStyle w:val="Sidehoved"/>
        <w:tabs>
          <w:tab w:val="left" w:pos="851"/>
        </w:tabs>
        <w:ind w:left="851"/>
        <w:rPr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4.9</w:t>
      </w:r>
      <w:r w:rsidRPr="001B7467">
        <w:rPr>
          <w:b/>
          <w:sz w:val="24"/>
          <w:szCs w:val="24"/>
        </w:rPr>
        <w:tab/>
        <w:t>Overdosering</w:t>
      </w: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Det er vigtigt at følge den anbefalede dosering.</w:t>
      </w: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om tilfælde af utilsigtet overdosering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 xml:space="preserve">, men ingen af tilfældene har været fatale. </w:t>
      </w: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</w:p>
    <w:p w:rsidR="00CA1AE2" w:rsidRDefault="00CA1AE2" w:rsidP="00CA1A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rapporteret om tilfælde af bevidsthedstab, koma, </w:t>
      </w:r>
      <w:proofErr w:type="spellStart"/>
      <w:r>
        <w:rPr>
          <w:sz w:val="24"/>
          <w:szCs w:val="24"/>
        </w:rPr>
        <w:t>tetraparese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ataksi</w:t>
      </w:r>
      <w:proofErr w:type="spellEnd"/>
      <w:r>
        <w:rPr>
          <w:sz w:val="24"/>
          <w:szCs w:val="24"/>
        </w:rPr>
        <w:t xml:space="preserve">, pyramidale tegn og binokulær </w:t>
      </w:r>
      <w:proofErr w:type="spellStart"/>
      <w:r>
        <w:rPr>
          <w:sz w:val="24"/>
          <w:szCs w:val="24"/>
        </w:rPr>
        <w:t>diplopi</w:t>
      </w:r>
      <w:proofErr w:type="spellEnd"/>
      <w:r>
        <w:rPr>
          <w:sz w:val="24"/>
          <w:szCs w:val="24"/>
        </w:rPr>
        <w:t xml:space="preserve"> som følge af overdosering af </w:t>
      </w:r>
      <w:proofErr w:type="spellStart"/>
      <w:r>
        <w:rPr>
          <w:sz w:val="24"/>
          <w:szCs w:val="24"/>
        </w:rPr>
        <w:t>ivermectin</w:t>
      </w:r>
      <w:proofErr w:type="spellEnd"/>
      <w:r>
        <w:rPr>
          <w:sz w:val="24"/>
          <w:szCs w:val="24"/>
        </w:rPr>
        <w:t>.</w:t>
      </w:r>
    </w:p>
    <w:p w:rsidR="00CA1AE2" w:rsidRDefault="00CA1AE2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C8404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C8404C">
        <w:rPr>
          <w:sz w:val="24"/>
          <w:szCs w:val="24"/>
        </w:rPr>
        <w:t xml:space="preserve">I tilfælde med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ukendte doser af lægemidler beregnet til veterinær brug (oral anvendelse, via injektion eller </w:t>
      </w:r>
      <w:proofErr w:type="spellStart"/>
      <w:r w:rsidRPr="00C8404C">
        <w:rPr>
          <w:sz w:val="24"/>
          <w:szCs w:val="24"/>
        </w:rPr>
        <w:t>kutan</w:t>
      </w:r>
      <w:proofErr w:type="spellEnd"/>
      <w:r w:rsidRPr="00C8404C">
        <w:rPr>
          <w:sz w:val="24"/>
          <w:szCs w:val="24"/>
        </w:rPr>
        <w:t xml:space="preserve"> anvendelse) blev der rapporteret om følgende symptomer: </w:t>
      </w:r>
      <w:r>
        <w:rPr>
          <w:sz w:val="24"/>
          <w:szCs w:val="24"/>
        </w:rPr>
        <w:t>U</w:t>
      </w:r>
      <w:r w:rsidRPr="00C8404C">
        <w:rPr>
          <w:sz w:val="24"/>
          <w:szCs w:val="24"/>
        </w:rPr>
        <w:t xml:space="preserve">dslæt, </w:t>
      </w:r>
      <w:proofErr w:type="spellStart"/>
      <w:r w:rsidRPr="00C8404C">
        <w:rPr>
          <w:sz w:val="24"/>
          <w:szCs w:val="24"/>
        </w:rPr>
        <w:t>kontaktdermatitis</w:t>
      </w:r>
      <w:proofErr w:type="spellEnd"/>
      <w:r w:rsidRPr="00C8404C">
        <w:rPr>
          <w:sz w:val="24"/>
          <w:szCs w:val="24"/>
        </w:rPr>
        <w:t xml:space="preserve">, ødemer, hovedpine, </w:t>
      </w:r>
      <w:proofErr w:type="spellStart"/>
      <w:r w:rsidRPr="00C8404C">
        <w:rPr>
          <w:sz w:val="24"/>
          <w:szCs w:val="24"/>
        </w:rPr>
        <w:t>vertigo</w:t>
      </w:r>
      <w:proofErr w:type="spellEnd"/>
      <w:r w:rsidRPr="00C8404C">
        <w:rPr>
          <w:sz w:val="24"/>
          <w:szCs w:val="24"/>
        </w:rPr>
        <w:t xml:space="preserve">, asteni, kvalme, opkastning, diarré og mavesmerter. Der er desuden set: </w:t>
      </w:r>
      <w:r>
        <w:rPr>
          <w:sz w:val="24"/>
          <w:szCs w:val="24"/>
        </w:rPr>
        <w:t>K</w:t>
      </w:r>
      <w:r w:rsidRPr="00C8404C">
        <w:rPr>
          <w:sz w:val="24"/>
          <w:szCs w:val="24"/>
        </w:rPr>
        <w:t xml:space="preserve">rampeanfald, </w:t>
      </w:r>
      <w:proofErr w:type="spellStart"/>
      <w:r w:rsidRPr="00C8404C">
        <w:rPr>
          <w:sz w:val="24"/>
          <w:szCs w:val="24"/>
        </w:rPr>
        <w:t>ataksi</w:t>
      </w:r>
      <w:proofErr w:type="spellEnd"/>
      <w:r w:rsidRPr="00C8404C">
        <w:rPr>
          <w:sz w:val="24"/>
          <w:szCs w:val="24"/>
        </w:rPr>
        <w:t xml:space="preserve">, dyspnø, </w:t>
      </w:r>
      <w:proofErr w:type="spellStart"/>
      <w:r w:rsidRPr="00C8404C">
        <w:rPr>
          <w:sz w:val="24"/>
          <w:szCs w:val="24"/>
        </w:rPr>
        <w:t>paræstesi</w:t>
      </w:r>
      <w:proofErr w:type="spellEnd"/>
      <w:r w:rsidRPr="00C8404C">
        <w:rPr>
          <w:sz w:val="24"/>
          <w:szCs w:val="24"/>
        </w:rPr>
        <w:t xml:space="preserve"> og </w:t>
      </w:r>
      <w:proofErr w:type="spellStart"/>
      <w:r w:rsidRPr="00C8404C">
        <w:rPr>
          <w:sz w:val="24"/>
          <w:szCs w:val="24"/>
        </w:rPr>
        <w:t>urticaria</w:t>
      </w:r>
      <w:proofErr w:type="spellEnd"/>
      <w:r w:rsidRPr="00C8404C">
        <w:rPr>
          <w:sz w:val="24"/>
          <w:szCs w:val="24"/>
        </w:rPr>
        <w:t>.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40988" w:rsidRDefault="00232DDC" w:rsidP="00232DD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40988">
        <w:rPr>
          <w:sz w:val="24"/>
          <w:szCs w:val="24"/>
          <w:u w:val="single"/>
        </w:rPr>
        <w:t xml:space="preserve">Behandling i tilfælde af utilsigtet </w:t>
      </w:r>
      <w:proofErr w:type="spellStart"/>
      <w:r w:rsidRPr="00140988">
        <w:rPr>
          <w:sz w:val="24"/>
          <w:szCs w:val="24"/>
          <w:u w:val="single"/>
        </w:rPr>
        <w:t>intoksikation</w:t>
      </w:r>
      <w:proofErr w:type="spellEnd"/>
    </w:p>
    <w:p w:rsidR="00232DDC" w:rsidRPr="00C8404C" w:rsidRDefault="00232DDC" w:rsidP="00232DDC">
      <w:pPr>
        <w:numPr>
          <w:ilvl w:val="0"/>
          <w:numId w:val="7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C8404C">
        <w:rPr>
          <w:sz w:val="24"/>
          <w:szCs w:val="24"/>
        </w:rPr>
        <w:t xml:space="preserve">symptomatisk behandling og lægelig overvågning, om nødvendigt ledsaget af væskeerstatning og blodtryksbehandling. Selvom der ikke foreligger nogen specifikke studier, anbefales det at undgå kombination af GABA-agonister ved behandling af utilsigtet </w:t>
      </w:r>
      <w:proofErr w:type="spellStart"/>
      <w:r w:rsidRPr="00C8404C">
        <w:rPr>
          <w:sz w:val="24"/>
          <w:szCs w:val="24"/>
        </w:rPr>
        <w:t>intoksikation</w:t>
      </w:r>
      <w:proofErr w:type="spellEnd"/>
      <w:r w:rsidRPr="00C8404C">
        <w:rPr>
          <w:sz w:val="24"/>
          <w:szCs w:val="24"/>
        </w:rPr>
        <w:t xml:space="preserve"> med </w:t>
      </w:r>
      <w:proofErr w:type="spellStart"/>
      <w:r w:rsidRPr="00C8404C">
        <w:rPr>
          <w:sz w:val="24"/>
          <w:szCs w:val="24"/>
        </w:rPr>
        <w:t>ivermectin</w:t>
      </w:r>
      <w:proofErr w:type="spellEnd"/>
      <w:r w:rsidRPr="00C8404C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4.10</w:t>
      </w:r>
      <w:r w:rsidRPr="001B7467">
        <w:rPr>
          <w:b/>
          <w:sz w:val="24"/>
          <w:szCs w:val="24"/>
        </w:rPr>
        <w:tab/>
        <w:t>Udlevering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  <w:bookmarkStart w:id="0" w:name="_GoBack"/>
      <w:bookmarkEnd w:id="0"/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1255" w:rsidRPr="00C84483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1255" w:rsidRDefault="00341255" w:rsidP="0034125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742699">
        <w:rPr>
          <w:sz w:val="24"/>
          <w:szCs w:val="24"/>
        </w:rPr>
        <w:t>Antinematode</w:t>
      </w:r>
      <w:proofErr w:type="spellEnd"/>
      <w:r w:rsidRPr="00742699">
        <w:rPr>
          <w:sz w:val="24"/>
          <w:szCs w:val="24"/>
        </w:rPr>
        <w:t>-midler</w:t>
      </w:r>
      <w:r>
        <w:rPr>
          <w:sz w:val="24"/>
          <w:szCs w:val="24"/>
        </w:rPr>
        <w:t xml:space="preserve">, </w:t>
      </w:r>
      <w:r w:rsidRPr="00742699">
        <w:rPr>
          <w:sz w:val="24"/>
          <w:szCs w:val="24"/>
        </w:rPr>
        <w:t>ATC-kode: P02CF01</w:t>
      </w:r>
      <w:r>
        <w:rPr>
          <w:sz w:val="24"/>
          <w:szCs w:val="24"/>
        </w:rPr>
        <w:t>.</w:t>
      </w:r>
    </w:p>
    <w:p w:rsidR="00341255" w:rsidRDefault="00341255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er deriveret af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, der er isoleret fra fermentationsmedier af </w:t>
      </w:r>
      <w:proofErr w:type="spellStart"/>
      <w:r w:rsidRPr="0048256B">
        <w:rPr>
          <w:i/>
          <w:sz w:val="24"/>
          <w:szCs w:val="24"/>
        </w:rPr>
        <w:t>Streptomyces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avermitilis</w:t>
      </w:r>
      <w:proofErr w:type="spellEnd"/>
      <w:r w:rsidRPr="0048256B">
        <w:rPr>
          <w:sz w:val="24"/>
          <w:szCs w:val="24"/>
        </w:rPr>
        <w:t>. Det har høj affinitet til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, der forekommer i hvirvelløse dyrs nerve- og muskelceller. Dets binding til disse kanaler øger membranpermeabiliteten for </w:t>
      </w:r>
      <w:proofErr w:type="spellStart"/>
      <w:r w:rsidRPr="0048256B">
        <w:rPr>
          <w:sz w:val="24"/>
          <w:szCs w:val="24"/>
        </w:rPr>
        <w:t>chlorid</w:t>
      </w:r>
      <w:proofErr w:type="spellEnd"/>
      <w:r w:rsidRPr="0048256B">
        <w:rPr>
          <w:sz w:val="24"/>
          <w:szCs w:val="24"/>
        </w:rPr>
        <w:t xml:space="preserve">-ioner, hvilket fører til </w:t>
      </w:r>
      <w:proofErr w:type="spellStart"/>
      <w:r w:rsidRPr="0048256B">
        <w:rPr>
          <w:sz w:val="24"/>
          <w:szCs w:val="24"/>
        </w:rPr>
        <w:t>hyperpolarisering</w:t>
      </w:r>
      <w:proofErr w:type="spellEnd"/>
      <w:r w:rsidRPr="0048256B">
        <w:rPr>
          <w:sz w:val="24"/>
          <w:szCs w:val="24"/>
        </w:rPr>
        <w:t xml:space="preserve"> af nerve- eller muskelcellerne. Dette resulterer i </w:t>
      </w:r>
      <w:proofErr w:type="spellStart"/>
      <w:r w:rsidRPr="0048256B">
        <w:rPr>
          <w:sz w:val="24"/>
          <w:szCs w:val="24"/>
        </w:rPr>
        <w:t>neuromuskulær</w:t>
      </w:r>
      <w:proofErr w:type="spellEnd"/>
      <w:r w:rsidRPr="0048256B">
        <w:rPr>
          <w:sz w:val="24"/>
          <w:szCs w:val="24"/>
        </w:rPr>
        <w:t xml:space="preserve"> paralyse og kan medføre død hos visse parasitter.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8256B">
        <w:rPr>
          <w:sz w:val="24"/>
          <w:szCs w:val="24"/>
        </w:rPr>
        <w:t>Ivermectin</w:t>
      </w:r>
      <w:proofErr w:type="spellEnd"/>
      <w:r w:rsidRPr="0048256B">
        <w:rPr>
          <w:sz w:val="24"/>
          <w:szCs w:val="24"/>
        </w:rPr>
        <w:t xml:space="preserve"> interagerer også med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, såsom den kanal, der involverer neurotransmitteren GABA (gamma-</w:t>
      </w:r>
      <w:proofErr w:type="spellStart"/>
      <w:r w:rsidRPr="0048256B">
        <w:rPr>
          <w:sz w:val="24"/>
          <w:szCs w:val="24"/>
        </w:rPr>
        <w:t>aminobutyrat</w:t>
      </w:r>
      <w:proofErr w:type="spellEnd"/>
      <w:r w:rsidRPr="0048256B">
        <w:rPr>
          <w:sz w:val="24"/>
          <w:szCs w:val="24"/>
        </w:rPr>
        <w:t>).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>Pattedyr har ingen glutamat-</w:t>
      </w:r>
      <w:proofErr w:type="spellStart"/>
      <w:r w:rsidRPr="0048256B">
        <w:rPr>
          <w:sz w:val="24"/>
          <w:szCs w:val="24"/>
        </w:rPr>
        <w:t>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 xml:space="preserve">. </w:t>
      </w:r>
      <w:proofErr w:type="spellStart"/>
      <w:r w:rsidRPr="0048256B">
        <w:rPr>
          <w:sz w:val="24"/>
          <w:szCs w:val="24"/>
        </w:rPr>
        <w:t>Avermectiner</w:t>
      </w:r>
      <w:proofErr w:type="spellEnd"/>
      <w:r w:rsidRPr="0048256B">
        <w:rPr>
          <w:sz w:val="24"/>
          <w:szCs w:val="24"/>
        </w:rPr>
        <w:t xml:space="preserve"> har kun lav affinitet til andre </w:t>
      </w:r>
      <w:proofErr w:type="spellStart"/>
      <w:r w:rsidRPr="0048256B">
        <w:rPr>
          <w:sz w:val="24"/>
          <w:szCs w:val="24"/>
        </w:rPr>
        <w:t>ligand-gatede</w:t>
      </w:r>
      <w:proofErr w:type="spellEnd"/>
      <w:r w:rsidRPr="0048256B">
        <w:rPr>
          <w:sz w:val="24"/>
          <w:szCs w:val="24"/>
        </w:rPr>
        <w:t xml:space="preserve"> </w:t>
      </w:r>
      <w:proofErr w:type="spellStart"/>
      <w:r w:rsidRPr="0048256B">
        <w:rPr>
          <w:sz w:val="24"/>
          <w:szCs w:val="24"/>
        </w:rPr>
        <w:t>chloridkanaler</w:t>
      </w:r>
      <w:proofErr w:type="spellEnd"/>
      <w:r w:rsidRPr="0048256B">
        <w:rPr>
          <w:sz w:val="24"/>
          <w:szCs w:val="24"/>
        </w:rPr>
        <w:t>. De krydser ikke uden videre blod-hjernebarrieren.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Kliniske studier, der blev udført i Afrika, Asien, Sydamerika, Caribien og Polynesien, viste en reduktion (til under 1 %)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r w:rsidRPr="0048256B">
        <w:rPr>
          <w:sz w:val="24"/>
          <w:szCs w:val="24"/>
        </w:rPr>
        <w:t>-mikrofilaræmi</w:t>
      </w:r>
      <w:proofErr w:type="spellEnd"/>
      <w:r w:rsidRPr="0048256B">
        <w:rPr>
          <w:sz w:val="24"/>
          <w:szCs w:val="24"/>
        </w:rPr>
        <w:t xml:space="preserve"> i ugen efter administration af en oral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mindst 100 </w:t>
      </w:r>
      <w:proofErr w:type="spellStart"/>
      <w:r w:rsidRPr="0048256B">
        <w:rPr>
          <w:sz w:val="24"/>
          <w:szCs w:val="24"/>
        </w:rPr>
        <w:t>μg</w:t>
      </w:r>
      <w:proofErr w:type="spellEnd"/>
      <w:r w:rsidRPr="0048256B">
        <w:rPr>
          <w:sz w:val="24"/>
          <w:szCs w:val="24"/>
        </w:rPr>
        <w:t xml:space="preserve">/kg. Disse studier viste en dosisafhængig virkning over tid, hvor reduktionen i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og </w:t>
      </w:r>
      <w:proofErr w:type="spellStart"/>
      <w:r w:rsidRPr="0048256B">
        <w:rPr>
          <w:sz w:val="24"/>
          <w:szCs w:val="24"/>
        </w:rPr>
        <w:t>infestationsraten</w:t>
      </w:r>
      <w:proofErr w:type="spellEnd"/>
      <w:r w:rsidRPr="0048256B">
        <w:rPr>
          <w:sz w:val="24"/>
          <w:szCs w:val="24"/>
        </w:rPr>
        <w:t xml:space="preserve"> i de behandlede populationer bliver opretholdt.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Ved behandling af </w:t>
      </w:r>
      <w:proofErr w:type="spellStart"/>
      <w:r w:rsidRPr="0048256B">
        <w:rPr>
          <w:sz w:val="24"/>
          <w:szCs w:val="24"/>
        </w:rPr>
        <w:t>mikrofilaræmi</w:t>
      </w:r>
      <w:proofErr w:type="spellEnd"/>
      <w:r w:rsidRPr="0048256B">
        <w:rPr>
          <w:sz w:val="24"/>
          <w:szCs w:val="24"/>
        </w:rPr>
        <w:t xml:space="preserve"> hos mennesker (den eneste parasitvært for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) synes massebehandling at være nyttig med hensyn til at begrænse overførslen af </w:t>
      </w:r>
      <w:proofErr w:type="spellStart"/>
      <w:r w:rsidRPr="0048256B">
        <w:rPr>
          <w:i/>
          <w:sz w:val="24"/>
          <w:szCs w:val="24"/>
        </w:rPr>
        <w:t>Wuchereria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bancrofti</w:t>
      </w:r>
      <w:proofErr w:type="spellEnd"/>
      <w:r w:rsidRPr="0048256B">
        <w:rPr>
          <w:sz w:val="24"/>
          <w:szCs w:val="24"/>
        </w:rPr>
        <w:t xml:space="preserve"> via smittebærende insekter og bryde den epidemiologiske kæde.</w:t>
      </w: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48256B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8256B">
        <w:rPr>
          <w:sz w:val="24"/>
          <w:szCs w:val="24"/>
        </w:rPr>
        <w:t xml:space="preserve">Behandling med en enkelt </w:t>
      </w:r>
      <w:proofErr w:type="spellStart"/>
      <w:r w:rsidRPr="0048256B">
        <w:rPr>
          <w:sz w:val="24"/>
          <w:szCs w:val="24"/>
        </w:rPr>
        <w:t>ivermectindosis</w:t>
      </w:r>
      <w:proofErr w:type="spellEnd"/>
      <w:r w:rsidRPr="0048256B">
        <w:rPr>
          <w:sz w:val="24"/>
          <w:szCs w:val="24"/>
        </w:rPr>
        <w:t xml:space="preserve"> på 200 mikrogram pr. kg. legemsvægt har vist sig at være effektiv og veltolereret hos patienter med normal immunitet, hvor </w:t>
      </w:r>
      <w:proofErr w:type="spellStart"/>
      <w:r w:rsidRPr="0048256B">
        <w:rPr>
          <w:sz w:val="24"/>
          <w:szCs w:val="24"/>
        </w:rPr>
        <w:t>infestationen</w:t>
      </w:r>
      <w:proofErr w:type="spellEnd"/>
      <w:r w:rsidRPr="0048256B">
        <w:rPr>
          <w:sz w:val="24"/>
          <w:szCs w:val="24"/>
        </w:rPr>
        <w:t xml:space="preserve"> med </w:t>
      </w:r>
      <w:proofErr w:type="spellStart"/>
      <w:r w:rsidRPr="0048256B">
        <w:rPr>
          <w:i/>
          <w:sz w:val="24"/>
          <w:szCs w:val="24"/>
        </w:rPr>
        <w:t>Strongyloides</w:t>
      </w:r>
      <w:proofErr w:type="spellEnd"/>
      <w:r w:rsidRPr="0048256B">
        <w:rPr>
          <w:i/>
          <w:sz w:val="24"/>
          <w:szCs w:val="24"/>
        </w:rPr>
        <w:t xml:space="preserve"> </w:t>
      </w:r>
      <w:proofErr w:type="spellStart"/>
      <w:r w:rsidRPr="0048256B">
        <w:rPr>
          <w:i/>
          <w:sz w:val="24"/>
          <w:szCs w:val="24"/>
        </w:rPr>
        <w:t>stercoralis</w:t>
      </w:r>
      <w:proofErr w:type="spellEnd"/>
      <w:r w:rsidRPr="0048256B">
        <w:rPr>
          <w:sz w:val="24"/>
          <w:szCs w:val="24"/>
        </w:rPr>
        <w:t xml:space="preserve"> er begrænset til fordøjelseskanalen.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5.2</w:t>
      </w:r>
      <w:r w:rsidRPr="001B7467">
        <w:rPr>
          <w:b/>
          <w:sz w:val="24"/>
          <w:szCs w:val="24"/>
        </w:rPr>
        <w:tab/>
      </w:r>
      <w:proofErr w:type="spellStart"/>
      <w:r w:rsidRPr="001B7467">
        <w:rPr>
          <w:b/>
          <w:sz w:val="24"/>
          <w:szCs w:val="24"/>
        </w:rPr>
        <w:t>Farmakokinetiske</w:t>
      </w:r>
      <w:proofErr w:type="spellEnd"/>
      <w:r w:rsidRPr="001B7467">
        <w:rPr>
          <w:b/>
          <w:sz w:val="24"/>
          <w:szCs w:val="24"/>
        </w:rPr>
        <w:t xml:space="preserve"> egenskaber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Den gennemsnitlige maksimale plasmakoncentration af hovedkomponenten (H2B1a) efter oral administration af en enkelt dosis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på 12 mg i tabletform ses efter cirka 4 timer og er på 46,6 (± 21,9) </w:t>
      </w:r>
      <w:proofErr w:type="spellStart"/>
      <w:r w:rsidRPr="007509CE">
        <w:rPr>
          <w:sz w:val="24"/>
          <w:szCs w:val="24"/>
        </w:rPr>
        <w:t>ng</w:t>
      </w:r>
      <w:proofErr w:type="spellEnd"/>
      <w:r w:rsidRPr="007509CE">
        <w:rPr>
          <w:sz w:val="24"/>
          <w:szCs w:val="24"/>
        </w:rPr>
        <w:t>/ml.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Plasmakoncentrationen stiger proportionelt i takt med dosis.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absorberes og </w:t>
      </w:r>
      <w:proofErr w:type="spellStart"/>
      <w:r w:rsidRPr="007509CE">
        <w:rPr>
          <w:sz w:val="24"/>
          <w:szCs w:val="24"/>
        </w:rPr>
        <w:t>metaboliseres</w:t>
      </w:r>
      <w:proofErr w:type="spellEnd"/>
      <w:r w:rsidRPr="007509CE">
        <w:rPr>
          <w:sz w:val="24"/>
          <w:szCs w:val="24"/>
        </w:rPr>
        <w:t xml:space="preserve"> i menneskekroppen.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og/eller dets metabolitter udskilles næsten udelukkende i fæces, mens mindre end 1 % af den indgivne dosis udskilles i urinen. Et </w:t>
      </w:r>
      <w:r w:rsidRPr="007509CE">
        <w:rPr>
          <w:i/>
          <w:sz w:val="24"/>
          <w:szCs w:val="24"/>
        </w:rPr>
        <w:t xml:space="preserve">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i/>
          <w:sz w:val="24"/>
          <w:szCs w:val="24"/>
        </w:rPr>
        <w:t>-</w:t>
      </w:r>
      <w:r w:rsidRPr="007509CE">
        <w:rPr>
          <w:sz w:val="24"/>
          <w:szCs w:val="24"/>
        </w:rPr>
        <w:t xml:space="preserve">studie, der blev udført på humane </w:t>
      </w:r>
      <w:proofErr w:type="spellStart"/>
      <w:r w:rsidRPr="007509CE">
        <w:rPr>
          <w:sz w:val="24"/>
          <w:szCs w:val="24"/>
        </w:rPr>
        <w:t>levermikrosomer</w:t>
      </w:r>
      <w:proofErr w:type="spellEnd"/>
      <w:r w:rsidRPr="007509CE">
        <w:rPr>
          <w:sz w:val="24"/>
          <w:szCs w:val="24"/>
        </w:rPr>
        <w:t xml:space="preserve">, tyder på, at den </w:t>
      </w:r>
      <w:proofErr w:type="spellStart"/>
      <w:r w:rsidRPr="007509CE">
        <w:rPr>
          <w:sz w:val="24"/>
          <w:szCs w:val="24"/>
        </w:rPr>
        <w:t>hepatiske</w:t>
      </w:r>
      <w:proofErr w:type="spellEnd"/>
      <w:r w:rsidRPr="007509CE">
        <w:rPr>
          <w:sz w:val="24"/>
          <w:szCs w:val="24"/>
        </w:rPr>
        <w:t xml:space="preserve"> metabolisme af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primært sker via </w:t>
      </w:r>
      <w:proofErr w:type="spellStart"/>
      <w:r w:rsidRPr="007509CE">
        <w:rPr>
          <w:sz w:val="24"/>
          <w:szCs w:val="24"/>
        </w:rPr>
        <w:t>cytochrom</w:t>
      </w:r>
      <w:proofErr w:type="spellEnd"/>
      <w:r w:rsidRPr="007509CE">
        <w:rPr>
          <w:sz w:val="24"/>
          <w:szCs w:val="24"/>
        </w:rPr>
        <w:t xml:space="preserve"> P450 3A4. Hos mennesker er plasmahalveringstiden cirka 12 timer for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og cirka 3 dage for metabolitterne.</w:t>
      </w:r>
    </w:p>
    <w:p w:rsidR="00A82BE4" w:rsidRDefault="00A82BE4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A82BE4" w:rsidRDefault="00A82BE4" w:rsidP="00A82BE4">
      <w:pPr>
        <w:tabs>
          <w:tab w:val="left" w:pos="851"/>
        </w:tabs>
        <w:ind w:left="851"/>
        <w:rPr>
          <w:sz w:val="24"/>
          <w:szCs w:val="24"/>
        </w:rPr>
      </w:pPr>
      <w:r w:rsidRPr="009A1062">
        <w:rPr>
          <w:sz w:val="24"/>
          <w:szCs w:val="24"/>
        </w:rPr>
        <w:t xml:space="preserve">Der er udført et klinisk sikkerhedsstudie med flere doser for at vurdere </w:t>
      </w:r>
      <w:proofErr w:type="spellStart"/>
      <w:r w:rsidRPr="009A1062">
        <w:rPr>
          <w:sz w:val="24"/>
          <w:szCs w:val="24"/>
        </w:rPr>
        <w:t>ivermectins</w:t>
      </w:r>
      <w:proofErr w:type="spellEnd"/>
      <w:r w:rsidRPr="009A1062">
        <w:rPr>
          <w:sz w:val="24"/>
          <w:szCs w:val="24"/>
        </w:rPr>
        <w:t xml:space="preserve"> sikkerhed og </w:t>
      </w:r>
      <w:proofErr w:type="spellStart"/>
      <w:r w:rsidRPr="009A1062">
        <w:rPr>
          <w:sz w:val="24"/>
          <w:szCs w:val="24"/>
        </w:rPr>
        <w:t>farmakokinetiske</w:t>
      </w:r>
      <w:proofErr w:type="spellEnd"/>
      <w:r w:rsidRPr="009A1062">
        <w:rPr>
          <w:sz w:val="24"/>
          <w:szCs w:val="24"/>
        </w:rPr>
        <w:t xml:space="preserve"> egenskaber hos raske frivillige. Forsøgsdeltagerne fik orale doser på 30 til 120 mg (333 til 2.000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 eller 30 mg (333 til 600 mikrogram/kg)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standardmåltid med højt fedtindhold (48,6 g fedt).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efter et måltid med højt fedtindhold resulterede i en biotilgængelighed, der var cirka 2,5 gange højere end ved administration af 30 mg </w:t>
      </w:r>
      <w:proofErr w:type="spellStart"/>
      <w:r w:rsidRPr="009A1062">
        <w:rPr>
          <w:sz w:val="24"/>
          <w:szCs w:val="24"/>
        </w:rPr>
        <w:t>ivermectin</w:t>
      </w:r>
      <w:proofErr w:type="spellEnd"/>
      <w:r w:rsidRPr="009A1062">
        <w:rPr>
          <w:sz w:val="24"/>
          <w:szCs w:val="24"/>
        </w:rPr>
        <w:t xml:space="preserve"> i fastende tilstand.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Prækliniske studier tyder på, at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 i orale terapeutiske doser ikke hæmmer</w:t>
      </w:r>
      <w:r w:rsidR="006F37B1">
        <w:rPr>
          <w:sz w:val="24"/>
          <w:szCs w:val="24"/>
        </w:rPr>
        <w:t xml:space="preserve"> </w:t>
      </w:r>
      <w:r w:rsidRPr="007509CE">
        <w:rPr>
          <w:sz w:val="24"/>
          <w:szCs w:val="24"/>
        </w:rPr>
        <w:t>CYP3A4 (IC50 = 50 </w:t>
      </w:r>
      <w:proofErr w:type="spellStart"/>
      <w:r w:rsidRPr="007509CE">
        <w:rPr>
          <w:sz w:val="24"/>
          <w:szCs w:val="24"/>
        </w:rPr>
        <w:t>μM</w:t>
      </w:r>
      <w:proofErr w:type="spellEnd"/>
      <w:r w:rsidRPr="007509CE">
        <w:rPr>
          <w:sz w:val="24"/>
          <w:szCs w:val="24"/>
        </w:rPr>
        <w:t>) eller andre CYP-enzymer (2D6, 2C9, IA2 og 2E1) i signifikant grad.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232DDC" w:rsidRPr="007509CE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7509CE">
        <w:rPr>
          <w:sz w:val="24"/>
          <w:szCs w:val="24"/>
        </w:rPr>
        <w:t xml:space="preserve">Studier af toksicitet efter enkeltdoser hos dyr viste toksicitet i centralnervesystemet, hvilket viste sig ved indtræden af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, </w:t>
      </w:r>
      <w:proofErr w:type="spellStart"/>
      <w:r w:rsidRPr="007509CE">
        <w:rPr>
          <w:sz w:val="24"/>
          <w:szCs w:val="24"/>
        </w:rPr>
        <w:t>tremor</w:t>
      </w:r>
      <w:proofErr w:type="spellEnd"/>
      <w:r w:rsidRPr="007509CE">
        <w:rPr>
          <w:sz w:val="24"/>
          <w:szCs w:val="24"/>
        </w:rPr>
        <w:t xml:space="preserve"> og </w:t>
      </w:r>
      <w:proofErr w:type="spellStart"/>
      <w:r w:rsidRPr="007509CE">
        <w:rPr>
          <w:sz w:val="24"/>
          <w:szCs w:val="24"/>
        </w:rPr>
        <w:t>ataksi</w:t>
      </w:r>
      <w:proofErr w:type="spellEnd"/>
      <w:r w:rsidRPr="007509CE">
        <w:rPr>
          <w:sz w:val="24"/>
          <w:szCs w:val="24"/>
        </w:rPr>
        <w:t xml:space="preserve"> ved høje doser hos flere arter (mus, rotter og hunde) og opkastning og </w:t>
      </w:r>
      <w:proofErr w:type="spellStart"/>
      <w:r w:rsidRPr="007509CE">
        <w:rPr>
          <w:sz w:val="24"/>
          <w:szCs w:val="24"/>
        </w:rPr>
        <w:t>mydriasis</w:t>
      </w:r>
      <w:proofErr w:type="spellEnd"/>
      <w:r w:rsidRPr="007509CE">
        <w:rPr>
          <w:sz w:val="24"/>
          <w:szCs w:val="24"/>
        </w:rPr>
        <w:t xml:space="preserve"> hos aber. Efter administration af gentagne doser </w:t>
      </w:r>
      <w:proofErr w:type="spellStart"/>
      <w:r w:rsidRPr="007509CE">
        <w:rPr>
          <w:sz w:val="24"/>
          <w:szCs w:val="24"/>
        </w:rPr>
        <w:t>ivermectin</w:t>
      </w:r>
      <w:proofErr w:type="spellEnd"/>
      <w:r w:rsidRPr="007509CE">
        <w:rPr>
          <w:sz w:val="24"/>
          <w:szCs w:val="24"/>
        </w:rPr>
        <w:t xml:space="preserve">, der var tæt på eller lig med </w:t>
      </w:r>
      <w:proofErr w:type="spellStart"/>
      <w:r w:rsidRPr="007509CE">
        <w:rPr>
          <w:sz w:val="24"/>
          <w:szCs w:val="24"/>
        </w:rPr>
        <w:t>maternotoksiske</w:t>
      </w:r>
      <w:proofErr w:type="spellEnd"/>
      <w:r w:rsidRPr="007509CE">
        <w:rPr>
          <w:sz w:val="24"/>
          <w:szCs w:val="24"/>
        </w:rPr>
        <w:t xml:space="preserve"> doser, blev der set </w:t>
      </w:r>
      <w:proofErr w:type="spellStart"/>
      <w:r w:rsidRPr="007509CE">
        <w:rPr>
          <w:sz w:val="24"/>
          <w:szCs w:val="24"/>
        </w:rPr>
        <w:t>føtale</w:t>
      </w:r>
      <w:proofErr w:type="spellEnd"/>
      <w:r w:rsidRPr="007509CE">
        <w:rPr>
          <w:sz w:val="24"/>
          <w:szCs w:val="24"/>
        </w:rPr>
        <w:t xml:space="preserve"> abnormiteter (ganespalte) hos flere dyrearter (mus, rotter, kaniner). Det er svært at vurdere risikoen ved administration af en enkelt lav dosis på baggrund af disse studier. Standardstudier udført</w:t>
      </w:r>
      <w:r w:rsidRPr="007509CE">
        <w:rPr>
          <w:i/>
          <w:sz w:val="24"/>
          <w:szCs w:val="24"/>
        </w:rPr>
        <w:t xml:space="preserve"> in </w:t>
      </w:r>
      <w:proofErr w:type="spellStart"/>
      <w:r w:rsidRPr="007509CE">
        <w:rPr>
          <w:i/>
          <w:sz w:val="24"/>
          <w:szCs w:val="24"/>
        </w:rPr>
        <w:t>vitro</w:t>
      </w:r>
      <w:proofErr w:type="spellEnd"/>
      <w:r w:rsidRPr="007509CE">
        <w:rPr>
          <w:sz w:val="24"/>
          <w:szCs w:val="24"/>
        </w:rPr>
        <w:t xml:space="preserve"> (</w:t>
      </w:r>
      <w:proofErr w:type="spellStart"/>
      <w:r w:rsidRPr="007509CE">
        <w:rPr>
          <w:sz w:val="24"/>
          <w:szCs w:val="24"/>
        </w:rPr>
        <w:t>Ames</w:t>
      </w:r>
      <w:proofErr w:type="spellEnd"/>
      <w:r w:rsidRPr="007509CE">
        <w:rPr>
          <w:sz w:val="24"/>
          <w:szCs w:val="24"/>
          <w:cs/>
        </w:rPr>
        <w:t xml:space="preserve">’ </w:t>
      </w:r>
      <w:r w:rsidRPr="007509CE">
        <w:rPr>
          <w:sz w:val="24"/>
          <w:szCs w:val="24"/>
        </w:rPr>
        <w:t xml:space="preserve">test, </w:t>
      </w:r>
      <w:proofErr w:type="spellStart"/>
      <w:r w:rsidRPr="007509CE">
        <w:rPr>
          <w:sz w:val="24"/>
          <w:szCs w:val="24"/>
        </w:rPr>
        <w:t>muselymfomtest</w:t>
      </w:r>
      <w:proofErr w:type="spellEnd"/>
      <w:r w:rsidRPr="007509CE">
        <w:rPr>
          <w:sz w:val="24"/>
          <w:szCs w:val="24"/>
        </w:rPr>
        <w:t xml:space="preserve">) viste ingen genotoksicitet. Der er imidlertid ikke udført nogen genotoksicitets- eller </w:t>
      </w:r>
      <w:proofErr w:type="spellStart"/>
      <w:r w:rsidRPr="007509CE">
        <w:rPr>
          <w:sz w:val="24"/>
          <w:szCs w:val="24"/>
        </w:rPr>
        <w:t>karcinogenicitetsstudier</w:t>
      </w:r>
      <w:proofErr w:type="spellEnd"/>
      <w:r w:rsidRPr="007509CE">
        <w:rPr>
          <w:sz w:val="24"/>
          <w:szCs w:val="24"/>
        </w:rPr>
        <w:t xml:space="preserve"> </w:t>
      </w:r>
      <w:r w:rsidRPr="007509CE">
        <w:rPr>
          <w:i/>
          <w:sz w:val="24"/>
          <w:szCs w:val="24"/>
        </w:rPr>
        <w:t>in</w:t>
      </w:r>
      <w:r w:rsidRPr="007509CE">
        <w:rPr>
          <w:sz w:val="24"/>
          <w:szCs w:val="24"/>
        </w:rPr>
        <w:t xml:space="preserve"> </w:t>
      </w:r>
      <w:proofErr w:type="spellStart"/>
      <w:r w:rsidRPr="007509CE">
        <w:rPr>
          <w:i/>
          <w:sz w:val="24"/>
          <w:szCs w:val="24"/>
        </w:rPr>
        <w:t>vivo</w:t>
      </w:r>
      <w:proofErr w:type="spellEnd"/>
      <w:r w:rsidRPr="007509CE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</w:t>
      </w:r>
      <w:r w:rsidRPr="001B7467">
        <w:rPr>
          <w:b/>
          <w:sz w:val="24"/>
          <w:szCs w:val="24"/>
        </w:rPr>
        <w:tab/>
        <w:t>FARMACEUTISKE OPLYSNINGER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6.1</w:t>
      </w:r>
      <w:r w:rsidRPr="001B7467">
        <w:rPr>
          <w:b/>
          <w:sz w:val="24"/>
          <w:szCs w:val="24"/>
        </w:rPr>
        <w:tab/>
        <w:t>Hjælpestoffer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C1E1A">
        <w:rPr>
          <w:sz w:val="24"/>
          <w:szCs w:val="24"/>
        </w:rPr>
        <w:t>Cellulose, mikrokrystallinsk (E460)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Pregelatineret</w:t>
      </w:r>
      <w:proofErr w:type="spellEnd"/>
      <w:r w:rsidRPr="004C1E1A">
        <w:rPr>
          <w:sz w:val="24"/>
          <w:szCs w:val="24"/>
        </w:rPr>
        <w:t xml:space="preserve"> majsstivelse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Butylhydroxyanisol</w:t>
      </w:r>
      <w:proofErr w:type="spellEnd"/>
      <w:r w:rsidRPr="004C1E1A">
        <w:rPr>
          <w:sz w:val="24"/>
          <w:szCs w:val="24"/>
        </w:rPr>
        <w:t xml:space="preserve"> (E320)</w:t>
      </w:r>
    </w:p>
    <w:p w:rsidR="00232DDC" w:rsidRPr="004C1E1A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4C1E1A">
        <w:rPr>
          <w:sz w:val="24"/>
          <w:szCs w:val="24"/>
        </w:rPr>
        <w:t>Magnesiumstearat</w:t>
      </w:r>
      <w:proofErr w:type="spellEnd"/>
      <w:r w:rsidRPr="004C1E1A">
        <w:rPr>
          <w:sz w:val="24"/>
          <w:szCs w:val="24"/>
        </w:rPr>
        <w:t xml:space="preserve"> (E470b)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6.2</w:t>
      </w:r>
      <w:r w:rsidRPr="001B7467">
        <w:rPr>
          <w:b/>
          <w:sz w:val="24"/>
          <w:szCs w:val="24"/>
        </w:rPr>
        <w:tab/>
        <w:t>Uforligeligheder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6.3</w:t>
      </w:r>
      <w:r w:rsidRPr="001B7467">
        <w:rPr>
          <w:b/>
          <w:sz w:val="24"/>
          <w:szCs w:val="24"/>
        </w:rPr>
        <w:tab/>
        <w:t>Opbevaringstid</w:t>
      </w:r>
    </w:p>
    <w:p w:rsidR="00F92F82" w:rsidRPr="001B7467" w:rsidRDefault="00F92F82" w:rsidP="00F92F82">
      <w:pPr>
        <w:tabs>
          <w:tab w:val="left" w:pos="851"/>
        </w:tabs>
        <w:ind w:left="851" w:hanging="851"/>
        <w:rPr>
          <w:sz w:val="24"/>
          <w:szCs w:val="24"/>
        </w:rPr>
      </w:pPr>
      <w:r w:rsidRPr="001B7467">
        <w:rPr>
          <w:sz w:val="24"/>
          <w:szCs w:val="24"/>
        </w:rPr>
        <w:tab/>
      </w:r>
      <w:r>
        <w:rPr>
          <w:sz w:val="24"/>
          <w:szCs w:val="24"/>
        </w:rPr>
        <w:t>2 år</w:t>
      </w:r>
      <w:r w:rsidR="00E71219"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6.4</w:t>
      </w:r>
      <w:r w:rsidRPr="001B7467">
        <w:rPr>
          <w:b/>
          <w:sz w:val="24"/>
          <w:szCs w:val="24"/>
        </w:rPr>
        <w:tab/>
        <w:t>Særlige opbevaringsforhold</w:t>
      </w:r>
    </w:p>
    <w:p w:rsidR="00232DDC" w:rsidRPr="00443C51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443C51">
        <w:rPr>
          <w:sz w:val="24"/>
          <w:szCs w:val="24"/>
        </w:rPr>
        <w:t>Må ikke opbevares ved temperaturer over 25 °C</w:t>
      </w:r>
      <w:r>
        <w:rPr>
          <w:sz w:val="24"/>
          <w:szCs w:val="24"/>
        </w:rPr>
        <w:t>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  <w:r w:rsidRPr="00351B3C">
        <w:rPr>
          <w:sz w:val="24"/>
          <w:szCs w:val="24"/>
        </w:rPr>
        <w:t>listerkort af aluminium/aluminium</w:t>
      </w:r>
      <w:r w:rsidR="00E71219">
        <w:rPr>
          <w:sz w:val="24"/>
          <w:szCs w:val="24"/>
        </w:rPr>
        <w:t>.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351B3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Pr="00351B3C">
        <w:rPr>
          <w:sz w:val="24"/>
          <w:szCs w:val="24"/>
        </w:rPr>
        <w:t xml:space="preserve">4, 8, 10, 12, 16 </w:t>
      </w:r>
      <w:r>
        <w:rPr>
          <w:sz w:val="24"/>
          <w:szCs w:val="24"/>
        </w:rPr>
        <w:t>og 20 stk.</w:t>
      </w:r>
    </w:p>
    <w:p w:rsidR="00232DDC" w:rsidRPr="00351B3C" w:rsidRDefault="00232DDC" w:rsidP="00232DDC">
      <w:pPr>
        <w:tabs>
          <w:tab w:val="left" w:pos="851"/>
        </w:tabs>
        <w:ind w:left="851"/>
        <w:rPr>
          <w:i/>
          <w:iCs/>
          <w:sz w:val="24"/>
          <w:szCs w:val="24"/>
        </w:rPr>
      </w:pPr>
      <w:r w:rsidRPr="00351B3C">
        <w:rPr>
          <w:sz w:val="24"/>
          <w:szCs w:val="24"/>
        </w:rPr>
        <w:t>Ikke alle pakningsstørrelser er nødvendigvis markedsført.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232DD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Ingen særlige forholdsregler.</w:t>
      </w: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351B3C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351B3C">
        <w:rPr>
          <w:sz w:val="24"/>
          <w:szCs w:val="24"/>
        </w:rPr>
        <w:t>Ikke anvendt lægemiddel samt affald heraf skal bortskaffes i henhold til lokale retningslinjer.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7.</w:t>
      </w:r>
      <w:r w:rsidRPr="001B7467">
        <w:rPr>
          <w:b/>
          <w:sz w:val="24"/>
          <w:szCs w:val="24"/>
        </w:rPr>
        <w:tab/>
        <w:t>INDEHAVER AF MARKEDSFØRINGSTILLADELSEN</w:t>
      </w:r>
    </w:p>
    <w:p w:rsidR="00232DDC" w:rsidRPr="00351B3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351B3C">
        <w:rPr>
          <w:sz w:val="24"/>
          <w:szCs w:val="24"/>
        </w:rPr>
        <w:t>2care4 Generics ApS</w:t>
      </w:r>
    </w:p>
    <w:p w:rsidR="00232DD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5D3310">
        <w:rPr>
          <w:sz w:val="24"/>
          <w:szCs w:val="24"/>
        </w:rPr>
        <w:t>Stenhuggervej 12-14</w:t>
      </w:r>
    </w:p>
    <w:p w:rsidR="00232DDC" w:rsidRPr="00351B3C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 w:rsidRPr="00351B3C">
        <w:rPr>
          <w:sz w:val="24"/>
          <w:szCs w:val="24"/>
        </w:rPr>
        <w:t>6710 Esbjerg V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341255" w:rsidRPr="00C84483" w:rsidRDefault="00341255" w:rsidP="0034125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62816</w:t>
      </w:r>
    </w:p>
    <w:p w:rsidR="00232DDC" w:rsidRPr="001B7467" w:rsidRDefault="00232DDC" w:rsidP="00232DDC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9.</w:t>
      </w:r>
      <w:r w:rsidRPr="001B7467">
        <w:rPr>
          <w:b/>
          <w:sz w:val="24"/>
          <w:szCs w:val="24"/>
        </w:rPr>
        <w:tab/>
        <w:t>DATO FOR FØRSTE MARKEDSFØRINGSTILLADELSE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29. august 2019</w:t>
      </w:r>
    </w:p>
    <w:p w:rsidR="00232DDC" w:rsidRPr="001B7467" w:rsidRDefault="00232DDC" w:rsidP="00232DDC">
      <w:pPr>
        <w:tabs>
          <w:tab w:val="left" w:pos="851"/>
        </w:tabs>
        <w:ind w:left="851"/>
        <w:rPr>
          <w:sz w:val="24"/>
          <w:szCs w:val="24"/>
        </w:rPr>
      </w:pPr>
    </w:p>
    <w:p w:rsidR="00232DDC" w:rsidRPr="001B7467" w:rsidRDefault="00232DDC" w:rsidP="00232DD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1B7467">
        <w:rPr>
          <w:b/>
          <w:sz w:val="24"/>
          <w:szCs w:val="24"/>
        </w:rPr>
        <w:t>10.</w:t>
      </w:r>
      <w:r w:rsidRPr="001B7467">
        <w:rPr>
          <w:b/>
          <w:sz w:val="24"/>
          <w:szCs w:val="24"/>
        </w:rPr>
        <w:tab/>
        <w:t>DATO FOR ÆNDRING AF TEKSTEN</w:t>
      </w:r>
    </w:p>
    <w:p w:rsidR="009260DE" w:rsidRPr="00232DDC" w:rsidRDefault="00CA1AE2" w:rsidP="006F37B1">
      <w:pPr>
        <w:ind w:left="851"/>
      </w:pPr>
      <w:r>
        <w:rPr>
          <w:sz w:val="24"/>
          <w:szCs w:val="24"/>
        </w:rPr>
        <w:t>26. marts 2024</w:t>
      </w:r>
    </w:p>
    <w:sectPr w:rsidR="009260DE" w:rsidRPr="00232DDC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DDC" w:rsidRDefault="00232DDC">
      <w:r>
        <w:separator/>
      </w:r>
    </w:p>
  </w:endnote>
  <w:endnote w:type="continuationSeparator" w:id="0">
    <w:p w:rsidR="00232DDC" w:rsidRDefault="0023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73B38">
      <w:rPr>
        <w:i/>
        <w:noProof/>
        <w:sz w:val="18"/>
        <w:szCs w:val="18"/>
      </w:rPr>
      <w:t>Scatol, tabletter 3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DDC" w:rsidRDefault="00232DDC">
      <w:r>
        <w:separator/>
      </w:r>
    </w:p>
  </w:footnote>
  <w:footnote w:type="continuationSeparator" w:id="0">
    <w:p w:rsidR="00232DDC" w:rsidRDefault="00232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E0BC1"/>
    <w:multiLevelType w:val="hybridMultilevel"/>
    <w:tmpl w:val="2A324DB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391929E5"/>
    <w:multiLevelType w:val="hybridMultilevel"/>
    <w:tmpl w:val="BF0839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DC"/>
    <w:rsid w:val="000259B9"/>
    <w:rsid w:val="00041491"/>
    <w:rsid w:val="00050D16"/>
    <w:rsid w:val="00074F2A"/>
    <w:rsid w:val="000915EC"/>
    <w:rsid w:val="000A1CA8"/>
    <w:rsid w:val="000A466B"/>
    <w:rsid w:val="000B058C"/>
    <w:rsid w:val="000E4EE6"/>
    <w:rsid w:val="001454E2"/>
    <w:rsid w:val="00206CE8"/>
    <w:rsid w:val="0021526C"/>
    <w:rsid w:val="00232DDC"/>
    <w:rsid w:val="00283A2B"/>
    <w:rsid w:val="002B30AD"/>
    <w:rsid w:val="002C2C01"/>
    <w:rsid w:val="00341255"/>
    <w:rsid w:val="003A29AE"/>
    <w:rsid w:val="003A32D7"/>
    <w:rsid w:val="003B4074"/>
    <w:rsid w:val="003C4F48"/>
    <w:rsid w:val="003C769A"/>
    <w:rsid w:val="003D4B0D"/>
    <w:rsid w:val="003F1838"/>
    <w:rsid w:val="00424A78"/>
    <w:rsid w:val="0045746C"/>
    <w:rsid w:val="0049104B"/>
    <w:rsid w:val="004E3B12"/>
    <w:rsid w:val="0050370E"/>
    <w:rsid w:val="00532310"/>
    <w:rsid w:val="00560ECC"/>
    <w:rsid w:val="00565F0F"/>
    <w:rsid w:val="00594A86"/>
    <w:rsid w:val="00596D86"/>
    <w:rsid w:val="006100AE"/>
    <w:rsid w:val="00637F5A"/>
    <w:rsid w:val="00651169"/>
    <w:rsid w:val="006560B1"/>
    <w:rsid w:val="006756DD"/>
    <w:rsid w:val="00686725"/>
    <w:rsid w:val="006F37B1"/>
    <w:rsid w:val="00737275"/>
    <w:rsid w:val="00740EEC"/>
    <w:rsid w:val="0078011A"/>
    <w:rsid w:val="00782AF4"/>
    <w:rsid w:val="00790EE7"/>
    <w:rsid w:val="007B6649"/>
    <w:rsid w:val="0081546F"/>
    <w:rsid w:val="0082576E"/>
    <w:rsid w:val="008D0ED5"/>
    <w:rsid w:val="008E1604"/>
    <w:rsid w:val="00907F75"/>
    <w:rsid w:val="009260DE"/>
    <w:rsid w:val="0093258A"/>
    <w:rsid w:val="00973B38"/>
    <w:rsid w:val="009C7BA3"/>
    <w:rsid w:val="009D1F5A"/>
    <w:rsid w:val="009E29C6"/>
    <w:rsid w:val="00A82BE4"/>
    <w:rsid w:val="00B003BF"/>
    <w:rsid w:val="00B373D7"/>
    <w:rsid w:val="00BA3737"/>
    <w:rsid w:val="00C36276"/>
    <w:rsid w:val="00C42586"/>
    <w:rsid w:val="00C60CCD"/>
    <w:rsid w:val="00C84483"/>
    <w:rsid w:val="00C95551"/>
    <w:rsid w:val="00C956AD"/>
    <w:rsid w:val="00CA1AE2"/>
    <w:rsid w:val="00CB20D7"/>
    <w:rsid w:val="00CB3D05"/>
    <w:rsid w:val="00D020B0"/>
    <w:rsid w:val="00D0579C"/>
    <w:rsid w:val="00D11748"/>
    <w:rsid w:val="00D366CF"/>
    <w:rsid w:val="00D94A5A"/>
    <w:rsid w:val="00DB0D95"/>
    <w:rsid w:val="00E108AA"/>
    <w:rsid w:val="00E31812"/>
    <w:rsid w:val="00E3749A"/>
    <w:rsid w:val="00E71219"/>
    <w:rsid w:val="00E73257"/>
    <w:rsid w:val="00E7437F"/>
    <w:rsid w:val="00E865B8"/>
    <w:rsid w:val="00EC0B9B"/>
    <w:rsid w:val="00ED5E9F"/>
    <w:rsid w:val="00F66D4F"/>
    <w:rsid w:val="00F92F82"/>
    <w:rsid w:val="00FB13ED"/>
    <w:rsid w:val="00FB6D01"/>
    <w:rsid w:val="00FC2650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822A8-34E9-4ECB-A95F-A504510D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2720</Words>
  <Characters>17346</Characters>
  <Application>Microsoft Office Word</Application>
  <DocSecurity>0</DocSecurity>
  <Lines>144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2023031734, var. 12, pkt. 4.4, 4.8 og 4.9 </dc:description>
  <cp:lastModifiedBy>Gitte Jørgensen</cp:lastModifiedBy>
  <cp:revision>11</cp:revision>
  <cp:lastPrinted>2012-08-22T08:53:00Z</cp:lastPrinted>
  <dcterms:created xsi:type="dcterms:W3CDTF">2024-03-26T07:47:00Z</dcterms:created>
  <dcterms:modified xsi:type="dcterms:W3CDTF">2024-03-26T08:41:00Z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