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BC64" w14:textId="77777777" w:rsidR="009260DE" w:rsidRPr="0081492A" w:rsidRDefault="0021526C" w:rsidP="009260DE">
      <w:pPr>
        <w:rPr>
          <w:sz w:val="24"/>
          <w:szCs w:val="24"/>
        </w:rPr>
      </w:pPr>
      <w:bookmarkStart w:id="0" w:name="_GoBack"/>
      <w:bookmarkEnd w:id="0"/>
      <w:r w:rsidRPr="0081492A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7826F83" wp14:editId="01FC9FF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81492A">
        <w:rPr>
          <w:sz w:val="24"/>
          <w:szCs w:val="24"/>
        </w:rPr>
        <w:br w:type="textWrapping" w:clear="all"/>
      </w:r>
    </w:p>
    <w:p w14:paraId="1DB69D2F" w14:textId="0E2437B9" w:rsidR="009260DE" w:rsidRPr="0081492A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81492A">
        <w:rPr>
          <w:b w:val="0"/>
          <w:szCs w:val="24"/>
          <w:lang w:eastAsia="en-US"/>
        </w:rPr>
        <w:tab/>
      </w:r>
      <w:r w:rsidR="005E464B">
        <w:rPr>
          <w:szCs w:val="24"/>
        </w:rPr>
        <w:t>27. juni 2022</w:t>
      </w:r>
    </w:p>
    <w:p w14:paraId="01B8C9A7" w14:textId="77777777" w:rsidR="009260DE" w:rsidRPr="0081492A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91CBA46" w14:textId="77777777" w:rsidR="009260DE" w:rsidRPr="0081492A" w:rsidRDefault="009260DE" w:rsidP="009260DE">
      <w:pPr>
        <w:pStyle w:val="Titel"/>
        <w:jc w:val="left"/>
        <w:rPr>
          <w:b w:val="0"/>
          <w:szCs w:val="24"/>
        </w:rPr>
      </w:pPr>
    </w:p>
    <w:p w14:paraId="4E22E885" w14:textId="77777777" w:rsidR="009260DE" w:rsidRPr="0081492A" w:rsidRDefault="009260DE" w:rsidP="009260DE">
      <w:pPr>
        <w:pStyle w:val="Titel"/>
        <w:jc w:val="left"/>
        <w:rPr>
          <w:b w:val="0"/>
          <w:szCs w:val="24"/>
        </w:rPr>
      </w:pPr>
    </w:p>
    <w:p w14:paraId="2C3F2609" w14:textId="77777777" w:rsidR="009260DE" w:rsidRPr="0081492A" w:rsidRDefault="009260DE" w:rsidP="009260DE">
      <w:pPr>
        <w:jc w:val="center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PRODUKTRESUMÉ</w:t>
      </w:r>
    </w:p>
    <w:p w14:paraId="0DA2FA71" w14:textId="77777777" w:rsidR="009260DE" w:rsidRPr="0081492A" w:rsidRDefault="009260DE" w:rsidP="009260DE">
      <w:pPr>
        <w:jc w:val="center"/>
        <w:rPr>
          <w:b/>
          <w:sz w:val="24"/>
          <w:szCs w:val="24"/>
        </w:rPr>
      </w:pPr>
    </w:p>
    <w:p w14:paraId="406E8C5B" w14:textId="77777777" w:rsidR="009260DE" w:rsidRPr="0081492A" w:rsidRDefault="009260DE" w:rsidP="009260DE">
      <w:pPr>
        <w:jc w:val="center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for</w:t>
      </w:r>
    </w:p>
    <w:p w14:paraId="6C0B4796" w14:textId="77777777" w:rsidR="000B058C" w:rsidRPr="0081492A" w:rsidRDefault="000B058C" w:rsidP="009260DE">
      <w:pPr>
        <w:jc w:val="center"/>
        <w:rPr>
          <w:b/>
          <w:sz w:val="24"/>
          <w:szCs w:val="24"/>
        </w:rPr>
      </w:pPr>
    </w:p>
    <w:p w14:paraId="07C63F1B" w14:textId="397EBB49" w:rsidR="009260DE" w:rsidRPr="0081492A" w:rsidRDefault="007A1634" w:rsidP="009260DE">
      <w:pPr>
        <w:jc w:val="center"/>
        <w:rPr>
          <w:b/>
          <w:sz w:val="24"/>
          <w:szCs w:val="24"/>
        </w:rPr>
      </w:pPr>
      <w:proofErr w:type="spellStart"/>
      <w:r w:rsidRPr="0081492A">
        <w:rPr>
          <w:b/>
          <w:sz w:val="24"/>
          <w:szCs w:val="24"/>
        </w:rPr>
        <w:t>Sebadrin</w:t>
      </w:r>
      <w:proofErr w:type="spellEnd"/>
      <w:r w:rsidRPr="0081492A">
        <w:rPr>
          <w:b/>
          <w:sz w:val="24"/>
          <w:szCs w:val="24"/>
        </w:rPr>
        <w:t xml:space="preserve">, </w:t>
      </w:r>
      <w:r w:rsidR="00764B4E" w:rsidRPr="0081492A">
        <w:rPr>
          <w:b/>
          <w:sz w:val="24"/>
          <w:szCs w:val="24"/>
        </w:rPr>
        <w:t>injektionsvæske, opløsning</w:t>
      </w:r>
    </w:p>
    <w:p w14:paraId="5B6F9ACA" w14:textId="77777777" w:rsidR="009260DE" w:rsidRPr="0081492A" w:rsidRDefault="009260DE" w:rsidP="009260DE">
      <w:pPr>
        <w:jc w:val="both"/>
        <w:rPr>
          <w:sz w:val="24"/>
          <w:szCs w:val="24"/>
        </w:rPr>
      </w:pPr>
    </w:p>
    <w:p w14:paraId="6392291F" w14:textId="77777777" w:rsidR="009260DE" w:rsidRPr="0081492A" w:rsidRDefault="009260DE" w:rsidP="00F77170">
      <w:pPr>
        <w:jc w:val="both"/>
        <w:rPr>
          <w:sz w:val="24"/>
          <w:szCs w:val="24"/>
        </w:rPr>
      </w:pPr>
    </w:p>
    <w:p w14:paraId="7940801F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0.</w:t>
      </w:r>
      <w:r w:rsidRPr="0081492A">
        <w:rPr>
          <w:b/>
          <w:sz w:val="24"/>
          <w:szCs w:val="24"/>
        </w:rPr>
        <w:tab/>
        <w:t>D.SP.NR.</w:t>
      </w:r>
    </w:p>
    <w:p w14:paraId="3A801AC0" w14:textId="70413C6E" w:rsidR="009260DE" w:rsidRPr="0081492A" w:rsidRDefault="00764B4E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32240</w:t>
      </w:r>
    </w:p>
    <w:p w14:paraId="5F8F0A65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D8EABF2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1.</w:t>
      </w:r>
      <w:r w:rsidRPr="0081492A">
        <w:rPr>
          <w:b/>
          <w:sz w:val="24"/>
          <w:szCs w:val="24"/>
        </w:rPr>
        <w:tab/>
        <w:t>LÆGEMIDLETS NAVN</w:t>
      </w:r>
    </w:p>
    <w:p w14:paraId="356721EE" w14:textId="410E9E16" w:rsidR="009260DE" w:rsidRPr="0081492A" w:rsidRDefault="00764B4E" w:rsidP="00F77170">
      <w:pPr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Sebadrin</w:t>
      </w:r>
      <w:proofErr w:type="spellEnd"/>
    </w:p>
    <w:p w14:paraId="508D7815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5E44A88D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2.</w:t>
      </w:r>
      <w:r w:rsidRPr="0081492A">
        <w:rPr>
          <w:b/>
          <w:sz w:val="24"/>
          <w:szCs w:val="24"/>
        </w:rPr>
        <w:tab/>
        <w:t>KVALITATIV OG KVANTITATIV SAMMENSÆTNING</w:t>
      </w:r>
    </w:p>
    <w:p w14:paraId="234C9969" w14:textId="77777777" w:rsidR="001673CD" w:rsidRPr="0081492A" w:rsidRDefault="001673CD" w:rsidP="00F7717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1 ml injektionsvæske, opløsning (= én ampul) indeholder 50 mg </w:t>
      </w:r>
      <w:proofErr w:type="spellStart"/>
      <w:r w:rsidRPr="0081492A">
        <w:rPr>
          <w:sz w:val="24"/>
          <w:szCs w:val="24"/>
        </w:rPr>
        <w:t>ephedrinhydrochlorid</w:t>
      </w:r>
      <w:proofErr w:type="spellEnd"/>
      <w:r w:rsidRPr="0081492A">
        <w:rPr>
          <w:sz w:val="24"/>
          <w:szCs w:val="24"/>
        </w:rPr>
        <w:t>.</w:t>
      </w:r>
    </w:p>
    <w:p w14:paraId="4CA60CDD" w14:textId="77777777" w:rsidR="001673CD" w:rsidRPr="0081492A" w:rsidRDefault="001673CD" w:rsidP="00F77170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9484B36" w14:textId="77777777" w:rsidR="001673CD" w:rsidRPr="0081492A" w:rsidRDefault="001673CD" w:rsidP="00F7717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1492A">
        <w:rPr>
          <w:sz w:val="24"/>
          <w:szCs w:val="24"/>
        </w:rPr>
        <w:t>Alle hjælpestoffer er anført under pkt. 6.1.</w:t>
      </w:r>
    </w:p>
    <w:p w14:paraId="0EC1612B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2BB95F2D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3.</w:t>
      </w:r>
      <w:r w:rsidRPr="0081492A">
        <w:rPr>
          <w:b/>
          <w:sz w:val="24"/>
          <w:szCs w:val="24"/>
        </w:rPr>
        <w:tab/>
        <w:t>LÆGEMIDDELFORM</w:t>
      </w:r>
    </w:p>
    <w:p w14:paraId="391684D1" w14:textId="77777777" w:rsidR="001673CD" w:rsidRPr="0081492A" w:rsidRDefault="001673CD" w:rsidP="00F77170">
      <w:pPr>
        <w:ind w:left="851"/>
        <w:rPr>
          <w:iCs/>
          <w:sz w:val="24"/>
          <w:szCs w:val="24"/>
        </w:rPr>
      </w:pPr>
      <w:r w:rsidRPr="0081492A">
        <w:rPr>
          <w:sz w:val="24"/>
          <w:szCs w:val="24"/>
        </w:rPr>
        <w:t>Injektionsvæske, opløsning</w:t>
      </w:r>
    </w:p>
    <w:p w14:paraId="2FF207DD" w14:textId="2ABBF065" w:rsidR="001673CD" w:rsidRPr="0081492A" w:rsidRDefault="001673CD" w:rsidP="00F77170">
      <w:pPr>
        <w:ind w:left="851"/>
        <w:rPr>
          <w:iCs/>
          <w:sz w:val="24"/>
          <w:szCs w:val="24"/>
        </w:rPr>
      </w:pPr>
      <w:r w:rsidRPr="0081492A">
        <w:rPr>
          <w:sz w:val="24"/>
          <w:szCs w:val="24"/>
        </w:rPr>
        <w:t>Klar, farveløs opløsning, der praktisk taget ikke indeholder partikler</w:t>
      </w:r>
      <w:r w:rsidR="009070DD">
        <w:rPr>
          <w:sz w:val="24"/>
          <w:szCs w:val="24"/>
        </w:rPr>
        <w:t>.</w:t>
      </w:r>
    </w:p>
    <w:p w14:paraId="73247D21" w14:textId="77777777" w:rsidR="001673CD" w:rsidRPr="0081492A" w:rsidRDefault="001673CD" w:rsidP="00F77170">
      <w:pPr>
        <w:ind w:left="851"/>
        <w:rPr>
          <w:iCs/>
          <w:sz w:val="24"/>
          <w:szCs w:val="24"/>
        </w:rPr>
      </w:pPr>
      <w:r w:rsidRPr="0081492A">
        <w:rPr>
          <w:sz w:val="24"/>
          <w:szCs w:val="24"/>
        </w:rPr>
        <w:t>pH: 5,0-6,5</w:t>
      </w:r>
    </w:p>
    <w:p w14:paraId="59E13EA4" w14:textId="77777777" w:rsidR="001673CD" w:rsidRPr="0081492A" w:rsidRDefault="001673CD" w:rsidP="00F77170">
      <w:pPr>
        <w:ind w:left="851"/>
        <w:rPr>
          <w:iCs/>
          <w:sz w:val="24"/>
          <w:szCs w:val="24"/>
        </w:rPr>
      </w:pPr>
      <w:proofErr w:type="spellStart"/>
      <w:r w:rsidRPr="0081492A">
        <w:rPr>
          <w:sz w:val="24"/>
          <w:szCs w:val="24"/>
        </w:rPr>
        <w:t>Osmolalitet</w:t>
      </w:r>
      <w:proofErr w:type="spellEnd"/>
      <w:r w:rsidRPr="0081492A">
        <w:rPr>
          <w:sz w:val="24"/>
          <w:szCs w:val="24"/>
        </w:rPr>
        <w:t>: 430-510 </w:t>
      </w:r>
      <w:proofErr w:type="spellStart"/>
      <w:r w:rsidRPr="0081492A">
        <w:rPr>
          <w:sz w:val="24"/>
          <w:szCs w:val="24"/>
        </w:rPr>
        <w:t>mOsm</w:t>
      </w:r>
      <w:proofErr w:type="spellEnd"/>
      <w:r w:rsidRPr="0081492A">
        <w:rPr>
          <w:sz w:val="24"/>
          <w:szCs w:val="24"/>
        </w:rPr>
        <w:t>/kg</w:t>
      </w:r>
    </w:p>
    <w:p w14:paraId="68BBE5C4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B6A762F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E44B02F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</w:t>
      </w:r>
      <w:r w:rsidRPr="0081492A">
        <w:rPr>
          <w:b/>
          <w:sz w:val="24"/>
          <w:szCs w:val="24"/>
        </w:rPr>
        <w:tab/>
        <w:t>KLINISKE OPLYSNINGER</w:t>
      </w:r>
    </w:p>
    <w:p w14:paraId="7C27BD02" w14:textId="77777777" w:rsidR="009260DE" w:rsidRPr="0081492A" w:rsidRDefault="009260DE" w:rsidP="00F77170">
      <w:pPr>
        <w:ind w:left="851"/>
        <w:rPr>
          <w:b/>
          <w:sz w:val="24"/>
          <w:szCs w:val="24"/>
        </w:rPr>
      </w:pPr>
    </w:p>
    <w:p w14:paraId="1B8AEFF0" w14:textId="77777777" w:rsidR="009260DE" w:rsidRPr="0081492A" w:rsidRDefault="009260DE" w:rsidP="00F77170">
      <w:pPr>
        <w:ind w:left="851" w:hanging="851"/>
        <w:rPr>
          <w:b/>
          <w:sz w:val="24"/>
          <w:szCs w:val="24"/>
          <w:u w:val="single"/>
        </w:rPr>
      </w:pPr>
      <w:r w:rsidRPr="0081492A">
        <w:rPr>
          <w:b/>
          <w:sz w:val="24"/>
          <w:szCs w:val="24"/>
        </w:rPr>
        <w:t>4.1</w:t>
      </w:r>
      <w:r w:rsidRPr="0081492A">
        <w:rPr>
          <w:b/>
          <w:sz w:val="24"/>
          <w:szCs w:val="24"/>
        </w:rPr>
        <w:tab/>
        <w:t>Terapeutiske indikationer</w:t>
      </w:r>
    </w:p>
    <w:p w14:paraId="7EE33900" w14:textId="77777777" w:rsidR="001673CD" w:rsidRPr="0081492A" w:rsidRDefault="001673C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Hypotension i forbindelse med spinal, </w:t>
      </w:r>
      <w:proofErr w:type="spellStart"/>
      <w:r w:rsidRPr="0081492A">
        <w:rPr>
          <w:sz w:val="24"/>
          <w:szCs w:val="24"/>
        </w:rPr>
        <w:t>epidural</w:t>
      </w:r>
      <w:proofErr w:type="spellEnd"/>
      <w:r w:rsidRPr="0081492A">
        <w:rPr>
          <w:sz w:val="24"/>
          <w:szCs w:val="24"/>
        </w:rPr>
        <w:t xml:space="preserve"> eller generel anæstesi hos voksne og unge (i alderen 12-17 år).</w:t>
      </w:r>
    </w:p>
    <w:p w14:paraId="3A14235C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319D52EB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4.2</w:t>
      </w:r>
      <w:r w:rsidRPr="0081492A">
        <w:rPr>
          <w:b/>
          <w:sz w:val="24"/>
          <w:szCs w:val="24"/>
        </w:rPr>
        <w:tab/>
        <w:t>Dosering og indgivelsesmåde</w:t>
      </w:r>
    </w:p>
    <w:p w14:paraId="1E8EDB99" w14:textId="77777777" w:rsidR="001673CD" w:rsidRPr="0081492A" w:rsidRDefault="001673CD" w:rsidP="00F77170">
      <w:pPr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må kun anvendes på hospitaler af eller under opsyn af en narkoselæge.</w:t>
      </w:r>
    </w:p>
    <w:p w14:paraId="698B2DA8" w14:textId="77777777" w:rsidR="001673CD" w:rsidRPr="0081492A" w:rsidRDefault="001673CD" w:rsidP="00F77170">
      <w:pPr>
        <w:ind w:left="851"/>
        <w:rPr>
          <w:noProof/>
          <w:sz w:val="24"/>
          <w:szCs w:val="24"/>
          <w:u w:val="single"/>
        </w:rPr>
      </w:pPr>
    </w:p>
    <w:p w14:paraId="1B638543" w14:textId="77777777" w:rsidR="001673CD" w:rsidRPr="0081492A" w:rsidRDefault="001673CD" w:rsidP="00F77170">
      <w:pPr>
        <w:suppressAutoHyphens/>
        <w:ind w:left="851"/>
        <w:rPr>
          <w:sz w:val="24"/>
          <w:szCs w:val="24"/>
          <w:u w:val="single"/>
        </w:rPr>
      </w:pPr>
      <w:r w:rsidRPr="0081492A">
        <w:rPr>
          <w:sz w:val="24"/>
          <w:szCs w:val="24"/>
          <w:u w:val="single"/>
        </w:rPr>
        <w:t>Dosering</w:t>
      </w:r>
    </w:p>
    <w:p w14:paraId="53FC1F26" w14:textId="77777777" w:rsidR="001673CD" w:rsidRPr="0081492A" w:rsidRDefault="001673CD" w:rsidP="00F77170">
      <w:pPr>
        <w:ind w:left="851" w:right="848"/>
        <w:rPr>
          <w:color w:val="000000"/>
          <w:sz w:val="24"/>
          <w:szCs w:val="24"/>
        </w:rPr>
      </w:pPr>
      <w:r w:rsidRPr="0081492A">
        <w:rPr>
          <w:i/>
          <w:iCs/>
          <w:color w:val="000000"/>
          <w:sz w:val="24"/>
          <w:szCs w:val="24"/>
        </w:rPr>
        <w:t>Voksne og unge (i alderen 12-17 år):</w:t>
      </w:r>
      <w:r w:rsidRPr="0081492A">
        <w:rPr>
          <w:color w:val="000000"/>
          <w:sz w:val="24"/>
          <w:szCs w:val="24"/>
        </w:rPr>
        <w:br/>
        <w:t>Langsom intravenøs injektion af 5 til 10 mg, gentaget efter behov hvert 3.-4. minut. I tilfælde af manglende virkning efter 30 mg skal valget af lægemiddel genovervejes.</w:t>
      </w:r>
    </w:p>
    <w:p w14:paraId="0A43DD68" w14:textId="77777777" w:rsidR="001673CD" w:rsidRPr="0081492A" w:rsidRDefault="001673CD" w:rsidP="00F77170">
      <w:pPr>
        <w:ind w:left="851" w:right="848"/>
        <w:rPr>
          <w:color w:val="010302"/>
          <w:sz w:val="24"/>
          <w:szCs w:val="24"/>
        </w:rPr>
      </w:pPr>
      <w:r w:rsidRPr="0081492A">
        <w:rPr>
          <w:color w:val="010302"/>
          <w:sz w:val="24"/>
          <w:szCs w:val="24"/>
        </w:rPr>
        <w:t>Den totale døgndosis må ikke overskride 150 mg.</w:t>
      </w:r>
    </w:p>
    <w:p w14:paraId="6891A822" w14:textId="07021ADA" w:rsidR="009070DD" w:rsidRDefault="009070DD">
      <w:pPr>
        <w:rPr>
          <w:color w:val="010302"/>
          <w:sz w:val="24"/>
          <w:szCs w:val="24"/>
        </w:rPr>
      </w:pPr>
      <w:r>
        <w:rPr>
          <w:color w:val="010302"/>
          <w:sz w:val="24"/>
          <w:szCs w:val="24"/>
        </w:rPr>
        <w:br w:type="page"/>
      </w:r>
    </w:p>
    <w:p w14:paraId="76CCCD99" w14:textId="77777777" w:rsidR="001673CD" w:rsidRPr="0081492A" w:rsidRDefault="001673CD" w:rsidP="00F77170">
      <w:pPr>
        <w:ind w:left="851" w:right="848"/>
        <w:rPr>
          <w:color w:val="010302"/>
          <w:sz w:val="24"/>
          <w:szCs w:val="24"/>
        </w:rPr>
      </w:pPr>
    </w:p>
    <w:p w14:paraId="36EC19E3" w14:textId="77777777" w:rsidR="001673CD" w:rsidRPr="0081492A" w:rsidRDefault="001673CD" w:rsidP="00F77170">
      <w:pPr>
        <w:ind w:left="851"/>
        <w:rPr>
          <w:i/>
          <w:iCs/>
          <w:color w:val="010302"/>
          <w:sz w:val="24"/>
          <w:szCs w:val="24"/>
        </w:rPr>
      </w:pPr>
      <w:bookmarkStart w:id="1" w:name="_Hlk73453805"/>
      <w:r w:rsidRPr="0081492A">
        <w:rPr>
          <w:i/>
          <w:iCs/>
          <w:color w:val="000000"/>
          <w:sz w:val="24"/>
          <w:szCs w:val="24"/>
        </w:rPr>
        <w:t>Spædbørn og børn under 12 år:</w:t>
      </w:r>
      <w:r w:rsidRPr="0081492A">
        <w:rPr>
          <w:i/>
          <w:iCs/>
          <w:sz w:val="24"/>
          <w:szCs w:val="24"/>
        </w:rPr>
        <w:t xml:space="preserve"> </w:t>
      </w:r>
    </w:p>
    <w:p w14:paraId="1AA9E4C5" w14:textId="77777777" w:rsidR="001673CD" w:rsidRPr="0081492A" w:rsidRDefault="001673CD" w:rsidP="00F77170">
      <w:pPr>
        <w:ind w:left="851"/>
        <w:rPr>
          <w:sz w:val="24"/>
          <w:szCs w:val="24"/>
        </w:rPr>
      </w:pPr>
      <w:r w:rsidRPr="0081492A">
        <w:rPr>
          <w:color w:val="000000"/>
          <w:sz w:val="24"/>
          <w:szCs w:val="24"/>
        </w:rPr>
        <w:t>Der er ikke fastlagt en sikker og effektiv dosis til børn i alderen 0-11 år.</w:t>
      </w:r>
      <w:r w:rsidRPr="0081492A">
        <w:rPr>
          <w:sz w:val="24"/>
          <w:szCs w:val="24"/>
        </w:rPr>
        <w:t xml:space="preserve"> </w:t>
      </w:r>
    </w:p>
    <w:p w14:paraId="02BA221A" w14:textId="77777777" w:rsidR="001673CD" w:rsidRPr="0081492A" w:rsidRDefault="001673CD" w:rsidP="00F77170">
      <w:pPr>
        <w:ind w:left="851"/>
        <w:rPr>
          <w:sz w:val="24"/>
          <w:szCs w:val="24"/>
        </w:rPr>
      </w:pPr>
    </w:p>
    <w:p w14:paraId="39BAEC54" w14:textId="77777777" w:rsidR="001673CD" w:rsidRPr="0081492A" w:rsidRDefault="001673CD" w:rsidP="00F77170">
      <w:pPr>
        <w:ind w:left="851"/>
        <w:rPr>
          <w:i/>
          <w:iCs/>
          <w:color w:val="010302"/>
          <w:sz w:val="24"/>
          <w:szCs w:val="24"/>
        </w:rPr>
      </w:pPr>
      <w:r w:rsidRPr="0081492A">
        <w:rPr>
          <w:i/>
          <w:iCs/>
          <w:color w:val="010302"/>
          <w:sz w:val="24"/>
          <w:szCs w:val="24"/>
        </w:rPr>
        <w:t>Særlige populationer</w:t>
      </w:r>
    </w:p>
    <w:p w14:paraId="530924CA" w14:textId="77777777" w:rsidR="001673CD" w:rsidRPr="0081492A" w:rsidRDefault="001673CD" w:rsidP="00F77170">
      <w:pPr>
        <w:ind w:left="851"/>
        <w:rPr>
          <w:color w:val="010302"/>
          <w:sz w:val="24"/>
          <w:szCs w:val="24"/>
        </w:rPr>
      </w:pPr>
      <w:r w:rsidRPr="0081492A">
        <w:rPr>
          <w:color w:val="010302"/>
          <w:sz w:val="24"/>
          <w:szCs w:val="24"/>
        </w:rPr>
        <w:t xml:space="preserve">Hos ældre ≥ 85 år kan der være et øget behov for </w:t>
      </w:r>
      <w:proofErr w:type="spellStart"/>
      <w:r w:rsidRPr="0081492A">
        <w:rPr>
          <w:color w:val="010302"/>
          <w:sz w:val="24"/>
          <w:szCs w:val="24"/>
        </w:rPr>
        <w:t>ephedrin</w:t>
      </w:r>
      <w:proofErr w:type="spellEnd"/>
      <w:r w:rsidRPr="0081492A">
        <w:rPr>
          <w:color w:val="010302"/>
          <w:sz w:val="24"/>
          <w:szCs w:val="24"/>
        </w:rPr>
        <w:t xml:space="preserve"> for at justere hypotension efter anæstesi som følge af nedsat systemisk </w:t>
      </w:r>
      <w:proofErr w:type="spellStart"/>
      <w:r w:rsidRPr="0081492A">
        <w:rPr>
          <w:color w:val="010302"/>
          <w:sz w:val="24"/>
          <w:szCs w:val="24"/>
        </w:rPr>
        <w:t>vaskulær</w:t>
      </w:r>
      <w:proofErr w:type="spellEnd"/>
      <w:r w:rsidRPr="0081492A">
        <w:rPr>
          <w:color w:val="010302"/>
          <w:sz w:val="24"/>
          <w:szCs w:val="24"/>
        </w:rPr>
        <w:t xml:space="preserve"> modstand.</w:t>
      </w:r>
    </w:p>
    <w:p w14:paraId="20D534CC" w14:textId="77777777" w:rsidR="001673CD" w:rsidRPr="0081492A" w:rsidRDefault="001673CD" w:rsidP="00F77170">
      <w:pPr>
        <w:ind w:left="851"/>
        <w:rPr>
          <w:color w:val="010302"/>
          <w:sz w:val="24"/>
          <w:szCs w:val="24"/>
        </w:rPr>
      </w:pPr>
    </w:p>
    <w:p w14:paraId="2E5740AA" w14:textId="77777777" w:rsidR="001673CD" w:rsidRPr="0081492A" w:rsidRDefault="001673CD" w:rsidP="00F77170">
      <w:pPr>
        <w:ind w:left="851"/>
        <w:rPr>
          <w:color w:val="010302"/>
          <w:sz w:val="24"/>
          <w:szCs w:val="24"/>
        </w:rPr>
      </w:pPr>
      <w:r w:rsidRPr="0081492A">
        <w:rPr>
          <w:color w:val="010302"/>
          <w:sz w:val="24"/>
          <w:szCs w:val="24"/>
        </w:rPr>
        <w:t xml:space="preserve">Ved administration af </w:t>
      </w:r>
      <w:proofErr w:type="spellStart"/>
      <w:r w:rsidRPr="0081492A">
        <w:rPr>
          <w:color w:val="010302"/>
          <w:sz w:val="24"/>
          <w:szCs w:val="24"/>
        </w:rPr>
        <w:t>ephedrin</w:t>
      </w:r>
      <w:proofErr w:type="spellEnd"/>
      <w:r w:rsidRPr="0081492A">
        <w:rPr>
          <w:color w:val="010302"/>
          <w:sz w:val="24"/>
          <w:szCs w:val="24"/>
        </w:rPr>
        <w:t xml:space="preserve"> hos patienter med svært nedsat nyrefunktion, bør det tages i </w:t>
      </w:r>
    </w:p>
    <w:p w14:paraId="64588954" w14:textId="77777777" w:rsidR="001673CD" w:rsidRPr="0081492A" w:rsidRDefault="001673CD" w:rsidP="00F77170">
      <w:pPr>
        <w:ind w:left="851"/>
        <w:rPr>
          <w:color w:val="010302"/>
          <w:sz w:val="24"/>
          <w:szCs w:val="24"/>
        </w:rPr>
      </w:pPr>
      <w:r w:rsidRPr="0081492A">
        <w:rPr>
          <w:color w:val="010302"/>
          <w:sz w:val="24"/>
          <w:szCs w:val="24"/>
        </w:rPr>
        <w:t xml:space="preserve">betragtning, at størstedelen af </w:t>
      </w:r>
      <w:proofErr w:type="spellStart"/>
      <w:r w:rsidRPr="0081492A">
        <w:rPr>
          <w:color w:val="010302"/>
          <w:sz w:val="24"/>
          <w:szCs w:val="24"/>
        </w:rPr>
        <w:t>ephedrin</w:t>
      </w:r>
      <w:proofErr w:type="spellEnd"/>
      <w:r w:rsidRPr="0081492A">
        <w:rPr>
          <w:color w:val="010302"/>
          <w:sz w:val="24"/>
          <w:szCs w:val="24"/>
        </w:rPr>
        <w:t xml:space="preserve"> bliver udskilt </w:t>
      </w:r>
      <w:proofErr w:type="spellStart"/>
      <w:r w:rsidRPr="0081492A">
        <w:rPr>
          <w:color w:val="010302"/>
          <w:sz w:val="24"/>
          <w:szCs w:val="24"/>
        </w:rPr>
        <w:t>uomdannet</w:t>
      </w:r>
      <w:proofErr w:type="spellEnd"/>
      <w:r w:rsidRPr="0081492A">
        <w:rPr>
          <w:color w:val="010302"/>
          <w:sz w:val="24"/>
          <w:szCs w:val="24"/>
        </w:rPr>
        <w:t xml:space="preserve"> i urinen. Se pkt. 4.4 og 5.2.</w:t>
      </w:r>
    </w:p>
    <w:bookmarkEnd w:id="1"/>
    <w:p w14:paraId="339957F9" w14:textId="77777777" w:rsidR="001673CD" w:rsidRPr="0081492A" w:rsidRDefault="001673CD" w:rsidP="00F77170">
      <w:pPr>
        <w:ind w:left="851"/>
        <w:rPr>
          <w:sz w:val="24"/>
          <w:szCs w:val="24"/>
        </w:rPr>
      </w:pPr>
    </w:p>
    <w:p w14:paraId="1CD0B9FC" w14:textId="77777777" w:rsidR="001673CD" w:rsidRPr="0081492A" w:rsidRDefault="001673CD" w:rsidP="00F77170">
      <w:pPr>
        <w:ind w:left="851"/>
        <w:rPr>
          <w:sz w:val="24"/>
          <w:szCs w:val="24"/>
          <w:u w:val="single"/>
        </w:rPr>
      </w:pPr>
      <w:r w:rsidRPr="0081492A">
        <w:rPr>
          <w:sz w:val="24"/>
          <w:szCs w:val="24"/>
          <w:u w:val="single"/>
        </w:rPr>
        <w:t>Administration</w:t>
      </w:r>
    </w:p>
    <w:p w14:paraId="0E7BB9D0" w14:textId="77777777" w:rsidR="001673CD" w:rsidRPr="0081492A" w:rsidRDefault="001673C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Til intravenøs anvendelse.</w:t>
      </w:r>
    </w:p>
    <w:p w14:paraId="660C5931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2C6A31E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4.3</w:t>
      </w:r>
      <w:r w:rsidRPr="0081492A">
        <w:rPr>
          <w:b/>
          <w:sz w:val="24"/>
          <w:szCs w:val="24"/>
        </w:rPr>
        <w:tab/>
        <w:t>Kontraindikationer</w:t>
      </w:r>
    </w:p>
    <w:p w14:paraId="206F6DC0" w14:textId="77777777" w:rsidR="001673CD" w:rsidRPr="0081492A" w:rsidRDefault="001673CD" w:rsidP="00F77170">
      <w:pPr>
        <w:ind w:left="851"/>
        <w:rPr>
          <w:sz w:val="24"/>
          <w:szCs w:val="24"/>
        </w:rPr>
      </w:pPr>
      <w:bookmarkStart w:id="2" w:name="_Hlk75106694"/>
      <w:r w:rsidRPr="0081492A">
        <w:rPr>
          <w:sz w:val="24"/>
          <w:szCs w:val="24"/>
        </w:rPr>
        <w:t>Overfølsomhed over for det aktive stof eller over for et eller flere af hjælpestofferne anført i pkt. 6.1.</w:t>
      </w:r>
      <w:bookmarkEnd w:id="2"/>
    </w:p>
    <w:p w14:paraId="6DFC8617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BB120DC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4.4</w:t>
      </w:r>
      <w:r w:rsidRPr="0081492A">
        <w:rPr>
          <w:b/>
          <w:sz w:val="24"/>
          <w:szCs w:val="24"/>
        </w:rPr>
        <w:tab/>
        <w:t>Særlige advarsler og forsigtighedsregler vedrørende brugen</w:t>
      </w:r>
    </w:p>
    <w:p w14:paraId="3315FBF3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bør anvendes med forsigtighed hos patienter med:</w:t>
      </w:r>
    </w:p>
    <w:p w14:paraId="6D6F5F2F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1492A">
        <w:rPr>
          <w:sz w:val="24"/>
          <w:szCs w:val="24"/>
        </w:rPr>
        <w:t>Hypertension</w:t>
      </w:r>
    </w:p>
    <w:p w14:paraId="64A379F8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Kardiovaskulær</w:t>
      </w:r>
      <w:proofErr w:type="spellEnd"/>
      <w:r w:rsidRPr="0081492A">
        <w:rPr>
          <w:sz w:val="24"/>
          <w:szCs w:val="24"/>
        </w:rPr>
        <w:t xml:space="preserve"> sygdom</w:t>
      </w:r>
    </w:p>
    <w:p w14:paraId="6E8B0E82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1492A">
        <w:rPr>
          <w:sz w:val="24"/>
          <w:szCs w:val="24"/>
        </w:rPr>
        <w:t>Diabetes Mellitus</w:t>
      </w:r>
    </w:p>
    <w:p w14:paraId="67B89540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Hypertyreose</w:t>
      </w:r>
      <w:proofErr w:type="spellEnd"/>
    </w:p>
    <w:p w14:paraId="2F429430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1492A">
        <w:rPr>
          <w:sz w:val="24"/>
          <w:szCs w:val="24"/>
        </w:rPr>
        <w:t xml:space="preserve">Snævervinklet </w:t>
      </w:r>
      <w:proofErr w:type="spellStart"/>
      <w:r w:rsidRPr="0081492A">
        <w:rPr>
          <w:sz w:val="24"/>
          <w:szCs w:val="24"/>
        </w:rPr>
        <w:t>glaukom</w:t>
      </w:r>
      <w:proofErr w:type="spellEnd"/>
    </w:p>
    <w:p w14:paraId="283BCA68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1492A">
        <w:rPr>
          <w:sz w:val="24"/>
          <w:szCs w:val="24"/>
        </w:rPr>
        <w:t>Prostatahypertrofi</w:t>
      </w:r>
    </w:p>
    <w:p w14:paraId="18D0D0E0" w14:textId="77777777" w:rsidR="008D179D" w:rsidRPr="0081492A" w:rsidRDefault="008D179D" w:rsidP="00F77170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1492A">
        <w:rPr>
          <w:sz w:val="24"/>
          <w:szCs w:val="24"/>
        </w:rPr>
        <w:t>Svært nedsat nyrefunktion</w:t>
      </w:r>
    </w:p>
    <w:p w14:paraId="1DE9D3BB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2E6C62CF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skal udvises stor forsigtighed hos patienter med </w:t>
      </w:r>
      <w:proofErr w:type="spellStart"/>
      <w:r w:rsidRPr="0081492A">
        <w:rPr>
          <w:sz w:val="24"/>
          <w:szCs w:val="24"/>
        </w:rPr>
        <w:t>kardiovaskulær</w:t>
      </w:r>
      <w:proofErr w:type="spellEnd"/>
      <w:r w:rsidRPr="0081492A">
        <w:rPr>
          <w:sz w:val="24"/>
          <w:szCs w:val="24"/>
        </w:rPr>
        <w:t xml:space="preserve"> sygdom, såsom iskæmisk hjertesygdom, </w:t>
      </w:r>
      <w:proofErr w:type="spellStart"/>
      <w:r w:rsidRPr="0081492A">
        <w:rPr>
          <w:sz w:val="24"/>
          <w:szCs w:val="24"/>
        </w:rPr>
        <w:t>arytmi</w:t>
      </w:r>
      <w:proofErr w:type="spellEnd"/>
      <w:r w:rsidRPr="0081492A">
        <w:rPr>
          <w:sz w:val="24"/>
          <w:szCs w:val="24"/>
        </w:rPr>
        <w:t xml:space="preserve"> eller </w:t>
      </w:r>
      <w:proofErr w:type="spellStart"/>
      <w:r w:rsidRPr="0081492A">
        <w:rPr>
          <w:sz w:val="24"/>
          <w:szCs w:val="24"/>
        </w:rPr>
        <w:t>takykardi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okklusiv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vaskulær</w:t>
      </w:r>
      <w:proofErr w:type="spellEnd"/>
      <w:r w:rsidRPr="0081492A">
        <w:rPr>
          <w:sz w:val="24"/>
          <w:szCs w:val="24"/>
        </w:rPr>
        <w:t xml:space="preserve"> sygdom, herunder arteriosklerose, hypertension eller </w:t>
      </w:r>
      <w:proofErr w:type="spellStart"/>
      <w:r w:rsidRPr="0081492A">
        <w:rPr>
          <w:sz w:val="24"/>
          <w:szCs w:val="24"/>
        </w:rPr>
        <w:t>aneurisme</w:t>
      </w:r>
      <w:proofErr w:type="spellEnd"/>
      <w:r w:rsidRPr="0081492A">
        <w:rPr>
          <w:sz w:val="24"/>
          <w:szCs w:val="24"/>
        </w:rPr>
        <w:t>. Der kan forventes anginasmerter hos patienter med angina pectoris.</w:t>
      </w:r>
    </w:p>
    <w:p w14:paraId="0F1769AE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103E00D2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</w:t>
      </w:r>
      <w:bookmarkStart w:id="3" w:name="_Hlk75106888"/>
      <w:r w:rsidRPr="0081492A">
        <w:rPr>
          <w:sz w:val="24"/>
          <w:szCs w:val="24"/>
        </w:rPr>
        <w:t xml:space="preserve">bør anvendes med forsigtighed hos patienter, </w:t>
      </w:r>
      <w:bookmarkEnd w:id="3"/>
      <w:r w:rsidRPr="0081492A">
        <w:rPr>
          <w:sz w:val="24"/>
          <w:szCs w:val="24"/>
        </w:rPr>
        <w:t xml:space="preserve">der gennemgår anæstesi med </w:t>
      </w:r>
      <w:proofErr w:type="spellStart"/>
      <w:r w:rsidRPr="0081492A">
        <w:rPr>
          <w:sz w:val="24"/>
          <w:szCs w:val="24"/>
        </w:rPr>
        <w:t>cyclopropan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halothan</w:t>
      </w:r>
      <w:proofErr w:type="spellEnd"/>
      <w:r w:rsidRPr="0081492A">
        <w:rPr>
          <w:sz w:val="24"/>
          <w:szCs w:val="24"/>
        </w:rPr>
        <w:t xml:space="preserve"> eller andre </w:t>
      </w:r>
      <w:proofErr w:type="spellStart"/>
      <w:r w:rsidRPr="0081492A">
        <w:rPr>
          <w:sz w:val="24"/>
          <w:szCs w:val="24"/>
        </w:rPr>
        <w:t>halogenerede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anæstetika</w:t>
      </w:r>
      <w:proofErr w:type="spellEnd"/>
      <w:r w:rsidRPr="0081492A">
        <w:rPr>
          <w:sz w:val="24"/>
          <w:szCs w:val="24"/>
        </w:rPr>
        <w:t xml:space="preserve">, eftersom de kan forårsage </w:t>
      </w:r>
      <w:proofErr w:type="spellStart"/>
      <w:r w:rsidRPr="0081492A">
        <w:rPr>
          <w:sz w:val="24"/>
          <w:szCs w:val="24"/>
        </w:rPr>
        <w:t>ventrikulære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arytmier</w:t>
      </w:r>
      <w:proofErr w:type="spellEnd"/>
      <w:r w:rsidRPr="0081492A">
        <w:rPr>
          <w:sz w:val="24"/>
          <w:szCs w:val="24"/>
        </w:rPr>
        <w:t>.</w:t>
      </w:r>
    </w:p>
    <w:p w14:paraId="35B22C24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0F542F3B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skal tages højde for den øgede risiko for </w:t>
      </w:r>
      <w:proofErr w:type="spellStart"/>
      <w:r w:rsidRPr="0081492A">
        <w:rPr>
          <w:sz w:val="24"/>
          <w:szCs w:val="24"/>
        </w:rPr>
        <w:t>vasokonstriktion</w:t>
      </w:r>
      <w:proofErr w:type="spellEnd"/>
      <w:r w:rsidRPr="0081492A">
        <w:rPr>
          <w:sz w:val="24"/>
          <w:szCs w:val="24"/>
        </w:rPr>
        <w:t xml:space="preserve"> og/eller akutte </w:t>
      </w:r>
      <w:proofErr w:type="spellStart"/>
      <w:r w:rsidRPr="0081492A">
        <w:rPr>
          <w:sz w:val="24"/>
          <w:szCs w:val="24"/>
        </w:rPr>
        <w:t>hypertensive</w:t>
      </w:r>
      <w:proofErr w:type="spellEnd"/>
      <w:r w:rsidRPr="0081492A">
        <w:rPr>
          <w:sz w:val="24"/>
          <w:szCs w:val="24"/>
        </w:rPr>
        <w:t xml:space="preserve"> perioder ved samtidig administration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og indirekte </w:t>
      </w:r>
      <w:proofErr w:type="spellStart"/>
      <w:r w:rsidRPr="0081492A">
        <w:rPr>
          <w:sz w:val="24"/>
          <w:szCs w:val="24"/>
        </w:rPr>
        <w:t>sympatomimetiske</w:t>
      </w:r>
      <w:proofErr w:type="spellEnd"/>
      <w:r w:rsidRPr="0081492A">
        <w:rPr>
          <w:sz w:val="24"/>
          <w:szCs w:val="24"/>
        </w:rPr>
        <w:t xml:space="preserve"> lægemidler (</w:t>
      </w:r>
      <w:proofErr w:type="spellStart"/>
      <w:r w:rsidRPr="0081492A">
        <w:rPr>
          <w:sz w:val="24"/>
          <w:szCs w:val="24"/>
        </w:rPr>
        <w:t>phenylpropanolamin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pseudoephedrin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phenylephrin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methylphenidat</w:t>
      </w:r>
      <w:proofErr w:type="spellEnd"/>
      <w:r w:rsidRPr="0081492A">
        <w:rPr>
          <w:sz w:val="24"/>
          <w:szCs w:val="24"/>
        </w:rPr>
        <w:t>).</w:t>
      </w:r>
    </w:p>
    <w:p w14:paraId="2BA4AF38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67E2C771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interagerer med </w:t>
      </w:r>
      <w:proofErr w:type="spellStart"/>
      <w:r w:rsidRPr="0081492A">
        <w:rPr>
          <w:sz w:val="24"/>
          <w:szCs w:val="24"/>
        </w:rPr>
        <w:t>monoaminooxidasehæmmere</w:t>
      </w:r>
      <w:proofErr w:type="spellEnd"/>
      <w:r w:rsidRPr="0081492A">
        <w:rPr>
          <w:sz w:val="24"/>
          <w:szCs w:val="24"/>
        </w:rPr>
        <w:t xml:space="preserve"> (MAO-</w:t>
      </w:r>
      <w:proofErr w:type="spellStart"/>
      <w:r w:rsidRPr="0081492A">
        <w:rPr>
          <w:sz w:val="24"/>
          <w:szCs w:val="24"/>
        </w:rPr>
        <w:t>hæmmere</w:t>
      </w:r>
      <w:proofErr w:type="spellEnd"/>
      <w:r w:rsidRPr="0081492A">
        <w:rPr>
          <w:sz w:val="24"/>
          <w:szCs w:val="24"/>
        </w:rPr>
        <w:t xml:space="preserve">) og må ikke gives til patienter, der er i behandling med sådanne lægemidler, eller som har afsluttet en sådan behandling inden for de sidste 14 dage.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og andre </w:t>
      </w:r>
      <w:proofErr w:type="spellStart"/>
      <w:r w:rsidRPr="0081492A">
        <w:rPr>
          <w:sz w:val="24"/>
          <w:szCs w:val="24"/>
        </w:rPr>
        <w:t>sympatomimetika</w:t>
      </w:r>
      <w:proofErr w:type="spellEnd"/>
      <w:r w:rsidRPr="0081492A">
        <w:rPr>
          <w:sz w:val="24"/>
          <w:szCs w:val="24"/>
        </w:rPr>
        <w:t xml:space="preserve"> bør undgås ved brug af reversible MAO-</w:t>
      </w:r>
      <w:proofErr w:type="spellStart"/>
      <w:r w:rsidRPr="0081492A">
        <w:rPr>
          <w:sz w:val="24"/>
          <w:szCs w:val="24"/>
        </w:rPr>
        <w:t>hæmmere</w:t>
      </w:r>
      <w:proofErr w:type="spellEnd"/>
      <w:r w:rsidRPr="0081492A">
        <w:rPr>
          <w:sz w:val="24"/>
          <w:szCs w:val="24"/>
        </w:rPr>
        <w:t xml:space="preserve"> (se pkt. 4.5).</w:t>
      </w:r>
    </w:p>
    <w:p w14:paraId="020A1A90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58A9B7FD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er en øget risiko for </w:t>
      </w:r>
      <w:proofErr w:type="spellStart"/>
      <w:r w:rsidRPr="0081492A">
        <w:rPr>
          <w:sz w:val="24"/>
          <w:szCs w:val="24"/>
        </w:rPr>
        <w:t>arytmier</w:t>
      </w:r>
      <w:proofErr w:type="spellEnd"/>
      <w:r w:rsidRPr="0081492A">
        <w:rPr>
          <w:sz w:val="24"/>
          <w:szCs w:val="24"/>
        </w:rPr>
        <w:t xml:space="preserve">, hvis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gives til patienter, der får hjerteglykosider, </w:t>
      </w:r>
      <w:proofErr w:type="spellStart"/>
      <w:r w:rsidRPr="0081492A">
        <w:rPr>
          <w:sz w:val="24"/>
          <w:szCs w:val="24"/>
        </w:rPr>
        <w:t>quinidin</w:t>
      </w:r>
      <w:proofErr w:type="spellEnd"/>
      <w:r w:rsidRPr="0081492A">
        <w:rPr>
          <w:sz w:val="24"/>
          <w:szCs w:val="24"/>
        </w:rPr>
        <w:t xml:space="preserve"> eller tricykliske </w:t>
      </w:r>
      <w:proofErr w:type="spellStart"/>
      <w:r w:rsidRPr="0081492A">
        <w:rPr>
          <w:sz w:val="24"/>
          <w:szCs w:val="24"/>
        </w:rPr>
        <w:t>antidepressiva</w:t>
      </w:r>
      <w:proofErr w:type="spellEnd"/>
      <w:r w:rsidRPr="0081492A">
        <w:rPr>
          <w:sz w:val="24"/>
          <w:szCs w:val="24"/>
        </w:rPr>
        <w:t>.</w:t>
      </w:r>
    </w:p>
    <w:p w14:paraId="02044F2A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7A5DB819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lastRenderedPageBreak/>
        <w:t>Ephedrin</w:t>
      </w:r>
      <w:proofErr w:type="spellEnd"/>
      <w:r w:rsidRPr="0081492A">
        <w:rPr>
          <w:sz w:val="24"/>
          <w:szCs w:val="24"/>
        </w:rPr>
        <w:t xml:space="preserve"> øger blodtrykket, og der bør udvises særlig forsigtighed hos patienter i </w:t>
      </w:r>
      <w:proofErr w:type="spellStart"/>
      <w:r w:rsidRPr="0081492A">
        <w:rPr>
          <w:sz w:val="24"/>
          <w:szCs w:val="24"/>
        </w:rPr>
        <w:t>antihypertensiv</w:t>
      </w:r>
      <w:proofErr w:type="spellEnd"/>
      <w:r w:rsidRPr="0081492A">
        <w:rPr>
          <w:sz w:val="24"/>
          <w:szCs w:val="24"/>
        </w:rPr>
        <w:t xml:space="preserve"> behandling. Interaktioner mellem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og alfa- eller betablokkere kan være komplicerede.</w:t>
      </w:r>
    </w:p>
    <w:p w14:paraId="786C9FFA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7A422530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Negative metaboliske virkninger af høje </w:t>
      </w:r>
      <w:proofErr w:type="spellStart"/>
      <w:r w:rsidRPr="0081492A">
        <w:rPr>
          <w:sz w:val="24"/>
          <w:szCs w:val="24"/>
        </w:rPr>
        <w:t>ephedrindoser</w:t>
      </w:r>
      <w:proofErr w:type="spellEnd"/>
      <w:r w:rsidRPr="0081492A">
        <w:rPr>
          <w:sz w:val="24"/>
          <w:szCs w:val="24"/>
        </w:rPr>
        <w:t xml:space="preserve"> kan blive forværret ved samtidig brug af høje </w:t>
      </w:r>
      <w:proofErr w:type="spellStart"/>
      <w:r w:rsidRPr="0081492A">
        <w:rPr>
          <w:sz w:val="24"/>
          <w:szCs w:val="24"/>
        </w:rPr>
        <w:t>kortikosteroiddoser</w:t>
      </w:r>
      <w:proofErr w:type="spellEnd"/>
      <w:r w:rsidRPr="0081492A">
        <w:rPr>
          <w:sz w:val="24"/>
          <w:szCs w:val="24"/>
        </w:rPr>
        <w:t xml:space="preserve">. Patienterne skal monitoreres nøje ved samtidig brug af de to lægemidler; denne forsigtighedsregel gælder dog i mindre grad for behandling med inhalerede </w:t>
      </w:r>
      <w:proofErr w:type="spellStart"/>
      <w:r w:rsidRPr="0081492A">
        <w:rPr>
          <w:sz w:val="24"/>
          <w:szCs w:val="24"/>
        </w:rPr>
        <w:t>kortikosteroider</w:t>
      </w:r>
      <w:proofErr w:type="spellEnd"/>
      <w:r w:rsidRPr="0081492A">
        <w:rPr>
          <w:sz w:val="24"/>
          <w:szCs w:val="24"/>
        </w:rPr>
        <w:t>.</w:t>
      </w:r>
    </w:p>
    <w:p w14:paraId="5699ADE1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60B06BED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bookmarkStart w:id="4" w:name="_Hlk75104255"/>
      <w:proofErr w:type="spellStart"/>
      <w:r w:rsidRPr="0081492A">
        <w:rPr>
          <w:sz w:val="24"/>
          <w:szCs w:val="24"/>
        </w:rPr>
        <w:t>Hypokaliæmi</w:t>
      </w:r>
      <w:proofErr w:type="spellEnd"/>
      <w:r w:rsidRPr="0081492A">
        <w:rPr>
          <w:sz w:val="24"/>
          <w:szCs w:val="24"/>
        </w:rPr>
        <w:t xml:space="preserve"> i forbindelse med høje </w:t>
      </w:r>
      <w:proofErr w:type="spellStart"/>
      <w:r w:rsidRPr="0081492A">
        <w:rPr>
          <w:sz w:val="24"/>
          <w:szCs w:val="24"/>
        </w:rPr>
        <w:t>ephedrindoser</w:t>
      </w:r>
      <w:proofErr w:type="spellEnd"/>
      <w:r w:rsidRPr="0081492A">
        <w:rPr>
          <w:sz w:val="24"/>
          <w:szCs w:val="24"/>
        </w:rPr>
        <w:t xml:space="preserve"> kan medføre øget følsomhed for digitalis-induceret </w:t>
      </w:r>
      <w:proofErr w:type="spellStart"/>
      <w:r w:rsidRPr="0081492A">
        <w:rPr>
          <w:sz w:val="24"/>
          <w:szCs w:val="24"/>
        </w:rPr>
        <w:t>hjertearytmi</w:t>
      </w:r>
      <w:proofErr w:type="spellEnd"/>
      <w:r w:rsidRPr="0081492A">
        <w:rPr>
          <w:sz w:val="24"/>
          <w:szCs w:val="24"/>
        </w:rPr>
        <w:t xml:space="preserve">. </w:t>
      </w:r>
      <w:bookmarkEnd w:id="4"/>
      <w:proofErr w:type="spellStart"/>
      <w:r w:rsidRPr="0081492A">
        <w:rPr>
          <w:sz w:val="24"/>
          <w:szCs w:val="24"/>
        </w:rPr>
        <w:t>Hypokaliæmi</w:t>
      </w:r>
      <w:proofErr w:type="spellEnd"/>
      <w:r w:rsidRPr="0081492A">
        <w:rPr>
          <w:sz w:val="24"/>
          <w:szCs w:val="24"/>
        </w:rPr>
        <w:t xml:space="preserve"> kan blive forværret ved samtidig administration af </w:t>
      </w:r>
      <w:proofErr w:type="spellStart"/>
      <w:r w:rsidRPr="0081492A">
        <w:rPr>
          <w:sz w:val="24"/>
          <w:szCs w:val="24"/>
        </w:rPr>
        <w:t>aminophyllin</w:t>
      </w:r>
      <w:proofErr w:type="spellEnd"/>
      <w:r w:rsidRPr="0081492A">
        <w:rPr>
          <w:sz w:val="24"/>
          <w:szCs w:val="24"/>
        </w:rPr>
        <w:t xml:space="preserve"> eller andre </w:t>
      </w:r>
      <w:proofErr w:type="spellStart"/>
      <w:r w:rsidRPr="0081492A">
        <w:rPr>
          <w:sz w:val="24"/>
          <w:szCs w:val="24"/>
        </w:rPr>
        <w:t>xanthiner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kortikosteroider</w:t>
      </w:r>
      <w:proofErr w:type="spellEnd"/>
      <w:r w:rsidRPr="0081492A">
        <w:rPr>
          <w:sz w:val="24"/>
          <w:szCs w:val="24"/>
        </w:rPr>
        <w:t xml:space="preserve"> eller </w:t>
      </w:r>
      <w:proofErr w:type="spellStart"/>
      <w:r w:rsidRPr="0081492A">
        <w:rPr>
          <w:sz w:val="24"/>
          <w:szCs w:val="24"/>
        </w:rPr>
        <w:t>diuretika</w:t>
      </w:r>
      <w:proofErr w:type="spellEnd"/>
      <w:r w:rsidRPr="0081492A">
        <w:rPr>
          <w:sz w:val="24"/>
          <w:szCs w:val="24"/>
        </w:rPr>
        <w:t>.</w:t>
      </w:r>
    </w:p>
    <w:p w14:paraId="6B293F1B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</w:p>
    <w:p w14:paraId="2866F11C" w14:textId="77777777" w:rsidR="008D179D" w:rsidRPr="0081492A" w:rsidRDefault="008D179D" w:rsidP="00F77170">
      <w:pPr>
        <w:ind w:left="851"/>
        <w:rPr>
          <w:sz w:val="24"/>
          <w:szCs w:val="24"/>
          <w:u w:val="single"/>
        </w:rPr>
      </w:pPr>
      <w:proofErr w:type="spellStart"/>
      <w:r w:rsidRPr="0081492A">
        <w:rPr>
          <w:sz w:val="24"/>
          <w:szCs w:val="24"/>
          <w:u w:val="single"/>
        </w:rPr>
        <w:t>Sebadrin</w:t>
      </w:r>
      <w:proofErr w:type="spellEnd"/>
      <w:r w:rsidRPr="0081492A">
        <w:rPr>
          <w:sz w:val="24"/>
          <w:szCs w:val="24"/>
          <w:u w:val="single"/>
        </w:rPr>
        <w:t xml:space="preserve"> indeholder natrium</w:t>
      </w:r>
    </w:p>
    <w:p w14:paraId="103C9438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Dette lægemiddel indeholder mindre end 1 mmol (23 mg) natrium pr. dosisenhed, dvs. det er i det væsentlige natriumfrit.</w:t>
      </w:r>
    </w:p>
    <w:p w14:paraId="17BE3796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77674117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4.5</w:t>
      </w:r>
      <w:r w:rsidRPr="0081492A">
        <w:rPr>
          <w:b/>
          <w:sz w:val="24"/>
          <w:szCs w:val="24"/>
        </w:rPr>
        <w:tab/>
        <w:t>Interaktion med andre lægemidler og andre former for interaktion</w:t>
      </w:r>
    </w:p>
    <w:p w14:paraId="6BB75CBD" w14:textId="77777777" w:rsidR="003B6EED" w:rsidRDefault="003B6EED" w:rsidP="00F77170">
      <w:pPr>
        <w:ind w:left="851"/>
        <w:rPr>
          <w:i/>
          <w:iCs/>
          <w:sz w:val="24"/>
          <w:szCs w:val="24"/>
        </w:rPr>
      </w:pPr>
    </w:p>
    <w:p w14:paraId="215B7509" w14:textId="53E0A218" w:rsidR="008D179D" w:rsidRPr="0081492A" w:rsidRDefault="008D179D" w:rsidP="00F77170">
      <w:pPr>
        <w:ind w:left="851"/>
        <w:rPr>
          <w:i/>
          <w:iCs/>
          <w:sz w:val="24"/>
          <w:szCs w:val="24"/>
        </w:rPr>
      </w:pPr>
      <w:r w:rsidRPr="0081492A">
        <w:rPr>
          <w:i/>
          <w:iCs/>
          <w:sz w:val="24"/>
          <w:szCs w:val="24"/>
        </w:rPr>
        <w:t xml:space="preserve">Indirekte </w:t>
      </w:r>
      <w:proofErr w:type="spellStart"/>
      <w:r w:rsidRPr="0081492A">
        <w:rPr>
          <w:i/>
          <w:iCs/>
          <w:sz w:val="24"/>
          <w:szCs w:val="24"/>
        </w:rPr>
        <w:t>sympatomimetika</w:t>
      </w:r>
      <w:proofErr w:type="spellEnd"/>
      <w:r w:rsidRPr="0081492A">
        <w:rPr>
          <w:i/>
          <w:iCs/>
          <w:sz w:val="24"/>
          <w:szCs w:val="24"/>
        </w:rPr>
        <w:t xml:space="preserve"> (</w:t>
      </w:r>
      <w:proofErr w:type="spellStart"/>
      <w:r w:rsidRPr="0081492A">
        <w:rPr>
          <w:i/>
          <w:iCs/>
          <w:sz w:val="24"/>
          <w:szCs w:val="24"/>
        </w:rPr>
        <w:t>phenylpropanolamin</w:t>
      </w:r>
      <w:proofErr w:type="spellEnd"/>
      <w:r w:rsidRPr="0081492A">
        <w:rPr>
          <w:i/>
          <w:iCs/>
          <w:sz w:val="24"/>
          <w:szCs w:val="24"/>
        </w:rPr>
        <w:t xml:space="preserve">, </w:t>
      </w:r>
      <w:proofErr w:type="spellStart"/>
      <w:r w:rsidRPr="0081492A">
        <w:rPr>
          <w:i/>
          <w:iCs/>
          <w:sz w:val="24"/>
          <w:szCs w:val="24"/>
        </w:rPr>
        <w:t>pseudoephedrin</w:t>
      </w:r>
      <w:proofErr w:type="spellEnd"/>
      <w:r w:rsidRPr="0081492A">
        <w:rPr>
          <w:i/>
          <w:iCs/>
          <w:sz w:val="24"/>
          <w:szCs w:val="24"/>
        </w:rPr>
        <w:t xml:space="preserve">, </w:t>
      </w:r>
      <w:proofErr w:type="spellStart"/>
      <w:r w:rsidRPr="0081492A">
        <w:rPr>
          <w:i/>
          <w:iCs/>
          <w:sz w:val="24"/>
          <w:szCs w:val="24"/>
        </w:rPr>
        <w:t>phenylephrin</w:t>
      </w:r>
      <w:proofErr w:type="spellEnd"/>
      <w:r w:rsidRPr="0081492A">
        <w:rPr>
          <w:i/>
          <w:iCs/>
          <w:sz w:val="24"/>
          <w:szCs w:val="24"/>
        </w:rPr>
        <w:t xml:space="preserve">, </w:t>
      </w:r>
      <w:proofErr w:type="spellStart"/>
      <w:r w:rsidRPr="0081492A">
        <w:rPr>
          <w:i/>
          <w:iCs/>
          <w:sz w:val="24"/>
          <w:szCs w:val="24"/>
        </w:rPr>
        <w:t>methylphenidat</w:t>
      </w:r>
      <w:proofErr w:type="spellEnd"/>
      <w:r w:rsidRPr="0081492A">
        <w:rPr>
          <w:i/>
          <w:iCs/>
          <w:sz w:val="24"/>
          <w:szCs w:val="24"/>
        </w:rPr>
        <w:t>)</w:t>
      </w:r>
    </w:p>
    <w:p w14:paraId="4CA58B59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er en øget risiko for </w:t>
      </w:r>
      <w:proofErr w:type="spellStart"/>
      <w:r w:rsidRPr="0081492A">
        <w:rPr>
          <w:sz w:val="24"/>
          <w:szCs w:val="24"/>
        </w:rPr>
        <w:t>vasokonstriktion</w:t>
      </w:r>
      <w:proofErr w:type="spellEnd"/>
      <w:r w:rsidRPr="0081492A">
        <w:rPr>
          <w:sz w:val="24"/>
          <w:szCs w:val="24"/>
        </w:rPr>
        <w:t xml:space="preserve"> og/eller akutte </w:t>
      </w:r>
      <w:proofErr w:type="spellStart"/>
      <w:r w:rsidRPr="0081492A">
        <w:rPr>
          <w:sz w:val="24"/>
          <w:szCs w:val="24"/>
        </w:rPr>
        <w:t>hypertensive</w:t>
      </w:r>
      <w:proofErr w:type="spellEnd"/>
      <w:r w:rsidRPr="0081492A">
        <w:rPr>
          <w:sz w:val="24"/>
          <w:szCs w:val="24"/>
        </w:rPr>
        <w:t xml:space="preserve"> episoder, hvis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bliver kombineret med indirekte </w:t>
      </w:r>
      <w:proofErr w:type="spellStart"/>
      <w:r w:rsidRPr="0081492A">
        <w:rPr>
          <w:sz w:val="24"/>
          <w:szCs w:val="24"/>
        </w:rPr>
        <w:t>sympatomimetika</w:t>
      </w:r>
      <w:proofErr w:type="spellEnd"/>
      <w:r w:rsidRPr="0081492A">
        <w:rPr>
          <w:sz w:val="24"/>
          <w:szCs w:val="24"/>
        </w:rPr>
        <w:t xml:space="preserve"> (se pkt. 4.4).</w:t>
      </w:r>
    </w:p>
    <w:p w14:paraId="05DFAE33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712A9E56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i/>
          <w:iCs/>
          <w:sz w:val="24"/>
          <w:szCs w:val="24"/>
        </w:rPr>
        <w:t xml:space="preserve">Flygtige </w:t>
      </w:r>
      <w:proofErr w:type="spellStart"/>
      <w:r w:rsidRPr="0081492A">
        <w:rPr>
          <w:i/>
          <w:iCs/>
          <w:sz w:val="24"/>
          <w:szCs w:val="24"/>
        </w:rPr>
        <w:t>halogenerede</w:t>
      </w:r>
      <w:proofErr w:type="spellEnd"/>
      <w:r w:rsidRPr="0081492A">
        <w:rPr>
          <w:i/>
          <w:iCs/>
          <w:sz w:val="24"/>
          <w:szCs w:val="24"/>
        </w:rPr>
        <w:t xml:space="preserve"> </w:t>
      </w:r>
      <w:proofErr w:type="spellStart"/>
      <w:r w:rsidRPr="0081492A">
        <w:rPr>
          <w:i/>
          <w:iCs/>
          <w:sz w:val="24"/>
          <w:szCs w:val="24"/>
        </w:rPr>
        <w:t>anæstetika</w:t>
      </w:r>
      <w:proofErr w:type="spellEnd"/>
    </w:p>
    <w:p w14:paraId="0B0931D8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er en risiko for alvorlige </w:t>
      </w:r>
      <w:proofErr w:type="spellStart"/>
      <w:r w:rsidRPr="0081492A">
        <w:rPr>
          <w:sz w:val="24"/>
          <w:szCs w:val="24"/>
        </w:rPr>
        <w:t>ventrikulære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arytmier</w:t>
      </w:r>
      <w:proofErr w:type="spellEnd"/>
      <w:r w:rsidRPr="0081492A">
        <w:rPr>
          <w:sz w:val="24"/>
          <w:szCs w:val="24"/>
        </w:rPr>
        <w:t xml:space="preserve"> (øget </w:t>
      </w:r>
      <w:proofErr w:type="spellStart"/>
      <w:r w:rsidRPr="0081492A">
        <w:rPr>
          <w:sz w:val="24"/>
          <w:szCs w:val="24"/>
        </w:rPr>
        <w:t>kardiel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ekscitabilitet</w:t>
      </w:r>
      <w:proofErr w:type="spellEnd"/>
      <w:r w:rsidRPr="0081492A">
        <w:rPr>
          <w:sz w:val="24"/>
          <w:szCs w:val="24"/>
        </w:rPr>
        <w:t xml:space="preserve">), hvis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kombineres med flygtige </w:t>
      </w:r>
      <w:proofErr w:type="spellStart"/>
      <w:r w:rsidRPr="0081492A">
        <w:rPr>
          <w:sz w:val="24"/>
          <w:szCs w:val="24"/>
        </w:rPr>
        <w:t>halogenerede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anæstetika</w:t>
      </w:r>
      <w:proofErr w:type="spellEnd"/>
      <w:r w:rsidRPr="0081492A">
        <w:rPr>
          <w:sz w:val="24"/>
          <w:szCs w:val="24"/>
        </w:rPr>
        <w:t xml:space="preserve"> (se pkt. 4.4).</w:t>
      </w:r>
    </w:p>
    <w:p w14:paraId="7AC9F4D2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30C215D3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Antidepressiva</w:t>
      </w:r>
      <w:proofErr w:type="spellEnd"/>
      <w:r w:rsidRPr="0081492A">
        <w:rPr>
          <w:i/>
          <w:iCs/>
          <w:sz w:val="24"/>
          <w:szCs w:val="24"/>
        </w:rPr>
        <w:t xml:space="preserve">, hjerteglykosider og </w:t>
      </w:r>
      <w:proofErr w:type="spellStart"/>
      <w:r w:rsidRPr="0081492A">
        <w:rPr>
          <w:i/>
          <w:iCs/>
          <w:sz w:val="24"/>
          <w:szCs w:val="24"/>
        </w:rPr>
        <w:t>quinidin</w:t>
      </w:r>
      <w:proofErr w:type="spellEnd"/>
    </w:p>
    <w:p w14:paraId="20CC0B1B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Hvis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administreres sammen med tricykliske </w:t>
      </w:r>
      <w:proofErr w:type="spellStart"/>
      <w:r w:rsidRPr="0081492A">
        <w:rPr>
          <w:sz w:val="24"/>
          <w:szCs w:val="24"/>
        </w:rPr>
        <w:t>antidepressiva</w:t>
      </w:r>
      <w:proofErr w:type="spellEnd"/>
      <w:r w:rsidRPr="0081492A">
        <w:rPr>
          <w:sz w:val="24"/>
          <w:szCs w:val="24"/>
        </w:rPr>
        <w:t xml:space="preserve"> (</w:t>
      </w:r>
      <w:proofErr w:type="spellStart"/>
      <w:r w:rsidRPr="0081492A">
        <w:rPr>
          <w:sz w:val="24"/>
          <w:szCs w:val="24"/>
        </w:rPr>
        <w:t>clomipramin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amitriptylin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nortriptylin</w:t>
      </w:r>
      <w:proofErr w:type="spellEnd"/>
      <w:r w:rsidRPr="0081492A">
        <w:rPr>
          <w:sz w:val="24"/>
          <w:szCs w:val="24"/>
        </w:rPr>
        <w:t xml:space="preserve">) og </w:t>
      </w:r>
      <w:proofErr w:type="spellStart"/>
      <w:r w:rsidRPr="0081492A">
        <w:rPr>
          <w:sz w:val="24"/>
          <w:szCs w:val="24"/>
        </w:rPr>
        <w:t>SNRI’er</w:t>
      </w:r>
      <w:proofErr w:type="spellEnd"/>
      <w:r w:rsidRPr="0081492A">
        <w:rPr>
          <w:sz w:val="24"/>
          <w:szCs w:val="24"/>
        </w:rPr>
        <w:t xml:space="preserve"> (</w:t>
      </w:r>
      <w:proofErr w:type="spellStart"/>
      <w:r w:rsidRPr="0081492A">
        <w:rPr>
          <w:sz w:val="24"/>
          <w:szCs w:val="24"/>
        </w:rPr>
        <w:t>venlafaxin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reboxetin</w:t>
      </w:r>
      <w:proofErr w:type="spellEnd"/>
      <w:r w:rsidRPr="0081492A">
        <w:rPr>
          <w:sz w:val="24"/>
          <w:szCs w:val="24"/>
        </w:rPr>
        <w:t xml:space="preserve">, </w:t>
      </w:r>
      <w:proofErr w:type="spellStart"/>
      <w:r w:rsidRPr="0081492A">
        <w:rPr>
          <w:sz w:val="24"/>
          <w:szCs w:val="24"/>
        </w:rPr>
        <w:t>duloxetin</w:t>
      </w:r>
      <w:proofErr w:type="spellEnd"/>
      <w:r w:rsidRPr="0081492A">
        <w:rPr>
          <w:sz w:val="24"/>
          <w:szCs w:val="24"/>
        </w:rPr>
        <w:t xml:space="preserve">), er der en risiko for </w:t>
      </w:r>
      <w:proofErr w:type="spellStart"/>
      <w:r w:rsidRPr="0081492A">
        <w:rPr>
          <w:sz w:val="24"/>
          <w:szCs w:val="24"/>
        </w:rPr>
        <w:t>paroksysmal</w:t>
      </w:r>
      <w:proofErr w:type="spellEnd"/>
      <w:r w:rsidRPr="0081492A">
        <w:rPr>
          <w:sz w:val="24"/>
          <w:szCs w:val="24"/>
        </w:rPr>
        <w:t xml:space="preserve"> hypertension, eventuelt ledsaget af </w:t>
      </w:r>
      <w:proofErr w:type="spellStart"/>
      <w:r w:rsidRPr="0081492A">
        <w:rPr>
          <w:sz w:val="24"/>
          <w:szCs w:val="24"/>
        </w:rPr>
        <w:t>arytmier</w:t>
      </w:r>
      <w:proofErr w:type="spellEnd"/>
      <w:r w:rsidRPr="0081492A">
        <w:rPr>
          <w:sz w:val="24"/>
          <w:szCs w:val="24"/>
        </w:rPr>
        <w:t xml:space="preserve"> (hæmning af adrenalins eller noradrenalins indtrængen i sympatiske fibre). Risikoen for </w:t>
      </w:r>
      <w:proofErr w:type="spellStart"/>
      <w:r w:rsidRPr="0081492A">
        <w:rPr>
          <w:sz w:val="24"/>
          <w:szCs w:val="24"/>
        </w:rPr>
        <w:t>arytmier</w:t>
      </w:r>
      <w:proofErr w:type="spellEnd"/>
      <w:r w:rsidRPr="0081492A">
        <w:rPr>
          <w:sz w:val="24"/>
          <w:szCs w:val="24"/>
        </w:rPr>
        <w:t xml:space="preserve"> er ligeledes til stede ved samtidig administration af hjerteglykosider og </w:t>
      </w:r>
      <w:proofErr w:type="spellStart"/>
      <w:r w:rsidRPr="0081492A">
        <w:rPr>
          <w:sz w:val="24"/>
          <w:szCs w:val="24"/>
        </w:rPr>
        <w:t>quinidin</w:t>
      </w:r>
      <w:proofErr w:type="spellEnd"/>
      <w:r w:rsidRPr="0081492A">
        <w:rPr>
          <w:sz w:val="24"/>
          <w:szCs w:val="24"/>
        </w:rPr>
        <w:t>.</w:t>
      </w:r>
    </w:p>
    <w:p w14:paraId="4ED2E146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0B192BCD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Guanethidin</w:t>
      </w:r>
      <w:proofErr w:type="spellEnd"/>
      <w:r w:rsidRPr="0081492A">
        <w:rPr>
          <w:i/>
          <w:iCs/>
          <w:sz w:val="24"/>
          <w:szCs w:val="24"/>
        </w:rPr>
        <w:t xml:space="preserve"> og beslægtede produkter</w:t>
      </w:r>
    </w:p>
    <w:p w14:paraId="5FB20421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Der er en risiko for signifikant blodtryksstigning (</w:t>
      </w:r>
      <w:proofErr w:type="spellStart"/>
      <w:r w:rsidRPr="0081492A">
        <w:rPr>
          <w:sz w:val="24"/>
          <w:szCs w:val="24"/>
        </w:rPr>
        <w:t>hyperreaktivitet</w:t>
      </w:r>
      <w:proofErr w:type="spellEnd"/>
      <w:r w:rsidRPr="0081492A">
        <w:rPr>
          <w:sz w:val="24"/>
          <w:szCs w:val="24"/>
        </w:rPr>
        <w:t xml:space="preserve"> forbundet med nedsat sympatisk </w:t>
      </w:r>
      <w:proofErr w:type="spellStart"/>
      <w:r w:rsidRPr="0081492A">
        <w:rPr>
          <w:sz w:val="24"/>
          <w:szCs w:val="24"/>
        </w:rPr>
        <w:t>tonus</w:t>
      </w:r>
      <w:proofErr w:type="spellEnd"/>
      <w:r w:rsidRPr="0081492A">
        <w:rPr>
          <w:sz w:val="24"/>
          <w:szCs w:val="24"/>
        </w:rPr>
        <w:t xml:space="preserve"> og/eller hæmning af adrenalins eller noradrenalins indtrængen i sympatiske fibre).</w:t>
      </w:r>
    </w:p>
    <w:p w14:paraId="4B5549B8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21F9E89E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i/>
          <w:iCs/>
          <w:sz w:val="24"/>
          <w:szCs w:val="24"/>
        </w:rPr>
        <w:t>Selektive reversible MAO-A-</w:t>
      </w:r>
      <w:proofErr w:type="spellStart"/>
      <w:r w:rsidRPr="0081492A">
        <w:rPr>
          <w:i/>
          <w:iCs/>
          <w:sz w:val="24"/>
          <w:szCs w:val="24"/>
        </w:rPr>
        <w:t>hæmmere</w:t>
      </w:r>
      <w:proofErr w:type="spellEnd"/>
      <w:r w:rsidRPr="0081492A">
        <w:rPr>
          <w:i/>
          <w:iCs/>
          <w:sz w:val="24"/>
          <w:szCs w:val="24"/>
        </w:rPr>
        <w:t xml:space="preserve"> (</w:t>
      </w:r>
      <w:proofErr w:type="spellStart"/>
      <w:r w:rsidRPr="0081492A">
        <w:rPr>
          <w:i/>
          <w:iCs/>
          <w:sz w:val="24"/>
          <w:szCs w:val="24"/>
        </w:rPr>
        <w:t>moclobemid</w:t>
      </w:r>
      <w:proofErr w:type="spellEnd"/>
      <w:r w:rsidRPr="0081492A">
        <w:rPr>
          <w:i/>
          <w:iCs/>
          <w:sz w:val="24"/>
          <w:szCs w:val="24"/>
        </w:rPr>
        <w:t>)</w:t>
      </w:r>
    </w:p>
    <w:p w14:paraId="0B5DC7E6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er en risiko for øget </w:t>
      </w:r>
      <w:proofErr w:type="spellStart"/>
      <w:r w:rsidRPr="0081492A">
        <w:rPr>
          <w:sz w:val="24"/>
          <w:szCs w:val="24"/>
        </w:rPr>
        <w:t>hypertensiv</w:t>
      </w:r>
      <w:proofErr w:type="spellEnd"/>
      <w:r w:rsidRPr="0081492A">
        <w:rPr>
          <w:sz w:val="24"/>
          <w:szCs w:val="24"/>
        </w:rPr>
        <w:t xml:space="preserve"> virkning, og samtidig administration bør undgås. Der kan iværksættes behandling med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tidligere end 14 dage efter </w:t>
      </w:r>
      <w:proofErr w:type="spellStart"/>
      <w:r w:rsidRPr="0081492A">
        <w:rPr>
          <w:sz w:val="24"/>
          <w:szCs w:val="24"/>
        </w:rPr>
        <w:t>seponering</w:t>
      </w:r>
      <w:proofErr w:type="spellEnd"/>
      <w:r w:rsidRPr="0081492A">
        <w:rPr>
          <w:sz w:val="24"/>
          <w:szCs w:val="24"/>
        </w:rPr>
        <w:t xml:space="preserve"> af </w:t>
      </w:r>
      <w:proofErr w:type="spellStart"/>
      <w:r w:rsidRPr="0081492A">
        <w:rPr>
          <w:sz w:val="24"/>
          <w:szCs w:val="24"/>
        </w:rPr>
        <w:t>moclobemid</w:t>
      </w:r>
      <w:proofErr w:type="spellEnd"/>
      <w:r w:rsidRPr="0081492A">
        <w:rPr>
          <w:sz w:val="24"/>
          <w:szCs w:val="24"/>
        </w:rPr>
        <w:t xml:space="preserve"> som følge af </w:t>
      </w:r>
      <w:proofErr w:type="spellStart"/>
      <w:r w:rsidRPr="0081492A">
        <w:rPr>
          <w:sz w:val="24"/>
          <w:szCs w:val="24"/>
        </w:rPr>
        <w:t>moclobemids</w:t>
      </w:r>
      <w:proofErr w:type="spellEnd"/>
      <w:r w:rsidRPr="0081492A">
        <w:rPr>
          <w:sz w:val="24"/>
          <w:szCs w:val="24"/>
        </w:rPr>
        <w:t xml:space="preserve"> relativt korte halveringstid (se pkt. 4.4).</w:t>
      </w:r>
    </w:p>
    <w:p w14:paraId="27CA7582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1D0AC37C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i/>
          <w:iCs/>
          <w:sz w:val="24"/>
          <w:szCs w:val="24"/>
        </w:rPr>
        <w:t>Non-selektive reversible MAO-</w:t>
      </w:r>
      <w:proofErr w:type="spellStart"/>
      <w:r w:rsidRPr="0081492A">
        <w:rPr>
          <w:i/>
          <w:iCs/>
          <w:sz w:val="24"/>
          <w:szCs w:val="24"/>
        </w:rPr>
        <w:t>hæmmere</w:t>
      </w:r>
      <w:proofErr w:type="spellEnd"/>
      <w:r w:rsidRPr="0081492A">
        <w:rPr>
          <w:i/>
          <w:iCs/>
          <w:sz w:val="24"/>
          <w:szCs w:val="24"/>
        </w:rPr>
        <w:t xml:space="preserve"> (</w:t>
      </w:r>
      <w:proofErr w:type="spellStart"/>
      <w:r w:rsidRPr="0081492A">
        <w:rPr>
          <w:i/>
          <w:iCs/>
          <w:sz w:val="24"/>
          <w:szCs w:val="24"/>
        </w:rPr>
        <w:t>linezolid</w:t>
      </w:r>
      <w:proofErr w:type="spellEnd"/>
      <w:r w:rsidRPr="0081492A">
        <w:rPr>
          <w:i/>
          <w:iCs/>
          <w:sz w:val="24"/>
          <w:szCs w:val="24"/>
        </w:rPr>
        <w:t>)</w:t>
      </w:r>
    </w:p>
    <w:p w14:paraId="40FA3BEC" w14:textId="77777777" w:rsidR="008D179D" w:rsidRPr="0081492A" w:rsidRDefault="008D179D" w:rsidP="00F77170">
      <w:pPr>
        <w:ind w:left="851"/>
        <w:rPr>
          <w:sz w:val="24"/>
          <w:szCs w:val="24"/>
        </w:rPr>
      </w:pPr>
      <w:bookmarkStart w:id="5" w:name="_Hlk75174485"/>
      <w:r w:rsidRPr="0081492A">
        <w:rPr>
          <w:sz w:val="24"/>
          <w:szCs w:val="24"/>
        </w:rPr>
        <w:t xml:space="preserve">Risiko for øget </w:t>
      </w:r>
      <w:proofErr w:type="spellStart"/>
      <w:r w:rsidRPr="0081492A">
        <w:rPr>
          <w:sz w:val="24"/>
          <w:szCs w:val="24"/>
        </w:rPr>
        <w:t>pressorvirkning</w:t>
      </w:r>
      <w:proofErr w:type="spellEnd"/>
      <w:r w:rsidRPr="0081492A">
        <w:rPr>
          <w:sz w:val="24"/>
          <w:szCs w:val="24"/>
        </w:rPr>
        <w:t>. Bør kun anvendes under tæt lægelig supervision.</w:t>
      </w:r>
      <w:bookmarkEnd w:id="5"/>
    </w:p>
    <w:p w14:paraId="5AD99856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68B5FFA5" w14:textId="77777777" w:rsidR="008D179D" w:rsidRPr="0081492A" w:rsidRDefault="008D179D" w:rsidP="00F77170">
      <w:pPr>
        <w:ind w:left="851"/>
        <w:rPr>
          <w:i/>
          <w:sz w:val="24"/>
          <w:szCs w:val="24"/>
        </w:rPr>
      </w:pPr>
      <w:r w:rsidRPr="0081492A">
        <w:rPr>
          <w:i/>
          <w:sz w:val="24"/>
          <w:szCs w:val="24"/>
        </w:rPr>
        <w:t>Selektive reversible MAO-B-</w:t>
      </w:r>
      <w:proofErr w:type="spellStart"/>
      <w:r w:rsidRPr="0081492A">
        <w:rPr>
          <w:i/>
          <w:sz w:val="24"/>
          <w:szCs w:val="24"/>
        </w:rPr>
        <w:t>hæmmere</w:t>
      </w:r>
      <w:proofErr w:type="spellEnd"/>
      <w:r w:rsidRPr="0081492A">
        <w:rPr>
          <w:i/>
          <w:sz w:val="24"/>
          <w:szCs w:val="24"/>
        </w:rPr>
        <w:t xml:space="preserve"> (safinamid)</w:t>
      </w:r>
    </w:p>
    <w:p w14:paraId="291D4611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Samtidig administration bør undgås, da der kan opstå svær hypertension.</w:t>
      </w:r>
    </w:p>
    <w:p w14:paraId="6315CDF2" w14:textId="77777777" w:rsidR="008D179D" w:rsidRPr="0081492A" w:rsidRDefault="008D179D" w:rsidP="00F77170">
      <w:pPr>
        <w:ind w:left="851"/>
        <w:rPr>
          <w:i/>
          <w:iCs/>
          <w:sz w:val="24"/>
          <w:szCs w:val="24"/>
        </w:rPr>
      </w:pPr>
    </w:p>
    <w:p w14:paraId="568A9999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i/>
          <w:iCs/>
          <w:sz w:val="24"/>
          <w:szCs w:val="24"/>
        </w:rPr>
        <w:lastRenderedPageBreak/>
        <w:t>Selektive irreversible MAO-B-</w:t>
      </w:r>
      <w:proofErr w:type="spellStart"/>
      <w:r w:rsidRPr="0081492A">
        <w:rPr>
          <w:i/>
          <w:iCs/>
          <w:sz w:val="24"/>
          <w:szCs w:val="24"/>
        </w:rPr>
        <w:t>hæmmere</w:t>
      </w:r>
      <w:proofErr w:type="spellEnd"/>
      <w:r w:rsidRPr="0081492A">
        <w:rPr>
          <w:i/>
          <w:iCs/>
          <w:sz w:val="24"/>
          <w:szCs w:val="24"/>
        </w:rPr>
        <w:t xml:space="preserve"> (</w:t>
      </w:r>
      <w:proofErr w:type="spellStart"/>
      <w:r w:rsidRPr="0081492A">
        <w:rPr>
          <w:i/>
          <w:iCs/>
          <w:sz w:val="24"/>
          <w:szCs w:val="24"/>
        </w:rPr>
        <w:t>rasagilin</w:t>
      </w:r>
      <w:proofErr w:type="spellEnd"/>
      <w:r w:rsidRPr="0081492A">
        <w:rPr>
          <w:i/>
          <w:iCs/>
          <w:sz w:val="24"/>
          <w:szCs w:val="24"/>
        </w:rPr>
        <w:t xml:space="preserve">, </w:t>
      </w:r>
      <w:proofErr w:type="spellStart"/>
      <w:r w:rsidRPr="0081492A">
        <w:rPr>
          <w:i/>
          <w:iCs/>
          <w:sz w:val="24"/>
          <w:szCs w:val="24"/>
        </w:rPr>
        <w:t>selegilin</w:t>
      </w:r>
      <w:proofErr w:type="spellEnd"/>
      <w:r w:rsidRPr="0081492A">
        <w:rPr>
          <w:i/>
          <w:iCs/>
          <w:sz w:val="24"/>
          <w:szCs w:val="24"/>
        </w:rPr>
        <w:t>)</w:t>
      </w:r>
    </w:p>
    <w:p w14:paraId="1E3376E0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Samtidig administration bør undgås, da der kan opstå svær hypertension.</w:t>
      </w:r>
    </w:p>
    <w:p w14:paraId="37641F41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170FDD14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i/>
          <w:iCs/>
          <w:sz w:val="24"/>
          <w:szCs w:val="24"/>
        </w:rPr>
        <w:t>COMT-</w:t>
      </w:r>
      <w:proofErr w:type="spellStart"/>
      <w:r w:rsidRPr="0081492A">
        <w:rPr>
          <w:i/>
          <w:iCs/>
          <w:sz w:val="24"/>
          <w:szCs w:val="24"/>
        </w:rPr>
        <w:t>hæmmere</w:t>
      </w:r>
      <w:proofErr w:type="spellEnd"/>
      <w:r w:rsidRPr="0081492A">
        <w:rPr>
          <w:i/>
          <w:iCs/>
          <w:sz w:val="24"/>
          <w:szCs w:val="24"/>
        </w:rPr>
        <w:t xml:space="preserve"> (</w:t>
      </w:r>
      <w:proofErr w:type="spellStart"/>
      <w:r w:rsidRPr="0081492A">
        <w:rPr>
          <w:i/>
          <w:iCs/>
          <w:sz w:val="24"/>
          <w:szCs w:val="24"/>
        </w:rPr>
        <w:t>entacapon</w:t>
      </w:r>
      <w:proofErr w:type="spellEnd"/>
      <w:r w:rsidRPr="0081492A">
        <w:rPr>
          <w:i/>
          <w:iCs/>
          <w:sz w:val="24"/>
          <w:szCs w:val="24"/>
        </w:rPr>
        <w:t xml:space="preserve">, </w:t>
      </w:r>
      <w:proofErr w:type="spellStart"/>
      <w:r w:rsidRPr="0081492A">
        <w:rPr>
          <w:i/>
          <w:iCs/>
          <w:sz w:val="24"/>
          <w:szCs w:val="24"/>
        </w:rPr>
        <w:t>tolcapon</w:t>
      </w:r>
      <w:proofErr w:type="spellEnd"/>
      <w:r w:rsidRPr="0081492A">
        <w:rPr>
          <w:i/>
          <w:iCs/>
          <w:sz w:val="24"/>
          <w:szCs w:val="24"/>
        </w:rPr>
        <w:t>)</w:t>
      </w:r>
    </w:p>
    <w:p w14:paraId="56A10149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er rapporteret om svær hypertension (sandsynligvis som følge af hæmmet metabolisme af noradrenalin), og samtidig administration bør undgås. Der kan forventes en lignende interaktion med </w:t>
      </w:r>
      <w:proofErr w:type="spellStart"/>
      <w:r w:rsidRPr="0081492A">
        <w:rPr>
          <w:sz w:val="24"/>
          <w:szCs w:val="24"/>
        </w:rPr>
        <w:t>tolcapon</w:t>
      </w:r>
      <w:proofErr w:type="spellEnd"/>
      <w:r w:rsidRPr="0081492A">
        <w:rPr>
          <w:sz w:val="24"/>
          <w:szCs w:val="24"/>
        </w:rPr>
        <w:t>.</w:t>
      </w:r>
    </w:p>
    <w:p w14:paraId="79BB301F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1D3216F7" w14:textId="77777777" w:rsidR="008D179D" w:rsidRPr="0081492A" w:rsidRDefault="008D179D" w:rsidP="00F77170">
      <w:pPr>
        <w:ind w:left="851"/>
        <w:rPr>
          <w:i/>
          <w:sz w:val="24"/>
          <w:szCs w:val="24"/>
        </w:rPr>
      </w:pPr>
      <w:proofErr w:type="spellStart"/>
      <w:r w:rsidRPr="0081492A">
        <w:rPr>
          <w:i/>
          <w:sz w:val="24"/>
          <w:szCs w:val="24"/>
        </w:rPr>
        <w:t>Levodopa</w:t>
      </w:r>
      <w:proofErr w:type="spellEnd"/>
      <w:r w:rsidRPr="0081492A">
        <w:rPr>
          <w:i/>
          <w:sz w:val="24"/>
          <w:szCs w:val="24"/>
        </w:rPr>
        <w:t xml:space="preserve"> og </w:t>
      </w:r>
      <w:proofErr w:type="spellStart"/>
      <w:r w:rsidRPr="0081492A">
        <w:rPr>
          <w:i/>
          <w:sz w:val="24"/>
          <w:szCs w:val="24"/>
        </w:rPr>
        <w:t>bromocriptin</w:t>
      </w:r>
      <w:proofErr w:type="spellEnd"/>
    </w:p>
    <w:p w14:paraId="25A7C565" w14:textId="77777777" w:rsidR="008D179D" w:rsidRPr="0081492A" w:rsidRDefault="008D179D" w:rsidP="00F77170">
      <w:pPr>
        <w:ind w:left="851"/>
        <w:rPr>
          <w:i/>
          <w:iCs/>
          <w:sz w:val="24"/>
          <w:szCs w:val="24"/>
        </w:rPr>
      </w:pPr>
      <w:r w:rsidRPr="0081492A">
        <w:rPr>
          <w:sz w:val="24"/>
          <w:szCs w:val="24"/>
        </w:rPr>
        <w:t xml:space="preserve">Der er en risiko for additiv </w:t>
      </w:r>
      <w:proofErr w:type="spellStart"/>
      <w:r w:rsidRPr="0081492A">
        <w:rPr>
          <w:sz w:val="24"/>
          <w:szCs w:val="24"/>
        </w:rPr>
        <w:t>kardiovaskulær</w:t>
      </w:r>
      <w:proofErr w:type="spellEnd"/>
      <w:r w:rsidRPr="0081492A">
        <w:rPr>
          <w:sz w:val="24"/>
          <w:szCs w:val="24"/>
        </w:rPr>
        <w:t xml:space="preserve"> toksicitet ved samtidig administration.</w:t>
      </w:r>
    </w:p>
    <w:p w14:paraId="304C67FE" w14:textId="77777777" w:rsidR="008D179D" w:rsidRPr="0081492A" w:rsidRDefault="008D179D" w:rsidP="00F77170">
      <w:pPr>
        <w:ind w:left="851"/>
        <w:rPr>
          <w:i/>
          <w:iCs/>
          <w:sz w:val="24"/>
          <w:szCs w:val="24"/>
        </w:rPr>
      </w:pPr>
    </w:p>
    <w:p w14:paraId="7E3E4CDE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Theophyllin</w:t>
      </w:r>
      <w:proofErr w:type="spellEnd"/>
    </w:p>
    <w:p w14:paraId="3717D96F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Samtidig administration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og </w:t>
      </w:r>
      <w:proofErr w:type="spellStart"/>
      <w:r w:rsidRPr="0081492A">
        <w:rPr>
          <w:sz w:val="24"/>
          <w:szCs w:val="24"/>
        </w:rPr>
        <w:t>theophyllin</w:t>
      </w:r>
      <w:proofErr w:type="spellEnd"/>
      <w:r w:rsidRPr="0081492A">
        <w:rPr>
          <w:sz w:val="24"/>
          <w:szCs w:val="24"/>
        </w:rPr>
        <w:t xml:space="preserve"> kan resultere i søvnløshed, nervøsitet og </w:t>
      </w:r>
      <w:proofErr w:type="spellStart"/>
      <w:r w:rsidRPr="0081492A">
        <w:rPr>
          <w:sz w:val="24"/>
          <w:szCs w:val="24"/>
        </w:rPr>
        <w:t>gastrointestinale</w:t>
      </w:r>
      <w:proofErr w:type="spellEnd"/>
      <w:r w:rsidRPr="0081492A">
        <w:rPr>
          <w:sz w:val="24"/>
          <w:szCs w:val="24"/>
        </w:rPr>
        <w:t xml:space="preserve"> problemer.</w:t>
      </w:r>
    </w:p>
    <w:p w14:paraId="28FD49AC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180016DD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Clonidin</w:t>
      </w:r>
      <w:proofErr w:type="spellEnd"/>
    </w:p>
    <w:p w14:paraId="5679EBC8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Blodtryksresponset er øget hos patienter, der har fået forudgående behandling med </w:t>
      </w:r>
      <w:proofErr w:type="spellStart"/>
      <w:r w:rsidRPr="0081492A">
        <w:rPr>
          <w:sz w:val="24"/>
          <w:szCs w:val="24"/>
        </w:rPr>
        <w:t>clonidin</w:t>
      </w:r>
      <w:proofErr w:type="spellEnd"/>
      <w:r w:rsidRPr="0081492A">
        <w:rPr>
          <w:sz w:val="24"/>
          <w:szCs w:val="24"/>
        </w:rPr>
        <w:t>.</w:t>
      </w:r>
    </w:p>
    <w:p w14:paraId="1E574D25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16375717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Kortikosteroider</w:t>
      </w:r>
      <w:proofErr w:type="spellEnd"/>
    </w:p>
    <w:p w14:paraId="6414CE3E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har vist sig at øge </w:t>
      </w:r>
      <w:proofErr w:type="spellStart"/>
      <w:r w:rsidRPr="0081492A">
        <w:rPr>
          <w:sz w:val="24"/>
          <w:szCs w:val="24"/>
        </w:rPr>
        <w:t>clearance</w:t>
      </w:r>
      <w:proofErr w:type="spellEnd"/>
      <w:r w:rsidRPr="0081492A">
        <w:rPr>
          <w:sz w:val="24"/>
          <w:szCs w:val="24"/>
        </w:rPr>
        <w:t xml:space="preserve"> af </w:t>
      </w:r>
      <w:proofErr w:type="spellStart"/>
      <w:r w:rsidRPr="0081492A">
        <w:rPr>
          <w:sz w:val="24"/>
          <w:szCs w:val="24"/>
        </w:rPr>
        <w:t>dexamethason</w:t>
      </w:r>
      <w:proofErr w:type="spellEnd"/>
      <w:r w:rsidRPr="0081492A">
        <w:rPr>
          <w:sz w:val="24"/>
          <w:szCs w:val="24"/>
        </w:rPr>
        <w:t xml:space="preserve">. Den potentielle indvirkning på </w:t>
      </w:r>
      <w:proofErr w:type="spellStart"/>
      <w:r w:rsidRPr="0081492A">
        <w:rPr>
          <w:sz w:val="24"/>
          <w:szCs w:val="24"/>
        </w:rPr>
        <w:t>dexamethasons</w:t>
      </w:r>
      <w:proofErr w:type="spellEnd"/>
      <w:r w:rsidRPr="0081492A">
        <w:rPr>
          <w:sz w:val="24"/>
          <w:szCs w:val="24"/>
        </w:rPr>
        <w:t xml:space="preserve"> virkning bør monitoreres, og dosen bør om nødvendigt justeres.</w:t>
      </w:r>
    </w:p>
    <w:p w14:paraId="0D3905E8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5FA43F8A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Antihypertensiva</w:t>
      </w:r>
      <w:proofErr w:type="spellEnd"/>
    </w:p>
    <w:p w14:paraId="3B267C0E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kan modvirke alfa- og betablokkeres virkning og muligvis også virkningen af andre </w:t>
      </w:r>
      <w:proofErr w:type="spellStart"/>
      <w:r w:rsidRPr="0081492A">
        <w:rPr>
          <w:sz w:val="24"/>
          <w:szCs w:val="24"/>
        </w:rPr>
        <w:t>antihypertensiva</w:t>
      </w:r>
      <w:proofErr w:type="spellEnd"/>
      <w:r w:rsidRPr="0081492A">
        <w:rPr>
          <w:sz w:val="24"/>
          <w:szCs w:val="24"/>
        </w:rPr>
        <w:t>.</w:t>
      </w:r>
    </w:p>
    <w:p w14:paraId="4E7206A4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0775AE74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i/>
          <w:iCs/>
          <w:sz w:val="24"/>
          <w:szCs w:val="24"/>
        </w:rPr>
        <w:t>Oxytocin</w:t>
      </w:r>
      <w:proofErr w:type="spellEnd"/>
    </w:p>
    <w:p w14:paraId="48B248B2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Kan forårsage hypertension ved at forstærke </w:t>
      </w:r>
      <w:proofErr w:type="spellStart"/>
      <w:r w:rsidRPr="0081492A">
        <w:rPr>
          <w:sz w:val="24"/>
          <w:szCs w:val="24"/>
        </w:rPr>
        <w:t>pressorvirkningen</w:t>
      </w:r>
      <w:proofErr w:type="spellEnd"/>
      <w:r w:rsidRPr="0081492A">
        <w:rPr>
          <w:sz w:val="24"/>
          <w:szCs w:val="24"/>
        </w:rPr>
        <w:t xml:space="preserve"> af </w:t>
      </w:r>
      <w:proofErr w:type="spellStart"/>
      <w:r w:rsidRPr="0081492A">
        <w:rPr>
          <w:sz w:val="24"/>
          <w:szCs w:val="24"/>
        </w:rPr>
        <w:t>sympatomimetiske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vasokonstriktorer</w:t>
      </w:r>
      <w:proofErr w:type="spellEnd"/>
      <w:r w:rsidRPr="0081492A">
        <w:rPr>
          <w:sz w:val="24"/>
          <w:szCs w:val="24"/>
        </w:rPr>
        <w:t xml:space="preserve">, såsom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>.</w:t>
      </w:r>
    </w:p>
    <w:p w14:paraId="5CAC0062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4D97A9BC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4.6</w:t>
      </w:r>
      <w:r w:rsidRPr="0081492A">
        <w:rPr>
          <w:b/>
          <w:sz w:val="24"/>
          <w:szCs w:val="24"/>
        </w:rPr>
        <w:tab/>
        <w:t>Graviditet og amning</w:t>
      </w:r>
    </w:p>
    <w:p w14:paraId="315F94AF" w14:textId="77777777" w:rsidR="003B6EED" w:rsidRDefault="003B6EED" w:rsidP="00F77170">
      <w:pPr>
        <w:ind w:left="851"/>
        <w:rPr>
          <w:sz w:val="24"/>
          <w:szCs w:val="24"/>
          <w:u w:val="single"/>
        </w:rPr>
      </w:pPr>
    </w:p>
    <w:p w14:paraId="19CAECF7" w14:textId="746DBFAF" w:rsidR="008D179D" w:rsidRPr="0081492A" w:rsidRDefault="008D179D" w:rsidP="00F77170">
      <w:pPr>
        <w:ind w:left="851"/>
        <w:rPr>
          <w:sz w:val="24"/>
          <w:szCs w:val="24"/>
          <w:u w:val="single"/>
        </w:rPr>
      </w:pPr>
      <w:r w:rsidRPr="0081492A">
        <w:rPr>
          <w:sz w:val="24"/>
          <w:szCs w:val="24"/>
          <w:u w:val="single"/>
        </w:rPr>
        <w:t>Graviditet</w:t>
      </w:r>
    </w:p>
    <w:p w14:paraId="18F18FC2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Der er ingen eller utilstrækkelige data fra anvendelse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til gravide kvinder.</w:t>
      </w:r>
    </w:p>
    <w:p w14:paraId="0624B8A8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49CCBAD4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bør ikke anvendes under graviditeten, medmindre kvindens kliniske tilstand kræver behandling.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passerer placenta, og dette har været forbundet med en stigning i den </w:t>
      </w:r>
      <w:proofErr w:type="spellStart"/>
      <w:r w:rsidRPr="0081492A">
        <w:rPr>
          <w:sz w:val="24"/>
          <w:szCs w:val="24"/>
        </w:rPr>
        <w:t>føtale</w:t>
      </w:r>
      <w:proofErr w:type="spellEnd"/>
      <w:r w:rsidRPr="0081492A">
        <w:rPr>
          <w:sz w:val="24"/>
          <w:szCs w:val="24"/>
        </w:rPr>
        <w:t xml:space="preserve"> hjertefrekvens og variabilitet i hjertefrekvensen.</w:t>
      </w:r>
    </w:p>
    <w:p w14:paraId="4E2840E4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794E378D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I forbindelse med kejsersnit kan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anvendes til forebyggelse af hypotension som følge af spinal anæstesi. Der er set </w:t>
      </w:r>
      <w:proofErr w:type="spellStart"/>
      <w:r w:rsidRPr="0081492A">
        <w:rPr>
          <w:sz w:val="24"/>
          <w:szCs w:val="24"/>
        </w:rPr>
        <w:t>føtal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acidose</w:t>
      </w:r>
      <w:proofErr w:type="spellEnd"/>
      <w:r w:rsidRPr="0081492A">
        <w:rPr>
          <w:sz w:val="24"/>
          <w:szCs w:val="24"/>
        </w:rPr>
        <w:t xml:space="preserve"> ved brug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. Dette resulterede imidlertid ikke i skadelige neonatale virkninger på </w:t>
      </w:r>
      <w:proofErr w:type="spellStart"/>
      <w:r w:rsidRPr="0081492A">
        <w:rPr>
          <w:sz w:val="24"/>
          <w:szCs w:val="24"/>
        </w:rPr>
        <w:t>Apgar</w:t>
      </w:r>
      <w:proofErr w:type="spellEnd"/>
      <w:r w:rsidRPr="0081492A">
        <w:rPr>
          <w:sz w:val="24"/>
          <w:szCs w:val="24"/>
        </w:rPr>
        <w:t xml:space="preserve">-scoren. Eftersom parenteral administration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kan forårsage øget </w:t>
      </w:r>
      <w:proofErr w:type="spellStart"/>
      <w:r w:rsidRPr="0081492A">
        <w:rPr>
          <w:sz w:val="24"/>
          <w:szCs w:val="24"/>
        </w:rPr>
        <w:t>føtal</w:t>
      </w:r>
      <w:proofErr w:type="spellEnd"/>
      <w:r w:rsidRPr="0081492A">
        <w:rPr>
          <w:sz w:val="24"/>
          <w:szCs w:val="24"/>
        </w:rPr>
        <w:t xml:space="preserve"> hjertefrekvens, bør det ikke anvendes, hvis moderens blodtryk overstiger 130/80 </w:t>
      </w:r>
      <w:proofErr w:type="spellStart"/>
      <w:r w:rsidRPr="0081492A">
        <w:rPr>
          <w:sz w:val="24"/>
          <w:szCs w:val="24"/>
        </w:rPr>
        <w:t>mmHg</w:t>
      </w:r>
      <w:proofErr w:type="spellEnd"/>
      <w:r w:rsidRPr="0081492A">
        <w:rPr>
          <w:sz w:val="24"/>
          <w:szCs w:val="24"/>
        </w:rPr>
        <w:t>.</w:t>
      </w:r>
    </w:p>
    <w:p w14:paraId="48B61C6D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0D6D5359" w14:textId="77777777" w:rsidR="008D179D" w:rsidRPr="0081492A" w:rsidRDefault="008D179D" w:rsidP="00F77170">
      <w:pPr>
        <w:ind w:left="851"/>
        <w:rPr>
          <w:sz w:val="24"/>
          <w:szCs w:val="24"/>
          <w:u w:val="single"/>
        </w:rPr>
      </w:pPr>
      <w:r w:rsidRPr="0081492A">
        <w:rPr>
          <w:sz w:val="24"/>
          <w:szCs w:val="24"/>
          <w:u w:val="single"/>
        </w:rPr>
        <w:t xml:space="preserve">Amning </w:t>
      </w:r>
    </w:p>
    <w:p w14:paraId="36233754" w14:textId="77777777" w:rsidR="008D179D" w:rsidRPr="0081492A" w:rsidRDefault="008D179D" w:rsidP="00F77170">
      <w:pPr>
        <w:ind w:left="851"/>
        <w:rPr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udskilles i modermælk, og derfor bør amning ophøre i 2 dage efter administration. Der er rapporteret om irritabilitet og afbrudt søvnmønster hos ammede spædbørn.</w:t>
      </w:r>
    </w:p>
    <w:p w14:paraId="000E5BA0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41DDAEE4" w14:textId="77777777" w:rsidR="008D179D" w:rsidRPr="0081492A" w:rsidRDefault="008D179D" w:rsidP="00F77170">
      <w:pPr>
        <w:ind w:left="851"/>
        <w:rPr>
          <w:sz w:val="24"/>
          <w:szCs w:val="24"/>
          <w:u w:val="single"/>
        </w:rPr>
      </w:pPr>
      <w:r w:rsidRPr="0081492A">
        <w:rPr>
          <w:sz w:val="24"/>
          <w:szCs w:val="24"/>
          <w:u w:val="single"/>
        </w:rPr>
        <w:lastRenderedPageBreak/>
        <w:t>Fertilitet</w:t>
      </w:r>
    </w:p>
    <w:p w14:paraId="708B2948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Dyreforsøg vedrørende virkningen på fertilitet er ufuldstændige (se pkt. 5.3).</w:t>
      </w:r>
    </w:p>
    <w:p w14:paraId="0B232A7A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5F213A33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4.7</w:t>
      </w:r>
      <w:r w:rsidRPr="0081492A">
        <w:rPr>
          <w:b/>
          <w:sz w:val="24"/>
          <w:szCs w:val="24"/>
        </w:rPr>
        <w:tab/>
        <w:t>Virkninger på evnen til at føre motorkøretøj eller betjene maskiner</w:t>
      </w:r>
    </w:p>
    <w:p w14:paraId="153E34DB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Ikke mærkning</w:t>
      </w:r>
    </w:p>
    <w:p w14:paraId="0E7E84FC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26C07FB4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Ikke relevant.</w:t>
      </w:r>
    </w:p>
    <w:p w14:paraId="7B8DD34A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AEFC6DB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4.8</w:t>
      </w:r>
      <w:r w:rsidRPr="0081492A">
        <w:rPr>
          <w:b/>
          <w:sz w:val="24"/>
          <w:szCs w:val="24"/>
        </w:rPr>
        <w:tab/>
        <w:t>Bivirkninger</w:t>
      </w:r>
    </w:p>
    <w:p w14:paraId="7AFA85BE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Bivirkningerne i nedenstående tabel er grupperet i henhold til </w:t>
      </w:r>
      <w:proofErr w:type="spellStart"/>
      <w:r w:rsidRPr="0081492A">
        <w:rPr>
          <w:sz w:val="24"/>
          <w:szCs w:val="24"/>
        </w:rPr>
        <w:t>MedDRA</w:t>
      </w:r>
      <w:proofErr w:type="spellEnd"/>
      <w:r w:rsidRPr="0081492A">
        <w:rPr>
          <w:sz w:val="24"/>
          <w:szCs w:val="24"/>
        </w:rPr>
        <w:t xml:space="preserve">-terminologi med følgende klassifikation af hyppigheder: Meget almindelig (≥ 1/10), almindelig (≥ 1/100 til &lt; 1/10), ikke almindelig (≥ 1/1.000 til &lt; 1/100), sjælden (≥ 1/10.000 til &lt; 1/1.000), meget sjælden (&lt; 1/10.000) og ikke kendt (kan ikke estimeres ud fra forhåndenværende data). </w:t>
      </w:r>
    </w:p>
    <w:p w14:paraId="77E9CF05" w14:textId="77777777" w:rsidR="008D179D" w:rsidRPr="0081492A" w:rsidRDefault="008D179D" w:rsidP="00F77170">
      <w:pPr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162"/>
        <w:gridCol w:w="1585"/>
        <w:gridCol w:w="4881"/>
      </w:tblGrid>
      <w:tr w:rsidR="008D179D" w:rsidRPr="0081492A" w14:paraId="04984FC3" w14:textId="77777777" w:rsidTr="00F7717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DC8A" w14:textId="77777777" w:rsidR="008D179D" w:rsidRPr="0081492A" w:rsidRDefault="008D179D" w:rsidP="00F77170">
            <w:pPr>
              <w:rPr>
                <w:b/>
                <w:sz w:val="24"/>
                <w:szCs w:val="24"/>
              </w:rPr>
            </w:pPr>
            <w:r w:rsidRPr="0081492A">
              <w:rPr>
                <w:b/>
                <w:sz w:val="24"/>
                <w:szCs w:val="24"/>
              </w:rPr>
              <w:t xml:space="preserve">Systemorganklasser i henhold til </w:t>
            </w:r>
            <w:proofErr w:type="spellStart"/>
            <w:r w:rsidRPr="0081492A">
              <w:rPr>
                <w:b/>
                <w:sz w:val="24"/>
                <w:szCs w:val="24"/>
              </w:rPr>
              <w:t>MedDRA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7F5D" w14:textId="77777777" w:rsidR="008D179D" w:rsidRPr="0081492A" w:rsidRDefault="008D179D" w:rsidP="00F77170">
            <w:pPr>
              <w:rPr>
                <w:b/>
                <w:sz w:val="24"/>
                <w:szCs w:val="24"/>
              </w:rPr>
            </w:pPr>
            <w:r w:rsidRPr="0081492A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D578" w14:textId="77777777" w:rsidR="008D179D" w:rsidRPr="0081492A" w:rsidRDefault="008D179D" w:rsidP="00F77170">
            <w:pPr>
              <w:rPr>
                <w:b/>
                <w:sz w:val="24"/>
                <w:szCs w:val="24"/>
              </w:rPr>
            </w:pPr>
            <w:r w:rsidRPr="0081492A">
              <w:rPr>
                <w:b/>
                <w:sz w:val="24"/>
                <w:szCs w:val="24"/>
              </w:rPr>
              <w:t>Bivirkning</w:t>
            </w:r>
          </w:p>
        </w:tc>
      </w:tr>
      <w:tr w:rsidR="008D179D" w:rsidRPr="0081492A" w14:paraId="4F88133E" w14:textId="77777777" w:rsidTr="00F7717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65B" w14:textId="77777777" w:rsidR="008D179D" w:rsidRPr="0081492A" w:rsidRDefault="008D179D" w:rsidP="00F77170">
            <w:pPr>
              <w:rPr>
                <w:b/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Immunsystemet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EBF1" w14:textId="77777777" w:rsidR="008D179D" w:rsidRPr="0081492A" w:rsidRDefault="008D179D" w:rsidP="00F77170">
            <w:pPr>
              <w:rPr>
                <w:b/>
                <w:bCs/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5232" w14:textId="77777777" w:rsidR="008D179D" w:rsidRPr="0081492A" w:rsidRDefault="008D179D" w:rsidP="00F77170">
            <w:pPr>
              <w:rPr>
                <w:b/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overfølsomhed.</w:t>
            </w:r>
          </w:p>
        </w:tc>
      </w:tr>
      <w:tr w:rsidR="008D179D" w:rsidRPr="0081492A" w14:paraId="1300BCD3" w14:textId="77777777" w:rsidTr="00F77170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0B83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Psykiske forstyrrelser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8033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almindelig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F5AD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forvirring, angst, depression</w:t>
            </w:r>
          </w:p>
        </w:tc>
      </w:tr>
      <w:tr w:rsidR="008D179D" w:rsidRPr="0081492A" w14:paraId="013528E3" w14:textId="77777777" w:rsidTr="00F77170"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F5D" w14:textId="77777777" w:rsidR="008D179D" w:rsidRPr="0081492A" w:rsidRDefault="008D179D" w:rsidP="00F77170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BEA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34A3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psykotiske tilstande, frygt</w:t>
            </w:r>
          </w:p>
        </w:tc>
      </w:tr>
      <w:tr w:rsidR="008D179D" w:rsidRPr="0081492A" w14:paraId="7B515D95" w14:textId="77777777" w:rsidTr="00F77170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2D81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Nervesystemet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B209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almindelig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F889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 xml:space="preserve">nervøsitet, irritabilitet, rastløshed, svaghed, </w:t>
            </w:r>
            <w:proofErr w:type="spellStart"/>
            <w:r w:rsidRPr="0081492A">
              <w:rPr>
                <w:sz w:val="24"/>
                <w:szCs w:val="24"/>
              </w:rPr>
              <w:t>insomni</w:t>
            </w:r>
            <w:proofErr w:type="spellEnd"/>
            <w:r w:rsidRPr="0081492A">
              <w:rPr>
                <w:sz w:val="24"/>
                <w:szCs w:val="24"/>
              </w:rPr>
              <w:t>, hovedpine, øget svedtendens</w:t>
            </w:r>
          </w:p>
        </w:tc>
      </w:tr>
      <w:tr w:rsidR="008D179D" w:rsidRPr="0081492A" w14:paraId="084E9701" w14:textId="77777777" w:rsidTr="00F77170"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17B5" w14:textId="77777777" w:rsidR="008D179D" w:rsidRPr="0081492A" w:rsidRDefault="008D179D" w:rsidP="00F77170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813F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4FE4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proofErr w:type="spellStart"/>
            <w:r w:rsidRPr="0081492A">
              <w:rPr>
                <w:sz w:val="24"/>
                <w:szCs w:val="24"/>
              </w:rPr>
              <w:t>tremor</w:t>
            </w:r>
            <w:proofErr w:type="spellEnd"/>
            <w:r w:rsidRPr="0081492A">
              <w:rPr>
                <w:sz w:val="24"/>
                <w:szCs w:val="24"/>
              </w:rPr>
              <w:t>, øget spytdannelse</w:t>
            </w:r>
          </w:p>
        </w:tc>
      </w:tr>
      <w:tr w:rsidR="008D179D" w:rsidRPr="0081492A" w14:paraId="1D6F416C" w14:textId="77777777" w:rsidTr="00F7717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A52E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Øjne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A8CF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9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 xml:space="preserve">snævervinklet </w:t>
            </w:r>
            <w:proofErr w:type="spellStart"/>
            <w:r w:rsidRPr="0081492A">
              <w:rPr>
                <w:sz w:val="24"/>
                <w:szCs w:val="24"/>
              </w:rPr>
              <w:t>glaukom</w:t>
            </w:r>
            <w:proofErr w:type="spellEnd"/>
          </w:p>
        </w:tc>
      </w:tr>
      <w:tr w:rsidR="008D179D" w:rsidRPr="0081492A" w14:paraId="23C02F1E" w14:textId="77777777" w:rsidTr="00F77170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F1B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Hjerte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A49B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almindelig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0F6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proofErr w:type="spellStart"/>
            <w:r w:rsidRPr="0081492A">
              <w:rPr>
                <w:sz w:val="24"/>
                <w:szCs w:val="24"/>
              </w:rPr>
              <w:t>palpitationer</w:t>
            </w:r>
            <w:proofErr w:type="spellEnd"/>
            <w:r w:rsidRPr="0081492A">
              <w:rPr>
                <w:sz w:val="24"/>
                <w:szCs w:val="24"/>
              </w:rPr>
              <w:t xml:space="preserve">, hypertension, </w:t>
            </w:r>
            <w:proofErr w:type="spellStart"/>
            <w:r w:rsidRPr="0081492A">
              <w:rPr>
                <w:sz w:val="24"/>
                <w:szCs w:val="24"/>
              </w:rPr>
              <w:t>takykardi</w:t>
            </w:r>
            <w:proofErr w:type="spellEnd"/>
          </w:p>
        </w:tc>
      </w:tr>
      <w:tr w:rsidR="008D179D" w:rsidRPr="0081492A" w14:paraId="0DFEEF3E" w14:textId="77777777" w:rsidTr="00F77170"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5766" w14:textId="77777777" w:rsidR="008D179D" w:rsidRPr="0081492A" w:rsidRDefault="008D179D" w:rsidP="00F77170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9673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sjælden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5FF3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proofErr w:type="spellStart"/>
            <w:r w:rsidRPr="0081492A">
              <w:rPr>
                <w:sz w:val="24"/>
                <w:szCs w:val="24"/>
              </w:rPr>
              <w:t>hjertearytmier</w:t>
            </w:r>
            <w:proofErr w:type="spellEnd"/>
          </w:p>
        </w:tc>
      </w:tr>
      <w:tr w:rsidR="008D179D" w:rsidRPr="0081492A" w14:paraId="7496EA97" w14:textId="77777777" w:rsidTr="00F77170"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E66F" w14:textId="77777777" w:rsidR="008D179D" w:rsidRPr="0081492A" w:rsidRDefault="008D179D" w:rsidP="00F77170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D9AF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29A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 xml:space="preserve">anginasmerter, refleksbradykardi, hjertestop, hypotension </w:t>
            </w:r>
          </w:p>
        </w:tc>
      </w:tr>
      <w:tr w:rsidR="008D179D" w:rsidRPr="0081492A" w14:paraId="2A7E8CB6" w14:textId="77777777" w:rsidTr="00F7717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B61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proofErr w:type="spellStart"/>
            <w:r w:rsidRPr="0081492A">
              <w:rPr>
                <w:sz w:val="24"/>
                <w:szCs w:val="24"/>
              </w:rPr>
              <w:t>Vaskulære</w:t>
            </w:r>
            <w:proofErr w:type="spellEnd"/>
            <w:r w:rsidRPr="0081492A">
              <w:rPr>
                <w:sz w:val="24"/>
                <w:szCs w:val="24"/>
              </w:rPr>
              <w:t xml:space="preserve"> sygdomme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F110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D112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hjerneblødning</w:t>
            </w:r>
          </w:p>
        </w:tc>
      </w:tr>
      <w:tr w:rsidR="008D179D" w:rsidRPr="0081492A" w14:paraId="57247B17" w14:textId="77777777" w:rsidTr="00F77170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EE8B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81492A">
              <w:rPr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ED4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almindelig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6CE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dyspnø</w:t>
            </w:r>
          </w:p>
        </w:tc>
      </w:tr>
      <w:tr w:rsidR="008D179D" w:rsidRPr="0081492A" w14:paraId="5D578A6B" w14:textId="77777777" w:rsidTr="00F77170"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FDAB" w14:textId="77777777" w:rsidR="008D179D" w:rsidRPr="0081492A" w:rsidRDefault="008D179D" w:rsidP="00F77170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A91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786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lungeødem</w:t>
            </w:r>
          </w:p>
        </w:tc>
      </w:tr>
      <w:tr w:rsidR="008D179D" w:rsidRPr="0081492A" w14:paraId="47CA46B6" w14:textId="77777777" w:rsidTr="00F77170">
        <w:tc>
          <w:tcPr>
            <w:tcW w:w="1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0371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Mave-tarm-kanalen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ADFD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almindelig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95A2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kvalme, opkastning</w:t>
            </w:r>
          </w:p>
        </w:tc>
      </w:tr>
      <w:tr w:rsidR="008D179D" w:rsidRPr="0081492A" w14:paraId="7F9A84EC" w14:textId="77777777" w:rsidTr="00F77170">
        <w:tc>
          <w:tcPr>
            <w:tcW w:w="1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C4F" w14:textId="77777777" w:rsidR="008D179D" w:rsidRPr="0081492A" w:rsidRDefault="008D179D" w:rsidP="00F77170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8485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C9A5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nedsat appetit</w:t>
            </w:r>
          </w:p>
        </w:tc>
      </w:tr>
      <w:tr w:rsidR="008D179D" w:rsidRPr="0081492A" w14:paraId="4FCAFB16" w14:textId="77777777" w:rsidTr="00F7717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4499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Nyrer og urinveje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8CF4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sjælden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51A4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akut urinretention</w:t>
            </w:r>
          </w:p>
        </w:tc>
      </w:tr>
      <w:tr w:rsidR="008D179D" w:rsidRPr="0081492A" w14:paraId="3AECCA24" w14:textId="77777777" w:rsidTr="00F77170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43C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Undersøgelser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216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r w:rsidRPr="0081492A">
              <w:rPr>
                <w:sz w:val="24"/>
                <w:szCs w:val="24"/>
              </w:rPr>
              <w:t>ikke kendt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9FC" w14:textId="77777777" w:rsidR="008D179D" w:rsidRPr="0081492A" w:rsidRDefault="008D179D" w:rsidP="00F77170">
            <w:pPr>
              <w:rPr>
                <w:sz w:val="24"/>
                <w:szCs w:val="24"/>
              </w:rPr>
            </w:pPr>
            <w:proofErr w:type="spellStart"/>
            <w:r w:rsidRPr="0081492A">
              <w:rPr>
                <w:sz w:val="24"/>
                <w:szCs w:val="24"/>
              </w:rPr>
              <w:t>hypokaliæmi</w:t>
            </w:r>
            <w:proofErr w:type="spellEnd"/>
            <w:r w:rsidRPr="0081492A">
              <w:rPr>
                <w:sz w:val="24"/>
                <w:szCs w:val="24"/>
              </w:rPr>
              <w:t xml:space="preserve">, ændring i </w:t>
            </w:r>
            <w:proofErr w:type="spellStart"/>
            <w:r w:rsidRPr="0081492A">
              <w:rPr>
                <w:sz w:val="24"/>
                <w:szCs w:val="24"/>
              </w:rPr>
              <w:t>blodglucoseniveau</w:t>
            </w:r>
            <w:proofErr w:type="spellEnd"/>
          </w:p>
        </w:tc>
      </w:tr>
    </w:tbl>
    <w:p w14:paraId="291388A4" w14:textId="77777777" w:rsidR="008D179D" w:rsidRPr="0081492A" w:rsidRDefault="008D179D" w:rsidP="00F77170">
      <w:pPr>
        <w:rPr>
          <w:sz w:val="24"/>
          <w:szCs w:val="24"/>
        </w:rPr>
      </w:pPr>
    </w:p>
    <w:p w14:paraId="6D6DD2F1" w14:textId="77777777" w:rsidR="008D179D" w:rsidRPr="0081492A" w:rsidRDefault="008D179D" w:rsidP="00F77170">
      <w:pPr>
        <w:ind w:left="851"/>
        <w:rPr>
          <w:sz w:val="24"/>
          <w:szCs w:val="24"/>
          <w:u w:val="single"/>
        </w:rPr>
      </w:pPr>
      <w:r w:rsidRPr="0081492A">
        <w:rPr>
          <w:sz w:val="24"/>
          <w:szCs w:val="24"/>
          <w:u w:val="single"/>
        </w:rPr>
        <w:t>Indberetning af formodede bivirkninger</w:t>
      </w:r>
    </w:p>
    <w:p w14:paraId="29425FD0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1492A">
        <w:rPr>
          <w:sz w:val="24"/>
          <w:szCs w:val="24"/>
        </w:rPr>
        <w:t>risk</w:t>
      </w:r>
      <w:proofErr w:type="spellEnd"/>
      <w:r w:rsidRPr="0081492A">
        <w:rPr>
          <w:sz w:val="24"/>
          <w:szCs w:val="24"/>
        </w:rPr>
        <w:t>-forholdet for lægemidlet. Sundhedspersoner anmodes om at indberette alle formodede bivirkninger via:</w:t>
      </w:r>
    </w:p>
    <w:p w14:paraId="72627691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 </w:t>
      </w:r>
    </w:p>
    <w:p w14:paraId="466B87DF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>Lægemiddelstyrelsen</w:t>
      </w:r>
    </w:p>
    <w:p w14:paraId="26483EC5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>Axel Heides Gade 1</w:t>
      </w:r>
    </w:p>
    <w:p w14:paraId="3C9CCD5B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>DK-2300 København S</w:t>
      </w:r>
    </w:p>
    <w:p w14:paraId="667EE1F7" w14:textId="77777777" w:rsidR="008D179D" w:rsidRPr="0081492A" w:rsidRDefault="008D179D" w:rsidP="00F77170">
      <w:pPr>
        <w:suppressAutoHyphens/>
        <w:ind w:left="851"/>
        <w:rPr>
          <w:sz w:val="24"/>
          <w:szCs w:val="24"/>
        </w:rPr>
      </w:pPr>
      <w:r w:rsidRPr="0081492A">
        <w:rPr>
          <w:sz w:val="24"/>
          <w:szCs w:val="24"/>
        </w:rPr>
        <w:t>Websted: www.meldenbivirkning.dk</w:t>
      </w:r>
    </w:p>
    <w:p w14:paraId="11FF6F5C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0F5FC9C2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4.9</w:t>
      </w:r>
      <w:r w:rsidRPr="0081492A">
        <w:rPr>
          <w:b/>
          <w:sz w:val="24"/>
          <w:szCs w:val="24"/>
        </w:rPr>
        <w:tab/>
        <w:t>Overdosering</w:t>
      </w:r>
    </w:p>
    <w:p w14:paraId="066CC3CE" w14:textId="77777777" w:rsidR="003B6EED" w:rsidRDefault="003B6EED" w:rsidP="00F77170">
      <w:pPr>
        <w:ind w:left="851"/>
        <w:rPr>
          <w:i/>
          <w:sz w:val="24"/>
          <w:szCs w:val="24"/>
          <w:u w:val="single"/>
        </w:rPr>
      </w:pPr>
    </w:p>
    <w:p w14:paraId="6C7A484F" w14:textId="3AD7DE02" w:rsidR="008D179D" w:rsidRPr="0081492A" w:rsidRDefault="008D179D" w:rsidP="00F77170">
      <w:pPr>
        <w:ind w:left="851"/>
        <w:rPr>
          <w:i/>
          <w:sz w:val="24"/>
          <w:szCs w:val="24"/>
          <w:u w:val="single"/>
        </w:rPr>
      </w:pPr>
      <w:r w:rsidRPr="0081492A">
        <w:rPr>
          <w:i/>
          <w:sz w:val="24"/>
          <w:szCs w:val="24"/>
          <w:u w:val="single"/>
        </w:rPr>
        <w:t xml:space="preserve">Symptomer og tegn: </w:t>
      </w:r>
    </w:p>
    <w:p w14:paraId="2A34F024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Symptomerne på overdosering kan omfatte kvalme, opkastning, feber, paranoid psykose, </w:t>
      </w:r>
      <w:proofErr w:type="spellStart"/>
      <w:r w:rsidRPr="0081492A">
        <w:rPr>
          <w:sz w:val="24"/>
          <w:szCs w:val="24"/>
        </w:rPr>
        <w:t>hjertearytmier</w:t>
      </w:r>
      <w:proofErr w:type="spellEnd"/>
      <w:r w:rsidRPr="0081492A">
        <w:rPr>
          <w:sz w:val="24"/>
          <w:szCs w:val="24"/>
        </w:rPr>
        <w:t xml:space="preserve"> såsom </w:t>
      </w:r>
      <w:proofErr w:type="spellStart"/>
      <w:r w:rsidRPr="0081492A">
        <w:rPr>
          <w:sz w:val="24"/>
          <w:szCs w:val="24"/>
        </w:rPr>
        <w:t>ventrikulær</w:t>
      </w:r>
      <w:proofErr w:type="spellEnd"/>
      <w:r w:rsidRPr="0081492A">
        <w:rPr>
          <w:sz w:val="24"/>
          <w:szCs w:val="24"/>
        </w:rPr>
        <w:t xml:space="preserve"> og </w:t>
      </w:r>
      <w:proofErr w:type="spellStart"/>
      <w:r w:rsidRPr="0081492A">
        <w:rPr>
          <w:sz w:val="24"/>
          <w:szCs w:val="24"/>
        </w:rPr>
        <w:t>supraventrikulær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takykardi</w:t>
      </w:r>
      <w:proofErr w:type="spellEnd"/>
      <w:r w:rsidRPr="0081492A">
        <w:rPr>
          <w:sz w:val="24"/>
          <w:szCs w:val="24"/>
        </w:rPr>
        <w:t xml:space="preserve">, hypertension, </w:t>
      </w:r>
      <w:r w:rsidRPr="0081492A">
        <w:rPr>
          <w:sz w:val="24"/>
          <w:szCs w:val="24"/>
        </w:rPr>
        <w:lastRenderedPageBreak/>
        <w:t>respirationsdepression, krampeanfald og koma. Den dødelige dosis hos mennesker er cirka 2 g, svarende til en blodkoncentration på cirka 3,5 til 20 mg/l.</w:t>
      </w:r>
    </w:p>
    <w:p w14:paraId="4BED6F37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6ED07E86" w14:textId="77777777" w:rsidR="008D179D" w:rsidRPr="0081492A" w:rsidRDefault="008D179D" w:rsidP="00F77170">
      <w:pPr>
        <w:ind w:left="851"/>
        <w:rPr>
          <w:i/>
          <w:sz w:val="24"/>
          <w:szCs w:val="24"/>
          <w:u w:val="single"/>
        </w:rPr>
      </w:pPr>
      <w:r w:rsidRPr="0081492A">
        <w:rPr>
          <w:i/>
          <w:sz w:val="24"/>
          <w:szCs w:val="24"/>
          <w:u w:val="single"/>
        </w:rPr>
        <w:t xml:space="preserve">Behandling: </w:t>
      </w:r>
    </w:p>
    <w:p w14:paraId="4F92C9F3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Overdosering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kan kræve intensiv understøttende behandling. Der kan gives </w:t>
      </w:r>
      <w:proofErr w:type="spellStart"/>
      <w:r w:rsidRPr="0081492A">
        <w:rPr>
          <w:sz w:val="24"/>
          <w:szCs w:val="24"/>
        </w:rPr>
        <w:t>labetalol</w:t>
      </w:r>
      <w:proofErr w:type="spellEnd"/>
      <w:r w:rsidRPr="0081492A">
        <w:rPr>
          <w:sz w:val="24"/>
          <w:szCs w:val="24"/>
        </w:rPr>
        <w:t xml:space="preserve"> 50-200 mg via langsom intravenøs injektion under EKG-monitorering til behandling af </w:t>
      </w:r>
      <w:proofErr w:type="spellStart"/>
      <w:r w:rsidRPr="0081492A">
        <w:rPr>
          <w:sz w:val="24"/>
          <w:szCs w:val="24"/>
        </w:rPr>
        <w:t>supraventrikulær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takykardi</w:t>
      </w:r>
      <w:proofErr w:type="spellEnd"/>
      <w:r w:rsidRPr="0081492A">
        <w:rPr>
          <w:sz w:val="24"/>
          <w:szCs w:val="24"/>
        </w:rPr>
        <w:t xml:space="preserve">. Svær </w:t>
      </w:r>
      <w:proofErr w:type="spellStart"/>
      <w:r w:rsidRPr="0081492A">
        <w:rPr>
          <w:sz w:val="24"/>
          <w:szCs w:val="24"/>
        </w:rPr>
        <w:t>hypokaliæmi</w:t>
      </w:r>
      <w:proofErr w:type="spellEnd"/>
      <w:r w:rsidRPr="0081492A">
        <w:rPr>
          <w:sz w:val="24"/>
          <w:szCs w:val="24"/>
        </w:rPr>
        <w:t xml:space="preserve"> (&lt; 2,8 mmol/l) som følge af </w:t>
      </w:r>
      <w:proofErr w:type="spellStart"/>
      <w:r w:rsidRPr="0081492A">
        <w:rPr>
          <w:sz w:val="24"/>
          <w:szCs w:val="24"/>
        </w:rPr>
        <w:t>displacering</w:t>
      </w:r>
      <w:proofErr w:type="spellEnd"/>
      <w:r w:rsidRPr="0081492A">
        <w:rPr>
          <w:sz w:val="24"/>
          <w:szCs w:val="24"/>
        </w:rPr>
        <w:t xml:space="preserve"> af kalium prædisponerer for </w:t>
      </w:r>
      <w:proofErr w:type="spellStart"/>
      <w:r w:rsidRPr="0081492A">
        <w:rPr>
          <w:sz w:val="24"/>
          <w:szCs w:val="24"/>
        </w:rPr>
        <w:t>hjertearytmier</w:t>
      </w:r>
      <w:proofErr w:type="spellEnd"/>
      <w:r w:rsidRPr="0081492A">
        <w:rPr>
          <w:sz w:val="24"/>
          <w:szCs w:val="24"/>
        </w:rPr>
        <w:t xml:space="preserve"> og kan korrigeres med infusion af </w:t>
      </w:r>
      <w:proofErr w:type="spellStart"/>
      <w:r w:rsidRPr="0081492A">
        <w:rPr>
          <w:sz w:val="24"/>
          <w:szCs w:val="24"/>
        </w:rPr>
        <w:t>kaliumchlorid</w:t>
      </w:r>
      <w:proofErr w:type="spellEnd"/>
      <w:r w:rsidRPr="0081492A">
        <w:rPr>
          <w:sz w:val="24"/>
          <w:szCs w:val="24"/>
        </w:rPr>
        <w:t xml:space="preserve"> i tillæg til </w:t>
      </w:r>
      <w:proofErr w:type="spellStart"/>
      <w:r w:rsidRPr="0081492A">
        <w:rPr>
          <w:sz w:val="24"/>
          <w:szCs w:val="24"/>
        </w:rPr>
        <w:t>propranolol</w:t>
      </w:r>
      <w:proofErr w:type="spellEnd"/>
      <w:r w:rsidRPr="0081492A">
        <w:rPr>
          <w:sz w:val="24"/>
          <w:szCs w:val="24"/>
        </w:rPr>
        <w:t xml:space="preserve">. Hvis der er respiratorisk </w:t>
      </w:r>
      <w:proofErr w:type="spellStart"/>
      <w:r w:rsidRPr="0081492A">
        <w:rPr>
          <w:sz w:val="24"/>
          <w:szCs w:val="24"/>
        </w:rPr>
        <w:t>alkalose</w:t>
      </w:r>
      <w:proofErr w:type="spellEnd"/>
      <w:r w:rsidRPr="0081492A">
        <w:rPr>
          <w:sz w:val="24"/>
          <w:szCs w:val="24"/>
        </w:rPr>
        <w:t xml:space="preserve">, kan det også korrigeres med </w:t>
      </w:r>
      <w:proofErr w:type="spellStart"/>
      <w:r w:rsidRPr="0081492A">
        <w:rPr>
          <w:sz w:val="24"/>
          <w:szCs w:val="24"/>
        </w:rPr>
        <w:t>kaliumchlorid</w:t>
      </w:r>
      <w:proofErr w:type="spellEnd"/>
      <w:r w:rsidRPr="0081492A">
        <w:rPr>
          <w:sz w:val="24"/>
          <w:szCs w:val="24"/>
        </w:rPr>
        <w:t>.</w:t>
      </w:r>
    </w:p>
    <w:p w14:paraId="6C97AB6C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11984A78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4.10</w:t>
      </w:r>
      <w:r w:rsidRPr="0081492A">
        <w:rPr>
          <w:b/>
          <w:sz w:val="24"/>
          <w:szCs w:val="24"/>
        </w:rPr>
        <w:tab/>
        <w:t>Udlevering</w:t>
      </w:r>
    </w:p>
    <w:p w14:paraId="1A6D975E" w14:textId="6DE8ADB7" w:rsidR="009260DE" w:rsidRPr="0081492A" w:rsidRDefault="008413AC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B</w:t>
      </w:r>
    </w:p>
    <w:p w14:paraId="7954A658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3F7E7CD3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7287720E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5.</w:t>
      </w:r>
      <w:r w:rsidRPr="0081492A">
        <w:rPr>
          <w:b/>
          <w:sz w:val="24"/>
          <w:szCs w:val="24"/>
        </w:rPr>
        <w:tab/>
        <w:t>FARMAKOLOGISKE EGENSKABER</w:t>
      </w:r>
    </w:p>
    <w:p w14:paraId="512F8742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2764D8B4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5.0</w:t>
      </w:r>
      <w:r w:rsidRPr="0081492A">
        <w:rPr>
          <w:b/>
          <w:sz w:val="24"/>
          <w:szCs w:val="24"/>
        </w:rPr>
        <w:tab/>
        <w:t>Terapeutisk klassifikation</w:t>
      </w:r>
    </w:p>
    <w:p w14:paraId="21B3EB2C" w14:textId="077E9DE7" w:rsidR="008D179D" w:rsidRPr="0081492A" w:rsidRDefault="00F77170" w:rsidP="00F77170">
      <w:pPr>
        <w:ind w:left="851"/>
        <w:outlineLvl w:val="0"/>
        <w:rPr>
          <w:sz w:val="24"/>
          <w:szCs w:val="24"/>
        </w:rPr>
      </w:pPr>
      <w:r w:rsidRPr="0081492A">
        <w:rPr>
          <w:sz w:val="24"/>
          <w:szCs w:val="24"/>
        </w:rPr>
        <w:t>ATC-kode: C 01 CA 26.</w:t>
      </w:r>
      <w:r w:rsidR="008D179D" w:rsidRPr="0081492A">
        <w:rPr>
          <w:sz w:val="24"/>
          <w:szCs w:val="24"/>
        </w:rPr>
        <w:t xml:space="preserve"> </w:t>
      </w:r>
      <w:proofErr w:type="spellStart"/>
      <w:r w:rsidR="008D179D" w:rsidRPr="0081492A">
        <w:rPr>
          <w:sz w:val="24"/>
          <w:szCs w:val="24"/>
        </w:rPr>
        <w:t>Adrenerge</w:t>
      </w:r>
      <w:proofErr w:type="spellEnd"/>
      <w:r w:rsidR="008D179D" w:rsidRPr="0081492A">
        <w:rPr>
          <w:sz w:val="24"/>
          <w:szCs w:val="24"/>
        </w:rPr>
        <w:t xml:space="preserve"> og </w:t>
      </w:r>
      <w:proofErr w:type="spellStart"/>
      <w:r w:rsidR="008D179D" w:rsidRPr="0081492A">
        <w:rPr>
          <w:sz w:val="24"/>
          <w:szCs w:val="24"/>
        </w:rPr>
        <w:t>dopaminerge</w:t>
      </w:r>
      <w:proofErr w:type="spellEnd"/>
      <w:r w:rsidR="008D179D" w:rsidRPr="0081492A">
        <w:rPr>
          <w:sz w:val="24"/>
          <w:szCs w:val="24"/>
        </w:rPr>
        <w:t xml:space="preserve"> midler</w:t>
      </w:r>
      <w:r w:rsidRPr="0081492A">
        <w:rPr>
          <w:sz w:val="24"/>
          <w:szCs w:val="24"/>
        </w:rPr>
        <w:t>.</w:t>
      </w:r>
      <w:r w:rsidR="008D179D" w:rsidRPr="0081492A">
        <w:rPr>
          <w:sz w:val="24"/>
          <w:szCs w:val="24"/>
        </w:rPr>
        <w:t xml:space="preserve"> </w:t>
      </w:r>
    </w:p>
    <w:p w14:paraId="677736CA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637DDAAB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5.1</w:t>
      </w:r>
      <w:r w:rsidRPr="0081492A">
        <w:rPr>
          <w:b/>
          <w:sz w:val="24"/>
          <w:szCs w:val="24"/>
        </w:rPr>
        <w:tab/>
      </w:r>
      <w:proofErr w:type="spellStart"/>
      <w:r w:rsidRPr="0081492A">
        <w:rPr>
          <w:b/>
          <w:sz w:val="24"/>
          <w:szCs w:val="24"/>
        </w:rPr>
        <w:t>Farmakodynamiske</w:t>
      </w:r>
      <w:proofErr w:type="spellEnd"/>
      <w:r w:rsidRPr="0081492A">
        <w:rPr>
          <w:b/>
          <w:sz w:val="24"/>
          <w:szCs w:val="24"/>
        </w:rPr>
        <w:t xml:space="preserve"> egenskaber</w:t>
      </w:r>
    </w:p>
    <w:p w14:paraId="6F5200E9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1492A">
        <w:rPr>
          <w:iCs/>
          <w:sz w:val="24"/>
          <w:szCs w:val="24"/>
          <w:u w:val="single"/>
        </w:rPr>
        <w:t>Virkningsmekanisme</w:t>
      </w:r>
    </w:p>
    <w:p w14:paraId="37F9D711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er et </w:t>
      </w:r>
      <w:proofErr w:type="spellStart"/>
      <w:r w:rsidRPr="0081492A">
        <w:rPr>
          <w:sz w:val="24"/>
          <w:szCs w:val="24"/>
        </w:rPr>
        <w:t>sympatomimetisk</w:t>
      </w:r>
      <w:proofErr w:type="spellEnd"/>
      <w:r w:rsidRPr="0081492A">
        <w:rPr>
          <w:sz w:val="24"/>
          <w:szCs w:val="24"/>
        </w:rPr>
        <w:t xml:space="preserve"> </w:t>
      </w:r>
      <w:proofErr w:type="spellStart"/>
      <w:r w:rsidRPr="0081492A">
        <w:rPr>
          <w:sz w:val="24"/>
          <w:szCs w:val="24"/>
        </w:rPr>
        <w:t>amin</w:t>
      </w:r>
      <w:proofErr w:type="spellEnd"/>
      <w:r w:rsidRPr="0081492A">
        <w:rPr>
          <w:sz w:val="24"/>
          <w:szCs w:val="24"/>
        </w:rPr>
        <w:t xml:space="preserve"> med direkte virkning på alfa- og betareceptorer og indirekte virkning i form af øget frigivelse af noradrenalin fra de sympatiske nerveender. Som det er tilfældet med alle </w:t>
      </w:r>
      <w:proofErr w:type="spellStart"/>
      <w:r w:rsidRPr="0081492A">
        <w:rPr>
          <w:sz w:val="24"/>
          <w:szCs w:val="24"/>
        </w:rPr>
        <w:t>sympatomimetiske</w:t>
      </w:r>
      <w:proofErr w:type="spellEnd"/>
      <w:r w:rsidRPr="0081492A">
        <w:rPr>
          <w:sz w:val="24"/>
          <w:szCs w:val="24"/>
        </w:rPr>
        <w:t xml:space="preserve"> midler, stimulerer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centralnervesystemet, det </w:t>
      </w:r>
      <w:proofErr w:type="spellStart"/>
      <w:r w:rsidRPr="0081492A">
        <w:rPr>
          <w:sz w:val="24"/>
          <w:szCs w:val="24"/>
        </w:rPr>
        <w:t>kardiovaskulære</w:t>
      </w:r>
      <w:proofErr w:type="spellEnd"/>
      <w:r w:rsidRPr="0081492A">
        <w:rPr>
          <w:sz w:val="24"/>
          <w:szCs w:val="24"/>
        </w:rPr>
        <w:t xml:space="preserve"> system, det respiratoriske system og lukkemusklerne i mave-tarm- og urinvejssystemet.</w:t>
      </w:r>
    </w:p>
    <w:p w14:paraId="5CE0C2A8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3598958D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5.2</w:t>
      </w:r>
      <w:r w:rsidRPr="0081492A">
        <w:rPr>
          <w:b/>
          <w:sz w:val="24"/>
          <w:szCs w:val="24"/>
        </w:rPr>
        <w:tab/>
      </w:r>
      <w:proofErr w:type="spellStart"/>
      <w:r w:rsidRPr="0081492A">
        <w:rPr>
          <w:b/>
          <w:sz w:val="24"/>
          <w:szCs w:val="24"/>
        </w:rPr>
        <w:t>Farmakokinetiske</w:t>
      </w:r>
      <w:proofErr w:type="spellEnd"/>
      <w:r w:rsidRPr="0081492A">
        <w:rPr>
          <w:b/>
          <w:sz w:val="24"/>
          <w:szCs w:val="24"/>
        </w:rPr>
        <w:t xml:space="preserve"> egenskaber</w:t>
      </w:r>
    </w:p>
    <w:p w14:paraId="4348D284" w14:textId="77777777" w:rsidR="003B6EED" w:rsidRDefault="003B6EE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</w:p>
    <w:p w14:paraId="69BA48DF" w14:textId="15A0577B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1492A">
        <w:rPr>
          <w:iCs/>
          <w:sz w:val="24"/>
          <w:szCs w:val="24"/>
          <w:u w:val="single"/>
        </w:rPr>
        <w:t>Fordeling</w:t>
      </w:r>
    </w:p>
    <w:p w14:paraId="2A8A73E5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fordeles hurtigt, primært til leveren, lungerne, nyrerne, milten og hjernen. Serumværdier på 0,04-0,08 mg/ml betragtes som et terapeutisk niveau.</w:t>
      </w:r>
    </w:p>
    <w:p w14:paraId="1C8CECB7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</w:p>
    <w:p w14:paraId="6561D7C2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1492A">
        <w:rPr>
          <w:iCs/>
          <w:sz w:val="24"/>
          <w:szCs w:val="24"/>
          <w:u w:val="single"/>
        </w:rPr>
        <w:t xml:space="preserve">Biotransformation </w:t>
      </w:r>
    </w:p>
    <w:p w14:paraId="759F1EEA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81492A">
        <w:rPr>
          <w:sz w:val="24"/>
          <w:szCs w:val="24"/>
        </w:rPr>
        <w:t xml:space="preserve">En lille mængde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(ca. 5 %) </w:t>
      </w:r>
      <w:proofErr w:type="spellStart"/>
      <w:r w:rsidRPr="0081492A">
        <w:rPr>
          <w:sz w:val="24"/>
          <w:szCs w:val="24"/>
        </w:rPr>
        <w:t>metaboliseres</w:t>
      </w:r>
      <w:proofErr w:type="spellEnd"/>
      <w:r w:rsidRPr="0081492A">
        <w:rPr>
          <w:sz w:val="24"/>
          <w:szCs w:val="24"/>
        </w:rPr>
        <w:t xml:space="preserve"> via </w:t>
      </w:r>
      <w:proofErr w:type="spellStart"/>
      <w:r w:rsidRPr="0081492A">
        <w:rPr>
          <w:sz w:val="24"/>
          <w:szCs w:val="24"/>
        </w:rPr>
        <w:t>deaminering</w:t>
      </w:r>
      <w:proofErr w:type="spellEnd"/>
      <w:r w:rsidRPr="0081492A">
        <w:rPr>
          <w:sz w:val="24"/>
          <w:szCs w:val="24"/>
        </w:rPr>
        <w:t xml:space="preserve"> og N-</w:t>
      </w:r>
      <w:proofErr w:type="spellStart"/>
      <w:r w:rsidRPr="0081492A">
        <w:rPr>
          <w:sz w:val="24"/>
          <w:szCs w:val="24"/>
        </w:rPr>
        <w:t>demethylering</w:t>
      </w:r>
      <w:proofErr w:type="spellEnd"/>
      <w:r w:rsidRPr="0081492A">
        <w:rPr>
          <w:sz w:val="24"/>
          <w:szCs w:val="24"/>
        </w:rPr>
        <w:t xml:space="preserve">. Hovedmetabolitten, </w:t>
      </w:r>
      <w:proofErr w:type="spellStart"/>
      <w:r w:rsidRPr="0081492A">
        <w:rPr>
          <w:sz w:val="24"/>
          <w:szCs w:val="24"/>
        </w:rPr>
        <w:t>norephedrin</w:t>
      </w:r>
      <w:proofErr w:type="spellEnd"/>
      <w:r w:rsidRPr="0081492A">
        <w:rPr>
          <w:sz w:val="24"/>
          <w:szCs w:val="24"/>
        </w:rPr>
        <w:t>, er farmakologisk aktiv.</w:t>
      </w:r>
    </w:p>
    <w:p w14:paraId="7471F75B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81492A">
        <w:rPr>
          <w:sz w:val="24"/>
          <w:szCs w:val="24"/>
        </w:rPr>
        <w:t xml:space="preserve"> </w:t>
      </w:r>
    </w:p>
    <w:p w14:paraId="532B641B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81492A">
        <w:rPr>
          <w:iCs/>
          <w:sz w:val="24"/>
          <w:szCs w:val="24"/>
          <w:u w:val="single"/>
        </w:rPr>
        <w:t>Elimination</w:t>
      </w:r>
    </w:p>
    <w:p w14:paraId="42AC3800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81492A">
        <w:rPr>
          <w:sz w:val="24"/>
          <w:szCs w:val="24"/>
        </w:rPr>
        <w:t xml:space="preserve">Størstedelen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udskilles </w:t>
      </w:r>
      <w:proofErr w:type="spellStart"/>
      <w:r w:rsidRPr="0081492A">
        <w:rPr>
          <w:sz w:val="24"/>
          <w:szCs w:val="24"/>
        </w:rPr>
        <w:t>uomdannet</w:t>
      </w:r>
      <w:proofErr w:type="spellEnd"/>
      <w:r w:rsidRPr="0081492A">
        <w:rPr>
          <w:sz w:val="24"/>
          <w:szCs w:val="24"/>
        </w:rPr>
        <w:t xml:space="preserve"> via urinen. </w:t>
      </w:r>
      <w:proofErr w:type="spellStart"/>
      <w:r w:rsidRPr="0081492A">
        <w:rPr>
          <w:sz w:val="24"/>
          <w:szCs w:val="24"/>
        </w:rPr>
        <w:t>Ephedrins</w:t>
      </w:r>
      <w:proofErr w:type="spellEnd"/>
      <w:r w:rsidRPr="0081492A">
        <w:rPr>
          <w:sz w:val="24"/>
          <w:szCs w:val="24"/>
        </w:rPr>
        <w:t xml:space="preserve"> plasmahalveringstid er 3-6 timer, afhængigt af pH-værdien i urinen. I sjældne tilfælde er der rapporteret om længere halveringstider på op til 9 timer. Eliminationen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stiger (og som følge deraf falder halveringstiden) i takt med faldende pH-værdi i urinen. Eliminationen er langsommere ved nyresygdom.</w:t>
      </w:r>
    </w:p>
    <w:p w14:paraId="670188C9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40E96FEB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5.3</w:t>
      </w:r>
      <w:r w:rsidRPr="0081492A">
        <w:rPr>
          <w:b/>
          <w:sz w:val="24"/>
          <w:szCs w:val="24"/>
        </w:rPr>
        <w:tab/>
        <w:t>Prækliniske sikkerhedsdata</w:t>
      </w:r>
    </w:p>
    <w:p w14:paraId="6D8245B6" w14:textId="77777777" w:rsidR="008D179D" w:rsidRPr="0081492A" w:rsidRDefault="008D179D" w:rsidP="00F77170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81492A">
        <w:rPr>
          <w:sz w:val="24"/>
          <w:szCs w:val="24"/>
        </w:rPr>
        <w:t xml:space="preserve">Der er ikke udført fertilitetsstudier i henhold til aktuelle standarder. Der er imidlertid set anti-østrogene virkninger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hos unge rotter, der fik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i en oral dosis på 5 mg/kg, hvilket tyder på potentielle virkninger på kvindelig fertilitet.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krydser placenta, og administration af </w:t>
      </w:r>
      <w:proofErr w:type="spellStart"/>
      <w:r w:rsidRPr="0081492A">
        <w:rPr>
          <w:sz w:val="24"/>
          <w:szCs w:val="24"/>
        </w:rPr>
        <w:t>ephedrin</w:t>
      </w:r>
      <w:proofErr w:type="spellEnd"/>
      <w:r w:rsidRPr="0081492A">
        <w:rPr>
          <w:sz w:val="24"/>
          <w:szCs w:val="24"/>
        </w:rPr>
        <w:t xml:space="preserve"> hos rotter i de tidlige drægtighedsstadier påvirkede fostrene og resulterede i </w:t>
      </w:r>
      <w:proofErr w:type="spellStart"/>
      <w:r w:rsidRPr="0081492A">
        <w:rPr>
          <w:sz w:val="24"/>
          <w:szCs w:val="24"/>
        </w:rPr>
        <w:t>kardiovaskulære</w:t>
      </w:r>
      <w:proofErr w:type="spellEnd"/>
      <w:r w:rsidRPr="0081492A">
        <w:rPr>
          <w:sz w:val="24"/>
          <w:szCs w:val="24"/>
        </w:rPr>
        <w:t xml:space="preserve"> misdannelser.</w:t>
      </w:r>
    </w:p>
    <w:p w14:paraId="3F0129A2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2AA6F8A8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629DFF79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</w:t>
      </w:r>
      <w:r w:rsidRPr="0081492A">
        <w:rPr>
          <w:b/>
          <w:sz w:val="24"/>
          <w:szCs w:val="24"/>
        </w:rPr>
        <w:tab/>
        <w:t>FARMACEUTISKE OPLYSNINGER</w:t>
      </w:r>
    </w:p>
    <w:p w14:paraId="625EB8DF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66E71CC6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6.1</w:t>
      </w:r>
      <w:r w:rsidRPr="0081492A">
        <w:rPr>
          <w:b/>
          <w:sz w:val="24"/>
          <w:szCs w:val="24"/>
        </w:rPr>
        <w:tab/>
        <w:t>Hjælpestoffer</w:t>
      </w:r>
    </w:p>
    <w:p w14:paraId="6D4D9F99" w14:textId="77777777" w:rsidR="008D179D" w:rsidRPr="0081492A" w:rsidRDefault="008D179D" w:rsidP="00F77170">
      <w:pPr>
        <w:ind w:left="851"/>
        <w:rPr>
          <w:iCs/>
          <w:sz w:val="24"/>
          <w:szCs w:val="24"/>
        </w:rPr>
      </w:pPr>
      <w:r w:rsidRPr="0081492A">
        <w:rPr>
          <w:sz w:val="24"/>
          <w:szCs w:val="24"/>
        </w:rPr>
        <w:t>Natriumhydroxid (til pH-justering)</w:t>
      </w:r>
    </w:p>
    <w:p w14:paraId="55F0A28C" w14:textId="77777777" w:rsidR="008D179D" w:rsidRPr="0081492A" w:rsidRDefault="008D179D" w:rsidP="00F77170">
      <w:pPr>
        <w:ind w:left="851"/>
        <w:rPr>
          <w:iCs/>
          <w:sz w:val="24"/>
          <w:szCs w:val="24"/>
        </w:rPr>
      </w:pPr>
      <w:r w:rsidRPr="0081492A">
        <w:rPr>
          <w:sz w:val="24"/>
          <w:szCs w:val="24"/>
        </w:rPr>
        <w:t>Vand til injektionsvæsker</w:t>
      </w:r>
    </w:p>
    <w:p w14:paraId="1BF6BC26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639CCBA7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6.2</w:t>
      </w:r>
      <w:r w:rsidRPr="0081492A">
        <w:rPr>
          <w:b/>
          <w:sz w:val="24"/>
          <w:szCs w:val="24"/>
        </w:rPr>
        <w:tab/>
        <w:t>Uforligeligheder</w:t>
      </w:r>
    </w:p>
    <w:p w14:paraId="1932818B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Da der ikke foreligger studier af eventuelle uforligeligheder, må dette lægemiddel ikke blandes med andre lægemidler.</w:t>
      </w:r>
    </w:p>
    <w:p w14:paraId="08477FEC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3A033961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6.3</w:t>
      </w:r>
      <w:r w:rsidRPr="0081492A">
        <w:rPr>
          <w:b/>
          <w:sz w:val="24"/>
          <w:szCs w:val="24"/>
        </w:rPr>
        <w:tab/>
        <w:t>Opbevaringstid</w:t>
      </w:r>
    </w:p>
    <w:p w14:paraId="50D704B4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5 år.</w:t>
      </w:r>
    </w:p>
    <w:p w14:paraId="63DC570A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1703F8D2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Opløsningen bør anvendes umiddelbart efter anbrud af beholderen.</w:t>
      </w:r>
    </w:p>
    <w:p w14:paraId="7B28F3BA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6D1B0EA5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6.4</w:t>
      </w:r>
      <w:r w:rsidRPr="0081492A">
        <w:rPr>
          <w:b/>
          <w:sz w:val="24"/>
          <w:szCs w:val="24"/>
        </w:rPr>
        <w:tab/>
        <w:t>Særlige opbevaringsforhold</w:t>
      </w:r>
    </w:p>
    <w:p w14:paraId="10333777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Der er ingen særlige krav vedrørende opbevaringstemperaturer for dette lægemiddel. Må ikke opbevares i køleskab eller nedfryses. Opbevar ampullerne i den ydre karton for at beskytte mod lys.</w:t>
      </w:r>
    </w:p>
    <w:p w14:paraId="22F1DB7D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337E15F0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6.5</w:t>
      </w:r>
      <w:r w:rsidRPr="0081492A">
        <w:rPr>
          <w:b/>
          <w:sz w:val="24"/>
          <w:szCs w:val="24"/>
        </w:rPr>
        <w:tab/>
        <w:t>Emballagetyper og pakningsstørrelser</w:t>
      </w:r>
    </w:p>
    <w:p w14:paraId="1DCC9F08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Klare, farveløse 1 ml-glasampuller med et-punkts-skæring (OPC) og med </w:t>
      </w:r>
      <w:proofErr w:type="spellStart"/>
      <w:r w:rsidRPr="0081492A">
        <w:rPr>
          <w:sz w:val="24"/>
          <w:szCs w:val="24"/>
        </w:rPr>
        <w:t>farveringe</w:t>
      </w:r>
      <w:proofErr w:type="spellEnd"/>
      <w:r w:rsidRPr="0081492A">
        <w:rPr>
          <w:sz w:val="24"/>
          <w:szCs w:val="24"/>
        </w:rPr>
        <w:t xml:space="preserve"> i gul (øverst) og lilla (nederst).</w:t>
      </w:r>
    </w:p>
    <w:p w14:paraId="4DFDC794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Pakningsstørrelse: 10 glasampuller a 1 ml.</w:t>
      </w:r>
    </w:p>
    <w:p w14:paraId="69D94201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4EC61A1F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6.6</w:t>
      </w:r>
      <w:r w:rsidRPr="0081492A">
        <w:rPr>
          <w:b/>
          <w:sz w:val="24"/>
          <w:szCs w:val="24"/>
        </w:rPr>
        <w:tab/>
        <w:t>Regler for destruktion og anden håndtering</w:t>
      </w:r>
    </w:p>
    <w:p w14:paraId="08476D53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Lægemidlet skal gennemses inden brug. Lægemidlet må ikke anvendes, hvis der er synlige tegn på nedbrydning (f.eks. partikler eller misfarvning).</w:t>
      </w:r>
    </w:p>
    <w:p w14:paraId="3739B7B0" w14:textId="77777777" w:rsidR="008D179D" w:rsidRPr="0081492A" w:rsidRDefault="008D179D" w:rsidP="00F77170">
      <w:pPr>
        <w:ind w:left="851"/>
        <w:rPr>
          <w:sz w:val="24"/>
          <w:szCs w:val="24"/>
        </w:rPr>
      </w:pPr>
    </w:p>
    <w:p w14:paraId="3C489DB1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Ikke anvendt lægemiddel samt affald heraf skal bortskaffes i henhold til lokale retningslinjer.</w:t>
      </w:r>
    </w:p>
    <w:p w14:paraId="0AF69921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315D34FF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7.</w:t>
      </w:r>
      <w:r w:rsidRPr="0081492A">
        <w:rPr>
          <w:b/>
          <w:sz w:val="24"/>
          <w:szCs w:val="24"/>
        </w:rPr>
        <w:tab/>
        <w:t>INDEHAVER AF MARKEDSFØRINGSTILLADELSEN</w:t>
      </w:r>
    </w:p>
    <w:p w14:paraId="586405BD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 xml:space="preserve">2care4 </w:t>
      </w:r>
      <w:proofErr w:type="spellStart"/>
      <w:r w:rsidRPr="0081492A">
        <w:rPr>
          <w:sz w:val="24"/>
          <w:szCs w:val="24"/>
        </w:rPr>
        <w:t>Generics</w:t>
      </w:r>
      <w:proofErr w:type="spellEnd"/>
      <w:r w:rsidRPr="0081492A">
        <w:rPr>
          <w:sz w:val="24"/>
          <w:szCs w:val="24"/>
        </w:rPr>
        <w:t xml:space="preserve"> ApS</w:t>
      </w:r>
    </w:p>
    <w:p w14:paraId="103D0A51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Stenhuggervej 12-14</w:t>
      </w:r>
    </w:p>
    <w:p w14:paraId="10C1730F" w14:textId="77777777" w:rsidR="008D179D" w:rsidRPr="0081492A" w:rsidRDefault="008D179D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6710 Esbjerg V</w:t>
      </w:r>
    </w:p>
    <w:p w14:paraId="6BE61D49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75FE791F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8.</w:t>
      </w:r>
      <w:r w:rsidRPr="0081492A">
        <w:rPr>
          <w:b/>
          <w:sz w:val="24"/>
          <w:szCs w:val="24"/>
        </w:rPr>
        <w:tab/>
        <w:t>MARKEDSFØRINGSTILLADELSESNUMMER (NUMRE)</w:t>
      </w:r>
    </w:p>
    <w:p w14:paraId="3E7980FD" w14:textId="728A5B62" w:rsidR="009260DE" w:rsidRPr="0081492A" w:rsidRDefault="00475112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65158</w:t>
      </w:r>
    </w:p>
    <w:p w14:paraId="565644F2" w14:textId="77777777" w:rsidR="009260DE" w:rsidRPr="0081492A" w:rsidRDefault="009260DE" w:rsidP="00F77170">
      <w:pPr>
        <w:ind w:left="851"/>
        <w:jc w:val="both"/>
        <w:rPr>
          <w:sz w:val="24"/>
          <w:szCs w:val="24"/>
        </w:rPr>
      </w:pPr>
    </w:p>
    <w:p w14:paraId="469FEC5A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9.</w:t>
      </w:r>
      <w:r w:rsidRPr="0081492A">
        <w:rPr>
          <w:b/>
          <w:sz w:val="24"/>
          <w:szCs w:val="24"/>
        </w:rPr>
        <w:tab/>
        <w:t>DATO FOR FØRSTE MARKEDSFØRINGSTILLADELSE</w:t>
      </w:r>
    </w:p>
    <w:p w14:paraId="003B1CE1" w14:textId="1D3F3AAE" w:rsidR="009260DE" w:rsidRPr="0081492A" w:rsidRDefault="005E464B" w:rsidP="00F77170">
      <w:pPr>
        <w:ind w:left="851"/>
        <w:rPr>
          <w:sz w:val="24"/>
          <w:szCs w:val="24"/>
        </w:rPr>
      </w:pPr>
      <w:r>
        <w:rPr>
          <w:sz w:val="24"/>
          <w:szCs w:val="24"/>
        </w:rPr>
        <w:t>27. juni 2022</w:t>
      </w:r>
    </w:p>
    <w:p w14:paraId="76CF9197" w14:textId="77777777" w:rsidR="009260DE" w:rsidRPr="0081492A" w:rsidRDefault="009260DE" w:rsidP="00F77170">
      <w:pPr>
        <w:ind w:left="851"/>
        <w:rPr>
          <w:sz w:val="24"/>
          <w:szCs w:val="24"/>
        </w:rPr>
      </w:pPr>
    </w:p>
    <w:p w14:paraId="1411545B" w14:textId="77777777" w:rsidR="009260DE" w:rsidRPr="0081492A" w:rsidRDefault="009260DE" w:rsidP="00F77170">
      <w:pPr>
        <w:ind w:left="851" w:hanging="851"/>
        <w:rPr>
          <w:b/>
          <w:sz w:val="24"/>
          <w:szCs w:val="24"/>
        </w:rPr>
      </w:pPr>
      <w:r w:rsidRPr="0081492A">
        <w:rPr>
          <w:b/>
          <w:sz w:val="24"/>
          <w:szCs w:val="24"/>
        </w:rPr>
        <w:t>10.</w:t>
      </w:r>
      <w:r w:rsidRPr="0081492A">
        <w:rPr>
          <w:b/>
          <w:sz w:val="24"/>
          <w:szCs w:val="24"/>
        </w:rPr>
        <w:tab/>
        <w:t>DATO FOR ÆNDRING AF TEKSTEN</w:t>
      </w:r>
    </w:p>
    <w:p w14:paraId="77DDEAB7" w14:textId="4B033D9F" w:rsidR="009260DE" w:rsidRPr="0081492A" w:rsidRDefault="00475112" w:rsidP="00F77170">
      <w:pPr>
        <w:ind w:left="851"/>
        <w:rPr>
          <w:sz w:val="24"/>
          <w:szCs w:val="24"/>
        </w:rPr>
      </w:pPr>
      <w:r w:rsidRPr="0081492A">
        <w:rPr>
          <w:sz w:val="24"/>
          <w:szCs w:val="24"/>
        </w:rPr>
        <w:t>-</w:t>
      </w:r>
    </w:p>
    <w:sectPr w:rsidR="009260DE" w:rsidRPr="0081492A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72F89" w14:textId="77777777" w:rsidR="00022F37" w:rsidRDefault="00022F37">
      <w:r>
        <w:separator/>
      </w:r>
    </w:p>
  </w:endnote>
  <w:endnote w:type="continuationSeparator" w:id="0">
    <w:p w14:paraId="20149BF7" w14:textId="77777777" w:rsidR="00022F37" w:rsidRDefault="0002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6830" w14:textId="77777777" w:rsidR="000259B9" w:rsidRDefault="000259B9">
    <w:pPr>
      <w:pStyle w:val="Sidefod"/>
      <w:pBdr>
        <w:bottom w:val="single" w:sz="6" w:space="1" w:color="auto"/>
      </w:pBdr>
    </w:pPr>
  </w:p>
  <w:p w14:paraId="48CDD90C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C0C7282" w14:textId="4FBFB80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D72CC">
      <w:rPr>
        <w:i/>
        <w:noProof/>
        <w:sz w:val="18"/>
        <w:szCs w:val="18"/>
      </w:rPr>
      <w:t>Sebadrin, injektionsvæske, opløsning 50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55F7A" w14:textId="77777777" w:rsidR="00022F37" w:rsidRDefault="00022F37">
      <w:r>
        <w:separator/>
      </w:r>
    </w:p>
  </w:footnote>
  <w:footnote w:type="continuationSeparator" w:id="0">
    <w:p w14:paraId="6419193A" w14:textId="77777777" w:rsidR="00022F37" w:rsidRDefault="0002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EE9170E"/>
    <w:multiLevelType w:val="hybridMultilevel"/>
    <w:tmpl w:val="40DE0A46"/>
    <w:lvl w:ilvl="0" w:tplc="275410D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37"/>
    <w:rsid w:val="00022F37"/>
    <w:rsid w:val="000259B9"/>
    <w:rsid w:val="00041491"/>
    <w:rsid w:val="00050D16"/>
    <w:rsid w:val="000730CA"/>
    <w:rsid w:val="00074F2A"/>
    <w:rsid w:val="000A1CA8"/>
    <w:rsid w:val="000A466B"/>
    <w:rsid w:val="000B058C"/>
    <w:rsid w:val="000C2145"/>
    <w:rsid w:val="000E4EE6"/>
    <w:rsid w:val="001454E2"/>
    <w:rsid w:val="001673CD"/>
    <w:rsid w:val="00204581"/>
    <w:rsid w:val="00206CE8"/>
    <w:rsid w:val="0021526C"/>
    <w:rsid w:val="00283A2B"/>
    <w:rsid w:val="002B30AD"/>
    <w:rsid w:val="002C2C01"/>
    <w:rsid w:val="003A29AE"/>
    <w:rsid w:val="003A32D7"/>
    <w:rsid w:val="003B4074"/>
    <w:rsid w:val="003B6EED"/>
    <w:rsid w:val="003C769A"/>
    <w:rsid w:val="003F1838"/>
    <w:rsid w:val="0045746C"/>
    <w:rsid w:val="00475112"/>
    <w:rsid w:val="0049104B"/>
    <w:rsid w:val="004E3B12"/>
    <w:rsid w:val="00532310"/>
    <w:rsid w:val="00565F0F"/>
    <w:rsid w:val="00594A86"/>
    <w:rsid w:val="00596D86"/>
    <w:rsid w:val="005E464B"/>
    <w:rsid w:val="00637F5A"/>
    <w:rsid w:val="006560B1"/>
    <w:rsid w:val="006756DD"/>
    <w:rsid w:val="00737275"/>
    <w:rsid w:val="00740EEC"/>
    <w:rsid w:val="00764B4E"/>
    <w:rsid w:val="0078011A"/>
    <w:rsid w:val="00782AF4"/>
    <w:rsid w:val="00790EE7"/>
    <w:rsid w:val="007A1634"/>
    <w:rsid w:val="007B6649"/>
    <w:rsid w:val="0081492A"/>
    <w:rsid w:val="0082576E"/>
    <w:rsid w:val="008413AC"/>
    <w:rsid w:val="008D179D"/>
    <w:rsid w:val="009070DD"/>
    <w:rsid w:val="00907F75"/>
    <w:rsid w:val="009260DE"/>
    <w:rsid w:val="0093258A"/>
    <w:rsid w:val="009C7BA3"/>
    <w:rsid w:val="009D1F5A"/>
    <w:rsid w:val="00A10294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D72CC"/>
    <w:rsid w:val="00E108AA"/>
    <w:rsid w:val="00E3749A"/>
    <w:rsid w:val="00E7437F"/>
    <w:rsid w:val="00E865B8"/>
    <w:rsid w:val="00EC0B9B"/>
    <w:rsid w:val="00ED5E9F"/>
    <w:rsid w:val="00F66D4F"/>
    <w:rsid w:val="00F7717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4D188"/>
  <w15:chartTrackingRefBased/>
  <w15:docId w15:val="{ABBDBEAB-C42E-4423-80C9-05E87ACC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8D179D"/>
    <w:pPr>
      <w:tabs>
        <w:tab w:val="left" w:pos="567"/>
      </w:tabs>
      <w:spacing w:line="260" w:lineRule="exact"/>
      <w:ind w:left="720"/>
      <w:contextualSpacing/>
    </w:pPr>
    <w:rPr>
      <w:sz w:val="22"/>
    </w:rPr>
  </w:style>
  <w:style w:type="table" w:styleId="Tabel-Gitter">
    <w:name w:val="Table Grid"/>
    <w:basedOn w:val="Tabel-Normal"/>
    <w:uiPriority w:val="39"/>
    <w:rsid w:val="008D179D"/>
    <w:rPr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skabelon.dotx</Template>
  <TotalTime>37</TotalTime>
  <Pages>7</Pages>
  <Words>1731</Words>
  <Characters>11796</Characters>
  <Application>Microsoft Office Word</Application>
  <DocSecurity>0</DocSecurity>
  <Lines>98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2020100582, MT</dc:description>
  <cp:lastModifiedBy>Gitte Jørgensen</cp:lastModifiedBy>
  <cp:revision>10</cp:revision>
  <cp:lastPrinted>2012-08-22T08:53:00Z</cp:lastPrinted>
  <dcterms:created xsi:type="dcterms:W3CDTF">2022-06-27T06:33:00Z</dcterms:created>
  <dcterms:modified xsi:type="dcterms:W3CDTF">2022-06-27T10:49:00Z</dcterms:modified>
</cp:coreProperties>
</file>