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833EFD">
      <w:pPr>
        <w:pStyle w:val="Titel"/>
        <w:tabs>
          <w:tab w:val="right" w:pos="9356"/>
        </w:tabs>
        <w:jc w:val="left"/>
        <w:rPr>
          <w:b w:val="0"/>
          <w:szCs w:val="24"/>
          <w:lang w:eastAsia="en-US"/>
        </w:rPr>
      </w:pPr>
      <w:r w:rsidRPr="00C84483">
        <w:rPr>
          <w:b w:val="0"/>
          <w:szCs w:val="24"/>
          <w:lang w:eastAsia="en-US"/>
        </w:rPr>
        <w:tab/>
      </w:r>
      <w:r w:rsidR="00B279A9">
        <w:rPr>
          <w:szCs w:val="24"/>
        </w:rPr>
        <w:t>28</w:t>
      </w:r>
      <w:r w:rsidR="00875CEF">
        <w:rPr>
          <w:szCs w:val="24"/>
        </w:rPr>
        <w:t xml:space="preserve">. </w:t>
      </w:r>
      <w:r w:rsidR="00B279A9">
        <w:rPr>
          <w:szCs w:val="24"/>
        </w:rPr>
        <w:t>februar</w:t>
      </w:r>
      <w:r w:rsidR="00875CEF">
        <w:rPr>
          <w:szCs w:val="24"/>
        </w:rPr>
        <w:t xml:space="preserve"> 202</w:t>
      </w:r>
      <w:r w:rsidR="0030267D">
        <w:rPr>
          <w:szCs w:val="24"/>
        </w:rPr>
        <w:t>5</w:t>
      </w:r>
      <w:bookmarkStart w:id="0" w:name="_GoBack"/>
      <w:bookmarkEnd w:id="0"/>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190B25" w:rsidP="009260DE">
      <w:pPr>
        <w:jc w:val="center"/>
        <w:rPr>
          <w:b/>
          <w:sz w:val="24"/>
          <w:szCs w:val="24"/>
        </w:rPr>
      </w:pPr>
      <w:proofErr w:type="spellStart"/>
      <w:r>
        <w:rPr>
          <w:b/>
          <w:sz w:val="24"/>
          <w:szCs w:val="24"/>
        </w:rPr>
        <w:t>Sedaconda</w:t>
      </w:r>
      <w:proofErr w:type="spellEnd"/>
      <w:r>
        <w:rPr>
          <w:b/>
          <w:sz w:val="24"/>
          <w:szCs w:val="24"/>
        </w:rPr>
        <w:t>, væske til inhalationsdamp</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190B25" w:rsidP="009260DE">
      <w:pPr>
        <w:tabs>
          <w:tab w:val="left" w:pos="851"/>
        </w:tabs>
        <w:ind w:left="851"/>
        <w:rPr>
          <w:sz w:val="24"/>
          <w:szCs w:val="24"/>
        </w:rPr>
      </w:pPr>
      <w:r>
        <w:rPr>
          <w:sz w:val="24"/>
          <w:szCs w:val="24"/>
        </w:rPr>
        <w:t>32312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190B25" w:rsidP="009260DE">
      <w:pPr>
        <w:tabs>
          <w:tab w:val="left" w:pos="851"/>
        </w:tabs>
        <w:ind w:left="851"/>
        <w:rPr>
          <w:sz w:val="24"/>
          <w:szCs w:val="24"/>
        </w:rPr>
      </w:pPr>
      <w:proofErr w:type="spellStart"/>
      <w:r>
        <w:rPr>
          <w:sz w:val="24"/>
          <w:szCs w:val="24"/>
        </w:rPr>
        <w:t>Sedaconda</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260DE" w:rsidRPr="00C84483" w:rsidRDefault="001341D4" w:rsidP="001341D4">
      <w:pPr>
        <w:suppressAutoHyphens/>
        <w:ind w:left="851"/>
        <w:rPr>
          <w:sz w:val="24"/>
          <w:szCs w:val="24"/>
        </w:rPr>
      </w:pPr>
      <w:proofErr w:type="spellStart"/>
      <w:r w:rsidRPr="001341D4">
        <w:rPr>
          <w:sz w:val="24"/>
          <w:szCs w:val="24"/>
        </w:rPr>
        <w:t>Isofluran</w:t>
      </w:r>
      <w:proofErr w:type="spellEnd"/>
      <w:r w:rsidRPr="001341D4">
        <w:rPr>
          <w:sz w:val="24"/>
          <w:szCs w:val="24"/>
        </w:rPr>
        <w:t xml:space="preserve"> 100 % V/V</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56029" w:rsidRPr="00656029" w:rsidRDefault="00656029" w:rsidP="00656029">
      <w:pPr>
        <w:suppressAutoHyphens/>
        <w:ind w:left="851"/>
        <w:rPr>
          <w:spacing w:val="-3"/>
          <w:sz w:val="24"/>
          <w:szCs w:val="24"/>
        </w:rPr>
      </w:pPr>
      <w:r w:rsidRPr="00656029">
        <w:rPr>
          <w:spacing w:val="-3"/>
          <w:sz w:val="24"/>
          <w:szCs w:val="24"/>
        </w:rPr>
        <w:t>Væske til inhalationsdamp</w:t>
      </w:r>
    </w:p>
    <w:p w:rsidR="00656029" w:rsidRPr="00656029" w:rsidRDefault="00656029" w:rsidP="00656029">
      <w:pPr>
        <w:suppressAutoHyphens/>
        <w:ind w:left="851"/>
        <w:rPr>
          <w:spacing w:val="-3"/>
          <w:sz w:val="24"/>
          <w:szCs w:val="24"/>
        </w:rPr>
      </w:pPr>
    </w:p>
    <w:p w:rsidR="009260DE" w:rsidRPr="00C84483" w:rsidRDefault="00656029" w:rsidP="00D027B2">
      <w:pPr>
        <w:suppressAutoHyphens/>
        <w:ind w:left="851"/>
        <w:rPr>
          <w:sz w:val="24"/>
          <w:szCs w:val="24"/>
        </w:rPr>
      </w:pPr>
      <w:r w:rsidRPr="00656029">
        <w:rPr>
          <w:spacing w:val="-3"/>
          <w:sz w:val="24"/>
          <w:szCs w:val="24"/>
        </w:rPr>
        <w:t>Klar og farveløs væske.</w:t>
      </w:r>
      <w:r w:rsidR="00D027B2" w:rsidRPr="00C84483">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279A9" w:rsidRPr="00C84483" w:rsidRDefault="00B279A9" w:rsidP="00B279A9">
      <w:pPr>
        <w:ind w:left="851"/>
        <w:rPr>
          <w:sz w:val="24"/>
          <w:szCs w:val="24"/>
        </w:rPr>
      </w:pPr>
      <w:proofErr w:type="spellStart"/>
      <w:r w:rsidRPr="00720E0F">
        <w:rPr>
          <w:sz w:val="24"/>
          <w:szCs w:val="24"/>
        </w:rPr>
        <w:t>Sedaconda</w:t>
      </w:r>
      <w:proofErr w:type="spellEnd"/>
      <w:r w:rsidRPr="00720E0F">
        <w:rPr>
          <w:sz w:val="24"/>
          <w:szCs w:val="24"/>
        </w:rPr>
        <w:t xml:space="preserve"> er indiceret til sedation af mekanisk ventilerede voksne </w:t>
      </w:r>
      <w:r>
        <w:rPr>
          <w:sz w:val="24"/>
          <w:szCs w:val="24"/>
        </w:rPr>
        <w:t xml:space="preserve">og pædiatriske </w:t>
      </w:r>
      <w:r w:rsidRPr="00720E0F">
        <w:rPr>
          <w:sz w:val="24"/>
          <w:szCs w:val="24"/>
        </w:rPr>
        <w:t>patienter</w:t>
      </w:r>
      <w:r>
        <w:rPr>
          <w:sz w:val="24"/>
          <w:szCs w:val="24"/>
        </w:rPr>
        <w:t xml:space="preserve"> i alderen 3 år og derover</w:t>
      </w:r>
      <w:r w:rsidRPr="00720E0F">
        <w:rPr>
          <w:sz w:val="24"/>
          <w:szCs w:val="24"/>
        </w:rPr>
        <w:t xml:space="preserve"> under intensiv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D3FCB">
        <w:rPr>
          <w:b/>
          <w:sz w:val="24"/>
          <w:szCs w:val="24"/>
        </w:rPr>
        <w:t>administration</w:t>
      </w:r>
    </w:p>
    <w:p w:rsidR="00720E0F" w:rsidRPr="00720E0F" w:rsidRDefault="00720E0F" w:rsidP="00720E0F">
      <w:pPr>
        <w:ind w:left="851"/>
        <w:rPr>
          <w:sz w:val="24"/>
          <w:szCs w:val="24"/>
        </w:rPr>
      </w:pPr>
      <w:proofErr w:type="spellStart"/>
      <w:r w:rsidRPr="00720E0F">
        <w:rPr>
          <w:sz w:val="24"/>
          <w:szCs w:val="24"/>
        </w:rPr>
        <w:t>Sedaconda</w:t>
      </w:r>
      <w:proofErr w:type="spellEnd"/>
      <w:r w:rsidRPr="00720E0F">
        <w:rPr>
          <w:sz w:val="24"/>
          <w:szCs w:val="24"/>
        </w:rPr>
        <w:t xml:space="preserve"> bør kun administreres af sundhedspersonale, der er fortrolige med håndteringen af mekanisk ventilerede patienter</w:t>
      </w:r>
      <w:bookmarkStart w:id="1" w:name="_Hlk71821571"/>
      <w:r w:rsidRPr="00720E0F">
        <w:rPr>
          <w:sz w:val="24"/>
          <w:szCs w:val="24"/>
        </w:rPr>
        <w:t xml:space="preserve">, administrationsanordningen </w:t>
      </w:r>
      <w:proofErr w:type="spellStart"/>
      <w:r w:rsidRPr="00720E0F">
        <w:rPr>
          <w:sz w:val="24"/>
          <w:szCs w:val="24"/>
        </w:rPr>
        <w:t>Sedaconda</w:t>
      </w:r>
      <w:proofErr w:type="spellEnd"/>
      <w:r w:rsidRPr="00720E0F">
        <w:rPr>
          <w:sz w:val="24"/>
          <w:szCs w:val="24"/>
        </w:rPr>
        <w:t xml:space="preserve"> ACD </w:t>
      </w:r>
      <w:bookmarkEnd w:id="1"/>
      <w:r w:rsidRPr="00720E0F">
        <w:rPr>
          <w:sz w:val="24"/>
          <w:szCs w:val="24"/>
        </w:rPr>
        <w:t>(</w:t>
      </w:r>
      <w:proofErr w:type="spellStart"/>
      <w:r w:rsidRPr="00720E0F">
        <w:rPr>
          <w:i/>
          <w:iCs/>
          <w:sz w:val="24"/>
          <w:szCs w:val="24"/>
        </w:rPr>
        <w:t>Anaesthetic</w:t>
      </w:r>
      <w:proofErr w:type="spellEnd"/>
      <w:r w:rsidRPr="00720E0F">
        <w:rPr>
          <w:i/>
          <w:iCs/>
          <w:sz w:val="24"/>
          <w:szCs w:val="24"/>
        </w:rPr>
        <w:t xml:space="preserve"> </w:t>
      </w:r>
      <w:proofErr w:type="spellStart"/>
      <w:r w:rsidRPr="00720E0F">
        <w:rPr>
          <w:i/>
          <w:iCs/>
          <w:sz w:val="24"/>
          <w:szCs w:val="24"/>
        </w:rPr>
        <w:t>Conserving</w:t>
      </w:r>
      <w:proofErr w:type="spellEnd"/>
      <w:r w:rsidRPr="00720E0F">
        <w:rPr>
          <w:i/>
          <w:iCs/>
          <w:sz w:val="24"/>
          <w:szCs w:val="24"/>
        </w:rPr>
        <w:t xml:space="preserve"> Device</w:t>
      </w:r>
      <w:r w:rsidRPr="00720E0F">
        <w:rPr>
          <w:sz w:val="24"/>
          <w:szCs w:val="24"/>
        </w:rPr>
        <w:t xml:space="preserve">) og </w:t>
      </w:r>
      <w:proofErr w:type="spellStart"/>
      <w:r w:rsidRPr="00720E0F">
        <w:rPr>
          <w:sz w:val="24"/>
          <w:szCs w:val="24"/>
        </w:rPr>
        <w:t>isoflurans</w:t>
      </w:r>
      <w:proofErr w:type="spellEnd"/>
      <w:r w:rsidRPr="00720E0F">
        <w:rPr>
          <w:sz w:val="24"/>
          <w:szCs w:val="24"/>
        </w:rPr>
        <w:t xml:space="preserve"> </w:t>
      </w:r>
      <w:proofErr w:type="spellStart"/>
      <w:r w:rsidRPr="00720E0F">
        <w:rPr>
          <w:sz w:val="24"/>
          <w:szCs w:val="24"/>
        </w:rPr>
        <w:t>farmakodynamik</w:t>
      </w:r>
      <w:proofErr w:type="spellEnd"/>
      <w:r w:rsidRPr="00720E0F">
        <w:rPr>
          <w:sz w:val="24"/>
          <w:szCs w:val="24"/>
        </w:rPr>
        <w:t>.</w:t>
      </w:r>
    </w:p>
    <w:p w:rsidR="00720E0F" w:rsidRPr="00720E0F" w:rsidRDefault="00720E0F" w:rsidP="00720E0F">
      <w:pPr>
        <w:ind w:left="851"/>
        <w:rPr>
          <w:sz w:val="24"/>
          <w:szCs w:val="24"/>
        </w:rPr>
      </w:pPr>
    </w:p>
    <w:p w:rsidR="00720E0F" w:rsidRPr="00720E0F" w:rsidRDefault="00720E0F" w:rsidP="00720E0F">
      <w:pPr>
        <w:ind w:left="851"/>
        <w:rPr>
          <w:sz w:val="24"/>
          <w:szCs w:val="24"/>
        </w:rPr>
      </w:pPr>
      <w:proofErr w:type="spellStart"/>
      <w:r w:rsidRPr="00720E0F">
        <w:rPr>
          <w:sz w:val="24"/>
          <w:szCs w:val="24"/>
        </w:rPr>
        <w:t>Isofluran</w:t>
      </w:r>
      <w:proofErr w:type="spellEnd"/>
      <w:r w:rsidRPr="00720E0F">
        <w:rPr>
          <w:sz w:val="24"/>
          <w:szCs w:val="24"/>
        </w:rPr>
        <w:t xml:space="preserve"> bør kun administreres i et passende udstyret miljø og af sundhedspersonale, der er oplært i håndtering af flygtige </w:t>
      </w:r>
      <w:proofErr w:type="spellStart"/>
      <w:r w:rsidRPr="00720E0F">
        <w:rPr>
          <w:sz w:val="24"/>
          <w:szCs w:val="24"/>
        </w:rPr>
        <w:t>anæstetika</w:t>
      </w:r>
      <w:proofErr w:type="spellEnd"/>
      <w:r w:rsidRPr="00720E0F">
        <w:rPr>
          <w:sz w:val="24"/>
          <w:szCs w:val="24"/>
        </w:rPr>
        <w:t xml:space="preserve"> (se pkt. 6.6).</w:t>
      </w:r>
    </w:p>
    <w:p w:rsidR="00720E0F" w:rsidRPr="00720E0F" w:rsidRDefault="00720E0F" w:rsidP="00720E0F">
      <w:pPr>
        <w:ind w:left="851"/>
        <w:rPr>
          <w:sz w:val="24"/>
          <w:szCs w:val="24"/>
        </w:rPr>
      </w:pPr>
    </w:p>
    <w:p w:rsidR="00720E0F" w:rsidRPr="00720E0F" w:rsidRDefault="00720E0F" w:rsidP="00720E0F">
      <w:pPr>
        <w:ind w:left="851"/>
        <w:rPr>
          <w:sz w:val="24"/>
          <w:szCs w:val="24"/>
        </w:rPr>
      </w:pPr>
      <w:proofErr w:type="spellStart"/>
      <w:r w:rsidRPr="00720E0F">
        <w:rPr>
          <w:sz w:val="24"/>
          <w:szCs w:val="24"/>
        </w:rPr>
        <w:t>Sedaconda</w:t>
      </w:r>
      <w:proofErr w:type="spellEnd"/>
      <w:r w:rsidRPr="00720E0F">
        <w:rPr>
          <w:sz w:val="24"/>
          <w:szCs w:val="24"/>
        </w:rPr>
        <w:t xml:space="preserve"> bør kun leveres via </w:t>
      </w:r>
      <w:proofErr w:type="spellStart"/>
      <w:r w:rsidRPr="00720E0F">
        <w:rPr>
          <w:sz w:val="24"/>
          <w:szCs w:val="24"/>
        </w:rPr>
        <w:t>Sedaconda</w:t>
      </w:r>
      <w:proofErr w:type="spellEnd"/>
      <w:r w:rsidRPr="00720E0F">
        <w:rPr>
          <w:sz w:val="24"/>
          <w:szCs w:val="24"/>
        </w:rPr>
        <w:t xml:space="preserve"> ACD, da virkningen og sikkerheden af sedation med inhaleret </w:t>
      </w:r>
      <w:proofErr w:type="spellStart"/>
      <w:r w:rsidRPr="00720E0F">
        <w:rPr>
          <w:sz w:val="24"/>
          <w:szCs w:val="24"/>
        </w:rPr>
        <w:t>isofluran</w:t>
      </w:r>
      <w:proofErr w:type="spellEnd"/>
      <w:r w:rsidRPr="00720E0F">
        <w:rPr>
          <w:sz w:val="24"/>
          <w:szCs w:val="24"/>
        </w:rPr>
        <w:t xml:space="preserve"> kun er klarlagt ved brug af </w:t>
      </w:r>
      <w:proofErr w:type="spellStart"/>
      <w:r w:rsidRPr="00720E0F">
        <w:rPr>
          <w:sz w:val="24"/>
          <w:szCs w:val="24"/>
        </w:rPr>
        <w:t>Sedaconda</w:t>
      </w:r>
      <w:proofErr w:type="spellEnd"/>
      <w:r w:rsidRPr="00720E0F">
        <w:rPr>
          <w:sz w:val="24"/>
          <w:szCs w:val="24"/>
        </w:rPr>
        <w:t xml:space="preserve"> ACD. </w:t>
      </w:r>
      <w:proofErr w:type="spellStart"/>
      <w:r w:rsidRPr="00720E0F">
        <w:rPr>
          <w:sz w:val="24"/>
          <w:szCs w:val="24"/>
        </w:rPr>
        <w:t>Sedaconda</w:t>
      </w:r>
      <w:proofErr w:type="spellEnd"/>
      <w:r w:rsidRPr="00720E0F">
        <w:rPr>
          <w:sz w:val="24"/>
          <w:szCs w:val="24"/>
        </w:rPr>
        <w:t xml:space="preserve"> bør kun anvendes til </w:t>
      </w:r>
      <w:proofErr w:type="spellStart"/>
      <w:r w:rsidRPr="00720E0F">
        <w:rPr>
          <w:sz w:val="24"/>
          <w:szCs w:val="24"/>
        </w:rPr>
        <w:t>intuberede</w:t>
      </w:r>
      <w:proofErr w:type="spellEnd"/>
      <w:r w:rsidRPr="00720E0F">
        <w:rPr>
          <w:sz w:val="24"/>
          <w:szCs w:val="24"/>
        </w:rPr>
        <w:t xml:space="preserve"> eller </w:t>
      </w:r>
      <w:proofErr w:type="spellStart"/>
      <w:r w:rsidRPr="00720E0F">
        <w:rPr>
          <w:sz w:val="24"/>
          <w:szCs w:val="24"/>
        </w:rPr>
        <w:t>tracheostomerede</w:t>
      </w:r>
      <w:proofErr w:type="spellEnd"/>
      <w:r w:rsidRPr="00720E0F">
        <w:rPr>
          <w:sz w:val="24"/>
          <w:szCs w:val="24"/>
        </w:rPr>
        <w:t xml:space="preserve"> patienter med beskyttede luftveje.</w:t>
      </w:r>
    </w:p>
    <w:p w:rsidR="00720E0F" w:rsidRPr="00720E0F" w:rsidRDefault="00720E0F" w:rsidP="00720E0F">
      <w:pPr>
        <w:ind w:left="851"/>
        <w:rPr>
          <w:sz w:val="24"/>
          <w:szCs w:val="24"/>
        </w:rPr>
      </w:pPr>
    </w:p>
    <w:p w:rsidR="00B279A9" w:rsidRPr="00720E0F" w:rsidRDefault="00B279A9" w:rsidP="00B279A9">
      <w:pPr>
        <w:ind w:left="851"/>
        <w:rPr>
          <w:sz w:val="24"/>
          <w:szCs w:val="24"/>
        </w:rPr>
      </w:pPr>
      <w:r w:rsidRPr="00720E0F">
        <w:rPr>
          <w:sz w:val="24"/>
          <w:szCs w:val="24"/>
        </w:rPr>
        <w:t xml:space="preserve">Under sedationen bør der foretages klinisk vurdering af sedationsdybde ved brug af en valideret klinisk sedationsskala, såsom Richmond Agitation-Sedation </w:t>
      </w:r>
      <w:proofErr w:type="spellStart"/>
      <w:r w:rsidRPr="00720E0F">
        <w:rPr>
          <w:sz w:val="24"/>
          <w:szCs w:val="24"/>
        </w:rPr>
        <w:t>Scale</w:t>
      </w:r>
      <w:proofErr w:type="spellEnd"/>
      <w:r w:rsidRPr="00720E0F">
        <w:rPr>
          <w:sz w:val="24"/>
          <w:szCs w:val="24"/>
        </w:rPr>
        <w:t xml:space="preserve"> (RASS)</w:t>
      </w:r>
      <w:r>
        <w:rPr>
          <w:sz w:val="24"/>
          <w:szCs w:val="24"/>
        </w:rPr>
        <w:t xml:space="preserve"> eller </w:t>
      </w:r>
      <w:proofErr w:type="spellStart"/>
      <w:r>
        <w:rPr>
          <w:sz w:val="24"/>
          <w:szCs w:val="24"/>
        </w:rPr>
        <w:lastRenderedPageBreak/>
        <w:t>Comfort</w:t>
      </w:r>
      <w:proofErr w:type="spellEnd"/>
      <w:r>
        <w:rPr>
          <w:sz w:val="24"/>
          <w:szCs w:val="24"/>
        </w:rPr>
        <w:t xml:space="preserve"> </w:t>
      </w:r>
      <w:proofErr w:type="spellStart"/>
      <w:r>
        <w:rPr>
          <w:sz w:val="24"/>
          <w:szCs w:val="24"/>
        </w:rPr>
        <w:t>Behaviour</w:t>
      </w:r>
      <w:proofErr w:type="spellEnd"/>
      <w:r>
        <w:rPr>
          <w:sz w:val="24"/>
          <w:szCs w:val="24"/>
        </w:rPr>
        <w:t xml:space="preserve"> (COMFORT-B) </w:t>
      </w:r>
      <w:proofErr w:type="spellStart"/>
      <w:r>
        <w:rPr>
          <w:sz w:val="24"/>
          <w:szCs w:val="24"/>
        </w:rPr>
        <w:t>Scale</w:t>
      </w:r>
      <w:proofErr w:type="spellEnd"/>
      <w:r w:rsidRPr="00720E0F">
        <w:rPr>
          <w:sz w:val="24"/>
          <w:szCs w:val="24"/>
        </w:rPr>
        <w:t>, til</w:t>
      </w:r>
      <w:r>
        <w:rPr>
          <w:sz w:val="24"/>
          <w:szCs w:val="24"/>
        </w:rPr>
        <w:t xml:space="preserve"> </w:t>
      </w:r>
      <w:r w:rsidRPr="00720E0F">
        <w:rPr>
          <w:sz w:val="24"/>
          <w:szCs w:val="24"/>
        </w:rPr>
        <w:t xml:space="preserve">vejledning af dosis. </w:t>
      </w:r>
      <w:r w:rsidRPr="002357F5">
        <w:rPr>
          <w:sz w:val="24"/>
          <w:szCs w:val="24"/>
        </w:rPr>
        <w:t xml:space="preserve">Det er </w:t>
      </w:r>
      <w:r w:rsidRPr="006751A9">
        <w:rPr>
          <w:sz w:val="24"/>
          <w:szCs w:val="24"/>
        </w:rPr>
        <w:t>nødvendigt</w:t>
      </w:r>
      <w:r>
        <w:rPr>
          <w:sz w:val="24"/>
          <w:szCs w:val="24"/>
        </w:rPr>
        <w:t xml:space="preserve"> </w:t>
      </w:r>
      <w:r w:rsidRPr="002357F5">
        <w:rPr>
          <w:sz w:val="24"/>
          <w:szCs w:val="24"/>
        </w:rPr>
        <w:t xml:space="preserve">at </w:t>
      </w:r>
      <w:r>
        <w:rPr>
          <w:sz w:val="24"/>
          <w:szCs w:val="24"/>
        </w:rPr>
        <w:t>monitorere leverede</w:t>
      </w:r>
      <w:r w:rsidRPr="002357F5">
        <w:rPr>
          <w:sz w:val="24"/>
          <w:szCs w:val="24"/>
        </w:rPr>
        <w:t xml:space="preserve"> og </w:t>
      </w:r>
      <w:r>
        <w:rPr>
          <w:sz w:val="24"/>
          <w:szCs w:val="24"/>
        </w:rPr>
        <w:t>slut-</w:t>
      </w:r>
      <w:proofErr w:type="spellStart"/>
      <w:r>
        <w:rPr>
          <w:sz w:val="24"/>
          <w:szCs w:val="24"/>
        </w:rPr>
        <w:t>tidal</w:t>
      </w:r>
      <w:proofErr w:type="spellEnd"/>
      <w:r>
        <w:rPr>
          <w:sz w:val="24"/>
          <w:szCs w:val="24"/>
        </w:rPr>
        <w:t>-</w:t>
      </w:r>
      <w:r w:rsidRPr="002357F5">
        <w:rPr>
          <w:sz w:val="24"/>
          <w:szCs w:val="24"/>
        </w:rPr>
        <w:t>koncentration</w:t>
      </w:r>
      <w:r>
        <w:rPr>
          <w:sz w:val="24"/>
          <w:szCs w:val="24"/>
        </w:rPr>
        <w:t>er</w:t>
      </w:r>
      <w:r w:rsidRPr="002357F5">
        <w:rPr>
          <w:sz w:val="24"/>
          <w:szCs w:val="24"/>
        </w:rPr>
        <w:t xml:space="preserve"> af </w:t>
      </w:r>
      <w:proofErr w:type="spellStart"/>
      <w:r w:rsidRPr="002357F5">
        <w:rPr>
          <w:sz w:val="24"/>
          <w:szCs w:val="24"/>
        </w:rPr>
        <w:t>isofluran</w:t>
      </w:r>
      <w:proofErr w:type="spellEnd"/>
      <w:r>
        <w:rPr>
          <w:sz w:val="24"/>
          <w:szCs w:val="24"/>
        </w:rPr>
        <w:t xml:space="preserve"> regelmæssigt</w:t>
      </w:r>
      <w:r w:rsidRPr="002357F5">
        <w:rPr>
          <w:sz w:val="24"/>
          <w:szCs w:val="24"/>
        </w:rPr>
        <w:t xml:space="preserve"> for at opretholde </w:t>
      </w:r>
      <w:r>
        <w:rPr>
          <w:sz w:val="24"/>
          <w:szCs w:val="24"/>
        </w:rPr>
        <w:t>slut-</w:t>
      </w:r>
      <w:proofErr w:type="spellStart"/>
      <w:r w:rsidRPr="002357F5">
        <w:rPr>
          <w:sz w:val="24"/>
          <w:szCs w:val="24"/>
        </w:rPr>
        <w:t>ti</w:t>
      </w:r>
      <w:r>
        <w:rPr>
          <w:sz w:val="24"/>
          <w:szCs w:val="24"/>
        </w:rPr>
        <w:t>dal</w:t>
      </w:r>
      <w:proofErr w:type="spellEnd"/>
      <w:r>
        <w:rPr>
          <w:sz w:val="24"/>
          <w:szCs w:val="24"/>
        </w:rPr>
        <w:t>-</w:t>
      </w:r>
      <w:r w:rsidRPr="002357F5">
        <w:rPr>
          <w:sz w:val="24"/>
          <w:szCs w:val="24"/>
        </w:rPr>
        <w:t>koncentrationer inden for de grænser, der er angivet i doseringsafsnittet nedenfor.</w:t>
      </w:r>
      <w:r w:rsidRPr="006751A9" w:rsidDel="006751A9">
        <w:rPr>
          <w:sz w:val="24"/>
          <w:szCs w:val="24"/>
        </w:rPr>
        <w:t xml:space="preserve"> </w:t>
      </w:r>
    </w:p>
    <w:p w:rsidR="00B279A9" w:rsidRPr="00720E0F" w:rsidRDefault="00B279A9" w:rsidP="00B279A9">
      <w:pPr>
        <w:ind w:left="851"/>
        <w:rPr>
          <w:sz w:val="24"/>
          <w:szCs w:val="24"/>
        </w:rPr>
      </w:pPr>
    </w:p>
    <w:p w:rsidR="00B279A9" w:rsidRPr="00720E0F" w:rsidRDefault="00B279A9" w:rsidP="00B279A9">
      <w:pPr>
        <w:ind w:left="851"/>
        <w:rPr>
          <w:sz w:val="24"/>
          <w:szCs w:val="24"/>
        </w:rPr>
      </w:pPr>
      <w:proofErr w:type="spellStart"/>
      <w:r w:rsidRPr="00720E0F">
        <w:rPr>
          <w:sz w:val="24"/>
          <w:szCs w:val="24"/>
        </w:rPr>
        <w:t>Priming</w:t>
      </w:r>
      <w:proofErr w:type="spellEnd"/>
      <w:r w:rsidRPr="00720E0F">
        <w:rPr>
          <w:sz w:val="24"/>
          <w:szCs w:val="24"/>
        </w:rPr>
        <w:t xml:space="preserve">- og </w:t>
      </w:r>
      <w:proofErr w:type="spellStart"/>
      <w:r w:rsidRPr="00720E0F">
        <w:rPr>
          <w:sz w:val="24"/>
          <w:szCs w:val="24"/>
        </w:rPr>
        <w:t>bolusdoser</w:t>
      </w:r>
      <w:proofErr w:type="spellEnd"/>
      <w:r w:rsidRPr="00720E0F">
        <w:rPr>
          <w:sz w:val="24"/>
          <w:szCs w:val="24"/>
        </w:rPr>
        <w:t xml:space="preserve"> bør aldrig udføres manuelt, se brugervejledningen, der udleveres sammen med </w:t>
      </w:r>
      <w:proofErr w:type="spellStart"/>
      <w:r w:rsidRPr="00720E0F">
        <w:rPr>
          <w:sz w:val="24"/>
          <w:szCs w:val="24"/>
        </w:rPr>
        <w:t>Sedaconda</w:t>
      </w:r>
      <w:proofErr w:type="spellEnd"/>
      <w:r w:rsidRPr="00720E0F">
        <w:rPr>
          <w:sz w:val="24"/>
          <w:szCs w:val="24"/>
        </w:rPr>
        <w:t xml:space="preserve"> ACD.</w:t>
      </w:r>
    </w:p>
    <w:p w:rsidR="00B279A9" w:rsidRPr="00720E0F" w:rsidRDefault="00B279A9" w:rsidP="00B279A9">
      <w:pPr>
        <w:ind w:left="851"/>
        <w:rPr>
          <w:sz w:val="24"/>
          <w:szCs w:val="24"/>
        </w:rPr>
      </w:pPr>
    </w:p>
    <w:p w:rsidR="00B279A9" w:rsidRPr="00720E0F" w:rsidRDefault="00B279A9" w:rsidP="00B279A9">
      <w:pPr>
        <w:ind w:left="851"/>
        <w:rPr>
          <w:sz w:val="24"/>
          <w:szCs w:val="24"/>
          <w:u w:val="single"/>
        </w:rPr>
      </w:pPr>
      <w:r w:rsidRPr="00720E0F">
        <w:rPr>
          <w:sz w:val="24"/>
          <w:szCs w:val="24"/>
          <w:u w:val="single"/>
        </w:rPr>
        <w:t>Dosering</w:t>
      </w:r>
    </w:p>
    <w:p w:rsidR="00B279A9" w:rsidRPr="00720E0F" w:rsidRDefault="00B279A9" w:rsidP="00B279A9">
      <w:pPr>
        <w:ind w:left="851"/>
        <w:rPr>
          <w:sz w:val="24"/>
          <w:szCs w:val="24"/>
        </w:rPr>
      </w:pPr>
    </w:p>
    <w:p w:rsidR="00B279A9" w:rsidRPr="00720E0F" w:rsidRDefault="00B279A9" w:rsidP="00B279A9">
      <w:pPr>
        <w:ind w:left="851"/>
        <w:rPr>
          <w:i/>
          <w:iCs/>
          <w:sz w:val="24"/>
          <w:szCs w:val="24"/>
        </w:rPr>
      </w:pPr>
      <w:proofErr w:type="spellStart"/>
      <w:r w:rsidRPr="00720E0F">
        <w:rPr>
          <w:i/>
          <w:iCs/>
          <w:sz w:val="24"/>
          <w:szCs w:val="24"/>
        </w:rPr>
        <w:t>Priming</w:t>
      </w:r>
      <w:proofErr w:type="spellEnd"/>
    </w:p>
    <w:p w:rsidR="00B279A9" w:rsidRPr="00720E0F" w:rsidRDefault="00B279A9" w:rsidP="00B279A9">
      <w:pPr>
        <w:ind w:left="851"/>
        <w:rPr>
          <w:sz w:val="24"/>
          <w:szCs w:val="24"/>
        </w:rPr>
      </w:pPr>
      <w:r w:rsidRPr="00720E0F">
        <w:rPr>
          <w:sz w:val="24"/>
          <w:szCs w:val="24"/>
        </w:rPr>
        <w:t xml:space="preserve">Når behandlingen påbegyndes, skal </w:t>
      </w:r>
      <w:proofErr w:type="spellStart"/>
      <w:r w:rsidRPr="00720E0F">
        <w:rPr>
          <w:sz w:val="24"/>
          <w:szCs w:val="24"/>
        </w:rPr>
        <w:t>Sedaconda</w:t>
      </w:r>
      <w:proofErr w:type="spellEnd"/>
      <w:r w:rsidRPr="00720E0F">
        <w:rPr>
          <w:sz w:val="24"/>
          <w:szCs w:val="24"/>
        </w:rPr>
        <w:t xml:space="preserve"> ACD-anæstesimiddelslangen primes med et volumen på 1,2 ml.</w:t>
      </w:r>
    </w:p>
    <w:p w:rsidR="00B279A9" w:rsidRDefault="00B279A9" w:rsidP="00B279A9">
      <w:pPr>
        <w:ind w:left="851"/>
        <w:rPr>
          <w:sz w:val="24"/>
          <w:szCs w:val="24"/>
        </w:rPr>
      </w:pPr>
    </w:p>
    <w:p w:rsidR="00B279A9" w:rsidRDefault="00B279A9" w:rsidP="00B279A9">
      <w:pPr>
        <w:ind w:left="851"/>
        <w:rPr>
          <w:i/>
          <w:iCs/>
          <w:sz w:val="24"/>
          <w:szCs w:val="24"/>
          <w:u w:val="single"/>
        </w:rPr>
      </w:pPr>
      <w:r>
        <w:rPr>
          <w:i/>
          <w:iCs/>
          <w:sz w:val="24"/>
          <w:szCs w:val="24"/>
          <w:u w:val="single"/>
        </w:rPr>
        <w:t>Voksne:</w:t>
      </w:r>
    </w:p>
    <w:p w:rsidR="00B279A9" w:rsidRPr="004D6B18" w:rsidRDefault="00B279A9" w:rsidP="00B279A9">
      <w:pPr>
        <w:ind w:left="851"/>
        <w:rPr>
          <w:i/>
          <w:iCs/>
          <w:sz w:val="24"/>
          <w:szCs w:val="24"/>
          <w:u w:val="single"/>
        </w:rPr>
      </w:pPr>
    </w:p>
    <w:p w:rsidR="00B279A9" w:rsidRPr="00720E0F" w:rsidRDefault="00B279A9" w:rsidP="00B279A9">
      <w:pPr>
        <w:ind w:left="851"/>
        <w:rPr>
          <w:i/>
          <w:iCs/>
          <w:sz w:val="24"/>
          <w:szCs w:val="24"/>
        </w:rPr>
      </w:pPr>
      <w:r w:rsidRPr="00720E0F">
        <w:rPr>
          <w:i/>
          <w:iCs/>
          <w:sz w:val="24"/>
          <w:szCs w:val="24"/>
        </w:rPr>
        <w:t>Startdosis og dosistitrering</w:t>
      </w:r>
    </w:p>
    <w:p w:rsidR="00B279A9" w:rsidRPr="00720E0F" w:rsidRDefault="00B279A9" w:rsidP="00B279A9">
      <w:pPr>
        <w:ind w:left="851"/>
        <w:rPr>
          <w:sz w:val="24"/>
          <w:szCs w:val="24"/>
        </w:rPr>
      </w:pPr>
      <w:r w:rsidRPr="00720E0F">
        <w:rPr>
          <w:sz w:val="24"/>
          <w:szCs w:val="24"/>
        </w:rPr>
        <w:t>Den anbefalede sprøjtepumpehastighed er 3 ml/time. Justering af pumpehastigheden bør ske i trin af 0,5</w:t>
      </w:r>
      <w:r w:rsidRPr="00720E0F">
        <w:rPr>
          <w:sz w:val="24"/>
          <w:szCs w:val="24"/>
        </w:rPr>
        <w:noBreakHyphen/>
        <w:t xml:space="preserve">1,0 ml/time. For at øge sedationen hurtigt kan der gives en programmeret </w:t>
      </w:r>
      <w:proofErr w:type="spellStart"/>
      <w:r w:rsidRPr="00720E0F">
        <w:rPr>
          <w:sz w:val="24"/>
          <w:szCs w:val="24"/>
        </w:rPr>
        <w:t>bolus</w:t>
      </w:r>
      <w:proofErr w:type="spellEnd"/>
      <w:r w:rsidRPr="00720E0F">
        <w:rPr>
          <w:sz w:val="24"/>
          <w:szCs w:val="24"/>
        </w:rPr>
        <w:t xml:space="preserve"> på 0,3-0,5 ml via pumpen. Andre </w:t>
      </w:r>
      <w:proofErr w:type="spellStart"/>
      <w:r w:rsidRPr="00720E0F">
        <w:rPr>
          <w:sz w:val="24"/>
          <w:szCs w:val="24"/>
        </w:rPr>
        <w:t>sedativa</w:t>
      </w:r>
      <w:proofErr w:type="spellEnd"/>
      <w:r w:rsidRPr="00720E0F">
        <w:rPr>
          <w:sz w:val="24"/>
          <w:szCs w:val="24"/>
        </w:rPr>
        <w:t xml:space="preserve"> kan normalt stoppes, når behandling med </w:t>
      </w:r>
      <w:proofErr w:type="spellStart"/>
      <w:r w:rsidRPr="00720E0F">
        <w:rPr>
          <w:sz w:val="24"/>
          <w:szCs w:val="24"/>
        </w:rPr>
        <w:t>Sedaconda</w:t>
      </w:r>
      <w:proofErr w:type="spellEnd"/>
      <w:r w:rsidRPr="00720E0F">
        <w:rPr>
          <w:sz w:val="24"/>
          <w:szCs w:val="24"/>
        </w:rPr>
        <w:t xml:space="preserve"> er startet.</w:t>
      </w:r>
    </w:p>
    <w:p w:rsidR="00B279A9" w:rsidRPr="00720E0F" w:rsidRDefault="00B279A9" w:rsidP="00B279A9">
      <w:pPr>
        <w:ind w:left="851"/>
        <w:rPr>
          <w:sz w:val="24"/>
          <w:szCs w:val="24"/>
        </w:rPr>
      </w:pPr>
    </w:p>
    <w:p w:rsidR="00B279A9" w:rsidRPr="00720E0F" w:rsidRDefault="00B279A9" w:rsidP="00B279A9">
      <w:pPr>
        <w:keepNext/>
        <w:ind w:left="851"/>
        <w:rPr>
          <w:i/>
          <w:iCs/>
          <w:sz w:val="24"/>
          <w:szCs w:val="24"/>
        </w:rPr>
      </w:pPr>
      <w:r w:rsidRPr="00720E0F">
        <w:rPr>
          <w:i/>
          <w:iCs/>
          <w:sz w:val="24"/>
          <w:szCs w:val="24"/>
        </w:rPr>
        <w:t>Vedligeholdelsesdosis</w:t>
      </w:r>
    </w:p>
    <w:p w:rsidR="00B279A9" w:rsidRPr="00720E0F" w:rsidRDefault="00B279A9" w:rsidP="00B279A9">
      <w:pPr>
        <w:ind w:left="851"/>
        <w:rPr>
          <w:sz w:val="24"/>
          <w:szCs w:val="24"/>
        </w:rPr>
      </w:pPr>
      <w:r w:rsidRPr="00720E0F">
        <w:rPr>
          <w:sz w:val="24"/>
          <w:szCs w:val="24"/>
        </w:rPr>
        <w:t xml:space="preserve">Sprøjtepumpehastigheden for et givent sedationsmål skal justeres for at matche patientens minutventilation (MV). Stigende MV kræver normalt en øgning af pumpehastigheden for at opretholde </w:t>
      </w:r>
      <w:proofErr w:type="spellStart"/>
      <w:r w:rsidRPr="00720E0F">
        <w:rPr>
          <w:sz w:val="24"/>
          <w:szCs w:val="24"/>
        </w:rPr>
        <w:t>isoflurans</w:t>
      </w:r>
      <w:proofErr w:type="spellEnd"/>
      <w:r w:rsidRPr="00720E0F">
        <w:rPr>
          <w:sz w:val="24"/>
          <w:szCs w:val="24"/>
        </w:rPr>
        <w:t xml:space="preserve"> påkrævede slut-</w:t>
      </w:r>
      <w:proofErr w:type="spellStart"/>
      <w:r w:rsidRPr="00720E0F">
        <w:rPr>
          <w:sz w:val="24"/>
          <w:szCs w:val="24"/>
        </w:rPr>
        <w:t>tidal</w:t>
      </w:r>
      <w:proofErr w:type="spellEnd"/>
      <w:r>
        <w:rPr>
          <w:sz w:val="24"/>
          <w:szCs w:val="24"/>
        </w:rPr>
        <w:t>-</w:t>
      </w:r>
      <w:r w:rsidRPr="00720E0F">
        <w:rPr>
          <w:sz w:val="24"/>
          <w:szCs w:val="24"/>
        </w:rPr>
        <w:t>koncentration og sedationsniveauet.</w:t>
      </w:r>
    </w:p>
    <w:p w:rsidR="00B279A9" w:rsidRPr="00720E0F" w:rsidRDefault="00B279A9" w:rsidP="00B279A9">
      <w:pPr>
        <w:ind w:left="851"/>
        <w:rPr>
          <w:sz w:val="24"/>
          <w:szCs w:val="24"/>
        </w:rPr>
      </w:pPr>
    </w:p>
    <w:p w:rsidR="00B279A9" w:rsidRPr="00720E0F" w:rsidRDefault="00B279A9" w:rsidP="00B279A9">
      <w:pPr>
        <w:ind w:left="851"/>
        <w:rPr>
          <w:sz w:val="24"/>
          <w:szCs w:val="24"/>
        </w:rPr>
      </w:pPr>
      <w:r w:rsidRPr="00720E0F">
        <w:rPr>
          <w:sz w:val="24"/>
          <w:szCs w:val="24"/>
        </w:rPr>
        <w:t xml:space="preserve">Ved fravær af andre </w:t>
      </w:r>
      <w:proofErr w:type="spellStart"/>
      <w:r w:rsidRPr="00720E0F">
        <w:rPr>
          <w:sz w:val="24"/>
          <w:szCs w:val="24"/>
        </w:rPr>
        <w:t>sedativa</w:t>
      </w:r>
      <w:proofErr w:type="spellEnd"/>
      <w:r w:rsidRPr="00720E0F">
        <w:rPr>
          <w:sz w:val="24"/>
          <w:szCs w:val="24"/>
        </w:rPr>
        <w:t>, men med igangværende intravenøs opioid-administration, er typiske vedligeholdelsespumpehastigheder for at opnå RASS -1 til -4 cirka 0,4 ml/time pr. liter MV, svarende til en pumpehastighed på cirka 3 ml/time for en patient med et MV på 7 liter.</w:t>
      </w:r>
    </w:p>
    <w:p w:rsidR="00B279A9" w:rsidRDefault="00B279A9" w:rsidP="00B279A9">
      <w:pPr>
        <w:ind w:left="851"/>
        <w:rPr>
          <w:sz w:val="24"/>
          <w:szCs w:val="24"/>
        </w:rPr>
      </w:pPr>
    </w:p>
    <w:p w:rsidR="00B279A9" w:rsidRDefault="00B279A9" w:rsidP="00B279A9">
      <w:pPr>
        <w:ind w:left="851"/>
        <w:rPr>
          <w:i/>
          <w:iCs/>
          <w:sz w:val="24"/>
          <w:szCs w:val="24"/>
          <w:u w:val="single"/>
        </w:rPr>
      </w:pPr>
      <w:r>
        <w:rPr>
          <w:i/>
          <w:iCs/>
          <w:sz w:val="24"/>
          <w:szCs w:val="24"/>
          <w:u w:val="single"/>
        </w:rPr>
        <w:t>Pædiatriske patienter i alderen 3-17 år:</w:t>
      </w:r>
    </w:p>
    <w:p w:rsidR="00B279A9" w:rsidRDefault="00B279A9" w:rsidP="00B279A9">
      <w:pPr>
        <w:ind w:left="851"/>
        <w:rPr>
          <w:sz w:val="24"/>
          <w:szCs w:val="24"/>
        </w:rPr>
      </w:pPr>
    </w:p>
    <w:p w:rsidR="00B279A9" w:rsidRPr="00720E0F" w:rsidRDefault="00B279A9" w:rsidP="00B279A9">
      <w:pPr>
        <w:ind w:left="851"/>
        <w:rPr>
          <w:i/>
          <w:iCs/>
          <w:sz w:val="24"/>
          <w:szCs w:val="24"/>
        </w:rPr>
      </w:pPr>
      <w:r w:rsidRPr="00720E0F">
        <w:rPr>
          <w:i/>
          <w:iCs/>
          <w:sz w:val="24"/>
          <w:szCs w:val="24"/>
        </w:rPr>
        <w:t>Startdosis og dosistitrering</w:t>
      </w:r>
    </w:p>
    <w:p w:rsidR="00B279A9" w:rsidRPr="00720E0F" w:rsidRDefault="00B279A9" w:rsidP="00B279A9">
      <w:pPr>
        <w:ind w:left="851"/>
        <w:rPr>
          <w:sz w:val="24"/>
          <w:szCs w:val="24"/>
        </w:rPr>
      </w:pPr>
      <w:r w:rsidRPr="00720E0F">
        <w:rPr>
          <w:sz w:val="24"/>
          <w:szCs w:val="24"/>
        </w:rPr>
        <w:t xml:space="preserve">Den anbefalede </w:t>
      </w:r>
      <w:r>
        <w:rPr>
          <w:sz w:val="24"/>
          <w:szCs w:val="24"/>
        </w:rPr>
        <w:t xml:space="preserve">initiale </w:t>
      </w:r>
      <w:r w:rsidRPr="00720E0F">
        <w:rPr>
          <w:sz w:val="24"/>
          <w:szCs w:val="24"/>
        </w:rPr>
        <w:t xml:space="preserve">sprøjtepumpehastighed er </w:t>
      </w:r>
      <w:r>
        <w:rPr>
          <w:sz w:val="24"/>
          <w:szCs w:val="24"/>
        </w:rPr>
        <w:t>2</w:t>
      </w:r>
      <w:r w:rsidRPr="00720E0F">
        <w:rPr>
          <w:sz w:val="24"/>
          <w:szCs w:val="24"/>
        </w:rPr>
        <w:t> ml/time. Justering af pumpehastigheden bør ske i trin af 0,5</w:t>
      </w:r>
      <w:r w:rsidRPr="00720E0F">
        <w:rPr>
          <w:sz w:val="24"/>
          <w:szCs w:val="24"/>
        </w:rPr>
        <w:noBreakHyphen/>
        <w:t xml:space="preserve">1,0 ml/time. For at øge sedationen hurtigt kan der gives en programmeret </w:t>
      </w:r>
      <w:proofErr w:type="spellStart"/>
      <w:r w:rsidRPr="00720E0F">
        <w:rPr>
          <w:sz w:val="24"/>
          <w:szCs w:val="24"/>
        </w:rPr>
        <w:t>bolus</w:t>
      </w:r>
      <w:proofErr w:type="spellEnd"/>
      <w:r w:rsidRPr="00720E0F">
        <w:rPr>
          <w:sz w:val="24"/>
          <w:szCs w:val="24"/>
        </w:rPr>
        <w:t xml:space="preserve"> på 0,</w:t>
      </w:r>
      <w:r>
        <w:rPr>
          <w:sz w:val="24"/>
          <w:szCs w:val="24"/>
        </w:rPr>
        <w:t>2</w:t>
      </w:r>
      <w:r w:rsidRPr="00720E0F">
        <w:rPr>
          <w:sz w:val="24"/>
          <w:szCs w:val="24"/>
        </w:rPr>
        <w:noBreakHyphen/>
        <w:t>0,</w:t>
      </w:r>
      <w:r>
        <w:rPr>
          <w:sz w:val="24"/>
          <w:szCs w:val="24"/>
        </w:rPr>
        <w:t>3</w:t>
      </w:r>
      <w:r w:rsidRPr="00720E0F">
        <w:rPr>
          <w:sz w:val="24"/>
          <w:szCs w:val="24"/>
        </w:rPr>
        <w:t xml:space="preserve"> ml via pumpen. Andre </w:t>
      </w:r>
      <w:proofErr w:type="spellStart"/>
      <w:r w:rsidRPr="00720E0F">
        <w:rPr>
          <w:sz w:val="24"/>
          <w:szCs w:val="24"/>
        </w:rPr>
        <w:t>sedativa</w:t>
      </w:r>
      <w:proofErr w:type="spellEnd"/>
      <w:r w:rsidRPr="00720E0F">
        <w:rPr>
          <w:sz w:val="24"/>
          <w:szCs w:val="24"/>
        </w:rPr>
        <w:t xml:space="preserve"> kan normalt stoppes, når behandling med </w:t>
      </w:r>
      <w:proofErr w:type="spellStart"/>
      <w:r w:rsidRPr="00720E0F">
        <w:rPr>
          <w:sz w:val="24"/>
          <w:szCs w:val="24"/>
        </w:rPr>
        <w:t>Sedaconda</w:t>
      </w:r>
      <w:proofErr w:type="spellEnd"/>
      <w:r w:rsidRPr="00720E0F">
        <w:rPr>
          <w:sz w:val="24"/>
          <w:szCs w:val="24"/>
        </w:rPr>
        <w:t xml:space="preserve"> er startet.</w:t>
      </w:r>
    </w:p>
    <w:p w:rsidR="00B279A9" w:rsidRPr="00720E0F" w:rsidRDefault="00B279A9" w:rsidP="00B279A9">
      <w:pPr>
        <w:ind w:left="851"/>
        <w:rPr>
          <w:sz w:val="24"/>
          <w:szCs w:val="24"/>
        </w:rPr>
      </w:pPr>
    </w:p>
    <w:p w:rsidR="00B279A9" w:rsidRPr="00720E0F" w:rsidRDefault="00B279A9" w:rsidP="00B279A9">
      <w:pPr>
        <w:ind w:left="851"/>
        <w:rPr>
          <w:i/>
          <w:iCs/>
          <w:sz w:val="24"/>
          <w:szCs w:val="24"/>
        </w:rPr>
      </w:pPr>
      <w:r w:rsidRPr="00720E0F">
        <w:rPr>
          <w:i/>
          <w:iCs/>
          <w:sz w:val="24"/>
          <w:szCs w:val="24"/>
        </w:rPr>
        <w:t>Vedligeholdelsesdosis</w:t>
      </w:r>
      <w:r>
        <w:rPr>
          <w:i/>
          <w:iCs/>
          <w:sz w:val="24"/>
          <w:szCs w:val="24"/>
        </w:rPr>
        <w:t xml:space="preserve"> for standard </w:t>
      </w:r>
      <w:proofErr w:type="spellStart"/>
      <w:r>
        <w:rPr>
          <w:i/>
          <w:iCs/>
          <w:sz w:val="24"/>
          <w:szCs w:val="24"/>
        </w:rPr>
        <w:t>Sedaconda</w:t>
      </w:r>
      <w:proofErr w:type="spellEnd"/>
      <w:r>
        <w:rPr>
          <w:i/>
          <w:iCs/>
          <w:sz w:val="24"/>
          <w:szCs w:val="24"/>
        </w:rPr>
        <w:t xml:space="preserve"> ADC-placering</w:t>
      </w:r>
    </w:p>
    <w:p w:rsidR="00B279A9" w:rsidRDefault="00B279A9" w:rsidP="00B279A9">
      <w:pPr>
        <w:ind w:left="851"/>
        <w:rPr>
          <w:sz w:val="24"/>
          <w:szCs w:val="24"/>
        </w:rPr>
      </w:pPr>
      <w:r w:rsidRPr="000A7A9D">
        <w:rPr>
          <w:sz w:val="24"/>
          <w:szCs w:val="24"/>
        </w:rPr>
        <w:t xml:space="preserve">Ved fravær af andre </w:t>
      </w:r>
      <w:proofErr w:type="spellStart"/>
      <w:r w:rsidRPr="000A7A9D">
        <w:rPr>
          <w:sz w:val="24"/>
          <w:szCs w:val="24"/>
        </w:rPr>
        <w:t>sedativa</w:t>
      </w:r>
      <w:proofErr w:type="spellEnd"/>
      <w:r w:rsidRPr="000A7A9D">
        <w:rPr>
          <w:sz w:val="24"/>
          <w:szCs w:val="24"/>
        </w:rPr>
        <w:t xml:space="preserve">, men med igangværende intravenøs opioid-administration, er typiske vedligeholdelsespumpehastigheder for </w:t>
      </w:r>
      <w:r>
        <w:rPr>
          <w:sz w:val="24"/>
          <w:szCs w:val="24"/>
        </w:rPr>
        <w:t xml:space="preserve">standard </w:t>
      </w:r>
      <w:proofErr w:type="spellStart"/>
      <w:r>
        <w:rPr>
          <w:sz w:val="24"/>
          <w:szCs w:val="24"/>
        </w:rPr>
        <w:t>Sedaconda</w:t>
      </w:r>
      <w:proofErr w:type="spellEnd"/>
      <w:r>
        <w:rPr>
          <w:sz w:val="24"/>
          <w:szCs w:val="24"/>
        </w:rPr>
        <w:t xml:space="preserve"> ADC-placering af Y-stykket cirka 0,35 ml/time</w:t>
      </w:r>
      <w:r w:rsidRPr="000A7A9D">
        <w:rPr>
          <w:sz w:val="24"/>
          <w:szCs w:val="24"/>
        </w:rPr>
        <w:t xml:space="preserve"> pr. liter MV, svarende til en pumpehastighed på cirka </w:t>
      </w:r>
      <w:r>
        <w:rPr>
          <w:sz w:val="24"/>
          <w:szCs w:val="24"/>
        </w:rPr>
        <w:t>1,4 </w:t>
      </w:r>
      <w:r w:rsidRPr="000A7A9D">
        <w:rPr>
          <w:sz w:val="24"/>
          <w:szCs w:val="24"/>
        </w:rPr>
        <w:t xml:space="preserve">ml/time for en patient med et MV på </w:t>
      </w:r>
      <w:r>
        <w:rPr>
          <w:sz w:val="24"/>
          <w:szCs w:val="24"/>
        </w:rPr>
        <w:t>4 </w:t>
      </w:r>
      <w:r w:rsidRPr="000A7A9D">
        <w:rPr>
          <w:sz w:val="24"/>
          <w:szCs w:val="24"/>
        </w:rPr>
        <w:t>liter</w:t>
      </w:r>
      <w:r>
        <w:rPr>
          <w:sz w:val="24"/>
          <w:szCs w:val="24"/>
        </w:rPr>
        <w:t>.</w:t>
      </w:r>
    </w:p>
    <w:p w:rsidR="00B279A9" w:rsidRDefault="00B279A9" w:rsidP="00B279A9">
      <w:pPr>
        <w:ind w:left="851"/>
        <w:rPr>
          <w:sz w:val="24"/>
          <w:szCs w:val="24"/>
        </w:rPr>
      </w:pPr>
    </w:p>
    <w:p w:rsidR="00B279A9" w:rsidRPr="00720E0F" w:rsidRDefault="00B279A9" w:rsidP="00B279A9">
      <w:pPr>
        <w:ind w:left="851"/>
        <w:rPr>
          <w:i/>
          <w:iCs/>
          <w:sz w:val="24"/>
          <w:szCs w:val="24"/>
        </w:rPr>
      </w:pPr>
      <w:r w:rsidRPr="00720E0F">
        <w:rPr>
          <w:i/>
          <w:iCs/>
          <w:sz w:val="24"/>
          <w:szCs w:val="24"/>
        </w:rPr>
        <w:t>Vedligeholdelsesdosis</w:t>
      </w:r>
      <w:r>
        <w:rPr>
          <w:i/>
          <w:iCs/>
          <w:sz w:val="24"/>
          <w:szCs w:val="24"/>
        </w:rPr>
        <w:t xml:space="preserve"> for alternativ </w:t>
      </w:r>
      <w:proofErr w:type="spellStart"/>
      <w:r>
        <w:rPr>
          <w:i/>
          <w:iCs/>
          <w:sz w:val="24"/>
          <w:szCs w:val="24"/>
        </w:rPr>
        <w:t>Sedaconda</w:t>
      </w:r>
      <w:proofErr w:type="spellEnd"/>
      <w:r>
        <w:rPr>
          <w:i/>
          <w:iCs/>
          <w:sz w:val="24"/>
          <w:szCs w:val="24"/>
        </w:rPr>
        <w:t xml:space="preserve"> ADC-placering</w:t>
      </w:r>
    </w:p>
    <w:p w:rsidR="00B279A9" w:rsidRDefault="00B279A9" w:rsidP="00B279A9">
      <w:pPr>
        <w:ind w:left="851"/>
        <w:rPr>
          <w:sz w:val="24"/>
          <w:szCs w:val="24"/>
        </w:rPr>
      </w:pPr>
      <w:r w:rsidRPr="000A7A9D">
        <w:rPr>
          <w:sz w:val="24"/>
          <w:szCs w:val="24"/>
        </w:rPr>
        <w:t xml:space="preserve">Ved fravær af andre </w:t>
      </w:r>
      <w:proofErr w:type="spellStart"/>
      <w:r w:rsidRPr="000A7A9D">
        <w:rPr>
          <w:sz w:val="24"/>
          <w:szCs w:val="24"/>
        </w:rPr>
        <w:t>sedativa</w:t>
      </w:r>
      <w:proofErr w:type="spellEnd"/>
      <w:r w:rsidRPr="000A7A9D">
        <w:rPr>
          <w:sz w:val="24"/>
          <w:szCs w:val="24"/>
        </w:rPr>
        <w:t xml:space="preserve">, men med igangværende intravenøs opioid-administration, er typiske vedligeholdelsespumpehastigheder for </w:t>
      </w:r>
      <w:r>
        <w:rPr>
          <w:sz w:val="24"/>
          <w:szCs w:val="24"/>
        </w:rPr>
        <w:t xml:space="preserve">alternativ </w:t>
      </w:r>
      <w:proofErr w:type="spellStart"/>
      <w:r>
        <w:rPr>
          <w:sz w:val="24"/>
          <w:szCs w:val="24"/>
        </w:rPr>
        <w:t>Sedaconda</w:t>
      </w:r>
      <w:proofErr w:type="spellEnd"/>
      <w:r>
        <w:rPr>
          <w:sz w:val="24"/>
          <w:szCs w:val="24"/>
        </w:rPr>
        <w:t xml:space="preserve"> ADC-placering på den inspiratoriske side cirka 1,5 ml/time</w:t>
      </w:r>
      <w:r w:rsidRPr="000A7A9D">
        <w:rPr>
          <w:sz w:val="24"/>
          <w:szCs w:val="24"/>
        </w:rPr>
        <w:t xml:space="preserve"> pr. liter MV, svarende til en pumpehastighed på cirka </w:t>
      </w:r>
      <w:r>
        <w:rPr>
          <w:sz w:val="24"/>
          <w:szCs w:val="24"/>
        </w:rPr>
        <w:t>6 </w:t>
      </w:r>
      <w:r w:rsidRPr="000A7A9D">
        <w:rPr>
          <w:sz w:val="24"/>
          <w:szCs w:val="24"/>
        </w:rPr>
        <w:t xml:space="preserve">ml/time for en patient med et MV på </w:t>
      </w:r>
      <w:r>
        <w:rPr>
          <w:sz w:val="24"/>
          <w:szCs w:val="24"/>
        </w:rPr>
        <w:t>4 </w:t>
      </w:r>
      <w:r w:rsidRPr="000A7A9D">
        <w:rPr>
          <w:sz w:val="24"/>
          <w:szCs w:val="24"/>
        </w:rPr>
        <w:t>liter</w:t>
      </w:r>
      <w:r>
        <w:rPr>
          <w:sz w:val="24"/>
          <w:szCs w:val="24"/>
        </w:rPr>
        <w:t>.</w:t>
      </w:r>
    </w:p>
    <w:p w:rsidR="00B279A9" w:rsidRDefault="00B279A9" w:rsidP="00B279A9">
      <w:pPr>
        <w:ind w:left="851"/>
        <w:rPr>
          <w:sz w:val="24"/>
          <w:szCs w:val="24"/>
        </w:rPr>
      </w:pPr>
    </w:p>
    <w:p w:rsidR="00B279A9" w:rsidRPr="00720E0F" w:rsidRDefault="00B279A9" w:rsidP="00B279A9">
      <w:pPr>
        <w:ind w:left="851"/>
        <w:rPr>
          <w:i/>
          <w:iCs/>
          <w:sz w:val="24"/>
          <w:szCs w:val="24"/>
        </w:rPr>
      </w:pPr>
      <w:r>
        <w:rPr>
          <w:i/>
          <w:iCs/>
          <w:sz w:val="24"/>
          <w:szCs w:val="24"/>
        </w:rPr>
        <w:t>Langvarig brug</w:t>
      </w:r>
    </w:p>
    <w:p w:rsidR="00B279A9" w:rsidRDefault="00B279A9" w:rsidP="00B279A9">
      <w:pPr>
        <w:ind w:left="851"/>
        <w:rPr>
          <w:sz w:val="24"/>
          <w:szCs w:val="24"/>
        </w:rPr>
      </w:pPr>
      <w:r w:rsidRPr="00016443">
        <w:rPr>
          <w:sz w:val="24"/>
          <w:szCs w:val="24"/>
        </w:rPr>
        <w:t xml:space="preserve">Der er begrænset klinisk erfaring ved kontinuerlig brug af </w:t>
      </w:r>
      <w:proofErr w:type="spellStart"/>
      <w:r w:rsidRPr="00016443">
        <w:rPr>
          <w:sz w:val="24"/>
          <w:szCs w:val="24"/>
        </w:rPr>
        <w:t>isofluran</w:t>
      </w:r>
      <w:proofErr w:type="spellEnd"/>
      <w:r w:rsidRPr="00016443">
        <w:rPr>
          <w:sz w:val="24"/>
          <w:szCs w:val="24"/>
        </w:rPr>
        <w:t xml:space="preserve"> i længere end 48 timer. </w:t>
      </w:r>
      <w:proofErr w:type="spellStart"/>
      <w:r>
        <w:rPr>
          <w:sz w:val="24"/>
          <w:szCs w:val="24"/>
        </w:rPr>
        <w:t>Isofluran</w:t>
      </w:r>
      <w:proofErr w:type="spellEnd"/>
      <w:r>
        <w:rPr>
          <w:sz w:val="24"/>
          <w:szCs w:val="24"/>
        </w:rPr>
        <w:t xml:space="preserve"> bør kun bruges længere end 48 timer, hvis fordelen opvejer den mulige risiko. Der bør tages særlige hensyn til reversible neurologiske symptomer efter længerevarende anvendelse hos små børn, se pkt. 5.1.</w:t>
      </w:r>
    </w:p>
    <w:p w:rsidR="00B279A9" w:rsidRDefault="00B279A9" w:rsidP="00B279A9">
      <w:pPr>
        <w:ind w:left="851"/>
        <w:rPr>
          <w:sz w:val="24"/>
          <w:szCs w:val="24"/>
        </w:rPr>
      </w:pPr>
    </w:p>
    <w:p w:rsidR="00B279A9" w:rsidRPr="004D6B18" w:rsidRDefault="00B279A9" w:rsidP="00B279A9">
      <w:pPr>
        <w:ind w:left="851"/>
        <w:rPr>
          <w:i/>
          <w:iCs/>
          <w:sz w:val="24"/>
          <w:szCs w:val="24"/>
          <w:u w:val="single"/>
        </w:rPr>
      </w:pPr>
      <w:r>
        <w:rPr>
          <w:i/>
          <w:iCs/>
          <w:sz w:val="24"/>
          <w:szCs w:val="24"/>
          <w:u w:val="single"/>
        </w:rPr>
        <w:t>Andre betingelser:</w:t>
      </w:r>
    </w:p>
    <w:p w:rsidR="00B279A9" w:rsidRDefault="00B279A9" w:rsidP="00B279A9">
      <w:pPr>
        <w:ind w:left="851"/>
        <w:rPr>
          <w:sz w:val="24"/>
          <w:szCs w:val="24"/>
        </w:rPr>
      </w:pPr>
    </w:p>
    <w:p w:rsidR="00B279A9" w:rsidRDefault="00B279A9" w:rsidP="00B279A9">
      <w:pPr>
        <w:ind w:left="851"/>
        <w:rPr>
          <w:sz w:val="24"/>
          <w:szCs w:val="24"/>
        </w:rPr>
      </w:pPr>
      <w:r w:rsidRPr="00720E0F">
        <w:rPr>
          <w:sz w:val="24"/>
          <w:szCs w:val="24"/>
        </w:rPr>
        <w:t xml:space="preserve">Pumpehastigheden bør justeres til det specifikke sedationsmål under hensyntagen til patientens alder og medicinske tilstand samt samtidig centralt virkende </w:t>
      </w:r>
      <w:proofErr w:type="spellStart"/>
      <w:r w:rsidRPr="00720E0F">
        <w:rPr>
          <w:sz w:val="24"/>
          <w:szCs w:val="24"/>
        </w:rPr>
        <w:t>sedativa</w:t>
      </w:r>
      <w:proofErr w:type="spellEnd"/>
      <w:r w:rsidRPr="00720E0F">
        <w:rPr>
          <w:sz w:val="24"/>
          <w:szCs w:val="24"/>
        </w:rPr>
        <w:t xml:space="preserve">. Pumpehastigheder på op til 14 ml/time kan være påkrævet. Dosisbehovet øges normalt ikke over tid, medmindre samtidig centralt virkende </w:t>
      </w:r>
      <w:proofErr w:type="spellStart"/>
      <w:r w:rsidRPr="00720E0F">
        <w:rPr>
          <w:sz w:val="24"/>
          <w:szCs w:val="24"/>
        </w:rPr>
        <w:t>sedativa</w:t>
      </w:r>
      <w:proofErr w:type="spellEnd"/>
      <w:r w:rsidRPr="00720E0F">
        <w:rPr>
          <w:sz w:val="24"/>
          <w:szCs w:val="24"/>
        </w:rPr>
        <w:t xml:space="preserve"> seponeres under behandlingen.</w:t>
      </w:r>
    </w:p>
    <w:p w:rsidR="00B279A9" w:rsidRDefault="00B279A9" w:rsidP="00B279A9">
      <w:pPr>
        <w:ind w:left="851"/>
        <w:rPr>
          <w:sz w:val="24"/>
          <w:szCs w:val="24"/>
        </w:rPr>
      </w:pPr>
    </w:p>
    <w:p w:rsidR="00B279A9" w:rsidRPr="00720E0F" w:rsidRDefault="00B279A9" w:rsidP="00B279A9">
      <w:pPr>
        <w:ind w:left="851"/>
        <w:rPr>
          <w:sz w:val="24"/>
          <w:szCs w:val="24"/>
        </w:rPr>
      </w:pPr>
      <w:r w:rsidRPr="00720E0F">
        <w:rPr>
          <w:sz w:val="24"/>
          <w:szCs w:val="24"/>
        </w:rPr>
        <w:t>Den maksimale anbefalede længerevarende slut-</w:t>
      </w:r>
      <w:proofErr w:type="spellStart"/>
      <w:r w:rsidRPr="00720E0F">
        <w:rPr>
          <w:sz w:val="24"/>
          <w:szCs w:val="24"/>
        </w:rPr>
        <w:t>tidal</w:t>
      </w:r>
      <w:proofErr w:type="spellEnd"/>
      <w:r>
        <w:rPr>
          <w:sz w:val="24"/>
          <w:szCs w:val="24"/>
        </w:rPr>
        <w:t>-</w:t>
      </w:r>
      <w:r w:rsidRPr="00720E0F">
        <w:rPr>
          <w:sz w:val="24"/>
          <w:szCs w:val="24"/>
        </w:rPr>
        <w:t xml:space="preserve">koncentration af </w:t>
      </w:r>
      <w:proofErr w:type="spellStart"/>
      <w:r w:rsidRPr="00720E0F">
        <w:rPr>
          <w:sz w:val="24"/>
          <w:szCs w:val="24"/>
        </w:rPr>
        <w:t>isofluran</w:t>
      </w:r>
      <w:proofErr w:type="spellEnd"/>
      <w:r w:rsidRPr="00720E0F">
        <w:rPr>
          <w:sz w:val="24"/>
          <w:szCs w:val="24"/>
        </w:rPr>
        <w:t xml:space="preserve"> under sedation er 1,0 %, selvom der i korte perioder kan anvendes op til 1,5 %, f.eks. under kortvarige procedurer (f.eks. ved flytning af patienten), hvor lidt dybere sedation er påkrævet. Der kan gives en programmeret </w:t>
      </w:r>
      <w:proofErr w:type="spellStart"/>
      <w:r w:rsidRPr="00720E0F">
        <w:rPr>
          <w:sz w:val="24"/>
          <w:szCs w:val="24"/>
        </w:rPr>
        <w:t>bolus</w:t>
      </w:r>
      <w:proofErr w:type="spellEnd"/>
      <w:r w:rsidRPr="00720E0F">
        <w:rPr>
          <w:sz w:val="24"/>
          <w:szCs w:val="24"/>
        </w:rPr>
        <w:t xml:space="preserve"> på 0,3</w:t>
      </w:r>
      <w:r w:rsidRPr="00720E0F">
        <w:rPr>
          <w:sz w:val="24"/>
          <w:szCs w:val="24"/>
        </w:rPr>
        <w:noBreakHyphen/>
        <w:t xml:space="preserve">0,5 ml </w:t>
      </w:r>
      <w:r>
        <w:rPr>
          <w:sz w:val="24"/>
          <w:szCs w:val="24"/>
        </w:rPr>
        <w:t xml:space="preserve">til voksne og </w:t>
      </w:r>
      <w:r w:rsidRPr="00720E0F">
        <w:rPr>
          <w:sz w:val="24"/>
          <w:szCs w:val="24"/>
        </w:rPr>
        <w:t>0,</w:t>
      </w:r>
      <w:r>
        <w:rPr>
          <w:sz w:val="24"/>
          <w:szCs w:val="24"/>
        </w:rPr>
        <w:t>2</w:t>
      </w:r>
      <w:r w:rsidRPr="00720E0F">
        <w:rPr>
          <w:sz w:val="24"/>
          <w:szCs w:val="24"/>
        </w:rPr>
        <w:noBreakHyphen/>
        <w:t>0,</w:t>
      </w:r>
      <w:r>
        <w:rPr>
          <w:sz w:val="24"/>
          <w:szCs w:val="24"/>
        </w:rPr>
        <w:t>3</w:t>
      </w:r>
      <w:r w:rsidRPr="00720E0F">
        <w:rPr>
          <w:sz w:val="24"/>
          <w:szCs w:val="24"/>
        </w:rPr>
        <w:t xml:space="preserve"> ml </w:t>
      </w:r>
      <w:r>
        <w:rPr>
          <w:sz w:val="24"/>
          <w:szCs w:val="24"/>
        </w:rPr>
        <w:t xml:space="preserve">til pædiatriske patienter </w:t>
      </w:r>
      <w:r w:rsidRPr="00720E0F">
        <w:rPr>
          <w:sz w:val="24"/>
          <w:szCs w:val="24"/>
        </w:rPr>
        <w:t>via pumpen ved kortvarige procedurer eller for at øge sedationen hurtigt.</w:t>
      </w:r>
    </w:p>
    <w:p w:rsidR="00B279A9" w:rsidRPr="00720E0F" w:rsidRDefault="00B279A9" w:rsidP="00B279A9">
      <w:pPr>
        <w:ind w:left="851"/>
        <w:rPr>
          <w:sz w:val="24"/>
          <w:szCs w:val="24"/>
        </w:rPr>
      </w:pPr>
    </w:p>
    <w:p w:rsidR="00B279A9" w:rsidRPr="00720E0F" w:rsidRDefault="00B279A9" w:rsidP="00B279A9">
      <w:pPr>
        <w:ind w:left="851"/>
        <w:rPr>
          <w:sz w:val="24"/>
          <w:szCs w:val="24"/>
        </w:rPr>
      </w:pPr>
      <w:r w:rsidRPr="00720E0F">
        <w:rPr>
          <w:sz w:val="24"/>
          <w:szCs w:val="24"/>
        </w:rPr>
        <w:t xml:space="preserve">Under procedurer, der involverer instrumentering af luftvejene, f.eks. bronkoskopi, kan det være nødvendigt at anvende andre korttidsvirkende </w:t>
      </w:r>
      <w:proofErr w:type="spellStart"/>
      <w:r w:rsidRPr="00720E0F">
        <w:rPr>
          <w:sz w:val="24"/>
          <w:szCs w:val="24"/>
        </w:rPr>
        <w:t>sedativa</w:t>
      </w:r>
      <w:proofErr w:type="spellEnd"/>
      <w:r w:rsidRPr="00720E0F">
        <w:rPr>
          <w:sz w:val="24"/>
          <w:szCs w:val="24"/>
        </w:rPr>
        <w:t xml:space="preserve"> for at opretholde tilstrækkelig sedation.</w:t>
      </w:r>
    </w:p>
    <w:p w:rsidR="00B279A9" w:rsidRPr="00720E0F" w:rsidRDefault="00B279A9" w:rsidP="00B279A9">
      <w:pPr>
        <w:ind w:left="851"/>
        <w:rPr>
          <w:sz w:val="24"/>
          <w:szCs w:val="24"/>
        </w:rPr>
      </w:pPr>
    </w:p>
    <w:p w:rsidR="00B279A9" w:rsidRPr="00720E0F" w:rsidRDefault="00B279A9" w:rsidP="00B279A9">
      <w:pPr>
        <w:ind w:left="851"/>
        <w:rPr>
          <w:i/>
          <w:iCs/>
          <w:sz w:val="24"/>
          <w:szCs w:val="24"/>
        </w:rPr>
      </w:pPr>
      <w:r w:rsidRPr="00720E0F">
        <w:rPr>
          <w:i/>
          <w:iCs/>
          <w:sz w:val="24"/>
          <w:szCs w:val="24"/>
        </w:rPr>
        <w:t>Klinisk evaluering af sedationsniveau</w:t>
      </w:r>
    </w:p>
    <w:p w:rsidR="00B279A9" w:rsidRPr="00720E0F" w:rsidRDefault="00B279A9" w:rsidP="00B279A9">
      <w:pPr>
        <w:ind w:left="851"/>
        <w:rPr>
          <w:sz w:val="24"/>
          <w:szCs w:val="24"/>
        </w:rPr>
      </w:pPr>
      <w:r w:rsidRPr="00720E0F">
        <w:rPr>
          <w:sz w:val="24"/>
          <w:szCs w:val="24"/>
        </w:rPr>
        <w:t>I de første to timer, eller indtil den ønskede sedationsdybde er nået og er stabil, anbefales hyppige evalueringer af sedationsniveauet ved brug af en valideret sedationsskala til at vejledning af dosistitrering. Herefter bør sedationsdybden vurderes minimum hver 4. time.</w:t>
      </w:r>
    </w:p>
    <w:p w:rsidR="00B279A9" w:rsidRPr="00720E0F" w:rsidRDefault="00B279A9" w:rsidP="00B279A9">
      <w:pPr>
        <w:ind w:left="851"/>
        <w:rPr>
          <w:sz w:val="24"/>
          <w:szCs w:val="24"/>
        </w:rPr>
      </w:pPr>
    </w:p>
    <w:p w:rsidR="00B279A9" w:rsidRPr="00720E0F" w:rsidRDefault="00B279A9" w:rsidP="00B279A9">
      <w:pPr>
        <w:ind w:left="851"/>
        <w:rPr>
          <w:sz w:val="24"/>
          <w:szCs w:val="24"/>
        </w:rPr>
      </w:pPr>
      <w:r w:rsidRPr="00720E0F">
        <w:rPr>
          <w:sz w:val="24"/>
          <w:szCs w:val="24"/>
        </w:rPr>
        <w:t xml:space="preserve">Under kontinuerlig </w:t>
      </w:r>
      <w:proofErr w:type="spellStart"/>
      <w:r w:rsidRPr="00720E0F">
        <w:rPr>
          <w:sz w:val="24"/>
          <w:szCs w:val="24"/>
        </w:rPr>
        <w:t>neuromuskulær</w:t>
      </w:r>
      <w:proofErr w:type="spellEnd"/>
      <w:r w:rsidRPr="00720E0F">
        <w:rPr>
          <w:sz w:val="24"/>
          <w:szCs w:val="24"/>
        </w:rPr>
        <w:t xml:space="preserve"> blokade kan klinisk evaluering af sedationsdybden være vanskelig at foretage. Hos disse patienter er slut-</w:t>
      </w:r>
      <w:proofErr w:type="spellStart"/>
      <w:r w:rsidRPr="00720E0F">
        <w:rPr>
          <w:sz w:val="24"/>
          <w:szCs w:val="24"/>
        </w:rPr>
        <w:t>tidal</w:t>
      </w:r>
      <w:proofErr w:type="spellEnd"/>
      <w:r>
        <w:rPr>
          <w:sz w:val="24"/>
          <w:szCs w:val="24"/>
        </w:rPr>
        <w:t>-</w:t>
      </w:r>
      <w:r w:rsidRPr="00720E0F">
        <w:rPr>
          <w:sz w:val="24"/>
          <w:szCs w:val="24"/>
        </w:rPr>
        <w:t xml:space="preserve">koncentrationen af </w:t>
      </w:r>
      <w:proofErr w:type="spellStart"/>
      <w:r w:rsidRPr="00720E0F">
        <w:rPr>
          <w:sz w:val="24"/>
          <w:szCs w:val="24"/>
        </w:rPr>
        <w:t>isofluran</w:t>
      </w:r>
      <w:proofErr w:type="spellEnd"/>
      <w:r w:rsidRPr="00720E0F">
        <w:rPr>
          <w:sz w:val="24"/>
          <w:szCs w:val="24"/>
        </w:rPr>
        <w:t xml:space="preserve"> informativ.</w:t>
      </w:r>
    </w:p>
    <w:p w:rsidR="00B279A9" w:rsidRPr="00720E0F" w:rsidRDefault="00B279A9" w:rsidP="00B279A9">
      <w:pPr>
        <w:ind w:left="851"/>
        <w:rPr>
          <w:sz w:val="24"/>
          <w:szCs w:val="24"/>
        </w:rPr>
      </w:pPr>
    </w:p>
    <w:p w:rsidR="00B279A9" w:rsidRPr="00720E0F" w:rsidRDefault="00B279A9" w:rsidP="00B279A9">
      <w:pPr>
        <w:ind w:left="851"/>
        <w:rPr>
          <w:bCs/>
          <w:iCs/>
          <w:sz w:val="24"/>
          <w:szCs w:val="24"/>
          <w:u w:val="single"/>
        </w:rPr>
      </w:pPr>
      <w:r>
        <w:rPr>
          <w:bCs/>
          <w:iCs/>
          <w:sz w:val="24"/>
          <w:szCs w:val="24"/>
          <w:u w:val="single"/>
        </w:rPr>
        <w:t>Særlige</w:t>
      </w:r>
      <w:r w:rsidRPr="00720E0F">
        <w:rPr>
          <w:bCs/>
          <w:iCs/>
          <w:sz w:val="24"/>
          <w:szCs w:val="24"/>
          <w:u w:val="single"/>
        </w:rPr>
        <w:t xml:space="preserve"> populationer</w:t>
      </w:r>
    </w:p>
    <w:p w:rsidR="00B279A9" w:rsidRPr="00720E0F" w:rsidRDefault="00B279A9" w:rsidP="00B279A9">
      <w:pPr>
        <w:ind w:left="851"/>
        <w:rPr>
          <w:sz w:val="24"/>
          <w:szCs w:val="24"/>
        </w:rPr>
      </w:pPr>
    </w:p>
    <w:p w:rsidR="00B279A9" w:rsidRPr="00720E0F" w:rsidRDefault="00B279A9" w:rsidP="00B279A9">
      <w:pPr>
        <w:ind w:left="851"/>
        <w:rPr>
          <w:i/>
          <w:iCs/>
          <w:sz w:val="24"/>
          <w:szCs w:val="24"/>
        </w:rPr>
      </w:pPr>
      <w:r w:rsidRPr="00720E0F">
        <w:rPr>
          <w:i/>
          <w:iCs/>
          <w:sz w:val="24"/>
          <w:szCs w:val="24"/>
        </w:rPr>
        <w:t>Ældre</w:t>
      </w:r>
    </w:p>
    <w:p w:rsidR="00B279A9" w:rsidRPr="00720E0F" w:rsidRDefault="00B279A9" w:rsidP="00B279A9">
      <w:pPr>
        <w:ind w:left="851"/>
        <w:rPr>
          <w:sz w:val="24"/>
          <w:szCs w:val="24"/>
        </w:rPr>
      </w:pPr>
      <w:r w:rsidRPr="00720E0F">
        <w:rPr>
          <w:sz w:val="24"/>
          <w:szCs w:val="24"/>
        </w:rPr>
        <w:t xml:space="preserve">Hos voksne er stigende alder forbundet med større følsomhed over for </w:t>
      </w:r>
      <w:proofErr w:type="spellStart"/>
      <w:r w:rsidRPr="00720E0F">
        <w:rPr>
          <w:sz w:val="24"/>
          <w:szCs w:val="24"/>
        </w:rPr>
        <w:t>isofluran</w:t>
      </w:r>
      <w:proofErr w:type="spellEnd"/>
      <w:r w:rsidRPr="00720E0F">
        <w:rPr>
          <w:sz w:val="24"/>
          <w:szCs w:val="24"/>
        </w:rPr>
        <w:t>, og derfor kan lavere doser være påkrævede hos ældre patienter.</w:t>
      </w:r>
    </w:p>
    <w:p w:rsidR="00B279A9" w:rsidRPr="00720E0F" w:rsidRDefault="00B279A9" w:rsidP="00B279A9">
      <w:pPr>
        <w:ind w:left="851"/>
        <w:rPr>
          <w:sz w:val="24"/>
          <w:szCs w:val="24"/>
        </w:rPr>
      </w:pPr>
    </w:p>
    <w:p w:rsidR="00B279A9" w:rsidRPr="00720E0F" w:rsidRDefault="00B279A9" w:rsidP="00B279A9">
      <w:pPr>
        <w:ind w:left="851"/>
        <w:rPr>
          <w:i/>
          <w:iCs/>
          <w:sz w:val="24"/>
          <w:szCs w:val="24"/>
        </w:rPr>
      </w:pPr>
      <w:r w:rsidRPr="00720E0F">
        <w:rPr>
          <w:i/>
          <w:iCs/>
          <w:sz w:val="24"/>
          <w:szCs w:val="24"/>
        </w:rPr>
        <w:t>Nedsat nyrefunktion</w:t>
      </w:r>
    </w:p>
    <w:p w:rsidR="00B279A9" w:rsidRPr="00720E0F" w:rsidRDefault="00B279A9" w:rsidP="00B279A9">
      <w:pPr>
        <w:ind w:left="851"/>
        <w:rPr>
          <w:sz w:val="24"/>
          <w:szCs w:val="24"/>
        </w:rPr>
      </w:pPr>
      <w:r w:rsidRPr="00720E0F">
        <w:rPr>
          <w:sz w:val="24"/>
          <w:szCs w:val="24"/>
        </w:rPr>
        <w:t>Dosisjustering er ikke påkrævet hos patienter med nedsat nyrefunktion, se pkt. 5.2.</w:t>
      </w:r>
    </w:p>
    <w:p w:rsidR="00B279A9" w:rsidRPr="00720E0F" w:rsidRDefault="00B279A9" w:rsidP="00B279A9">
      <w:pPr>
        <w:ind w:left="851"/>
        <w:rPr>
          <w:sz w:val="24"/>
          <w:szCs w:val="24"/>
        </w:rPr>
      </w:pPr>
    </w:p>
    <w:p w:rsidR="00B279A9" w:rsidRPr="00720E0F" w:rsidRDefault="00B279A9" w:rsidP="00B279A9">
      <w:pPr>
        <w:ind w:left="851"/>
        <w:rPr>
          <w:i/>
          <w:iCs/>
          <w:sz w:val="24"/>
          <w:szCs w:val="24"/>
        </w:rPr>
      </w:pPr>
      <w:r w:rsidRPr="00720E0F">
        <w:rPr>
          <w:i/>
          <w:iCs/>
          <w:sz w:val="24"/>
          <w:szCs w:val="24"/>
        </w:rPr>
        <w:t>Nedsat leverfunktion</w:t>
      </w:r>
    </w:p>
    <w:p w:rsidR="00B279A9" w:rsidRPr="00720E0F" w:rsidRDefault="00B279A9" w:rsidP="00B279A9">
      <w:pPr>
        <w:ind w:left="851"/>
        <w:rPr>
          <w:sz w:val="24"/>
          <w:szCs w:val="24"/>
        </w:rPr>
      </w:pPr>
      <w:r w:rsidRPr="00720E0F">
        <w:rPr>
          <w:sz w:val="24"/>
          <w:szCs w:val="24"/>
        </w:rPr>
        <w:t xml:space="preserve">Dosisjustering er ikke påkrævet hos patienter med nedsat leverfunktion, se pkt. 5.2. </w:t>
      </w:r>
      <w:proofErr w:type="spellStart"/>
      <w:r w:rsidRPr="00720E0F">
        <w:rPr>
          <w:sz w:val="24"/>
          <w:szCs w:val="24"/>
        </w:rPr>
        <w:t>Isofluran</w:t>
      </w:r>
      <w:proofErr w:type="spellEnd"/>
      <w:r w:rsidRPr="00720E0F">
        <w:rPr>
          <w:sz w:val="24"/>
          <w:szCs w:val="24"/>
        </w:rPr>
        <w:t xml:space="preserve"> bør anvendes med forsigtighed hos patienter med cirrose, viral hepatitis eller præeksisterende leversygdom (se pkt. 4.4).</w:t>
      </w:r>
    </w:p>
    <w:p w:rsidR="00B279A9" w:rsidRDefault="00B279A9" w:rsidP="00B279A9">
      <w:pPr>
        <w:ind w:left="851"/>
        <w:rPr>
          <w:sz w:val="24"/>
          <w:szCs w:val="24"/>
        </w:rPr>
      </w:pPr>
    </w:p>
    <w:p w:rsidR="00B279A9" w:rsidRDefault="00B279A9" w:rsidP="00B279A9">
      <w:pPr>
        <w:ind w:left="851"/>
        <w:rPr>
          <w:sz w:val="24"/>
          <w:szCs w:val="24"/>
        </w:rPr>
      </w:pPr>
    </w:p>
    <w:p w:rsidR="00B279A9" w:rsidRPr="00720E0F" w:rsidRDefault="00B279A9" w:rsidP="00B279A9">
      <w:pPr>
        <w:ind w:left="851"/>
        <w:rPr>
          <w:sz w:val="24"/>
          <w:szCs w:val="24"/>
        </w:rPr>
      </w:pPr>
    </w:p>
    <w:p w:rsidR="00B279A9" w:rsidRPr="00720E0F" w:rsidRDefault="00B279A9" w:rsidP="00B279A9">
      <w:pPr>
        <w:ind w:left="851"/>
        <w:rPr>
          <w:sz w:val="24"/>
          <w:szCs w:val="24"/>
        </w:rPr>
      </w:pPr>
      <w:r w:rsidRPr="00720E0F">
        <w:rPr>
          <w:i/>
          <w:sz w:val="24"/>
          <w:szCs w:val="24"/>
        </w:rPr>
        <w:lastRenderedPageBreak/>
        <w:t>Pædiatrisk population</w:t>
      </w:r>
    </w:p>
    <w:p w:rsidR="00B279A9" w:rsidRPr="00720E0F" w:rsidRDefault="00B279A9" w:rsidP="00B279A9">
      <w:pPr>
        <w:ind w:left="851"/>
        <w:rPr>
          <w:sz w:val="24"/>
          <w:szCs w:val="24"/>
        </w:rPr>
      </w:pPr>
      <w:proofErr w:type="spellStart"/>
      <w:r>
        <w:rPr>
          <w:sz w:val="24"/>
          <w:szCs w:val="24"/>
        </w:rPr>
        <w:t>Sedaconda</w:t>
      </w:r>
      <w:proofErr w:type="spellEnd"/>
      <w:r>
        <w:rPr>
          <w:sz w:val="24"/>
          <w:szCs w:val="24"/>
        </w:rPr>
        <w:t xml:space="preserve"> bør ikke anvendes til spædbørn og børn under 3 år, da sikkerheden og virkningen hos denne population ikke er klarlagt.</w:t>
      </w:r>
      <w:r w:rsidRPr="00720E0F">
        <w:rPr>
          <w:sz w:val="24"/>
          <w:szCs w:val="24"/>
        </w:rPr>
        <w:t xml:space="preserve"> De foreliggende data er beskrevet i pkt. 5.1, men der kan ikke gives nogen anbefalinger vedrørende dosering.</w:t>
      </w:r>
    </w:p>
    <w:p w:rsidR="00B279A9" w:rsidRPr="00720E0F" w:rsidRDefault="00B279A9" w:rsidP="00B279A9">
      <w:pPr>
        <w:ind w:left="851"/>
        <w:rPr>
          <w:sz w:val="24"/>
          <w:szCs w:val="24"/>
        </w:rPr>
      </w:pPr>
    </w:p>
    <w:p w:rsidR="00B279A9" w:rsidRPr="00720E0F" w:rsidRDefault="00B279A9" w:rsidP="00B279A9">
      <w:pPr>
        <w:keepNext/>
        <w:ind w:left="851"/>
        <w:rPr>
          <w:sz w:val="24"/>
          <w:szCs w:val="24"/>
          <w:u w:val="single"/>
        </w:rPr>
      </w:pPr>
      <w:r w:rsidRPr="00720E0F">
        <w:rPr>
          <w:sz w:val="24"/>
          <w:szCs w:val="24"/>
          <w:u w:val="single"/>
        </w:rPr>
        <w:t>Administration</w:t>
      </w:r>
    </w:p>
    <w:p w:rsidR="00B279A9" w:rsidRDefault="00B279A9" w:rsidP="00B279A9">
      <w:pPr>
        <w:keepNext/>
        <w:ind w:left="851"/>
        <w:rPr>
          <w:sz w:val="24"/>
          <w:szCs w:val="24"/>
        </w:rPr>
      </w:pPr>
    </w:p>
    <w:p w:rsidR="00B279A9" w:rsidRPr="004D6B18" w:rsidRDefault="00B279A9" w:rsidP="00B279A9">
      <w:pPr>
        <w:keepNext/>
        <w:ind w:left="851"/>
        <w:rPr>
          <w:i/>
          <w:iCs/>
          <w:sz w:val="24"/>
          <w:szCs w:val="24"/>
        </w:rPr>
      </w:pPr>
      <w:r w:rsidRPr="004D6B18">
        <w:rPr>
          <w:i/>
          <w:iCs/>
          <w:sz w:val="24"/>
          <w:szCs w:val="24"/>
        </w:rPr>
        <w:t>Generel</w:t>
      </w:r>
      <w:r>
        <w:rPr>
          <w:i/>
          <w:iCs/>
          <w:sz w:val="24"/>
          <w:szCs w:val="24"/>
        </w:rPr>
        <w:t>t</w:t>
      </w:r>
      <w:r w:rsidRPr="004D6B18">
        <w:rPr>
          <w:i/>
          <w:iCs/>
          <w:sz w:val="24"/>
          <w:szCs w:val="24"/>
        </w:rPr>
        <w:t>:</w:t>
      </w:r>
    </w:p>
    <w:p w:rsidR="00B279A9" w:rsidRPr="00720E0F" w:rsidRDefault="00B279A9" w:rsidP="00B279A9">
      <w:pPr>
        <w:ind w:left="851"/>
        <w:rPr>
          <w:sz w:val="24"/>
          <w:szCs w:val="24"/>
        </w:rPr>
      </w:pPr>
      <w:proofErr w:type="spellStart"/>
      <w:r w:rsidRPr="00720E0F">
        <w:rPr>
          <w:sz w:val="24"/>
          <w:szCs w:val="24"/>
        </w:rPr>
        <w:t>Sedaconda</w:t>
      </w:r>
      <w:proofErr w:type="spellEnd"/>
      <w:r w:rsidRPr="00720E0F">
        <w:rPr>
          <w:sz w:val="24"/>
          <w:szCs w:val="24"/>
        </w:rPr>
        <w:t xml:space="preserve"> er til inhalation.</w:t>
      </w:r>
    </w:p>
    <w:p w:rsidR="00B279A9" w:rsidRPr="00720E0F" w:rsidRDefault="00B279A9" w:rsidP="00B279A9">
      <w:pPr>
        <w:ind w:left="851"/>
        <w:rPr>
          <w:sz w:val="24"/>
          <w:szCs w:val="24"/>
        </w:rPr>
      </w:pPr>
    </w:p>
    <w:p w:rsidR="00B279A9" w:rsidRPr="00720E0F" w:rsidRDefault="00B279A9" w:rsidP="00B279A9">
      <w:pPr>
        <w:ind w:left="851"/>
        <w:rPr>
          <w:sz w:val="24"/>
          <w:szCs w:val="24"/>
        </w:rPr>
      </w:pPr>
      <w:proofErr w:type="spellStart"/>
      <w:r w:rsidRPr="00720E0F">
        <w:rPr>
          <w:sz w:val="24"/>
          <w:szCs w:val="24"/>
        </w:rPr>
        <w:t>Sedaconda</w:t>
      </w:r>
      <w:proofErr w:type="spellEnd"/>
      <w:r w:rsidRPr="00720E0F">
        <w:rPr>
          <w:sz w:val="24"/>
          <w:szCs w:val="24"/>
        </w:rPr>
        <w:t xml:space="preserve"> bør kun administreres via </w:t>
      </w:r>
      <w:proofErr w:type="spellStart"/>
      <w:r w:rsidRPr="00720E0F">
        <w:rPr>
          <w:sz w:val="24"/>
          <w:szCs w:val="24"/>
        </w:rPr>
        <w:t>Sedaconda</w:t>
      </w:r>
      <w:proofErr w:type="spellEnd"/>
      <w:r w:rsidRPr="00720E0F">
        <w:rPr>
          <w:sz w:val="24"/>
          <w:szCs w:val="24"/>
        </w:rPr>
        <w:t xml:space="preserve"> ACD og leveres fra </w:t>
      </w:r>
      <w:proofErr w:type="spellStart"/>
      <w:r w:rsidRPr="00720E0F">
        <w:rPr>
          <w:sz w:val="24"/>
          <w:szCs w:val="24"/>
        </w:rPr>
        <w:t>Sedaconda</w:t>
      </w:r>
      <w:proofErr w:type="spellEnd"/>
      <w:r w:rsidRPr="00720E0F">
        <w:rPr>
          <w:sz w:val="24"/>
          <w:szCs w:val="24"/>
        </w:rPr>
        <w:t xml:space="preserve">-sprøjten, der er påfyldt ved brug af </w:t>
      </w:r>
      <w:proofErr w:type="spellStart"/>
      <w:r w:rsidRPr="00720E0F">
        <w:rPr>
          <w:sz w:val="24"/>
          <w:szCs w:val="24"/>
        </w:rPr>
        <w:t>Sedaconda</w:t>
      </w:r>
      <w:proofErr w:type="spellEnd"/>
      <w:r w:rsidRPr="00720E0F">
        <w:rPr>
          <w:sz w:val="24"/>
          <w:szCs w:val="24"/>
        </w:rPr>
        <w:t xml:space="preserve"> påfyldningsadapteren. </w:t>
      </w:r>
      <w:proofErr w:type="spellStart"/>
      <w:r w:rsidRPr="00720E0F">
        <w:rPr>
          <w:sz w:val="24"/>
          <w:szCs w:val="24"/>
        </w:rPr>
        <w:t>Sedaconda</w:t>
      </w:r>
      <w:proofErr w:type="spellEnd"/>
      <w:r w:rsidRPr="00720E0F">
        <w:rPr>
          <w:sz w:val="24"/>
          <w:szCs w:val="24"/>
        </w:rPr>
        <w:t xml:space="preserve"> er en modificeret passiv varme- og fugtveksler (</w:t>
      </w:r>
      <w:r w:rsidRPr="00720E0F">
        <w:rPr>
          <w:i/>
          <w:iCs/>
          <w:sz w:val="24"/>
          <w:szCs w:val="24"/>
        </w:rPr>
        <w:t xml:space="preserve">Heat and </w:t>
      </w:r>
      <w:proofErr w:type="spellStart"/>
      <w:r w:rsidRPr="00720E0F">
        <w:rPr>
          <w:i/>
          <w:iCs/>
          <w:sz w:val="24"/>
          <w:szCs w:val="24"/>
        </w:rPr>
        <w:t>Moisture</w:t>
      </w:r>
      <w:proofErr w:type="spellEnd"/>
      <w:r w:rsidRPr="00720E0F">
        <w:rPr>
          <w:i/>
          <w:iCs/>
          <w:sz w:val="24"/>
          <w:szCs w:val="24"/>
        </w:rPr>
        <w:t xml:space="preserve"> </w:t>
      </w:r>
      <w:proofErr w:type="spellStart"/>
      <w:r w:rsidRPr="00720E0F">
        <w:rPr>
          <w:i/>
          <w:iCs/>
          <w:sz w:val="24"/>
          <w:szCs w:val="24"/>
        </w:rPr>
        <w:t>Exchanger</w:t>
      </w:r>
      <w:proofErr w:type="spellEnd"/>
      <w:r w:rsidRPr="00720E0F">
        <w:rPr>
          <w:i/>
          <w:iCs/>
          <w:sz w:val="24"/>
          <w:szCs w:val="24"/>
        </w:rPr>
        <w:t xml:space="preserve">, </w:t>
      </w:r>
      <w:r w:rsidRPr="00720E0F">
        <w:rPr>
          <w:sz w:val="24"/>
          <w:szCs w:val="24"/>
        </w:rPr>
        <w:t xml:space="preserve">HME) og tilføjer således </w:t>
      </w:r>
      <w:proofErr w:type="spellStart"/>
      <w:r w:rsidRPr="00720E0F">
        <w:rPr>
          <w:i/>
          <w:sz w:val="24"/>
          <w:szCs w:val="24"/>
        </w:rPr>
        <w:t>dead</w:t>
      </w:r>
      <w:proofErr w:type="spellEnd"/>
      <w:r w:rsidRPr="00720E0F">
        <w:rPr>
          <w:i/>
          <w:sz w:val="24"/>
          <w:szCs w:val="24"/>
        </w:rPr>
        <w:t xml:space="preserve"> </w:t>
      </w:r>
      <w:proofErr w:type="spellStart"/>
      <w:r w:rsidRPr="00720E0F">
        <w:rPr>
          <w:i/>
          <w:sz w:val="24"/>
          <w:szCs w:val="24"/>
        </w:rPr>
        <w:t>space</w:t>
      </w:r>
      <w:proofErr w:type="spellEnd"/>
      <w:r w:rsidRPr="00720E0F">
        <w:rPr>
          <w:sz w:val="24"/>
          <w:szCs w:val="24"/>
        </w:rPr>
        <w:t xml:space="preserve"> til vejrtrækningskredsløbet. Patientens ventilationsstatus bør tages i betragtning, når størrelsen af </w:t>
      </w:r>
      <w:proofErr w:type="spellStart"/>
      <w:r w:rsidRPr="00720E0F">
        <w:rPr>
          <w:sz w:val="24"/>
          <w:szCs w:val="24"/>
        </w:rPr>
        <w:t>Sedaconda</w:t>
      </w:r>
      <w:proofErr w:type="spellEnd"/>
      <w:r w:rsidRPr="00720E0F">
        <w:rPr>
          <w:sz w:val="24"/>
          <w:szCs w:val="24"/>
        </w:rPr>
        <w:t xml:space="preserve"> ACD vælges, se Brugervejledningen, der udleveres sammen med </w:t>
      </w:r>
      <w:proofErr w:type="spellStart"/>
      <w:r w:rsidRPr="00720E0F">
        <w:rPr>
          <w:sz w:val="24"/>
          <w:szCs w:val="24"/>
        </w:rPr>
        <w:t>Sedaconda</w:t>
      </w:r>
      <w:proofErr w:type="spellEnd"/>
      <w:r w:rsidRPr="00720E0F">
        <w:rPr>
          <w:sz w:val="24"/>
          <w:szCs w:val="24"/>
        </w:rPr>
        <w:t xml:space="preserve"> ACD.</w:t>
      </w:r>
    </w:p>
    <w:p w:rsidR="00B279A9" w:rsidRPr="00720E0F" w:rsidRDefault="00B279A9" w:rsidP="00B279A9">
      <w:pPr>
        <w:ind w:left="851"/>
        <w:rPr>
          <w:sz w:val="24"/>
          <w:szCs w:val="24"/>
        </w:rPr>
      </w:pPr>
    </w:p>
    <w:p w:rsidR="00B279A9" w:rsidRDefault="00B279A9" w:rsidP="00B279A9">
      <w:pPr>
        <w:ind w:left="851"/>
        <w:rPr>
          <w:sz w:val="24"/>
          <w:szCs w:val="24"/>
        </w:rPr>
      </w:pPr>
      <w:proofErr w:type="spellStart"/>
      <w:r w:rsidRPr="00720E0F">
        <w:rPr>
          <w:sz w:val="24"/>
          <w:szCs w:val="24"/>
        </w:rPr>
        <w:t>Sedaconda</w:t>
      </w:r>
      <w:proofErr w:type="spellEnd"/>
      <w:r w:rsidRPr="00720E0F">
        <w:rPr>
          <w:sz w:val="24"/>
          <w:szCs w:val="24"/>
        </w:rPr>
        <w:t xml:space="preserve"> bør have stuetemperatur, når det anvendes. Se pkt. 6.6 for yderligere oplysninger om anvendelse af </w:t>
      </w:r>
      <w:proofErr w:type="spellStart"/>
      <w:r w:rsidRPr="00720E0F">
        <w:rPr>
          <w:sz w:val="24"/>
          <w:szCs w:val="24"/>
        </w:rPr>
        <w:t>Sedaconda</w:t>
      </w:r>
      <w:proofErr w:type="spellEnd"/>
      <w:r w:rsidRPr="00720E0F">
        <w:rPr>
          <w:sz w:val="24"/>
          <w:szCs w:val="24"/>
        </w:rPr>
        <w:t xml:space="preserve"> påfyldningsadapteren.</w:t>
      </w:r>
    </w:p>
    <w:p w:rsidR="00B279A9" w:rsidRDefault="00B279A9" w:rsidP="00B279A9">
      <w:pPr>
        <w:ind w:left="851"/>
        <w:rPr>
          <w:sz w:val="24"/>
          <w:szCs w:val="24"/>
        </w:rPr>
      </w:pPr>
    </w:p>
    <w:p w:rsidR="00B279A9" w:rsidRDefault="00B279A9" w:rsidP="00B279A9">
      <w:pPr>
        <w:ind w:left="851"/>
        <w:rPr>
          <w:i/>
          <w:iCs/>
          <w:sz w:val="24"/>
          <w:szCs w:val="24"/>
        </w:rPr>
      </w:pPr>
      <w:r>
        <w:rPr>
          <w:i/>
          <w:iCs/>
          <w:sz w:val="24"/>
          <w:szCs w:val="24"/>
        </w:rPr>
        <w:t xml:space="preserve">Pædiatriske </w:t>
      </w:r>
      <w:r w:rsidRPr="00FE505C">
        <w:rPr>
          <w:i/>
          <w:iCs/>
          <w:sz w:val="24"/>
          <w:szCs w:val="24"/>
        </w:rPr>
        <w:t>patienter i alderen 3</w:t>
      </w:r>
      <w:r w:rsidRPr="004D6B18">
        <w:rPr>
          <w:i/>
          <w:iCs/>
          <w:sz w:val="24"/>
          <w:szCs w:val="24"/>
        </w:rPr>
        <w:noBreakHyphen/>
        <w:t>17 år</w:t>
      </w:r>
      <w:r>
        <w:rPr>
          <w:i/>
          <w:iCs/>
          <w:sz w:val="24"/>
          <w:szCs w:val="24"/>
        </w:rPr>
        <w:t>:</w:t>
      </w:r>
    </w:p>
    <w:p w:rsidR="00B279A9" w:rsidRPr="00F030F1" w:rsidRDefault="00B279A9" w:rsidP="00B279A9">
      <w:pPr>
        <w:ind w:left="851"/>
        <w:rPr>
          <w:sz w:val="24"/>
          <w:szCs w:val="24"/>
        </w:rPr>
      </w:pPr>
      <w:r>
        <w:rPr>
          <w:sz w:val="24"/>
          <w:szCs w:val="24"/>
        </w:rPr>
        <w:t xml:space="preserve">For patienter med </w:t>
      </w:r>
      <w:proofErr w:type="spellStart"/>
      <w:r>
        <w:rPr>
          <w:sz w:val="24"/>
          <w:szCs w:val="24"/>
        </w:rPr>
        <w:t>tidal</w:t>
      </w:r>
      <w:proofErr w:type="spellEnd"/>
      <w:r>
        <w:rPr>
          <w:sz w:val="24"/>
          <w:szCs w:val="24"/>
        </w:rPr>
        <w:t xml:space="preserve">-voluminer på &gt; 200 ml kan standardplaceringen af </w:t>
      </w:r>
      <w:proofErr w:type="spellStart"/>
      <w:r>
        <w:rPr>
          <w:sz w:val="24"/>
          <w:szCs w:val="24"/>
        </w:rPr>
        <w:t>Sedaconda</w:t>
      </w:r>
      <w:proofErr w:type="spellEnd"/>
      <w:r>
        <w:rPr>
          <w:sz w:val="24"/>
          <w:szCs w:val="24"/>
        </w:rPr>
        <w:t xml:space="preserve"> ACD</w:t>
      </w:r>
      <w:r w:rsidRPr="00720E0F">
        <w:rPr>
          <w:sz w:val="24"/>
          <w:szCs w:val="24"/>
        </w:rPr>
        <w:noBreakHyphen/>
      </w:r>
      <w:r>
        <w:rPr>
          <w:sz w:val="24"/>
          <w:szCs w:val="24"/>
        </w:rPr>
        <w:t>S på Y</w:t>
      </w:r>
      <w:r w:rsidRPr="00720E0F">
        <w:rPr>
          <w:sz w:val="24"/>
          <w:szCs w:val="24"/>
        </w:rPr>
        <w:noBreakHyphen/>
      </w:r>
      <w:r>
        <w:rPr>
          <w:sz w:val="24"/>
          <w:szCs w:val="24"/>
        </w:rPr>
        <w:t xml:space="preserve">stykket på vejrtrækningskredsløbet normalt anvendes. For patienter med </w:t>
      </w:r>
      <w:proofErr w:type="spellStart"/>
      <w:r>
        <w:rPr>
          <w:sz w:val="24"/>
          <w:szCs w:val="24"/>
        </w:rPr>
        <w:t>tidal</w:t>
      </w:r>
      <w:proofErr w:type="spellEnd"/>
      <w:r>
        <w:rPr>
          <w:sz w:val="24"/>
          <w:szCs w:val="24"/>
        </w:rPr>
        <w:t>-voluminer på 30</w:t>
      </w:r>
      <w:r w:rsidRPr="00720E0F">
        <w:rPr>
          <w:sz w:val="24"/>
          <w:szCs w:val="24"/>
        </w:rPr>
        <w:noBreakHyphen/>
      </w:r>
      <w:r>
        <w:rPr>
          <w:sz w:val="24"/>
          <w:szCs w:val="24"/>
        </w:rPr>
        <w:t xml:space="preserve">200 ml, som ikke tåler det yderligere </w:t>
      </w:r>
      <w:proofErr w:type="spellStart"/>
      <w:r>
        <w:rPr>
          <w:i/>
          <w:iCs/>
          <w:sz w:val="24"/>
          <w:szCs w:val="24"/>
        </w:rPr>
        <w:t>dead</w:t>
      </w:r>
      <w:proofErr w:type="spellEnd"/>
      <w:r>
        <w:rPr>
          <w:i/>
          <w:iCs/>
          <w:sz w:val="24"/>
          <w:szCs w:val="24"/>
        </w:rPr>
        <w:t xml:space="preserve"> </w:t>
      </w:r>
      <w:proofErr w:type="spellStart"/>
      <w:r>
        <w:rPr>
          <w:i/>
          <w:iCs/>
          <w:sz w:val="24"/>
          <w:szCs w:val="24"/>
        </w:rPr>
        <w:t>space</w:t>
      </w:r>
      <w:proofErr w:type="spellEnd"/>
      <w:r>
        <w:rPr>
          <w:sz w:val="24"/>
          <w:szCs w:val="24"/>
        </w:rPr>
        <w:t xml:space="preserve"> af </w:t>
      </w:r>
      <w:proofErr w:type="spellStart"/>
      <w:r>
        <w:rPr>
          <w:sz w:val="24"/>
          <w:szCs w:val="24"/>
        </w:rPr>
        <w:t>Sedaconda</w:t>
      </w:r>
      <w:proofErr w:type="spellEnd"/>
      <w:r>
        <w:rPr>
          <w:sz w:val="24"/>
          <w:szCs w:val="24"/>
        </w:rPr>
        <w:t xml:space="preserve"> ADS</w:t>
      </w:r>
      <w:r w:rsidRPr="00720E0F">
        <w:rPr>
          <w:sz w:val="24"/>
          <w:szCs w:val="24"/>
        </w:rPr>
        <w:noBreakHyphen/>
      </w:r>
      <w:r>
        <w:rPr>
          <w:sz w:val="24"/>
          <w:szCs w:val="24"/>
        </w:rPr>
        <w:t xml:space="preserve">S, eller som har brug for aktiv befugtning, bør </w:t>
      </w:r>
      <w:proofErr w:type="spellStart"/>
      <w:r>
        <w:rPr>
          <w:sz w:val="24"/>
          <w:szCs w:val="24"/>
        </w:rPr>
        <w:t>Sedaconda</w:t>
      </w:r>
      <w:proofErr w:type="spellEnd"/>
      <w:r>
        <w:rPr>
          <w:sz w:val="24"/>
          <w:szCs w:val="24"/>
        </w:rPr>
        <w:t xml:space="preserve"> ACD fastgøres på den alternative placering på den inspiratoriske side af respiratoren. Se Brugervejledningen for </w:t>
      </w:r>
      <w:proofErr w:type="spellStart"/>
      <w:r>
        <w:rPr>
          <w:sz w:val="24"/>
          <w:szCs w:val="24"/>
        </w:rPr>
        <w:t>Sedaconda</w:t>
      </w:r>
      <w:proofErr w:type="spellEnd"/>
      <w:r>
        <w:rPr>
          <w:sz w:val="24"/>
          <w:szCs w:val="24"/>
        </w:rPr>
        <w:t xml:space="preserve"> ACD for yderligere oplysninger om placering på den inspiratoriske side. Placeringen på den inspiratoriske side benytter, i modsætning til standardplaceringen, kun </w:t>
      </w:r>
      <w:proofErr w:type="spellStart"/>
      <w:r>
        <w:rPr>
          <w:sz w:val="24"/>
          <w:szCs w:val="24"/>
        </w:rPr>
        <w:t>Sedaconda</w:t>
      </w:r>
      <w:proofErr w:type="spellEnd"/>
      <w:r>
        <w:rPr>
          <w:sz w:val="24"/>
          <w:szCs w:val="24"/>
        </w:rPr>
        <w:t xml:space="preserve"> ACD evaporator-funktionen. Ved denne placering er der ingen refleksion af </w:t>
      </w:r>
      <w:proofErr w:type="spellStart"/>
      <w:r>
        <w:rPr>
          <w:sz w:val="24"/>
          <w:szCs w:val="24"/>
        </w:rPr>
        <w:t>isofluran</w:t>
      </w:r>
      <w:proofErr w:type="spellEnd"/>
      <w:r>
        <w:rPr>
          <w:sz w:val="24"/>
          <w:szCs w:val="24"/>
        </w:rPr>
        <w:t xml:space="preserve">, varme eller fugt, og derfor er aktiv befugtning med tilslutning mellem </w:t>
      </w:r>
      <w:proofErr w:type="spellStart"/>
      <w:r>
        <w:rPr>
          <w:sz w:val="24"/>
          <w:szCs w:val="24"/>
        </w:rPr>
        <w:t>Sedaconda</w:t>
      </w:r>
      <w:proofErr w:type="spellEnd"/>
      <w:r>
        <w:rPr>
          <w:sz w:val="24"/>
          <w:szCs w:val="24"/>
        </w:rPr>
        <w:t xml:space="preserve"> ACD og </w:t>
      </w:r>
      <w:proofErr w:type="spellStart"/>
      <w:r>
        <w:rPr>
          <w:sz w:val="24"/>
          <w:szCs w:val="24"/>
        </w:rPr>
        <w:t>endotrakeal</w:t>
      </w:r>
      <w:proofErr w:type="spellEnd"/>
      <w:r>
        <w:rPr>
          <w:sz w:val="24"/>
          <w:szCs w:val="24"/>
        </w:rPr>
        <w:t xml:space="preserve"> tube påkrævet.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16443" w:rsidRPr="00016443" w:rsidRDefault="00016443" w:rsidP="00016443">
      <w:pPr>
        <w:ind w:left="851"/>
        <w:rPr>
          <w:sz w:val="24"/>
          <w:szCs w:val="24"/>
        </w:rPr>
      </w:pPr>
      <w:proofErr w:type="spellStart"/>
      <w:r w:rsidRPr="00016443">
        <w:rPr>
          <w:sz w:val="24"/>
          <w:szCs w:val="24"/>
        </w:rPr>
        <w:t>Sedaconda</w:t>
      </w:r>
      <w:proofErr w:type="spellEnd"/>
      <w:r w:rsidRPr="00016443">
        <w:rPr>
          <w:sz w:val="24"/>
          <w:szCs w:val="24"/>
        </w:rPr>
        <w:t xml:space="preserve"> er kontraindiceret til patienter med overfølsomhed over for </w:t>
      </w:r>
      <w:proofErr w:type="spellStart"/>
      <w:r w:rsidRPr="00016443">
        <w:rPr>
          <w:sz w:val="24"/>
          <w:szCs w:val="24"/>
        </w:rPr>
        <w:t>isofluran</w:t>
      </w:r>
      <w:proofErr w:type="spellEnd"/>
      <w:r w:rsidRPr="00016443">
        <w:rPr>
          <w:sz w:val="24"/>
          <w:szCs w:val="24"/>
        </w:rPr>
        <w:t xml:space="preserve"> eller andre </w:t>
      </w:r>
      <w:proofErr w:type="spellStart"/>
      <w:r w:rsidRPr="00016443">
        <w:rPr>
          <w:sz w:val="24"/>
          <w:szCs w:val="24"/>
        </w:rPr>
        <w:t>halogenerede</w:t>
      </w:r>
      <w:proofErr w:type="spellEnd"/>
      <w:r w:rsidRPr="00016443">
        <w:rPr>
          <w:sz w:val="24"/>
          <w:szCs w:val="24"/>
        </w:rPr>
        <w:t xml:space="preserve">, flygtige </w:t>
      </w:r>
      <w:proofErr w:type="spellStart"/>
      <w:r w:rsidRPr="00016443">
        <w:rPr>
          <w:sz w:val="24"/>
          <w:szCs w:val="24"/>
        </w:rPr>
        <w:t>anæstetika</w:t>
      </w:r>
      <w:proofErr w:type="spellEnd"/>
      <w:r w:rsidRPr="00016443">
        <w:rPr>
          <w:sz w:val="24"/>
          <w:szCs w:val="24"/>
        </w:rPr>
        <w:t>.</w:t>
      </w:r>
    </w:p>
    <w:p w:rsidR="00016443" w:rsidRPr="00016443" w:rsidRDefault="00016443" w:rsidP="00016443">
      <w:pPr>
        <w:ind w:left="851"/>
        <w:rPr>
          <w:sz w:val="24"/>
          <w:szCs w:val="24"/>
        </w:rPr>
      </w:pPr>
    </w:p>
    <w:p w:rsidR="009260DE" w:rsidRPr="00C84483" w:rsidRDefault="00016443" w:rsidP="00016443">
      <w:pPr>
        <w:ind w:left="851"/>
        <w:rPr>
          <w:sz w:val="24"/>
          <w:szCs w:val="24"/>
        </w:rPr>
      </w:pPr>
      <w:r w:rsidRPr="00016443">
        <w:rPr>
          <w:sz w:val="24"/>
          <w:szCs w:val="24"/>
        </w:rPr>
        <w:t>Det er også kontraindiceret til patienter med kendt eller formodet</w:t>
      </w:r>
      <w:r w:rsidR="00F07F0C">
        <w:rPr>
          <w:sz w:val="24"/>
          <w:szCs w:val="24"/>
        </w:rPr>
        <w:t xml:space="preserve"> </w:t>
      </w:r>
      <w:r w:rsidRPr="00016443">
        <w:rPr>
          <w:sz w:val="24"/>
          <w:szCs w:val="24"/>
        </w:rPr>
        <w:t xml:space="preserve">genetisk følsomhed for malign </w:t>
      </w:r>
      <w:proofErr w:type="spellStart"/>
      <w:r w:rsidRPr="00016443">
        <w:rPr>
          <w:sz w:val="24"/>
          <w:szCs w:val="24"/>
        </w:rPr>
        <w:t>hypertermi</w:t>
      </w:r>
      <w:proofErr w:type="spellEnd"/>
      <w:r w:rsidRPr="0001644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279A9" w:rsidRPr="00B40DAA" w:rsidRDefault="00B279A9" w:rsidP="00B279A9">
      <w:pPr>
        <w:suppressAutoHyphens/>
        <w:ind w:left="851"/>
        <w:rPr>
          <w:sz w:val="24"/>
          <w:szCs w:val="24"/>
        </w:rPr>
      </w:pPr>
      <w:r w:rsidRPr="00016443">
        <w:rPr>
          <w:sz w:val="24"/>
          <w:szCs w:val="24"/>
        </w:rPr>
        <w:t xml:space="preserve">Der kan forekomme hypotension og respirationsdepression, når dosis af </w:t>
      </w:r>
      <w:proofErr w:type="spellStart"/>
      <w:r w:rsidRPr="00016443">
        <w:rPr>
          <w:sz w:val="24"/>
          <w:szCs w:val="24"/>
        </w:rPr>
        <w:t>isofluran</w:t>
      </w:r>
      <w:proofErr w:type="spellEnd"/>
      <w:r w:rsidRPr="00016443">
        <w:rPr>
          <w:sz w:val="24"/>
          <w:szCs w:val="24"/>
        </w:rPr>
        <w:t xml:space="preserve"> øges og sedationen gøres dybere.</w:t>
      </w:r>
      <w:r>
        <w:rPr>
          <w:sz w:val="24"/>
          <w:szCs w:val="24"/>
        </w:rPr>
        <w:t xml:space="preserve"> Omvendt kan der forekomme let til moderat hypertension, når dosis reduceres eller behandlingen med </w:t>
      </w:r>
      <w:proofErr w:type="spellStart"/>
      <w:r>
        <w:rPr>
          <w:sz w:val="24"/>
          <w:szCs w:val="24"/>
        </w:rPr>
        <w:t>isofluran</w:t>
      </w:r>
      <w:proofErr w:type="spellEnd"/>
      <w:r>
        <w:rPr>
          <w:sz w:val="24"/>
          <w:szCs w:val="24"/>
        </w:rPr>
        <w:t xml:space="preserve"> afsluttes, især ved samtidig brug af </w:t>
      </w:r>
      <w:proofErr w:type="spellStart"/>
      <w:r>
        <w:rPr>
          <w:sz w:val="24"/>
          <w:szCs w:val="24"/>
        </w:rPr>
        <w:t>vasoaktive</w:t>
      </w:r>
      <w:proofErr w:type="spellEnd"/>
      <w:r>
        <w:rPr>
          <w:sz w:val="24"/>
          <w:szCs w:val="24"/>
        </w:rPr>
        <w:t xml:space="preserve"> lægemidler. Hos patienter, der skifter fra intravenøs sedation til sedation med </w:t>
      </w:r>
      <w:proofErr w:type="spellStart"/>
      <w:r>
        <w:rPr>
          <w:sz w:val="24"/>
          <w:szCs w:val="24"/>
        </w:rPr>
        <w:t>isofluran</w:t>
      </w:r>
      <w:proofErr w:type="spellEnd"/>
      <w:r>
        <w:rPr>
          <w:sz w:val="24"/>
          <w:szCs w:val="24"/>
        </w:rPr>
        <w:t xml:space="preserve">, kan der forekomme forbigående hypotension umiddelbart efter opstart af </w:t>
      </w:r>
      <w:proofErr w:type="spellStart"/>
      <w:r>
        <w:rPr>
          <w:sz w:val="24"/>
          <w:szCs w:val="24"/>
        </w:rPr>
        <w:t>isofluran</w:t>
      </w:r>
      <w:proofErr w:type="spellEnd"/>
      <w:r>
        <w:rPr>
          <w:sz w:val="24"/>
          <w:szCs w:val="24"/>
        </w:rPr>
        <w:t>-administrationen, og det kan være forbundet med slut-</w:t>
      </w:r>
      <w:proofErr w:type="spellStart"/>
      <w:r>
        <w:rPr>
          <w:sz w:val="24"/>
          <w:szCs w:val="24"/>
        </w:rPr>
        <w:t>tidal</w:t>
      </w:r>
      <w:proofErr w:type="spellEnd"/>
      <w:r>
        <w:rPr>
          <w:sz w:val="24"/>
          <w:szCs w:val="24"/>
        </w:rPr>
        <w:t xml:space="preserve">-koncentrationerne af </w:t>
      </w:r>
      <w:proofErr w:type="spellStart"/>
      <w:r>
        <w:rPr>
          <w:sz w:val="24"/>
          <w:szCs w:val="24"/>
        </w:rPr>
        <w:t>isofluran</w:t>
      </w:r>
      <w:proofErr w:type="spellEnd"/>
      <w:r>
        <w:rPr>
          <w:sz w:val="24"/>
          <w:szCs w:val="24"/>
        </w:rPr>
        <w:t>, se pkt. 4.8.</w:t>
      </w:r>
    </w:p>
    <w:p w:rsidR="00016443" w:rsidRPr="00016443" w:rsidRDefault="00016443" w:rsidP="00016443">
      <w:pPr>
        <w:suppressAutoHyphens/>
        <w:ind w:left="851"/>
        <w:rPr>
          <w:sz w:val="24"/>
          <w:szCs w:val="24"/>
        </w:rPr>
      </w:pPr>
    </w:p>
    <w:p w:rsidR="00875CEF" w:rsidRDefault="00016443" w:rsidP="00875CEF">
      <w:pPr>
        <w:suppressAutoHyphens/>
        <w:ind w:left="851"/>
        <w:rPr>
          <w:sz w:val="24"/>
          <w:szCs w:val="24"/>
        </w:rPr>
      </w:pPr>
      <w:r w:rsidRPr="00016443">
        <w:rPr>
          <w:sz w:val="24"/>
          <w:szCs w:val="24"/>
        </w:rPr>
        <w:t xml:space="preserve">Anvendelse af </w:t>
      </w:r>
      <w:proofErr w:type="spellStart"/>
      <w:r w:rsidRPr="00016443">
        <w:rPr>
          <w:sz w:val="24"/>
          <w:szCs w:val="24"/>
        </w:rPr>
        <w:t>isofluran</w:t>
      </w:r>
      <w:proofErr w:type="spellEnd"/>
      <w:r w:rsidRPr="00016443">
        <w:rPr>
          <w:sz w:val="24"/>
          <w:szCs w:val="24"/>
        </w:rPr>
        <w:t xml:space="preserve"> til </w:t>
      </w:r>
      <w:proofErr w:type="spellStart"/>
      <w:r w:rsidRPr="00016443">
        <w:rPr>
          <w:sz w:val="24"/>
          <w:szCs w:val="24"/>
        </w:rPr>
        <w:t>hypovolæmiske</w:t>
      </w:r>
      <w:proofErr w:type="spellEnd"/>
      <w:r w:rsidRPr="00016443">
        <w:rPr>
          <w:sz w:val="24"/>
          <w:szCs w:val="24"/>
        </w:rPr>
        <w:t xml:space="preserve">, </w:t>
      </w:r>
      <w:proofErr w:type="spellStart"/>
      <w:r w:rsidRPr="00016443">
        <w:rPr>
          <w:sz w:val="24"/>
          <w:szCs w:val="24"/>
        </w:rPr>
        <w:t>hypotensive</w:t>
      </w:r>
      <w:proofErr w:type="spellEnd"/>
      <w:r w:rsidRPr="00016443">
        <w:rPr>
          <w:sz w:val="24"/>
          <w:szCs w:val="24"/>
        </w:rPr>
        <w:t xml:space="preserve"> og svækkede patienter er ikke blevet tilstrækkeligt undersøgt. Der bør udvises forsigtighed ved administration af </w:t>
      </w:r>
      <w:proofErr w:type="spellStart"/>
      <w:r w:rsidRPr="00016443">
        <w:rPr>
          <w:sz w:val="24"/>
          <w:szCs w:val="24"/>
        </w:rPr>
        <w:t>isofluran</w:t>
      </w:r>
      <w:proofErr w:type="spellEnd"/>
      <w:r w:rsidRPr="00016443">
        <w:rPr>
          <w:sz w:val="24"/>
          <w:szCs w:val="24"/>
        </w:rPr>
        <w:t xml:space="preserve"> til sådanne patienter. Det bør overvejes at anvende en lavere dosis til disse </w:t>
      </w:r>
      <w:r w:rsidRPr="00016443">
        <w:rPr>
          <w:sz w:val="24"/>
          <w:szCs w:val="24"/>
        </w:rPr>
        <w:lastRenderedPageBreak/>
        <w:t>patienter.</w:t>
      </w:r>
      <w:r w:rsidR="00875CEF">
        <w:rPr>
          <w:sz w:val="24"/>
          <w:szCs w:val="24"/>
        </w:rPr>
        <w:t xml:space="preserve"> Der bør udvises ekstrem forsigtighed hos patienter med alvorligt </w:t>
      </w:r>
      <w:proofErr w:type="spellStart"/>
      <w:r w:rsidR="00875CEF">
        <w:rPr>
          <w:sz w:val="24"/>
          <w:szCs w:val="24"/>
        </w:rPr>
        <w:t>shock</w:t>
      </w:r>
      <w:proofErr w:type="spellEnd"/>
      <w:r w:rsidR="00875CEF">
        <w:rPr>
          <w:sz w:val="24"/>
          <w:szCs w:val="24"/>
        </w:rPr>
        <w:t xml:space="preserve">, som ikke reagerer på </w:t>
      </w:r>
      <w:proofErr w:type="spellStart"/>
      <w:r w:rsidR="00875CEF">
        <w:rPr>
          <w:sz w:val="24"/>
          <w:szCs w:val="24"/>
        </w:rPr>
        <w:t>vasopressorer</w:t>
      </w:r>
      <w:proofErr w:type="spellEnd"/>
      <w:r w:rsidR="00875CEF">
        <w:rPr>
          <w:sz w:val="24"/>
          <w:szCs w:val="24"/>
        </w:rPr>
        <w:t>.</w:t>
      </w:r>
    </w:p>
    <w:p w:rsidR="00016443" w:rsidRPr="00016443" w:rsidRDefault="00016443" w:rsidP="00016443">
      <w:pPr>
        <w:suppressAutoHyphens/>
        <w:ind w:left="851"/>
        <w:rPr>
          <w:sz w:val="24"/>
          <w:szCs w:val="24"/>
        </w:rPr>
      </w:pPr>
    </w:p>
    <w:p w:rsidR="00B279A9" w:rsidRDefault="00B279A9" w:rsidP="00B279A9">
      <w:pPr>
        <w:suppressAutoHyphens/>
        <w:ind w:left="851"/>
        <w:rPr>
          <w:sz w:val="24"/>
          <w:szCs w:val="24"/>
        </w:rPr>
      </w:pPr>
      <w:r w:rsidRPr="00016443">
        <w:rPr>
          <w:sz w:val="24"/>
          <w:szCs w:val="24"/>
        </w:rPr>
        <w:t xml:space="preserve">Der er begrænset klinisk erfaring ved kontinuerlig brug af </w:t>
      </w:r>
      <w:proofErr w:type="spellStart"/>
      <w:r w:rsidRPr="00016443">
        <w:rPr>
          <w:sz w:val="24"/>
          <w:szCs w:val="24"/>
        </w:rPr>
        <w:t>isofluran</w:t>
      </w:r>
      <w:proofErr w:type="spellEnd"/>
      <w:r w:rsidRPr="00016443">
        <w:rPr>
          <w:sz w:val="24"/>
          <w:szCs w:val="24"/>
        </w:rPr>
        <w:t xml:space="preserve"> i længere end 48 timer. </w:t>
      </w:r>
      <w:proofErr w:type="spellStart"/>
      <w:r>
        <w:rPr>
          <w:sz w:val="24"/>
          <w:szCs w:val="24"/>
        </w:rPr>
        <w:t>Isofluran</w:t>
      </w:r>
      <w:proofErr w:type="spellEnd"/>
      <w:r>
        <w:rPr>
          <w:sz w:val="24"/>
          <w:szCs w:val="24"/>
        </w:rPr>
        <w:t xml:space="preserve"> bør kun bruges længere end 48 timer, hvis fordelen opvejer den mulige risiko. Der bør tages særlige hensyn til reversible neurologiske symptomer efter længerevarende anvendelse hos små børn, se pkt. 5.1.</w:t>
      </w:r>
    </w:p>
    <w:p w:rsidR="00B279A9" w:rsidRPr="00016443" w:rsidRDefault="00B279A9" w:rsidP="00B279A9">
      <w:pPr>
        <w:suppressAutoHyphens/>
        <w:ind w:left="851"/>
        <w:rPr>
          <w:sz w:val="24"/>
          <w:szCs w:val="24"/>
        </w:rPr>
      </w:pPr>
    </w:p>
    <w:p w:rsidR="00B279A9" w:rsidRPr="00016443" w:rsidRDefault="00B279A9" w:rsidP="00B279A9">
      <w:pPr>
        <w:suppressAutoHyphens/>
        <w:ind w:left="851"/>
        <w:rPr>
          <w:sz w:val="24"/>
          <w:szCs w:val="24"/>
        </w:rPr>
      </w:pPr>
      <w:r w:rsidRPr="00016443">
        <w:rPr>
          <w:sz w:val="24"/>
          <w:szCs w:val="24"/>
        </w:rPr>
        <w:t xml:space="preserve">Det </w:t>
      </w:r>
      <w:proofErr w:type="spellStart"/>
      <w:r w:rsidRPr="00016443">
        <w:rPr>
          <w:sz w:val="24"/>
          <w:szCs w:val="24"/>
        </w:rPr>
        <w:t>intrakranielle</w:t>
      </w:r>
      <w:proofErr w:type="spellEnd"/>
      <w:r w:rsidRPr="00016443">
        <w:rPr>
          <w:sz w:val="24"/>
          <w:szCs w:val="24"/>
        </w:rPr>
        <w:t xml:space="preserve"> tryk (ICP) kan stige lidt under sedation med </w:t>
      </w:r>
      <w:proofErr w:type="spellStart"/>
      <w:r w:rsidRPr="00016443">
        <w:rPr>
          <w:sz w:val="24"/>
          <w:szCs w:val="24"/>
        </w:rPr>
        <w:t>isofluran</w:t>
      </w:r>
      <w:proofErr w:type="spellEnd"/>
      <w:r w:rsidRPr="00016443">
        <w:rPr>
          <w:sz w:val="24"/>
          <w:szCs w:val="24"/>
        </w:rPr>
        <w:t xml:space="preserve">, se pkt. 5.1. Der bør udvises forsigtighed, når </w:t>
      </w:r>
      <w:proofErr w:type="spellStart"/>
      <w:r w:rsidRPr="00016443">
        <w:rPr>
          <w:sz w:val="24"/>
          <w:szCs w:val="24"/>
        </w:rPr>
        <w:t>isofluran</w:t>
      </w:r>
      <w:proofErr w:type="spellEnd"/>
      <w:r w:rsidRPr="00016443">
        <w:rPr>
          <w:sz w:val="24"/>
          <w:szCs w:val="24"/>
        </w:rPr>
        <w:t xml:space="preserve"> administreres til patienter med forhøjet ICP</w:t>
      </w:r>
      <w:r>
        <w:rPr>
          <w:sz w:val="24"/>
          <w:szCs w:val="24"/>
        </w:rPr>
        <w:t>.</w:t>
      </w:r>
      <w:r w:rsidRPr="00016443">
        <w:rPr>
          <w:sz w:val="24"/>
          <w:szCs w:val="24"/>
        </w:rPr>
        <w:t xml:space="preserve"> ICP skal monitoreres hos sådanne patienter</w:t>
      </w:r>
      <w:r>
        <w:rPr>
          <w:sz w:val="24"/>
          <w:szCs w:val="24"/>
        </w:rPr>
        <w:t>, eller det skal overvejes at anvende en anden form for sedation</w:t>
      </w:r>
      <w:r w:rsidRPr="00016443">
        <w:rPr>
          <w:sz w:val="24"/>
          <w:szCs w:val="24"/>
        </w:rPr>
        <w:t>.</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u w:val="single"/>
        </w:rPr>
      </w:pPr>
      <w:r w:rsidRPr="00016443">
        <w:rPr>
          <w:sz w:val="24"/>
          <w:szCs w:val="24"/>
          <w:u w:val="single"/>
        </w:rPr>
        <w:t xml:space="preserve">Malign </w:t>
      </w:r>
      <w:proofErr w:type="spellStart"/>
      <w:r w:rsidRPr="00016443">
        <w:rPr>
          <w:sz w:val="24"/>
          <w:szCs w:val="24"/>
          <w:u w:val="single"/>
        </w:rPr>
        <w:t>hypertermi</w:t>
      </w:r>
      <w:proofErr w:type="spellEnd"/>
    </w:p>
    <w:p w:rsidR="00016443" w:rsidRPr="00016443" w:rsidRDefault="00016443" w:rsidP="00016443">
      <w:pPr>
        <w:suppressAutoHyphens/>
        <w:ind w:left="851"/>
        <w:rPr>
          <w:sz w:val="24"/>
          <w:szCs w:val="24"/>
        </w:rPr>
      </w:pPr>
      <w:r w:rsidRPr="00016443">
        <w:rPr>
          <w:sz w:val="24"/>
          <w:szCs w:val="24"/>
        </w:rPr>
        <w:t xml:space="preserve">Hos særligt følsomme personer kan sedation med </w:t>
      </w:r>
      <w:proofErr w:type="spellStart"/>
      <w:r w:rsidRPr="00016443">
        <w:rPr>
          <w:sz w:val="24"/>
          <w:szCs w:val="24"/>
        </w:rPr>
        <w:t>isofluran</w:t>
      </w:r>
      <w:proofErr w:type="spellEnd"/>
      <w:r w:rsidRPr="00016443">
        <w:rPr>
          <w:sz w:val="24"/>
          <w:szCs w:val="24"/>
        </w:rPr>
        <w:t xml:space="preserve"> udløse en </w:t>
      </w:r>
      <w:proofErr w:type="spellStart"/>
      <w:r w:rsidRPr="00016443">
        <w:rPr>
          <w:sz w:val="24"/>
          <w:szCs w:val="24"/>
        </w:rPr>
        <w:t>hypermetabolisk</w:t>
      </w:r>
      <w:proofErr w:type="spellEnd"/>
      <w:r w:rsidRPr="00016443">
        <w:rPr>
          <w:sz w:val="24"/>
          <w:szCs w:val="24"/>
        </w:rPr>
        <w:t xml:space="preserve"> tilstand i skeletmuskulaturen, som fører til et stort oxygenbehov, og det kliniske syndrom kendt som malign </w:t>
      </w:r>
      <w:proofErr w:type="spellStart"/>
      <w:r w:rsidRPr="00016443">
        <w:rPr>
          <w:sz w:val="24"/>
          <w:szCs w:val="24"/>
        </w:rPr>
        <w:t>hypertermi</w:t>
      </w:r>
      <w:proofErr w:type="spellEnd"/>
      <w:r w:rsidRPr="00016443">
        <w:rPr>
          <w:sz w:val="24"/>
          <w:szCs w:val="24"/>
        </w:rPr>
        <w:t xml:space="preserve">. Syndromet omfatter uspecifikke symptomer såsom muskelrigiditet, </w:t>
      </w:r>
      <w:proofErr w:type="spellStart"/>
      <w:r w:rsidRPr="00016443">
        <w:rPr>
          <w:sz w:val="24"/>
          <w:szCs w:val="24"/>
        </w:rPr>
        <w:t>takykardi</w:t>
      </w:r>
      <w:proofErr w:type="spellEnd"/>
      <w:r w:rsidRPr="00016443">
        <w:rPr>
          <w:sz w:val="24"/>
          <w:szCs w:val="24"/>
        </w:rPr>
        <w:t xml:space="preserve">, </w:t>
      </w:r>
      <w:proofErr w:type="spellStart"/>
      <w:r w:rsidRPr="00016443">
        <w:rPr>
          <w:sz w:val="24"/>
          <w:szCs w:val="24"/>
        </w:rPr>
        <w:t>takypnø</w:t>
      </w:r>
      <w:proofErr w:type="spellEnd"/>
      <w:r w:rsidRPr="00016443">
        <w:rPr>
          <w:sz w:val="24"/>
          <w:szCs w:val="24"/>
        </w:rPr>
        <w:t xml:space="preserve">, cyanose, </w:t>
      </w:r>
      <w:proofErr w:type="spellStart"/>
      <w:r w:rsidRPr="00016443">
        <w:rPr>
          <w:sz w:val="24"/>
          <w:szCs w:val="24"/>
        </w:rPr>
        <w:t>arytmier</w:t>
      </w:r>
      <w:proofErr w:type="spellEnd"/>
      <w:r w:rsidRPr="00016443">
        <w:rPr>
          <w:sz w:val="24"/>
          <w:szCs w:val="24"/>
        </w:rPr>
        <w:t xml:space="preserve"> og ustabilt blodtryk (det bør også bemærkes, at mange af disse uspecifikke tegn kan forekomme ved let anæstesi, akut </w:t>
      </w:r>
      <w:proofErr w:type="spellStart"/>
      <w:r w:rsidRPr="00016443">
        <w:rPr>
          <w:sz w:val="24"/>
          <w:szCs w:val="24"/>
        </w:rPr>
        <w:t>hypoksi</w:t>
      </w:r>
      <w:proofErr w:type="spellEnd"/>
      <w:r w:rsidRPr="00016443">
        <w:rPr>
          <w:sz w:val="24"/>
          <w:szCs w:val="24"/>
        </w:rPr>
        <w:t>, sepsis osv.). En øgning af den overordnede metabolisme kan vise sig ved en forhøjet temperatur (som kan stige hurtigt tidligt eller sent i forløbet, men det er normalt ikke det første tegn på øget metabolisme). PCO</w:t>
      </w:r>
      <w:r w:rsidRPr="00016443">
        <w:rPr>
          <w:sz w:val="24"/>
          <w:szCs w:val="24"/>
          <w:vertAlign w:val="subscript"/>
        </w:rPr>
        <w:t>2</w:t>
      </w:r>
      <w:r w:rsidRPr="00016443">
        <w:rPr>
          <w:sz w:val="24"/>
          <w:szCs w:val="24"/>
        </w:rPr>
        <w:t xml:space="preserve"> kan stige og PaO</w:t>
      </w:r>
      <w:r w:rsidRPr="00016443">
        <w:rPr>
          <w:sz w:val="24"/>
          <w:szCs w:val="24"/>
          <w:vertAlign w:val="subscript"/>
        </w:rPr>
        <w:t>2</w:t>
      </w:r>
      <w:r w:rsidRPr="00016443">
        <w:rPr>
          <w:sz w:val="24"/>
          <w:szCs w:val="24"/>
        </w:rPr>
        <w:t xml:space="preserve"> og pH kan falde, og der kan forekomme </w:t>
      </w:r>
      <w:proofErr w:type="spellStart"/>
      <w:r w:rsidRPr="00016443">
        <w:rPr>
          <w:sz w:val="24"/>
          <w:szCs w:val="24"/>
        </w:rPr>
        <w:t>hyperkaliæmi</w:t>
      </w:r>
      <w:proofErr w:type="spellEnd"/>
      <w:r w:rsidRPr="00016443">
        <w:rPr>
          <w:sz w:val="24"/>
          <w:szCs w:val="24"/>
        </w:rPr>
        <w:t xml:space="preserve"> og basemangel. Behandling af malign </w:t>
      </w:r>
      <w:proofErr w:type="spellStart"/>
      <w:r w:rsidRPr="00016443">
        <w:rPr>
          <w:sz w:val="24"/>
          <w:szCs w:val="24"/>
        </w:rPr>
        <w:t>hypertermi</w:t>
      </w:r>
      <w:proofErr w:type="spellEnd"/>
      <w:r w:rsidRPr="00016443">
        <w:rPr>
          <w:sz w:val="24"/>
          <w:szCs w:val="24"/>
        </w:rPr>
        <w:t xml:space="preserve"> omfatter afbrydelse af behandling med udløsende lægemidler (f.eks. </w:t>
      </w:r>
      <w:proofErr w:type="spellStart"/>
      <w:r w:rsidRPr="00016443">
        <w:rPr>
          <w:sz w:val="24"/>
          <w:szCs w:val="24"/>
        </w:rPr>
        <w:t>isofluran</w:t>
      </w:r>
      <w:proofErr w:type="spellEnd"/>
      <w:r w:rsidRPr="00016443">
        <w:rPr>
          <w:sz w:val="24"/>
          <w:szCs w:val="24"/>
        </w:rPr>
        <w:t xml:space="preserve">), administration af intravenøs </w:t>
      </w:r>
      <w:proofErr w:type="spellStart"/>
      <w:r w:rsidRPr="00016443">
        <w:rPr>
          <w:sz w:val="24"/>
          <w:szCs w:val="24"/>
        </w:rPr>
        <w:t>dantrolennatrium</w:t>
      </w:r>
      <w:proofErr w:type="spellEnd"/>
      <w:r w:rsidRPr="00016443">
        <w:rPr>
          <w:sz w:val="24"/>
          <w:szCs w:val="24"/>
        </w:rPr>
        <w:t xml:space="preserve"> og nødvendig understøttende behandling. En sådan behandling bør omfatte kraftig bestræbelse på at genetablere kropstemperaturen til normal, nødvendig respiratorisk og </w:t>
      </w:r>
      <w:proofErr w:type="spellStart"/>
      <w:r w:rsidRPr="00016443">
        <w:rPr>
          <w:sz w:val="24"/>
          <w:szCs w:val="24"/>
        </w:rPr>
        <w:t>cirkulatorisk</w:t>
      </w:r>
      <w:proofErr w:type="spellEnd"/>
      <w:r w:rsidRPr="00016443">
        <w:rPr>
          <w:sz w:val="24"/>
          <w:szCs w:val="24"/>
        </w:rPr>
        <w:t xml:space="preserve"> støtte og genetablering af elektrolyt-væske-syre-base balancen (</w:t>
      </w:r>
      <w:r w:rsidR="00090982">
        <w:rPr>
          <w:sz w:val="24"/>
          <w:szCs w:val="24"/>
        </w:rPr>
        <w:t>s</w:t>
      </w:r>
      <w:r w:rsidRPr="00016443">
        <w:rPr>
          <w:sz w:val="24"/>
          <w:szCs w:val="24"/>
        </w:rPr>
        <w:t xml:space="preserve">e produktresuméet for intravenøs </w:t>
      </w:r>
      <w:proofErr w:type="spellStart"/>
      <w:r w:rsidRPr="00016443">
        <w:rPr>
          <w:sz w:val="24"/>
          <w:szCs w:val="24"/>
        </w:rPr>
        <w:t>dantrolennatrium</w:t>
      </w:r>
      <w:proofErr w:type="spellEnd"/>
      <w:r w:rsidRPr="00016443">
        <w:rPr>
          <w:sz w:val="24"/>
          <w:szCs w:val="24"/>
        </w:rPr>
        <w:t xml:space="preserve"> for yderligere information om håndtering af patienten). Der kan forekomme nyresvigt senere.</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u w:val="single"/>
        </w:rPr>
      </w:pPr>
      <w:proofErr w:type="spellStart"/>
      <w:r w:rsidRPr="00016443">
        <w:rPr>
          <w:sz w:val="24"/>
          <w:szCs w:val="24"/>
          <w:u w:val="single"/>
        </w:rPr>
        <w:t>Hyperkaliæmi</w:t>
      </w:r>
      <w:proofErr w:type="spellEnd"/>
    </w:p>
    <w:p w:rsidR="00016443" w:rsidRPr="00016443" w:rsidRDefault="00016443" w:rsidP="00016443">
      <w:pPr>
        <w:suppressAutoHyphens/>
        <w:ind w:left="851"/>
        <w:rPr>
          <w:sz w:val="24"/>
          <w:szCs w:val="24"/>
        </w:rPr>
      </w:pPr>
      <w:r w:rsidRPr="00016443">
        <w:rPr>
          <w:sz w:val="24"/>
          <w:szCs w:val="24"/>
        </w:rPr>
        <w:t>Anvendelse af inhalerede anæstesimidler er blevet forbundet med sjældne tilfælde af stigninger i serumkalium,</w:t>
      </w:r>
      <w:r w:rsidRPr="00016443">
        <w:rPr>
          <w:spacing w:val="-3"/>
          <w:sz w:val="24"/>
          <w:szCs w:val="24"/>
          <w:lang w:eastAsia="da-DK"/>
        </w:rPr>
        <w:t xml:space="preserve"> </w:t>
      </w:r>
      <w:r w:rsidRPr="00016443">
        <w:rPr>
          <w:sz w:val="24"/>
          <w:szCs w:val="24"/>
        </w:rPr>
        <w:t xml:space="preserve">som har resulteret i </w:t>
      </w:r>
      <w:proofErr w:type="spellStart"/>
      <w:r w:rsidRPr="00016443">
        <w:rPr>
          <w:sz w:val="24"/>
          <w:szCs w:val="24"/>
        </w:rPr>
        <w:t>hjertearytmier</w:t>
      </w:r>
      <w:proofErr w:type="spellEnd"/>
      <w:r w:rsidRPr="00016443">
        <w:rPr>
          <w:sz w:val="24"/>
          <w:szCs w:val="24"/>
        </w:rPr>
        <w:t xml:space="preserve"> og død hos pædiatriske patienter i tiden efter operationen. Patienter med latent samt åbenbar </w:t>
      </w:r>
      <w:proofErr w:type="spellStart"/>
      <w:r w:rsidRPr="00016443">
        <w:rPr>
          <w:sz w:val="24"/>
          <w:szCs w:val="24"/>
        </w:rPr>
        <w:t>neuromuskulær</w:t>
      </w:r>
      <w:proofErr w:type="spellEnd"/>
      <w:r w:rsidRPr="00016443">
        <w:rPr>
          <w:sz w:val="24"/>
          <w:szCs w:val="24"/>
        </w:rPr>
        <w:t xml:space="preserve"> sygdom, særligt </w:t>
      </w:r>
      <w:proofErr w:type="spellStart"/>
      <w:r w:rsidRPr="00016443">
        <w:rPr>
          <w:sz w:val="24"/>
          <w:szCs w:val="24"/>
        </w:rPr>
        <w:t>Duchennes</w:t>
      </w:r>
      <w:proofErr w:type="spellEnd"/>
      <w:r w:rsidRPr="00016443">
        <w:rPr>
          <w:sz w:val="24"/>
          <w:szCs w:val="24"/>
        </w:rPr>
        <w:t xml:space="preserve"> muskeldystrofi, synes at være mest udsatte. Samtidig anvendelse af </w:t>
      </w:r>
      <w:proofErr w:type="spellStart"/>
      <w:r w:rsidRPr="00016443">
        <w:rPr>
          <w:sz w:val="24"/>
          <w:szCs w:val="24"/>
        </w:rPr>
        <w:t>succinylcholin</w:t>
      </w:r>
      <w:proofErr w:type="spellEnd"/>
      <w:r w:rsidRPr="00016443">
        <w:rPr>
          <w:sz w:val="24"/>
          <w:szCs w:val="24"/>
        </w:rPr>
        <w:t xml:space="preserve"> er blevet forbundet med de fleste, men ikke alle, af disse tilfælde. Patienterne oplevede også signifikante stigninger i </w:t>
      </w:r>
      <w:proofErr w:type="spellStart"/>
      <w:r w:rsidRPr="00016443">
        <w:rPr>
          <w:sz w:val="24"/>
          <w:szCs w:val="24"/>
        </w:rPr>
        <w:t>serumkreatinkinase</w:t>
      </w:r>
      <w:proofErr w:type="spellEnd"/>
      <w:r w:rsidR="00D44C4B">
        <w:rPr>
          <w:sz w:val="24"/>
          <w:szCs w:val="24"/>
        </w:rPr>
        <w:t>-</w:t>
      </w:r>
      <w:r w:rsidRPr="00016443">
        <w:rPr>
          <w:sz w:val="24"/>
          <w:szCs w:val="24"/>
        </w:rPr>
        <w:t xml:space="preserve">niveauet og i nogle tilfælde ændring i sammensætningen af urinen med </w:t>
      </w:r>
      <w:proofErr w:type="spellStart"/>
      <w:r w:rsidRPr="00016443">
        <w:rPr>
          <w:sz w:val="24"/>
          <w:szCs w:val="24"/>
        </w:rPr>
        <w:t>myoglobinuri</w:t>
      </w:r>
      <w:proofErr w:type="spellEnd"/>
      <w:r w:rsidRPr="00016443">
        <w:rPr>
          <w:sz w:val="24"/>
          <w:szCs w:val="24"/>
        </w:rPr>
        <w:t xml:space="preserve">. På trods af symptomligheder med malign </w:t>
      </w:r>
      <w:proofErr w:type="spellStart"/>
      <w:r w:rsidRPr="00016443">
        <w:rPr>
          <w:sz w:val="24"/>
          <w:szCs w:val="24"/>
        </w:rPr>
        <w:t>hypertermi</w:t>
      </w:r>
      <w:proofErr w:type="spellEnd"/>
      <w:r w:rsidRPr="00016443">
        <w:rPr>
          <w:sz w:val="24"/>
          <w:szCs w:val="24"/>
        </w:rPr>
        <w:t xml:space="preserve">, viste ingen af disse patienter tegn eller symptomer på muskelrigiditet eller </w:t>
      </w:r>
      <w:proofErr w:type="spellStart"/>
      <w:r w:rsidRPr="00016443">
        <w:rPr>
          <w:sz w:val="24"/>
          <w:szCs w:val="24"/>
        </w:rPr>
        <w:t>hypermetabolisk</w:t>
      </w:r>
      <w:proofErr w:type="spellEnd"/>
      <w:r w:rsidRPr="00016443">
        <w:rPr>
          <w:sz w:val="24"/>
          <w:szCs w:val="24"/>
        </w:rPr>
        <w:t xml:space="preserve"> tilstand. Tidlig og aggressiv intervention i behandlingen af </w:t>
      </w:r>
      <w:proofErr w:type="spellStart"/>
      <w:r w:rsidRPr="00016443">
        <w:rPr>
          <w:sz w:val="24"/>
          <w:szCs w:val="24"/>
        </w:rPr>
        <w:t>hyperkaliæmi</w:t>
      </w:r>
      <w:proofErr w:type="spellEnd"/>
      <w:r w:rsidRPr="00016443">
        <w:rPr>
          <w:sz w:val="24"/>
          <w:szCs w:val="24"/>
        </w:rPr>
        <w:t xml:space="preserve"> og resistente </w:t>
      </w:r>
      <w:proofErr w:type="spellStart"/>
      <w:r w:rsidRPr="00016443">
        <w:rPr>
          <w:sz w:val="24"/>
          <w:szCs w:val="24"/>
        </w:rPr>
        <w:t>arytmier</w:t>
      </w:r>
      <w:proofErr w:type="spellEnd"/>
      <w:r w:rsidRPr="00016443">
        <w:rPr>
          <w:sz w:val="24"/>
          <w:szCs w:val="24"/>
        </w:rPr>
        <w:t xml:space="preserve"> anbefales, ligesom efterfølgende undersøgelse for latent </w:t>
      </w:r>
      <w:proofErr w:type="spellStart"/>
      <w:r w:rsidRPr="00016443">
        <w:rPr>
          <w:sz w:val="24"/>
          <w:szCs w:val="24"/>
        </w:rPr>
        <w:t>neuromuskulær</w:t>
      </w:r>
      <w:proofErr w:type="spellEnd"/>
      <w:r w:rsidRPr="00016443">
        <w:rPr>
          <w:sz w:val="24"/>
          <w:szCs w:val="24"/>
        </w:rPr>
        <w:t xml:space="preserve"> sygdom.</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u w:val="single"/>
        </w:rPr>
      </w:pPr>
      <w:r w:rsidRPr="00016443">
        <w:rPr>
          <w:sz w:val="24"/>
          <w:szCs w:val="24"/>
          <w:u w:val="single"/>
        </w:rPr>
        <w:t>Generelt</w:t>
      </w:r>
    </w:p>
    <w:p w:rsidR="00016443" w:rsidRPr="00016443" w:rsidRDefault="00016443" w:rsidP="00016443">
      <w:pPr>
        <w:suppressAutoHyphens/>
        <w:ind w:left="851"/>
        <w:rPr>
          <w:sz w:val="24"/>
          <w:szCs w:val="24"/>
        </w:rPr>
      </w:pPr>
      <w:proofErr w:type="spellStart"/>
      <w:r w:rsidRPr="00016443">
        <w:rPr>
          <w:sz w:val="24"/>
          <w:szCs w:val="24"/>
        </w:rPr>
        <w:t>Isofluran</w:t>
      </w:r>
      <w:proofErr w:type="spellEnd"/>
      <w:r w:rsidRPr="00016443">
        <w:rPr>
          <w:sz w:val="24"/>
          <w:szCs w:val="24"/>
        </w:rPr>
        <w:t xml:space="preserve"> kan forårsage respirationsdepression, hvilket kan forstærkes af narkotisk præmedicinering eller andre lægemidler, der forårsager respirationsdepression, se pkt. 4.8.</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rPr>
      </w:pPr>
      <w:r w:rsidRPr="00016443">
        <w:rPr>
          <w:sz w:val="24"/>
          <w:szCs w:val="24"/>
        </w:rPr>
        <w:t xml:space="preserve">Alle almindeligt anvendte </w:t>
      </w:r>
      <w:proofErr w:type="spellStart"/>
      <w:r w:rsidRPr="00016443">
        <w:rPr>
          <w:sz w:val="24"/>
          <w:szCs w:val="24"/>
        </w:rPr>
        <w:t>muskelrelaksantia</w:t>
      </w:r>
      <w:proofErr w:type="spellEnd"/>
      <w:r w:rsidRPr="00016443">
        <w:rPr>
          <w:sz w:val="24"/>
          <w:szCs w:val="24"/>
        </w:rPr>
        <w:t xml:space="preserve"> forstærkes markant af </w:t>
      </w:r>
      <w:proofErr w:type="spellStart"/>
      <w:r w:rsidRPr="00016443">
        <w:rPr>
          <w:sz w:val="24"/>
          <w:szCs w:val="24"/>
        </w:rPr>
        <w:t>isofluran</w:t>
      </w:r>
      <w:proofErr w:type="spellEnd"/>
      <w:r w:rsidRPr="00016443">
        <w:rPr>
          <w:sz w:val="24"/>
          <w:szCs w:val="24"/>
        </w:rPr>
        <w:t>. Virkningen er kraftigst med ikke-</w:t>
      </w:r>
      <w:proofErr w:type="spellStart"/>
      <w:r w:rsidRPr="00016443">
        <w:rPr>
          <w:sz w:val="24"/>
          <w:szCs w:val="24"/>
        </w:rPr>
        <w:t>depolariserende</w:t>
      </w:r>
      <w:proofErr w:type="spellEnd"/>
      <w:r w:rsidRPr="00016443">
        <w:rPr>
          <w:sz w:val="24"/>
          <w:szCs w:val="24"/>
        </w:rPr>
        <w:t xml:space="preserve"> </w:t>
      </w:r>
      <w:proofErr w:type="spellStart"/>
      <w:r w:rsidRPr="00016443">
        <w:rPr>
          <w:sz w:val="24"/>
          <w:szCs w:val="24"/>
        </w:rPr>
        <w:t>muskelrelaksantia</w:t>
      </w:r>
      <w:proofErr w:type="spellEnd"/>
      <w:r w:rsidRPr="00016443">
        <w:rPr>
          <w:sz w:val="24"/>
          <w:szCs w:val="24"/>
        </w:rPr>
        <w:t>.</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rPr>
      </w:pPr>
      <w:r w:rsidRPr="00016443">
        <w:rPr>
          <w:sz w:val="24"/>
          <w:szCs w:val="24"/>
        </w:rPr>
        <w:lastRenderedPageBreak/>
        <w:t xml:space="preserve">En potensering af </w:t>
      </w:r>
      <w:proofErr w:type="spellStart"/>
      <w:r w:rsidRPr="00016443">
        <w:rPr>
          <w:sz w:val="24"/>
          <w:szCs w:val="24"/>
        </w:rPr>
        <w:t>neuromuskulær</w:t>
      </w:r>
      <w:proofErr w:type="spellEnd"/>
      <w:r w:rsidRPr="00016443">
        <w:rPr>
          <w:sz w:val="24"/>
          <w:szCs w:val="24"/>
        </w:rPr>
        <w:t xml:space="preserve"> træthed kan ses hos patienter med </w:t>
      </w:r>
      <w:proofErr w:type="spellStart"/>
      <w:r w:rsidRPr="00016443">
        <w:rPr>
          <w:sz w:val="24"/>
          <w:szCs w:val="24"/>
        </w:rPr>
        <w:t>neuromuskulære</w:t>
      </w:r>
      <w:proofErr w:type="spellEnd"/>
      <w:r w:rsidRPr="00016443">
        <w:rPr>
          <w:sz w:val="24"/>
          <w:szCs w:val="24"/>
        </w:rPr>
        <w:t xml:space="preserve"> sygdomme såsom </w:t>
      </w:r>
      <w:proofErr w:type="spellStart"/>
      <w:r w:rsidRPr="00016443">
        <w:rPr>
          <w:sz w:val="24"/>
          <w:szCs w:val="24"/>
        </w:rPr>
        <w:t>myasthenia</w:t>
      </w:r>
      <w:proofErr w:type="spellEnd"/>
      <w:r w:rsidRPr="00016443">
        <w:rPr>
          <w:sz w:val="24"/>
          <w:szCs w:val="24"/>
        </w:rPr>
        <w:t xml:space="preserve"> </w:t>
      </w:r>
      <w:proofErr w:type="spellStart"/>
      <w:r w:rsidRPr="00016443">
        <w:rPr>
          <w:sz w:val="24"/>
          <w:szCs w:val="24"/>
        </w:rPr>
        <w:t>gravis</w:t>
      </w:r>
      <w:proofErr w:type="spellEnd"/>
      <w:r w:rsidRPr="00016443">
        <w:rPr>
          <w:sz w:val="24"/>
          <w:szCs w:val="24"/>
        </w:rPr>
        <w:t xml:space="preserve">. </w:t>
      </w:r>
      <w:proofErr w:type="spellStart"/>
      <w:r w:rsidRPr="00016443">
        <w:rPr>
          <w:sz w:val="24"/>
          <w:szCs w:val="24"/>
        </w:rPr>
        <w:t>Isofluran</w:t>
      </w:r>
      <w:proofErr w:type="spellEnd"/>
      <w:r w:rsidRPr="00016443">
        <w:rPr>
          <w:sz w:val="24"/>
          <w:szCs w:val="24"/>
        </w:rPr>
        <w:t xml:space="preserve"> bør anvendes med forsigtighed til disse patienter.</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rPr>
      </w:pPr>
      <w:r w:rsidRPr="00016443">
        <w:rPr>
          <w:sz w:val="24"/>
          <w:szCs w:val="24"/>
        </w:rPr>
        <w:t xml:space="preserve">Der bør udvises forsigtighed ved administration af generel anæstesi, herunder </w:t>
      </w:r>
      <w:proofErr w:type="spellStart"/>
      <w:r w:rsidRPr="00016443">
        <w:rPr>
          <w:sz w:val="24"/>
          <w:szCs w:val="24"/>
        </w:rPr>
        <w:t>isofluran</w:t>
      </w:r>
      <w:proofErr w:type="spellEnd"/>
      <w:r w:rsidRPr="00016443">
        <w:rPr>
          <w:sz w:val="24"/>
          <w:szCs w:val="24"/>
        </w:rPr>
        <w:t>, til patienter med mitokondriesygdomme.</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rPr>
      </w:pPr>
      <w:r w:rsidRPr="00016443">
        <w:rPr>
          <w:sz w:val="24"/>
          <w:szCs w:val="24"/>
        </w:rPr>
        <w:t xml:space="preserve">Det er vigtigt at opretholde normal </w:t>
      </w:r>
      <w:proofErr w:type="spellStart"/>
      <w:r w:rsidRPr="00016443">
        <w:rPr>
          <w:sz w:val="24"/>
          <w:szCs w:val="24"/>
        </w:rPr>
        <w:t>hæmodynamik</w:t>
      </w:r>
      <w:proofErr w:type="spellEnd"/>
      <w:r w:rsidRPr="00016443">
        <w:rPr>
          <w:sz w:val="24"/>
          <w:szCs w:val="24"/>
        </w:rPr>
        <w:t xml:space="preserve"> for at undgå </w:t>
      </w:r>
      <w:proofErr w:type="spellStart"/>
      <w:r w:rsidRPr="00016443">
        <w:rPr>
          <w:sz w:val="24"/>
          <w:szCs w:val="24"/>
        </w:rPr>
        <w:t>myokardieiskæmi</w:t>
      </w:r>
      <w:proofErr w:type="spellEnd"/>
      <w:r w:rsidRPr="00016443">
        <w:rPr>
          <w:sz w:val="24"/>
          <w:szCs w:val="24"/>
        </w:rPr>
        <w:t xml:space="preserve"> hos patienter med koronararteriesygdomme.</w:t>
      </w:r>
    </w:p>
    <w:p w:rsidR="00016443" w:rsidRPr="00016443" w:rsidRDefault="00016443" w:rsidP="00016443">
      <w:pPr>
        <w:suppressAutoHyphens/>
        <w:ind w:left="851"/>
        <w:rPr>
          <w:sz w:val="24"/>
          <w:szCs w:val="24"/>
        </w:rPr>
      </w:pPr>
    </w:p>
    <w:p w:rsidR="00016443" w:rsidRPr="00016443" w:rsidRDefault="00016443" w:rsidP="00016443">
      <w:pPr>
        <w:suppressAutoHyphens/>
        <w:ind w:left="851"/>
        <w:rPr>
          <w:sz w:val="24"/>
          <w:szCs w:val="24"/>
        </w:rPr>
      </w:pPr>
      <w:r w:rsidRPr="00016443">
        <w:rPr>
          <w:sz w:val="24"/>
          <w:szCs w:val="24"/>
        </w:rPr>
        <w:t xml:space="preserve">Der er rapporteret om QT-forlængelse forbundet med </w:t>
      </w:r>
      <w:proofErr w:type="spellStart"/>
      <w:r w:rsidRPr="00016443">
        <w:rPr>
          <w:sz w:val="24"/>
          <w:szCs w:val="24"/>
        </w:rPr>
        <w:t>torsade</w:t>
      </w:r>
      <w:proofErr w:type="spellEnd"/>
      <w:r w:rsidRPr="00016443">
        <w:rPr>
          <w:sz w:val="24"/>
          <w:szCs w:val="24"/>
        </w:rPr>
        <w:t xml:space="preserve"> de pointes (fatalt i enkeltstående tilfælde). Der bør udvises forsigtighed, når </w:t>
      </w:r>
      <w:proofErr w:type="spellStart"/>
      <w:r w:rsidRPr="00016443">
        <w:rPr>
          <w:sz w:val="24"/>
          <w:szCs w:val="24"/>
        </w:rPr>
        <w:t>isofluran</w:t>
      </w:r>
      <w:proofErr w:type="spellEnd"/>
      <w:r w:rsidRPr="00016443">
        <w:rPr>
          <w:sz w:val="24"/>
          <w:szCs w:val="24"/>
        </w:rPr>
        <w:t xml:space="preserve"> administreres til patienter med risiko for QT</w:t>
      </w:r>
      <w:r w:rsidRPr="00016443">
        <w:rPr>
          <w:sz w:val="24"/>
          <w:szCs w:val="24"/>
        </w:rPr>
        <w:noBreakHyphen/>
        <w:t>forlængelse.</w:t>
      </w:r>
    </w:p>
    <w:p w:rsidR="00016443" w:rsidRPr="00016443" w:rsidRDefault="00016443" w:rsidP="00016443">
      <w:pPr>
        <w:suppressAutoHyphens/>
        <w:ind w:left="851"/>
        <w:rPr>
          <w:sz w:val="24"/>
          <w:szCs w:val="24"/>
        </w:rPr>
      </w:pPr>
    </w:p>
    <w:p w:rsidR="009260DE" w:rsidRPr="00C84483" w:rsidRDefault="00016443" w:rsidP="00016443">
      <w:pPr>
        <w:suppressAutoHyphens/>
        <w:ind w:left="851"/>
        <w:rPr>
          <w:sz w:val="24"/>
          <w:szCs w:val="24"/>
        </w:rPr>
      </w:pPr>
      <w:r w:rsidRPr="00016443">
        <w:rPr>
          <w:sz w:val="24"/>
          <w:szCs w:val="24"/>
        </w:rPr>
        <w:t xml:space="preserve">Det er rapporteret, at </w:t>
      </w:r>
      <w:proofErr w:type="spellStart"/>
      <w:r w:rsidRPr="00016443">
        <w:rPr>
          <w:sz w:val="24"/>
          <w:szCs w:val="24"/>
        </w:rPr>
        <w:t>isofluran</w:t>
      </w:r>
      <w:proofErr w:type="spellEnd"/>
      <w:r w:rsidRPr="00016443">
        <w:rPr>
          <w:sz w:val="24"/>
          <w:szCs w:val="24"/>
        </w:rPr>
        <w:t xml:space="preserve"> kan forårsage leverskade, der spænder fra milde forbigående stigninger i leverenzymer til fatal levernekrose i meget sjældne tilfælde. Det er rapporteret, at tidligere eksponering for </w:t>
      </w:r>
      <w:proofErr w:type="spellStart"/>
      <w:r w:rsidRPr="00016443">
        <w:rPr>
          <w:sz w:val="24"/>
          <w:szCs w:val="24"/>
        </w:rPr>
        <w:t>halogenerede</w:t>
      </w:r>
      <w:proofErr w:type="spellEnd"/>
      <w:r w:rsidRPr="00016443">
        <w:rPr>
          <w:sz w:val="24"/>
          <w:szCs w:val="24"/>
        </w:rPr>
        <w:t xml:space="preserve"> </w:t>
      </w:r>
      <w:proofErr w:type="spellStart"/>
      <w:r w:rsidRPr="00016443">
        <w:rPr>
          <w:sz w:val="24"/>
          <w:szCs w:val="24"/>
        </w:rPr>
        <w:t>carbonhydrid-anæstetika</w:t>
      </w:r>
      <w:proofErr w:type="spellEnd"/>
      <w:r w:rsidRPr="00016443">
        <w:rPr>
          <w:sz w:val="24"/>
          <w:szCs w:val="24"/>
        </w:rPr>
        <w:t xml:space="preserve">, især hvis intervallet er kortere end 3 måneder, kan øge risikoen for leverskader. Cirrose, viral hepatitis eller anden præeksisterende leversygdom kan være grund til at vælge en anden sedationsmetode end </w:t>
      </w:r>
      <w:proofErr w:type="spellStart"/>
      <w:r w:rsidRPr="00016443">
        <w:rPr>
          <w:sz w:val="24"/>
          <w:szCs w:val="24"/>
        </w:rPr>
        <w:t>isofluran</w:t>
      </w:r>
      <w:proofErr w:type="spellEnd"/>
      <w:r w:rsidRPr="00016443">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3571A" w:rsidRPr="0083571A" w:rsidRDefault="0083571A" w:rsidP="0083571A">
      <w:pPr>
        <w:ind w:left="851"/>
        <w:rPr>
          <w:sz w:val="24"/>
          <w:szCs w:val="24"/>
        </w:rPr>
      </w:pPr>
    </w:p>
    <w:p w:rsidR="0083571A" w:rsidRPr="0083571A" w:rsidRDefault="0083571A" w:rsidP="0083571A">
      <w:pPr>
        <w:ind w:left="851"/>
        <w:rPr>
          <w:sz w:val="24"/>
          <w:szCs w:val="24"/>
          <w:u w:val="single"/>
        </w:rPr>
      </w:pPr>
      <w:r w:rsidRPr="0083571A">
        <w:rPr>
          <w:sz w:val="24"/>
          <w:szCs w:val="24"/>
          <w:u w:val="single"/>
        </w:rPr>
        <w:t>Kombinationer, der frarådes</w:t>
      </w:r>
    </w:p>
    <w:p w:rsidR="0083571A" w:rsidRPr="0083571A" w:rsidRDefault="0083571A" w:rsidP="0083571A">
      <w:pPr>
        <w:ind w:left="851"/>
        <w:rPr>
          <w:sz w:val="24"/>
          <w:szCs w:val="24"/>
        </w:rPr>
      </w:pPr>
    </w:p>
    <w:p w:rsidR="0083571A" w:rsidRPr="0083571A" w:rsidRDefault="0083571A" w:rsidP="0083571A">
      <w:pPr>
        <w:ind w:left="851"/>
        <w:rPr>
          <w:i/>
          <w:iCs/>
          <w:sz w:val="24"/>
          <w:szCs w:val="24"/>
        </w:rPr>
      </w:pPr>
      <w:r w:rsidRPr="0083571A">
        <w:rPr>
          <w:i/>
          <w:iCs/>
          <w:sz w:val="24"/>
          <w:szCs w:val="24"/>
        </w:rPr>
        <w:t xml:space="preserve">Ikke-selektive </w:t>
      </w:r>
      <w:proofErr w:type="spellStart"/>
      <w:r w:rsidRPr="0083571A">
        <w:rPr>
          <w:i/>
          <w:iCs/>
          <w:sz w:val="24"/>
          <w:szCs w:val="24"/>
        </w:rPr>
        <w:t>monoaminooxidase</w:t>
      </w:r>
      <w:proofErr w:type="spellEnd"/>
      <w:r w:rsidRPr="0083571A">
        <w:rPr>
          <w:i/>
          <w:iCs/>
          <w:sz w:val="24"/>
          <w:szCs w:val="24"/>
        </w:rPr>
        <w:t xml:space="preserve"> [MAO]-</w:t>
      </w:r>
      <w:proofErr w:type="spellStart"/>
      <w:r w:rsidRPr="0083571A">
        <w:rPr>
          <w:i/>
          <w:iCs/>
          <w:sz w:val="24"/>
          <w:szCs w:val="24"/>
        </w:rPr>
        <w:t>hæmmere</w:t>
      </w:r>
      <w:proofErr w:type="spellEnd"/>
    </w:p>
    <w:p w:rsidR="0083571A" w:rsidRPr="0083571A" w:rsidRDefault="0083571A" w:rsidP="0083571A">
      <w:pPr>
        <w:ind w:left="851"/>
        <w:rPr>
          <w:sz w:val="24"/>
          <w:szCs w:val="24"/>
        </w:rPr>
      </w:pPr>
      <w:r w:rsidRPr="0083571A">
        <w:rPr>
          <w:sz w:val="24"/>
          <w:szCs w:val="24"/>
        </w:rPr>
        <w:t xml:space="preserve">Risiko for krise under sedation. Brug af </w:t>
      </w:r>
      <w:proofErr w:type="spellStart"/>
      <w:r w:rsidRPr="0083571A">
        <w:rPr>
          <w:sz w:val="24"/>
          <w:szCs w:val="24"/>
        </w:rPr>
        <w:t>isofluran</w:t>
      </w:r>
      <w:proofErr w:type="spellEnd"/>
      <w:r w:rsidRPr="0083571A">
        <w:rPr>
          <w:sz w:val="24"/>
          <w:szCs w:val="24"/>
        </w:rPr>
        <w:t xml:space="preserve"> bør undgås i 15 dage efter den sidste indtagelse af en MAO</w:t>
      </w:r>
      <w:r w:rsidRPr="0083571A">
        <w:rPr>
          <w:sz w:val="24"/>
          <w:szCs w:val="24"/>
        </w:rPr>
        <w:noBreakHyphen/>
        <w:t>hæmmer.</w:t>
      </w:r>
    </w:p>
    <w:p w:rsidR="0083571A" w:rsidRPr="0083571A" w:rsidRDefault="0083571A" w:rsidP="0083571A">
      <w:pPr>
        <w:ind w:left="851"/>
        <w:rPr>
          <w:sz w:val="24"/>
          <w:szCs w:val="24"/>
        </w:rPr>
      </w:pPr>
    </w:p>
    <w:p w:rsidR="0083571A" w:rsidRPr="0083571A" w:rsidRDefault="0083571A" w:rsidP="0083571A">
      <w:pPr>
        <w:ind w:left="851"/>
        <w:rPr>
          <w:sz w:val="24"/>
          <w:szCs w:val="24"/>
          <w:u w:val="single"/>
        </w:rPr>
      </w:pPr>
      <w:r w:rsidRPr="0083571A">
        <w:rPr>
          <w:sz w:val="24"/>
          <w:szCs w:val="24"/>
          <w:u w:val="single"/>
        </w:rPr>
        <w:t>Kombinationer, der kræver ekstra forholdsregler</w:t>
      </w:r>
    </w:p>
    <w:p w:rsidR="0083571A" w:rsidRPr="0083571A" w:rsidRDefault="0083571A" w:rsidP="0083571A">
      <w:pPr>
        <w:ind w:left="851"/>
        <w:rPr>
          <w:sz w:val="24"/>
          <w:szCs w:val="24"/>
          <w:u w:val="single"/>
        </w:rPr>
      </w:pPr>
    </w:p>
    <w:p w:rsidR="00B279A9" w:rsidRPr="0083571A" w:rsidRDefault="00B279A9" w:rsidP="00B279A9">
      <w:pPr>
        <w:ind w:left="851"/>
        <w:rPr>
          <w:i/>
          <w:iCs/>
          <w:sz w:val="24"/>
          <w:szCs w:val="24"/>
        </w:rPr>
      </w:pPr>
      <w:r w:rsidRPr="0083571A">
        <w:rPr>
          <w:i/>
          <w:iCs/>
          <w:sz w:val="24"/>
          <w:szCs w:val="24"/>
        </w:rPr>
        <w:t>Beta-</w:t>
      </w:r>
      <w:proofErr w:type="spellStart"/>
      <w:r w:rsidRPr="0083571A">
        <w:rPr>
          <w:i/>
          <w:iCs/>
          <w:sz w:val="24"/>
          <w:szCs w:val="24"/>
        </w:rPr>
        <w:t>sympatomimetika</w:t>
      </w:r>
      <w:proofErr w:type="spellEnd"/>
      <w:r w:rsidRPr="0083571A">
        <w:rPr>
          <w:i/>
          <w:iCs/>
          <w:sz w:val="24"/>
          <w:szCs w:val="24"/>
        </w:rPr>
        <w:t xml:space="preserve">, såsom </w:t>
      </w:r>
      <w:proofErr w:type="spellStart"/>
      <w:r w:rsidRPr="0083571A">
        <w:rPr>
          <w:i/>
          <w:iCs/>
          <w:sz w:val="24"/>
          <w:szCs w:val="24"/>
        </w:rPr>
        <w:t>isoprenalin</w:t>
      </w:r>
      <w:proofErr w:type="spellEnd"/>
      <w:r w:rsidRPr="0083571A">
        <w:rPr>
          <w:i/>
          <w:iCs/>
          <w:sz w:val="24"/>
          <w:szCs w:val="24"/>
        </w:rPr>
        <w:t>, og alfa- og beta-</w:t>
      </w:r>
      <w:proofErr w:type="spellStart"/>
      <w:r w:rsidRPr="0083571A">
        <w:rPr>
          <w:i/>
          <w:iCs/>
          <w:sz w:val="24"/>
          <w:szCs w:val="24"/>
        </w:rPr>
        <w:t>sympatomimetika</w:t>
      </w:r>
      <w:proofErr w:type="spellEnd"/>
      <w:r w:rsidRPr="0083571A">
        <w:rPr>
          <w:i/>
          <w:iCs/>
          <w:sz w:val="24"/>
          <w:szCs w:val="24"/>
        </w:rPr>
        <w:t>, såsom adrenalin og noradrenalin</w:t>
      </w:r>
    </w:p>
    <w:p w:rsidR="00B279A9" w:rsidRPr="004457BE" w:rsidRDefault="00B279A9" w:rsidP="00B279A9">
      <w:pPr>
        <w:ind w:left="851"/>
        <w:rPr>
          <w:sz w:val="24"/>
          <w:szCs w:val="24"/>
        </w:rPr>
      </w:pPr>
      <w:r w:rsidRPr="0083571A">
        <w:rPr>
          <w:sz w:val="24"/>
          <w:szCs w:val="24"/>
        </w:rPr>
        <w:t xml:space="preserve">Disse lægemidler bør anvendes med forsigtighed under sedation med </w:t>
      </w:r>
      <w:proofErr w:type="spellStart"/>
      <w:r w:rsidRPr="0083571A">
        <w:rPr>
          <w:sz w:val="24"/>
          <w:szCs w:val="24"/>
        </w:rPr>
        <w:t>isofluran</w:t>
      </w:r>
      <w:proofErr w:type="spellEnd"/>
      <w:r w:rsidRPr="0083571A">
        <w:rPr>
          <w:sz w:val="24"/>
          <w:szCs w:val="24"/>
        </w:rPr>
        <w:t xml:space="preserve"> grundet potentiel risiko for </w:t>
      </w:r>
      <w:proofErr w:type="spellStart"/>
      <w:r w:rsidRPr="0083571A">
        <w:rPr>
          <w:sz w:val="24"/>
          <w:szCs w:val="24"/>
        </w:rPr>
        <w:t>ventrikulær</w:t>
      </w:r>
      <w:proofErr w:type="spellEnd"/>
      <w:r w:rsidRPr="0083571A">
        <w:rPr>
          <w:sz w:val="24"/>
          <w:szCs w:val="24"/>
        </w:rPr>
        <w:t xml:space="preserve"> </w:t>
      </w:r>
      <w:proofErr w:type="spellStart"/>
      <w:r w:rsidRPr="0083571A">
        <w:rPr>
          <w:sz w:val="24"/>
          <w:szCs w:val="24"/>
        </w:rPr>
        <w:t>arytmi</w:t>
      </w:r>
      <w:proofErr w:type="spellEnd"/>
      <w:r>
        <w:rPr>
          <w:sz w:val="24"/>
          <w:szCs w:val="24"/>
        </w:rPr>
        <w:t>, se pkt. 5.1</w:t>
      </w:r>
      <w:r w:rsidRPr="0083571A">
        <w:rPr>
          <w:sz w:val="24"/>
          <w:szCs w:val="24"/>
        </w:rPr>
        <w:t>.</w:t>
      </w:r>
    </w:p>
    <w:p w:rsidR="0083571A" w:rsidRPr="0083571A" w:rsidRDefault="0083571A" w:rsidP="0083571A">
      <w:pPr>
        <w:ind w:left="851"/>
        <w:rPr>
          <w:sz w:val="24"/>
          <w:szCs w:val="24"/>
        </w:rPr>
      </w:pPr>
    </w:p>
    <w:p w:rsidR="0083571A" w:rsidRPr="0083571A" w:rsidRDefault="0083571A" w:rsidP="0083571A">
      <w:pPr>
        <w:ind w:left="851"/>
        <w:rPr>
          <w:i/>
          <w:iCs/>
          <w:sz w:val="24"/>
          <w:szCs w:val="24"/>
        </w:rPr>
      </w:pPr>
      <w:r w:rsidRPr="0083571A">
        <w:rPr>
          <w:i/>
          <w:iCs/>
          <w:sz w:val="24"/>
          <w:szCs w:val="24"/>
        </w:rPr>
        <w:t xml:space="preserve">Indirekte-virkende </w:t>
      </w:r>
      <w:proofErr w:type="spellStart"/>
      <w:r w:rsidRPr="0083571A">
        <w:rPr>
          <w:i/>
          <w:iCs/>
          <w:sz w:val="24"/>
          <w:szCs w:val="24"/>
        </w:rPr>
        <w:t>sympatomimetika</w:t>
      </w:r>
      <w:proofErr w:type="spellEnd"/>
      <w:r w:rsidRPr="0083571A">
        <w:rPr>
          <w:i/>
          <w:iCs/>
          <w:sz w:val="24"/>
          <w:szCs w:val="24"/>
        </w:rPr>
        <w:t xml:space="preserve"> (amfetaminer og derivater heraf, </w:t>
      </w:r>
      <w:proofErr w:type="spellStart"/>
      <w:r w:rsidRPr="0083571A">
        <w:rPr>
          <w:i/>
          <w:iCs/>
          <w:sz w:val="24"/>
          <w:szCs w:val="24"/>
        </w:rPr>
        <w:t>psykostimulantia</w:t>
      </w:r>
      <w:proofErr w:type="spellEnd"/>
      <w:r w:rsidRPr="0083571A">
        <w:rPr>
          <w:i/>
          <w:iCs/>
          <w:sz w:val="24"/>
          <w:szCs w:val="24"/>
        </w:rPr>
        <w:t xml:space="preserve">, appetitregulerende midler, </w:t>
      </w:r>
      <w:proofErr w:type="spellStart"/>
      <w:r w:rsidRPr="0083571A">
        <w:rPr>
          <w:i/>
          <w:iCs/>
          <w:sz w:val="24"/>
          <w:szCs w:val="24"/>
        </w:rPr>
        <w:t>efedrin</w:t>
      </w:r>
      <w:proofErr w:type="spellEnd"/>
      <w:r w:rsidRPr="0083571A">
        <w:rPr>
          <w:i/>
          <w:iCs/>
          <w:sz w:val="24"/>
          <w:szCs w:val="24"/>
        </w:rPr>
        <w:t xml:space="preserve"> og derivater heraf)</w:t>
      </w:r>
    </w:p>
    <w:p w:rsidR="0083571A" w:rsidRPr="0083571A" w:rsidRDefault="0083571A" w:rsidP="0083571A">
      <w:pPr>
        <w:ind w:left="851"/>
        <w:rPr>
          <w:sz w:val="24"/>
          <w:szCs w:val="24"/>
        </w:rPr>
      </w:pPr>
      <w:r w:rsidRPr="0083571A">
        <w:rPr>
          <w:sz w:val="24"/>
          <w:szCs w:val="24"/>
        </w:rPr>
        <w:t xml:space="preserve">Risiko for hypertension. Ideelt set bør brug af </w:t>
      </w:r>
      <w:proofErr w:type="spellStart"/>
      <w:r w:rsidRPr="0083571A">
        <w:rPr>
          <w:sz w:val="24"/>
          <w:szCs w:val="24"/>
        </w:rPr>
        <w:t>isofluran</w:t>
      </w:r>
      <w:proofErr w:type="spellEnd"/>
      <w:r w:rsidRPr="0083571A">
        <w:rPr>
          <w:sz w:val="24"/>
          <w:szCs w:val="24"/>
        </w:rPr>
        <w:t xml:space="preserve"> undgås flere dage efter den sidste indtagelse af indirekte-virkende </w:t>
      </w:r>
      <w:proofErr w:type="spellStart"/>
      <w:r w:rsidRPr="0083571A">
        <w:rPr>
          <w:sz w:val="24"/>
          <w:szCs w:val="24"/>
        </w:rPr>
        <w:t>sympatomimetika</w:t>
      </w:r>
      <w:proofErr w:type="spellEnd"/>
      <w:r w:rsidRPr="0083571A">
        <w:rPr>
          <w:sz w:val="24"/>
          <w:szCs w:val="24"/>
        </w:rPr>
        <w:t>.</w:t>
      </w:r>
    </w:p>
    <w:p w:rsidR="0083571A" w:rsidRPr="0083571A" w:rsidRDefault="0083571A" w:rsidP="0083571A">
      <w:pPr>
        <w:ind w:left="851"/>
        <w:rPr>
          <w:sz w:val="24"/>
          <w:szCs w:val="24"/>
        </w:rPr>
      </w:pPr>
    </w:p>
    <w:p w:rsidR="0083571A" w:rsidRPr="0083571A" w:rsidRDefault="0083571A" w:rsidP="0083571A">
      <w:pPr>
        <w:ind w:left="851"/>
        <w:rPr>
          <w:i/>
          <w:iCs/>
          <w:sz w:val="24"/>
          <w:szCs w:val="24"/>
        </w:rPr>
      </w:pPr>
      <w:r w:rsidRPr="0083571A">
        <w:rPr>
          <w:i/>
          <w:iCs/>
          <w:sz w:val="24"/>
          <w:szCs w:val="24"/>
        </w:rPr>
        <w:t xml:space="preserve">Adrenalin administreret ved subkutan eller </w:t>
      </w:r>
      <w:proofErr w:type="spellStart"/>
      <w:r w:rsidRPr="0083571A">
        <w:rPr>
          <w:i/>
          <w:iCs/>
          <w:sz w:val="24"/>
          <w:szCs w:val="24"/>
        </w:rPr>
        <w:t>gingival</w:t>
      </w:r>
      <w:proofErr w:type="spellEnd"/>
      <w:r w:rsidRPr="0083571A">
        <w:rPr>
          <w:i/>
          <w:iCs/>
          <w:sz w:val="24"/>
          <w:szCs w:val="24"/>
        </w:rPr>
        <w:t xml:space="preserve"> injektion</w:t>
      </w:r>
    </w:p>
    <w:p w:rsidR="0083571A" w:rsidRPr="0083571A" w:rsidRDefault="0083571A" w:rsidP="0083571A">
      <w:pPr>
        <w:ind w:left="851"/>
        <w:rPr>
          <w:sz w:val="24"/>
          <w:szCs w:val="24"/>
        </w:rPr>
      </w:pPr>
      <w:r w:rsidRPr="0083571A">
        <w:rPr>
          <w:sz w:val="24"/>
          <w:szCs w:val="24"/>
        </w:rPr>
        <w:t xml:space="preserve">Risiko for alvorlig </w:t>
      </w:r>
      <w:proofErr w:type="spellStart"/>
      <w:r w:rsidRPr="0083571A">
        <w:rPr>
          <w:sz w:val="24"/>
          <w:szCs w:val="24"/>
        </w:rPr>
        <w:t>ventrikulær</w:t>
      </w:r>
      <w:proofErr w:type="spellEnd"/>
      <w:r w:rsidRPr="0083571A">
        <w:rPr>
          <w:sz w:val="24"/>
          <w:szCs w:val="24"/>
        </w:rPr>
        <w:t xml:space="preserve"> </w:t>
      </w:r>
      <w:proofErr w:type="spellStart"/>
      <w:r w:rsidRPr="0083571A">
        <w:rPr>
          <w:sz w:val="24"/>
          <w:szCs w:val="24"/>
        </w:rPr>
        <w:t>arytmi</w:t>
      </w:r>
      <w:proofErr w:type="spellEnd"/>
      <w:r w:rsidRPr="0083571A">
        <w:rPr>
          <w:sz w:val="24"/>
          <w:szCs w:val="24"/>
        </w:rPr>
        <w:t xml:space="preserve"> som følge af øget hjertefrekvens. Begrænsede data tyder på, at subkutan infiltration af op til </w:t>
      </w:r>
      <w:r w:rsidR="00B279A9" w:rsidRPr="0083571A">
        <w:rPr>
          <w:sz w:val="24"/>
          <w:szCs w:val="24"/>
        </w:rPr>
        <w:t>0,25</w:t>
      </w:r>
      <w:r w:rsidR="00B279A9">
        <w:rPr>
          <w:sz w:val="24"/>
          <w:szCs w:val="24"/>
        </w:rPr>
        <w:t> </w:t>
      </w:r>
      <w:r w:rsidR="00B279A9" w:rsidRPr="0083571A">
        <w:rPr>
          <w:sz w:val="24"/>
          <w:szCs w:val="24"/>
        </w:rPr>
        <w:t xml:space="preserve">mg </w:t>
      </w:r>
      <w:r w:rsidRPr="0083571A">
        <w:rPr>
          <w:sz w:val="24"/>
          <w:szCs w:val="24"/>
        </w:rPr>
        <w:t xml:space="preserve">(50 ml af 1:200.000 opløsning) adrenalin til en voksen på 70 kg ikke inducerer </w:t>
      </w:r>
      <w:proofErr w:type="spellStart"/>
      <w:r w:rsidRPr="0083571A">
        <w:rPr>
          <w:sz w:val="24"/>
          <w:szCs w:val="24"/>
        </w:rPr>
        <w:t>ventrikulære</w:t>
      </w:r>
      <w:proofErr w:type="spellEnd"/>
      <w:r w:rsidRPr="0083571A">
        <w:rPr>
          <w:sz w:val="24"/>
          <w:szCs w:val="24"/>
        </w:rPr>
        <w:t xml:space="preserve"> </w:t>
      </w:r>
      <w:proofErr w:type="spellStart"/>
      <w:r w:rsidRPr="0083571A">
        <w:rPr>
          <w:sz w:val="24"/>
          <w:szCs w:val="24"/>
        </w:rPr>
        <w:t>arytmier</w:t>
      </w:r>
      <w:proofErr w:type="spellEnd"/>
      <w:r w:rsidRPr="0083571A">
        <w:rPr>
          <w:sz w:val="24"/>
          <w:szCs w:val="24"/>
        </w:rPr>
        <w:t xml:space="preserve"> ved fravær af samtidig </w:t>
      </w:r>
      <w:proofErr w:type="spellStart"/>
      <w:r w:rsidRPr="0083571A">
        <w:rPr>
          <w:sz w:val="24"/>
          <w:szCs w:val="24"/>
        </w:rPr>
        <w:t>myokardie-hypoksi</w:t>
      </w:r>
      <w:proofErr w:type="spellEnd"/>
      <w:r w:rsidRPr="0083571A">
        <w:rPr>
          <w:sz w:val="24"/>
          <w:szCs w:val="24"/>
        </w:rPr>
        <w:t>.</w:t>
      </w:r>
    </w:p>
    <w:p w:rsidR="0083571A" w:rsidRPr="0083571A" w:rsidRDefault="0083571A" w:rsidP="0083571A">
      <w:pPr>
        <w:ind w:left="851"/>
        <w:rPr>
          <w:sz w:val="24"/>
          <w:szCs w:val="24"/>
        </w:rPr>
      </w:pPr>
    </w:p>
    <w:p w:rsidR="0083571A" w:rsidRPr="0083571A" w:rsidRDefault="0083571A" w:rsidP="0083571A">
      <w:pPr>
        <w:ind w:left="851"/>
        <w:rPr>
          <w:i/>
          <w:iCs/>
          <w:sz w:val="24"/>
          <w:szCs w:val="24"/>
        </w:rPr>
      </w:pPr>
      <w:r w:rsidRPr="0083571A">
        <w:rPr>
          <w:i/>
          <w:iCs/>
          <w:sz w:val="24"/>
          <w:szCs w:val="24"/>
        </w:rPr>
        <w:t>Betablokkere</w:t>
      </w:r>
    </w:p>
    <w:p w:rsidR="0083571A" w:rsidRPr="0083571A" w:rsidRDefault="0083571A" w:rsidP="0083571A">
      <w:pPr>
        <w:ind w:left="851"/>
        <w:rPr>
          <w:sz w:val="24"/>
          <w:szCs w:val="24"/>
        </w:rPr>
      </w:pPr>
      <w:proofErr w:type="spellStart"/>
      <w:r w:rsidRPr="0083571A">
        <w:rPr>
          <w:sz w:val="24"/>
          <w:szCs w:val="24"/>
        </w:rPr>
        <w:t>Kardiovaskulære</w:t>
      </w:r>
      <w:proofErr w:type="spellEnd"/>
      <w:r w:rsidRPr="0083571A">
        <w:rPr>
          <w:sz w:val="24"/>
          <w:szCs w:val="24"/>
        </w:rPr>
        <w:t xml:space="preserve"> kompensationsreaktioner kan hæmmes af betablokkere.</w:t>
      </w:r>
    </w:p>
    <w:p w:rsidR="0083571A" w:rsidRPr="0083571A" w:rsidRDefault="0083571A" w:rsidP="0083571A">
      <w:pPr>
        <w:ind w:left="851"/>
        <w:rPr>
          <w:sz w:val="24"/>
          <w:szCs w:val="24"/>
        </w:rPr>
      </w:pPr>
    </w:p>
    <w:p w:rsidR="0083571A" w:rsidRPr="0083571A" w:rsidRDefault="0083571A" w:rsidP="0088155F">
      <w:pPr>
        <w:keepNext/>
        <w:ind w:left="851"/>
        <w:rPr>
          <w:i/>
          <w:iCs/>
          <w:sz w:val="24"/>
          <w:szCs w:val="24"/>
        </w:rPr>
      </w:pPr>
      <w:r w:rsidRPr="0083571A">
        <w:rPr>
          <w:i/>
          <w:iCs/>
          <w:sz w:val="24"/>
          <w:szCs w:val="24"/>
        </w:rPr>
        <w:lastRenderedPageBreak/>
        <w:t xml:space="preserve">Calciumantagonister, især </w:t>
      </w:r>
      <w:proofErr w:type="spellStart"/>
      <w:r w:rsidRPr="0083571A">
        <w:rPr>
          <w:i/>
          <w:iCs/>
          <w:sz w:val="24"/>
          <w:szCs w:val="24"/>
        </w:rPr>
        <w:t>dihydropyridin</w:t>
      </w:r>
      <w:proofErr w:type="spellEnd"/>
      <w:r w:rsidRPr="0083571A">
        <w:rPr>
          <w:i/>
          <w:iCs/>
          <w:sz w:val="24"/>
          <w:szCs w:val="24"/>
        </w:rPr>
        <w:t>-derivater</w:t>
      </w:r>
    </w:p>
    <w:p w:rsidR="0083571A" w:rsidRPr="0083571A" w:rsidRDefault="0083571A" w:rsidP="0083571A">
      <w:pPr>
        <w:ind w:left="851"/>
        <w:rPr>
          <w:sz w:val="24"/>
          <w:szCs w:val="24"/>
        </w:rPr>
      </w:pPr>
      <w:proofErr w:type="spellStart"/>
      <w:r w:rsidRPr="0083571A">
        <w:rPr>
          <w:sz w:val="24"/>
          <w:szCs w:val="24"/>
        </w:rPr>
        <w:t>Isofluran</w:t>
      </w:r>
      <w:proofErr w:type="spellEnd"/>
      <w:r w:rsidRPr="0083571A">
        <w:rPr>
          <w:sz w:val="24"/>
          <w:szCs w:val="24"/>
        </w:rPr>
        <w:t xml:space="preserve"> kan give markant hypotension hos patienter i behandling med calciumantagonister. Der bør udvises forsigtighed, når calciumantagonister bliver brugt samtidig med </w:t>
      </w:r>
      <w:proofErr w:type="spellStart"/>
      <w:r w:rsidRPr="0083571A">
        <w:rPr>
          <w:sz w:val="24"/>
          <w:szCs w:val="24"/>
        </w:rPr>
        <w:t>inhalationsanæstetika</w:t>
      </w:r>
      <w:proofErr w:type="spellEnd"/>
      <w:r w:rsidRPr="0083571A">
        <w:rPr>
          <w:sz w:val="24"/>
          <w:szCs w:val="24"/>
        </w:rPr>
        <w:t xml:space="preserve">, herunder </w:t>
      </w:r>
      <w:proofErr w:type="spellStart"/>
      <w:r w:rsidRPr="0083571A">
        <w:rPr>
          <w:sz w:val="24"/>
          <w:szCs w:val="24"/>
        </w:rPr>
        <w:t>isofluran</w:t>
      </w:r>
      <w:proofErr w:type="spellEnd"/>
      <w:r w:rsidRPr="0083571A">
        <w:rPr>
          <w:sz w:val="24"/>
          <w:szCs w:val="24"/>
        </w:rPr>
        <w:t>, grundet risikoen for yderligere negativ inotrop effekt.</w:t>
      </w:r>
    </w:p>
    <w:p w:rsidR="00833EFD" w:rsidRPr="0083571A" w:rsidRDefault="00833EFD" w:rsidP="00B279A9">
      <w:pPr>
        <w:rPr>
          <w:sz w:val="24"/>
          <w:szCs w:val="24"/>
        </w:rPr>
      </w:pPr>
    </w:p>
    <w:p w:rsidR="0083571A" w:rsidRPr="0083571A" w:rsidRDefault="0083571A" w:rsidP="0083571A">
      <w:pPr>
        <w:ind w:left="851"/>
        <w:rPr>
          <w:i/>
          <w:iCs/>
          <w:sz w:val="24"/>
          <w:szCs w:val="24"/>
        </w:rPr>
      </w:pPr>
      <w:r w:rsidRPr="0083571A">
        <w:rPr>
          <w:i/>
          <w:iCs/>
          <w:sz w:val="24"/>
          <w:szCs w:val="24"/>
        </w:rPr>
        <w:t xml:space="preserve">Opioider, benzodiazepiner og andre </w:t>
      </w:r>
      <w:proofErr w:type="spellStart"/>
      <w:r w:rsidRPr="0083571A">
        <w:rPr>
          <w:i/>
          <w:iCs/>
          <w:sz w:val="24"/>
          <w:szCs w:val="24"/>
        </w:rPr>
        <w:t>sedativa</w:t>
      </w:r>
      <w:proofErr w:type="spellEnd"/>
    </w:p>
    <w:p w:rsidR="0083571A" w:rsidRPr="0083571A" w:rsidRDefault="0083571A" w:rsidP="0083571A">
      <w:pPr>
        <w:ind w:left="851"/>
        <w:rPr>
          <w:sz w:val="24"/>
          <w:szCs w:val="24"/>
        </w:rPr>
      </w:pPr>
      <w:r w:rsidRPr="0083571A">
        <w:rPr>
          <w:sz w:val="24"/>
          <w:szCs w:val="24"/>
        </w:rPr>
        <w:t xml:space="preserve">Opioider, benzodiazepiner og andre </w:t>
      </w:r>
      <w:proofErr w:type="spellStart"/>
      <w:r w:rsidRPr="0083571A">
        <w:rPr>
          <w:sz w:val="24"/>
          <w:szCs w:val="24"/>
        </w:rPr>
        <w:t>sedativa</w:t>
      </w:r>
      <w:proofErr w:type="spellEnd"/>
      <w:r w:rsidRPr="0083571A">
        <w:rPr>
          <w:sz w:val="24"/>
          <w:szCs w:val="24"/>
        </w:rPr>
        <w:t xml:space="preserve"> er forbundet med respirationsdepression, og der bør udvises forsigtighed ved samtidig administration med </w:t>
      </w:r>
      <w:proofErr w:type="spellStart"/>
      <w:r w:rsidRPr="0083571A">
        <w:rPr>
          <w:sz w:val="24"/>
          <w:szCs w:val="24"/>
        </w:rPr>
        <w:t>isofluran</w:t>
      </w:r>
      <w:proofErr w:type="spellEnd"/>
      <w:r w:rsidRPr="0083571A">
        <w:rPr>
          <w:sz w:val="24"/>
          <w:szCs w:val="24"/>
        </w:rPr>
        <w:t>.</w:t>
      </w:r>
    </w:p>
    <w:p w:rsidR="0083571A" w:rsidRPr="0083571A" w:rsidRDefault="0083571A" w:rsidP="0083571A">
      <w:pPr>
        <w:ind w:left="851"/>
        <w:rPr>
          <w:sz w:val="24"/>
          <w:szCs w:val="24"/>
        </w:rPr>
      </w:pPr>
    </w:p>
    <w:p w:rsidR="0083571A" w:rsidRPr="0083571A" w:rsidRDefault="0083571A" w:rsidP="0083571A">
      <w:pPr>
        <w:ind w:left="851"/>
        <w:rPr>
          <w:i/>
          <w:iCs/>
          <w:sz w:val="24"/>
          <w:szCs w:val="24"/>
        </w:rPr>
      </w:pPr>
      <w:proofErr w:type="spellStart"/>
      <w:r w:rsidRPr="0083571A">
        <w:rPr>
          <w:i/>
          <w:iCs/>
          <w:sz w:val="24"/>
          <w:szCs w:val="24"/>
        </w:rPr>
        <w:t>Muskelrelaksantia</w:t>
      </w:r>
      <w:proofErr w:type="spellEnd"/>
    </w:p>
    <w:p w:rsidR="0083571A" w:rsidRPr="0083571A" w:rsidRDefault="0083571A" w:rsidP="0083571A">
      <w:pPr>
        <w:suppressAutoHyphens/>
        <w:ind w:left="851"/>
        <w:rPr>
          <w:sz w:val="24"/>
          <w:szCs w:val="24"/>
        </w:rPr>
      </w:pPr>
      <w:r w:rsidRPr="0083571A">
        <w:rPr>
          <w:sz w:val="24"/>
          <w:szCs w:val="24"/>
        </w:rPr>
        <w:t xml:space="preserve">Alle almindeligt anvendte </w:t>
      </w:r>
      <w:proofErr w:type="spellStart"/>
      <w:r w:rsidRPr="0083571A">
        <w:rPr>
          <w:sz w:val="24"/>
          <w:szCs w:val="24"/>
        </w:rPr>
        <w:t>muskelrelaksantia</w:t>
      </w:r>
      <w:proofErr w:type="spellEnd"/>
      <w:r w:rsidRPr="0083571A">
        <w:rPr>
          <w:sz w:val="24"/>
          <w:szCs w:val="24"/>
        </w:rPr>
        <w:t xml:space="preserve"> forstærkes markant af </w:t>
      </w:r>
      <w:proofErr w:type="spellStart"/>
      <w:r w:rsidRPr="0083571A">
        <w:rPr>
          <w:sz w:val="24"/>
          <w:szCs w:val="24"/>
        </w:rPr>
        <w:t>isofluran</w:t>
      </w:r>
      <w:proofErr w:type="spellEnd"/>
      <w:r w:rsidRPr="0083571A">
        <w:rPr>
          <w:sz w:val="24"/>
          <w:szCs w:val="24"/>
        </w:rPr>
        <w:t>. Virkningen er kraftigst med ikke-</w:t>
      </w:r>
      <w:proofErr w:type="spellStart"/>
      <w:r w:rsidRPr="0083571A">
        <w:rPr>
          <w:sz w:val="24"/>
          <w:szCs w:val="24"/>
        </w:rPr>
        <w:t>depolariserende</w:t>
      </w:r>
      <w:proofErr w:type="spellEnd"/>
      <w:r w:rsidRPr="0083571A">
        <w:rPr>
          <w:sz w:val="24"/>
          <w:szCs w:val="24"/>
        </w:rPr>
        <w:t xml:space="preserve"> lægemidler.</w:t>
      </w:r>
      <w:r w:rsidRPr="0083571A">
        <w:rPr>
          <w:spacing w:val="-3"/>
          <w:sz w:val="24"/>
          <w:szCs w:val="24"/>
          <w:lang w:eastAsia="da-DK"/>
        </w:rPr>
        <w:t xml:space="preserve"> </w:t>
      </w:r>
      <w:proofErr w:type="spellStart"/>
      <w:r w:rsidRPr="0083571A">
        <w:rPr>
          <w:sz w:val="24"/>
          <w:szCs w:val="24"/>
        </w:rPr>
        <w:t>Neostigmin</w:t>
      </w:r>
      <w:proofErr w:type="spellEnd"/>
      <w:r w:rsidRPr="0083571A">
        <w:rPr>
          <w:sz w:val="24"/>
          <w:szCs w:val="24"/>
        </w:rPr>
        <w:t xml:space="preserve"> vil </w:t>
      </w:r>
      <w:proofErr w:type="spellStart"/>
      <w:r w:rsidRPr="0083571A">
        <w:rPr>
          <w:sz w:val="24"/>
          <w:szCs w:val="24"/>
        </w:rPr>
        <w:t>antagonisere</w:t>
      </w:r>
      <w:proofErr w:type="spellEnd"/>
      <w:r w:rsidRPr="0083571A">
        <w:rPr>
          <w:sz w:val="24"/>
          <w:szCs w:val="24"/>
        </w:rPr>
        <w:t xml:space="preserve"> virkningen af ikke-</w:t>
      </w:r>
      <w:proofErr w:type="spellStart"/>
      <w:r w:rsidRPr="0083571A">
        <w:rPr>
          <w:sz w:val="24"/>
          <w:szCs w:val="24"/>
        </w:rPr>
        <w:t>depolariserede</w:t>
      </w:r>
      <w:proofErr w:type="spellEnd"/>
      <w:r w:rsidRPr="0083571A">
        <w:rPr>
          <w:sz w:val="24"/>
          <w:szCs w:val="24"/>
        </w:rPr>
        <w:t xml:space="preserve"> </w:t>
      </w:r>
      <w:proofErr w:type="spellStart"/>
      <w:r w:rsidRPr="0083571A">
        <w:rPr>
          <w:sz w:val="24"/>
          <w:szCs w:val="24"/>
        </w:rPr>
        <w:t>muskelrelaksantia</w:t>
      </w:r>
      <w:proofErr w:type="spellEnd"/>
      <w:r w:rsidRPr="0083571A">
        <w:rPr>
          <w:sz w:val="24"/>
          <w:szCs w:val="24"/>
        </w:rPr>
        <w:t xml:space="preserve">, men det har ingen indvirkning på den muskelafslappende effekt, der er forårsaget af </w:t>
      </w:r>
      <w:proofErr w:type="spellStart"/>
      <w:r w:rsidRPr="0083571A">
        <w:rPr>
          <w:sz w:val="24"/>
          <w:szCs w:val="24"/>
        </w:rPr>
        <w:t>isofluran</w:t>
      </w:r>
      <w:proofErr w:type="spellEnd"/>
      <w:r w:rsidRPr="0083571A">
        <w:rPr>
          <w:sz w:val="24"/>
          <w:szCs w:val="24"/>
        </w:rPr>
        <w:t xml:space="preserve"> selv.</w:t>
      </w:r>
    </w:p>
    <w:p w:rsidR="0083571A" w:rsidRPr="0083571A" w:rsidRDefault="0083571A" w:rsidP="0083571A">
      <w:pPr>
        <w:suppressAutoHyphens/>
        <w:ind w:left="851"/>
        <w:rPr>
          <w:sz w:val="24"/>
          <w:szCs w:val="24"/>
        </w:rPr>
      </w:pPr>
    </w:p>
    <w:p w:rsidR="0083571A" w:rsidRPr="0083571A" w:rsidRDefault="0083571A" w:rsidP="0083571A">
      <w:pPr>
        <w:ind w:left="851"/>
        <w:rPr>
          <w:i/>
          <w:iCs/>
          <w:sz w:val="24"/>
          <w:szCs w:val="24"/>
        </w:rPr>
      </w:pPr>
      <w:proofErr w:type="spellStart"/>
      <w:r w:rsidRPr="0083571A">
        <w:rPr>
          <w:i/>
          <w:iCs/>
          <w:sz w:val="24"/>
          <w:szCs w:val="24"/>
        </w:rPr>
        <w:t>Isoniazid</w:t>
      </w:r>
      <w:proofErr w:type="spellEnd"/>
    </w:p>
    <w:p w:rsidR="009260DE" w:rsidRPr="00C84483" w:rsidRDefault="0083571A" w:rsidP="00595FC0">
      <w:pPr>
        <w:ind w:left="851"/>
        <w:rPr>
          <w:sz w:val="24"/>
          <w:szCs w:val="24"/>
        </w:rPr>
      </w:pPr>
      <w:r w:rsidRPr="0083571A">
        <w:rPr>
          <w:sz w:val="24"/>
          <w:szCs w:val="24"/>
        </w:rPr>
        <w:t xml:space="preserve">Samtidig anvendelse af </w:t>
      </w:r>
      <w:proofErr w:type="spellStart"/>
      <w:r w:rsidRPr="0083571A">
        <w:rPr>
          <w:sz w:val="24"/>
          <w:szCs w:val="24"/>
        </w:rPr>
        <w:t>isofluran</w:t>
      </w:r>
      <w:proofErr w:type="spellEnd"/>
      <w:r w:rsidRPr="0083571A">
        <w:rPr>
          <w:sz w:val="24"/>
          <w:szCs w:val="24"/>
        </w:rPr>
        <w:t xml:space="preserve"> og </w:t>
      </w:r>
      <w:proofErr w:type="spellStart"/>
      <w:r w:rsidRPr="0083571A">
        <w:rPr>
          <w:sz w:val="24"/>
          <w:szCs w:val="24"/>
        </w:rPr>
        <w:t>isoniazid</w:t>
      </w:r>
      <w:proofErr w:type="spellEnd"/>
      <w:r w:rsidRPr="0083571A">
        <w:rPr>
          <w:sz w:val="24"/>
          <w:szCs w:val="24"/>
        </w:rPr>
        <w:t xml:space="preserve"> kan føre til </w:t>
      </w:r>
      <w:proofErr w:type="spellStart"/>
      <w:r w:rsidRPr="0083571A">
        <w:rPr>
          <w:sz w:val="24"/>
          <w:szCs w:val="24"/>
        </w:rPr>
        <w:t>hepatotoksiske</w:t>
      </w:r>
      <w:proofErr w:type="spellEnd"/>
      <w:r w:rsidRPr="0083571A">
        <w:rPr>
          <w:sz w:val="24"/>
          <w:szCs w:val="24"/>
        </w:rPr>
        <w:t xml:space="preserve"> 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D3FCB">
        <w:rPr>
          <w:b/>
          <w:sz w:val="24"/>
          <w:szCs w:val="24"/>
        </w:rPr>
        <w:t>Fertilitet, g</w:t>
      </w:r>
      <w:r w:rsidRPr="00C84483">
        <w:rPr>
          <w:b/>
          <w:sz w:val="24"/>
          <w:szCs w:val="24"/>
        </w:rPr>
        <w:t>raviditet og amning</w:t>
      </w:r>
    </w:p>
    <w:p w:rsidR="00D86DF3" w:rsidRPr="00D86DF3" w:rsidRDefault="00D86DF3" w:rsidP="00D86DF3">
      <w:pPr>
        <w:ind w:left="851"/>
        <w:rPr>
          <w:sz w:val="24"/>
          <w:szCs w:val="24"/>
        </w:rPr>
      </w:pPr>
    </w:p>
    <w:p w:rsidR="00D86DF3" w:rsidRPr="00D86DF3" w:rsidRDefault="00D86DF3" w:rsidP="00D86DF3">
      <w:pPr>
        <w:ind w:left="851"/>
        <w:rPr>
          <w:sz w:val="24"/>
          <w:szCs w:val="24"/>
          <w:u w:val="single"/>
        </w:rPr>
      </w:pPr>
      <w:r w:rsidRPr="00D86DF3">
        <w:rPr>
          <w:sz w:val="24"/>
          <w:szCs w:val="24"/>
          <w:u w:val="single"/>
        </w:rPr>
        <w:t>Graviditet</w:t>
      </w:r>
    </w:p>
    <w:p w:rsidR="00D86DF3" w:rsidRPr="00D86DF3" w:rsidRDefault="00D86DF3" w:rsidP="00D86DF3">
      <w:pPr>
        <w:ind w:left="851"/>
        <w:rPr>
          <w:sz w:val="24"/>
          <w:szCs w:val="24"/>
        </w:rPr>
      </w:pPr>
      <w:r w:rsidRPr="00D86DF3">
        <w:rPr>
          <w:sz w:val="24"/>
          <w:szCs w:val="24"/>
        </w:rPr>
        <w:t xml:space="preserve">Der er ingen eller en begrænset mængde data om brugen af </w:t>
      </w:r>
      <w:proofErr w:type="spellStart"/>
      <w:r w:rsidRPr="00D86DF3">
        <w:rPr>
          <w:sz w:val="24"/>
          <w:szCs w:val="24"/>
        </w:rPr>
        <w:t>isofluran</w:t>
      </w:r>
      <w:proofErr w:type="spellEnd"/>
      <w:r w:rsidRPr="00D86DF3">
        <w:rPr>
          <w:sz w:val="24"/>
          <w:szCs w:val="24"/>
        </w:rPr>
        <w:t xml:space="preserve"> til gravide kvinder. Dyrestudier har påvist reproduktionstoksicitet (se pkt. 5.3). </w:t>
      </w:r>
      <w:proofErr w:type="spellStart"/>
      <w:r w:rsidRPr="00D86DF3">
        <w:rPr>
          <w:sz w:val="24"/>
          <w:szCs w:val="24"/>
        </w:rPr>
        <w:t>Isofluran</w:t>
      </w:r>
      <w:proofErr w:type="spellEnd"/>
      <w:r w:rsidRPr="00D86DF3">
        <w:rPr>
          <w:sz w:val="24"/>
          <w:szCs w:val="24"/>
        </w:rPr>
        <w:t xml:space="preserve"> har en afslappende virkning på uterus med mulig risiko for </w:t>
      </w:r>
      <w:proofErr w:type="spellStart"/>
      <w:r w:rsidRPr="00D86DF3">
        <w:rPr>
          <w:sz w:val="24"/>
          <w:szCs w:val="24"/>
        </w:rPr>
        <w:t>uterin</w:t>
      </w:r>
      <w:proofErr w:type="spellEnd"/>
      <w:r w:rsidRPr="00D86DF3">
        <w:rPr>
          <w:sz w:val="24"/>
          <w:szCs w:val="24"/>
        </w:rPr>
        <w:t xml:space="preserve"> blødning. </w:t>
      </w:r>
      <w:proofErr w:type="spellStart"/>
      <w:r w:rsidR="00875CEF">
        <w:rPr>
          <w:sz w:val="24"/>
          <w:szCs w:val="24"/>
        </w:rPr>
        <w:t>Sedaconda</w:t>
      </w:r>
      <w:proofErr w:type="spellEnd"/>
      <w:r w:rsidR="00875CEF">
        <w:rPr>
          <w:sz w:val="24"/>
          <w:szCs w:val="24"/>
        </w:rPr>
        <w:t xml:space="preserve"> bør ikke anvendes til gravide kvinder, medmindre det er absolut nødvendigt.</w:t>
      </w:r>
    </w:p>
    <w:p w:rsidR="00D86DF3" w:rsidRPr="00D86DF3" w:rsidRDefault="00D86DF3" w:rsidP="00D86DF3">
      <w:pPr>
        <w:ind w:left="851"/>
        <w:rPr>
          <w:sz w:val="24"/>
          <w:szCs w:val="24"/>
        </w:rPr>
      </w:pPr>
    </w:p>
    <w:p w:rsidR="00D86DF3" w:rsidRPr="00D86DF3" w:rsidRDefault="00D86DF3" w:rsidP="00D86DF3">
      <w:pPr>
        <w:ind w:left="851"/>
        <w:rPr>
          <w:sz w:val="24"/>
          <w:szCs w:val="24"/>
          <w:u w:val="single"/>
        </w:rPr>
      </w:pPr>
      <w:r w:rsidRPr="00D86DF3">
        <w:rPr>
          <w:sz w:val="24"/>
          <w:szCs w:val="24"/>
          <w:u w:val="single"/>
        </w:rPr>
        <w:t>Amning</w:t>
      </w:r>
    </w:p>
    <w:p w:rsidR="00D86DF3" w:rsidRPr="00D86DF3" w:rsidRDefault="00D86DF3" w:rsidP="00D86DF3">
      <w:pPr>
        <w:ind w:left="851"/>
        <w:rPr>
          <w:sz w:val="24"/>
          <w:szCs w:val="24"/>
        </w:rPr>
      </w:pPr>
      <w:r w:rsidRPr="00D86DF3">
        <w:rPr>
          <w:sz w:val="24"/>
          <w:szCs w:val="24"/>
        </w:rPr>
        <w:t xml:space="preserve">Det vides ikke, om </w:t>
      </w:r>
      <w:proofErr w:type="spellStart"/>
      <w:r w:rsidRPr="00D86DF3">
        <w:rPr>
          <w:sz w:val="24"/>
          <w:szCs w:val="24"/>
        </w:rPr>
        <w:t>isofluran</w:t>
      </w:r>
      <w:proofErr w:type="spellEnd"/>
      <w:r w:rsidRPr="00D86DF3">
        <w:rPr>
          <w:sz w:val="24"/>
          <w:szCs w:val="24"/>
        </w:rPr>
        <w:t xml:space="preserve">/metabolitter udskilles i modermælk. Da mange aktive stoffer udskilles i modermælk, bør der udvises forsigtighed, når </w:t>
      </w:r>
      <w:proofErr w:type="spellStart"/>
      <w:r w:rsidRPr="00D86DF3">
        <w:rPr>
          <w:sz w:val="24"/>
          <w:szCs w:val="24"/>
        </w:rPr>
        <w:t>isofluran</w:t>
      </w:r>
      <w:proofErr w:type="spellEnd"/>
      <w:r w:rsidRPr="00D86DF3">
        <w:rPr>
          <w:sz w:val="24"/>
          <w:szCs w:val="24"/>
        </w:rPr>
        <w:t xml:space="preserve"> administreres til kvinder, der ammer.</w:t>
      </w:r>
    </w:p>
    <w:p w:rsidR="00D86DF3" w:rsidRPr="00D86DF3" w:rsidRDefault="00D86DF3" w:rsidP="00D86DF3">
      <w:pPr>
        <w:ind w:left="851"/>
        <w:rPr>
          <w:sz w:val="24"/>
          <w:szCs w:val="24"/>
        </w:rPr>
      </w:pPr>
    </w:p>
    <w:p w:rsidR="00D86DF3" w:rsidRPr="00D86DF3" w:rsidRDefault="00D86DF3" w:rsidP="00D86DF3">
      <w:pPr>
        <w:ind w:left="851"/>
        <w:rPr>
          <w:sz w:val="24"/>
          <w:szCs w:val="24"/>
          <w:u w:val="single"/>
        </w:rPr>
      </w:pPr>
      <w:r w:rsidRPr="00D86DF3">
        <w:rPr>
          <w:sz w:val="24"/>
          <w:szCs w:val="24"/>
          <w:u w:val="single"/>
        </w:rPr>
        <w:t>Fertilitet</w:t>
      </w:r>
    </w:p>
    <w:p w:rsidR="00D86DF3" w:rsidRPr="00D86DF3" w:rsidRDefault="00D86DF3" w:rsidP="00D86DF3">
      <w:pPr>
        <w:ind w:left="851"/>
        <w:rPr>
          <w:sz w:val="24"/>
          <w:szCs w:val="24"/>
        </w:rPr>
      </w:pPr>
      <w:r w:rsidRPr="00D86DF3">
        <w:rPr>
          <w:sz w:val="24"/>
          <w:szCs w:val="24"/>
        </w:rPr>
        <w:t>Der er ingen tilgængelige fertilitetsdata fra brug hos mennesker. Dyrestudier viste ingen indvirkning på fertiliteten hos hverken hanner eller hunner,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3D3FCB">
        <w:rPr>
          <w:b/>
          <w:sz w:val="24"/>
          <w:szCs w:val="24"/>
        </w:rPr>
        <w:t>og</w:t>
      </w:r>
      <w:r w:rsidRPr="00C84483">
        <w:rPr>
          <w:b/>
          <w:sz w:val="24"/>
          <w:szCs w:val="24"/>
        </w:rPr>
        <w:t xml:space="preserve"> betjene maskiner</w:t>
      </w:r>
    </w:p>
    <w:p w:rsidR="00D86DF3" w:rsidRDefault="00D86DF3" w:rsidP="00D86DF3">
      <w:pPr>
        <w:ind w:left="851"/>
        <w:rPr>
          <w:sz w:val="24"/>
          <w:szCs w:val="24"/>
        </w:rPr>
      </w:pPr>
      <w:r>
        <w:rPr>
          <w:sz w:val="24"/>
          <w:szCs w:val="24"/>
        </w:rPr>
        <w:t>Ikke mærkning.</w:t>
      </w:r>
    </w:p>
    <w:p w:rsidR="00B279A9" w:rsidRPr="00D86DF3" w:rsidRDefault="00B279A9" w:rsidP="00B279A9">
      <w:pPr>
        <w:ind w:left="851"/>
        <w:rPr>
          <w:sz w:val="24"/>
          <w:szCs w:val="24"/>
        </w:rPr>
      </w:pPr>
      <w:r>
        <w:rPr>
          <w:sz w:val="24"/>
          <w:szCs w:val="24"/>
        </w:rPr>
        <w:t xml:space="preserve">Dette lægemiddel kan påvirke evnen til at føre motorkøretøj og betjene maskiner. </w:t>
      </w:r>
      <w:r w:rsidRPr="00D86DF3">
        <w:rPr>
          <w:sz w:val="24"/>
          <w:szCs w:val="24"/>
        </w:rPr>
        <w:t xml:space="preserve">Patienten bør ikke føre motorkøretøj eller betjene maskiner i mindst 24 timer efter sedation med </w:t>
      </w:r>
      <w:proofErr w:type="spellStart"/>
      <w:r w:rsidRPr="00D86DF3">
        <w:rPr>
          <w:sz w:val="24"/>
          <w:szCs w:val="24"/>
        </w:rPr>
        <w:t>isofluran</w:t>
      </w:r>
      <w:proofErr w:type="spellEnd"/>
      <w:r w:rsidRPr="00D86DF3">
        <w:rPr>
          <w:sz w:val="24"/>
          <w:szCs w:val="24"/>
        </w:rPr>
        <w:t xml:space="preserve">. Ændringer i adfærd og intellektuel funktion kan vare i op til 6 dage efter brug af </w:t>
      </w:r>
      <w:proofErr w:type="spellStart"/>
      <w:r w:rsidRPr="00D86DF3">
        <w:rPr>
          <w:sz w:val="24"/>
          <w:szCs w:val="24"/>
        </w:rPr>
        <w:t>isofluran</w:t>
      </w:r>
      <w:proofErr w:type="spellEnd"/>
      <w:r w:rsidRPr="00D86DF3">
        <w:rPr>
          <w:sz w:val="24"/>
          <w:szCs w:val="24"/>
        </w:rPr>
        <w:t xml:space="preserve"> som </w:t>
      </w:r>
      <w:proofErr w:type="spellStart"/>
      <w:r w:rsidRPr="00D86DF3">
        <w:rPr>
          <w:sz w:val="24"/>
          <w:szCs w:val="24"/>
        </w:rPr>
        <w:t>anæstetikum</w:t>
      </w:r>
      <w:proofErr w:type="spellEnd"/>
      <w:r w:rsidRPr="00D86DF3">
        <w:rPr>
          <w:sz w:val="24"/>
          <w:szCs w:val="24"/>
        </w:rPr>
        <w:t>. Dette skal tages i betragtning, når patienterne genoptager normale daglige aktiviteter, herunder bilkørsel eller håndtering af komplicerede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92748" w:rsidRPr="00192748" w:rsidRDefault="00192748" w:rsidP="00192748">
      <w:pPr>
        <w:ind w:left="851"/>
        <w:rPr>
          <w:sz w:val="24"/>
          <w:szCs w:val="24"/>
        </w:rPr>
      </w:pPr>
    </w:p>
    <w:p w:rsidR="00B279A9" w:rsidRPr="00192748" w:rsidRDefault="00B279A9" w:rsidP="00B279A9">
      <w:pPr>
        <w:ind w:left="851"/>
        <w:rPr>
          <w:sz w:val="24"/>
          <w:szCs w:val="24"/>
          <w:u w:val="single"/>
        </w:rPr>
      </w:pPr>
      <w:r w:rsidRPr="00192748">
        <w:rPr>
          <w:sz w:val="24"/>
          <w:szCs w:val="24"/>
          <w:u w:val="single"/>
        </w:rPr>
        <w:t>Resum</w:t>
      </w:r>
      <w:r>
        <w:rPr>
          <w:sz w:val="24"/>
          <w:szCs w:val="24"/>
          <w:u w:val="single"/>
        </w:rPr>
        <w:t>é</w:t>
      </w:r>
      <w:r w:rsidRPr="00192748">
        <w:rPr>
          <w:sz w:val="24"/>
          <w:szCs w:val="24"/>
          <w:u w:val="single"/>
        </w:rPr>
        <w:t xml:space="preserve"> af </w:t>
      </w:r>
      <w:r>
        <w:rPr>
          <w:sz w:val="24"/>
          <w:szCs w:val="24"/>
          <w:u w:val="single"/>
        </w:rPr>
        <w:t>sikkerheds</w:t>
      </w:r>
      <w:r w:rsidRPr="00192748">
        <w:rPr>
          <w:sz w:val="24"/>
          <w:szCs w:val="24"/>
          <w:u w:val="single"/>
        </w:rPr>
        <w:t>profilen</w:t>
      </w:r>
    </w:p>
    <w:p w:rsidR="00192748" w:rsidRPr="00192748" w:rsidRDefault="00192748" w:rsidP="00192748">
      <w:pPr>
        <w:ind w:left="851"/>
        <w:rPr>
          <w:sz w:val="24"/>
          <w:szCs w:val="24"/>
        </w:rPr>
      </w:pPr>
      <w:r w:rsidRPr="00192748">
        <w:rPr>
          <w:sz w:val="24"/>
          <w:szCs w:val="24"/>
        </w:rPr>
        <w:t xml:space="preserve">Bivirkninger, der opstår under administrationen af </w:t>
      </w:r>
      <w:proofErr w:type="spellStart"/>
      <w:r w:rsidRPr="00192748">
        <w:rPr>
          <w:sz w:val="24"/>
          <w:szCs w:val="24"/>
        </w:rPr>
        <w:t>isofluran</w:t>
      </w:r>
      <w:proofErr w:type="spellEnd"/>
      <w:r w:rsidRPr="00192748">
        <w:rPr>
          <w:sz w:val="24"/>
          <w:szCs w:val="24"/>
        </w:rPr>
        <w:t xml:space="preserve">, er normalt dosisafhængige forværringer af de </w:t>
      </w:r>
      <w:proofErr w:type="spellStart"/>
      <w:r w:rsidRPr="00192748">
        <w:rPr>
          <w:sz w:val="24"/>
          <w:szCs w:val="24"/>
        </w:rPr>
        <w:t>farmakofysiologiske</w:t>
      </w:r>
      <w:proofErr w:type="spellEnd"/>
      <w:r w:rsidRPr="00192748">
        <w:rPr>
          <w:sz w:val="24"/>
          <w:szCs w:val="24"/>
        </w:rPr>
        <w:t xml:space="preserve"> virkninger og omfatter respirationsdepression, hypotension og </w:t>
      </w:r>
      <w:proofErr w:type="spellStart"/>
      <w:r w:rsidRPr="00192748">
        <w:rPr>
          <w:sz w:val="24"/>
          <w:szCs w:val="24"/>
        </w:rPr>
        <w:t>arytmier</w:t>
      </w:r>
      <w:proofErr w:type="spellEnd"/>
      <w:r w:rsidRPr="00192748">
        <w:rPr>
          <w:sz w:val="24"/>
          <w:szCs w:val="24"/>
        </w:rPr>
        <w:t xml:space="preserve">. Potentielt alvorlige bivirkninger omfatter malign </w:t>
      </w:r>
      <w:proofErr w:type="spellStart"/>
      <w:r w:rsidRPr="00192748">
        <w:rPr>
          <w:sz w:val="24"/>
          <w:szCs w:val="24"/>
        </w:rPr>
        <w:t>hypertermi</w:t>
      </w:r>
      <w:proofErr w:type="spellEnd"/>
      <w:r w:rsidRPr="00192748">
        <w:rPr>
          <w:sz w:val="24"/>
          <w:szCs w:val="24"/>
        </w:rPr>
        <w:t xml:space="preserve">, </w:t>
      </w:r>
      <w:proofErr w:type="spellStart"/>
      <w:r w:rsidRPr="00192748">
        <w:rPr>
          <w:sz w:val="24"/>
          <w:szCs w:val="24"/>
        </w:rPr>
        <w:t>anafylaktiske</w:t>
      </w:r>
      <w:proofErr w:type="spellEnd"/>
      <w:r w:rsidRPr="00192748">
        <w:rPr>
          <w:sz w:val="24"/>
          <w:szCs w:val="24"/>
        </w:rPr>
        <w:t xml:space="preserve"> reaktioner og leverpåvirkninger (se pkt. 4.4 og 4.8).</w:t>
      </w:r>
    </w:p>
    <w:p w:rsidR="00192748" w:rsidRPr="00192748" w:rsidRDefault="00192748" w:rsidP="00192748">
      <w:pPr>
        <w:ind w:left="851"/>
        <w:rPr>
          <w:sz w:val="24"/>
          <w:szCs w:val="24"/>
        </w:rPr>
      </w:pPr>
    </w:p>
    <w:p w:rsidR="00192748" w:rsidRPr="00192748" w:rsidRDefault="00192748" w:rsidP="00192748">
      <w:pPr>
        <w:ind w:left="851"/>
        <w:rPr>
          <w:sz w:val="24"/>
          <w:szCs w:val="24"/>
        </w:rPr>
      </w:pPr>
      <w:r w:rsidRPr="00192748">
        <w:rPr>
          <w:sz w:val="24"/>
          <w:szCs w:val="24"/>
        </w:rPr>
        <w:t xml:space="preserve">Der er blevet observeret hjertestop ved brug af universelle </w:t>
      </w:r>
      <w:proofErr w:type="spellStart"/>
      <w:r w:rsidRPr="00192748">
        <w:rPr>
          <w:sz w:val="24"/>
          <w:szCs w:val="24"/>
        </w:rPr>
        <w:t>inhalationsanæstetika</w:t>
      </w:r>
      <w:proofErr w:type="spellEnd"/>
      <w:r w:rsidRPr="00192748">
        <w:rPr>
          <w:sz w:val="24"/>
          <w:szCs w:val="24"/>
        </w:rPr>
        <w:t xml:space="preserve">, herunder </w:t>
      </w:r>
      <w:proofErr w:type="spellStart"/>
      <w:r w:rsidRPr="00192748">
        <w:rPr>
          <w:sz w:val="24"/>
          <w:szCs w:val="24"/>
        </w:rPr>
        <w:t>isofluran</w:t>
      </w:r>
      <w:proofErr w:type="spellEnd"/>
      <w:r w:rsidRPr="00192748">
        <w:rPr>
          <w:sz w:val="24"/>
          <w:szCs w:val="24"/>
        </w:rPr>
        <w:t>.</w:t>
      </w:r>
    </w:p>
    <w:p w:rsidR="00192748" w:rsidRPr="00192748" w:rsidRDefault="00192748" w:rsidP="00192748">
      <w:pPr>
        <w:ind w:left="851"/>
        <w:rPr>
          <w:sz w:val="24"/>
          <w:szCs w:val="24"/>
        </w:rPr>
      </w:pPr>
    </w:p>
    <w:p w:rsidR="00B279A9" w:rsidRPr="00192748" w:rsidRDefault="00B279A9" w:rsidP="00B279A9">
      <w:pPr>
        <w:keepNext/>
        <w:ind w:left="851"/>
        <w:rPr>
          <w:sz w:val="24"/>
          <w:szCs w:val="24"/>
          <w:u w:val="single"/>
        </w:rPr>
      </w:pPr>
      <w:r w:rsidRPr="00192748">
        <w:rPr>
          <w:sz w:val="24"/>
          <w:szCs w:val="24"/>
          <w:u w:val="single"/>
        </w:rPr>
        <w:t>Oversigt over bivirkninger i tabelform</w:t>
      </w:r>
    </w:p>
    <w:p w:rsidR="00B279A9" w:rsidRPr="00192748" w:rsidRDefault="00B279A9" w:rsidP="00B279A9">
      <w:pPr>
        <w:ind w:left="851"/>
        <w:rPr>
          <w:sz w:val="24"/>
          <w:szCs w:val="24"/>
        </w:rPr>
      </w:pPr>
      <w:r w:rsidRPr="00192748">
        <w:rPr>
          <w:sz w:val="24"/>
          <w:szCs w:val="24"/>
        </w:rPr>
        <w:t xml:space="preserve">Bivirkningerne er kategoriseret i henhold til følgende konvention: </w:t>
      </w:r>
      <w:r>
        <w:rPr>
          <w:sz w:val="24"/>
          <w:szCs w:val="24"/>
        </w:rPr>
        <w:t>M</w:t>
      </w:r>
      <w:r w:rsidRPr="00192748">
        <w:rPr>
          <w:sz w:val="24"/>
          <w:szCs w:val="24"/>
        </w:rPr>
        <w:t>eget almindelig (≥</w:t>
      </w:r>
      <w:r>
        <w:rPr>
          <w:sz w:val="24"/>
          <w:szCs w:val="24"/>
        </w:rPr>
        <w:t> </w:t>
      </w:r>
      <w:r w:rsidRPr="00192748">
        <w:rPr>
          <w:sz w:val="24"/>
          <w:szCs w:val="24"/>
        </w:rPr>
        <w:t>1/10), almindelig (≥</w:t>
      </w:r>
      <w:r>
        <w:rPr>
          <w:sz w:val="24"/>
          <w:szCs w:val="24"/>
        </w:rPr>
        <w:t> </w:t>
      </w:r>
      <w:r w:rsidRPr="00192748">
        <w:rPr>
          <w:sz w:val="24"/>
          <w:szCs w:val="24"/>
        </w:rPr>
        <w:t>1/100 til &lt;</w:t>
      </w:r>
      <w:r>
        <w:rPr>
          <w:sz w:val="24"/>
          <w:szCs w:val="24"/>
        </w:rPr>
        <w:t> </w:t>
      </w:r>
      <w:r w:rsidRPr="00192748">
        <w:rPr>
          <w:sz w:val="24"/>
          <w:szCs w:val="24"/>
        </w:rPr>
        <w:t>1/10), ikke almindelig (≥</w:t>
      </w:r>
      <w:r>
        <w:rPr>
          <w:sz w:val="24"/>
          <w:szCs w:val="24"/>
        </w:rPr>
        <w:t> </w:t>
      </w:r>
      <w:r w:rsidRPr="00192748">
        <w:rPr>
          <w:sz w:val="24"/>
          <w:szCs w:val="24"/>
        </w:rPr>
        <w:t>1/1.000 til &lt;</w:t>
      </w:r>
      <w:r>
        <w:rPr>
          <w:sz w:val="24"/>
          <w:szCs w:val="24"/>
        </w:rPr>
        <w:t> </w:t>
      </w:r>
      <w:r w:rsidRPr="00192748">
        <w:rPr>
          <w:sz w:val="24"/>
          <w:szCs w:val="24"/>
        </w:rPr>
        <w:t>1/100), sjælden (≥</w:t>
      </w:r>
      <w:r>
        <w:rPr>
          <w:sz w:val="24"/>
          <w:szCs w:val="24"/>
        </w:rPr>
        <w:t> </w:t>
      </w:r>
      <w:r w:rsidRPr="00192748">
        <w:rPr>
          <w:sz w:val="24"/>
          <w:szCs w:val="24"/>
        </w:rPr>
        <w:t>1/10.000 til &lt;</w:t>
      </w:r>
      <w:r>
        <w:rPr>
          <w:sz w:val="24"/>
          <w:szCs w:val="24"/>
        </w:rPr>
        <w:t> </w:t>
      </w:r>
      <w:r w:rsidRPr="00192748">
        <w:rPr>
          <w:sz w:val="24"/>
          <w:szCs w:val="24"/>
        </w:rPr>
        <w:t>1/1.000), meget sjælden (&lt;</w:t>
      </w:r>
      <w:r>
        <w:rPr>
          <w:sz w:val="24"/>
          <w:szCs w:val="24"/>
        </w:rPr>
        <w:t> </w:t>
      </w:r>
      <w:r w:rsidRPr="00192748">
        <w:rPr>
          <w:sz w:val="24"/>
          <w:szCs w:val="24"/>
        </w:rPr>
        <w:t>1/10.000), ikke kendt (kan ikke estimeres ud fra forhåndenværende data).</w:t>
      </w:r>
    </w:p>
    <w:p w:rsidR="00192748" w:rsidRPr="00192748" w:rsidRDefault="00192748" w:rsidP="00192748">
      <w:pPr>
        <w:ind w:left="851"/>
        <w:rPr>
          <w:sz w:val="24"/>
          <w:szCs w:val="24"/>
        </w:rPr>
      </w:pPr>
    </w:p>
    <w:p w:rsidR="00192748" w:rsidRPr="00192748" w:rsidRDefault="00192748" w:rsidP="00192748">
      <w:pPr>
        <w:ind w:left="851"/>
        <w:rPr>
          <w:sz w:val="24"/>
          <w:szCs w:val="24"/>
        </w:rPr>
      </w:pPr>
      <w:r w:rsidRPr="00192748">
        <w:rPr>
          <w:sz w:val="24"/>
          <w:szCs w:val="24"/>
        </w:rPr>
        <w:t xml:space="preserve">Tabel 1 viser bivirkninger, der er rapporteret fra erfaring efter markedsføring med administration af </w:t>
      </w:r>
      <w:proofErr w:type="spellStart"/>
      <w:r w:rsidRPr="00192748">
        <w:rPr>
          <w:sz w:val="24"/>
          <w:szCs w:val="24"/>
        </w:rPr>
        <w:t>isofluran</w:t>
      </w:r>
      <w:proofErr w:type="spellEnd"/>
      <w:r w:rsidRPr="00192748">
        <w:rPr>
          <w:sz w:val="24"/>
          <w:szCs w:val="24"/>
        </w:rPr>
        <w:t xml:space="preserve"> til generel anæstesi. Hyppighederne kan ikke estimeres ud fra de tilgængelige data, derfor er hyppighederne kategoriseret som ”ikke kendt”.</w:t>
      </w:r>
    </w:p>
    <w:p w:rsidR="00192748" w:rsidRPr="00192748" w:rsidRDefault="00192748" w:rsidP="00192748">
      <w:pPr>
        <w:ind w:left="851"/>
        <w:rPr>
          <w:sz w:val="24"/>
          <w:szCs w:val="24"/>
        </w:rPr>
      </w:pPr>
    </w:p>
    <w:p w:rsidR="00192748" w:rsidRPr="00192748" w:rsidRDefault="00192748" w:rsidP="00192748">
      <w:pPr>
        <w:tabs>
          <w:tab w:val="left" w:pos="1985"/>
        </w:tabs>
        <w:ind w:left="851"/>
        <w:rPr>
          <w:b/>
          <w:bCs/>
          <w:sz w:val="24"/>
          <w:szCs w:val="24"/>
        </w:rPr>
      </w:pPr>
      <w:r w:rsidRPr="00192748">
        <w:rPr>
          <w:b/>
          <w:bCs/>
          <w:sz w:val="24"/>
          <w:szCs w:val="24"/>
        </w:rPr>
        <w:t>Tabel 1.</w:t>
      </w:r>
      <w:r>
        <w:rPr>
          <w:b/>
          <w:bCs/>
          <w:sz w:val="24"/>
          <w:szCs w:val="24"/>
        </w:rPr>
        <w:tab/>
      </w:r>
      <w:r w:rsidRPr="00192748">
        <w:rPr>
          <w:b/>
          <w:bCs/>
          <w:sz w:val="24"/>
          <w:szCs w:val="24"/>
        </w:rPr>
        <w:t>Sammendrag af de mest hyppige bivirkninger</w:t>
      </w:r>
    </w:p>
    <w:p w:rsidR="00192748" w:rsidRPr="00192748" w:rsidRDefault="00192748" w:rsidP="00192748">
      <w:pPr>
        <w:ind w:left="851"/>
        <w:rPr>
          <w:sz w:val="24"/>
          <w:szCs w:val="24"/>
        </w:rPr>
      </w:pPr>
    </w:p>
    <w:tbl>
      <w:tblPr>
        <w:tblStyle w:val="Tabel-Gitter"/>
        <w:tblW w:w="9055" w:type="dxa"/>
        <w:tblInd w:w="846" w:type="dxa"/>
        <w:tblLook w:val="04A0" w:firstRow="1" w:lastRow="0" w:firstColumn="1" w:lastColumn="0" w:noHBand="0" w:noVBand="1"/>
      </w:tblPr>
      <w:tblGrid>
        <w:gridCol w:w="2689"/>
        <w:gridCol w:w="1842"/>
        <w:gridCol w:w="4524"/>
      </w:tblGrid>
      <w:tr w:rsidR="00192748" w:rsidRPr="0088155F" w:rsidTr="000A4D05">
        <w:tc>
          <w:tcPr>
            <w:tcW w:w="2689" w:type="dxa"/>
          </w:tcPr>
          <w:p w:rsidR="00192748" w:rsidRPr="0088155F" w:rsidRDefault="00192748" w:rsidP="000766D3">
            <w:pPr>
              <w:ind w:left="32"/>
              <w:rPr>
                <w:b/>
                <w:bCs/>
                <w:sz w:val="24"/>
                <w:szCs w:val="24"/>
                <w:lang w:val="da-DK"/>
              </w:rPr>
            </w:pPr>
            <w:r w:rsidRPr="0088155F">
              <w:rPr>
                <w:b/>
                <w:bCs/>
                <w:sz w:val="24"/>
                <w:szCs w:val="24"/>
                <w:lang w:val="da-DK"/>
              </w:rPr>
              <w:t>Systemorganklasse (SOC)</w:t>
            </w:r>
          </w:p>
        </w:tc>
        <w:tc>
          <w:tcPr>
            <w:tcW w:w="1842" w:type="dxa"/>
          </w:tcPr>
          <w:p w:rsidR="00192748" w:rsidRPr="0088155F" w:rsidRDefault="00192748" w:rsidP="000766D3">
            <w:pPr>
              <w:ind w:left="35"/>
              <w:rPr>
                <w:b/>
                <w:bCs/>
                <w:sz w:val="24"/>
                <w:szCs w:val="24"/>
                <w:lang w:val="da-DK"/>
              </w:rPr>
            </w:pPr>
            <w:r w:rsidRPr="0088155F">
              <w:rPr>
                <w:b/>
                <w:bCs/>
                <w:sz w:val="24"/>
                <w:szCs w:val="24"/>
                <w:lang w:val="da-DK"/>
              </w:rPr>
              <w:t>Hyppighed</w:t>
            </w:r>
          </w:p>
        </w:tc>
        <w:tc>
          <w:tcPr>
            <w:tcW w:w="4524" w:type="dxa"/>
          </w:tcPr>
          <w:p w:rsidR="00192748" w:rsidRPr="0088155F" w:rsidRDefault="00192748" w:rsidP="000766D3">
            <w:pPr>
              <w:ind w:left="38"/>
              <w:rPr>
                <w:b/>
                <w:bCs/>
                <w:sz w:val="24"/>
                <w:szCs w:val="24"/>
                <w:lang w:val="da-DK"/>
              </w:rPr>
            </w:pPr>
            <w:r w:rsidRPr="0088155F">
              <w:rPr>
                <w:b/>
                <w:bCs/>
                <w:sz w:val="24"/>
                <w:szCs w:val="24"/>
                <w:lang w:val="da-DK"/>
              </w:rPr>
              <w:t>Bivirkning</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Immunsystemet</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proofErr w:type="spellStart"/>
            <w:r w:rsidRPr="0088155F">
              <w:rPr>
                <w:sz w:val="24"/>
                <w:szCs w:val="24"/>
                <w:lang w:val="da-DK"/>
              </w:rPr>
              <w:t>Anafylaktisk</w:t>
            </w:r>
            <w:proofErr w:type="spellEnd"/>
            <w:r w:rsidRPr="0088155F">
              <w:rPr>
                <w:sz w:val="24"/>
                <w:szCs w:val="24"/>
                <w:lang w:val="da-DK"/>
              </w:rPr>
              <w:t xml:space="preserve"> reaktion</w:t>
            </w:r>
            <w:r w:rsidRPr="0088155F">
              <w:rPr>
                <w:sz w:val="24"/>
                <w:szCs w:val="24"/>
                <w:vertAlign w:val="superscript"/>
                <w:lang w:val="da-DK"/>
              </w:rPr>
              <w:t>1</w:t>
            </w:r>
          </w:p>
          <w:p w:rsidR="00192748" w:rsidRPr="0088155F" w:rsidRDefault="00192748" w:rsidP="00192748">
            <w:pPr>
              <w:ind w:left="38"/>
              <w:rPr>
                <w:sz w:val="24"/>
                <w:szCs w:val="24"/>
                <w:vertAlign w:val="superscript"/>
                <w:lang w:val="da-DK"/>
              </w:rPr>
            </w:pPr>
            <w:r w:rsidRPr="0088155F">
              <w:rPr>
                <w:sz w:val="24"/>
                <w:szCs w:val="24"/>
                <w:lang w:val="da-DK"/>
              </w:rPr>
              <w:t>Overfølsomhed</w:t>
            </w:r>
            <w:r w:rsidRPr="0088155F">
              <w:rPr>
                <w:sz w:val="24"/>
                <w:szCs w:val="24"/>
                <w:vertAlign w:val="superscript"/>
                <w:lang w:val="da-DK"/>
              </w:rPr>
              <w:t>1</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Metabolisme og ernæring</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Hyperkaliæmi</w:t>
            </w:r>
            <w:r w:rsidRPr="0088155F">
              <w:rPr>
                <w:sz w:val="24"/>
                <w:szCs w:val="24"/>
                <w:vertAlign w:val="superscript"/>
                <w:lang w:val="da-DK"/>
              </w:rPr>
              <w:t>2</w:t>
            </w:r>
          </w:p>
          <w:p w:rsidR="00192748" w:rsidRPr="0088155F" w:rsidRDefault="00192748" w:rsidP="00192748">
            <w:pPr>
              <w:ind w:left="38"/>
              <w:rPr>
                <w:sz w:val="24"/>
                <w:szCs w:val="24"/>
                <w:lang w:val="da-DK"/>
              </w:rPr>
            </w:pPr>
            <w:r w:rsidRPr="0088155F">
              <w:rPr>
                <w:sz w:val="24"/>
                <w:szCs w:val="24"/>
                <w:lang w:val="da-DK"/>
              </w:rPr>
              <w:t xml:space="preserve">Forhøjet </w:t>
            </w:r>
            <w:proofErr w:type="spellStart"/>
            <w:r w:rsidRPr="0088155F">
              <w:rPr>
                <w:sz w:val="24"/>
                <w:szCs w:val="24"/>
                <w:lang w:val="da-DK"/>
              </w:rPr>
              <w:t>glucose</w:t>
            </w:r>
            <w:proofErr w:type="spellEnd"/>
            <w:r w:rsidRPr="0088155F">
              <w:rPr>
                <w:sz w:val="24"/>
                <w:szCs w:val="24"/>
                <w:lang w:val="da-DK"/>
              </w:rPr>
              <w:t xml:space="preserve"> i blodet</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Psykiske forstyrrelser</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Agitation</w:t>
            </w:r>
          </w:p>
          <w:p w:rsidR="00192748" w:rsidRPr="0088155F" w:rsidRDefault="00192748" w:rsidP="00192748">
            <w:pPr>
              <w:ind w:left="38"/>
              <w:rPr>
                <w:sz w:val="24"/>
                <w:szCs w:val="24"/>
                <w:lang w:val="da-DK"/>
              </w:rPr>
            </w:pPr>
            <w:r w:rsidRPr="0088155F">
              <w:rPr>
                <w:sz w:val="24"/>
                <w:szCs w:val="24"/>
                <w:lang w:val="da-DK"/>
              </w:rPr>
              <w:t>Delirium</w:t>
            </w:r>
          </w:p>
          <w:p w:rsidR="00192748" w:rsidRPr="0088155F" w:rsidRDefault="00192748" w:rsidP="00192748">
            <w:pPr>
              <w:ind w:left="38"/>
              <w:rPr>
                <w:sz w:val="24"/>
                <w:szCs w:val="24"/>
                <w:lang w:val="da-DK"/>
              </w:rPr>
            </w:pPr>
            <w:r w:rsidRPr="0088155F">
              <w:rPr>
                <w:sz w:val="24"/>
                <w:szCs w:val="24"/>
                <w:lang w:val="da-DK"/>
              </w:rPr>
              <w:t>Ændret stemningsleje</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Nervesystemet</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Kramper</w:t>
            </w:r>
          </w:p>
          <w:p w:rsidR="00192748" w:rsidRPr="0088155F" w:rsidRDefault="00192748" w:rsidP="00192748">
            <w:pPr>
              <w:ind w:left="38"/>
              <w:rPr>
                <w:sz w:val="24"/>
                <w:szCs w:val="24"/>
                <w:lang w:val="da-DK"/>
              </w:rPr>
            </w:pPr>
            <w:r w:rsidRPr="0088155F">
              <w:rPr>
                <w:sz w:val="24"/>
                <w:szCs w:val="24"/>
                <w:lang w:val="da-DK"/>
              </w:rPr>
              <w:t>Mental svækkelse</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Hjerte</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proofErr w:type="spellStart"/>
            <w:r w:rsidRPr="0088155F">
              <w:rPr>
                <w:sz w:val="24"/>
                <w:szCs w:val="24"/>
                <w:lang w:val="da-DK"/>
              </w:rPr>
              <w:t>Arytmi</w:t>
            </w:r>
            <w:proofErr w:type="spellEnd"/>
          </w:p>
          <w:p w:rsidR="00192748" w:rsidRPr="0088155F" w:rsidRDefault="00192748" w:rsidP="00192748">
            <w:pPr>
              <w:ind w:left="38"/>
              <w:rPr>
                <w:sz w:val="24"/>
                <w:szCs w:val="24"/>
                <w:lang w:val="da-DK"/>
              </w:rPr>
            </w:pPr>
            <w:r w:rsidRPr="0088155F">
              <w:rPr>
                <w:sz w:val="24"/>
                <w:szCs w:val="24"/>
                <w:lang w:val="da-DK"/>
              </w:rPr>
              <w:t>Bradykardi</w:t>
            </w:r>
          </w:p>
          <w:p w:rsidR="00192748" w:rsidRPr="0088155F" w:rsidRDefault="00192748" w:rsidP="00192748">
            <w:pPr>
              <w:ind w:left="38"/>
              <w:rPr>
                <w:sz w:val="24"/>
                <w:szCs w:val="24"/>
                <w:lang w:val="da-DK"/>
              </w:rPr>
            </w:pPr>
            <w:r w:rsidRPr="0088155F">
              <w:rPr>
                <w:sz w:val="24"/>
                <w:szCs w:val="24"/>
                <w:lang w:val="da-DK"/>
              </w:rPr>
              <w:t>Hjertestop</w:t>
            </w:r>
          </w:p>
          <w:p w:rsidR="00192748" w:rsidRPr="0088155F" w:rsidRDefault="00192748" w:rsidP="00192748">
            <w:pPr>
              <w:ind w:left="38"/>
              <w:rPr>
                <w:sz w:val="24"/>
                <w:szCs w:val="24"/>
                <w:lang w:val="da-DK"/>
              </w:rPr>
            </w:pPr>
            <w:r w:rsidRPr="0088155F">
              <w:rPr>
                <w:sz w:val="24"/>
                <w:szCs w:val="24"/>
                <w:lang w:val="da-DK"/>
              </w:rPr>
              <w:t>Elektrokardiogram, forlænget QT</w:t>
            </w:r>
          </w:p>
          <w:p w:rsidR="00192748" w:rsidRPr="0088155F" w:rsidRDefault="00192748" w:rsidP="00192748">
            <w:pPr>
              <w:ind w:left="38"/>
              <w:rPr>
                <w:sz w:val="24"/>
                <w:szCs w:val="24"/>
                <w:lang w:val="da-DK"/>
              </w:rPr>
            </w:pPr>
            <w:proofErr w:type="spellStart"/>
            <w:r w:rsidRPr="0088155F">
              <w:rPr>
                <w:sz w:val="24"/>
                <w:szCs w:val="24"/>
                <w:lang w:val="da-DK"/>
              </w:rPr>
              <w:t>Takykardi</w:t>
            </w:r>
            <w:proofErr w:type="spellEnd"/>
          </w:p>
          <w:p w:rsidR="00192748" w:rsidRPr="0088155F" w:rsidRDefault="00192748" w:rsidP="00192748">
            <w:pPr>
              <w:ind w:left="38"/>
              <w:rPr>
                <w:sz w:val="24"/>
                <w:szCs w:val="24"/>
                <w:lang w:val="da-DK"/>
              </w:rPr>
            </w:pPr>
            <w:proofErr w:type="spellStart"/>
            <w:r w:rsidRPr="0088155F">
              <w:rPr>
                <w:sz w:val="24"/>
                <w:szCs w:val="24"/>
                <w:lang w:val="da-DK"/>
              </w:rPr>
              <w:t>Torsade</w:t>
            </w:r>
            <w:proofErr w:type="spellEnd"/>
            <w:r w:rsidRPr="0088155F">
              <w:rPr>
                <w:sz w:val="24"/>
                <w:szCs w:val="24"/>
                <w:lang w:val="da-DK"/>
              </w:rPr>
              <w:t xml:space="preserve"> de pointes</w:t>
            </w:r>
          </w:p>
        </w:tc>
      </w:tr>
      <w:tr w:rsidR="00192748" w:rsidRPr="0088155F" w:rsidTr="000A4D05">
        <w:tc>
          <w:tcPr>
            <w:tcW w:w="2689" w:type="dxa"/>
          </w:tcPr>
          <w:p w:rsidR="00192748" w:rsidRPr="0088155F" w:rsidRDefault="00192748" w:rsidP="00192748">
            <w:pPr>
              <w:ind w:left="32"/>
              <w:rPr>
                <w:sz w:val="24"/>
                <w:szCs w:val="24"/>
                <w:lang w:val="da-DK"/>
              </w:rPr>
            </w:pPr>
            <w:proofErr w:type="spellStart"/>
            <w:r w:rsidRPr="0088155F">
              <w:rPr>
                <w:sz w:val="24"/>
                <w:szCs w:val="24"/>
                <w:lang w:val="da-DK"/>
              </w:rPr>
              <w:t>Vaskulære</w:t>
            </w:r>
            <w:proofErr w:type="spellEnd"/>
            <w:r w:rsidRPr="0088155F">
              <w:rPr>
                <w:sz w:val="24"/>
                <w:szCs w:val="24"/>
                <w:lang w:val="da-DK"/>
              </w:rPr>
              <w:t xml:space="preserve"> sygdomme</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Hypotension</w:t>
            </w:r>
            <w:r w:rsidRPr="0088155F">
              <w:rPr>
                <w:sz w:val="24"/>
                <w:szCs w:val="24"/>
                <w:vertAlign w:val="superscript"/>
                <w:lang w:val="da-DK"/>
              </w:rPr>
              <w:t>2</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 xml:space="preserve">Luftveje, thorax og </w:t>
            </w:r>
            <w:proofErr w:type="spellStart"/>
            <w:r w:rsidRPr="0088155F">
              <w:rPr>
                <w:sz w:val="24"/>
                <w:szCs w:val="24"/>
                <w:lang w:val="da-DK"/>
              </w:rPr>
              <w:t>mediastinum</w:t>
            </w:r>
            <w:proofErr w:type="spellEnd"/>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proofErr w:type="spellStart"/>
            <w:r w:rsidRPr="0088155F">
              <w:rPr>
                <w:sz w:val="24"/>
                <w:szCs w:val="24"/>
                <w:lang w:val="da-DK"/>
              </w:rPr>
              <w:t>Bronkospasme</w:t>
            </w:r>
            <w:proofErr w:type="spellEnd"/>
          </w:p>
          <w:p w:rsidR="00192748" w:rsidRPr="0088155F" w:rsidRDefault="00192748" w:rsidP="00192748">
            <w:pPr>
              <w:ind w:left="38"/>
              <w:rPr>
                <w:sz w:val="24"/>
                <w:szCs w:val="24"/>
                <w:lang w:val="da-DK"/>
              </w:rPr>
            </w:pPr>
            <w:r w:rsidRPr="0088155F">
              <w:rPr>
                <w:sz w:val="24"/>
                <w:szCs w:val="24"/>
                <w:lang w:val="da-DK"/>
              </w:rPr>
              <w:t>Dyspnø</w:t>
            </w:r>
            <w:r w:rsidRPr="0088155F">
              <w:rPr>
                <w:sz w:val="24"/>
                <w:szCs w:val="24"/>
                <w:vertAlign w:val="superscript"/>
                <w:lang w:val="da-DK"/>
              </w:rPr>
              <w:t>1</w:t>
            </w:r>
          </w:p>
          <w:p w:rsidR="00192748" w:rsidRPr="0088155F" w:rsidRDefault="00192748" w:rsidP="00192748">
            <w:pPr>
              <w:ind w:left="38"/>
              <w:rPr>
                <w:sz w:val="24"/>
                <w:szCs w:val="24"/>
                <w:lang w:val="da-DK"/>
              </w:rPr>
            </w:pPr>
            <w:r w:rsidRPr="0088155F">
              <w:rPr>
                <w:sz w:val="24"/>
                <w:szCs w:val="24"/>
                <w:lang w:val="da-DK"/>
              </w:rPr>
              <w:t>Hvæsende vejrtrækning</w:t>
            </w:r>
            <w:r w:rsidRPr="0088155F">
              <w:rPr>
                <w:sz w:val="24"/>
                <w:szCs w:val="24"/>
                <w:vertAlign w:val="superscript"/>
                <w:lang w:val="da-DK"/>
              </w:rPr>
              <w:t>1</w:t>
            </w:r>
          </w:p>
          <w:p w:rsidR="00192748" w:rsidRPr="0088155F" w:rsidRDefault="00192748" w:rsidP="00192748">
            <w:pPr>
              <w:ind w:left="38"/>
              <w:rPr>
                <w:sz w:val="24"/>
                <w:szCs w:val="24"/>
                <w:lang w:val="da-DK"/>
              </w:rPr>
            </w:pPr>
            <w:r w:rsidRPr="0088155F">
              <w:rPr>
                <w:sz w:val="24"/>
                <w:szCs w:val="24"/>
                <w:lang w:val="da-DK"/>
              </w:rPr>
              <w:t>Respirationsdepression</w:t>
            </w:r>
            <w:r w:rsidRPr="0088155F">
              <w:rPr>
                <w:sz w:val="24"/>
                <w:szCs w:val="24"/>
                <w:vertAlign w:val="superscript"/>
                <w:lang w:val="da-DK"/>
              </w:rPr>
              <w:t>2</w:t>
            </w:r>
          </w:p>
          <w:p w:rsidR="00192748" w:rsidRPr="0088155F" w:rsidRDefault="00192748" w:rsidP="00192748">
            <w:pPr>
              <w:ind w:left="38"/>
              <w:rPr>
                <w:sz w:val="24"/>
                <w:szCs w:val="24"/>
                <w:lang w:val="da-DK"/>
              </w:rPr>
            </w:pPr>
            <w:proofErr w:type="spellStart"/>
            <w:r w:rsidRPr="0088155F">
              <w:rPr>
                <w:sz w:val="24"/>
                <w:szCs w:val="24"/>
                <w:lang w:val="da-DK"/>
              </w:rPr>
              <w:t>Laryngospasme</w:t>
            </w:r>
            <w:proofErr w:type="spellEnd"/>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Mave-tarm-kanalen</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proofErr w:type="spellStart"/>
            <w:r w:rsidRPr="0088155F">
              <w:rPr>
                <w:sz w:val="24"/>
                <w:szCs w:val="24"/>
                <w:lang w:val="da-DK"/>
              </w:rPr>
              <w:t>Ileus</w:t>
            </w:r>
            <w:proofErr w:type="spellEnd"/>
          </w:p>
          <w:p w:rsidR="00192748" w:rsidRPr="0088155F" w:rsidRDefault="00192748" w:rsidP="00192748">
            <w:pPr>
              <w:ind w:left="38"/>
              <w:rPr>
                <w:sz w:val="24"/>
                <w:szCs w:val="24"/>
                <w:lang w:val="da-DK"/>
              </w:rPr>
            </w:pPr>
            <w:r w:rsidRPr="0088155F">
              <w:rPr>
                <w:sz w:val="24"/>
                <w:szCs w:val="24"/>
                <w:lang w:val="da-DK"/>
              </w:rPr>
              <w:t>Opkastning</w:t>
            </w:r>
          </w:p>
          <w:p w:rsidR="00192748" w:rsidRPr="0088155F" w:rsidRDefault="00192748" w:rsidP="00192748">
            <w:pPr>
              <w:ind w:left="38"/>
              <w:rPr>
                <w:sz w:val="24"/>
                <w:szCs w:val="24"/>
                <w:lang w:val="da-DK"/>
              </w:rPr>
            </w:pPr>
            <w:r w:rsidRPr="0088155F">
              <w:rPr>
                <w:sz w:val="24"/>
                <w:szCs w:val="24"/>
                <w:lang w:val="da-DK"/>
              </w:rPr>
              <w:t>Kvalme</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Lever og galdeveje</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Levernekrose</w:t>
            </w:r>
            <w:r w:rsidRPr="0088155F">
              <w:rPr>
                <w:sz w:val="24"/>
                <w:szCs w:val="24"/>
                <w:vertAlign w:val="superscript"/>
                <w:lang w:val="da-DK"/>
              </w:rPr>
              <w:t>2</w:t>
            </w:r>
          </w:p>
          <w:p w:rsidR="00192748" w:rsidRPr="0088155F" w:rsidRDefault="00192748" w:rsidP="00192748">
            <w:pPr>
              <w:ind w:left="38"/>
              <w:rPr>
                <w:sz w:val="24"/>
                <w:szCs w:val="24"/>
                <w:lang w:val="da-DK"/>
              </w:rPr>
            </w:pPr>
            <w:proofErr w:type="spellStart"/>
            <w:r w:rsidRPr="0088155F">
              <w:rPr>
                <w:sz w:val="24"/>
                <w:szCs w:val="24"/>
                <w:lang w:val="da-DK"/>
              </w:rPr>
              <w:t>Hepotocellulær</w:t>
            </w:r>
            <w:proofErr w:type="spellEnd"/>
            <w:r w:rsidRPr="0088155F">
              <w:rPr>
                <w:sz w:val="24"/>
                <w:szCs w:val="24"/>
                <w:lang w:val="da-DK"/>
              </w:rPr>
              <w:t xml:space="preserve"> skade</w:t>
            </w:r>
            <w:r w:rsidRPr="0088155F">
              <w:rPr>
                <w:sz w:val="24"/>
                <w:szCs w:val="24"/>
                <w:vertAlign w:val="superscript"/>
                <w:lang w:val="da-DK"/>
              </w:rPr>
              <w:t>2</w:t>
            </w:r>
          </w:p>
          <w:p w:rsidR="00192748" w:rsidRPr="0088155F" w:rsidRDefault="00192748" w:rsidP="00192748">
            <w:pPr>
              <w:ind w:left="38"/>
              <w:rPr>
                <w:sz w:val="24"/>
                <w:szCs w:val="24"/>
                <w:lang w:val="da-DK"/>
              </w:rPr>
            </w:pPr>
            <w:r w:rsidRPr="0088155F">
              <w:rPr>
                <w:sz w:val="24"/>
                <w:szCs w:val="24"/>
                <w:lang w:val="da-DK"/>
              </w:rPr>
              <w:t>Forhøjet bilirubin i blodet</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Hud og subkutane væv</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Hævelse i ansigtet</w:t>
            </w:r>
            <w:r w:rsidRPr="0088155F">
              <w:rPr>
                <w:sz w:val="24"/>
                <w:szCs w:val="24"/>
                <w:vertAlign w:val="superscript"/>
                <w:lang w:val="da-DK"/>
              </w:rPr>
              <w:t>1</w:t>
            </w:r>
          </w:p>
          <w:p w:rsidR="00192748" w:rsidRPr="0088155F" w:rsidRDefault="00192748" w:rsidP="00192748">
            <w:pPr>
              <w:ind w:left="38"/>
              <w:rPr>
                <w:sz w:val="24"/>
                <w:szCs w:val="24"/>
                <w:lang w:val="da-DK"/>
              </w:rPr>
            </w:pPr>
            <w:r w:rsidRPr="0088155F">
              <w:rPr>
                <w:sz w:val="24"/>
                <w:szCs w:val="24"/>
                <w:lang w:val="da-DK"/>
              </w:rPr>
              <w:t>Kontaktdermatitis</w:t>
            </w:r>
            <w:r w:rsidRPr="0088155F">
              <w:rPr>
                <w:sz w:val="24"/>
                <w:szCs w:val="24"/>
                <w:vertAlign w:val="superscript"/>
                <w:lang w:val="da-DK"/>
              </w:rPr>
              <w:t>1</w:t>
            </w:r>
          </w:p>
          <w:p w:rsidR="00192748" w:rsidRPr="0088155F" w:rsidRDefault="00192748" w:rsidP="00192748">
            <w:pPr>
              <w:ind w:left="38"/>
              <w:rPr>
                <w:sz w:val="24"/>
                <w:szCs w:val="24"/>
                <w:lang w:val="da-DK"/>
              </w:rPr>
            </w:pPr>
            <w:r w:rsidRPr="0088155F">
              <w:rPr>
                <w:sz w:val="24"/>
                <w:szCs w:val="24"/>
                <w:lang w:val="da-DK"/>
              </w:rPr>
              <w:t>Udslæt</w:t>
            </w:r>
            <w:r w:rsidRPr="0088155F">
              <w:rPr>
                <w:sz w:val="24"/>
                <w:szCs w:val="24"/>
                <w:vertAlign w:val="superscript"/>
                <w:lang w:val="da-DK"/>
              </w:rPr>
              <w:t>1</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Knogler, led, muskler og bindevæv</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proofErr w:type="spellStart"/>
            <w:r w:rsidRPr="0088155F">
              <w:rPr>
                <w:sz w:val="24"/>
                <w:szCs w:val="24"/>
                <w:lang w:val="da-DK"/>
              </w:rPr>
              <w:t>Myoglobinuri</w:t>
            </w:r>
            <w:proofErr w:type="spellEnd"/>
          </w:p>
          <w:p w:rsidR="00192748" w:rsidRPr="0088155F" w:rsidRDefault="00192748" w:rsidP="00192748">
            <w:pPr>
              <w:ind w:left="38"/>
              <w:rPr>
                <w:sz w:val="24"/>
                <w:szCs w:val="24"/>
                <w:lang w:val="da-DK"/>
              </w:rPr>
            </w:pPr>
            <w:proofErr w:type="spellStart"/>
            <w:r w:rsidRPr="0088155F">
              <w:rPr>
                <w:sz w:val="24"/>
                <w:szCs w:val="24"/>
                <w:lang w:val="da-DK"/>
              </w:rPr>
              <w:t>Rhabdomyolyse</w:t>
            </w:r>
            <w:proofErr w:type="spellEnd"/>
          </w:p>
        </w:tc>
      </w:tr>
      <w:tr w:rsidR="00192748" w:rsidRPr="0088155F" w:rsidTr="000A4D05">
        <w:tc>
          <w:tcPr>
            <w:tcW w:w="2689" w:type="dxa"/>
          </w:tcPr>
          <w:p w:rsidR="00192748" w:rsidRPr="0088155F" w:rsidRDefault="00192748" w:rsidP="0088155F">
            <w:pPr>
              <w:keepNext/>
              <w:ind w:left="32"/>
              <w:rPr>
                <w:sz w:val="24"/>
                <w:szCs w:val="24"/>
                <w:lang w:val="da-DK"/>
              </w:rPr>
            </w:pPr>
            <w:r w:rsidRPr="0088155F">
              <w:rPr>
                <w:sz w:val="24"/>
                <w:szCs w:val="24"/>
                <w:lang w:val="da-DK"/>
              </w:rPr>
              <w:lastRenderedPageBreak/>
              <w:t>Nyrer og urinveje</w:t>
            </w:r>
          </w:p>
        </w:tc>
        <w:tc>
          <w:tcPr>
            <w:tcW w:w="1842" w:type="dxa"/>
          </w:tcPr>
          <w:p w:rsidR="00192748" w:rsidRPr="0088155F" w:rsidRDefault="00192748" w:rsidP="0088155F">
            <w:pPr>
              <w:keepNext/>
              <w:ind w:left="35"/>
              <w:rPr>
                <w:sz w:val="24"/>
                <w:szCs w:val="24"/>
                <w:lang w:val="da-DK"/>
              </w:rPr>
            </w:pPr>
            <w:r w:rsidRPr="0088155F">
              <w:rPr>
                <w:sz w:val="24"/>
                <w:szCs w:val="24"/>
                <w:lang w:val="da-DK"/>
              </w:rPr>
              <w:t>Ikke kendt</w:t>
            </w:r>
          </w:p>
          <w:p w:rsidR="00192748" w:rsidRPr="0088155F" w:rsidRDefault="00192748" w:rsidP="0088155F">
            <w:pPr>
              <w:keepNext/>
              <w:ind w:left="35"/>
              <w:rPr>
                <w:sz w:val="24"/>
                <w:szCs w:val="24"/>
                <w:lang w:val="da-DK"/>
              </w:rPr>
            </w:pPr>
            <w:r w:rsidRPr="0088155F">
              <w:rPr>
                <w:sz w:val="24"/>
                <w:szCs w:val="24"/>
                <w:lang w:val="da-DK"/>
              </w:rPr>
              <w:t>Ikke kendt</w:t>
            </w:r>
          </w:p>
        </w:tc>
        <w:tc>
          <w:tcPr>
            <w:tcW w:w="4524" w:type="dxa"/>
          </w:tcPr>
          <w:p w:rsidR="00192748" w:rsidRPr="0088155F" w:rsidRDefault="00192748" w:rsidP="0088155F">
            <w:pPr>
              <w:keepNext/>
              <w:ind w:left="38"/>
              <w:rPr>
                <w:sz w:val="24"/>
                <w:szCs w:val="24"/>
                <w:lang w:val="da-DK"/>
              </w:rPr>
            </w:pPr>
            <w:r w:rsidRPr="0088155F">
              <w:rPr>
                <w:sz w:val="24"/>
                <w:szCs w:val="24"/>
                <w:lang w:val="da-DK"/>
              </w:rPr>
              <w:t xml:space="preserve">Forhøjet </w:t>
            </w:r>
            <w:proofErr w:type="spellStart"/>
            <w:r w:rsidRPr="0088155F">
              <w:rPr>
                <w:sz w:val="24"/>
                <w:szCs w:val="24"/>
                <w:lang w:val="da-DK"/>
              </w:rPr>
              <w:t>kreatinin</w:t>
            </w:r>
            <w:proofErr w:type="spellEnd"/>
            <w:r w:rsidRPr="0088155F">
              <w:rPr>
                <w:sz w:val="24"/>
                <w:szCs w:val="24"/>
                <w:lang w:val="da-DK"/>
              </w:rPr>
              <w:t xml:space="preserve"> i blodet</w:t>
            </w:r>
          </w:p>
          <w:p w:rsidR="00192748" w:rsidRPr="0088155F" w:rsidRDefault="00192748" w:rsidP="0088155F">
            <w:pPr>
              <w:keepNext/>
              <w:ind w:left="38"/>
              <w:rPr>
                <w:sz w:val="24"/>
                <w:szCs w:val="24"/>
                <w:lang w:val="da-DK"/>
              </w:rPr>
            </w:pPr>
            <w:r w:rsidRPr="0088155F">
              <w:rPr>
                <w:sz w:val="24"/>
                <w:szCs w:val="24"/>
                <w:lang w:val="da-DK"/>
              </w:rPr>
              <w:t>Nedsat urinstof i blodet</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Almene symptomer og reaktioner på administrationsstedet</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Malign hypertermi</w:t>
            </w:r>
            <w:r w:rsidRPr="0088155F">
              <w:rPr>
                <w:sz w:val="24"/>
                <w:szCs w:val="24"/>
                <w:vertAlign w:val="superscript"/>
                <w:lang w:val="da-DK"/>
              </w:rPr>
              <w:t>2</w:t>
            </w:r>
          </w:p>
          <w:p w:rsidR="00192748" w:rsidRPr="0088155F" w:rsidRDefault="00192748" w:rsidP="00192748">
            <w:pPr>
              <w:ind w:left="38"/>
              <w:rPr>
                <w:sz w:val="24"/>
                <w:szCs w:val="24"/>
                <w:lang w:val="da-DK"/>
              </w:rPr>
            </w:pPr>
            <w:r w:rsidRPr="0088155F">
              <w:rPr>
                <w:sz w:val="24"/>
                <w:szCs w:val="24"/>
                <w:lang w:val="da-DK"/>
              </w:rPr>
              <w:t>Ubehag i brystregionen</w:t>
            </w:r>
            <w:r w:rsidRPr="0088155F">
              <w:rPr>
                <w:sz w:val="24"/>
                <w:szCs w:val="24"/>
                <w:vertAlign w:val="superscript"/>
                <w:lang w:val="da-DK"/>
              </w:rPr>
              <w:t>1</w:t>
            </w:r>
          </w:p>
          <w:p w:rsidR="00192748" w:rsidRPr="0088155F" w:rsidRDefault="00192748" w:rsidP="00192748">
            <w:pPr>
              <w:ind w:left="38"/>
              <w:rPr>
                <w:sz w:val="24"/>
                <w:szCs w:val="24"/>
                <w:lang w:val="da-DK"/>
              </w:rPr>
            </w:pPr>
            <w:r w:rsidRPr="0088155F">
              <w:rPr>
                <w:sz w:val="24"/>
                <w:szCs w:val="24"/>
                <w:lang w:val="da-DK"/>
              </w:rPr>
              <w:t>Kulderystelser</w:t>
            </w:r>
          </w:p>
        </w:tc>
      </w:tr>
      <w:tr w:rsidR="00192748" w:rsidRPr="0088155F" w:rsidTr="000A4D05">
        <w:tc>
          <w:tcPr>
            <w:tcW w:w="2689" w:type="dxa"/>
          </w:tcPr>
          <w:p w:rsidR="00192748" w:rsidRPr="0088155F" w:rsidRDefault="00192748" w:rsidP="00192748">
            <w:pPr>
              <w:ind w:left="32"/>
              <w:rPr>
                <w:sz w:val="24"/>
                <w:szCs w:val="24"/>
                <w:lang w:val="da-DK"/>
              </w:rPr>
            </w:pPr>
            <w:r w:rsidRPr="0088155F">
              <w:rPr>
                <w:sz w:val="24"/>
                <w:szCs w:val="24"/>
                <w:lang w:val="da-DK"/>
              </w:rPr>
              <w:t>Undersøgelser</w:t>
            </w:r>
          </w:p>
        </w:tc>
        <w:tc>
          <w:tcPr>
            <w:tcW w:w="1842" w:type="dxa"/>
          </w:tcPr>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p w:rsidR="00192748" w:rsidRPr="0088155F" w:rsidRDefault="00192748" w:rsidP="000766D3">
            <w:pPr>
              <w:ind w:left="35"/>
              <w:rPr>
                <w:sz w:val="24"/>
                <w:szCs w:val="24"/>
                <w:lang w:val="da-DK"/>
              </w:rPr>
            </w:pPr>
            <w:r w:rsidRPr="0088155F">
              <w:rPr>
                <w:sz w:val="24"/>
                <w:szCs w:val="24"/>
                <w:lang w:val="da-DK"/>
              </w:rPr>
              <w:t>Ikke kendt</w:t>
            </w:r>
          </w:p>
        </w:tc>
        <w:tc>
          <w:tcPr>
            <w:tcW w:w="4524" w:type="dxa"/>
          </w:tcPr>
          <w:p w:rsidR="00192748" w:rsidRPr="0088155F" w:rsidRDefault="00192748" w:rsidP="00192748">
            <w:pPr>
              <w:ind w:left="38"/>
              <w:rPr>
                <w:sz w:val="24"/>
                <w:szCs w:val="24"/>
                <w:lang w:val="da-DK"/>
              </w:rPr>
            </w:pPr>
            <w:r w:rsidRPr="0088155F">
              <w:rPr>
                <w:sz w:val="24"/>
                <w:szCs w:val="24"/>
                <w:lang w:val="da-DK"/>
              </w:rPr>
              <w:t>Forhøjet antal hvide blodlegemer</w:t>
            </w:r>
            <w:r w:rsidRPr="0088155F">
              <w:rPr>
                <w:sz w:val="24"/>
                <w:szCs w:val="24"/>
                <w:vertAlign w:val="superscript"/>
                <w:lang w:val="da-DK"/>
              </w:rPr>
              <w:t>1</w:t>
            </w:r>
          </w:p>
          <w:p w:rsidR="00192748" w:rsidRPr="0088155F" w:rsidRDefault="00192748" w:rsidP="00192748">
            <w:pPr>
              <w:ind w:left="38"/>
              <w:rPr>
                <w:sz w:val="24"/>
                <w:szCs w:val="24"/>
                <w:lang w:val="da-DK"/>
              </w:rPr>
            </w:pPr>
            <w:r w:rsidRPr="0088155F">
              <w:rPr>
                <w:sz w:val="24"/>
                <w:szCs w:val="24"/>
                <w:lang w:val="da-DK"/>
              </w:rPr>
              <w:t>Forhøjede leverenzymer</w:t>
            </w:r>
            <w:r w:rsidRPr="0088155F">
              <w:rPr>
                <w:sz w:val="24"/>
                <w:szCs w:val="24"/>
                <w:vertAlign w:val="superscript"/>
                <w:lang w:val="da-DK"/>
              </w:rPr>
              <w:t>2</w:t>
            </w:r>
          </w:p>
          <w:p w:rsidR="00192748" w:rsidRPr="0088155F" w:rsidRDefault="00192748" w:rsidP="00192748">
            <w:pPr>
              <w:ind w:left="38"/>
              <w:rPr>
                <w:sz w:val="24"/>
                <w:szCs w:val="24"/>
                <w:lang w:val="da-DK"/>
              </w:rPr>
            </w:pPr>
            <w:r w:rsidRPr="0088155F">
              <w:rPr>
                <w:sz w:val="24"/>
                <w:szCs w:val="24"/>
                <w:lang w:val="da-DK"/>
              </w:rPr>
              <w:t>Forhøjet flourid</w:t>
            </w:r>
            <w:r w:rsidRPr="0088155F">
              <w:rPr>
                <w:sz w:val="24"/>
                <w:szCs w:val="24"/>
                <w:vertAlign w:val="superscript"/>
                <w:lang w:val="da-DK"/>
              </w:rPr>
              <w:t>1</w:t>
            </w:r>
          </w:p>
          <w:p w:rsidR="00192748" w:rsidRPr="0088155F" w:rsidRDefault="00192748" w:rsidP="00192748">
            <w:pPr>
              <w:ind w:left="38"/>
              <w:rPr>
                <w:sz w:val="24"/>
                <w:szCs w:val="24"/>
                <w:lang w:val="da-DK"/>
              </w:rPr>
            </w:pPr>
            <w:r w:rsidRPr="0088155F">
              <w:rPr>
                <w:sz w:val="24"/>
                <w:szCs w:val="24"/>
                <w:lang w:val="da-DK"/>
              </w:rPr>
              <w:t>Unormalt elektroencefalogram</w:t>
            </w:r>
          </w:p>
          <w:p w:rsidR="00192748" w:rsidRPr="0088155F" w:rsidRDefault="00192748" w:rsidP="00192748">
            <w:pPr>
              <w:ind w:left="38"/>
              <w:rPr>
                <w:sz w:val="24"/>
                <w:szCs w:val="24"/>
                <w:lang w:val="da-DK"/>
              </w:rPr>
            </w:pPr>
            <w:r w:rsidRPr="0088155F">
              <w:rPr>
                <w:sz w:val="24"/>
                <w:szCs w:val="24"/>
                <w:lang w:val="da-DK"/>
              </w:rPr>
              <w:t>Nedsat kolesterol i blodet</w:t>
            </w:r>
          </w:p>
          <w:p w:rsidR="00192748" w:rsidRPr="0088155F" w:rsidRDefault="00192748" w:rsidP="00192748">
            <w:pPr>
              <w:ind w:left="38"/>
              <w:rPr>
                <w:sz w:val="24"/>
                <w:szCs w:val="24"/>
                <w:lang w:val="da-DK"/>
              </w:rPr>
            </w:pPr>
            <w:r w:rsidRPr="0088155F">
              <w:rPr>
                <w:sz w:val="24"/>
                <w:szCs w:val="24"/>
                <w:lang w:val="da-DK"/>
              </w:rPr>
              <w:t>Nedsat niveau af alkalisk fosfatase i blodet</w:t>
            </w:r>
          </w:p>
          <w:p w:rsidR="00192748" w:rsidRPr="0088155F" w:rsidRDefault="00192748" w:rsidP="00192748">
            <w:pPr>
              <w:ind w:left="38"/>
              <w:rPr>
                <w:sz w:val="24"/>
                <w:szCs w:val="24"/>
                <w:lang w:val="da-DK"/>
              </w:rPr>
            </w:pPr>
            <w:r w:rsidRPr="0088155F">
              <w:rPr>
                <w:sz w:val="24"/>
                <w:szCs w:val="24"/>
                <w:lang w:val="da-DK"/>
              </w:rPr>
              <w:t xml:space="preserve">Forhøjet </w:t>
            </w:r>
            <w:proofErr w:type="spellStart"/>
            <w:r w:rsidRPr="0088155F">
              <w:rPr>
                <w:sz w:val="24"/>
                <w:szCs w:val="24"/>
                <w:lang w:val="da-DK"/>
              </w:rPr>
              <w:t>kreatinfosfokinase</w:t>
            </w:r>
            <w:proofErr w:type="spellEnd"/>
            <w:r w:rsidRPr="0088155F">
              <w:rPr>
                <w:sz w:val="24"/>
                <w:szCs w:val="24"/>
                <w:lang w:val="da-DK"/>
              </w:rPr>
              <w:t xml:space="preserve"> i blodet</w:t>
            </w:r>
          </w:p>
        </w:tc>
      </w:tr>
    </w:tbl>
    <w:p w:rsidR="00192748" w:rsidRPr="00192748" w:rsidRDefault="00192748" w:rsidP="00192748">
      <w:pPr>
        <w:ind w:left="851"/>
        <w:rPr>
          <w:sz w:val="24"/>
          <w:szCs w:val="24"/>
        </w:rPr>
      </w:pPr>
      <w:r w:rsidRPr="00192748">
        <w:rPr>
          <w:sz w:val="24"/>
          <w:szCs w:val="24"/>
          <w:vertAlign w:val="superscript"/>
        </w:rPr>
        <w:t>1</w:t>
      </w:r>
      <w:r w:rsidRPr="00192748">
        <w:rPr>
          <w:sz w:val="24"/>
          <w:szCs w:val="24"/>
        </w:rPr>
        <w:t>Se pkt. 4.8 Beskrivelse af udvalgte bivirkninger</w:t>
      </w:r>
    </w:p>
    <w:p w:rsidR="00192748" w:rsidRPr="00192748" w:rsidRDefault="00192748" w:rsidP="00192748">
      <w:pPr>
        <w:ind w:left="851"/>
        <w:rPr>
          <w:sz w:val="24"/>
          <w:szCs w:val="24"/>
        </w:rPr>
      </w:pPr>
      <w:r w:rsidRPr="00192748">
        <w:rPr>
          <w:sz w:val="24"/>
          <w:szCs w:val="24"/>
          <w:vertAlign w:val="superscript"/>
        </w:rPr>
        <w:t>2</w:t>
      </w:r>
      <w:r w:rsidRPr="00192748">
        <w:rPr>
          <w:sz w:val="24"/>
          <w:szCs w:val="24"/>
        </w:rPr>
        <w:t>Se pkt. 4.4</w:t>
      </w:r>
    </w:p>
    <w:p w:rsidR="00192748" w:rsidRPr="00192748" w:rsidRDefault="00192748" w:rsidP="00192748">
      <w:pPr>
        <w:ind w:left="851"/>
        <w:rPr>
          <w:sz w:val="24"/>
          <w:szCs w:val="24"/>
        </w:rPr>
      </w:pPr>
    </w:p>
    <w:p w:rsidR="00B279A9" w:rsidRPr="00192748" w:rsidRDefault="00B279A9" w:rsidP="00B279A9">
      <w:pPr>
        <w:ind w:left="851"/>
        <w:rPr>
          <w:sz w:val="24"/>
          <w:szCs w:val="24"/>
        </w:rPr>
      </w:pPr>
      <w:proofErr w:type="spellStart"/>
      <w:r w:rsidRPr="00192748">
        <w:rPr>
          <w:sz w:val="24"/>
          <w:szCs w:val="24"/>
        </w:rPr>
        <w:t>Sedacondas</w:t>
      </w:r>
      <w:proofErr w:type="spellEnd"/>
      <w:r w:rsidRPr="00192748">
        <w:rPr>
          <w:sz w:val="24"/>
          <w:szCs w:val="24"/>
        </w:rPr>
        <w:t xml:space="preserve"> virkning og sikkerhed til sedation hos mekanisk ventilerede </w:t>
      </w:r>
      <w:r>
        <w:rPr>
          <w:sz w:val="24"/>
          <w:szCs w:val="24"/>
        </w:rPr>
        <w:t xml:space="preserve">voksne </w:t>
      </w:r>
      <w:r w:rsidRPr="00192748">
        <w:rPr>
          <w:sz w:val="24"/>
          <w:szCs w:val="24"/>
        </w:rPr>
        <w:t xml:space="preserve">patienter ved brug af administrationsanordningen </w:t>
      </w:r>
      <w:proofErr w:type="spellStart"/>
      <w:r w:rsidRPr="00192748">
        <w:rPr>
          <w:sz w:val="24"/>
          <w:szCs w:val="24"/>
        </w:rPr>
        <w:t>Sedaconda</w:t>
      </w:r>
      <w:proofErr w:type="spellEnd"/>
      <w:r w:rsidRPr="00192748">
        <w:rPr>
          <w:sz w:val="24"/>
          <w:szCs w:val="24"/>
        </w:rPr>
        <w:t xml:space="preserve"> ACD blev evalueret i et randomiseret, kontrolleret, åbent, klinisk multicenterstudie, SED001. En blandet kohorte af kirurgiske og medicinske patienter, der krævede mekanisk ventilation, var inkluderede. Patienterne blev randomiseret til </w:t>
      </w:r>
      <w:proofErr w:type="spellStart"/>
      <w:r w:rsidRPr="00192748">
        <w:rPr>
          <w:sz w:val="24"/>
          <w:szCs w:val="24"/>
        </w:rPr>
        <w:t>isofluran</w:t>
      </w:r>
      <w:proofErr w:type="spellEnd"/>
      <w:r w:rsidRPr="00192748">
        <w:rPr>
          <w:sz w:val="24"/>
          <w:szCs w:val="24"/>
        </w:rPr>
        <w:t xml:space="preserve"> (n</w:t>
      </w:r>
      <w:r>
        <w:rPr>
          <w:sz w:val="24"/>
          <w:szCs w:val="24"/>
        </w:rPr>
        <w:t> </w:t>
      </w:r>
      <w:r w:rsidRPr="00192748">
        <w:rPr>
          <w:sz w:val="24"/>
          <w:szCs w:val="24"/>
        </w:rPr>
        <w:t>=</w:t>
      </w:r>
      <w:r>
        <w:rPr>
          <w:sz w:val="24"/>
          <w:szCs w:val="24"/>
        </w:rPr>
        <w:t> </w:t>
      </w:r>
      <w:r w:rsidRPr="00192748">
        <w:rPr>
          <w:sz w:val="24"/>
          <w:szCs w:val="24"/>
        </w:rPr>
        <w:t xml:space="preserve">150) eller </w:t>
      </w:r>
      <w:proofErr w:type="spellStart"/>
      <w:r w:rsidRPr="00192748">
        <w:rPr>
          <w:sz w:val="24"/>
          <w:szCs w:val="24"/>
        </w:rPr>
        <w:t>propofol</w:t>
      </w:r>
      <w:proofErr w:type="spellEnd"/>
      <w:r w:rsidRPr="00192748">
        <w:rPr>
          <w:sz w:val="24"/>
          <w:szCs w:val="24"/>
        </w:rPr>
        <w:t xml:space="preserve"> (n</w:t>
      </w:r>
      <w:r>
        <w:rPr>
          <w:sz w:val="24"/>
          <w:szCs w:val="24"/>
        </w:rPr>
        <w:t> </w:t>
      </w:r>
      <w:r w:rsidRPr="00192748">
        <w:rPr>
          <w:sz w:val="24"/>
          <w:szCs w:val="24"/>
        </w:rPr>
        <w:t>=</w:t>
      </w:r>
      <w:r>
        <w:rPr>
          <w:sz w:val="24"/>
          <w:szCs w:val="24"/>
        </w:rPr>
        <w:t> </w:t>
      </w:r>
      <w:r w:rsidRPr="00192748">
        <w:rPr>
          <w:sz w:val="24"/>
          <w:szCs w:val="24"/>
        </w:rPr>
        <w:t xml:space="preserve">151) som eneste </w:t>
      </w:r>
      <w:proofErr w:type="spellStart"/>
      <w:r w:rsidRPr="00192748">
        <w:rPr>
          <w:sz w:val="24"/>
          <w:szCs w:val="24"/>
        </w:rPr>
        <w:t>sedativum</w:t>
      </w:r>
      <w:proofErr w:type="spellEnd"/>
      <w:r w:rsidRPr="00192748">
        <w:rPr>
          <w:sz w:val="24"/>
          <w:szCs w:val="24"/>
        </w:rPr>
        <w:t xml:space="preserve"> i op til 48</w:t>
      </w:r>
      <w:r>
        <w:rPr>
          <w:sz w:val="24"/>
          <w:szCs w:val="24"/>
        </w:rPr>
        <w:t> </w:t>
      </w:r>
      <w:r w:rsidRPr="00192748">
        <w:rPr>
          <w:sz w:val="24"/>
          <w:szCs w:val="24"/>
        </w:rPr>
        <w:t>±</w:t>
      </w:r>
      <w:r>
        <w:rPr>
          <w:sz w:val="24"/>
          <w:szCs w:val="24"/>
        </w:rPr>
        <w:t> </w:t>
      </w:r>
      <w:r w:rsidRPr="00192748">
        <w:rPr>
          <w:sz w:val="24"/>
          <w:szCs w:val="24"/>
        </w:rPr>
        <w:t xml:space="preserve">6 timer eller til </w:t>
      </w:r>
      <w:proofErr w:type="spellStart"/>
      <w:r w:rsidRPr="00192748">
        <w:rPr>
          <w:sz w:val="24"/>
          <w:szCs w:val="24"/>
        </w:rPr>
        <w:t>ekstubation</w:t>
      </w:r>
      <w:proofErr w:type="spellEnd"/>
      <w:r w:rsidRPr="00192748">
        <w:rPr>
          <w:sz w:val="24"/>
          <w:szCs w:val="24"/>
        </w:rPr>
        <w:t xml:space="preserve">. Tabel 2 viser hyppigheden af indrapporterede bivirkninger i dette studie hos patienter, der blev sederet med </w:t>
      </w:r>
      <w:proofErr w:type="spellStart"/>
      <w:r w:rsidRPr="00192748">
        <w:rPr>
          <w:sz w:val="24"/>
          <w:szCs w:val="24"/>
        </w:rPr>
        <w:t>Sedaconda</w:t>
      </w:r>
      <w:proofErr w:type="spellEnd"/>
      <w:r w:rsidRPr="00192748">
        <w:rPr>
          <w:sz w:val="24"/>
          <w:szCs w:val="24"/>
        </w:rPr>
        <w:t>.</w:t>
      </w:r>
    </w:p>
    <w:p w:rsidR="00B279A9" w:rsidRPr="00192748" w:rsidRDefault="00B279A9" w:rsidP="00B279A9">
      <w:pPr>
        <w:ind w:left="851"/>
        <w:rPr>
          <w:sz w:val="24"/>
          <w:szCs w:val="24"/>
        </w:rPr>
      </w:pPr>
    </w:p>
    <w:p w:rsidR="00B279A9" w:rsidRPr="00192748" w:rsidRDefault="00B279A9" w:rsidP="00B279A9">
      <w:pPr>
        <w:tabs>
          <w:tab w:val="left" w:pos="1985"/>
        </w:tabs>
        <w:ind w:left="1985" w:hanging="1134"/>
        <w:rPr>
          <w:b/>
          <w:bCs/>
          <w:sz w:val="24"/>
          <w:szCs w:val="24"/>
        </w:rPr>
      </w:pPr>
      <w:r w:rsidRPr="00192748">
        <w:rPr>
          <w:b/>
          <w:bCs/>
          <w:sz w:val="24"/>
          <w:szCs w:val="24"/>
        </w:rPr>
        <w:t>Tabel 2.</w:t>
      </w:r>
      <w:r>
        <w:rPr>
          <w:b/>
          <w:bCs/>
          <w:sz w:val="24"/>
          <w:szCs w:val="24"/>
        </w:rPr>
        <w:tab/>
      </w:r>
      <w:r w:rsidRPr="00192748">
        <w:rPr>
          <w:b/>
          <w:bCs/>
          <w:sz w:val="24"/>
          <w:szCs w:val="24"/>
        </w:rPr>
        <w:t xml:space="preserve">Hyppigheden af bivirkninger under sedation med </w:t>
      </w:r>
      <w:proofErr w:type="spellStart"/>
      <w:r w:rsidRPr="00192748">
        <w:rPr>
          <w:b/>
          <w:bCs/>
          <w:sz w:val="24"/>
          <w:szCs w:val="24"/>
        </w:rPr>
        <w:t>Sedaconda</w:t>
      </w:r>
      <w:proofErr w:type="spellEnd"/>
      <w:r w:rsidRPr="00192748">
        <w:rPr>
          <w:b/>
          <w:bCs/>
          <w:sz w:val="24"/>
          <w:szCs w:val="24"/>
        </w:rPr>
        <w:t xml:space="preserve"> (n</w:t>
      </w:r>
      <w:r>
        <w:rPr>
          <w:b/>
          <w:bCs/>
          <w:sz w:val="24"/>
          <w:szCs w:val="24"/>
        </w:rPr>
        <w:t> </w:t>
      </w:r>
      <w:r w:rsidRPr="00192748">
        <w:rPr>
          <w:b/>
          <w:bCs/>
          <w:sz w:val="24"/>
          <w:szCs w:val="24"/>
        </w:rPr>
        <w:t>=</w:t>
      </w:r>
      <w:r>
        <w:rPr>
          <w:b/>
          <w:bCs/>
          <w:sz w:val="24"/>
          <w:szCs w:val="24"/>
        </w:rPr>
        <w:t> </w:t>
      </w:r>
      <w:r w:rsidRPr="00192748">
        <w:rPr>
          <w:b/>
          <w:bCs/>
          <w:sz w:val="24"/>
          <w:szCs w:val="24"/>
        </w:rPr>
        <w:t>150) i studie SED001, undtaget hændelser indrapporteret af enkeltpatienter</w:t>
      </w:r>
    </w:p>
    <w:p w:rsidR="00192748" w:rsidRPr="00192748" w:rsidRDefault="00192748" w:rsidP="00192748">
      <w:pPr>
        <w:ind w:left="851"/>
        <w:rPr>
          <w:sz w:val="24"/>
          <w:szCs w:val="24"/>
        </w:rPr>
      </w:pPr>
    </w:p>
    <w:tbl>
      <w:tblPr>
        <w:tblW w:w="63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4"/>
        <w:gridCol w:w="2765"/>
      </w:tblGrid>
      <w:tr w:rsidR="00192748" w:rsidRPr="00192748" w:rsidTr="00005F39">
        <w:trPr>
          <w:cantSplit/>
          <w:tblHeader/>
        </w:trPr>
        <w:tc>
          <w:tcPr>
            <w:tcW w:w="3544" w:type="dxa"/>
            <w:shd w:val="clear" w:color="auto" w:fill="FFFFFF"/>
            <w:tcMar>
              <w:top w:w="0" w:type="dxa"/>
              <w:left w:w="67" w:type="dxa"/>
              <w:bottom w:w="0" w:type="dxa"/>
              <w:right w:w="67" w:type="dxa"/>
            </w:tcMar>
            <w:vAlign w:val="bottom"/>
            <w:hideMark/>
          </w:tcPr>
          <w:p w:rsidR="00192748" w:rsidRPr="00192748" w:rsidRDefault="00192748" w:rsidP="00F86D8E">
            <w:pPr>
              <w:ind w:left="73"/>
              <w:rPr>
                <w:b/>
                <w:bCs/>
                <w:sz w:val="24"/>
                <w:szCs w:val="24"/>
              </w:rPr>
            </w:pPr>
            <w:r w:rsidRPr="00192748">
              <w:rPr>
                <w:b/>
                <w:bCs/>
                <w:sz w:val="24"/>
                <w:szCs w:val="24"/>
              </w:rPr>
              <w:t>Systemorganklasse (SOC)</w:t>
            </w:r>
          </w:p>
          <w:p w:rsidR="00192748" w:rsidRPr="00192748" w:rsidRDefault="00192748" w:rsidP="00F86D8E">
            <w:pPr>
              <w:tabs>
                <w:tab w:val="left" w:pos="567"/>
              </w:tabs>
              <w:adjustRightInd w:val="0"/>
              <w:ind w:left="73"/>
              <w:rPr>
                <w:b/>
                <w:sz w:val="24"/>
                <w:szCs w:val="24"/>
              </w:rPr>
            </w:pPr>
            <w:r w:rsidRPr="00192748">
              <w:rPr>
                <w:b/>
                <w:sz w:val="24"/>
                <w:szCs w:val="24"/>
              </w:rPr>
              <w:t>Foretrukke</w:t>
            </w:r>
            <w:r w:rsidR="002375DB">
              <w:rPr>
                <w:b/>
                <w:sz w:val="24"/>
                <w:szCs w:val="24"/>
              </w:rPr>
              <w:t>t</w:t>
            </w:r>
            <w:r w:rsidRPr="00192748">
              <w:rPr>
                <w:b/>
                <w:sz w:val="24"/>
                <w:szCs w:val="24"/>
              </w:rPr>
              <w:t xml:space="preserve"> term</w:t>
            </w:r>
          </w:p>
        </w:tc>
        <w:tc>
          <w:tcPr>
            <w:tcW w:w="2765" w:type="dxa"/>
            <w:shd w:val="clear" w:color="auto" w:fill="FFFFFF"/>
            <w:tcMar>
              <w:top w:w="0" w:type="dxa"/>
              <w:left w:w="67" w:type="dxa"/>
              <w:bottom w:w="0" w:type="dxa"/>
              <w:right w:w="67" w:type="dxa"/>
            </w:tcMar>
            <w:vAlign w:val="bottom"/>
          </w:tcPr>
          <w:p w:rsidR="00192748" w:rsidRPr="00192748" w:rsidRDefault="00192748" w:rsidP="0082078B">
            <w:pPr>
              <w:ind w:left="8"/>
              <w:rPr>
                <w:b/>
                <w:bCs/>
                <w:sz w:val="24"/>
                <w:szCs w:val="24"/>
              </w:rPr>
            </w:pPr>
            <w:r w:rsidRPr="00192748">
              <w:rPr>
                <w:b/>
                <w:bCs/>
                <w:sz w:val="24"/>
                <w:szCs w:val="24"/>
              </w:rPr>
              <w:t>Hyppighed</w:t>
            </w:r>
          </w:p>
          <w:p w:rsidR="00192748" w:rsidRPr="00192748" w:rsidRDefault="00192748" w:rsidP="0082078B">
            <w:pPr>
              <w:ind w:left="8"/>
              <w:rPr>
                <w:b/>
                <w:bCs/>
                <w:sz w:val="24"/>
                <w:szCs w:val="24"/>
              </w:rPr>
            </w:pPr>
          </w:p>
        </w:tc>
      </w:tr>
      <w:tr w:rsidR="00192748" w:rsidRPr="00192748" w:rsidTr="00005F39">
        <w:trPr>
          <w:cantSplit/>
        </w:trPr>
        <w:tc>
          <w:tcPr>
            <w:tcW w:w="3544" w:type="dxa"/>
            <w:tcBorders>
              <w:bottom w:val="nil"/>
            </w:tcBorders>
            <w:shd w:val="clear" w:color="auto" w:fill="FFFFFF"/>
            <w:tcMar>
              <w:top w:w="0" w:type="dxa"/>
              <w:left w:w="67" w:type="dxa"/>
              <w:bottom w:w="0" w:type="dxa"/>
              <w:right w:w="67" w:type="dxa"/>
            </w:tcMar>
            <w:hideMark/>
          </w:tcPr>
          <w:p w:rsidR="00192748" w:rsidRPr="00192748" w:rsidRDefault="00192748" w:rsidP="00F86D8E">
            <w:pPr>
              <w:ind w:left="73"/>
              <w:rPr>
                <w:b/>
                <w:bCs/>
                <w:sz w:val="24"/>
                <w:szCs w:val="24"/>
              </w:rPr>
            </w:pPr>
            <w:r w:rsidRPr="00192748">
              <w:rPr>
                <w:b/>
                <w:bCs/>
                <w:sz w:val="24"/>
                <w:szCs w:val="24"/>
              </w:rPr>
              <w:t>Hjerte</w:t>
            </w:r>
          </w:p>
        </w:tc>
        <w:tc>
          <w:tcPr>
            <w:tcW w:w="2765" w:type="dxa"/>
            <w:tcBorders>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p>
        </w:tc>
      </w:tr>
      <w:tr w:rsidR="00192748" w:rsidRPr="00192748" w:rsidTr="00005F39">
        <w:trPr>
          <w:cantSplit/>
        </w:trPr>
        <w:tc>
          <w:tcPr>
            <w:tcW w:w="3544" w:type="dxa"/>
            <w:tcBorders>
              <w:top w:val="nil"/>
              <w:bottom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sz w:val="24"/>
                <w:szCs w:val="24"/>
              </w:rPr>
            </w:pPr>
            <w:proofErr w:type="spellStart"/>
            <w:r w:rsidRPr="00192748">
              <w:rPr>
                <w:color w:val="000000"/>
                <w:sz w:val="24"/>
                <w:szCs w:val="24"/>
              </w:rPr>
              <w:t>Takykardi</w:t>
            </w:r>
            <w:proofErr w:type="spellEnd"/>
          </w:p>
        </w:tc>
        <w:tc>
          <w:tcPr>
            <w:tcW w:w="2765" w:type="dxa"/>
            <w:tcBorders>
              <w:top w:val="nil"/>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top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sz w:val="24"/>
                <w:szCs w:val="24"/>
              </w:rPr>
            </w:pPr>
            <w:proofErr w:type="spellStart"/>
            <w:r w:rsidRPr="00192748">
              <w:rPr>
                <w:color w:val="000000"/>
                <w:sz w:val="24"/>
                <w:szCs w:val="24"/>
              </w:rPr>
              <w:t>Sinustakykardi</w:t>
            </w:r>
            <w:proofErr w:type="spellEnd"/>
          </w:p>
        </w:tc>
        <w:tc>
          <w:tcPr>
            <w:tcW w:w="2765" w:type="dxa"/>
            <w:tcBorders>
              <w:top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bottom w:val="nil"/>
            </w:tcBorders>
            <w:shd w:val="clear" w:color="auto" w:fill="FFFFFF"/>
            <w:tcMar>
              <w:top w:w="0" w:type="dxa"/>
              <w:left w:w="67" w:type="dxa"/>
              <w:bottom w:w="0" w:type="dxa"/>
              <w:right w:w="67" w:type="dxa"/>
            </w:tcMar>
            <w:hideMark/>
          </w:tcPr>
          <w:p w:rsidR="00192748" w:rsidRPr="00192748" w:rsidRDefault="00192748" w:rsidP="00F86D8E">
            <w:pPr>
              <w:ind w:left="73"/>
              <w:rPr>
                <w:b/>
                <w:bCs/>
                <w:sz w:val="24"/>
                <w:szCs w:val="24"/>
              </w:rPr>
            </w:pPr>
            <w:r w:rsidRPr="00192748">
              <w:rPr>
                <w:b/>
                <w:bCs/>
                <w:sz w:val="24"/>
                <w:szCs w:val="24"/>
              </w:rPr>
              <w:t>Psykiske forstyrrelser</w:t>
            </w:r>
          </w:p>
        </w:tc>
        <w:tc>
          <w:tcPr>
            <w:tcW w:w="2765" w:type="dxa"/>
            <w:tcBorders>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p>
        </w:tc>
      </w:tr>
      <w:tr w:rsidR="00192748" w:rsidRPr="00192748" w:rsidTr="00005F39">
        <w:trPr>
          <w:cantSplit/>
        </w:trPr>
        <w:tc>
          <w:tcPr>
            <w:tcW w:w="3544" w:type="dxa"/>
            <w:tcBorders>
              <w:top w:val="nil"/>
              <w:bottom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color w:val="000000"/>
                <w:sz w:val="24"/>
                <w:szCs w:val="24"/>
              </w:rPr>
            </w:pPr>
            <w:r w:rsidRPr="00192748">
              <w:rPr>
                <w:color w:val="000000"/>
                <w:sz w:val="24"/>
                <w:szCs w:val="24"/>
              </w:rPr>
              <w:t>Delirium</w:t>
            </w:r>
          </w:p>
        </w:tc>
        <w:tc>
          <w:tcPr>
            <w:tcW w:w="2765" w:type="dxa"/>
            <w:tcBorders>
              <w:top w:val="nil"/>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top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color w:val="000000"/>
                <w:sz w:val="24"/>
                <w:szCs w:val="24"/>
              </w:rPr>
            </w:pPr>
            <w:r w:rsidRPr="00192748">
              <w:rPr>
                <w:color w:val="000000"/>
                <w:sz w:val="24"/>
                <w:szCs w:val="24"/>
              </w:rPr>
              <w:t>Agitation</w:t>
            </w:r>
          </w:p>
        </w:tc>
        <w:tc>
          <w:tcPr>
            <w:tcW w:w="2765" w:type="dxa"/>
            <w:tcBorders>
              <w:top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bottom w:val="nil"/>
            </w:tcBorders>
            <w:shd w:val="clear" w:color="auto" w:fill="FFFFFF"/>
            <w:tcMar>
              <w:top w:w="0" w:type="dxa"/>
              <w:left w:w="67" w:type="dxa"/>
              <w:bottom w:w="0" w:type="dxa"/>
              <w:right w:w="67" w:type="dxa"/>
            </w:tcMar>
            <w:hideMark/>
          </w:tcPr>
          <w:p w:rsidR="00192748" w:rsidRPr="00192748" w:rsidRDefault="00192748" w:rsidP="00F86D8E">
            <w:pPr>
              <w:ind w:left="73"/>
              <w:rPr>
                <w:b/>
                <w:bCs/>
                <w:sz w:val="24"/>
                <w:szCs w:val="24"/>
              </w:rPr>
            </w:pPr>
            <w:proofErr w:type="spellStart"/>
            <w:r w:rsidRPr="00192748">
              <w:rPr>
                <w:b/>
                <w:bCs/>
                <w:sz w:val="24"/>
                <w:szCs w:val="24"/>
              </w:rPr>
              <w:t>Vaskulære</w:t>
            </w:r>
            <w:proofErr w:type="spellEnd"/>
            <w:r w:rsidRPr="00192748">
              <w:rPr>
                <w:b/>
                <w:bCs/>
                <w:sz w:val="24"/>
                <w:szCs w:val="24"/>
              </w:rPr>
              <w:t xml:space="preserve"> sygdomme</w:t>
            </w:r>
          </w:p>
        </w:tc>
        <w:tc>
          <w:tcPr>
            <w:tcW w:w="2765" w:type="dxa"/>
            <w:tcBorders>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p>
        </w:tc>
      </w:tr>
      <w:tr w:rsidR="00192748" w:rsidRPr="00192748" w:rsidTr="00005F39">
        <w:trPr>
          <w:cantSplit/>
        </w:trPr>
        <w:tc>
          <w:tcPr>
            <w:tcW w:w="3544" w:type="dxa"/>
            <w:tcBorders>
              <w:top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sz w:val="24"/>
                <w:szCs w:val="24"/>
              </w:rPr>
            </w:pPr>
            <w:r w:rsidRPr="00192748">
              <w:rPr>
                <w:color w:val="000000"/>
                <w:sz w:val="24"/>
                <w:szCs w:val="24"/>
              </w:rPr>
              <w:t>Hypotension</w:t>
            </w:r>
          </w:p>
        </w:tc>
        <w:tc>
          <w:tcPr>
            <w:tcW w:w="2765" w:type="dxa"/>
            <w:tcBorders>
              <w:top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bottom w:val="nil"/>
            </w:tcBorders>
            <w:shd w:val="clear" w:color="auto" w:fill="FFFFFF"/>
            <w:tcMar>
              <w:top w:w="0" w:type="dxa"/>
              <w:left w:w="67" w:type="dxa"/>
              <w:bottom w:w="0" w:type="dxa"/>
              <w:right w:w="67" w:type="dxa"/>
            </w:tcMar>
            <w:hideMark/>
          </w:tcPr>
          <w:p w:rsidR="00192748" w:rsidRPr="00192748" w:rsidRDefault="00192748" w:rsidP="00F86D8E">
            <w:pPr>
              <w:ind w:left="73"/>
              <w:rPr>
                <w:b/>
                <w:bCs/>
                <w:sz w:val="24"/>
                <w:szCs w:val="24"/>
              </w:rPr>
            </w:pPr>
            <w:r w:rsidRPr="00192748">
              <w:rPr>
                <w:b/>
                <w:bCs/>
                <w:sz w:val="24"/>
                <w:szCs w:val="24"/>
              </w:rPr>
              <w:t>Undersøgelser</w:t>
            </w:r>
          </w:p>
        </w:tc>
        <w:tc>
          <w:tcPr>
            <w:tcW w:w="2765" w:type="dxa"/>
            <w:tcBorders>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p>
        </w:tc>
      </w:tr>
      <w:tr w:rsidR="00192748" w:rsidRPr="00192748" w:rsidTr="00005F39">
        <w:trPr>
          <w:cantSplit/>
        </w:trPr>
        <w:tc>
          <w:tcPr>
            <w:tcW w:w="3544" w:type="dxa"/>
            <w:tcBorders>
              <w:top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sz w:val="24"/>
                <w:szCs w:val="24"/>
              </w:rPr>
            </w:pPr>
            <w:r w:rsidRPr="00192748">
              <w:rPr>
                <w:color w:val="000000"/>
                <w:sz w:val="24"/>
                <w:szCs w:val="24"/>
              </w:rPr>
              <w:t xml:space="preserve">Forhøjet </w:t>
            </w:r>
            <w:proofErr w:type="spellStart"/>
            <w:r w:rsidRPr="00192748">
              <w:rPr>
                <w:color w:val="000000"/>
                <w:sz w:val="24"/>
                <w:szCs w:val="24"/>
              </w:rPr>
              <w:t>kreatinfosfokinase</w:t>
            </w:r>
            <w:proofErr w:type="spellEnd"/>
            <w:r w:rsidRPr="00192748">
              <w:rPr>
                <w:color w:val="000000"/>
                <w:sz w:val="24"/>
                <w:szCs w:val="24"/>
              </w:rPr>
              <w:t xml:space="preserve"> i blodet</w:t>
            </w:r>
          </w:p>
        </w:tc>
        <w:tc>
          <w:tcPr>
            <w:tcW w:w="2765" w:type="dxa"/>
            <w:tcBorders>
              <w:top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bottom w:val="nil"/>
            </w:tcBorders>
            <w:shd w:val="clear" w:color="auto" w:fill="FFFFFF"/>
            <w:tcMar>
              <w:top w:w="0" w:type="dxa"/>
              <w:left w:w="67" w:type="dxa"/>
              <w:bottom w:w="0" w:type="dxa"/>
              <w:right w:w="67" w:type="dxa"/>
            </w:tcMar>
            <w:hideMark/>
          </w:tcPr>
          <w:p w:rsidR="00192748" w:rsidRPr="00192748" w:rsidRDefault="00192748" w:rsidP="00F86D8E">
            <w:pPr>
              <w:ind w:left="73"/>
              <w:rPr>
                <w:b/>
                <w:bCs/>
                <w:sz w:val="24"/>
                <w:szCs w:val="24"/>
              </w:rPr>
            </w:pPr>
            <w:r w:rsidRPr="00192748">
              <w:rPr>
                <w:b/>
                <w:bCs/>
                <w:sz w:val="24"/>
                <w:szCs w:val="24"/>
              </w:rPr>
              <w:t>Mave-tarm-kanalen</w:t>
            </w:r>
          </w:p>
        </w:tc>
        <w:tc>
          <w:tcPr>
            <w:tcW w:w="2765" w:type="dxa"/>
            <w:tcBorders>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p>
        </w:tc>
      </w:tr>
      <w:tr w:rsidR="00192748" w:rsidRPr="00192748" w:rsidTr="00005F39">
        <w:trPr>
          <w:cantSplit/>
        </w:trPr>
        <w:tc>
          <w:tcPr>
            <w:tcW w:w="3544" w:type="dxa"/>
            <w:tcBorders>
              <w:top w:val="nil"/>
              <w:bottom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color w:val="000000"/>
                <w:sz w:val="24"/>
                <w:szCs w:val="24"/>
              </w:rPr>
            </w:pPr>
            <w:r w:rsidRPr="00192748">
              <w:rPr>
                <w:color w:val="000000"/>
                <w:sz w:val="24"/>
                <w:szCs w:val="24"/>
              </w:rPr>
              <w:t>Kvalme</w:t>
            </w:r>
          </w:p>
        </w:tc>
        <w:tc>
          <w:tcPr>
            <w:tcW w:w="2765" w:type="dxa"/>
            <w:tcBorders>
              <w:top w:val="nil"/>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top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color w:val="000000"/>
                <w:sz w:val="24"/>
                <w:szCs w:val="24"/>
              </w:rPr>
            </w:pPr>
            <w:r w:rsidRPr="00192748">
              <w:rPr>
                <w:color w:val="000000"/>
                <w:sz w:val="24"/>
                <w:szCs w:val="24"/>
              </w:rPr>
              <w:t>Opkastning</w:t>
            </w:r>
          </w:p>
        </w:tc>
        <w:tc>
          <w:tcPr>
            <w:tcW w:w="2765" w:type="dxa"/>
            <w:tcBorders>
              <w:top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r w:rsidR="00192748" w:rsidRPr="00192748" w:rsidTr="00005F39">
        <w:trPr>
          <w:cantSplit/>
        </w:trPr>
        <w:tc>
          <w:tcPr>
            <w:tcW w:w="3544" w:type="dxa"/>
            <w:tcBorders>
              <w:bottom w:val="nil"/>
            </w:tcBorders>
            <w:shd w:val="clear" w:color="auto" w:fill="FFFFFF"/>
            <w:tcMar>
              <w:top w:w="0" w:type="dxa"/>
              <w:left w:w="67" w:type="dxa"/>
              <w:bottom w:w="0" w:type="dxa"/>
              <w:right w:w="67" w:type="dxa"/>
            </w:tcMar>
            <w:hideMark/>
          </w:tcPr>
          <w:p w:rsidR="00192748" w:rsidRPr="00192748" w:rsidRDefault="00192748" w:rsidP="00F86D8E">
            <w:pPr>
              <w:ind w:left="73"/>
              <w:rPr>
                <w:b/>
                <w:bCs/>
                <w:sz w:val="24"/>
                <w:szCs w:val="24"/>
              </w:rPr>
            </w:pPr>
            <w:r w:rsidRPr="00192748">
              <w:rPr>
                <w:b/>
                <w:bCs/>
                <w:sz w:val="24"/>
                <w:szCs w:val="24"/>
              </w:rPr>
              <w:t>Traumer, forgiftninger og behandlingskomplikationer</w:t>
            </w:r>
          </w:p>
        </w:tc>
        <w:tc>
          <w:tcPr>
            <w:tcW w:w="2765" w:type="dxa"/>
            <w:tcBorders>
              <w:bottom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p>
        </w:tc>
      </w:tr>
      <w:tr w:rsidR="00192748" w:rsidRPr="00192748" w:rsidTr="00005F39">
        <w:trPr>
          <w:cantSplit/>
        </w:trPr>
        <w:tc>
          <w:tcPr>
            <w:tcW w:w="3544" w:type="dxa"/>
            <w:tcBorders>
              <w:top w:val="nil"/>
            </w:tcBorders>
            <w:shd w:val="clear" w:color="auto" w:fill="FFFFFF"/>
            <w:tcMar>
              <w:top w:w="0" w:type="dxa"/>
              <w:left w:w="67" w:type="dxa"/>
              <w:bottom w:w="0" w:type="dxa"/>
              <w:right w:w="67" w:type="dxa"/>
            </w:tcMar>
            <w:hideMark/>
          </w:tcPr>
          <w:p w:rsidR="00192748" w:rsidRPr="00192748" w:rsidRDefault="00192748" w:rsidP="00F86D8E">
            <w:pPr>
              <w:tabs>
                <w:tab w:val="left" w:pos="567"/>
              </w:tabs>
              <w:adjustRightInd w:val="0"/>
              <w:ind w:left="73"/>
              <w:rPr>
                <w:sz w:val="24"/>
                <w:szCs w:val="24"/>
              </w:rPr>
            </w:pPr>
            <w:r w:rsidRPr="00192748">
              <w:rPr>
                <w:color w:val="000000"/>
                <w:sz w:val="24"/>
                <w:szCs w:val="24"/>
              </w:rPr>
              <w:t>Postoperativt delirium</w:t>
            </w:r>
          </w:p>
        </w:tc>
        <w:tc>
          <w:tcPr>
            <w:tcW w:w="2765" w:type="dxa"/>
            <w:tcBorders>
              <w:top w:val="nil"/>
            </w:tcBorders>
            <w:shd w:val="clear" w:color="auto" w:fill="FFFFFF"/>
            <w:tcMar>
              <w:top w:w="0" w:type="dxa"/>
              <w:left w:w="67" w:type="dxa"/>
              <w:bottom w:w="0" w:type="dxa"/>
              <w:right w:w="67" w:type="dxa"/>
            </w:tcMar>
          </w:tcPr>
          <w:p w:rsidR="00192748" w:rsidRPr="00192748" w:rsidRDefault="00192748" w:rsidP="0082078B">
            <w:pPr>
              <w:ind w:left="8"/>
              <w:rPr>
                <w:sz w:val="24"/>
                <w:szCs w:val="24"/>
              </w:rPr>
            </w:pPr>
            <w:r w:rsidRPr="00192748">
              <w:rPr>
                <w:sz w:val="24"/>
                <w:szCs w:val="24"/>
              </w:rPr>
              <w:t>Almindelig</w:t>
            </w:r>
          </w:p>
        </w:tc>
      </w:tr>
    </w:tbl>
    <w:p w:rsidR="00192748" w:rsidRPr="00192748" w:rsidRDefault="00192748" w:rsidP="00192748">
      <w:pPr>
        <w:ind w:left="851"/>
        <w:rPr>
          <w:b/>
          <w:bCs/>
          <w:sz w:val="24"/>
          <w:szCs w:val="24"/>
        </w:rPr>
      </w:pPr>
    </w:p>
    <w:p w:rsidR="00192748" w:rsidRPr="00192748" w:rsidRDefault="00192748" w:rsidP="00192748">
      <w:pPr>
        <w:ind w:left="851"/>
        <w:rPr>
          <w:sz w:val="24"/>
          <w:szCs w:val="24"/>
          <w:u w:val="single"/>
        </w:rPr>
      </w:pPr>
      <w:r w:rsidRPr="00192748">
        <w:rPr>
          <w:sz w:val="24"/>
          <w:szCs w:val="24"/>
          <w:u w:val="single"/>
        </w:rPr>
        <w:t>Beskrivelse af udvalgte bivirkninger</w:t>
      </w:r>
    </w:p>
    <w:p w:rsidR="00192748" w:rsidRPr="00192748" w:rsidRDefault="00192748" w:rsidP="00192748">
      <w:pPr>
        <w:ind w:left="851"/>
        <w:rPr>
          <w:sz w:val="24"/>
          <w:szCs w:val="24"/>
        </w:rPr>
      </w:pPr>
    </w:p>
    <w:p w:rsidR="00192748" w:rsidRPr="00192748" w:rsidRDefault="00192748" w:rsidP="00192748">
      <w:pPr>
        <w:ind w:left="851"/>
        <w:rPr>
          <w:i/>
          <w:iCs/>
          <w:sz w:val="24"/>
          <w:szCs w:val="24"/>
        </w:rPr>
      </w:pPr>
      <w:r w:rsidRPr="00192748">
        <w:rPr>
          <w:i/>
          <w:iCs/>
          <w:sz w:val="24"/>
          <w:szCs w:val="24"/>
        </w:rPr>
        <w:t>Hvide blodlegemer</w:t>
      </w:r>
    </w:p>
    <w:p w:rsidR="00192748" w:rsidRPr="00192748" w:rsidRDefault="00192748" w:rsidP="00192748">
      <w:pPr>
        <w:ind w:left="851"/>
        <w:rPr>
          <w:sz w:val="24"/>
          <w:szCs w:val="24"/>
        </w:rPr>
      </w:pPr>
      <w:r w:rsidRPr="00192748">
        <w:rPr>
          <w:sz w:val="24"/>
          <w:szCs w:val="24"/>
        </w:rPr>
        <w:t>Forbigående stigning af hvide blodlegemer er observeret, selvom der ikke har været kirurgisk stress.</w:t>
      </w:r>
    </w:p>
    <w:p w:rsidR="00192748" w:rsidRPr="00192748" w:rsidRDefault="00192748" w:rsidP="00192748">
      <w:pPr>
        <w:ind w:left="851"/>
        <w:rPr>
          <w:sz w:val="24"/>
          <w:szCs w:val="24"/>
        </w:rPr>
      </w:pPr>
    </w:p>
    <w:p w:rsidR="00192748" w:rsidRPr="00192748" w:rsidRDefault="00192748" w:rsidP="00192748">
      <w:pPr>
        <w:ind w:left="851"/>
        <w:rPr>
          <w:i/>
          <w:iCs/>
          <w:sz w:val="24"/>
          <w:szCs w:val="24"/>
        </w:rPr>
      </w:pPr>
      <w:r w:rsidRPr="00192748">
        <w:rPr>
          <w:i/>
          <w:iCs/>
          <w:sz w:val="24"/>
          <w:szCs w:val="24"/>
        </w:rPr>
        <w:t>Overfølsomhed</w:t>
      </w:r>
    </w:p>
    <w:p w:rsidR="00192748" w:rsidRPr="00192748" w:rsidRDefault="00192748" w:rsidP="00192748">
      <w:pPr>
        <w:ind w:left="851"/>
        <w:rPr>
          <w:sz w:val="24"/>
          <w:szCs w:val="24"/>
        </w:rPr>
      </w:pPr>
      <w:r w:rsidRPr="00192748">
        <w:rPr>
          <w:sz w:val="24"/>
          <w:szCs w:val="24"/>
        </w:rPr>
        <w:t xml:space="preserve">Sjældne indrapporteringer af overfølsomhed (herunder </w:t>
      </w:r>
      <w:proofErr w:type="spellStart"/>
      <w:r w:rsidRPr="00192748">
        <w:rPr>
          <w:sz w:val="24"/>
          <w:szCs w:val="24"/>
        </w:rPr>
        <w:t>kontaktdermatitis</w:t>
      </w:r>
      <w:proofErr w:type="spellEnd"/>
      <w:r w:rsidRPr="00192748">
        <w:rPr>
          <w:sz w:val="24"/>
          <w:szCs w:val="24"/>
        </w:rPr>
        <w:t xml:space="preserve">, udslæt, dyspnø, hvæsende vejrtrækning, ubehag i brystregionen, hævelse i ansigtet eller anafylaktiske reaktioner) er modtaget, især i forbindelse med lang tids erhvervsmæssig eksponering for </w:t>
      </w:r>
      <w:proofErr w:type="spellStart"/>
      <w:r w:rsidRPr="00192748">
        <w:rPr>
          <w:sz w:val="24"/>
          <w:szCs w:val="24"/>
        </w:rPr>
        <w:t>inhalationsanæstetika</w:t>
      </w:r>
      <w:proofErr w:type="spellEnd"/>
      <w:r w:rsidRPr="00192748">
        <w:rPr>
          <w:sz w:val="24"/>
          <w:szCs w:val="24"/>
        </w:rPr>
        <w:t xml:space="preserve">, herunder </w:t>
      </w:r>
      <w:proofErr w:type="spellStart"/>
      <w:r w:rsidRPr="00192748">
        <w:rPr>
          <w:sz w:val="24"/>
          <w:szCs w:val="24"/>
        </w:rPr>
        <w:t>isofluran</w:t>
      </w:r>
      <w:proofErr w:type="spellEnd"/>
      <w:r w:rsidRPr="00192748">
        <w:rPr>
          <w:sz w:val="24"/>
          <w:szCs w:val="24"/>
        </w:rPr>
        <w:t xml:space="preserve">. Disse reaktioner er blevet bekræftet af kliniske studier (f.eks. </w:t>
      </w:r>
      <w:proofErr w:type="spellStart"/>
      <w:r w:rsidRPr="00192748">
        <w:rPr>
          <w:sz w:val="24"/>
          <w:szCs w:val="24"/>
        </w:rPr>
        <w:t>metacholin</w:t>
      </w:r>
      <w:proofErr w:type="spellEnd"/>
      <w:r w:rsidRPr="00192748">
        <w:rPr>
          <w:sz w:val="24"/>
          <w:szCs w:val="24"/>
        </w:rPr>
        <w:t xml:space="preserve"> provokationstest). Ætiologien bag de anafylaktiske reaktioner, der er set under eksponering for inhalationsanæstesi, er imidlertid uklar grundet den samtidige påvirkning for flere andre lægemidler, hvoraf mange er kendt for at forårsage sådanne reaktioner.</w:t>
      </w:r>
    </w:p>
    <w:p w:rsidR="00192748" w:rsidRPr="00192748" w:rsidRDefault="00192748" w:rsidP="00192748">
      <w:pPr>
        <w:ind w:left="851"/>
        <w:rPr>
          <w:sz w:val="24"/>
          <w:szCs w:val="24"/>
        </w:rPr>
      </w:pPr>
    </w:p>
    <w:p w:rsidR="00192748" w:rsidRPr="00192748" w:rsidRDefault="00192748" w:rsidP="00192748">
      <w:pPr>
        <w:ind w:left="851"/>
        <w:rPr>
          <w:i/>
          <w:iCs/>
          <w:sz w:val="24"/>
          <w:szCs w:val="24"/>
        </w:rPr>
      </w:pPr>
      <w:r w:rsidRPr="00192748">
        <w:rPr>
          <w:i/>
          <w:iCs/>
          <w:sz w:val="24"/>
          <w:szCs w:val="24"/>
        </w:rPr>
        <w:t>Uorganisk fluorid i serum</w:t>
      </w:r>
    </w:p>
    <w:p w:rsidR="00192748" w:rsidRPr="00192748" w:rsidRDefault="00192748" w:rsidP="00192748">
      <w:pPr>
        <w:ind w:left="851"/>
        <w:rPr>
          <w:sz w:val="24"/>
          <w:szCs w:val="24"/>
        </w:rPr>
      </w:pPr>
      <w:r w:rsidRPr="00192748">
        <w:rPr>
          <w:sz w:val="24"/>
          <w:szCs w:val="24"/>
        </w:rPr>
        <w:t xml:space="preserve">Der kan forekomme en let forhøjet stigning af serumfluorid under og efter sedation med </w:t>
      </w:r>
      <w:proofErr w:type="spellStart"/>
      <w:r w:rsidRPr="00192748">
        <w:rPr>
          <w:sz w:val="24"/>
          <w:szCs w:val="24"/>
        </w:rPr>
        <w:t>isofluran</w:t>
      </w:r>
      <w:proofErr w:type="spellEnd"/>
      <w:r w:rsidRPr="00192748">
        <w:rPr>
          <w:sz w:val="24"/>
          <w:szCs w:val="24"/>
        </w:rPr>
        <w:t xml:space="preserve"> grundet den lave grad af biologisk nedbrydning af lægemidlet. Der er ingen data, der tyder på, at disse observerede niveauer af uorganisk fluorid i serum forårsager nyretoksicitet (gennemsnitligt 25 mikromol/l efter 48 timers sedation med </w:t>
      </w:r>
      <w:proofErr w:type="spellStart"/>
      <w:r w:rsidRPr="00192748">
        <w:rPr>
          <w:sz w:val="24"/>
          <w:szCs w:val="24"/>
        </w:rPr>
        <w:t>isofluran</w:t>
      </w:r>
      <w:proofErr w:type="spellEnd"/>
      <w:r w:rsidRPr="00192748">
        <w:rPr>
          <w:sz w:val="24"/>
          <w:szCs w:val="24"/>
        </w:rPr>
        <w:t xml:space="preserve"> i et studie, i overensstemmelse med andre studier med tilsvarende eller længere eksponering).</w:t>
      </w:r>
    </w:p>
    <w:p w:rsidR="00192748" w:rsidRPr="00192748" w:rsidRDefault="00192748" w:rsidP="00192748">
      <w:pPr>
        <w:ind w:left="851"/>
        <w:rPr>
          <w:sz w:val="24"/>
          <w:szCs w:val="24"/>
        </w:rPr>
      </w:pPr>
    </w:p>
    <w:p w:rsidR="00192748" w:rsidRPr="00192748" w:rsidRDefault="00B279A9" w:rsidP="00192748">
      <w:pPr>
        <w:keepNext/>
        <w:ind w:left="851"/>
        <w:rPr>
          <w:sz w:val="24"/>
          <w:szCs w:val="24"/>
          <w:u w:val="single"/>
        </w:rPr>
      </w:pPr>
      <w:r>
        <w:rPr>
          <w:sz w:val="24"/>
          <w:szCs w:val="24"/>
          <w:u w:val="single"/>
        </w:rPr>
        <w:t>Særlige</w:t>
      </w:r>
      <w:r w:rsidR="00192748" w:rsidRPr="00192748">
        <w:rPr>
          <w:sz w:val="24"/>
          <w:szCs w:val="24"/>
          <w:u w:val="single"/>
        </w:rPr>
        <w:t xml:space="preserve"> populationer</w:t>
      </w:r>
    </w:p>
    <w:p w:rsidR="00192748" w:rsidRPr="00192748" w:rsidRDefault="00192748" w:rsidP="00192748">
      <w:pPr>
        <w:keepNext/>
        <w:ind w:left="851"/>
        <w:rPr>
          <w:sz w:val="24"/>
          <w:szCs w:val="24"/>
        </w:rPr>
      </w:pPr>
    </w:p>
    <w:p w:rsidR="00192748" w:rsidRPr="00192748" w:rsidRDefault="00192748" w:rsidP="00192748">
      <w:pPr>
        <w:ind w:left="851"/>
        <w:rPr>
          <w:i/>
          <w:iCs/>
          <w:sz w:val="24"/>
          <w:szCs w:val="24"/>
        </w:rPr>
      </w:pPr>
      <w:proofErr w:type="spellStart"/>
      <w:r w:rsidRPr="00192748">
        <w:rPr>
          <w:i/>
          <w:iCs/>
          <w:sz w:val="24"/>
          <w:szCs w:val="24"/>
        </w:rPr>
        <w:t>Neuromuskulære</w:t>
      </w:r>
      <w:proofErr w:type="spellEnd"/>
      <w:r w:rsidRPr="00192748">
        <w:rPr>
          <w:i/>
          <w:iCs/>
          <w:sz w:val="24"/>
          <w:szCs w:val="24"/>
        </w:rPr>
        <w:t xml:space="preserve"> sygdomme</w:t>
      </w:r>
    </w:p>
    <w:p w:rsidR="00192748" w:rsidRPr="00192748" w:rsidRDefault="00192748" w:rsidP="00192748">
      <w:pPr>
        <w:ind w:left="851"/>
        <w:rPr>
          <w:sz w:val="24"/>
          <w:szCs w:val="24"/>
        </w:rPr>
      </w:pPr>
      <w:r w:rsidRPr="00192748">
        <w:rPr>
          <w:sz w:val="24"/>
          <w:szCs w:val="24"/>
        </w:rPr>
        <w:t xml:space="preserve">Brug af </w:t>
      </w:r>
      <w:proofErr w:type="spellStart"/>
      <w:r w:rsidRPr="00192748">
        <w:rPr>
          <w:sz w:val="24"/>
          <w:szCs w:val="24"/>
        </w:rPr>
        <w:t>inhalationsanæstetika</w:t>
      </w:r>
      <w:proofErr w:type="spellEnd"/>
      <w:r w:rsidRPr="00192748">
        <w:rPr>
          <w:sz w:val="24"/>
          <w:szCs w:val="24"/>
        </w:rPr>
        <w:t xml:space="preserve"> er blevet forbundet med sjældne tilfælde af forhøjet serumkalium</w:t>
      </w:r>
      <w:r w:rsidR="002375DB">
        <w:rPr>
          <w:sz w:val="24"/>
          <w:szCs w:val="24"/>
        </w:rPr>
        <w:t>-</w:t>
      </w:r>
      <w:r w:rsidRPr="00192748">
        <w:rPr>
          <w:sz w:val="24"/>
          <w:szCs w:val="24"/>
        </w:rPr>
        <w:t xml:space="preserve">niveau, der har resulteret i </w:t>
      </w:r>
      <w:proofErr w:type="spellStart"/>
      <w:r w:rsidRPr="00192748">
        <w:rPr>
          <w:sz w:val="24"/>
          <w:szCs w:val="24"/>
        </w:rPr>
        <w:t>hjertearytmier</w:t>
      </w:r>
      <w:proofErr w:type="spellEnd"/>
      <w:r w:rsidRPr="00192748">
        <w:rPr>
          <w:sz w:val="24"/>
          <w:szCs w:val="24"/>
        </w:rPr>
        <w:t xml:space="preserve"> eller død hos pædiatriske patienter under den postoperative periode. Patienter med latent samt aktiv </w:t>
      </w:r>
      <w:proofErr w:type="spellStart"/>
      <w:r w:rsidRPr="00192748">
        <w:rPr>
          <w:sz w:val="24"/>
          <w:szCs w:val="24"/>
        </w:rPr>
        <w:t>neuromuskulær</w:t>
      </w:r>
      <w:proofErr w:type="spellEnd"/>
      <w:r w:rsidRPr="00192748">
        <w:rPr>
          <w:sz w:val="24"/>
          <w:szCs w:val="24"/>
        </w:rPr>
        <w:t xml:space="preserve"> sygdom, særligt </w:t>
      </w:r>
      <w:proofErr w:type="spellStart"/>
      <w:r w:rsidRPr="00192748">
        <w:rPr>
          <w:sz w:val="24"/>
          <w:szCs w:val="24"/>
        </w:rPr>
        <w:t>Duchennes</w:t>
      </w:r>
      <w:proofErr w:type="spellEnd"/>
      <w:r w:rsidRPr="00192748">
        <w:rPr>
          <w:sz w:val="24"/>
          <w:szCs w:val="24"/>
        </w:rPr>
        <w:t xml:space="preserve"> muskelatrofi, synes at være mest udsatte (se pkt. 4.4).</w:t>
      </w:r>
    </w:p>
    <w:p w:rsidR="00192748" w:rsidRPr="00192748" w:rsidRDefault="00192748" w:rsidP="00192748">
      <w:pPr>
        <w:ind w:left="851"/>
        <w:rPr>
          <w:sz w:val="24"/>
          <w:szCs w:val="24"/>
        </w:rPr>
      </w:pPr>
    </w:p>
    <w:p w:rsidR="00192748" w:rsidRPr="00192748" w:rsidRDefault="00192748" w:rsidP="00192748">
      <w:pPr>
        <w:ind w:left="851"/>
        <w:rPr>
          <w:i/>
          <w:iCs/>
          <w:sz w:val="24"/>
          <w:szCs w:val="24"/>
        </w:rPr>
      </w:pPr>
      <w:r w:rsidRPr="00192748">
        <w:rPr>
          <w:i/>
          <w:iCs/>
          <w:sz w:val="24"/>
          <w:szCs w:val="24"/>
        </w:rPr>
        <w:t>Ældre</w:t>
      </w:r>
    </w:p>
    <w:p w:rsidR="00192748" w:rsidRPr="00192748" w:rsidRDefault="00192748" w:rsidP="00192748">
      <w:pPr>
        <w:ind w:left="851"/>
        <w:rPr>
          <w:sz w:val="24"/>
          <w:szCs w:val="24"/>
        </w:rPr>
      </w:pPr>
      <w:r w:rsidRPr="00192748">
        <w:rPr>
          <w:sz w:val="24"/>
          <w:szCs w:val="24"/>
        </w:rPr>
        <w:t xml:space="preserve">Lavere koncentration af </w:t>
      </w:r>
      <w:proofErr w:type="spellStart"/>
      <w:r w:rsidRPr="00192748">
        <w:rPr>
          <w:sz w:val="24"/>
          <w:szCs w:val="24"/>
        </w:rPr>
        <w:t>isofluran</w:t>
      </w:r>
      <w:proofErr w:type="spellEnd"/>
      <w:r w:rsidRPr="00192748">
        <w:rPr>
          <w:sz w:val="24"/>
          <w:szCs w:val="24"/>
        </w:rPr>
        <w:t xml:space="preserve"> er normalt påkrævet for at opretholde sedation hos ældre patienter (se pkt. 4.2).</w:t>
      </w:r>
    </w:p>
    <w:p w:rsidR="00192748" w:rsidRPr="00192748" w:rsidRDefault="00192748" w:rsidP="00192748">
      <w:pPr>
        <w:ind w:left="851"/>
        <w:rPr>
          <w:sz w:val="24"/>
          <w:szCs w:val="24"/>
        </w:rPr>
      </w:pPr>
    </w:p>
    <w:p w:rsidR="00B279A9" w:rsidRPr="00192748" w:rsidRDefault="00B279A9" w:rsidP="00B279A9">
      <w:pPr>
        <w:ind w:left="851"/>
        <w:rPr>
          <w:i/>
          <w:iCs/>
          <w:sz w:val="24"/>
          <w:szCs w:val="24"/>
        </w:rPr>
      </w:pPr>
      <w:r w:rsidRPr="00192748">
        <w:rPr>
          <w:i/>
          <w:iCs/>
          <w:sz w:val="24"/>
          <w:szCs w:val="24"/>
        </w:rPr>
        <w:t>Pædiatrisk population</w:t>
      </w:r>
    </w:p>
    <w:p w:rsidR="00B279A9" w:rsidRDefault="00B279A9" w:rsidP="00B279A9">
      <w:pPr>
        <w:ind w:left="851"/>
        <w:rPr>
          <w:sz w:val="24"/>
          <w:szCs w:val="24"/>
        </w:rPr>
      </w:pPr>
      <w:r w:rsidRPr="00192748">
        <w:rPr>
          <w:sz w:val="24"/>
          <w:szCs w:val="24"/>
        </w:rPr>
        <w:t xml:space="preserve">Brug af </w:t>
      </w:r>
      <w:proofErr w:type="spellStart"/>
      <w:r w:rsidRPr="00192748">
        <w:rPr>
          <w:sz w:val="24"/>
          <w:szCs w:val="24"/>
        </w:rPr>
        <w:t>inhalationsanæstetika</w:t>
      </w:r>
      <w:proofErr w:type="spellEnd"/>
      <w:r w:rsidRPr="00192748">
        <w:rPr>
          <w:sz w:val="24"/>
          <w:szCs w:val="24"/>
        </w:rPr>
        <w:t xml:space="preserve"> er blevet forbundet med sjældne stigninger af serumkalium</w:t>
      </w:r>
      <w:r>
        <w:rPr>
          <w:sz w:val="24"/>
          <w:szCs w:val="24"/>
        </w:rPr>
        <w:t>-</w:t>
      </w:r>
      <w:r w:rsidRPr="00192748">
        <w:rPr>
          <w:sz w:val="24"/>
          <w:szCs w:val="24"/>
        </w:rPr>
        <w:t>niveauet,</w:t>
      </w:r>
      <w:r>
        <w:rPr>
          <w:sz w:val="24"/>
          <w:szCs w:val="24"/>
        </w:rPr>
        <w:t xml:space="preserve"> </w:t>
      </w:r>
      <w:r w:rsidRPr="00192748">
        <w:rPr>
          <w:sz w:val="24"/>
          <w:szCs w:val="24"/>
        </w:rPr>
        <w:t xml:space="preserve">som har medført </w:t>
      </w:r>
      <w:proofErr w:type="spellStart"/>
      <w:r w:rsidRPr="00192748">
        <w:rPr>
          <w:sz w:val="24"/>
          <w:szCs w:val="24"/>
        </w:rPr>
        <w:t>hjertearytmier</w:t>
      </w:r>
      <w:proofErr w:type="spellEnd"/>
      <w:r w:rsidRPr="00192748">
        <w:rPr>
          <w:sz w:val="24"/>
          <w:szCs w:val="24"/>
        </w:rPr>
        <w:t xml:space="preserve"> og død hos pædiatriske patienter under den postoperative periode, se pkt. 4.4.</w:t>
      </w:r>
    </w:p>
    <w:p w:rsidR="00B279A9" w:rsidRDefault="00B279A9" w:rsidP="00B279A9">
      <w:pPr>
        <w:ind w:left="851"/>
        <w:rPr>
          <w:sz w:val="24"/>
          <w:szCs w:val="24"/>
        </w:rPr>
      </w:pPr>
    </w:p>
    <w:p w:rsidR="00B279A9" w:rsidRPr="00215F8A" w:rsidRDefault="00B279A9" w:rsidP="00B279A9">
      <w:pPr>
        <w:ind w:left="851"/>
        <w:rPr>
          <w:sz w:val="22"/>
          <w:szCs w:val="22"/>
        </w:rPr>
      </w:pPr>
      <w:r>
        <w:rPr>
          <w:sz w:val="24"/>
          <w:szCs w:val="24"/>
        </w:rPr>
        <w:t>Se pkt. 5.1 for en beskrivelse af det pædiatriske studie SED002. Hyppigheden, typen og sværhedsgraden af bivirkninger hos den pædiatriske population i SED002 svarer til dem hos voksne (tabel 2) med undtagelse af hypotension (meget almindelig, 20 %), bradykardi (almindelig, 3 %) og hallucinationer (almindelig, 3 %), som er mere almindeligt forekommende hos pædiatriske patienter. Hyppigheden af hypotension kan være dosisafhængig i forhold til stigende eksponering (slut-</w:t>
      </w:r>
      <w:proofErr w:type="spellStart"/>
      <w:r>
        <w:rPr>
          <w:sz w:val="24"/>
          <w:szCs w:val="24"/>
        </w:rPr>
        <w:t>tidal</w:t>
      </w:r>
      <w:proofErr w:type="spellEnd"/>
      <w:r>
        <w:rPr>
          <w:sz w:val="24"/>
          <w:szCs w:val="24"/>
        </w:rPr>
        <w:t xml:space="preserve">-koncentrationer) for </w:t>
      </w:r>
      <w:proofErr w:type="spellStart"/>
      <w:r>
        <w:rPr>
          <w:sz w:val="24"/>
          <w:szCs w:val="24"/>
        </w:rPr>
        <w:t>isofluran</w:t>
      </w:r>
      <w:proofErr w:type="spellEnd"/>
      <w:r>
        <w:rPr>
          <w:sz w:val="24"/>
          <w:szCs w:val="24"/>
        </w:rPr>
        <w:t xml:space="preserve">, det forekommer typisk umiddelbart efter opstart med </w:t>
      </w:r>
      <w:proofErr w:type="spellStart"/>
      <w:r>
        <w:rPr>
          <w:sz w:val="24"/>
          <w:szCs w:val="24"/>
        </w:rPr>
        <w:t>isofluran</w:t>
      </w:r>
      <w:proofErr w:type="spellEnd"/>
      <w:r>
        <w:rPr>
          <w:sz w:val="24"/>
          <w:szCs w:val="24"/>
        </w:rPr>
        <w:t xml:space="preserve"> og håndteres typisk ved dosisjusteringer af </w:t>
      </w:r>
      <w:proofErr w:type="spellStart"/>
      <w:r>
        <w:rPr>
          <w:sz w:val="24"/>
          <w:szCs w:val="24"/>
        </w:rPr>
        <w:t>isofluran</w:t>
      </w:r>
      <w:proofErr w:type="spellEnd"/>
      <w:r>
        <w:rPr>
          <w:sz w:val="24"/>
          <w:szCs w:val="24"/>
        </w:rPr>
        <w:t xml:space="preserve"> eller </w:t>
      </w:r>
      <w:proofErr w:type="spellStart"/>
      <w:r>
        <w:rPr>
          <w:sz w:val="24"/>
          <w:szCs w:val="24"/>
        </w:rPr>
        <w:t>hæmodynamisk</w:t>
      </w:r>
      <w:proofErr w:type="spellEnd"/>
      <w:r>
        <w:rPr>
          <w:sz w:val="24"/>
          <w:szCs w:val="24"/>
        </w:rPr>
        <w:t xml:space="preserve"> behandling med væsker eller </w:t>
      </w:r>
      <w:proofErr w:type="spellStart"/>
      <w:r>
        <w:rPr>
          <w:sz w:val="24"/>
          <w:szCs w:val="24"/>
        </w:rPr>
        <w:t>vasoaktive</w:t>
      </w:r>
      <w:proofErr w:type="spellEnd"/>
      <w:r>
        <w:rPr>
          <w:sz w:val="24"/>
          <w:szCs w:val="24"/>
        </w:rPr>
        <w:t xml:space="preserve"> lægemidler.</w:t>
      </w:r>
    </w:p>
    <w:p w:rsidR="00192748" w:rsidRPr="00192748" w:rsidRDefault="00192748" w:rsidP="00192748">
      <w:pPr>
        <w:ind w:left="851"/>
        <w:rPr>
          <w:sz w:val="24"/>
          <w:szCs w:val="24"/>
        </w:rPr>
      </w:pPr>
    </w:p>
    <w:p w:rsidR="00192748" w:rsidRPr="00192748" w:rsidRDefault="00192748" w:rsidP="00192748">
      <w:pPr>
        <w:autoSpaceDE w:val="0"/>
        <w:autoSpaceDN w:val="0"/>
        <w:adjustRightInd w:val="0"/>
        <w:ind w:left="851"/>
        <w:rPr>
          <w:sz w:val="24"/>
          <w:szCs w:val="24"/>
          <w:u w:val="single"/>
        </w:rPr>
      </w:pPr>
      <w:r w:rsidRPr="00192748">
        <w:rPr>
          <w:sz w:val="24"/>
          <w:szCs w:val="24"/>
          <w:u w:val="single"/>
        </w:rPr>
        <w:t>Indberetning af formodede bivirkninger</w:t>
      </w:r>
    </w:p>
    <w:p w:rsidR="00192748" w:rsidRPr="00192748" w:rsidRDefault="00192748" w:rsidP="00192748">
      <w:pPr>
        <w:autoSpaceDE w:val="0"/>
        <w:autoSpaceDN w:val="0"/>
        <w:adjustRightInd w:val="0"/>
        <w:ind w:left="851"/>
        <w:rPr>
          <w:sz w:val="24"/>
          <w:szCs w:val="24"/>
        </w:rPr>
      </w:pPr>
      <w:r w:rsidRPr="00192748">
        <w:rPr>
          <w:sz w:val="24"/>
          <w:szCs w:val="24"/>
        </w:rPr>
        <w:t>Når lægemidlet er godkendt, er indberetning af formodede bivirkninger vigtig. Det muliggør løbende overvågning af benefit/</w:t>
      </w:r>
      <w:proofErr w:type="spellStart"/>
      <w:r w:rsidRPr="00192748">
        <w:rPr>
          <w:sz w:val="24"/>
          <w:szCs w:val="24"/>
        </w:rPr>
        <w:t>risk</w:t>
      </w:r>
      <w:proofErr w:type="spellEnd"/>
      <w:r w:rsidRPr="00192748">
        <w:rPr>
          <w:sz w:val="24"/>
          <w:szCs w:val="24"/>
        </w:rPr>
        <w:t>-forholdet for lægemidlet. Sundhedspersoner anmodes om at indberette alle formodede bivirkninger via:</w:t>
      </w:r>
    </w:p>
    <w:p w:rsidR="00192748" w:rsidRDefault="00192748" w:rsidP="00192748">
      <w:pPr>
        <w:autoSpaceDE w:val="0"/>
        <w:autoSpaceDN w:val="0"/>
        <w:adjustRightInd w:val="0"/>
        <w:ind w:left="851"/>
        <w:rPr>
          <w:sz w:val="24"/>
          <w:szCs w:val="24"/>
        </w:rPr>
      </w:pPr>
    </w:p>
    <w:p w:rsidR="00B279A9" w:rsidRPr="00192748" w:rsidRDefault="00B279A9" w:rsidP="00192748">
      <w:pPr>
        <w:autoSpaceDE w:val="0"/>
        <w:autoSpaceDN w:val="0"/>
        <w:adjustRightInd w:val="0"/>
        <w:ind w:left="851"/>
        <w:rPr>
          <w:sz w:val="24"/>
          <w:szCs w:val="24"/>
        </w:rPr>
      </w:pPr>
    </w:p>
    <w:p w:rsidR="00192748" w:rsidRPr="00192748" w:rsidRDefault="00192748" w:rsidP="00192748">
      <w:pPr>
        <w:suppressAutoHyphens/>
        <w:ind w:left="851"/>
        <w:rPr>
          <w:color w:val="000000"/>
          <w:sz w:val="24"/>
          <w:szCs w:val="24"/>
        </w:rPr>
      </w:pPr>
      <w:r w:rsidRPr="00192748">
        <w:rPr>
          <w:color w:val="000000"/>
          <w:sz w:val="24"/>
          <w:szCs w:val="24"/>
        </w:rPr>
        <w:lastRenderedPageBreak/>
        <w:t>Lægemiddelstyrelsen</w:t>
      </w:r>
    </w:p>
    <w:p w:rsidR="00192748" w:rsidRPr="00192748" w:rsidRDefault="00192748" w:rsidP="00192748">
      <w:pPr>
        <w:suppressAutoHyphens/>
        <w:ind w:left="851"/>
        <w:rPr>
          <w:color w:val="000000"/>
          <w:sz w:val="24"/>
          <w:szCs w:val="24"/>
        </w:rPr>
      </w:pPr>
      <w:r w:rsidRPr="00192748">
        <w:rPr>
          <w:color w:val="000000"/>
          <w:sz w:val="24"/>
          <w:szCs w:val="24"/>
        </w:rPr>
        <w:t>Axel Heides Gade 1</w:t>
      </w:r>
    </w:p>
    <w:p w:rsidR="00192748" w:rsidRPr="00192748" w:rsidRDefault="00192748" w:rsidP="00192748">
      <w:pPr>
        <w:suppressAutoHyphens/>
        <w:ind w:left="851"/>
        <w:rPr>
          <w:color w:val="000000"/>
          <w:sz w:val="24"/>
          <w:szCs w:val="24"/>
        </w:rPr>
      </w:pPr>
      <w:r w:rsidRPr="00192748">
        <w:rPr>
          <w:color w:val="000000"/>
          <w:sz w:val="24"/>
          <w:szCs w:val="24"/>
        </w:rPr>
        <w:t>2300 København S</w:t>
      </w:r>
    </w:p>
    <w:p w:rsidR="00192748" w:rsidRPr="00192748" w:rsidRDefault="00192748" w:rsidP="00192748">
      <w:pPr>
        <w:suppressAutoHyphens/>
        <w:ind w:left="851"/>
        <w:rPr>
          <w:sz w:val="24"/>
          <w:szCs w:val="24"/>
        </w:rPr>
      </w:pPr>
      <w:r w:rsidRPr="00192748">
        <w:rPr>
          <w:sz w:val="24"/>
          <w:szCs w:val="24"/>
        </w:rPr>
        <w:t xml:space="preserve">Websted: </w:t>
      </w:r>
      <w:r w:rsidRPr="00E87D05">
        <w:rPr>
          <w:sz w:val="24"/>
          <w:szCs w:val="24"/>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260DE" w:rsidRPr="00C84483" w:rsidRDefault="00C36F53" w:rsidP="003F7C56">
      <w:pPr>
        <w:ind w:left="851"/>
        <w:rPr>
          <w:sz w:val="24"/>
          <w:szCs w:val="24"/>
        </w:rPr>
      </w:pPr>
      <w:r w:rsidRPr="00C36F53">
        <w:rPr>
          <w:sz w:val="24"/>
          <w:szCs w:val="24"/>
        </w:rPr>
        <w:t xml:space="preserve">Højere koncentrationer af </w:t>
      </w:r>
      <w:proofErr w:type="spellStart"/>
      <w:r w:rsidRPr="00C36F53">
        <w:rPr>
          <w:sz w:val="24"/>
          <w:szCs w:val="24"/>
        </w:rPr>
        <w:t>isofluran</w:t>
      </w:r>
      <w:proofErr w:type="spellEnd"/>
      <w:r w:rsidRPr="00C36F53">
        <w:rPr>
          <w:sz w:val="24"/>
          <w:szCs w:val="24"/>
        </w:rPr>
        <w:t xml:space="preserve"> kan inducere hypotension og respirationsdepression. Det anbefales at overvåge blodtryk og respiration tæt. Ved alvorlig overdosering vil afmontering af </w:t>
      </w:r>
      <w:proofErr w:type="spellStart"/>
      <w:r w:rsidRPr="00C36F53">
        <w:rPr>
          <w:sz w:val="24"/>
          <w:szCs w:val="24"/>
        </w:rPr>
        <w:t>Sedaconda</w:t>
      </w:r>
      <w:proofErr w:type="spellEnd"/>
      <w:r w:rsidRPr="00C36F53">
        <w:rPr>
          <w:sz w:val="24"/>
          <w:szCs w:val="24"/>
        </w:rPr>
        <w:t xml:space="preserve"> ACD resultere i den hurtigste elimination. I mindre alvorlige tilfælde kan sprøjtepumpen stoppes indtil </w:t>
      </w:r>
      <w:proofErr w:type="spellStart"/>
      <w:r w:rsidRPr="00C36F53">
        <w:rPr>
          <w:sz w:val="24"/>
          <w:szCs w:val="24"/>
        </w:rPr>
        <w:t>isofluran</w:t>
      </w:r>
      <w:proofErr w:type="spellEnd"/>
      <w:r w:rsidRPr="00C36F53">
        <w:rPr>
          <w:sz w:val="24"/>
          <w:szCs w:val="24"/>
        </w:rPr>
        <w:t>-koncentrationen er faldet. Understøttende foranstaltninger kan være nødvendige for at korrigere hypotension og respirationsdepression som følge af overdrevent dybe sedationsniveauer.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275BD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D3FCB" w:rsidRDefault="003D3FCB" w:rsidP="009619AC">
      <w:pPr>
        <w:suppressAutoHyphens/>
        <w:ind w:left="851"/>
        <w:rPr>
          <w:bCs/>
          <w:sz w:val="24"/>
          <w:szCs w:val="24"/>
          <w:u w:val="single"/>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E95A44">
        <w:rPr>
          <w:sz w:val="24"/>
          <w:szCs w:val="24"/>
        </w:rPr>
        <w:t xml:space="preserve">Nervesystemet, </w:t>
      </w:r>
      <w:proofErr w:type="spellStart"/>
      <w:r w:rsidRPr="00E95A44">
        <w:rPr>
          <w:sz w:val="24"/>
          <w:szCs w:val="24"/>
        </w:rPr>
        <w:t>anesthetica</w:t>
      </w:r>
      <w:proofErr w:type="spellEnd"/>
      <w:r w:rsidRPr="00E95A44">
        <w:rPr>
          <w:sz w:val="24"/>
          <w:szCs w:val="24"/>
        </w:rPr>
        <w:t xml:space="preserve">, generelle, </w:t>
      </w:r>
      <w:proofErr w:type="spellStart"/>
      <w:r w:rsidRPr="00E95A44">
        <w:rPr>
          <w:sz w:val="24"/>
          <w:szCs w:val="24"/>
        </w:rPr>
        <w:t>halogenerede</w:t>
      </w:r>
      <w:proofErr w:type="spellEnd"/>
      <w:r w:rsidRPr="00E95A44">
        <w:rPr>
          <w:sz w:val="24"/>
          <w:szCs w:val="24"/>
        </w:rPr>
        <w:t xml:space="preserve"> kulbrinter</w:t>
      </w:r>
      <w:r>
        <w:rPr>
          <w:sz w:val="24"/>
          <w:szCs w:val="24"/>
        </w:rPr>
        <w:t xml:space="preserve">, </w:t>
      </w:r>
      <w:r w:rsidRPr="00E95A44">
        <w:rPr>
          <w:sz w:val="24"/>
          <w:szCs w:val="24"/>
        </w:rPr>
        <w:t>ATC-kode: N</w:t>
      </w:r>
      <w:r>
        <w:rPr>
          <w:sz w:val="24"/>
          <w:szCs w:val="24"/>
        </w:rPr>
        <w:t xml:space="preserve"> </w:t>
      </w:r>
      <w:r w:rsidRPr="00E95A44">
        <w:rPr>
          <w:sz w:val="24"/>
          <w:szCs w:val="24"/>
        </w:rPr>
        <w:t>01</w:t>
      </w:r>
      <w:r>
        <w:rPr>
          <w:sz w:val="24"/>
          <w:szCs w:val="24"/>
        </w:rPr>
        <w:t xml:space="preserve"> </w:t>
      </w:r>
      <w:r w:rsidRPr="00E95A44">
        <w:rPr>
          <w:sz w:val="24"/>
          <w:szCs w:val="24"/>
        </w:rPr>
        <w:t>AB</w:t>
      </w:r>
      <w:r>
        <w:rPr>
          <w:sz w:val="24"/>
          <w:szCs w:val="24"/>
        </w:rPr>
        <w:t xml:space="preserve"> </w:t>
      </w:r>
      <w:r w:rsidRPr="00E95A44">
        <w:rPr>
          <w:sz w:val="24"/>
          <w:szCs w:val="24"/>
        </w:rPr>
        <w:t>06.</w:t>
      </w:r>
    </w:p>
    <w:p w:rsidR="00833EFD" w:rsidRDefault="00833EFD" w:rsidP="009619AC">
      <w:pPr>
        <w:suppressAutoHyphens/>
        <w:ind w:left="851"/>
        <w:rPr>
          <w:bCs/>
          <w:sz w:val="24"/>
          <w:szCs w:val="24"/>
          <w:u w:val="single"/>
        </w:rPr>
      </w:pPr>
    </w:p>
    <w:p w:rsidR="009619AC" w:rsidRPr="009619AC" w:rsidRDefault="009619AC" w:rsidP="009619AC">
      <w:pPr>
        <w:suppressAutoHyphens/>
        <w:ind w:left="851"/>
        <w:rPr>
          <w:bCs/>
          <w:sz w:val="24"/>
          <w:szCs w:val="24"/>
          <w:u w:val="single"/>
        </w:rPr>
      </w:pPr>
      <w:r w:rsidRPr="009619AC">
        <w:rPr>
          <w:bCs/>
          <w:sz w:val="24"/>
          <w:szCs w:val="24"/>
          <w:u w:val="single"/>
        </w:rPr>
        <w:t>Virkningsmekanisme</w:t>
      </w:r>
    </w:p>
    <w:p w:rsidR="009619AC" w:rsidRPr="009619AC" w:rsidRDefault="009619AC" w:rsidP="009619AC">
      <w:pPr>
        <w:suppressAutoHyphens/>
        <w:ind w:left="851"/>
        <w:rPr>
          <w:bCs/>
          <w:sz w:val="24"/>
          <w:szCs w:val="24"/>
        </w:rPr>
      </w:pPr>
      <w:proofErr w:type="spellStart"/>
      <w:r w:rsidRPr="009619AC">
        <w:rPr>
          <w:bCs/>
          <w:sz w:val="24"/>
          <w:szCs w:val="24"/>
        </w:rPr>
        <w:t>Isofluran</w:t>
      </w:r>
      <w:proofErr w:type="spellEnd"/>
      <w:r w:rsidRPr="009619AC">
        <w:rPr>
          <w:bCs/>
          <w:sz w:val="24"/>
          <w:szCs w:val="24"/>
        </w:rPr>
        <w:t xml:space="preserve"> har sedative og anæstetiske egenskaber. Selvom den nøjagtige anæstetiske virkningsmekanisme ikke er fuldt forstået, antages det almindeligvis, at flygtige </w:t>
      </w:r>
      <w:proofErr w:type="spellStart"/>
      <w:r w:rsidRPr="009619AC">
        <w:rPr>
          <w:bCs/>
          <w:sz w:val="24"/>
          <w:szCs w:val="24"/>
        </w:rPr>
        <w:t>anæstetika</w:t>
      </w:r>
      <w:proofErr w:type="spellEnd"/>
      <w:r w:rsidRPr="009619AC">
        <w:rPr>
          <w:bCs/>
          <w:sz w:val="24"/>
          <w:szCs w:val="24"/>
        </w:rPr>
        <w:t xml:space="preserve"> ændrer den neurale funktion ved modulering af </w:t>
      </w:r>
      <w:proofErr w:type="spellStart"/>
      <w:r w:rsidRPr="009619AC">
        <w:rPr>
          <w:bCs/>
          <w:sz w:val="24"/>
          <w:szCs w:val="24"/>
        </w:rPr>
        <w:t>excitatorisk</w:t>
      </w:r>
      <w:proofErr w:type="spellEnd"/>
      <w:r w:rsidRPr="009619AC">
        <w:rPr>
          <w:bCs/>
          <w:sz w:val="24"/>
          <w:szCs w:val="24"/>
        </w:rPr>
        <w:t xml:space="preserve"> og inhibitorisk </w:t>
      </w:r>
      <w:proofErr w:type="spellStart"/>
      <w:r w:rsidRPr="009619AC">
        <w:rPr>
          <w:bCs/>
          <w:sz w:val="24"/>
          <w:szCs w:val="24"/>
        </w:rPr>
        <w:t>synaptisk</w:t>
      </w:r>
      <w:proofErr w:type="spellEnd"/>
      <w:r w:rsidRPr="009619AC">
        <w:rPr>
          <w:bCs/>
          <w:sz w:val="24"/>
          <w:szCs w:val="24"/>
        </w:rPr>
        <w:t xml:space="preserve"> transmission. Den anæstetiske virkning af </w:t>
      </w:r>
      <w:proofErr w:type="spellStart"/>
      <w:r w:rsidRPr="009619AC">
        <w:rPr>
          <w:bCs/>
          <w:sz w:val="24"/>
          <w:szCs w:val="24"/>
        </w:rPr>
        <w:t>isofluran</w:t>
      </w:r>
      <w:proofErr w:type="spellEnd"/>
      <w:r w:rsidRPr="009619AC">
        <w:rPr>
          <w:bCs/>
          <w:sz w:val="24"/>
          <w:szCs w:val="24"/>
        </w:rPr>
        <w:t xml:space="preserve"> menes at være medieret af flere mekanismer, herunder </w:t>
      </w:r>
      <w:proofErr w:type="spellStart"/>
      <w:r w:rsidRPr="009619AC">
        <w:rPr>
          <w:bCs/>
          <w:sz w:val="24"/>
          <w:szCs w:val="24"/>
        </w:rPr>
        <w:t>agonistiske</w:t>
      </w:r>
      <w:proofErr w:type="spellEnd"/>
      <w:r w:rsidRPr="009619AC">
        <w:rPr>
          <w:bCs/>
          <w:sz w:val="24"/>
          <w:szCs w:val="24"/>
        </w:rPr>
        <w:t xml:space="preserve"> virkninger på neurotransmitter-medierede ionkanaler, såsom </w:t>
      </w:r>
      <w:proofErr w:type="spellStart"/>
      <w:r w:rsidRPr="009619AC">
        <w:rPr>
          <w:bCs/>
          <w:sz w:val="24"/>
          <w:szCs w:val="24"/>
        </w:rPr>
        <w:t>gammaaminobutansyre</w:t>
      </w:r>
      <w:proofErr w:type="spellEnd"/>
      <w:r w:rsidRPr="009619AC">
        <w:rPr>
          <w:bCs/>
          <w:sz w:val="24"/>
          <w:szCs w:val="24"/>
        </w:rPr>
        <w:t xml:space="preserve"> (GABA) og </w:t>
      </w:r>
      <w:proofErr w:type="spellStart"/>
      <w:r w:rsidRPr="009619AC">
        <w:rPr>
          <w:bCs/>
          <w:sz w:val="24"/>
          <w:szCs w:val="24"/>
        </w:rPr>
        <w:t>glycin</w:t>
      </w:r>
      <w:proofErr w:type="spellEnd"/>
      <w:r w:rsidRPr="009619AC">
        <w:rPr>
          <w:bCs/>
          <w:sz w:val="24"/>
          <w:szCs w:val="24"/>
        </w:rPr>
        <w:t>-receptorer, og antagonistiske virkninger på N-</w:t>
      </w:r>
      <w:proofErr w:type="spellStart"/>
      <w:r w:rsidRPr="009619AC">
        <w:rPr>
          <w:bCs/>
          <w:sz w:val="24"/>
          <w:szCs w:val="24"/>
        </w:rPr>
        <w:t>methyl</w:t>
      </w:r>
      <w:proofErr w:type="spellEnd"/>
      <w:r w:rsidRPr="009619AC">
        <w:rPr>
          <w:bCs/>
          <w:sz w:val="24"/>
          <w:szCs w:val="24"/>
        </w:rPr>
        <w:t>-D-</w:t>
      </w:r>
      <w:proofErr w:type="spellStart"/>
      <w:r w:rsidRPr="009619AC">
        <w:rPr>
          <w:bCs/>
          <w:sz w:val="24"/>
          <w:szCs w:val="24"/>
        </w:rPr>
        <w:t>aspartat</w:t>
      </w:r>
      <w:proofErr w:type="spellEnd"/>
      <w:r w:rsidRPr="009619AC">
        <w:rPr>
          <w:bCs/>
          <w:sz w:val="24"/>
          <w:szCs w:val="24"/>
        </w:rPr>
        <w:t xml:space="preserve"> (NMDA)-receptorer i centralnervesystemet, for at producere amnesi og sedation. Flygtige </w:t>
      </w:r>
      <w:proofErr w:type="spellStart"/>
      <w:r w:rsidRPr="009619AC">
        <w:rPr>
          <w:bCs/>
          <w:sz w:val="24"/>
          <w:szCs w:val="24"/>
        </w:rPr>
        <w:t>anæstetika</w:t>
      </w:r>
      <w:proofErr w:type="spellEnd"/>
      <w:r w:rsidRPr="009619AC">
        <w:rPr>
          <w:bCs/>
          <w:sz w:val="24"/>
          <w:szCs w:val="24"/>
        </w:rPr>
        <w:t xml:space="preserve"> har almindeligvis også virkningssteder i rygmarven, der bidrager til afslapning af skeletmuskulaturen og hæmning af </w:t>
      </w:r>
      <w:proofErr w:type="spellStart"/>
      <w:r w:rsidRPr="009619AC">
        <w:rPr>
          <w:bCs/>
          <w:sz w:val="24"/>
          <w:szCs w:val="24"/>
        </w:rPr>
        <w:t>afferent</w:t>
      </w:r>
      <w:proofErr w:type="spellEnd"/>
      <w:r w:rsidRPr="009619AC">
        <w:rPr>
          <w:bCs/>
          <w:sz w:val="24"/>
          <w:szCs w:val="24"/>
        </w:rPr>
        <w:t xml:space="preserve"> </w:t>
      </w:r>
      <w:proofErr w:type="spellStart"/>
      <w:r w:rsidRPr="009619AC">
        <w:rPr>
          <w:bCs/>
          <w:sz w:val="24"/>
          <w:szCs w:val="24"/>
        </w:rPr>
        <w:t>nociceptiv</w:t>
      </w:r>
      <w:proofErr w:type="spellEnd"/>
      <w:r w:rsidRPr="009619AC">
        <w:rPr>
          <w:bCs/>
          <w:sz w:val="24"/>
          <w:szCs w:val="24"/>
        </w:rPr>
        <w:t xml:space="preserve"> signalering.</w:t>
      </w:r>
    </w:p>
    <w:p w:rsidR="009619AC" w:rsidRPr="009619AC" w:rsidRDefault="009619AC" w:rsidP="009619AC">
      <w:pPr>
        <w:suppressAutoHyphens/>
        <w:ind w:left="851"/>
        <w:rPr>
          <w:bCs/>
          <w:sz w:val="24"/>
          <w:szCs w:val="24"/>
        </w:rPr>
      </w:pPr>
    </w:p>
    <w:p w:rsidR="009619AC" w:rsidRPr="009619AC" w:rsidRDefault="009619AC" w:rsidP="009619AC">
      <w:pPr>
        <w:keepNext/>
        <w:suppressAutoHyphens/>
        <w:ind w:left="851"/>
        <w:rPr>
          <w:bCs/>
          <w:sz w:val="24"/>
          <w:szCs w:val="24"/>
          <w:u w:val="single"/>
        </w:rPr>
      </w:pPr>
      <w:proofErr w:type="spellStart"/>
      <w:r w:rsidRPr="009619AC">
        <w:rPr>
          <w:bCs/>
          <w:sz w:val="24"/>
          <w:szCs w:val="24"/>
          <w:u w:val="single"/>
        </w:rPr>
        <w:t>Farmakodynamisk</w:t>
      </w:r>
      <w:proofErr w:type="spellEnd"/>
      <w:r w:rsidRPr="009619AC">
        <w:rPr>
          <w:bCs/>
          <w:sz w:val="24"/>
          <w:szCs w:val="24"/>
          <w:u w:val="single"/>
        </w:rPr>
        <w:t xml:space="preserve"> virkning</w:t>
      </w:r>
    </w:p>
    <w:p w:rsidR="009619AC" w:rsidRPr="009619AC" w:rsidRDefault="009619AC" w:rsidP="009619AC">
      <w:pPr>
        <w:suppressAutoHyphens/>
        <w:ind w:left="851"/>
        <w:rPr>
          <w:bCs/>
          <w:sz w:val="24"/>
          <w:szCs w:val="24"/>
        </w:rPr>
      </w:pPr>
      <w:proofErr w:type="spellStart"/>
      <w:r w:rsidRPr="009619AC">
        <w:rPr>
          <w:bCs/>
          <w:sz w:val="24"/>
          <w:szCs w:val="24"/>
        </w:rPr>
        <w:t>Isofluran</w:t>
      </w:r>
      <w:proofErr w:type="spellEnd"/>
      <w:r w:rsidRPr="009619AC">
        <w:rPr>
          <w:bCs/>
          <w:sz w:val="24"/>
          <w:szCs w:val="24"/>
        </w:rPr>
        <w:t xml:space="preserve"> inducerer dosisafhængig stigende sedationsdybde ved </w:t>
      </w:r>
      <w:r w:rsidR="00B279A9" w:rsidRPr="009619AC">
        <w:rPr>
          <w:bCs/>
          <w:sz w:val="24"/>
          <w:szCs w:val="24"/>
        </w:rPr>
        <w:t>slut-</w:t>
      </w:r>
      <w:proofErr w:type="spellStart"/>
      <w:r w:rsidR="00B279A9" w:rsidRPr="009619AC">
        <w:rPr>
          <w:bCs/>
          <w:sz w:val="24"/>
          <w:szCs w:val="24"/>
        </w:rPr>
        <w:t>tidal</w:t>
      </w:r>
      <w:proofErr w:type="spellEnd"/>
      <w:r w:rsidR="00B279A9">
        <w:rPr>
          <w:bCs/>
          <w:sz w:val="24"/>
          <w:szCs w:val="24"/>
        </w:rPr>
        <w:t>-</w:t>
      </w:r>
      <w:r w:rsidR="00B279A9" w:rsidRPr="009619AC">
        <w:rPr>
          <w:bCs/>
          <w:sz w:val="24"/>
          <w:szCs w:val="24"/>
        </w:rPr>
        <w:t xml:space="preserve">koncentrationer </w:t>
      </w:r>
      <w:r w:rsidRPr="009619AC">
        <w:rPr>
          <w:bCs/>
          <w:sz w:val="24"/>
          <w:szCs w:val="24"/>
        </w:rPr>
        <w:t>på cirka 0,2 % til 1,0 % hos mekanisk ventilerede patienter.</w:t>
      </w:r>
    </w:p>
    <w:p w:rsidR="009619AC" w:rsidRPr="009619AC" w:rsidRDefault="009619AC" w:rsidP="009619AC">
      <w:pPr>
        <w:suppressAutoHyphens/>
        <w:ind w:left="851"/>
        <w:rPr>
          <w:bCs/>
          <w:sz w:val="24"/>
          <w:szCs w:val="24"/>
        </w:rPr>
      </w:pPr>
    </w:p>
    <w:p w:rsidR="00B279A9" w:rsidRPr="009619AC" w:rsidRDefault="00B279A9" w:rsidP="00B279A9">
      <w:pPr>
        <w:suppressAutoHyphens/>
        <w:ind w:left="851"/>
        <w:rPr>
          <w:bCs/>
          <w:sz w:val="24"/>
          <w:szCs w:val="24"/>
        </w:rPr>
      </w:pPr>
      <w:proofErr w:type="spellStart"/>
      <w:r w:rsidRPr="009619AC">
        <w:rPr>
          <w:bCs/>
          <w:sz w:val="24"/>
          <w:szCs w:val="24"/>
        </w:rPr>
        <w:t>Isofluran</w:t>
      </w:r>
      <w:proofErr w:type="spellEnd"/>
      <w:r w:rsidRPr="009619AC">
        <w:rPr>
          <w:bCs/>
          <w:sz w:val="24"/>
          <w:szCs w:val="24"/>
        </w:rPr>
        <w:t xml:space="preserve"> har lav opløselighed (blod/gas fordelingskoefficient er 1,4), hvilket muliggør en hurtig og forudsigelig indtræden og ophør af sedation. Tilbagevenden til vågenhed som tid til tilbagevenden til RASS ≥</w:t>
      </w:r>
      <w:r>
        <w:rPr>
          <w:bCs/>
          <w:sz w:val="24"/>
          <w:szCs w:val="24"/>
        </w:rPr>
        <w:t> </w:t>
      </w:r>
      <w:r w:rsidRPr="009619AC">
        <w:rPr>
          <w:bCs/>
          <w:sz w:val="24"/>
          <w:szCs w:val="24"/>
        </w:rPr>
        <w:t xml:space="preserve">0 (rolig og opmærksom) og kognitiv bedring, vurderet som evnen til at følge verbale kommandoer, forekommer typisk mellem 10 og 60 minutter efter afslutningen af </w:t>
      </w:r>
      <w:proofErr w:type="spellStart"/>
      <w:r w:rsidRPr="009619AC">
        <w:rPr>
          <w:bCs/>
          <w:sz w:val="24"/>
          <w:szCs w:val="24"/>
        </w:rPr>
        <w:t>isofluran</w:t>
      </w:r>
      <w:proofErr w:type="spellEnd"/>
      <w:r w:rsidRPr="009619AC">
        <w:rPr>
          <w:bCs/>
          <w:sz w:val="24"/>
          <w:szCs w:val="24"/>
        </w:rPr>
        <w:t>-administration.</w:t>
      </w:r>
    </w:p>
    <w:p w:rsidR="009619AC" w:rsidRPr="009619AC" w:rsidRDefault="009619AC" w:rsidP="009619AC">
      <w:pPr>
        <w:suppressAutoHyphens/>
        <w:ind w:left="851"/>
        <w:rPr>
          <w:bCs/>
          <w:sz w:val="24"/>
          <w:szCs w:val="24"/>
        </w:rPr>
      </w:pPr>
    </w:p>
    <w:p w:rsidR="009619AC" w:rsidRPr="009619AC" w:rsidRDefault="009619AC" w:rsidP="009619AC">
      <w:pPr>
        <w:suppressAutoHyphens/>
        <w:ind w:left="851"/>
        <w:rPr>
          <w:bCs/>
          <w:sz w:val="24"/>
          <w:szCs w:val="24"/>
        </w:rPr>
      </w:pPr>
      <w:r w:rsidRPr="009619AC">
        <w:rPr>
          <w:bCs/>
          <w:sz w:val="24"/>
          <w:szCs w:val="24"/>
        </w:rPr>
        <w:t xml:space="preserve">Blodtrykket reduceres i direkte relation til øgede </w:t>
      </w:r>
      <w:proofErr w:type="spellStart"/>
      <w:r w:rsidRPr="009619AC">
        <w:rPr>
          <w:bCs/>
          <w:sz w:val="24"/>
          <w:szCs w:val="24"/>
        </w:rPr>
        <w:t>isofluran</w:t>
      </w:r>
      <w:proofErr w:type="spellEnd"/>
      <w:r w:rsidRPr="009619AC">
        <w:rPr>
          <w:bCs/>
          <w:sz w:val="24"/>
          <w:szCs w:val="24"/>
        </w:rPr>
        <w:t>-koncentrationer, primært på grund af perifer vasodilatation, se pkt. 4.4.</w:t>
      </w:r>
    </w:p>
    <w:p w:rsidR="009619AC" w:rsidRPr="009619AC" w:rsidRDefault="009619AC" w:rsidP="009619AC">
      <w:pPr>
        <w:suppressAutoHyphens/>
        <w:ind w:left="851"/>
        <w:rPr>
          <w:bCs/>
          <w:sz w:val="24"/>
          <w:szCs w:val="24"/>
        </w:rPr>
      </w:pPr>
    </w:p>
    <w:p w:rsidR="00D37883" w:rsidRPr="009619AC" w:rsidRDefault="00D37883" w:rsidP="00D37883">
      <w:pPr>
        <w:suppressAutoHyphens/>
        <w:ind w:left="851"/>
        <w:rPr>
          <w:bCs/>
          <w:sz w:val="24"/>
          <w:szCs w:val="24"/>
        </w:rPr>
      </w:pPr>
      <w:proofErr w:type="spellStart"/>
      <w:r w:rsidRPr="009619AC">
        <w:rPr>
          <w:bCs/>
          <w:sz w:val="24"/>
          <w:szCs w:val="24"/>
        </w:rPr>
        <w:t>Isofluran</w:t>
      </w:r>
      <w:proofErr w:type="spellEnd"/>
      <w:r w:rsidRPr="009619AC">
        <w:rPr>
          <w:bCs/>
          <w:sz w:val="24"/>
          <w:szCs w:val="24"/>
        </w:rPr>
        <w:t xml:space="preserve"> ved slut-</w:t>
      </w:r>
      <w:proofErr w:type="spellStart"/>
      <w:r w:rsidRPr="009619AC">
        <w:rPr>
          <w:bCs/>
          <w:sz w:val="24"/>
          <w:szCs w:val="24"/>
        </w:rPr>
        <w:t>tidal</w:t>
      </w:r>
      <w:proofErr w:type="spellEnd"/>
      <w:r>
        <w:rPr>
          <w:bCs/>
          <w:sz w:val="24"/>
          <w:szCs w:val="24"/>
        </w:rPr>
        <w:t>-</w:t>
      </w:r>
      <w:r w:rsidRPr="009619AC">
        <w:rPr>
          <w:bCs/>
          <w:sz w:val="24"/>
          <w:szCs w:val="24"/>
        </w:rPr>
        <w:t xml:space="preserve">koncentrationer på 0,6 % eller derover inducerer </w:t>
      </w:r>
      <w:proofErr w:type="spellStart"/>
      <w:r w:rsidRPr="009619AC">
        <w:rPr>
          <w:bCs/>
          <w:sz w:val="24"/>
          <w:szCs w:val="24"/>
        </w:rPr>
        <w:t>bronkodilatation</w:t>
      </w:r>
      <w:proofErr w:type="spellEnd"/>
      <w:r w:rsidRPr="009619AC">
        <w:rPr>
          <w:bCs/>
          <w:sz w:val="24"/>
          <w:szCs w:val="24"/>
        </w:rPr>
        <w:t xml:space="preserve"> ved nedsættelse af </w:t>
      </w:r>
      <w:proofErr w:type="spellStart"/>
      <w:r w:rsidRPr="009619AC">
        <w:rPr>
          <w:bCs/>
          <w:sz w:val="24"/>
          <w:szCs w:val="24"/>
        </w:rPr>
        <w:t>muskeltonus</w:t>
      </w:r>
      <w:proofErr w:type="spellEnd"/>
      <w:r w:rsidRPr="009619AC">
        <w:rPr>
          <w:bCs/>
          <w:sz w:val="24"/>
          <w:szCs w:val="24"/>
        </w:rPr>
        <w:t xml:space="preserve"> i glat muskulatur i luftvejede hos patienter, der er </w:t>
      </w:r>
      <w:r w:rsidRPr="009619AC">
        <w:rPr>
          <w:bCs/>
          <w:sz w:val="24"/>
          <w:szCs w:val="24"/>
        </w:rPr>
        <w:lastRenderedPageBreak/>
        <w:t>refraktære over for beta</w:t>
      </w:r>
      <w:r w:rsidRPr="009619AC">
        <w:rPr>
          <w:bCs/>
          <w:sz w:val="24"/>
          <w:szCs w:val="24"/>
        </w:rPr>
        <w:noBreakHyphen/>
        <w:t xml:space="preserve">agonister. Mekanismen kan involvere frigivelse af nitrogenoxid og </w:t>
      </w:r>
      <w:proofErr w:type="spellStart"/>
      <w:r w:rsidRPr="009619AC">
        <w:rPr>
          <w:bCs/>
          <w:sz w:val="24"/>
          <w:szCs w:val="24"/>
        </w:rPr>
        <w:t>prostaglandiner</w:t>
      </w:r>
      <w:proofErr w:type="spellEnd"/>
      <w:r w:rsidRPr="009619AC">
        <w:rPr>
          <w:bCs/>
          <w:sz w:val="24"/>
          <w:szCs w:val="24"/>
        </w:rPr>
        <w:t xml:space="preserve"> fra </w:t>
      </w:r>
      <w:proofErr w:type="spellStart"/>
      <w:r w:rsidRPr="009619AC">
        <w:rPr>
          <w:bCs/>
          <w:sz w:val="24"/>
          <w:szCs w:val="24"/>
        </w:rPr>
        <w:t>endotelet</w:t>
      </w:r>
      <w:proofErr w:type="spellEnd"/>
      <w:r w:rsidRPr="009619AC">
        <w:rPr>
          <w:bCs/>
          <w:sz w:val="24"/>
          <w:szCs w:val="24"/>
        </w:rPr>
        <w:t>.</w:t>
      </w:r>
    </w:p>
    <w:p w:rsidR="009619AC" w:rsidRPr="009619AC" w:rsidRDefault="009619AC" w:rsidP="009619AC">
      <w:pPr>
        <w:suppressAutoHyphens/>
        <w:ind w:left="851"/>
        <w:rPr>
          <w:bCs/>
          <w:sz w:val="24"/>
          <w:szCs w:val="24"/>
        </w:rPr>
      </w:pPr>
    </w:p>
    <w:p w:rsidR="009619AC" w:rsidRPr="009619AC" w:rsidRDefault="009619AC" w:rsidP="009619AC">
      <w:pPr>
        <w:suppressAutoHyphens/>
        <w:ind w:left="851"/>
        <w:rPr>
          <w:bCs/>
          <w:sz w:val="24"/>
          <w:szCs w:val="24"/>
        </w:rPr>
      </w:pPr>
      <w:r w:rsidRPr="009619AC">
        <w:rPr>
          <w:bCs/>
          <w:sz w:val="24"/>
          <w:szCs w:val="24"/>
        </w:rPr>
        <w:t>Der er blevet observeret anti-epileptiske virkninger ved slut-</w:t>
      </w:r>
      <w:proofErr w:type="spellStart"/>
      <w:r w:rsidRPr="009619AC">
        <w:rPr>
          <w:bCs/>
          <w:sz w:val="24"/>
          <w:szCs w:val="24"/>
        </w:rPr>
        <w:t>tidal</w:t>
      </w:r>
      <w:proofErr w:type="spellEnd"/>
      <w:r w:rsidRPr="009619AC">
        <w:rPr>
          <w:bCs/>
          <w:sz w:val="24"/>
          <w:szCs w:val="24"/>
        </w:rPr>
        <w:t>-koncentrationer på cirka 0,8</w:t>
      </w:r>
      <w:r w:rsidRPr="009619AC">
        <w:rPr>
          <w:bCs/>
          <w:sz w:val="24"/>
          <w:szCs w:val="24"/>
        </w:rPr>
        <w:noBreakHyphen/>
        <w:t>0,9 %.</w:t>
      </w:r>
    </w:p>
    <w:p w:rsidR="009619AC" w:rsidRPr="009619AC" w:rsidRDefault="009619AC" w:rsidP="009619AC">
      <w:pPr>
        <w:suppressAutoHyphens/>
        <w:ind w:left="851"/>
        <w:rPr>
          <w:bCs/>
          <w:sz w:val="24"/>
          <w:szCs w:val="24"/>
        </w:rPr>
      </w:pPr>
    </w:p>
    <w:p w:rsidR="004D7986" w:rsidRDefault="009619AC" w:rsidP="00833EFD">
      <w:pPr>
        <w:suppressAutoHyphens/>
        <w:ind w:left="851"/>
        <w:rPr>
          <w:bCs/>
          <w:sz w:val="24"/>
          <w:szCs w:val="24"/>
        </w:rPr>
      </w:pPr>
      <w:proofErr w:type="spellStart"/>
      <w:r w:rsidRPr="009619AC">
        <w:rPr>
          <w:bCs/>
          <w:sz w:val="24"/>
          <w:szCs w:val="24"/>
        </w:rPr>
        <w:t>Isofluran</w:t>
      </w:r>
      <w:proofErr w:type="spellEnd"/>
      <w:r w:rsidRPr="009619AC">
        <w:rPr>
          <w:bCs/>
          <w:sz w:val="24"/>
          <w:szCs w:val="24"/>
        </w:rPr>
        <w:t xml:space="preserve"> har en cerebral </w:t>
      </w:r>
      <w:proofErr w:type="spellStart"/>
      <w:r w:rsidRPr="009619AC">
        <w:rPr>
          <w:bCs/>
          <w:sz w:val="24"/>
          <w:szCs w:val="24"/>
        </w:rPr>
        <w:t>vasodilatorisk</w:t>
      </w:r>
      <w:proofErr w:type="spellEnd"/>
      <w:r w:rsidRPr="009619AC">
        <w:rPr>
          <w:bCs/>
          <w:sz w:val="24"/>
          <w:szCs w:val="24"/>
        </w:rPr>
        <w:t xml:space="preserve"> virkning, se pkt. 4.4.</w:t>
      </w:r>
    </w:p>
    <w:p w:rsidR="009619AC" w:rsidRPr="009619AC" w:rsidRDefault="009619AC" w:rsidP="009619AC">
      <w:pPr>
        <w:suppressAutoHyphens/>
        <w:ind w:left="851"/>
        <w:rPr>
          <w:bCs/>
          <w:sz w:val="24"/>
          <w:szCs w:val="24"/>
        </w:rPr>
      </w:pPr>
    </w:p>
    <w:p w:rsidR="00D37883" w:rsidRPr="009619AC" w:rsidRDefault="00D37883" w:rsidP="00D37883">
      <w:pPr>
        <w:suppressAutoHyphens/>
        <w:ind w:left="851"/>
        <w:rPr>
          <w:bCs/>
          <w:sz w:val="24"/>
          <w:szCs w:val="24"/>
          <w:u w:val="single"/>
        </w:rPr>
      </w:pPr>
      <w:r w:rsidRPr="009619AC">
        <w:rPr>
          <w:bCs/>
          <w:sz w:val="24"/>
          <w:szCs w:val="24"/>
          <w:u w:val="single"/>
        </w:rPr>
        <w:t>Klinisk virkning og sikkerhed</w:t>
      </w:r>
    </w:p>
    <w:p w:rsidR="00D37883" w:rsidRDefault="00D37883" w:rsidP="00D37883">
      <w:pPr>
        <w:suppressAutoHyphens/>
        <w:ind w:left="851"/>
        <w:rPr>
          <w:bCs/>
          <w:sz w:val="24"/>
          <w:szCs w:val="24"/>
        </w:rPr>
      </w:pPr>
    </w:p>
    <w:p w:rsidR="00D37883" w:rsidRPr="00846957" w:rsidRDefault="00D37883" w:rsidP="00D37883">
      <w:pPr>
        <w:suppressAutoHyphens/>
        <w:ind w:left="851"/>
        <w:rPr>
          <w:bCs/>
          <w:sz w:val="24"/>
          <w:szCs w:val="24"/>
          <w:u w:val="single"/>
        </w:rPr>
      </w:pPr>
      <w:r w:rsidRPr="00846957">
        <w:rPr>
          <w:bCs/>
          <w:sz w:val="24"/>
          <w:szCs w:val="24"/>
          <w:u w:val="single"/>
        </w:rPr>
        <w:t>Klinisk virknings- og sikkerhedsstudie hos voksne (SED001):</w:t>
      </w:r>
    </w:p>
    <w:p w:rsidR="00D37883" w:rsidRDefault="00D37883" w:rsidP="00D37883">
      <w:pPr>
        <w:suppressAutoHyphens/>
        <w:ind w:left="851"/>
        <w:rPr>
          <w:bCs/>
          <w:sz w:val="24"/>
          <w:szCs w:val="24"/>
        </w:rPr>
      </w:pPr>
    </w:p>
    <w:p w:rsidR="00D37883" w:rsidRPr="009619AC" w:rsidRDefault="00D37883" w:rsidP="00D37883">
      <w:pPr>
        <w:suppressAutoHyphens/>
        <w:ind w:left="851"/>
        <w:rPr>
          <w:bCs/>
          <w:sz w:val="24"/>
          <w:szCs w:val="24"/>
        </w:rPr>
      </w:pPr>
      <w:proofErr w:type="spellStart"/>
      <w:r w:rsidRPr="009619AC">
        <w:rPr>
          <w:bCs/>
          <w:sz w:val="24"/>
          <w:szCs w:val="24"/>
        </w:rPr>
        <w:t>Sedacondas</w:t>
      </w:r>
      <w:proofErr w:type="spellEnd"/>
      <w:r w:rsidRPr="009619AC">
        <w:rPr>
          <w:bCs/>
          <w:sz w:val="24"/>
          <w:szCs w:val="24"/>
        </w:rPr>
        <w:t xml:space="preserve"> virkning og sikkerhed til sedation hos mekanisk ventilerede </w:t>
      </w:r>
      <w:r>
        <w:rPr>
          <w:bCs/>
          <w:sz w:val="24"/>
          <w:szCs w:val="24"/>
        </w:rPr>
        <w:t xml:space="preserve">voksne </w:t>
      </w:r>
      <w:r w:rsidRPr="009619AC">
        <w:rPr>
          <w:bCs/>
          <w:sz w:val="24"/>
          <w:szCs w:val="24"/>
        </w:rPr>
        <w:t xml:space="preserve">patienter ved brug af administrationsanordningen </w:t>
      </w:r>
      <w:proofErr w:type="spellStart"/>
      <w:r w:rsidRPr="009619AC">
        <w:rPr>
          <w:bCs/>
          <w:sz w:val="24"/>
          <w:szCs w:val="24"/>
        </w:rPr>
        <w:t>Sedaconda</w:t>
      </w:r>
      <w:proofErr w:type="spellEnd"/>
      <w:r w:rsidRPr="009619AC">
        <w:rPr>
          <w:bCs/>
          <w:sz w:val="24"/>
          <w:szCs w:val="24"/>
        </w:rPr>
        <w:t xml:space="preserve"> ACD blev evalueret i et randomiseret, kontrolleret, åbent, klinisk multicenterstudie, SED001. En blandet kohorte af kirurgiske og medicinske patienter med en gennemsnitlig (SD) forenklet akut fysiologisk score II (SAPS II, </w:t>
      </w:r>
      <w:proofErr w:type="spellStart"/>
      <w:r w:rsidRPr="009619AC">
        <w:rPr>
          <w:bCs/>
          <w:i/>
          <w:iCs/>
          <w:sz w:val="24"/>
          <w:szCs w:val="24"/>
        </w:rPr>
        <w:t>Simplified</w:t>
      </w:r>
      <w:proofErr w:type="spellEnd"/>
      <w:r w:rsidRPr="009619AC">
        <w:rPr>
          <w:bCs/>
          <w:i/>
          <w:iCs/>
          <w:sz w:val="24"/>
          <w:szCs w:val="24"/>
        </w:rPr>
        <w:t xml:space="preserve"> </w:t>
      </w:r>
      <w:proofErr w:type="spellStart"/>
      <w:r w:rsidRPr="009619AC">
        <w:rPr>
          <w:bCs/>
          <w:i/>
          <w:iCs/>
          <w:sz w:val="24"/>
          <w:szCs w:val="24"/>
        </w:rPr>
        <w:t>Acute</w:t>
      </w:r>
      <w:proofErr w:type="spellEnd"/>
      <w:r w:rsidRPr="009619AC">
        <w:rPr>
          <w:bCs/>
          <w:i/>
          <w:iCs/>
          <w:sz w:val="24"/>
          <w:szCs w:val="24"/>
        </w:rPr>
        <w:t xml:space="preserve"> </w:t>
      </w:r>
      <w:proofErr w:type="spellStart"/>
      <w:r w:rsidRPr="009619AC">
        <w:rPr>
          <w:bCs/>
          <w:i/>
          <w:iCs/>
          <w:sz w:val="24"/>
          <w:szCs w:val="24"/>
        </w:rPr>
        <w:t>Physiology</w:t>
      </w:r>
      <w:proofErr w:type="spellEnd"/>
      <w:r w:rsidRPr="009619AC">
        <w:rPr>
          <w:bCs/>
          <w:i/>
          <w:iCs/>
          <w:sz w:val="24"/>
          <w:szCs w:val="24"/>
        </w:rPr>
        <w:t xml:space="preserve"> Score II</w:t>
      </w:r>
      <w:r w:rsidRPr="009619AC">
        <w:rPr>
          <w:bCs/>
          <w:sz w:val="24"/>
          <w:szCs w:val="24"/>
        </w:rPr>
        <w:t>) på 43,1 (±</w:t>
      </w:r>
      <w:r>
        <w:rPr>
          <w:bCs/>
          <w:sz w:val="24"/>
          <w:szCs w:val="24"/>
        </w:rPr>
        <w:t> </w:t>
      </w:r>
      <w:r w:rsidRPr="009619AC">
        <w:rPr>
          <w:bCs/>
          <w:sz w:val="24"/>
          <w:szCs w:val="24"/>
        </w:rPr>
        <w:t xml:space="preserve">17,7), der krævede mekanisk ventilation og sedation med mål-RASS på -1 til -4, var inkluderede. Patienterne blev randomiseret til </w:t>
      </w:r>
      <w:proofErr w:type="spellStart"/>
      <w:r w:rsidRPr="009619AC">
        <w:rPr>
          <w:bCs/>
          <w:sz w:val="24"/>
          <w:szCs w:val="24"/>
        </w:rPr>
        <w:t>isofluran</w:t>
      </w:r>
      <w:proofErr w:type="spellEnd"/>
      <w:r w:rsidRPr="009619AC">
        <w:rPr>
          <w:bCs/>
          <w:sz w:val="24"/>
          <w:szCs w:val="24"/>
        </w:rPr>
        <w:t xml:space="preserve"> (n</w:t>
      </w:r>
      <w:r>
        <w:rPr>
          <w:bCs/>
          <w:sz w:val="24"/>
          <w:szCs w:val="24"/>
        </w:rPr>
        <w:t> </w:t>
      </w:r>
      <w:r w:rsidRPr="009619AC">
        <w:rPr>
          <w:bCs/>
          <w:sz w:val="24"/>
          <w:szCs w:val="24"/>
        </w:rPr>
        <w:t>=</w:t>
      </w:r>
      <w:r>
        <w:rPr>
          <w:bCs/>
          <w:sz w:val="24"/>
          <w:szCs w:val="24"/>
        </w:rPr>
        <w:t> </w:t>
      </w:r>
      <w:r w:rsidRPr="009619AC">
        <w:rPr>
          <w:bCs/>
          <w:sz w:val="24"/>
          <w:szCs w:val="24"/>
        </w:rPr>
        <w:t xml:space="preserve">150) eller </w:t>
      </w:r>
      <w:proofErr w:type="spellStart"/>
      <w:r w:rsidRPr="009619AC">
        <w:rPr>
          <w:bCs/>
          <w:sz w:val="24"/>
          <w:szCs w:val="24"/>
        </w:rPr>
        <w:t>propofol</w:t>
      </w:r>
      <w:proofErr w:type="spellEnd"/>
      <w:r w:rsidRPr="009619AC">
        <w:rPr>
          <w:bCs/>
          <w:sz w:val="24"/>
          <w:szCs w:val="24"/>
        </w:rPr>
        <w:t xml:space="preserve"> (n</w:t>
      </w:r>
      <w:r>
        <w:rPr>
          <w:bCs/>
          <w:sz w:val="24"/>
          <w:szCs w:val="24"/>
        </w:rPr>
        <w:t> </w:t>
      </w:r>
      <w:r w:rsidRPr="009619AC">
        <w:rPr>
          <w:bCs/>
          <w:sz w:val="24"/>
          <w:szCs w:val="24"/>
        </w:rPr>
        <w:t>=</w:t>
      </w:r>
      <w:r>
        <w:rPr>
          <w:bCs/>
          <w:sz w:val="24"/>
          <w:szCs w:val="24"/>
        </w:rPr>
        <w:t> </w:t>
      </w:r>
      <w:r w:rsidRPr="009619AC">
        <w:rPr>
          <w:bCs/>
          <w:sz w:val="24"/>
          <w:szCs w:val="24"/>
        </w:rPr>
        <w:t xml:space="preserve">151) som eneste </w:t>
      </w:r>
      <w:proofErr w:type="spellStart"/>
      <w:r w:rsidRPr="009619AC">
        <w:rPr>
          <w:bCs/>
          <w:sz w:val="24"/>
          <w:szCs w:val="24"/>
        </w:rPr>
        <w:t>sedativum</w:t>
      </w:r>
      <w:proofErr w:type="spellEnd"/>
      <w:r w:rsidRPr="009619AC">
        <w:rPr>
          <w:bCs/>
          <w:sz w:val="24"/>
          <w:szCs w:val="24"/>
        </w:rPr>
        <w:t xml:space="preserve"> i op til 48</w:t>
      </w:r>
      <w:r>
        <w:rPr>
          <w:sz w:val="24"/>
          <w:szCs w:val="24"/>
        </w:rPr>
        <w:t> </w:t>
      </w:r>
      <w:r w:rsidRPr="009619AC">
        <w:rPr>
          <w:bCs/>
          <w:sz w:val="24"/>
          <w:szCs w:val="24"/>
        </w:rPr>
        <w:t>±</w:t>
      </w:r>
      <w:r>
        <w:rPr>
          <w:bCs/>
          <w:sz w:val="24"/>
          <w:szCs w:val="24"/>
        </w:rPr>
        <w:t> </w:t>
      </w:r>
      <w:r w:rsidRPr="009619AC">
        <w:rPr>
          <w:bCs/>
          <w:sz w:val="24"/>
          <w:szCs w:val="24"/>
        </w:rPr>
        <w:t xml:space="preserve">6 timer eller til </w:t>
      </w:r>
      <w:proofErr w:type="spellStart"/>
      <w:r w:rsidRPr="009619AC">
        <w:rPr>
          <w:bCs/>
          <w:sz w:val="24"/>
          <w:szCs w:val="24"/>
        </w:rPr>
        <w:t>ekstubation</w:t>
      </w:r>
      <w:proofErr w:type="spellEnd"/>
      <w:r w:rsidRPr="009619AC">
        <w:rPr>
          <w:bCs/>
          <w:sz w:val="24"/>
          <w:szCs w:val="24"/>
        </w:rPr>
        <w:t xml:space="preserve">, alt efter hvad der kom først. Der blev givet opioider intravenøst efter behov i henhold til adfærd-smerte-skalaen (BPS, </w:t>
      </w:r>
      <w:proofErr w:type="spellStart"/>
      <w:r w:rsidRPr="009619AC">
        <w:rPr>
          <w:bCs/>
          <w:i/>
          <w:iCs/>
          <w:sz w:val="24"/>
          <w:szCs w:val="24"/>
        </w:rPr>
        <w:t>Behavioral</w:t>
      </w:r>
      <w:proofErr w:type="spellEnd"/>
      <w:r w:rsidRPr="009619AC">
        <w:rPr>
          <w:bCs/>
          <w:i/>
          <w:iCs/>
          <w:sz w:val="24"/>
          <w:szCs w:val="24"/>
        </w:rPr>
        <w:t xml:space="preserve"> Pain </w:t>
      </w:r>
      <w:proofErr w:type="spellStart"/>
      <w:r w:rsidRPr="009619AC">
        <w:rPr>
          <w:bCs/>
          <w:i/>
          <w:iCs/>
          <w:sz w:val="24"/>
          <w:szCs w:val="24"/>
        </w:rPr>
        <w:t>Scale</w:t>
      </w:r>
      <w:proofErr w:type="spellEnd"/>
      <w:r w:rsidRPr="009619AC">
        <w:rPr>
          <w:bCs/>
          <w:sz w:val="24"/>
          <w:szCs w:val="24"/>
        </w:rPr>
        <w:t xml:space="preserve">). Patienter, der stadig var </w:t>
      </w:r>
      <w:proofErr w:type="spellStart"/>
      <w:r w:rsidRPr="009619AC">
        <w:rPr>
          <w:bCs/>
          <w:sz w:val="24"/>
          <w:szCs w:val="24"/>
        </w:rPr>
        <w:t>intuberede</w:t>
      </w:r>
      <w:proofErr w:type="spellEnd"/>
      <w:r w:rsidRPr="009619AC">
        <w:rPr>
          <w:bCs/>
          <w:sz w:val="24"/>
          <w:szCs w:val="24"/>
        </w:rPr>
        <w:t xml:space="preserve"> efter 48</w:t>
      </w:r>
      <w:r>
        <w:rPr>
          <w:bCs/>
          <w:sz w:val="24"/>
          <w:szCs w:val="24"/>
        </w:rPr>
        <w:t> </w:t>
      </w:r>
      <w:r w:rsidRPr="009619AC">
        <w:rPr>
          <w:bCs/>
          <w:sz w:val="24"/>
          <w:szCs w:val="24"/>
        </w:rPr>
        <w:t>±</w:t>
      </w:r>
      <w:r>
        <w:rPr>
          <w:bCs/>
          <w:sz w:val="24"/>
          <w:szCs w:val="24"/>
        </w:rPr>
        <w:t> </w:t>
      </w:r>
      <w:r w:rsidRPr="009619AC">
        <w:rPr>
          <w:bCs/>
          <w:sz w:val="24"/>
          <w:szCs w:val="24"/>
        </w:rPr>
        <w:t>6 timer, blev konverteret til standardbehandling.</w:t>
      </w:r>
    </w:p>
    <w:p w:rsidR="00D37883" w:rsidRPr="009619AC" w:rsidRDefault="00D37883" w:rsidP="00D37883">
      <w:pPr>
        <w:suppressAutoHyphens/>
        <w:ind w:left="851"/>
        <w:rPr>
          <w:bCs/>
          <w:sz w:val="24"/>
          <w:szCs w:val="24"/>
        </w:rPr>
      </w:pPr>
    </w:p>
    <w:p w:rsidR="00D37883" w:rsidRPr="009619AC" w:rsidRDefault="00D37883" w:rsidP="00D37883">
      <w:pPr>
        <w:suppressAutoHyphens/>
        <w:ind w:left="851"/>
        <w:rPr>
          <w:bCs/>
          <w:i/>
          <w:iCs/>
          <w:sz w:val="24"/>
          <w:szCs w:val="24"/>
        </w:rPr>
      </w:pPr>
      <w:r w:rsidRPr="009619AC">
        <w:rPr>
          <w:bCs/>
          <w:i/>
          <w:iCs/>
          <w:sz w:val="24"/>
          <w:szCs w:val="24"/>
        </w:rPr>
        <w:t>Virkning af sedation i SED001</w:t>
      </w:r>
    </w:p>
    <w:p w:rsidR="00D37883" w:rsidRPr="009619AC" w:rsidRDefault="00D37883" w:rsidP="00D37883">
      <w:pPr>
        <w:suppressAutoHyphens/>
        <w:ind w:left="851"/>
        <w:rPr>
          <w:bCs/>
          <w:sz w:val="24"/>
          <w:szCs w:val="24"/>
        </w:rPr>
      </w:pPr>
      <w:r w:rsidRPr="009619AC">
        <w:rPr>
          <w:bCs/>
          <w:sz w:val="24"/>
          <w:szCs w:val="24"/>
        </w:rPr>
        <w:t xml:space="preserve">Det blev vist, at </w:t>
      </w:r>
      <w:proofErr w:type="spellStart"/>
      <w:r w:rsidRPr="009619AC">
        <w:rPr>
          <w:bCs/>
          <w:sz w:val="24"/>
          <w:szCs w:val="24"/>
        </w:rPr>
        <w:t>Sedaconda</w:t>
      </w:r>
      <w:proofErr w:type="spellEnd"/>
      <w:r w:rsidRPr="009619AC">
        <w:rPr>
          <w:bCs/>
          <w:sz w:val="24"/>
          <w:szCs w:val="24"/>
        </w:rPr>
        <w:t xml:space="preserve"> var non-inferiør i forhold til </w:t>
      </w:r>
      <w:proofErr w:type="spellStart"/>
      <w:r w:rsidRPr="009619AC">
        <w:rPr>
          <w:bCs/>
          <w:sz w:val="24"/>
          <w:szCs w:val="24"/>
        </w:rPr>
        <w:t>propofol</w:t>
      </w:r>
      <w:proofErr w:type="spellEnd"/>
      <w:r w:rsidRPr="009619AC">
        <w:rPr>
          <w:bCs/>
          <w:sz w:val="24"/>
          <w:szCs w:val="24"/>
        </w:rPr>
        <w:t xml:space="preserve"> med hensyn til tiden ved måldybden af sedation (RASS -1 til -4) (forskel i </w:t>
      </w:r>
      <w:proofErr w:type="spellStart"/>
      <w:r w:rsidRPr="009619AC">
        <w:rPr>
          <w:bCs/>
          <w:sz w:val="24"/>
          <w:szCs w:val="24"/>
        </w:rPr>
        <w:t>isofluran</w:t>
      </w:r>
      <w:proofErr w:type="spellEnd"/>
      <w:r w:rsidRPr="009619AC">
        <w:rPr>
          <w:bCs/>
          <w:sz w:val="24"/>
          <w:szCs w:val="24"/>
        </w:rPr>
        <w:t xml:space="preserve">- </w:t>
      </w:r>
      <w:r w:rsidRPr="009619AC">
        <w:rPr>
          <w:bCs/>
          <w:i/>
          <w:iCs/>
          <w:sz w:val="24"/>
          <w:szCs w:val="24"/>
        </w:rPr>
        <w:t xml:space="preserve">versus </w:t>
      </w:r>
      <w:proofErr w:type="spellStart"/>
      <w:r w:rsidRPr="009619AC">
        <w:rPr>
          <w:bCs/>
          <w:sz w:val="24"/>
          <w:szCs w:val="24"/>
        </w:rPr>
        <w:t>propofol</w:t>
      </w:r>
      <w:proofErr w:type="spellEnd"/>
      <w:r w:rsidRPr="009619AC">
        <w:rPr>
          <w:bCs/>
          <w:sz w:val="24"/>
          <w:szCs w:val="24"/>
        </w:rPr>
        <w:t xml:space="preserve">-gennemsnit -0,452 %, 95 % CI -2,996 til 2,093). Patienterne befandt sig i mål-sedationsdybden over 90 % af tiden for både </w:t>
      </w:r>
      <w:proofErr w:type="spellStart"/>
      <w:r w:rsidRPr="009619AC">
        <w:rPr>
          <w:bCs/>
          <w:sz w:val="24"/>
          <w:szCs w:val="24"/>
        </w:rPr>
        <w:t>isofluran</w:t>
      </w:r>
      <w:proofErr w:type="spellEnd"/>
      <w:r w:rsidRPr="009619AC">
        <w:rPr>
          <w:bCs/>
          <w:sz w:val="24"/>
          <w:szCs w:val="24"/>
        </w:rPr>
        <w:t xml:space="preserve"> og </w:t>
      </w:r>
      <w:proofErr w:type="spellStart"/>
      <w:r w:rsidRPr="009619AC">
        <w:rPr>
          <w:bCs/>
          <w:sz w:val="24"/>
          <w:szCs w:val="24"/>
        </w:rPr>
        <w:t>propofol</w:t>
      </w:r>
      <w:proofErr w:type="spellEnd"/>
      <w:r w:rsidRPr="009619AC">
        <w:rPr>
          <w:bCs/>
          <w:sz w:val="24"/>
          <w:szCs w:val="24"/>
        </w:rPr>
        <w:t xml:space="preserve">. Den gennemsnitlige RASS-score for </w:t>
      </w:r>
      <w:r>
        <w:rPr>
          <w:bCs/>
          <w:sz w:val="24"/>
          <w:szCs w:val="24"/>
        </w:rPr>
        <w:t>d</w:t>
      </w:r>
      <w:r w:rsidRPr="009619AC">
        <w:rPr>
          <w:bCs/>
          <w:sz w:val="24"/>
          <w:szCs w:val="24"/>
        </w:rPr>
        <w:t xml:space="preserve">ag 1 og </w:t>
      </w:r>
      <w:r>
        <w:rPr>
          <w:bCs/>
          <w:sz w:val="24"/>
          <w:szCs w:val="24"/>
        </w:rPr>
        <w:t>d</w:t>
      </w:r>
      <w:r w:rsidRPr="009619AC">
        <w:rPr>
          <w:bCs/>
          <w:sz w:val="24"/>
          <w:szCs w:val="24"/>
        </w:rPr>
        <w:t xml:space="preserve">ag 2 for den respektive behandling var sammenlignelig. Hos patienter, der blev behandlet med </w:t>
      </w:r>
      <w:proofErr w:type="spellStart"/>
      <w:r w:rsidRPr="009619AC">
        <w:rPr>
          <w:bCs/>
          <w:sz w:val="24"/>
          <w:szCs w:val="24"/>
        </w:rPr>
        <w:t>isofluran</w:t>
      </w:r>
      <w:proofErr w:type="spellEnd"/>
      <w:r w:rsidRPr="009619AC">
        <w:rPr>
          <w:bCs/>
          <w:sz w:val="24"/>
          <w:szCs w:val="24"/>
        </w:rPr>
        <w:t>, var den gennemsnitlige (SD) pumpehastighed 0,4 (±</w:t>
      </w:r>
      <w:r>
        <w:rPr>
          <w:bCs/>
          <w:sz w:val="24"/>
          <w:szCs w:val="24"/>
        </w:rPr>
        <w:t> </w:t>
      </w:r>
      <w:r w:rsidRPr="009619AC">
        <w:rPr>
          <w:bCs/>
          <w:sz w:val="24"/>
          <w:szCs w:val="24"/>
        </w:rPr>
        <w:t>0,2) ml/time pr. liter minutventilation. Dette gav en gennemsnitlig (SD) slut-</w:t>
      </w:r>
      <w:proofErr w:type="spellStart"/>
      <w:r w:rsidRPr="009619AC">
        <w:rPr>
          <w:bCs/>
          <w:sz w:val="24"/>
          <w:szCs w:val="24"/>
        </w:rPr>
        <w:t>tidal</w:t>
      </w:r>
      <w:proofErr w:type="spellEnd"/>
      <w:r w:rsidRPr="009619AC">
        <w:rPr>
          <w:bCs/>
          <w:sz w:val="24"/>
          <w:szCs w:val="24"/>
        </w:rPr>
        <w:t xml:space="preserve">-koncentration af </w:t>
      </w:r>
      <w:proofErr w:type="spellStart"/>
      <w:r w:rsidRPr="009619AC">
        <w:rPr>
          <w:bCs/>
          <w:sz w:val="24"/>
          <w:szCs w:val="24"/>
        </w:rPr>
        <w:t>isofluran</w:t>
      </w:r>
      <w:proofErr w:type="spellEnd"/>
      <w:r w:rsidRPr="009619AC">
        <w:rPr>
          <w:bCs/>
          <w:sz w:val="24"/>
          <w:szCs w:val="24"/>
        </w:rPr>
        <w:t xml:space="preserve"> på 0,45 (</w:t>
      </w:r>
      <w:r w:rsidRPr="00055715">
        <w:rPr>
          <w:bCs/>
          <w:sz w:val="24"/>
          <w:szCs w:val="24"/>
        </w:rPr>
        <w:t>±</w:t>
      </w:r>
      <w:r>
        <w:rPr>
          <w:bCs/>
          <w:sz w:val="24"/>
          <w:szCs w:val="24"/>
        </w:rPr>
        <w:t> </w:t>
      </w:r>
      <w:r w:rsidRPr="009619AC">
        <w:rPr>
          <w:bCs/>
          <w:sz w:val="24"/>
          <w:szCs w:val="24"/>
        </w:rPr>
        <w:t>0,2)</w:t>
      </w:r>
      <w:r>
        <w:rPr>
          <w:bCs/>
          <w:sz w:val="24"/>
          <w:szCs w:val="24"/>
        </w:rPr>
        <w:t> </w:t>
      </w:r>
      <w:r w:rsidRPr="009619AC">
        <w:rPr>
          <w:bCs/>
          <w:sz w:val="24"/>
          <w:szCs w:val="24"/>
        </w:rPr>
        <w:t>%.</w:t>
      </w:r>
    </w:p>
    <w:p w:rsidR="00D37883" w:rsidRPr="009619AC" w:rsidRDefault="00D37883" w:rsidP="00D37883">
      <w:pPr>
        <w:suppressAutoHyphens/>
        <w:ind w:left="851"/>
        <w:rPr>
          <w:bCs/>
          <w:sz w:val="24"/>
          <w:szCs w:val="24"/>
        </w:rPr>
      </w:pPr>
    </w:p>
    <w:p w:rsidR="00D37883" w:rsidRPr="009619AC" w:rsidRDefault="00D37883" w:rsidP="00D37883">
      <w:pPr>
        <w:suppressAutoHyphens/>
        <w:ind w:left="851"/>
        <w:rPr>
          <w:bCs/>
          <w:i/>
          <w:iCs/>
          <w:sz w:val="24"/>
          <w:szCs w:val="24"/>
        </w:rPr>
      </w:pPr>
      <w:r w:rsidRPr="009619AC">
        <w:rPr>
          <w:bCs/>
          <w:i/>
          <w:iCs/>
          <w:sz w:val="24"/>
          <w:szCs w:val="24"/>
        </w:rPr>
        <w:t xml:space="preserve">Opvågning og tid til </w:t>
      </w:r>
      <w:proofErr w:type="spellStart"/>
      <w:r w:rsidRPr="009619AC">
        <w:rPr>
          <w:bCs/>
          <w:i/>
          <w:iCs/>
          <w:sz w:val="24"/>
          <w:szCs w:val="24"/>
        </w:rPr>
        <w:t>ekstubation</w:t>
      </w:r>
      <w:proofErr w:type="spellEnd"/>
    </w:p>
    <w:p w:rsidR="00D37883" w:rsidRPr="009619AC" w:rsidRDefault="00D37883" w:rsidP="00D37883">
      <w:pPr>
        <w:suppressAutoHyphens/>
        <w:ind w:left="851"/>
        <w:rPr>
          <w:bCs/>
          <w:sz w:val="24"/>
          <w:szCs w:val="24"/>
        </w:rPr>
      </w:pPr>
      <w:r w:rsidRPr="009619AC">
        <w:rPr>
          <w:bCs/>
          <w:sz w:val="24"/>
          <w:szCs w:val="24"/>
        </w:rPr>
        <w:t>I SED001 var median (IQR) tid til opvågning, der nåede RASS ≥</w:t>
      </w:r>
      <w:r>
        <w:rPr>
          <w:bCs/>
          <w:sz w:val="24"/>
          <w:szCs w:val="24"/>
        </w:rPr>
        <w:t> </w:t>
      </w:r>
      <w:r w:rsidRPr="009619AC">
        <w:rPr>
          <w:bCs/>
          <w:sz w:val="24"/>
          <w:szCs w:val="24"/>
        </w:rPr>
        <w:t xml:space="preserve">0 (rolig og opmærksom) efter afslutning af 48 timers sedation, 20 (10, 30) minutter i </w:t>
      </w:r>
      <w:proofErr w:type="spellStart"/>
      <w:r w:rsidRPr="009619AC">
        <w:rPr>
          <w:bCs/>
          <w:sz w:val="24"/>
          <w:szCs w:val="24"/>
        </w:rPr>
        <w:t>isofluran</w:t>
      </w:r>
      <w:proofErr w:type="spellEnd"/>
      <w:r w:rsidRPr="009619AC">
        <w:rPr>
          <w:bCs/>
          <w:sz w:val="24"/>
          <w:szCs w:val="24"/>
        </w:rPr>
        <w:t xml:space="preserve">-gruppen og 30 (11, 120) minutter i </w:t>
      </w:r>
      <w:proofErr w:type="spellStart"/>
      <w:r w:rsidRPr="009619AC">
        <w:rPr>
          <w:bCs/>
          <w:sz w:val="24"/>
          <w:szCs w:val="24"/>
        </w:rPr>
        <w:t>propofol</w:t>
      </w:r>
      <w:proofErr w:type="spellEnd"/>
      <w:r w:rsidRPr="009619AC">
        <w:rPr>
          <w:bCs/>
          <w:sz w:val="24"/>
          <w:szCs w:val="24"/>
        </w:rPr>
        <w:t>-gruppen.</w:t>
      </w:r>
    </w:p>
    <w:p w:rsidR="00D37883" w:rsidRPr="009619AC" w:rsidRDefault="00D37883" w:rsidP="00D37883">
      <w:pPr>
        <w:suppressAutoHyphens/>
        <w:ind w:left="851"/>
        <w:rPr>
          <w:bCs/>
          <w:sz w:val="24"/>
          <w:szCs w:val="24"/>
        </w:rPr>
      </w:pPr>
    </w:p>
    <w:p w:rsidR="00D37883" w:rsidRPr="009619AC" w:rsidRDefault="00D37883" w:rsidP="00D37883">
      <w:pPr>
        <w:suppressAutoHyphens/>
        <w:ind w:left="851"/>
        <w:rPr>
          <w:bCs/>
          <w:sz w:val="24"/>
          <w:szCs w:val="24"/>
        </w:rPr>
      </w:pPr>
      <w:r w:rsidRPr="009619AC">
        <w:rPr>
          <w:bCs/>
          <w:sz w:val="24"/>
          <w:szCs w:val="24"/>
        </w:rPr>
        <w:t xml:space="preserve">Tiden til </w:t>
      </w:r>
      <w:proofErr w:type="spellStart"/>
      <w:r w:rsidRPr="009619AC">
        <w:rPr>
          <w:bCs/>
          <w:sz w:val="24"/>
          <w:szCs w:val="24"/>
        </w:rPr>
        <w:t>ekstubation</w:t>
      </w:r>
      <w:proofErr w:type="spellEnd"/>
      <w:r w:rsidRPr="009619AC">
        <w:rPr>
          <w:bCs/>
          <w:sz w:val="24"/>
          <w:szCs w:val="24"/>
        </w:rPr>
        <w:t xml:space="preserve"> var kort for størstedelen af patienterne i begge behandlingsarme. Patienterne i </w:t>
      </w:r>
      <w:proofErr w:type="spellStart"/>
      <w:r w:rsidRPr="009619AC">
        <w:rPr>
          <w:bCs/>
          <w:sz w:val="24"/>
          <w:szCs w:val="24"/>
        </w:rPr>
        <w:t>isofluran</w:t>
      </w:r>
      <w:proofErr w:type="spellEnd"/>
      <w:r w:rsidRPr="009619AC">
        <w:rPr>
          <w:bCs/>
          <w:sz w:val="24"/>
          <w:szCs w:val="24"/>
        </w:rPr>
        <w:t xml:space="preserve">-gruppen havde en median (IQR) tid til </w:t>
      </w:r>
      <w:proofErr w:type="spellStart"/>
      <w:r w:rsidRPr="009619AC">
        <w:rPr>
          <w:bCs/>
          <w:sz w:val="24"/>
          <w:szCs w:val="24"/>
        </w:rPr>
        <w:t>ekstubation</w:t>
      </w:r>
      <w:proofErr w:type="spellEnd"/>
      <w:r w:rsidRPr="009619AC">
        <w:rPr>
          <w:bCs/>
          <w:sz w:val="24"/>
          <w:szCs w:val="24"/>
        </w:rPr>
        <w:t xml:space="preserve"> på 30 (10, 136) minutter, og patienterne i </w:t>
      </w:r>
      <w:proofErr w:type="spellStart"/>
      <w:r w:rsidRPr="009619AC">
        <w:rPr>
          <w:bCs/>
          <w:sz w:val="24"/>
          <w:szCs w:val="24"/>
        </w:rPr>
        <w:t>propofol</w:t>
      </w:r>
      <w:proofErr w:type="spellEnd"/>
      <w:r w:rsidRPr="009619AC">
        <w:rPr>
          <w:bCs/>
          <w:sz w:val="24"/>
          <w:szCs w:val="24"/>
        </w:rPr>
        <w:t xml:space="preserve">-gruppen havde en median (IQR) tid til </w:t>
      </w:r>
      <w:proofErr w:type="spellStart"/>
      <w:r w:rsidRPr="009619AC">
        <w:rPr>
          <w:bCs/>
          <w:sz w:val="24"/>
          <w:szCs w:val="24"/>
        </w:rPr>
        <w:t>ekstubation</w:t>
      </w:r>
      <w:proofErr w:type="spellEnd"/>
      <w:r w:rsidRPr="009619AC">
        <w:rPr>
          <w:bCs/>
          <w:sz w:val="24"/>
          <w:szCs w:val="24"/>
        </w:rPr>
        <w:t xml:space="preserve"> på 40 (18, 125) minutter. 75 % af alle patienter var </w:t>
      </w:r>
      <w:proofErr w:type="spellStart"/>
      <w:r w:rsidRPr="009619AC">
        <w:rPr>
          <w:bCs/>
          <w:sz w:val="24"/>
          <w:szCs w:val="24"/>
        </w:rPr>
        <w:t>ekstuberede</w:t>
      </w:r>
      <w:proofErr w:type="spellEnd"/>
      <w:r w:rsidRPr="009619AC">
        <w:rPr>
          <w:bCs/>
          <w:sz w:val="24"/>
          <w:szCs w:val="24"/>
        </w:rPr>
        <w:t xml:space="preserve"> inden for to timer.</w:t>
      </w:r>
    </w:p>
    <w:p w:rsidR="00D37883" w:rsidRPr="009619AC" w:rsidRDefault="00D37883" w:rsidP="00D37883">
      <w:pPr>
        <w:suppressAutoHyphens/>
        <w:ind w:left="851"/>
        <w:rPr>
          <w:bCs/>
          <w:sz w:val="24"/>
          <w:szCs w:val="24"/>
        </w:rPr>
      </w:pPr>
    </w:p>
    <w:p w:rsidR="00D37883" w:rsidRPr="009619AC" w:rsidRDefault="00D37883" w:rsidP="00D37883">
      <w:pPr>
        <w:keepNext/>
        <w:suppressAutoHyphens/>
        <w:ind w:left="851"/>
        <w:rPr>
          <w:bCs/>
          <w:i/>
          <w:iCs/>
          <w:sz w:val="24"/>
          <w:szCs w:val="24"/>
        </w:rPr>
      </w:pPr>
      <w:r w:rsidRPr="009619AC">
        <w:rPr>
          <w:bCs/>
          <w:i/>
          <w:iCs/>
          <w:sz w:val="24"/>
          <w:szCs w:val="24"/>
        </w:rPr>
        <w:t>Behov for opioid og BPS-score i SED001</w:t>
      </w:r>
    </w:p>
    <w:p w:rsidR="00D37883" w:rsidRPr="009619AC" w:rsidRDefault="00D37883" w:rsidP="00D37883">
      <w:pPr>
        <w:suppressAutoHyphens/>
        <w:ind w:left="851"/>
        <w:rPr>
          <w:sz w:val="24"/>
          <w:szCs w:val="24"/>
        </w:rPr>
      </w:pPr>
      <w:r w:rsidRPr="009619AC">
        <w:rPr>
          <w:bCs/>
          <w:sz w:val="24"/>
          <w:szCs w:val="24"/>
        </w:rPr>
        <w:t>Mere end 98 </w:t>
      </w:r>
      <w:r w:rsidRPr="009619AC">
        <w:rPr>
          <w:sz w:val="24"/>
          <w:szCs w:val="24"/>
        </w:rPr>
        <w:t xml:space="preserve">% af patienterne fik opioid-analgesi under sedation i studiet, heraf fik størstedelen </w:t>
      </w:r>
      <w:proofErr w:type="spellStart"/>
      <w:r w:rsidRPr="009619AC">
        <w:rPr>
          <w:sz w:val="24"/>
          <w:szCs w:val="24"/>
        </w:rPr>
        <w:t>sufentanil</w:t>
      </w:r>
      <w:proofErr w:type="spellEnd"/>
      <w:r w:rsidRPr="009619AC">
        <w:rPr>
          <w:sz w:val="24"/>
          <w:szCs w:val="24"/>
        </w:rPr>
        <w:t xml:space="preserve">. Behovet for opioid var signifikant lavere i </w:t>
      </w:r>
      <w:proofErr w:type="spellStart"/>
      <w:r w:rsidRPr="009619AC">
        <w:rPr>
          <w:sz w:val="24"/>
          <w:szCs w:val="24"/>
        </w:rPr>
        <w:t>isofluran</w:t>
      </w:r>
      <w:proofErr w:type="spellEnd"/>
      <w:r w:rsidRPr="009619AC">
        <w:rPr>
          <w:sz w:val="24"/>
          <w:szCs w:val="24"/>
        </w:rPr>
        <w:t xml:space="preserve">-gruppen sammenlignet med </w:t>
      </w:r>
      <w:proofErr w:type="spellStart"/>
      <w:r w:rsidRPr="009619AC">
        <w:rPr>
          <w:sz w:val="24"/>
          <w:szCs w:val="24"/>
        </w:rPr>
        <w:t>propofol</w:t>
      </w:r>
      <w:proofErr w:type="spellEnd"/>
      <w:r w:rsidRPr="009619AC">
        <w:rPr>
          <w:sz w:val="24"/>
          <w:szCs w:val="24"/>
        </w:rPr>
        <w:t>-gruppen i den totale sedationsperiode, p</w:t>
      </w:r>
      <w:r>
        <w:rPr>
          <w:sz w:val="24"/>
          <w:szCs w:val="24"/>
        </w:rPr>
        <w:t> </w:t>
      </w:r>
      <w:r w:rsidRPr="009619AC">
        <w:rPr>
          <w:sz w:val="24"/>
          <w:szCs w:val="24"/>
        </w:rPr>
        <w:t>=</w:t>
      </w:r>
      <w:r>
        <w:rPr>
          <w:sz w:val="24"/>
          <w:szCs w:val="24"/>
        </w:rPr>
        <w:t> </w:t>
      </w:r>
      <w:r w:rsidRPr="009619AC">
        <w:rPr>
          <w:sz w:val="24"/>
          <w:szCs w:val="24"/>
        </w:rPr>
        <w:t>0,04. Den gennemsnitlige BPS-score forblev lav og var sammenlignelig mellem de to behandlingsarme med en median på 3,1 i hver gruppe.</w:t>
      </w:r>
    </w:p>
    <w:p w:rsidR="00D37883" w:rsidRDefault="00D37883" w:rsidP="00D37883">
      <w:pPr>
        <w:suppressAutoHyphens/>
        <w:ind w:left="851"/>
        <w:rPr>
          <w:sz w:val="24"/>
          <w:szCs w:val="24"/>
        </w:rPr>
      </w:pPr>
    </w:p>
    <w:p w:rsidR="00D37883" w:rsidRPr="00846957" w:rsidRDefault="00D37883" w:rsidP="00D37883">
      <w:pPr>
        <w:suppressAutoHyphens/>
        <w:ind w:left="851"/>
        <w:rPr>
          <w:sz w:val="24"/>
          <w:szCs w:val="24"/>
          <w:u w:val="single"/>
        </w:rPr>
      </w:pPr>
      <w:r w:rsidRPr="00846957">
        <w:rPr>
          <w:sz w:val="24"/>
          <w:szCs w:val="24"/>
          <w:u w:val="single"/>
        </w:rPr>
        <w:lastRenderedPageBreak/>
        <w:t>Klinisk virknings- og sikkerhedsstudie hos pædiatriske patienter i alderen 3</w:t>
      </w:r>
      <w:r w:rsidRPr="00846957">
        <w:rPr>
          <w:sz w:val="24"/>
          <w:szCs w:val="24"/>
          <w:u w:val="single"/>
        </w:rPr>
        <w:noBreakHyphen/>
        <w:t>17 år (SED002):</w:t>
      </w:r>
    </w:p>
    <w:p w:rsidR="00D37883" w:rsidRDefault="00D37883" w:rsidP="00D37883">
      <w:pPr>
        <w:suppressAutoHyphens/>
        <w:ind w:left="851"/>
        <w:rPr>
          <w:sz w:val="24"/>
          <w:szCs w:val="24"/>
        </w:rPr>
      </w:pPr>
    </w:p>
    <w:p w:rsidR="00D37883" w:rsidRDefault="00D37883" w:rsidP="00D37883">
      <w:pPr>
        <w:suppressAutoHyphens/>
        <w:ind w:left="851"/>
        <w:rPr>
          <w:sz w:val="24"/>
          <w:szCs w:val="24"/>
        </w:rPr>
      </w:pPr>
      <w:proofErr w:type="spellStart"/>
      <w:r w:rsidRPr="009619AC">
        <w:rPr>
          <w:bCs/>
          <w:sz w:val="24"/>
          <w:szCs w:val="24"/>
        </w:rPr>
        <w:t>Sedacondas</w:t>
      </w:r>
      <w:proofErr w:type="spellEnd"/>
      <w:r w:rsidRPr="009619AC">
        <w:rPr>
          <w:bCs/>
          <w:sz w:val="24"/>
          <w:szCs w:val="24"/>
        </w:rPr>
        <w:t xml:space="preserve"> virkning og sikkerhed til sedation hos mekanisk ventilerede </w:t>
      </w:r>
      <w:r>
        <w:rPr>
          <w:bCs/>
          <w:sz w:val="24"/>
          <w:szCs w:val="24"/>
        </w:rPr>
        <w:t xml:space="preserve">pædiatriske </w:t>
      </w:r>
      <w:r w:rsidRPr="009619AC">
        <w:rPr>
          <w:bCs/>
          <w:sz w:val="24"/>
          <w:szCs w:val="24"/>
        </w:rPr>
        <w:t xml:space="preserve">patienter </w:t>
      </w:r>
      <w:r>
        <w:rPr>
          <w:bCs/>
          <w:sz w:val="24"/>
          <w:szCs w:val="24"/>
        </w:rPr>
        <w:t>i alderen 3</w:t>
      </w:r>
      <w:r w:rsidRPr="00720E0F">
        <w:rPr>
          <w:sz w:val="24"/>
          <w:szCs w:val="24"/>
        </w:rPr>
        <w:noBreakHyphen/>
      </w:r>
      <w:r>
        <w:rPr>
          <w:sz w:val="24"/>
          <w:szCs w:val="24"/>
        </w:rPr>
        <w:t xml:space="preserve">17 år </w:t>
      </w:r>
      <w:r w:rsidRPr="009619AC">
        <w:rPr>
          <w:bCs/>
          <w:sz w:val="24"/>
          <w:szCs w:val="24"/>
        </w:rPr>
        <w:t xml:space="preserve">ved brug af administrationsanordningen </w:t>
      </w:r>
      <w:proofErr w:type="spellStart"/>
      <w:r w:rsidRPr="009619AC">
        <w:rPr>
          <w:bCs/>
          <w:sz w:val="24"/>
          <w:szCs w:val="24"/>
        </w:rPr>
        <w:t>Sedaconda</w:t>
      </w:r>
      <w:proofErr w:type="spellEnd"/>
      <w:r w:rsidRPr="009619AC">
        <w:rPr>
          <w:bCs/>
          <w:sz w:val="24"/>
          <w:szCs w:val="24"/>
        </w:rPr>
        <w:t xml:space="preserve"> ACD </w:t>
      </w:r>
      <w:r>
        <w:rPr>
          <w:bCs/>
          <w:sz w:val="24"/>
          <w:szCs w:val="24"/>
        </w:rPr>
        <w:t xml:space="preserve">(hos patienter med </w:t>
      </w:r>
      <w:proofErr w:type="spellStart"/>
      <w:r>
        <w:rPr>
          <w:bCs/>
          <w:sz w:val="24"/>
          <w:szCs w:val="24"/>
        </w:rPr>
        <w:t>tidal</w:t>
      </w:r>
      <w:proofErr w:type="spellEnd"/>
      <w:r>
        <w:rPr>
          <w:bCs/>
          <w:sz w:val="24"/>
          <w:szCs w:val="24"/>
        </w:rPr>
        <w:t xml:space="preserve">-voluminer 30 til 200 ml fastgjort på den inspiratoriske side af respiratoren) </w:t>
      </w:r>
      <w:r w:rsidRPr="009619AC">
        <w:rPr>
          <w:bCs/>
          <w:sz w:val="24"/>
          <w:szCs w:val="24"/>
        </w:rPr>
        <w:t xml:space="preserve">blev evalueret i et randomiseret, kontrolleret, åbent, </w:t>
      </w:r>
      <w:r>
        <w:rPr>
          <w:bCs/>
          <w:sz w:val="24"/>
          <w:szCs w:val="24"/>
        </w:rPr>
        <w:t xml:space="preserve">assessor-blindet, </w:t>
      </w:r>
      <w:r w:rsidRPr="009619AC">
        <w:rPr>
          <w:bCs/>
          <w:sz w:val="24"/>
          <w:szCs w:val="24"/>
        </w:rPr>
        <w:t>klinisk multicenterstudie, SED00</w:t>
      </w:r>
      <w:r>
        <w:rPr>
          <w:bCs/>
          <w:sz w:val="24"/>
          <w:szCs w:val="24"/>
        </w:rPr>
        <w:t>2</w:t>
      </w:r>
      <w:r w:rsidRPr="009619AC">
        <w:rPr>
          <w:bCs/>
          <w:sz w:val="24"/>
          <w:szCs w:val="24"/>
        </w:rPr>
        <w:t xml:space="preserve">. </w:t>
      </w:r>
      <w:r>
        <w:rPr>
          <w:bCs/>
          <w:sz w:val="24"/>
          <w:szCs w:val="24"/>
        </w:rPr>
        <w:t xml:space="preserve">Patienterne blev randomiseret i forholdet 2:1 til sedation med </w:t>
      </w:r>
      <w:proofErr w:type="spellStart"/>
      <w:r>
        <w:rPr>
          <w:bCs/>
          <w:sz w:val="24"/>
          <w:szCs w:val="24"/>
        </w:rPr>
        <w:t>Sedaconda</w:t>
      </w:r>
      <w:proofErr w:type="spellEnd"/>
      <w:r>
        <w:rPr>
          <w:bCs/>
          <w:sz w:val="24"/>
          <w:szCs w:val="24"/>
        </w:rPr>
        <w:t xml:space="preserve"> (n = 61) eller </w:t>
      </w:r>
      <w:proofErr w:type="spellStart"/>
      <w:r>
        <w:rPr>
          <w:bCs/>
          <w:sz w:val="24"/>
          <w:szCs w:val="24"/>
        </w:rPr>
        <w:t>midazolam</w:t>
      </w:r>
      <w:proofErr w:type="spellEnd"/>
      <w:r>
        <w:rPr>
          <w:bCs/>
          <w:sz w:val="24"/>
          <w:szCs w:val="24"/>
        </w:rPr>
        <w:t xml:space="preserve"> (n = 33) i en forventet minimumsperiode på 12 timer op til 48 </w:t>
      </w:r>
      <w:r w:rsidRPr="009619AC">
        <w:rPr>
          <w:bCs/>
          <w:sz w:val="24"/>
          <w:szCs w:val="24"/>
        </w:rPr>
        <w:t>±</w:t>
      </w:r>
      <w:r>
        <w:rPr>
          <w:bCs/>
          <w:sz w:val="24"/>
          <w:szCs w:val="24"/>
        </w:rPr>
        <w:t xml:space="preserve"> 6 timer. </w:t>
      </w:r>
      <w:r w:rsidRPr="00764EA8">
        <w:rPr>
          <w:bCs/>
          <w:sz w:val="24"/>
          <w:szCs w:val="24"/>
        </w:rPr>
        <w:t>Kontinuerlige opioid-infusioner var tilladt</w:t>
      </w:r>
      <w:r>
        <w:rPr>
          <w:bCs/>
          <w:sz w:val="24"/>
          <w:szCs w:val="24"/>
        </w:rPr>
        <w:t xml:space="preserve"> under </w:t>
      </w:r>
      <w:r w:rsidRPr="00764EA8">
        <w:rPr>
          <w:bCs/>
          <w:sz w:val="24"/>
          <w:szCs w:val="24"/>
        </w:rPr>
        <w:t>hele</w:t>
      </w:r>
      <w:r>
        <w:rPr>
          <w:bCs/>
          <w:sz w:val="24"/>
          <w:szCs w:val="24"/>
        </w:rPr>
        <w:t xml:space="preserve"> forsøgsbehandlingsperioden og kunne justeres som klinisk relevant. Hver patient fik ordineret en mål-sedationsdybde baseret op COMFORT</w:t>
      </w:r>
      <w:r w:rsidRPr="00720E0F">
        <w:rPr>
          <w:sz w:val="24"/>
          <w:szCs w:val="24"/>
        </w:rPr>
        <w:noBreakHyphen/>
      </w:r>
      <w:r>
        <w:rPr>
          <w:sz w:val="24"/>
          <w:szCs w:val="24"/>
        </w:rPr>
        <w:t xml:space="preserve">B-scorerne på 17 til 22 (”let” sedation), 11 til 16 (”moderat”) eller 6 til 10 (”dyb”). Vurderingen af sedationsdybden blev udført af en assessor, der var blindet for forsøgsbehandlingen og for den ordinerede måldybde. Supplerende </w:t>
      </w:r>
      <w:proofErr w:type="spellStart"/>
      <w:r>
        <w:rPr>
          <w:sz w:val="24"/>
          <w:szCs w:val="24"/>
        </w:rPr>
        <w:t>bolusdoser</w:t>
      </w:r>
      <w:proofErr w:type="spellEnd"/>
      <w:r>
        <w:rPr>
          <w:sz w:val="24"/>
          <w:szCs w:val="24"/>
        </w:rPr>
        <w:t xml:space="preserve"> af </w:t>
      </w:r>
      <w:proofErr w:type="spellStart"/>
      <w:r>
        <w:rPr>
          <w:sz w:val="24"/>
          <w:szCs w:val="24"/>
        </w:rPr>
        <w:t>propofol</w:t>
      </w:r>
      <w:proofErr w:type="spellEnd"/>
      <w:r>
        <w:rPr>
          <w:sz w:val="24"/>
          <w:szCs w:val="24"/>
        </w:rPr>
        <w:t xml:space="preserve"> eller </w:t>
      </w:r>
      <w:proofErr w:type="spellStart"/>
      <w:r>
        <w:rPr>
          <w:sz w:val="24"/>
          <w:szCs w:val="24"/>
        </w:rPr>
        <w:t>ketamin</w:t>
      </w:r>
      <w:proofErr w:type="spellEnd"/>
      <w:r>
        <w:rPr>
          <w:sz w:val="24"/>
          <w:szCs w:val="24"/>
        </w:rPr>
        <w:t xml:space="preserve"> var tilladt i tilfælde af utilstrækkelig sedation.</w:t>
      </w:r>
    </w:p>
    <w:p w:rsidR="00D37883" w:rsidRDefault="00D37883" w:rsidP="00D37883">
      <w:pPr>
        <w:suppressAutoHyphens/>
        <w:ind w:left="851"/>
        <w:rPr>
          <w:sz w:val="24"/>
          <w:szCs w:val="24"/>
        </w:rPr>
      </w:pPr>
    </w:p>
    <w:p w:rsidR="00D37883" w:rsidRPr="009619AC" w:rsidRDefault="00D37883" w:rsidP="00D37883">
      <w:pPr>
        <w:suppressAutoHyphens/>
        <w:ind w:left="851"/>
        <w:rPr>
          <w:bCs/>
          <w:i/>
          <w:iCs/>
          <w:sz w:val="24"/>
          <w:szCs w:val="24"/>
        </w:rPr>
      </w:pPr>
      <w:r w:rsidRPr="009619AC">
        <w:rPr>
          <w:bCs/>
          <w:i/>
          <w:iCs/>
          <w:sz w:val="24"/>
          <w:szCs w:val="24"/>
        </w:rPr>
        <w:t>Virkning af sedation i SED00</w:t>
      </w:r>
      <w:r>
        <w:rPr>
          <w:bCs/>
          <w:i/>
          <w:iCs/>
          <w:sz w:val="24"/>
          <w:szCs w:val="24"/>
        </w:rPr>
        <w:t>2</w:t>
      </w:r>
    </w:p>
    <w:p w:rsidR="00D37883" w:rsidRDefault="00D37883" w:rsidP="00D37883">
      <w:pPr>
        <w:suppressAutoHyphens/>
        <w:ind w:left="851"/>
        <w:rPr>
          <w:bCs/>
          <w:sz w:val="24"/>
          <w:szCs w:val="24"/>
        </w:rPr>
      </w:pPr>
      <w:r w:rsidRPr="00F619DF">
        <w:rPr>
          <w:bCs/>
          <w:sz w:val="24"/>
          <w:szCs w:val="24"/>
        </w:rPr>
        <w:t xml:space="preserve">Det primære endepunkt var procentdelen af tid med tilstrækkeligt opretholdt sedation, </w:t>
      </w:r>
      <w:r>
        <w:rPr>
          <w:bCs/>
          <w:sz w:val="24"/>
          <w:szCs w:val="24"/>
        </w:rPr>
        <w:t>ved</w:t>
      </w:r>
      <w:r w:rsidRPr="00F619DF">
        <w:rPr>
          <w:bCs/>
          <w:sz w:val="24"/>
          <w:szCs w:val="24"/>
        </w:rPr>
        <w:t xml:space="preserve"> fravær af </w:t>
      </w:r>
      <w:r>
        <w:rPr>
          <w:bCs/>
          <w:sz w:val="24"/>
          <w:szCs w:val="24"/>
        </w:rPr>
        <w:t xml:space="preserve">supplerende </w:t>
      </w:r>
      <w:r w:rsidRPr="00F619DF">
        <w:rPr>
          <w:bCs/>
          <w:sz w:val="24"/>
          <w:szCs w:val="24"/>
        </w:rPr>
        <w:t xml:space="preserve">sedation, inden for det </w:t>
      </w:r>
      <w:r>
        <w:rPr>
          <w:bCs/>
          <w:sz w:val="24"/>
          <w:szCs w:val="24"/>
        </w:rPr>
        <w:t>ordinerede</w:t>
      </w:r>
      <w:r w:rsidRPr="00F619DF">
        <w:rPr>
          <w:bCs/>
          <w:sz w:val="24"/>
          <w:szCs w:val="24"/>
        </w:rPr>
        <w:t xml:space="preserve"> COMFORT-B-interval i e</w:t>
      </w:r>
      <w:r>
        <w:rPr>
          <w:bCs/>
          <w:sz w:val="24"/>
          <w:szCs w:val="24"/>
        </w:rPr>
        <w:t>n</w:t>
      </w:r>
      <w:r w:rsidRPr="00F619DF">
        <w:rPr>
          <w:bCs/>
          <w:sz w:val="24"/>
          <w:szCs w:val="24"/>
        </w:rPr>
        <w:t xml:space="preserve"> forventet minimum</w:t>
      </w:r>
      <w:r>
        <w:rPr>
          <w:bCs/>
          <w:sz w:val="24"/>
          <w:szCs w:val="24"/>
        </w:rPr>
        <w:t>speriode</w:t>
      </w:r>
      <w:r w:rsidRPr="00F619DF">
        <w:rPr>
          <w:bCs/>
          <w:sz w:val="24"/>
          <w:szCs w:val="24"/>
        </w:rPr>
        <w:t xml:space="preserve"> på 12</w:t>
      </w:r>
      <w:r>
        <w:rPr>
          <w:bCs/>
          <w:sz w:val="24"/>
          <w:szCs w:val="24"/>
        </w:rPr>
        <w:t> </w:t>
      </w:r>
      <w:r w:rsidRPr="00F619DF">
        <w:rPr>
          <w:bCs/>
          <w:sz w:val="24"/>
          <w:szCs w:val="24"/>
        </w:rPr>
        <w:t>timer (op til 48</w:t>
      </w:r>
      <w:r>
        <w:rPr>
          <w:bCs/>
          <w:sz w:val="24"/>
          <w:szCs w:val="24"/>
        </w:rPr>
        <w:t> </w:t>
      </w:r>
      <w:r w:rsidRPr="00F619DF">
        <w:rPr>
          <w:bCs/>
          <w:sz w:val="24"/>
          <w:szCs w:val="24"/>
        </w:rPr>
        <w:t>±</w:t>
      </w:r>
      <w:r>
        <w:rPr>
          <w:bCs/>
          <w:sz w:val="24"/>
          <w:szCs w:val="24"/>
        </w:rPr>
        <w:t> </w:t>
      </w:r>
      <w:r w:rsidRPr="00F619DF">
        <w:rPr>
          <w:bCs/>
          <w:sz w:val="24"/>
          <w:szCs w:val="24"/>
        </w:rPr>
        <w:t>6</w:t>
      </w:r>
      <w:r>
        <w:rPr>
          <w:bCs/>
          <w:sz w:val="24"/>
          <w:szCs w:val="24"/>
        </w:rPr>
        <w:t> </w:t>
      </w:r>
      <w:r w:rsidRPr="00F619DF">
        <w:rPr>
          <w:bCs/>
          <w:sz w:val="24"/>
          <w:szCs w:val="24"/>
        </w:rPr>
        <w:t>timer). I det fulde analysedatasæt (n</w:t>
      </w:r>
      <w:r>
        <w:rPr>
          <w:bCs/>
          <w:sz w:val="24"/>
          <w:szCs w:val="24"/>
        </w:rPr>
        <w:t> </w:t>
      </w:r>
      <w:r w:rsidRPr="00F619DF">
        <w:rPr>
          <w:bCs/>
          <w:sz w:val="24"/>
          <w:szCs w:val="24"/>
        </w:rPr>
        <w:t>=</w:t>
      </w:r>
      <w:r>
        <w:rPr>
          <w:bCs/>
          <w:sz w:val="24"/>
          <w:szCs w:val="24"/>
        </w:rPr>
        <w:t> </w:t>
      </w:r>
      <w:r w:rsidRPr="00F619DF">
        <w:rPr>
          <w:bCs/>
          <w:sz w:val="24"/>
          <w:szCs w:val="24"/>
        </w:rPr>
        <w:t xml:space="preserve">92) var </w:t>
      </w:r>
      <w:proofErr w:type="spellStart"/>
      <w:r w:rsidRPr="00F619DF">
        <w:rPr>
          <w:bCs/>
          <w:sz w:val="24"/>
          <w:szCs w:val="24"/>
        </w:rPr>
        <w:t>Sedaconda</w:t>
      </w:r>
      <w:proofErr w:type="spellEnd"/>
      <w:r>
        <w:rPr>
          <w:bCs/>
          <w:sz w:val="24"/>
          <w:szCs w:val="24"/>
        </w:rPr>
        <w:t xml:space="preserve"> non</w:t>
      </w:r>
      <w:r w:rsidRPr="00F619DF">
        <w:rPr>
          <w:bCs/>
          <w:sz w:val="24"/>
          <w:szCs w:val="24"/>
        </w:rPr>
        <w:t xml:space="preserve">-inferiør i forhold til </w:t>
      </w:r>
      <w:proofErr w:type="spellStart"/>
      <w:r w:rsidRPr="00F619DF">
        <w:rPr>
          <w:bCs/>
          <w:sz w:val="24"/>
          <w:szCs w:val="24"/>
        </w:rPr>
        <w:t>midazolam</w:t>
      </w:r>
      <w:proofErr w:type="spellEnd"/>
      <w:r w:rsidRPr="00F619DF">
        <w:rPr>
          <w:bCs/>
          <w:sz w:val="24"/>
          <w:szCs w:val="24"/>
        </w:rPr>
        <w:t xml:space="preserve"> </w:t>
      </w:r>
      <w:r>
        <w:rPr>
          <w:bCs/>
          <w:sz w:val="24"/>
          <w:szCs w:val="24"/>
        </w:rPr>
        <w:t>med hensyn til</w:t>
      </w:r>
      <w:r w:rsidRPr="00F619DF">
        <w:rPr>
          <w:bCs/>
          <w:sz w:val="24"/>
          <w:szCs w:val="24"/>
        </w:rPr>
        <w:t xml:space="preserve"> procent</w:t>
      </w:r>
      <w:r>
        <w:rPr>
          <w:bCs/>
          <w:sz w:val="24"/>
          <w:szCs w:val="24"/>
        </w:rPr>
        <w:t>del</w:t>
      </w:r>
      <w:r w:rsidRPr="00F619DF">
        <w:rPr>
          <w:bCs/>
          <w:sz w:val="24"/>
          <w:szCs w:val="24"/>
        </w:rPr>
        <w:t xml:space="preserve"> af tid ved den ønskede sedationsdybde (forskel i </w:t>
      </w:r>
      <w:proofErr w:type="spellStart"/>
      <w:r w:rsidRPr="00F619DF">
        <w:rPr>
          <w:bCs/>
          <w:sz w:val="24"/>
          <w:szCs w:val="24"/>
        </w:rPr>
        <w:t>isofluran</w:t>
      </w:r>
      <w:proofErr w:type="spellEnd"/>
      <w:r>
        <w:rPr>
          <w:bCs/>
          <w:sz w:val="24"/>
          <w:szCs w:val="24"/>
        </w:rPr>
        <w:t>-</w:t>
      </w:r>
      <w:r w:rsidRPr="00F619DF">
        <w:rPr>
          <w:bCs/>
          <w:sz w:val="24"/>
          <w:szCs w:val="24"/>
        </w:rPr>
        <w:t xml:space="preserve"> </w:t>
      </w:r>
      <w:r w:rsidRPr="00846957">
        <w:rPr>
          <w:bCs/>
          <w:i/>
          <w:iCs/>
          <w:sz w:val="24"/>
          <w:szCs w:val="24"/>
        </w:rPr>
        <w:t>versus</w:t>
      </w:r>
      <w:r w:rsidRPr="00F619DF">
        <w:rPr>
          <w:bCs/>
          <w:sz w:val="24"/>
          <w:szCs w:val="24"/>
        </w:rPr>
        <w:t xml:space="preserve"> </w:t>
      </w:r>
      <w:proofErr w:type="spellStart"/>
      <w:r w:rsidRPr="00F619DF">
        <w:rPr>
          <w:bCs/>
          <w:sz w:val="24"/>
          <w:szCs w:val="24"/>
        </w:rPr>
        <w:t>midazolam</w:t>
      </w:r>
      <w:proofErr w:type="spellEnd"/>
      <w:r>
        <w:rPr>
          <w:bCs/>
          <w:sz w:val="24"/>
          <w:szCs w:val="24"/>
        </w:rPr>
        <w:t>-</w:t>
      </w:r>
      <w:r w:rsidRPr="00F619DF">
        <w:rPr>
          <w:bCs/>
          <w:sz w:val="24"/>
          <w:szCs w:val="24"/>
        </w:rPr>
        <w:t>gennemsnit 6,6</w:t>
      </w:r>
      <w:r>
        <w:rPr>
          <w:bCs/>
          <w:sz w:val="24"/>
          <w:szCs w:val="24"/>
        </w:rPr>
        <w:t> </w:t>
      </w:r>
      <w:r w:rsidRPr="00F619DF">
        <w:rPr>
          <w:bCs/>
          <w:sz w:val="24"/>
          <w:szCs w:val="24"/>
        </w:rPr>
        <w:t>%, 95</w:t>
      </w:r>
      <w:r>
        <w:rPr>
          <w:bCs/>
          <w:sz w:val="24"/>
          <w:szCs w:val="24"/>
        </w:rPr>
        <w:t> </w:t>
      </w:r>
      <w:r w:rsidRPr="00F619DF">
        <w:rPr>
          <w:bCs/>
          <w:sz w:val="24"/>
          <w:szCs w:val="24"/>
        </w:rPr>
        <w:t xml:space="preserve">% CI -9,0 til 22,1). Patienterne </w:t>
      </w:r>
      <w:r>
        <w:rPr>
          <w:bCs/>
          <w:sz w:val="24"/>
          <w:szCs w:val="24"/>
        </w:rPr>
        <w:t>befandt sig i mål-</w:t>
      </w:r>
      <w:r w:rsidRPr="00F619DF">
        <w:rPr>
          <w:bCs/>
          <w:sz w:val="24"/>
          <w:szCs w:val="24"/>
        </w:rPr>
        <w:t>sedationsdybde</w:t>
      </w:r>
      <w:r>
        <w:rPr>
          <w:bCs/>
          <w:sz w:val="24"/>
          <w:szCs w:val="24"/>
        </w:rPr>
        <w:t>n</w:t>
      </w:r>
      <w:r w:rsidRPr="00F619DF">
        <w:rPr>
          <w:bCs/>
          <w:sz w:val="24"/>
          <w:szCs w:val="24"/>
        </w:rPr>
        <w:t xml:space="preserve"> i gennemsnit</w:t>
      </w:r>
      <w:r>
        <w:rPr>
          <w:bCs/>
          <w:sz w:val="24"/>
          <w:szCs w:val="24"/>
        </w:rPr>
        <w:t xml:space="preserve"> </w:t>
      </w:r>
      <w:r w:rsidRPr="00F619DF">
        <w:rPr>
          <w:bCs/>
          <w:sz w:val="24"/>
          <w:szCs w:val="24"/>
        </w:rPr>
        <w:t>68,9</w:t>
      </w:r>
      <w:r>
        <w:rPr>
          <w:bCs/>
          <w:sz w:val="24"/>
          <w:szCs w:val="24"/>
        </w:rPr>
        <w:t> </w:t>
      </w:r>
      <w:r w:rsidRPr="00F619DF">
        <w:rPr>
          <w:bCs/>
          <w:sz w:val="24"/>
          <w:szCs w:val="24"/>
        </w:rPr>
        <w:t>% og 62,4</w:t>
      </w:r>
      <w:r>
        <w:rPr>
          <w:bCs/>
          <w:sz w:val="24"/>
          <w:szCs w:val="24"/>
        </w:rPr>
        <w:t> </w:t>
      </w:r>
      <w:r w:rsidRPr="00F619DF">
        <w:rPr>
          <w:bCs/>
          <w:sz w:val="24"/>
          <w:szCs w:val="24"/>
        </w:rPr>
        <w:t xml:space="preserve">% af tiden for henholdsvis </w:t>
      </w:r>
      <w:proofErr w:type="spellStart"/>
      <w:r w:rsidRPr="00F619DF">
        <w:rPr>
          <w:bCs/>
          <w:sz w:val="24"/>
          <w:szCs w:val="24"/>
        </w:rPr>
        <w:t>isofluran</w:t>
      </w:r>
      <w:proofErr w:type="spellEnd"/>
      <w:r w:rsidRPr="00F619DF">
        <w:rPr>
          <w:bCs/>
          <w:sz w:val="24"/>
          <w:szCs w:val="24"/>
        </w:rPr>
        <w:t xml:space="preserve"> og </w:t>
      </w:r>
      <w:proofErr w:type="spellStart"/>
      <w:r w:rsidRPr="00F619DF">
        <w:rPr>
          <w:bCs/>
          <w:sz w:val="24"/>
          <w:szCs w:val="24"/>
        </w:rPr>
        <w:t>midazolam</w:t>
      </w:r>
      <w:proofErr w:type="spellEnd"/>
      <w:r w:rsidRPr="00F619DF">
        <w:rPr>
          <w:bCs/>
          <w:sz w:val="24"/>
          <w:szCs w:val="24"/>
        </w:rPr>
        <w:t>.</w:t>
      </w:r>
    </w:p>
    <w:p w:rsidR="00D37883" w:rsidRDefault="00D37883" w:rsidP="00D37883">
      <w:pPr>
        <w:suppressAutoHyphens/>
        <w:ind w:left="851"/>
        <w:rPr>
          <w:bCs/>
          <w:sz w:val="24"/>
          <w:szCs w:val="24"/>
        </w:rPr>
      </w:pPr>
    </w:p>
    <w:p w:rsidR="00D37883" w:rsidRDefault="00D37883" w:rsidP="00D37883">
      <w:pPr>
        <w:suppressAutoHyphens/>
        <w:ind w:left="851"/>
        <w:rPr>
          <w:bCs/>
          <w:sz w:val="24"/>
          <w:szCs w:val="24"/>
        </w:rPr>
      </w:pPr>
      <w:r w:rsidRPr="001841CE">
        <w:rPr>
          <w:bCs/>
          <w:sz w:val="24"/>
          <w:szCs w:val="24"/>
        </w:rPr>
        <w:t xml:space="preserve">For </w:t>
      </w:r>
      <w:proofErr w:type="spellStart"/>
      <w:r w:rsidRPr="001841CE">
        <w:rPr>
          <w:bCs/>
          <w:sz w:val="24"/>
          <w:szCs w:val="24"/>
        </w:rPr>
        <w:t>isofluran</w:t>
      </w:r>
      <w:proofErr w:type="spellEnd"/>
      <w:r>
        <w:rPr>
          <w:bCs/>
          <w:sz w:val="24"/>
          <w:szCs w:val="24"/>
        </w:rPr>
        <w:t>-</w:t>
      </w:r>
      <w:r w:rsidRPr="001841CE">
        <w:rPr>
          <w:bCs/>
          <w:sz w:val="24"/>
          <w:szCs w:val="24"/>
        </w:rPr>
        <w:t>behandlede patienter med standard</w:t>
      </w:r>
      <w:r>
        <w:rPr>
          <w:bCs/>
          <w:sz w:val="24"/>
          <w:szCs w:val="24"/>
        </w:rPr>
        <w:t>placering af</w:t>
      </w:r>
      <w:r w:rsidRPr="001841CE">
        <w:rPr>
          <w:bCs/>
          <w:sz w:val="24"/>
          <w:szCs w:val="24"/>
        </w:rPr>
        <w:t xml:space="preserve"> </w:t>
      </w:r>
      <w:proofErr w:type="spellStart"/>
      <w:r w:rsidRPr="001841CE">
        <w:rPr>
          <w:bCs/>
          <w:sz w:val="24"/>
          <w:szCs w:val="24"/>
        </w:rPr>
        <w:t>Sedaconda</w:t>
      </w:r>
      <w:proofErr w:type="spellEnd"/>
      <w:r w:rsidRPr="001841CE">
        <w:rPr>
          <w:bCs/>
          <w:sz w:val="24"/>
          <w:szCs w:val="24"/>
        </w:rPr>
        <w:t xml:space="preserve"> ACD var </w:t>
      </w:r>
      <w:r>
        <w:rPr>
          <w:bCs/>
          <w:sz w:val="24"/>
          <w:szCs w:val="24"/>
        </w:rPr>
        <w:t xml:space="preserve">den </w:t>
      </w:r>
      <w:proofErr w:type="spellStart"/>
      <w:r w:rsidRPr="001841CE">
        <w:rPr>
          <w:bCs/>
          <w:sz w:val="24"/>
          <w:szCs w:val="24"/>
        </w:rPr>
        <w:t>median</w:t>
      </w:r>
      <w:r>
        <w:rPr>
          <w:bCs/>
          <w:sz w:val="24"/>
          <w:szCs w:val="24"/>
        </w:rPr>
        <w:t>e</w:t>
      </w:r>
      <w:proofErr w:type="spellEnd"/>
      <w:r w:rsidRPr="001841CE">
        <w:rPr>
          <w:bCs/>
          <w:sz w:val="24"/>
          <w:szCs w:val="24"/>
        </w:rPr>
        <w:t xml:space="preserve"> (IQR) pumpehastighed 0,34</w:t>
      </w:r>
      <w:r>
        <w:rPr>
          <w:bCs/>
          <w:sz w:val="24"/>
          <w:szCs w:val="24"/>
        </w:rPr>
        <w:t> </w:t>
      </w:r>
      <w:r w:rsidRPr="001841CE">
        <w:rPr>
          <w:bCs/>
          <w:sz w:val="24"/>
          <w:szCs w:val="24"/>
        </w:rPr>
        <w:t>(0,21</w:t>
      </w:r>
      <w:r>
        <w:rPr>
          <w:bCs/>
          <w:sz w:val="24"/>
          <w:szCs w:val="24"/>
        </w:rPr>
        <w:t>;</w:t>
      </w:r>
      <w:r w:rsidRPr="001841CE">
        <w:rPr>
          <w:bCs/>
          <w:sz w:val="24"/>
          <w:szCs w:val="24"/>
        </w:rPr>
        <w:t xml:space="preserve"> 1,41)</w:t>
      </w:r>
      <w:r>
        <w:rPr>
          <w:bCs/>
          <w:sz w:val="24"/>
          <w:szCs w:val="24"/>
        </w:rPr>
        <w:t> </w:t>
      </w:r>
      <w:r w:rsidRPr="001841CE">
        <w:rPr>
          <w:bCs/>
          <w:sz w:val="24"/>
          <w:szCs w:val="24"/>
        </w:rPr>
        <w:t>m</w:t>
      </w:r>
      <w:r>
        <w:rPr>
          <w:bCs/>
          <w:sz w:val="24"/>
          <w:szCs w:val="24"/>
        </w:rPr>
        <w:t>l</w:t>
      </w:r>
      <w:r w:rsidRPr="001841CE">
        <w:rPr>
          <w:bCs/>
          <w:sz w:val="24"/>
          <w:szCs w:val="24"/>
        </w:rPr>
        <w:t>/time pr.</w:t>
      </w:r>
      <w:r>
        <w:rPr>
          <w:bCs/>
          <w:sz w:val="24"/>
          <w:szCs w:val="24"/>
        </w:rPr>
        <w:t> liter</w:t>
      </w:r>
      <w:r w:rsidRPr="001841CE">
        <w:rPr>
          <w:bCs/>
          <w:sz w:val="24"/>
          <w:szCs w:val="24"/>
        </w:rPr>
        <w:t xml:space="preserve"> minutventilation. For </w:t>
      </w:r>
      <w:proofErr w:type="spellStart"/>
      <w:r w:rsidRPr="001841CE">
        <w:rPr>
          <w:bCs/>
          <w:sz w:val="24"/>
          <w:szCs w:val="24"/>
        </w:rPr>
        <w:t>isofluran</w:t>
      </w:r>
      <w:proofErr w:type="spellEnd"/>
      <w:r>
        <w:rPr>
          <w:bCs/>
          <w:sz w:val="24"/>
          <w:szCs w:val="24"/>
        </w:rPr>
        <w:t>-</w:t>
      </w:r>
      <w:r w:rsidRPr="001841CE">
        <w:rPr>
          <w:bCs/>
          <w:sz w:val="24"/>
          <w:szCs w:val="24"/>
        </w:rPr>
        <w:t xml:space="preserve">behandlede patienter med alternativ </w:t>
      </w:r>
      <w:r>
        <w:rPr>
          <w:bCs/>
          <w:sz w:val="24"/>
          <w:szCs w:val="24"/>
        </w:rPr>
        <w:t xml:space="preserve">placering af </w:t>
      </w:r>
      <w:proofErr w:type="spellStart"/>
      <w:r w:rsidRPr="001841CE">
        <w:rPr>
          <w:bCs/>
          <w:sz w:val="24"/>
          <w:szCs w:val="24"/>
        </w:rPr>
        <w:t>Sedaconda</w:t>
      </w:r>
      <w:proofErr w:type="spellEnd"/>
      <w:r w:rsidRPr="001841CE">
        <w:rPr>
          <w:bCs/>
          <w:sz w:val="24"/>
          <w:szCs w:val="24"/>
        </w:rPr>
        <w:t xml:space="preserve"> ACD på den inspiratoriske side </w:t>
      </w:r>
      <w:r>
        <w:rPr>
          <w:bCs/>
          <w:sz w:val="24"/>
          <w:szCs w:val="24"/>
        </w:rPr>
        <w:t xml:space="preserve">var den </w:t>
      </w:r>
      <w:proofErr w:type="spellStart"/>
      <w:r w:rsidRPr="001841CE">
        <w:rPr>
          <w:bCs/>
          <w:sz w:val="24"/>
          <w:szCs w:val="24"/>
        </w:rPr>
        <w:t>mediane</w:t>
      </w:r>
      <w:proofErr w:type="spellEnd"/>
      <w:r w:rsidRPr="001841CE">
        <w:rPr>
          <w:bCs/>
          <w:sz w:val="24"/>
          <w:szCs w:val="24"/>
        </w:rPr>
        <w:t xml:space="preserve"> (IQR) pumpehastighed 1,46</w:t>
      </w:r>
      <w:r>
        <w:rPr>
          <w:bCs/>
          <w:sz w:val="24"/>
          <w:szCs w:val="24"/>
        </w:rPr>
        <w:t> </w:t>
      </w:r>
      <w:r w:rsidRPr="001841CE">
        <w:rPr>
          <w:bCs/>
          <w:sz w:val="24"/>
          <w:szCs w:val="24"/>
        </w:rPr>
        <w:t>(0,89</w:t>
      </w:r>
      <w:r>
        <w:rPr>
          <w:bCs/>
          <w:sz w:val="24"/>
          <w:szCs w:val="24"/>
        </w:rPr>
        <w:t>;</w:t>
      </w:r>
      <w:r w:rsidRPr="001841CE">
        <w:rPr>
          <w:bCs/>
          <w:sz w:val="24"/>
          <w:szCs w:val="24"/>
        </w:rPr>
        <w:t xml:space="preserve"> 2,0) ml/time </w:t>
      </w:r>
      <w:r w:rsidRPr="009619AC">
        <w:rPr>
          <w:bCs/>
          <w:sz w:val="24"/>
          <w:szCs w:val="24"/>
        </w:rPr>
        <w:t>pr. liter minutventilation</w:t>
      </w:r>
      <w:r w:rsidRPr="001841CE">
        <w:rPr>
          <w:bCs/>
          <w:sz w:val="24"/>
          <w:szCs w:val="24"/>
        </w:rPr>
        <w:t xml:space="preserve">. Disse pumpehastigheder gav en gennemsnitlig (SD) </w:t>
      </w:r>
      <w:r>
        <w:rPr>
          <w:bCs/>
          <w:sz w:val="24"/>
          <w:szCs w:val="24"/>
        </w:rPr>
        <w:t>slut</w:t>
      </w:r>
      <w:r w:rsidRPr="001841CE">
        <w:rPr>
          <w:bCs/>
          <w:sz w:val="24"/>
          <w:szCs w:val="24"/>
        </w:rPr>
        <w:t>-</w:t>
      </w:r>
      <w:proofErr w:type="spellStart"/>
      <w:r w:rsidRPr="001841CE">
        <w:rPr>
          <w:bCs/>
          <w:sz w:val="24"/>
          <w:szCs w:val="24"/>
        </w:rPr>
        <w:t>tidal</w:t>
      </w:r>
      <w:proofErr w:type="spellEnd"/>
      <w:r>
        <w:rPr>
          <w:bCs/>
          <w:sz w:val="24"/>
          <w:szCs w:val="24"/>
        </w:rPr>
        <w:t>-</w:t>
      </w:r>
      <w:r w:rsidRPr="001841CE">
        <w:rPr>
          <w:bCs/>
          <w:sz w:val="24"/>
          <w:szCs w:val="24"/>
        </w:rPr>
        <w:t>koncentration</w:t>
      </w:r>
      <w:r>
        <w:rPr>
          <w:bCs/>
          <w:sz w:val="24"/>
          <w:szCs w:val="24"/>
        </w:rPr>
        <w:t xml:space="preserve"> af </w:t>
      </w:r>
      <w:proofErr w:type="spellStart"/>
      <w:r>
        <w:rPr>
          <w:bCs/>
          <w:sz w:val="24"/>
          <w:szCs w:val="24"/>
        </w:rPr>
        <w:t>isofluran</w:t>
      </w:r>
      <w:proofErr w:type="spellEnd"/>
      <w:r w:rsidRPr="001841CE">
        <w:rPr>
          <w:bCs/>
          <w:sz w:val="24"/>
          <w:szCs w:val="24"/>
        </w:rPr>
        <w:t xml:space="preserve"> på 0,35</w:t>
      </w:r>
      <w:r>
        <w:rPr>
          <w:bCs/>
          <w:sz w:val="24"/>
          <w:szCs w:val="24"/>
        </w:rPr>
        <w:t> </w:t>
      </w:r>
      <w:r w:rsidRPr="001841CE">
        <w:rPr>
          <w:bCs/>
          <w:sz w:val="24"/>
          <w:szCs w:val="24"/>
        </w:rPr>
        <w:t>% (±</w:t>
      </w:r>
      <w:r>
        <w:rPr>
          <w:bCs/>
          <w:sz w:val="24"/>
          <w:szCs w:val="24"/>
        </w:rPr>
        <w:t> </w:t>
      </w:r>
      <w:r w:rsidRPr="001841CE">
        <w:rPr>
          <w:bCs/>
          <w:sz w:val="24"/>
          <w:szCs w:val="24"/>
        </w:rPr>
        <w:t>0,15) og 0,49</w:t>
      </w:r>
      <w:r>
        <w:rPr>
          <w:bCs/>
          <w:sz w:val="24"/>
          <w:szCs w:val="24"/>
        </w:rPr>
        <w:t> </w:t>
      </w:r>
      <w:r w:rsidRPr="001841CE">
        <w:rPr>
          <w:bCs/>
          <w:sz w:val="24"/>
          <w:szCs w:val="24"/>
        </w:rPr>
        <w:t>% (±</w:t>
      </w:r>
      <w:r>
        <w:rPr>
          <w:bCs/>
          <w:sz w:val="24"/>
          <w:szCs w:val="24"/>
        </w:rPr>
        <w:t> </w:t>
      </w:r>
      <w:r w:rsidRPr="001841CE">
        <w:rPr>
          <w:bCs/>
          <w:sz w:val="24"/>
          <w:szCs w:val="24"/>
        </w:rPr>
        <w:t>0,20) for patienter</w:t>
      </w:r>
      <w:r>
        <w:rPr>
          <w:bCs/>
          <w:sz w:val="24"/>
          <w:szCs w:val="24"/>
        </w:rPr>
        <w:t>, der havde fået ordineret henholdsvis</w:t>
      </w:r>
      <w:r w:rsidRPr="001841CE">
        <w:rPr>
          <w:bCs/>
          <w:sz w:val="24"/>
          <w:szCs w:val="24"/>
        </w:rPr>
        <w:t xml:space="preserve"> let/moderat og dyb sedation.</w:t>
      </w:r>
    </w:p>
    <w:p w:rsidR="00D37883" w:rsidRDefault="00D37883" w:rsidP="00D37883">
      <w:pPr>
        <w:suppressAutoHyphens/>
        <w:ind w:left="851"/>
        <w:rPr>
          <w:bCs/>
          <w:sz w:val="24"/>
          <w:szCs w:val="24"/>
        </w:rPr>
      </w:pPr>
    </w:p>
    <w:p w:rsidR="00D37883" w:rsidRPr="00866871" w:rsidRDefault="00D37883" w:rsidP="00D37883">
      <w:pPr>
        <w:suppressAutoHyphens/>
        <w:ind w:left="851"/>
        <w:rPr>
          <w:bCs/>
          <w:i/>
          <w:iCs/>
          <w:sz w:val="24"/>
          <w:szCs w:val="24"/>
        </w:rPr>
      </w:pPr>
      <w:r w:rsidRPr="00866871">
        <w:rPr>
          <w:bCs/>
          <w:i/>
          <w:iCs/>
          <w:sz w:val="24"/>
          <w:szCs w:val="24"/>
        </w:rPr>
        <w:t>Behov for opioid</w:t>
      </w:r>
    </w:p>
    <w:p w:rsidR="00D37883" w:rsidRDefault="00D37883" w:rsidP="00D37883">
      <w:pPr>
        <w:suppressAutoHyphens/>
        <w:ind w:left="851"/>
        <w:rPr>
          <w:bCs/>
          <w:sz w:val="24"/>
          <w:szCs w:val="24"/>
        </w:rPr>
      </w:pPr>
      <w:r w:rsidRPr="00703F83">
        <w:rPr>
          <w:bCs/>
          <w:sz w:val="24"/>
          <w:szCs w:val="24"/>
        </w:rPr>
        <w:t xml:space="preserve">Behovet for opioid var lavere i </w:t>
      </w:r>
      <w:proofErr w:type="spellStart"/>
      <w:r w:rsidRPr="00703F83">
        <w:rPr>
          <w:bCs/>
          <w:sz w:val="24"/>
          <w:szCs w:val="24"/>
        </w:rPr>
        <w:t>isofluran</w:t>
      </w:r>
      <w:proofErr w:type="spellEnd"/>
      <w:r w:rsidRPr="00703F83">
        <w:rPr>
          <w:bCs/>
          <w:sz w:val="24"/>
          <w:szCs w:val="24"/>
        </w:rPr>
        <w:t xml:space="preserve">-gruppen </w:t>
      </w:r>
      <w:r>
        <w:rPr>
          <w:bCs/>
          <w:sz w:val="24"/>
          <w:szCs w:val="24"/>
        </w:rPr>
        <w:t xml:space="preserve">(p = 0,004). </w:t>
      </w:r>
      <w:r w:rsidRPr="00D86B04">
        <w:rPr>
          <w:bCs/>
          <w:sz w:val="24"/>
          <w:szCs w:val="24"/>
        </w:rPr>
        <w:t>Den gennemsnitlige dosishastighed af opioider, omregnet til intravenøse fentanyl</w:t>
      </w:r>
      <w:r>
        <w:rPr>
          <w:bCs/>
          <w:sz w:val="24"/>
          <w:szCs w:val="24"/>
        </w:rPr>
        <w:t>-</w:t>
      </w:r>
      <w:r w:rsidRPr="00D86B04">
        <w:rPr>
          <w:bCs/>
          <w:sz w:val="24"/>
          <w:szCs w:val="24"/>
        </w:rPr>
        <w:t>ækvivalenter, var 2,1 (95</w:t>
      </w:r>
      <w:r>
        <w:rPr>
          <w:bCs/>
          <w:sz w:val="24"/>
          <w:szCs w:val="24"/>
        </w:rPr>
        <w:t> </w:t>
      </w:r>
      <w:r w:rsidRPr="00D86B04">
        <w:rPr>
          <w:bCs/>
          <w:sz w:val="24"/>
          <w:szCs w:val="24"/>
        </w:rPr>
        <w:t>% CI 1,3</w:t>
      </w:r>
      <w:r>
        <w:rPr>
          <w:bCs/>
          <w:sz w:val="24"/>
          <w:szCs w:val="24"/>
        </w:rPr>
        <w:t>;</w:t>
      </w:r>
      <w:r w:rsidRPr="00D86B04">
        <w:rPr>
          <w:bCs/>
          <w:sz w:val="24"/>
          <w:szCs w:val="24"/>
        </w:rPr>
        <w:t xml:space="preserve"> 2,9) </w:t>
      </w:r>
      <w:r w:rsidRPr="00866871">
        <w:rPr>
          <w:bCs/>
          <w:i/>
          <w:iCs/>
          <w:sz w:val="24"/>
          <w:szCs w:val="24"/>
        </w:rPr>
        <w:t>vs.</w:t>
      </w:r>
      <w:r w:rsidRPr="00D86B04">
        <w:rPr>
          <w:bCs/>
          <w:sz w:val="24"/>
          <w:szCs w:val="24"/>
        </w:rPr>
        <w:t xml:space="preserve"> 4,6 (95</w:t>
      </w:r>
      <w:r>
        <w:rPr>
          <w:bCs/>
          <w:sz w:val="24"/>
          <w:szCs w:val="24"/>
        </w:rPr>
        <w:t> </w:t>
      </w:r>
      <w:r w:rsidRPr="00D86B04">
        <w:rPr>
          <w:bCs/>
          <w:sz w:val="24"/>
          <w:szCs w:val="24"/>
        </w:rPr>
        <w:t>% CI 3,5</w:t>
      </w:r>
      <w:r>
        <w:rPr>
          <w:bCs/>
          <w:sz w:val="24"/>
          <w:szCs w:val="24"/>
        </w:rPr>
        <w:t>;</w:t>
      </w:r>
      <w:r w:rsidRPr="00D86B04">
        <w:rPr>
          <w:bCs/>
          <w:sz w:val="24"/>
          <w:szCs w:val="24"/>
        </w:rPr>
        <w:t xml:space="preserve"> 5,6)</w:t>
      </w:r>
      <w:r>
        <w:rPr>
          <w:bCs/>
          <w:sz w:val="24"/>
          <w:szCs w:val="24"/>
        </w:rPr>
        <w:t> </w:t>
      </w:r>
      <w:r w:rsidRPr="00D86B04">
        <w:rPr>
          <w:bCs/>
          <w:sz w:val="24"/>
          <w:szCs w:val="24"/>
        </w:rPr>
        <w:t xml:space="preserve">µg/kg/time i henholdsvis </w:t>
      </w:r>
      <w:proofErr w:type="spellStart"/>
      <w:r w:rsidRPr="00D86B04">
        <w:rPr>
          <w:bCs/>
          <w:sz w:val="24"/>
          <w:szCs w:val="24"/>
        </w:rPr>
        <w:t>isofluran</w:t>
      </w:r>
      <w:proofErr w:type="spellEnd"/>
      <w:r w:rsidRPr="00D86B04">
        <w:rPr>
          <w:bCs/>
          <w:sz w:val="24"/>
          <w:szCs w:val="24"/>
        </w:rPr>
        <w:t xml:space="preserve">- og </w:t>
      </w:r>
      <w:proofErr w:type="spellStart"/>
      <w:r w:rsidRPr="00D86B04">
        <w:rPr>
          <w:bCs/>
          <w:sz w:val="24"/>
          <w:szCs w:val="24"/>
        </w:rPr>
        <w:t>midazolam</w:t>
      </w:r>
      <w:proofErr w:type="spellEnd"/>
      <w:r w:rsidRPr="00D86B04">
        <w:rPr>
          <w:bCs/>
          <w:sz w:val="24"/>
          <w:szCs w:val="24"/>
        </w:rPr>
        <w:t>-gruppen</w:t>
      </w:r>
      <w:r>
        <w:rPr>
          <w:bCs/>
          <w:sz w:val="24"/>
          <w:szCs w:val="24"/>
        </w:rPr>
        <w:t>.</w:t>
      </w:r>
    </w:p>
    <w:p w:rsidR="00D37883" w:rsidRDefault="00D37883" w:rsidP="00D37883">
      <w:pPr>
        <w:suppressAutoHyphens/>
        <w:ind w:left="851"/>
        <w:rPr>
          <w:bCs/>
          <w:sz w:val="24"/>
          <w:szCs w:val="24"/>
        </w:rPr>
      </w:pPr>
    </w:p>
    <w:p w:rsidR="00D37883" w:rsidRDefault="00D37883" w:rsidP="00D37883">
      <w:pPr>
        <w:suppressAutoHyphens/>
        <w:ind w:left="851"/>
        <w:rPr>
          <w:bCs/>
          <w:i/>
          <w:iCs/>
          <w:sz w:val="24"/>
          <w:szCs w:val="24"/>
        </w:rPr>
      </w:pPr>
      <w:r w:rsidRPr="00724DF0">
        <w:rPr>
          <w:bCs/>
          <w:i/>
          <w:iCs/>
          <w:sz w:val="24"/>
          <w:szCs w:val="24"/>
        </w:rPr>
        <w:t>Supplerende s</w:t>
      </w:r>
      <w:r>
        <w:rPr>
          <w:bCs/>
          <w:i/>
          <w:iCs/>
          <w:sz w:val="24"/>
          <w:szCs w:val="24"/>
        </w:rPr>
        <w:t>edation</w:t>
      </w:r>
    </w:p>
    <w:p w:rsidR="00D37883" w:rsidRPr="008C456C" w:rsidRDefault="00D37883" w:rsidP="00D37883">
      <w:pPr>
        <w:suppressAutoHyphens/>
        <w:ind w:left="851"/>
        <w:rPr>
          <w:bCs/>
          <w:sz w:val="24"/>
          <w:szCs w:val="24"/>
        </w:rPr>
      </w:pPr>
      <w:r w:rsidRPr="00CA45D4">
        <w:rPr>
          <w:bCs/>
          <w:sz w:val="24"/>
          <w:szCs w:val="24"/>
        </w:rPr>
        <w:t xml:space="preserve">Det gennemsnitlige (SD) antal af nødvendige </w:t>
      </w:r>
      <w:proofErr w:type="spellStart"/>
      <w:r w:rsidRPr="00CA45D4">
        <w:rPr>
          <w:bCs/>
          <w:sz w:val="24"/>
          <w:szCs w:val="24"/>
        </w:rPr>
        <w:t>bolusdoser</w:t>
      </w:r>
      <w:proofErr w:type="spellEnd"/>
      <w:r w:rsidRPr="00CA45D4">
        <w:rPr>
          <w:bCs/>
          <w:sz w:val="24"/>
          <w:szCs w:val="24"/>
        </w:rPr>
        <w:t xml:space="preserve"> </w:t>
      </w:r>
      <w:r>
        <w:rPr>
          <w:bCs/>
          <w:sz w:val="24"/>
          <w:szCs w:val="24"/>
        </w:rPr>
        <w:t>til supplerende sedation</w:t>
      </w:r>
      <w:r w:rsidRPr="00CA45D4">
        <w:rPr>
          <w:bCs/>
          <w:sz w:val="24"/>
          <w:szCs w:val="24"/>
        </w:rPr>
        <w:t xml:space="preserve"> var 1,4</w:t>
      </w:r>
      <w:r>
        <w:rPr>
          <w:bCs/>
          <w:sz w:val="24"/>
          <w:szCs w:val="24"/>
        </w:rPr>
        <w:t> </w:t>
      </w:r>
      <w:r w:rsidRPr="00CA45D4">
        <w:rPr>
          <w:bCs/>
          <w:sz w:val="24"/>
          <w:szCs w:val="24"/>
        </w:rPr>
        <w:t xml:space="preserve">(3,1) </w:t>
      </w:r>
      <w:r w:rsidRPr="00866871">
        <w:rPr>
          <w:bCs/>
          <w:i/>
          <w:iCs/>
          <w:sz w:val="24"/>
          <w:szCs w:val="24"/>
        </w:rPr>
        <w:t>vs.</w:t>
      </w:r>
      <w:r w:rsidRPr="00CA45D4">
        <w:rPr>
          <w:bCs/>
          <w:sz w:val="24"/>
          <w:szCs w:val="24"/>
        </w:rPr>
        <w:t xml:space="preserve"> 2,1</w:t>
      </w:r>
      <w:r>
        <w:rPr>
          <w:bCs/>
          <w:sz w:val="24"/>
          <w:szCs w:val="24"/>
        </w:rPr>
        <w:t> </w:t>
      </w:r>
      <w:r w:rsidRPr="00CA45D4">
        <w:rPr>
          <w:bCs/>
          <w:sz w:val="24"/>
          <w:szCs w:val="24"/>
        </w:rPr>
        <w:t xml:space="preserve">(3,9) i henholdsvis </w:t>
      </w:r>
      <w:proofErr w:type="spellStart"/>
      <w:r w:rsidRPr="00CA45D4">
        <w:rPr>
          <w:bCs/>
          <w:sz w:val="24"/>
          <w:szCs w:val="24"/>
        </w:rPr>
        <w:t>isofluran</w:t>
      </w:r>
      <w:proofErr w:type="spellEnd"/>
      <w:r w:rsidRPr="00CA45D4">
        <w:rPr>
          <w:bCs/>
          <w:sz w:val="24"/>
          <w:szCs w:val="24"/>
        </w:rPr>
        <w:t xml:space="preserve">- og </w:t>
      </w:r>
      <w:proofErr w:type="spellStart"/>
      <w:r w:rsidRPr="00CA45D4">
        <w:rPr>
          <w:bCs/>
          <w:sz w:val="24"/>
          <w:szCs w:val="24"/>
        </w:rPr>
        <w:t>midazolam</w:t>
      </w:r>
      <w:proofErr w:type="spellEnd"/>
      <w:r>
        <w:rPr>
          <w:bCs/>
          <w:sz w:val="24"/>
          <w:szCs w:val="24"/>
        </w:rPr>
        <w:t>-</w:t>
      </w:r>
      <w:r w:rsidRPr="00CA45D4">
        <w:rPr>
          <w:bCs/>
          <w:sz w:val="24"/>
          <w:szCs w:val="24"/>
        </w:rPr>
        <w:t>gruppen.</w:t>
      </w:r>
    </w:p>
    <w:p w:rsidR="00D37883" w:rsidRDefault="00D37883" w:rsidP="00D37883">
      <w:pPr>
        <w:suppressAutoHyphens/>
        <w:ind w:left="851"/>
        <w:rPr>
          <w:bCs/>
          <w:sz w:val="24"/>
          <w:szCs w:val="24"/>
        </w:rPr>
      </w:pPr>
    </w:p>
    <w:p w:rsidR="00D37883" w:rsidRPr="00866871" w:rsidRDefault="00D37883" w:rsidP="00D37883">
      <w:pPr>
        <w:suppressAutoHyphens/>
        <w:ind w:left="851"/>
        <w:rPr>
          <w:bCs/>
          <w:i/>
          <w:iCs/>
          <w:sz w:val="24"/>
          <w:szCs w:val="24"/>
        </w:rPr>
      </w:pPr>
      <w:r w:rsidRPr="00866871">
        <w:rPr>
          <w:bCs/>
          <w:i/>
          <w:iCs/>
          <w:sz w:val="24"/>
          <w:szCs w:val="24"/>
        </w:rPr>
        <w:t>Udvikling af tolerans</w:t>
      </w:r>
    </w:p>
    <w:p w:rsidR="00D37883" w:rsidRDefault="00D37883" w:rsidP="00D37883">
      <w:pPr>
        <w:suppressAutoHyphens/>
        <w:ind w:left="851"/>
        <w:rPr>
          <w:bCs/>
          <w:sz w:val="24"/>
          <w:szCs w:val="24"/>
        </w:rPr>
      </w:pPr>
      <w:r>
        <w:rPr>
          <w:bCs/>
          <w:sz w:val="24"/>
          <w:szCs w:val="24"/>
        </w:rPr>
        <w:t xml:space="preserve">Baseret på behovet for </w:t>
      </w:r>
      <w:proofErr w:type="spellStart"/>
      <w:r>
        <w:rPr>
          <w:bCs/>
          <w:sz w:val="24"/>
          <w:szCs w:val="24"/>
        </w:rPr>
        <w:t>isofluran</w:t>
      </w:r>
      <w:proofErr w:type="spellEnd"/>
      <w:r>
        <w:rPr>
          <w:bCs/>
          <w:sz w:val="24"/>
          <w:szCs w:val="24"/>
        </w:rPr>
        <w:t xml:space="preserve">- og opioid-dosis over tid var der ingen tegn på udvikling af tolerans efter korttidsbrug under sedation med </w:t>
      </w:r>
      <w:proofErr w:type="spellStart"/>
      <w:r>
        <w:rPr>
          <w:bCs/>
          <w:sz w:val="24"/>
          <w:szCs w:val="24"/>
        </w:rPr>
        <w:t>isofluran</w:t>
      </w:r>
      <w:proofErr w:type="spellEnd"/>
      <w:r>
        <w:rPr>
          <w:bCs/>
          <w:sz w:val="24"/>
          <w:szCs w:val="24"/>
        </w:rPr>
        <w:t xml:space="preserve"> i op til 48 timer.</w:t>
      </w:r>
    </w:p>
    <w:p w:rsidR="00D37883" w:rsidRDefault="00D37883" w:rsidP="00D37883">
      <w:pPr>
        <w:suppressAutoHyphens/>
        <w:ind w:left="851"/>
        <w:rPr>
          <w:bCs/>
          <w:sz w:val="24"/>
          <w:szCs w:val="24"/>
        </w:rPr>
      </w:pPr>
    </w:p>
    <w:p w:rsidR="00D37883" w:rsidRDefault="00D37883" w:rsidP="00D37883">
      <w:pPr>
        <w:suppressAutoHyphens/>
        <w:ind w:left="851"/>
        <w:rPr>
          <w:bCs/>
          <w:sz w:val="24"/>
          <w:szCs w:val="24"/>
        </w:rPr>
      </w:pPr>
    </w:p>
    <w:p w:rsidR="00D37883" w:rsidRDefault="00D37883" w:rsidP="00D37883">
      <w:pPr>
        <w:suppressAutoHyphens/>
        <w:ind w:left="851"/>
        <w:rPr>
          <w:bCs/>
          <w:sz w:val="24"/>
          <w:szCs w:val="24"/>
        </w:rPr>
      </w:pPr>
    </w:p>
    <w:p w:rsidR="00D37883" w:rsidRDefault="00D37883" w:rsidP="00D37883">
      <w:pPr>
        <w:suppressAutoHyphens/>
        <w:ind w:left="851"/>
        <w:rPr>
          <w:bCs/>
          <w:sz w:val="24"/>
          <w:szCs w:val="24"/>
        </w:rPr>
      </w:pPr>
    </w:p>
    <w:p w:rsidR="00D37883" w:rsidRDefault="00D37883" w:rsidP="00D37883">
      <w:pPr>
        <w:suppressAutoHyphens/>
        <w:ind w:left="851"/>
        <w:rPr>
          <w:bCs/>
          <w:i/>
          <w:iCs/>
          <w:sz w:val="24"/>
          <w:szCs w:val="24"/>
        </w:rPr>
      </w:pPr>
      <w:r>
        <w:rPr>
          <w:bCs/>
          <w:i/>
          <w:iCs/>
          <w:sz w:val="24"/>
          <w:szCs w:val="24"/>
        </w:rPr>
        <w:lastRenderedPageBreak/>
        <w:t xml:space="preserve">Tid til </w:t>
      </w:r>
      <w:proofErr w:type="spellStart"/>
      <w:r>
        <w:rPr>
          <w:bCs/>
          <w:i/>
          <w:iCs/>
          <w:sz w:val="24"/>
          <w:szCs w:val="24"/>
        </w:rPr>
        <w:t>ekstubation</w:t>
      </w:r>
      <w:proofErr w:type="spellEnd"/>
    </w:p>
    <w:p w:rsidR="00D37883" w:rsidRDefault="00D37883" w:rsidP="00D37883">
      <w:pPr>
        <w:suppressAutoHyphens/>
        <w:ind w:left="851"/>
        <w:rPr>
          <w:bCs/>
          <w:sz w:val="24"/>
          <w:szCs w:val="24"/>
        </w:rPr>
      </w:pPr>
      <w:r>
        <w:rPr>
          <w:bCs/>
          <w:sz w:val="24"/>
          <w:szCs w:val="24"/>
        </w:rPr>
        <w:t>Median (IQR) tid til</w:t>
      </w:r>
      <w:r w:rsidRPr="007949F0">
        <w:rPr>
          <w:bCs/>
          <w:sz w:val="24"/>
          <w:szCs w:val="24"/>
        </w:rPr>
        <w:t xml:space="preserve"> </w:t>
      </w:r>
      <w:proofErr w:type="spellStart"/>
      <w:r w:rsidRPr="007949F0">
        <w:rPr>
          <w:bCs/>
          <w:sz w:val="24"/>
          <w:szCs w:val="24"/>
        </w:rPr>
        <w:t>ekstubation</w:t>
      </w:r>
      <w:proofErr w:type="spellEnd"/>
      <w:r w:rsidRPr="007949F0">
        <w:rPr>
          <w:bCs/>
          <w:sz w:val="24"/>
          <w:szCs w:val="24"/>
        </w:rPr>
        <w:t xml:space="preserve"> </w:t>
      </w:r>
      <w:r>
        <w:rPr>
          <w:bCs/>
          <w:sz w:val="24"/>
          <w:szCs w:val="24"/>
        </w:rPr>
        <w:t xml:space="preserve">efter afslutning af sedation i studiet </w:t>
      </w:r>
      <w:r w:rsidRPr="007949F0">
        <w:rPr>
          <w:bCs/>
          <w:sz w:val="24"/>
          <w:szCs w:val="24"/>
        </w:rPr>
        <w:t xml:space="preserve">var </w:t>
      </w:r>
      <w:r>
        <w:rPr>
          <w:bCs/>
          <w:sz w:val="24"/>
          <w:szCs w:val="24"/>
        </w:rPr>
        <w:t xml:space="preserve">signifikant </w:t>
      </w:r>
      <w:r w:rsidRPr="007949F0">
        <w:rPr>
          <w:bCs/>
          <w:sz w:val="24"/>
          <w:szCs w:val="24"/>
        </w:rPr>
        <w:t>kort</w:t>
      </w:r>
      <w:r>
        <w:rPr>
          <w:bCs/>
          <w:sz w:val="24"/>
          <w:szCs w:val="24"/>
        </w:rPr>
        <w:t xml:space="preserve">ere i </w:t>
      </w:r>
      <w:proofErr w:type="spellStart"/>
      <w:r>
        <w:rPr>
          <w:bCs/>
          <w:sz w:val="24"/>
          <w:szCs w:val="24"/>
        </w:rPr>
        <w:t>isofluran</w:t>
      </w:r>
      <w:proofErr w:type="spellEnd"/>
      <w:r>
        <w:rPr>
          <w:bCs/>
          <w:sz w:val="24"/>
          <w:szCs w:val="24"/>
        </w:rPr>
        <w:t xml:space="preserve">-gruppen end i </w:t>
      </w:r>
      <w:proofErr w:type="spellStart"/>
      <w:r>
        <w:rPr>
          <w:bCs/>
          <w:sz w:val="24"/>
          <w:szCs w:val="24"/>
        </w:rPr>
        <w:t>midazolam</w:t>
      </w:r>
      <w:proofErr w:type="spellEnd"/>
      <w:r>
        <w:rPr>
          <w:bCs/>
          <w:sz w:val="24"/>
          <w:szCs w:val="24"/>
        </w:rPr>
        <w:t xml:space="preserve">-gruppen, henholdsvis </w:t>
      </w:r>
      <w:r w:rsidRPr="00563B6A">
        <w:rPr>
          <w:bCs/>
          <w:sz w:val="24"/>
          <w:szCs w:val="24"/>
        </w:rPr>
        <w:t>0,75 (0,25</w:t>
      </w:r>
      <w:r>
        <w:rPr>
          <w:bCs/>
          <w:sz w:val="24"/>
          <w:szCs w:val="24"/>
        </w:rPr>
        <w:t>;</w:t>
      </w:r>
      <w:r w:rsidRPr="00563B6A">
        <w:rPr>
          <w:bCs/>
          <w:sz w:val="24"/>
          <w:szCs w:val="24"/>
        </w:rPr>
        <w:t xml:space="preserve"> 1,50) </w:t>
      </w:r>
      <w:r w:rsidRPr="00866871">
        <w:rPr>
          <w:bCs/>
          <w:i/>
          <w:iCs/>
          <w:sz w:val="24"/>
          <w:szCs w:val="24"/>
        </w:rPr>
        <w:t>vs.</w:t>
      </w:r>
      <w:r w:rsidRPr="00563B6A">
        <w:rPr>
          <w:bCs/>
          <w:sz w:val="24"/>
          <w:szCs w:val="24"/>
        </w:rPr>
        <w:t xml:space="preserve"> 1,09 (0,49</w:t>
      </w:r>
      <w:r>
        <w:rPr>
          <w:bCs/>
          <w:sz w:val="24"/>
          <w:szCs w:val="24"/>
        </w:rPr>
        <w:t>;</w:t>
      </w:r>
      <w:r w:rsidRPr="00563B6A">
        <w:rPr>
          <w:bCs/>
          <w:sz w:val="24"/>
          <w:szCs w:val="24"/>
        </w:rPr>
        <w:t xml:space="preserve"> 5,50)</w:t>
      </w:r>
      <w:r>
        <w:rPr>
          <w:bCs/>
          <w:sz w:val="24"/>
          <w:szCs w:val="24"/>
        </w:rPr>
        <w:t> </w:t>
      </w:r>
      <w:r w:rsidRPr="00563B6A">
        <w:rPr>
          <w:bCs/>
          <w:sz w:val="24"/>
          <w:szCs w:val="24"/>
        </w:rPr>
        <w:t>timer (p</w:t>
      </w:r>
      <w:r>
        <w:rPr>
          <w:bCs/>
          <w:sz w:val="24"/>
          <w:szCs w:val="24"/>
        </w:rPr>
        <w:t> </w:t>
      </w:r>
      <w:r w:rsidRPr="00563B6A">
        <w:rPr>
          <w:bCs/>
          <w:sz w:val="24"/>
          <w:szCs w:val="24"/>
        </w:rPr>
        <w:t>=</w:t>
      </w:r>
      <w:r>
        <w:rPr>
          <w:bCs/>
          <w:sz w:val="24"/>
          <w:szCs w:val="24"/>
        </w:rPr>
        <w:t> </w:t>
      </w:r>
      <w:r w:rsidRPr="00563B6A">
        <w:rPr>
          <w:bCs/>
          <w:sz w:val="24"/>
          <w:szCs w:val="24"/>
        </w:rPr>
        <w:t>0,0107)</w:t>
      </w:r>
      <w:r>
        <w:rPr>
          <w:bCs/>
          <w:sz w:val="24"/>
          <w:szCs w:val="24"/>
        </w:rPr>
        <w:t>.</w:t>
      </w:r>
    </w:p>
    <w:p w:rsidR="00D37883" w:rsidRDefault="00D37883" w:rsidP="00D37883">
      <w:pPr>
        <w:suppressAutoHyphens/>
        <w:ind w:left="851"/>
        <w:rPr>
          <w:bCs/>
          <w:sz w:val="24"/>
          <w:szCs w:val="24"/>
        </w:rPr>
      </w:pPr>
    </w:p>
    <w:p w:rsidR="00D37883" w:rsidRDefault="00D37883" w:rsidP="00D37883">
      <w:pPr>
        <w:suppressAutoHyphens/>
        <w:ind w:left="851"/>
        <w:rPr>
          <w:bCs/>
          <w:sz w:val="24"/>
          <w:szCs w:val="24"/>
          <w:u w:val="single"/>
        </w:rPr>
      </w:pPr>
      <w:r>
        <w:rPr>
          <w:bCs/>
          <w:sz w:val="24"/>
          <w:szCs w:val="24"/>
          <w:u w:val="single"/>
        </w:rPr>
        <w:t xml:space="preserve">Samtidig </w:t>
      </w:r>
      <w:proofErr w:type="spellStart"/>
      <w:r>
        <w:rPr>
          <w:bCs/>
          <w:sz w:val="24"/>
          <w:szCs w:val="24"/>
          <w:u w:val="single"/>
        </w:rPr>
        <w:t>sympatomimetika</w:t>
      </w:r>
      <w:proofErr w:type="spellEnd"/>
      <w:r>
        <w:rPr>
          <w:bCs/>
          <w:sz w:val="24"/>
          <w:szCs w:val="24"/>
          <w:u w:val="single"/>
        </w:rPr>
        <w:t xml:space="preserve"> og hyppighed af </w:t>
      </w:r>
      <w:proofErr w:type="spellStart"/>
      <w:r>
        <w:rPr>
          <w:bCs/>
          <w:sz w:val="24"/>
          <w:szCs w:val="24"/>
          <w:u w:val="single"/>
        </w:rPr>
        <w:t>ventrikulær</w:t>
      </w:r>
      <w:proofErr w:type="spellEnd"/>
      <w:r>
        <w:rPr>
          <w:bCs/>
          <w:sz w:val="24"/>
          <w:szCs w:val="24"/>
          <w:u w:val="single"/>
        </w:rPr>
        <w:t xml:space="preserve"> </w:t>
      </w:r>
      <w:proofErr w:type="spellStart"/>
      <w:r>
        <w:rPr>
          <w:bCs/>
          <w:sz w:val="24"/>
          <w:szCs w:val="24"/>
          <w:u w:val="single"/>
        </w:rPr>
        <w:t>arytmi</w:t>
      </w:r>
      <w:proofErr w:type="spellEnd"/>
      <w:r>
        <w:rPr>
          <w:bCs/>
          <w:sz w:val="24"/>
          <w:szCs w:val="24"/>
          <w:u w:val="single"/>
        </w:rPr>
        <w:t xml:space="preserve"> i studierne SED001 og SED002:</w:t>
      </w:r>
    </w:p>
    <w:p w:rsidR="00D37883" w:rsidRDefault="00D37883" w:rsidP="00D37883">
      <w:pPr>
        <w:suppressAutoHyphens/>
        <w:ind w:left="851"/>
        <w:rPr>
          <w:bCs/>
          <w:sz w:val="24"/>
          <w:szCs w:val="24"/>
        </w:rPr>
      </w:pPr>
    </w:p>
    <w:p w:rsidR="00D37883" w:rsidRPr="00BD17C1" w:rsidRDefault="00D37883" w:rsidP="00D37883">
      <w:pPr>
        <w:suppressAutoHyphens/>
        <w:ind w:left="851"/>
        <w:rPr>
          <w:bCs/>
          <w:sz w:val="24"/>
          <w:szCs w:val="24"/>
        </w:rPr>
      </w:pPr>
      <w:r>
        <w:rPr>
          <w:bCs/>
          <w:sz w:val="24"/>
          <w:szCs w:val="24"/>
        </w:rPr>
        <w:t>I studiet SED001 hos voksne patienter, hvor mere end 80 % af patienterne</w:t>
      </w:r>
      <w:r w:rsidRPr="0023612F">
        <w:rPr>
          <w:bCs/>
          <w:sz w:val="24"/>
          <w:szCs w:val="24"/>
        </w:rPr>
        <w:t xml:space="preserve"> i begge grupper fik noradrenalin, forekom der </w:t>
      </w:r>
      <w:proofErr w:type="spellStart"/>
      <w:r w:rsidRPr="0023612F">
        <w:rPr>
          <w:bCs/>
          <w:sz w:val="24"/>
          <w:szCs w:val="24"/>
        </w:rPr>
        <w:t>ventrikulær</w:t>
      </w:r>
      <w:proofErr w:type="spellEnd"/>
      <w:r w:rsidRPr="0023612F">
        <w:rPr>
          <w:bCs/>
          <w:sz w:val="24"/>
          <w:szCs w:val="24"/>
        </w:rPr>
        <w:t xml:space="preserve"> </w:t>
      </w:r>
      <w:proofErr w:type="spellStart"/>
      <w:r w:rsidRPr="0023612F">
        <w:rPr>
          <w:bCs/>
          <w:sz w:val="24"/>
          <w:szCs w:val="24"/>
        </w:rPr>
        <w:t>arytmi</w:t>
      </w:r>
      <w:proofErr w:type="spellEnd"/>
      <w:r w:rsidRPr="0023612F">
        <w:rPr>
          <w:bCs/>
          <w:sz w:val="24"/>
          <w:szCs w:val="24"/>
        </w:rPr>
        <w:t xml:space="preserve"> hos 1 ud af 150</w:t>
      </w:r>
      <w:r>
        <w:rPr>
          <w:bCs/>
          <w:sz w:val="24"/>
          <w:szCs w:val="24"/>
        </w:rPr>
        <w:t> </w:t>
      </w:r>
      <w:r w:rsidRPr="0023612F">
        <w:rPr>
          <w:bCs/>
          <w:sz w:val="24"/>
          <w:szCs w:val="24"/>
        </w:rPr>
        <w:t xml:space="preserve">patienter sederet med </w:t>
      </w:r>
      <w:proofErr w:type="spellStart"/>
      <w:r w:rsidRPr="0023612F">
        <w:rPr>
          <w:bCs/>
          <w:sz w:val="24"/>
          <w:szCs w:val="24"/>
        </w:rPr>
        <w:t>isofluran</w:t>
      </w:r>
      <w:proofErr w:type="spellEnd"/>
      <w:r w:rsidRPr="0023612F">
        <w:rPr>
          <w:bCs/>
          <w:sz w:val="24"/>
          <w:szCs w:val="24"/>
        </w:rPr>
        <w:t>.</w:t>
      </w:r>
      <w:r>
        <w:rPr>
          <w:bCs/>
          <w:sz w:val="24"/>
          <w:szCs w:val="24"/>
        </w:rPr>
        <w:t xml:space="preserve"> I studiet SED002 hos pædiatriske patienter i alderen 3 til 17 år, </w:t>
      </w:r>
      <w:r w:rsidRPr="00AC4200">
        <w:rPr>
          <w:bCs/>
          <w:sz w:val="24"/>
          <w:szCs w:val="24"/>
        </w:rPr>
        <w:t xml:space="preserve">hvor 57 % af </w:t>
      </w:r>
      <w:proofErr w:type="spellStart"/>
      <w:r w:rsidRPr="00AC4200">
        <w:rPr>
          <w:bCs/>
          <w:sz w:val="24"/>
          <w:szCs w:val="24"/>
        </w:rPr>
        <w:t>isofluran</w:t>
      </w:r>
      <w:proofErr w:type="spellEnd"/>
      <w:r w:rsidRPr="00AC4200">
        <w:rPr>
          <w:bCs/>
          <w:sz w:val="24"/>
          <w:szCs w:val="24"/>
        </w:rPr>
        <w:t xml:space="preserve">-patienterne fik noradrenalin og 21 % fik adrenalin, sås der ingen tilfælde af </w:t>
      </w:r>
      <w:proofErr w:type="spellStart"/>
      <w:r w:rsidRPr="00AC4200">
        <w:rPr>
          <w:bCs/>
          <w:sz w:val="24"/>
          <w:szCs w:val="24"/>
        </w:rPr>
        <w:t>ventrikulær</w:t>
      </w:r>
      <w:proofErr w:type="spellEnd"/>
      <w:r w:rsidRPr="00AC4200">
        <w:rPr>
          <w:bCs/>
          <w:sz w:val="24"/>
          <w:szCs w:val="24"/>
        </w:rPr>
        <w:t xml:space="preserve"> </w:t>
      </w:r>
      <w:proofErr w:type="spellStart"/>
      <w:r w:rsidRPr="00AC4200">
        <w:rPr>
          <w:bCs/>
          <w:sz w:val="24"/>
          <w:szCs w:val="24"/>
        </w:rPr>
        <w:t>arytmi</w:t>
      </w:r>
      <w:proofErr w:type="spellEnd"/>
      <w:r w:rsidRPr="00AC4200">
        <w:rPr>
          <w:bCs/>
          <w:sz w:val="24"/>
          <w:szCs w:val="24"/>
        </w:rPr>
        <w:t xml:space="preserve"> bland de 61 patienter sederet med </w:t>
      </w:r>
      <w:proofErr w:type="spellStart"/>
      <w:r w:rsidRPr="00AC4200">
        <w:rPr>
          <w:bCs/>
          <w:sz w:val="24"/>
          <w:szCs w:val="24"/>
        </w:rPr>
        <w:t>isofluran</w:t>
      </w:r>
      <w:proofErr w:type="spellEnd"/>
      <w:r w:rsidRPr="00AC4200">
        <w:rPr>
          <w:bCs/>
          <w:sz w:val="24"/>
          <w:szCs w:val="24"/>
        </w:rPr>
        <w:t>.</w:t>
      </w:r>
      <w:r>
        <w:rPr>
          <w:bCs/>
          <w:sz w:val="24"/>
          <w:szCs w:val="24"/>
        </w:rPr>
        <w:t xml:space="preserve"> Se pkt. 4.5.</w:t>
      </w:r>
    </w:p>
    <w:p w:rsidR="00D37883" w:rsidRPr="009619AC" w:rsidRDefault="00D37883" w:rsidP="00D37883">
      <w:pPr>
        <w:suppressAutoHyphens/>
        <w:ind w:left="851"/>
        <w:rPr>
          <w:sz w:val="24"/>
          <w:szCs w:val="24"/>
        </w:rPr>
      </w:pPr>
    </w:p>
    <w:p w:rsidR="00D37883" w:rsidRPr="009619AC" w:rsidRDefault="00D37883" w:rsidP="00D37883">
      <w:pPr>
        <w:keepNext/>
        <w:suppressAutoHyphens/>
        <w:ind w:left="851"/>
        <w:rPr>
          <w:sz w:val="24"/>
          <w:szCs w:val="24"/>
          <w:u w:val="single"/>
        </w:rPr>
      </w:pPr>
      <w:r w:rsidRPr="009619AC">
        <w:rPr>
          <w:bCs/>
          <w:sz w:val="24"/>
          <w:szCs w:val="24"/>
          <w:u w:val="single"/>
        </w:rPr>
        <w:t>Pædiatrisk population</w:t>
      </w:r>
      <w:r>
        <w:rPr>
          <w:bCs/>
          <w:sz w:val="24"/>
          <w:szCs w:val="24"/>
          <w:u w:val="single"/>
        </w:rPr>
        <w:t xml:space="preserve"> i alderen under 3 år</w:t>
      </w:r>
    </w:p>
    <w:p w:rsidR="00D37883" w:rsidRPr="009619AC" w:rsidRDefault="00D37883" w:rsidP="00D37883">
      <w:pPr>
        <w:ind w:left="851"/>
        <w:outlineLvl w:val="0"/>
        <w:rPr>
          <w:rFonts w:eastAsia="SimSun"/>
          <w:sz w:val="24"/>
          <w:szCs w:val="24"/>
        </w:rPr>
      </w:pPr>
      <w:r w:rsidRPr="009619AC">
        <w:rPr>
          <w:rFonts w:eastAsia="SimSun"/>
          <w:sz w:val="24"/>
          <w:szCs w:val="24"/>
          <w:lang w:eastAsia="zh-CN"/>
        </w:rPr>
        <w:t>Der findes ingen pædiatriske virknings</w:t>
      </w:r>
      <w:r>
        <w:rPr>
          <w:rFonts w:eastAsia="SimSun"/>
          <w:sz w:val="24"/>
          <w:szCs w:val="24"/>
          <w:lang w:eastAsia="zh-CN"/>
        </w:rPr>
        <w:t>- eller sikkerheds</w:t>
      </w:r>
      <w:r w:rsidRPr="009619AC">
        <w:rPr>
          <w:rFonts w:eastAsia="SimSun"/>
          <w:sz w:val="24"/>
          <w:szCs w:val="24"/>
          <w:lang w:eastAsia="zh-CN"/>
        </w:rPr>
        <w:t>data fra kontrollerede studier</w:t>
      </w:r>
      <w:r>
        <w:rPr>
          <w:rFonts w:eastAsia="SimSun"/>
          <w:sz w:val="24"/>
          <w:szCs w:val="24"/>
          <w:lang w:eastAsia="zh-CN"/>
        </w:rPr>
        <w:t xml:space="preserve"> hos børn i alderen under 3 år</w:t>
      </w:r>
      <w:r w:rsidRPr="009619AC">
        <w:rPr>
          <w:rFonts w:eastAsia="SimSun"/>
          <w:sz w:val="24"/>
          <w:szCs w:val="24"/>
          <w:lang w:eastAsia="zh-CN"/>
        </w:rPr>
        <w:t xml:space="preserve">, men </w:t>
      </w:r>
      <w:proofErr w:type="spellStart"/>
      <w:r w:rsidRPr="009619AC">
        <w:rPr>
          <w:rFonts w:eastAsia="SimSun"/>
          <w:sz w:val="24"/>
          <w:szCs w:val="24"/>
          <w:lang w:eastAsia="zh-CN"/>
        </w:rPr>
        <w:t>isofluran</w:t>
      </w:r>
      <w:proofErr w:type="spellEnd"/>
      <w:r w:rsidRPr="009619AC">
        <w:rPr>
          <w:rFonts w:eastAsia="SimSun"/>
          <w:sz w:val="24"/>
          <w:szCs w:val="24"/>
          <w:lang w:eastAsia="zh-CN"/>
        </w:rPr>
        <w:t xml:space="preserve"> er blevet brugt som </w:t>
      </w:r>
      <w:proofErr w:type="spellStart"/>
      <w:r w:rsidRPr="009619AC">
        <w:rPr>
          <w:rFonts w:eastAsia="SimSun"/>
          <w:sz w:val="24"/>
          <w:szCs w:val="24"/>
          <w:lang w:eastAsia="zh-CN"/>
        </w:rPr>
        <w:t>sedativum</w:t>
      </w:r>
      <w:proofErr w:type="spellEnd"/>
      <w:r w:rsidRPr="009619AC">
        <w:rPr>
          <w:rFonts w:eastAsia="SimSun"/>
          <w:sz w:val="24"/>
          <w:szCs w:val="24"/>
          <w:lang w:eastAsia="zh-CN"/>
        </w:rPr>
        <w:t xml:space="preserve"> hos børn. Erfaring fra adskillige mindre studier har rapporteret sedationsdoser, der er tilsvarende dem i studier hos voksne, på mellem 0,3 og 0,9 %</w:t>
      </w:r>
      <w:r w:rsidRPr="009619AC">
        <w:rPr>
          <w:sz w:val="24"/>
          <w:szCs w:val="24"/>
        </w:rPr>
        <w:t xml:space="preserve"> </w:t>
      </w:r>
      <w:r w:rsidRPr="009619AC">
        <w:rPr>
          <w:rFonts w:eastAsia="SimSun"/>
          <w:sz w:val="24"/>
          <w:szCs w:val="24"/>
          <w:lang w:eastAsia="zh-CN"/>
        </w:rPr>
        <w:t>slut-</w:t>
      </w:r>
      <w:proofErr w:type="spellStart"/>
      <w:r w:rsidRPr="009619AC">
        <w:rPr>
          <w:rFonts w:eastAsia="SimSun"/>
          <w:sz w:val="24"/>
          <w:szCs w:val="24"/>
          <w:lang w:eastAsia="zh-CN"/>
        </w:rPr>
        <w:t>tidal</w:t>
      </w:r>
      <w:proofErr w:type="spellEnd"/>
      <w:r>
        <w:rPr>
          <w:rFonts w:eastAsia="SimSun"/>
          <w:sz w:val="24"/>
          <w:szCs w:val="24"/>
          <w:lang w:eastAsia="zh-CN"/>
        </w:rPr>
        <w:t>-</w:t>
      </w:r>
      <w:r w:rsidRPr="009619AC">
        <w:rPr>
          <w:rFonts w:eastAsia="SimSun"/>
          <w:sz w:val="24"/>
          <w:szCs w:val="24"/>
          <w:lang w:eastAsia="zh-CN"/>
        </w:rPr>
        <w:t xml:space="preserve">koncentration af </w:t>
      </w:r>
      <w:proofErr w:type="spellStart"/>
      <w:r w:rsidRPr="009619AC">
        <w:rPr>
          <w:rFonts w:eastAsia="SimSun"/>
          <w:sz w:val="24"/>
          <w:szCs w:val="24"/>
          <w:lang w:eastAsia="zh-CN"/>
        </w:rPr>
        <w:t>isofluran</w:t>
      </w:r>
      <w:proofErr w:type="spellEnd"/>
      <w:r w:rsidRPr="009619AC">
        <w:rPr>
          <w:rFonts w:eastAsia="SimSun"/>
          <w:sz w:val="24"/>
          <w:szCs w:val="24"/>
          <w:lang w:eastAsia="zh-CN"/>
        </w:rPr>
        <w:t>.</w:t>
      </w:r>
    </w:p>
    <w:p w:rsidR="00D37883" w:rsidRPr="009619AC" w:rsidRDefault="00D37883" w:rsidP="00D37883">
      <w:pPr>
        <w:ind w:left="851"/>
        <w:outlineLvl w:val="0"/>
        <w:rPr>
          <w:rFonts w:eastAsia="SimSun"/>
          <w:sz w:val="24"/>
          <w:szCs w:val="24"/>
        </w:rPr>
      </w:pPr>
    </w:p>
    <w:p w:rsidR="00D37883" w:rsidRPr="009619AC" w:rsidRDefault="00D37883" w:rsidP="00D37883">
      <w:pPr>
        <w:ind w:left="851"/>
        <w:outlineLvl w:val="0"/>
        <w:rPr>
          <w:rFonts w:eastAsia="SimSun"/>
          <w:sz w:val="24"/>
          <w:szCs w:val="24"/>
        </w:rPr>
      </w:pPr>
      <w:r w:rsidRPr="009619AC">
        <w:rPr>
          <w:rFonts w:eastAsia="SimSun"/>
          <w:sz w:val="24"/>
          <w:szCs w:val="24"/>
        </w:rPr>
        <w:t xml:space="preserve">Der er blevet observeret reversibel neurologisk dysfunktion hos børn i flere studier, primært </w:t>
      </w:r>
      <w:r>
        <w:rPr>
          <w:rFonts w:eastAsia="SimSun"/>
          <w:sz w:val="24"/>
          <w:szCs w:val="24"/>
        </w:rPr>
        <w:t xml:space="preserve">hos meget små børn, </w:t>
      </w:r>
      <w:r w:rsidRPr="009619AC">
        <w:rPr>
          <w:rFonts w:eastAsia="SimSun"/>
          <w:sz w:val="24"/>
          <w:szCs w:val="24"/>
        </w:rPr>
        <w:t xml:space="preserve">ved sedation med </w:t>
      </w:r>
      <w:proofErr w:type="spellStart"/>
      <w:r w:rsidRPr="009619AC">
        <w:rPr>
          <w:rFonts w:eastAsia="SimSun"/>
          <w:sz w:val="24"/>
          <w:szCs w:val="24"/>
        </w:rPr>
        <w:t>isofluran</w:t>
      </w:r>
      <w:proofErr w:type="spellEnd"/>
      <w:r w:rsidRPr="009619AC">
        <w:rPr>
          <w:rFonts w:eastAsia="SimSun"/>
          <w:sz w:val="24"/>
          <w:szCs w:val="24"/>
        </w:rPr>
        <w:t xml:space="preserve"> i</w:t>
      </w:r>
      <w:r>
        <w:rPr>
          <w:rFonts w:eastAsia="SimSun"/>
          <w:sz w:val="24"/>
          <w:szCs w:val="24"/>
        </w:rPr>
        <w:t xml:space="preserve"> </w:t>
      </w:r>
      <w:r w:rsidRPr="009619AC">
        <w:rPr>
          <w:rFonts w:eastAsia="SimSun"/>
          <w:sz w:val="24"/>
          <w:szCs w:val="24"/>
        </w:rPr>
        <w:t xml:space="preserve">mere end 24 timer. Der blev generelt ikke set neurologisk dysfunktion ved sedation med </w:t>
      </w:r>
      <w:proofErr w:type="spellStart"/>
      <w:r w:rsidRPr="009619AC">
        <w:rPr>
          <w:rFonts w:eastAsia="SimSun"/>
          <w:sz w:val="24"/>
          <w:szCs w:val="24"/>
        </w:rPr>
        <w:t>isofluran</w:t>
      </w:r>
      <w:proofErr w:type="spellEnd"/>
      <w:r w:rsidRPr="009619AC">
        <w:rPr>
          <w:rFonts w:eastAsia="SimSun"/>
          <w:sz w:val="24"/>
          <w:szCs w:val="24"/>
        </w:rPr>
        <w:t xml:space="preserve"> i 12 timer eller derunder. De rapporterede neurologiske symptomer var </w:t>
      </w:r>
      <w:proofErr w:type="spellStart"/>
      <w:r w:rsidRPr="009619AC">
        <w:rPr>
          <w:rFonts w:eastAsia="SimSun"/>
          <w:sz w:val="24"/>
          <w:szCs w:val="24"/>
        </w:rPr>
        <w:t>ataksi</w:t>
      </w:r>
      <w:proofErr w:type="spellEnd"/>
      <w:r w:rsidRPr="009619AC">
        <w:rPr>
          <w:rFonts w:eastAsia="SimSun"/>
          <w:sz w:val="24"/>
          <w:szCs w:val="24"/>
        </w:rPr>
        <w:t>, agitation, ikke-målbevidste bevægelser, hallucinationer og forvirring, der varede i op til 72 timer.</w:t>
      </w:r>
    </w:p>
    <w:p w:rsidR="00D37883" w:rsidRPr="009619AC" w:rsidRDefault="00D37883" w:rsidP="00D37883">
      <w:pPr>
        <w:ind w:left="851"/>
        <w:outlineLvl w:val="0"/>
        <w:rPr>
          <w:rFonts w:eastAsia="SimSun"/>
          <w:sz w:val="24"/>
          <w:szCs w:val="24"/>
        </w:rPr>
      </w:pPr>
    </w:p>
    <w:p w:rsidR="00D37883" w:rsidRPr="00843FF8" w:rsidRDefault="00D37883" w:rsidP="00D37883">
      <w:pPr>
        <w:ind w:left="851"/>
        <w:outlineLvl w:val="0"/>
        <w:rPr>
          <w:rFonts w:eastAsia="SimSun"/>
          <w:sz w:val="24"/>
          <w:szCs w:val="24"/>
          <w:lang w:eastAsia="zh-CN"/>
        </w:rPr>
      </w:pPr>
      <w:r w:rsidRPr="009619AC">
        <w:rPr>
          <w:rFonts w:eastAsia="SimSun"/>
          <w:sz w:val="24"/>
          <w:szCs w:val="24"/>
          <w:lang w:eastAsia="zh-CN"/>
        </w:rPr>
        <w:t xml:space="preserve">Se pkt. 4.2 for </w:t>
      </w:r>
      <w:r w:rsidRPr="009619AC">
        <w:rPr>
          <w:sz w:val="24"/>
          <w:szCs w:val="24"/>
        </w:rPr>
        <w:t>oplysninger</w:t>
      </w:r>
      <w:r w:rsidRPr="009619AC">
        <w:rPr>
          <w:rFonts w:eastAsia="SimSun"/>
          <w:sz w:val="24"/>
          <w:szCs w:val="24"/>
          <w:lang w:eastAsia="zh-CN"/>
        </w:rPr>
        <w:t xml:space="preserve"> om pædiatrisk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53E95" w:rsidRDefault="00453E95" w:rsidP="00453E95">
      <w:pPr>
        <w:ind w:left="851"/>
        <w:rPr>
          <w:sz w:val="24"/>
          <w:szCs w:val="24"/>
          <w:u w:val="single"/>
        </w:rPr>
      </w:pPr>
    </w:p>
    <w:p w:rsidR="00453E95" w:rsidRPr="00453E95" w:rsidRDefault="00453E95" w:rsidP="00453E95">
      <w:pPr>
        <w:ind w:left="851"/>
        <w:rPr>
          <w:sz w:val="24"/>
          <w:szCs w:val="24"/>
          <w:u w:val="single"/>
        </w:rPr>
      </w:pPr>
      <w:r w:rsidRPr="00453E95">
        <w:rPr>
          <w:sz w:val="24"/>
          <w:szCs w:val="24"/>
          <w:u w:val="single"/>
        </w:rPr>
        <w:t>Absorption</w:t>
      </w:r>
    </w:p>
    <w:p w:rsidR="00453E95" w:rsidRPr="00453E95" w:rsidRDefault="00453E95" w:rsidP="00453E95">
      <w:pPr>
        <w:ind w:left="851"/>
        <w:rPr>
          <w:sz w:val="24"/>
          <w:szCs w:val="24"/>
        </w:rPr>
      </w:pPr>
      <w:r w:rsidRPr="00453E95">
        <w:rPr>
          <w:sz w:val="24"/>
          <w:szCs w:val="24"/>
        </w:rPr>
        <w:t xml:space="preserve">Generelt afhænger optagelsen af flygtige </w:t>
      </w:r>
      <w:proofErr w:type="spellStart"/>
      <w:r w:rsidRPr="00453E95">
        <w:rPr>
          <w:sz w:val="24"/>
          <w:szCs w:val="24"/>
        </w:rPr>
        <w:t>anæstetika</w:t>
      </w:r>
      <w:proofErr w:type="spellEnd"/>
      <w:r w:rsidRPr="00453E95">
        <w:rPr>
          <w:sz w:val="24"/>
          <w:szCs w:val="24"/>
        </w:rPr>
        <w:t xml:space="preserve"> af deres opløselighed, patientens hjerte minutvolumen og det alveolære-til-venøse </w:t>
      </w:r>
      <w:proofErr w:type="spellStart"/>
      <w:r w:rsidRPr="00453E95">
        <w:rPr>
          <w:sz w:val="24"/>
          <w:szCs w:val="24"/>
        </w:rPr>
        <w:t>partialtryk</w:t>
      </w:r>
      <w:proofErr w:type="spellEnd"/>
      <w:r w:rsidRPr="00453E95">
        <w:rPr>
          <w:sz w:val="24"/>
          <w:szCs w:val="24"/>
        </w:rPr>
        <w:t xml:space="preserve">. Den alveolære optagelse sker hurtigt efter inhalation af </w:t>
      </w:r>
      <w:proofErr w:type="spellStart"/>
      <w:r w:rsidRPr="00453E95">
        <w:rPr>
          <w:sz w:val="24"/>
          <w:szCs w:val="24"/>
        </w:rPr>
        <w:t>isofluran</w:t>
      </w:r>
      <w:proofErr w:type="spellEnd"/>
      <w:r w:rsidRPr="00453E95">
        <w:rPr>
          <w:sz w:val="24"/>
          <w:szCs w:val="24"/>
        </w:rPr>
        <w:t>.</w:t>
      </w:r>
    </w:p>
    <w:p w:rsidR="00453E95" w:rsidRPr="00453E95" w:rsidRDefault="00453E95" w:rsidP="00453E95">
      <w:pPr>
        <w:ind w:left="851"/>
        <w:rPr>
          <w:sz w:val="24"/>
          <w:szCs w:val="24"/>
        </w:rPr>
      </w:pPr>
    </w:p>
    <w:p w:rsidR="00453E95" w:rsidRPr="00453E95" w:rsidRDefault="00453E95" w:rsidP="00453E95">
      <w:pPr>
        <w:ind w:left="851"/>
        <w:rPr>
          <w:sz w:val="24"/>
          <w:szCs w:val="24"/>
          <w:u w:val="single"/>
        </w:rPr>
      </w:pPr>
      <w:r w:rsidRPr="00453E95">
        <w:rPr>
          <w:sz w:val="24"/>
          <w:szCs w:val="24"/>
          <w:u w:val="single"/>
        </w:rPr>
        <w:t>Fordeling</w:t>
      </w:r>
    </w:p>
    <w:p w:rsidR="00453E95" w:rsidRPr="00453E95" w:rsidRDefault="00453E95" w:rsidP="00453E95">
      <w:pPr>
        <w:ind w:left="851"/>
        <w:rPr>
          <w:sz w:val="24"/>
          <w:szCs w:val="24"/>
        </w:rPr>
      </w:pPr>
      <w:proofErr w:type="spellStart"/>
      <w:r w:rsidRPr="00453E95">
        <w:rPr>
          <w:sz w:val="24"/>
          <w:szCs w:val="24"/>
        </w:rPr>
        <w:t>Isofluran</w:t>
      </w:r>
      <w:proofErr w:type="spellEnd"/>
      <w:r w:rsidRPr="00453E95">
        <w:rPr>
          <w:sz w:val="24"/>
          <w:szCs w:val="24"/>
        </w:rPr>
        <w:t xml:space="preserve"> er stærkt </w:t>
      </w:r>
      <w:proofErr w:type="spellStart"/>
      <w:r w:rsidRPr="00453E95">
        <w:rPr>
          <w:sz w:val="24"/>
          <w:szCs w:val="24"/>
        </w:rPr>
        <w:t>lipofil</w:t>
      </w:r>
      <w:proofErr w:type="spellEnd"/>
      <w:r w:rsidRPr="00453E95">
        <w:rPr>
          <w:sz w:val="24"/>
          <w:szCs w:val="24"/>
        </w:rPr>
        <w:t xml:space="preserve"> og krydser hurtigt biologiske membraner. Blod/gas-koefficienten er 1,4 og hjerne/blod-koefficienten er 1,6. Efter hurtig alveolær optagelse ved inhalation, når </w:t>
      </w:r>
      <w:proofErr w:type="spellStart"/>
      <w:r w:rsidRPr="00453E95">
        <w:rPr>
          <w:sz w:val="24"/>
          <w:szCs w:val="24"/>
        </w:rPr>
        <w:t>blodbåren</w:t>
      </w:r>
      <w:proofErr w:type="spellEnd"/>
      <w:r w:rsidRPr="00453E95">
        <w:rPr>
          <w:sz w:val="24"/>
          <w:szCs w:val="24"/>
        </w:rPr>
        <w:t xml:space="preserve"> </w:t>
      </w:r>
      <w:proofErr w:type="spellStart"/>
      <w:r w:rsidRPr="00453E95">
        <w:rPr>
          <w:sz w:val="24"/>
          <w:szCs w:val="24"/>
        </w:rPr>
        <w:t>isofluran</w:t>
      </w:r>
      <w:proofErr w:type="spellEnd"/>
      <w:r w:rsidRPr="00453E95">
        <w:rPr>
          <w:sz w:val="24"/>
          <w:szCs w:val="24"/>
        </w:rPr>
        <w:t xml:space="preserve"> adskillige organer, hvor hjernen er det vigtigste målorgan.</w:t>
      </w:r>
    </w:p>
    <w:p w:rsidR="00453E95" w:rsidRPr="00453E95" w:rsidRDefault="00453E95" w:rsidP="00453E95">
      <w:pPr>
        <w:ind w:left="851"/>
        <w:rPr>
          <w:sz w:val="24"/>
          <w:szCs w:val="24"/>
        </w:rPr>
      </w:pPr>
    </w:p>
    <w:p w:rsidR="00453E95" w:rsidRPr="00453E95" w:rsidRDefault="00453E95" w:rsidP="00453E95">
      <w:pPr>
        <w:ind w:left="851"/>
        <w:rPr>
          <w:sz w:val="24"/>
          <w:szCs w:val="24"/>
          <w:u w:val="single"/>
        </w:rPr>
      </w:pPr>
      <w:r w:rsidRPr="00453E95">
        <w:rPr>
          <w:sz w:val="24"/>
          <w:szCs w:val="24"/>
          <w:u w:val="single"/>
        </w:rPr>
        <w:t>Biotransformation</w:t>
      </w:r>
    </w:p>
    <w:p w:rsidR="00453E95" w:rsidRPr="00453E95" w:rsidRDefault="00453E95" w:rsidP="00453E95">
      <w:pPr>
        <w:ind w:left="851"/>
        <w:rPr>
          <w:sz w:val="24"/>
          <w:szCs w:val="24"/>
        </w:rPr>
      </w:pPr>
      <w:proofErr w:type="spellStart"/>
      <w:r w:rsidRPr="00453E95">
        <w:rPr>
          <w:sz w:val="24"/>
          <w:szCs w:val="24"/>
        </w:rPr>
        <w:t>Isofluran</w:t>
      </w:r>
      <w:proofErr w:type="spellEnd"/>
      <w:r w:rsidRPr="00453E95">
        <w:rPr>
          <w:sz w:val="24"/>
          <w:szCs w:val="24"/>
        </w:rPr>
        <w:t xml:space="preserve"> undergår minimal biotransformation hos mennesker. Mindre end 0,2 % af det absorberede </w:t>
      </w:r>
      <w:proofErr w:type="spellStart"/>
      <w:r w:rsidRPr="00453E95">
        <w:rPr>
          <w:sz w:val="24"/>
          <w:szCs w:val="24"/>
        </w:rPr>
        <w:t>isofluran</w:t>
      </w:r>
      <w:proofErr w:type="spellEnd"/>
      <w:r w:rsidRPr="00453E95">
        <w:rPr>
          <w:sz w:val="24"/>
          <w:szCs w:val="24"/>
        </w:rPr>
        <w:t xml:space="preserve"> genfindes som inaktive metabolitter i urinen. Metabolismen er medieret af CYP2E1 og begynder med oxidation, hvilket fører til dannelse af </w:t>
      </w:r>
      <w:proofErr w:type="spellStart"/>
      <w:r w:rsidRPr="00453E95">
        <w:rPr>
          <w:sz w:val="24"/>
          <w:szCs w:val="24"/>
        </w:rPr>
        <w:t>trifluoreddikesyre</w:t>
      </w:r>
      <w:proofErr w:type="spellEnd"/>
      <w:r w:rsidRPr="00453E95">
        <w:rPr>
          <w:sz w:val="24"/>
          <w:szCs w:val="24"/>
        </w:rPr>
        <w:t xml:space="preserve"> (TFA) og </w:t>
      </w:r>
      <w:proofErr w:type="spellStart"/>
      <w:r w:rsidRPr="00453E95">
        <w:rPr>
          <w:sz w:val="24"/>
          <w:szCs w:val="24"/>
        </w:rPr>
        <w:t>difluormethanol</w:t>
      </w:r>
      <w:proofErr w:type="spellEnd"/>
      <w:r w:rsidRPr="00453E95">
        <w:rPr>
          <w:sz w:val="24"/>
          <w:szCs w:val="24"/>
        </w:rPr>
        <w:t xml:space="preserve">. </w:t>
      </w:r>
      <w:proofErr w:type="spellStart"/>
      <w:r w:rsidRPr="00453E95">
        <w:rPr>
          <w:sz w:val="24"/>
          <w:szCs w:val="24"/>
        </w:rPr>
        <w:t>Diflouormethanol</w:t>
      </w:r>
      <w:proofErr w:type="spellEnd"/>
      <w:r w:rsidRPr="00453E95">
        <w:rPr>
          <w:sz w:val="24"/>
          <w:szCs w:val="24"/>
        </w:rPr>
        <w:t xml:space="preserve"> </w:t>
      </w:r>
      <w:proofErr w:type="spellStart"/>
      <w:r w:rsidRPr="00453E95">
        <w:rPr>
          <w:sz w:val="24"/>
          <w:szCs w:val="24"/>
        </w:rPr>
        <w:t>metaboliseres</w:t>
      </w:r>
      <w:proofErr w:type="spellEnd"/>
      <w:r w:rsidRPr="00453E95">
        <w:rPr>
          <w:sz w:val="24"/>
          <w:szCs w:val="24"/>
        </w:rPr>
        <w:t xml:space="preserve"> yderligere til fluorid-ioner. Det gennemsnitlige niveau af uorganisk serumfluorid hos patienter, der får </w:t>
      </w:r>
      <w:proofErr w:type="spellStart"/>
      <w:r w:rsidRPr="00453E95">
        <w:rPr>
          <w:sz w:val="24"/>
          <w:szCs w:val="24"/>
        </w:rPr>
        <w:t>isofluran</w:t>
      </w:r>
      <w:proofErr w:type="spellEnd"/>
      <w:r w:rsidRPr="00453E95">
        <w:rPr>
          <w:sz w:val="24"/>
          <w:szCs w:val="24"/>
        </w:rPr>
        <w:t xml:space="preserve"> til sedation i op til 48 timer, er mellem 20 og 25 mikromol/l. Der er ikke rapporteret om tegn på nyreskade efter administration af </w:t>
      </w:r>
      <w:proofErr w:type="spellStart"/>
      <w:r w:rsidRPr="00453E95">
        <w:rPr>
          <w:sz w:val="24"/>
          <w:szCs w:val="24"/>
        </w:rPr>
        <w:t>isofluran</w:t>
      </w:r>
      <w:proofErr w:type="spellEnd"/>
      <w:r w:rsidRPr="00453E95">
        <w:rPr>
          <w:sz w:val="24"/>
          <w:szCs w:val="24"/>
        </w:rPr>
        <w:t>.</w:t>
      </w:r>
    </w:p>
    <w:p w:rsidR="00453E95" w:rsidRDefault="00453E95" w:rsidP="00453E95">
      <w:pPr>
        <w:ind w:left="851"/>
        <w:rPr>
          <w:sz w:val="24"/>
          <w:szCs w:val="24"/>
        </w:rPr>
      </w:pPr>
    </w:p>
    <w:p w:rsidR="00D37883" w:rsidRDefault="00D37883" w:rsidP="00453E95">
      <w:pPr>
        <w:ind w:left="851"/>
        <w:rPr>
          <w:sz w:val="24"/>
          <w:szCs w:val="24"/>
        </w:rPr>
      </w:pPr>
    </w:p>
    <w:p w:rsidR="00D37883" w:rsidRPr="00453E95" w:rsidRDefault="00D37883" w:rsidP="00453E95">
      <w:pPr>
        <w:ind w:left="851"/>
        <w:rPr>
          <w:sz w:val="24"/>
          <w:szCs w:val="24"/>
        </w:rPr>
      </w:pPr>
    </w:p>
    <w:p w:rsidR="00453E95" w:rsidRPr="00453E95" w:rsidRDefault="00453E95" w:rsidP="00453E95">
      <w:pPr>
        <w:ind w:left="851"/>
        <w:rPr>
          <w:sz w:val="24"/>
          <w:szCs w:val="24"/>
          <w:u w:val="single"/>
        </w:rPr>
      </w:pPr>
      <w:r w:rsidRPr="00453E95">
        <w:rPr>
          <w:sz w:val="24"/>
          <w:szCs w:val="24"/>
          <w:u w:val="single"/>
        </w:rPr>
        <w:lastRenderedPageBreak/>
        <w:t>Elimination</w:t>
      </w:r>
    </w:p>
    <w:p w:rsidR="00453E95" w:rsidRPr="00453E95" w:rsidRDefault="00453E95" w:rsidP="00453E95">
      <w:pPr>
        <w:ind w:left="851"/>
        <w:rPr>
          <w:sz w:val="24"/>
          <w:szCs w:val="24"/>
        </w:rPr>
      </w:pPr>
      <w:r w:rsidRPr="00453E95">
        <w:rPr>
          <w:sz w:val="24"/>
          <w:szCs w:val="24"/>
        </w:rPr>
        <w:t xml:space="preserve">Eliminationen af </w:t>
      </w:r>
      <w:proofErr w:type="spellStart"/>
      <w:r w:rsidRPr="00453E95">
        <w:rPr>
          <w:sz w:val="24"/>
          <w:szCs w:val="24"/>
        </w:rPr>
        <w:t>isofluran</w:t>
      </w:r>
      <w:proofErr w:type="spellEnd"/>
      <w:r w:rsidRPr="00453E95">
        <w:rPr>
          <w:sz w:val="24"/>
          <w:szCs w:val="24"/>
        </w:rPr>
        <w:t xml:space="preserve"> sker næsten udelukkende i uændret form via luftvejene. I gennemsnit elimineres 95 % af </w:t>
      </w:r>
      <w:proofErr w:type="spellStart"/>
      <w:r w:rsidRPr="00453E95">
        <w:rPr>
          <w:sz w:val="24"/>
          <w:szCs w:val="24"/>
        </w:rPr>
        <w:t>isofluran</w:t>
      </w:r>
      <w:proofErr w:type="spellEnd"/>
      <w:r w:rsidRPr="00453E95">
        <w:rPr>
          <w:sz w:val="24"/>
          <w:szCs w:val="24"/>
        </w:rPr>
        <w:t xml:space="preserve"> på denne måde.</w:t>
      </w:r>
    </w:p>
    <w:p w:rsidR="00453E95" w:rsidRPr="00453E95" w:rsidRDefault="00453E95" w:rsidP="00453E95">
      <w:pPr>
        <w:ind w:left="851"/>
        <w:rPr>
          <w:sz w:val="24"/>
          <w:szCs w:val="24"/>
        </w:rPr>
      </w:pPr>
    </w:p>
    <w:p w:rsidR="00453E95" w:rsidRPr="00453E95" w:rsidRDefault="00453E95" w:rsidP="00453E95">
      <w:pPr>
        <w:ind w:left="851"/>
        <w:rPr>
          <w:sz w:val="24"/>
          <w:szCs w:val="24"/>
          <w:u w:val="single"/>
        </w:rPr>
      </w:pPr>
      <w:r w:rsidRPr="00453E95">
        <w:rPr>
          <w:sz w:val="24"/>
          <w:szCs w:val="24"/>
          <w:u w:val="single"/>
        </w:rPr>
        <w:t>Nedsat nyrefunktion</w:t>
      </w:r>
    </w:p>
    <w:p w:rsidR="00453E95" w:rsidRPr="00453E95" w:rsidRDefault="00453E95" w:rsidP="00453E95">
      <w:pPr>
        <w:ind w:left="851"/>
        <w:rPr>
          <w:sz w:val="24"/>
          <w:szCs w:val="24"/>
        </w:rPr>
      </w:pPr>
      <w:r w:rsidRPr="00453E95">
        <w:rPr>
          <w:sz w:val="24"/>
          <w:szCs w:val="24"/>
        </w:rPr>
        <w:t xml:space="preserve">Der er ikke udført </w:t>
      </w:r>
      <w:proofErr w:type="spellStart"/>
      <w:r w:rsidRPr="00453E95">
        <w:rPr>
          <w:sz w:val="24"/>
          <w:szCs w:val="24"/>
        </w:rPr>
        <w:t>farmakokinetiske</w:t>
      </w:r>
      <w:proofErr w:type="spellEnd"/>
      <w:r w:rsidRPr="00453E95">
        <w:rPr>
          <w:sz w:val="24"/>
          <w:szCs w:val="24"/>
        </w:rPr>
        <w:t xml:space="preserve"> studier hos patienter med nedsat nyrefunktion. Da udskillelse af </w:t>
      </w:r>
      <w:proofErr w:type="spellStart"/>
      <w:r w:rsidRPr="00453E95">
        <w:rPr>
          <w:sz w:val="24"/>
          <w:szCs w:val="24"/>
        </w:rPr>
        <w:t>isofluran</w:t>
      </w:r>
      <w:proofErr w:type="spellEnd"/>
      <w:r w:rsidRPr="00453E95">
        <w:rPr>
          <w:sz w:val="24"/>
          <w:szCs w:val="24"/>
        </w:rPr>
        <w:t xml:space="preserve"> via nyrerne er minimal, forventes der imidlertid ingen påvirkning af </w:t>
      </w:r>
      <w:proofErr w:type="spellStart"/>
      <w:r w:rsidRPr="00453E95">
        <w:rPr>
          <w:sz w:val="24"/>
          <w:szCs w:val="24"/>
        </w:rPr>
        <w:t>isofluran</w:t>
      </w:r>
      <w:proofErr w:type="spellEnd"/>
      <w:r w:rsidRPr="00453E95">
        <w:rPr>
          <w:sz w:val="24"/>
          <w:szCs w:val="24"/>
        </w:rPr>
        <w:t>-eksponering hos patienter med nedsat nyrefunktion (se pkt. 4.2).</w:t>
      </w:r>
    </w:p>
    <w:p w:rsidR="00453E95" w:rsidRPr="00453E95" w:rsidRDefault="00453E95" w:rsidP="00453E95">
      <w:pPr>
        <w:ind w:left="851"/>
        <w:rPr>
          <w:sz w:val="24"/>
          <w:szCs w:val="24"/>
        </w:rPr>
      </w:pPr>
    </w:p>
    <w:p w:rsidR="00453E95" w:rsidRPr="00453E95" w:rsidRDefault="00453E95" w:rsidP="00453E95">
      <w:pPr>
        <w:ind w:left="851"/>
        <w:rPr>
          <w:sz w:val="24"/>
          <w:szCs w:val="24"/>
          <w:u w:val="single"/>
        </w:rPr>
      </w:pPr>
      <w:r w:rsidRPr="00453E95">
        <w:rPr>
          <w:sz w:val="24"/>
          <w:szCs w:val="24"/>
          <w:u w:val="single"/>
        </w:rPr>
        <w:t>Nedsat leverfunktion</w:t>
      </w:r>
    </w:p>
    <w:p w:rsidR="00453E95" w:rsidRPr="00453E95" w:rsidRDefault="00453E95" w:rsidP="00453E95">
      <w:pPr>
        <w:ind w:left="851"/>
        <w:rPr>
          <w:sz w:val="24"/>
          <w:szCs w:val="24"/>
        </w:rPr>
      </w:pPr>
      <w:r w:rsidRPr="00453E95">
        <w:rPr>
          <w:sz w:val="24"/>
          <w:szCs w:val="24"/>
        </w:rPr>
        <w:t xml:space="preserve">Der er ikke udført </w:t>
      </w:r>
      <w:proofErr w:type="spellStart"/>
      <w:r w:rsidRPr="00453E95">
        <w:rPr>
          <w:sz w:val="24"/>
          <w:szCs w:val="24"/>
        </w:rPr>
        <w:t>farmakokinetiske</w:t>
      </w:r>
      <w:proofErr w:type="spellEnd"/>
      <w:r w:rsidRPr="00453E95">
        <w:rPr>
          <w:sz w:val="24"/>
          <w:szCs w:val="24"/>
        </w:rPr>
        <w:t xml:space="preserve"> studier hos patienter med nedsat leverfunktion. Da metabolismen af </w:t>
      </w:r>
      <w:proofErr w:type="spellStart"/>
      <w:r w:rsidRPr="00453E95">
        <w:rPr>
          <w:sz w:val="24"/>
          <w:szCs w:val="24"/>
        </w:rPr>
        <w:t>isofluran</w:t>
      </w:r>
      <w:proofErr w:type="spellEnd"/>
      <w:r w:rsidRPr="00453E95">
        <w:rPr>
          <w:sz w:val="24"/>
          <w:szCs w:val="24"/>
        </w:rPr>
        <w:t xml:space="preserve"> er minimal, forventes der imidlertid ingen påvirkning af </w:t>
      </w:r>
      <w:proofErr w:type="spellStart"/>
      <w:r w:rsidRPr="00453E95">
        <w:rPr>
          <w:sz w:val="24"/>
          <w:szCs w:val="24"/>
        </w:rPr>
        <w:t>isofluran</w:t>
      </w:r>
      <w:proofErr w:type="spellEnd"/>
      <w:r w:rsidRPr="00453E95">
        <w:rPr>
          <w:sz w:val="24"/>
          <w:szCs w:val="24"/>
        </w:rPr>
        <w:t>-eksponering hos patienter med nedsat leverfunktion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3D3FCB">
        <w:rPr>
          <w:b/>
          <w:sz w:val="24"/>
          <w:szCs w:val="24"/>
        </w:rPr>
        <w:t>Non-</w:t>
      </w:r>
      <w:r w:rsidRPr="00C84483">
        <w:rPr>
          <w:b/>
          <w:sz w:val="24"/>
          <w:szCs w:val="24"/>
        </w:rPr>
        <w:t>kliniske sikkerhedsdata</w:t>
      </w:r>
    </w:p>
    <w:p w:rsidR="00223269" w:rsidRPr="00223269" w:rsidRDefault="00223269" w:rsidP="00223269">
      <w:pPr>
        <w:numPr>
          <w:ilvl w:val="12"/>
          <w:numId w:val="0"/>
        </w:numPr>
        <w:ind w:left="851" w:right="11"/>
        <w:rPr>
          <w:sz w:val="24"/>
          <w:szCs w:val="24"/>
        </w:rPr>
      </w:pPr>
      <w:r w:rsidRPr="00223269">
        <w:rPr>
          <w:sz w:val="24"/>
          <w:szCs w:val="24"/>
        </w:rPr>
        <w:t xml:space="preserve">Publicerede dyrestudier (inklusive primater) ved doser, der resulterer i let til moderat anæstesi, viser, at brug af </w:t>
      </w:r>
      <w:proofErr w:type="spellStart"/>
      <w:r w:rsidRPr="00223269">
        <w:rPr>
          <w:sz w:val="24"/>
          <w:szCs w:val="24"/>
        </w:rPr>
        <w:t>anæstetika</w:t>
      </w:r>
      <w:proofErr w:type="spellEnd"/>
      <w:r w:rsidRPr="00223269">
        <w:rPr>
          <w:sz w:val="24"/>
          <w:szCs w:val="24"/>
        </w:rPr>
        <w:t xml:space="preserve"> i perioden med hurtig hjernevækst eller </w:t>
      </w:r>
      <w:proofErr w:type="spellStart"/>
      <w:r w:rsidRPr="00223269">
        <w:rPr>
          <w:sz w:val="24"/>
          <w:szCs w:val="24"/>
        </w:rPr>
        <w:t>synaptogenese</w:t>
      </w:r>
      <w:proofErr w:type="spellEnd"/>
      <w:r w:rsidRPr="00223269">
        <w:rPr>
          <w:sz w:val="24"/>
          <w:szCs w:val="24"/>
        </w:rPr>
        <w:t xml:space="preserve"> resulterer i celletab i den udviklende hjerne, der kan være forbundet med vedvarende kognitive defekter. Den kliniske betydning af disse non-kliniske fund er ikke kendt.</w:t>
      </w:r>
    </w:p>
    <w:p w:rsidR="00223269" w:rsidRPr="00223269" w:rsidRDefault="00223269" w:rsidP="00223269">
      <w:pPr>
        <w:numPr>
          <w:ilvl w:val="12"/>
          <w:numId w:val="0"/>
        </w:numPr>
        <w:ind w:left="851" w:right="11"/>
        <w:rPr>
          <w:sz w:val="24"/>
          <w:szCs w:val="24"/>
        </w:rPr>
      </w:pPr>
    </w:p>
    <w:p w:rsidR="009260DE" w:rsidRDefault="00223269" w:rsidP="00223269">
      <w:pPr>
        <w:numPr>
          <w:ilvl w:val="12"/>
          <w:numId w:val="0"/>
        </w:numPr>
        <w:ind w:left="851" w:right="11"/>
        <w:rPr>
          <w:sz w:val="24"/>
          <w:szCs w:val="24"/>
        </w:rPr>
      </w:pPr>
      <w:r w:rsidRPr="00223269">
        <w:rPr>
          <w:sz w:val="24"/>
          <w:szCs w:val="24"/>
        </w:rPr>
        <w:t xml:space="preserve">Virkningerne på fertilitet blev undersøgt hos han- og hunrotter, der blev udsat for anæstesi-koncentrationer af </w:t>
      </w:r>
      <w:proofErr w:type="spellStart"/>
      <w:r w:rsidRPr="00223269">
        <w:rPr>
          <w:sz w:val="24"/>
          <w:szCs w:val="24"/>
        </w:rPr>
        <w:t>isofluran</w:t>
      </w:r>
      <w:proofErr w:type="spellEnd"/>
      <w:r w:rsidRPr="00223269">
        <w:rPr>
          <w:sz w:val="24"/>
          <w:szCs w:val="24"/>
        </w:rPr>
        <w:t xml:space="preserve"> før parring. </w:t>
      </w:r>
      <w:proofErr w:type="spellStart"/>
      <w:r w:rsidRPr="00223269">
        <w:rPr>
          <w:sz w:val="24"/>
          <w:szCs w:val="24"/>
        </w:rPr>
        <w:t>Isofluran</w:t>
      </w:r>
      <w:proofErr w:type="spellEnd"/>
      <w:r w:rsidRPr="00223269">
        <w:rPr>
          <w:sz w:val="24"/>
          <w:szCs w:val="24"/>
        </w:rPr>
        <w:t xml:space="preserve"> havde ingen indvirkning på fertiliteten hos hverken hanner eller hunner. Studier i </w:t>
      </w:r>
      <w:proofErr w:type="spellStart"/>
      <w:r w:rsidRPr="00223269">
        <w:rPr>
          <w:sz w:val="24"/>
          <w:szCs w:val="24"/>
        </w:rPr>
        <w:t>hunmus</w:t>
      </w:r>
      <w:proofErr w:type="spellEnd"/>
      <w:r w:rsidRPr="00223269">
        <w:rPr>
          <w:sz w:val="24"/>
          <w:szCs w:val="24"/>
        </w:rPr>
        <w:t xml:space="preserve"> eksponeret for </w:t>
      </w:r>
      <w:proofErr w:type="spellStart"/>
      <w:r w:rsidRPr="00223269">
        <w:rPr>
          <w:sz w:val="24"/>
          <w:szCs w:val="24"/>
        </w:rPr>
        <w:t>isofluran</w:t>
      </w:r>
      <w:proofErr w:type="spellEnd"/>
      <w:r w:rsidRPr="00223269">
        <w:rPr>
          <w:sz w:val="24"/>
          <w:szCs w:val="24"/>
        </w:rPr>
        <w:t xml:space="preserve"> før og under drægtighed, og </w:t>
      </w:r>
      <w:proofErr w:type="spellStart"/>
      <w:r w:rsidRPr="00223269">
        <w:rPr>
          <w:sz w:val="24"/>
          <w:szCs w:val="24"/>
        </w:rPr>
        <w:t>hanmus</w:t>
      </w:r>
      <w:proofErr w:type="spellEnd"/>
      <w:r w:rsidRPr="00223269">
        <w:rPr>
          <w:sz w:val="24"/>
          <w:szCs w:val="24"/>
        </w:rPr>
        <w:t xml:space="preserve"> eksponeret for </w:t>
      </w:r>
      <w:proofErr w:type="spellStart"/>
      <w:r w:rsidRPr="00223269">
        <w:rPr>
          <w:sz w:val="24"/>
          <w:szCs w:val="24"/>
        </w:rPr>
        <w:t>isofluran</w:t>
      </w:r>
      <w:proofErr w:type="spellEnd"/>
      <w:r w:rsidRPr="00223269">
        <w:rPr>
          <w:sz w:val="24"/>
          <w:szCs w:val="24"/>
        </w:rPr>
        <w:t xml:space="preserve"> gennem </w:t>
      </w:r>
      <w:proofErr w:type="spellStart"/>
      <w:r w:rsidRPr="00223269">
        <w:rPr>
          <w:sz w:val="24"/>
          <w:szCs w:val="24"/>
        </w:rPr>
        <w:t>spermatogenese</w:t>
      </w:r>
      <w:proofErr w:type="spellEnd"/>
      <w:r w:rsidRPr="00223269">
        <w:rPr>
          <w:sz w:val="24"/>
          <w:szCs w:val="24"/>
        </w:rPr>
        <w:t xml:space="preserve"> og under parring, viste ingen negative virkninger på </w:t>
      </w:r>
      <w:proofErr w:type="spellStart"/>
      <w:r w:rsidRPr="00223269">
        <w:rPr>
          <w:sz w:val="24"/>
          <w:szCs w:val="24"/>
        </w:rPr>
        <w:t>reproduktiviteten</w:t>
      </w:r>
      <w:proofErr w:type="spellEnd"/>
      <w:r w:rsidRPr="00223269">
        <w:rPr>
          <w:sz w:val="24"/>
          <w:szCs w:val="24"/>
        </w:rPr>
        <w:t>.</w:t>
      </w:r>
    </w:p>
    <w:p w:rsidR="003D3FCB" w:rsidRDefault="003D3FCB" w:rsidP="00223269">
      <w:pPr>
        <w:numPr>
          <w:ilvl w:val="12"/>
          <w:numId w:val="0"/>
        </w:numPr>
        <w:ind w:left="851" w:right="11"/>
        <w:rPr>
          <w:sz w:val="24"/>
          <w:szCs w:val="24"/>
        </w:rPr>
      </w:pPr>
    </w:p>
    <w:p w:rsidR="003D3FCB" w:rsidRDefault="003D3FCB" w:rsidP="003D3FCB">
      <w:pPr>
        <w:tabs>
          <w:tab w:val="left" w:pos="851"/>
        </w:tabs>
        <w:ind w:left="851"/>
        <w:rPr>
          <w:sz w:val="24"/>
          <w:szCs w:val="24"/>
        </w:rPr>
      </w:pPr>
      <w:r w:rsidRPr="007D16A6">
        <w:rPr>
          <w:sz w:val="24"/>
          <w:szCs w:val="24"/>
        </w:rPr>
        <w:t xml:space="preserve">I </w:t>
      </w:r>
      <w:r>
        <w:rPr>
          <w:sz w:val="24"/>
          <w:szCs w:val="24"/>
        </w:rPr>
        <w:t>rottestudier</w:t>
      </w:r>
      <w:r w:rsidRPr="007D16A6">
        <w:rPr>
          <w:sz w:val="24"/>
          <w:szCs w:val="24"/>
        </w:rPr>
        <w:t xml:space="preserve"> med 48</w:t>
      </w:r>
      <w:r>
        <w:rPr>
          <w:sz w:val="24"/>
          <w:szCs w:val="24"/>
        </w:rPr>
        <w:t> </w:t>
      </w:r>
      <w:r w:rsidRPr="007D16A6">
        <w:rPr>
          <w:sz w:val="24"/>
          <w:szCs w:val="24"/>
        </w:rPr>
        <w:t xml:space="preserve">timers kontinuerlig </w:t>
      </w:r>
      <w:proofErr w:type="spellStart"/>
      <w:r w:rsidRPr="007D16A6">
        <w:rPr>
          <w:sz w:val="24"/>
          <w:szCs w:val="24"/>
        </w:rPr>
        <w:t>isofluran</w:t>
      </w:r>
      <w:proofErr w:type="spellEnd"/>
      <w:r>
        <w:rPr>
          <w:sz w:val="24"/>
          <w:szCs w:val="24"/>
        </w:rPr>
        <w:t>-</w:t>
      </w:r>
      <w:r w:rsidRPr="007D16A6">
        <w:rPr>
          <w:sz w:val="24"/>
          <w:szCs w:val="24"/>
        </w:rPr>
        <w:t>eksponering samt gentagen eksponering i 6</w:t>
      </w:r>
      <w:r>
        <w:rPr>
          <w:sz w:val="24"/>
          <w:szCs w:val="24"/>
        </w:rPr>
        <w:t> </w:t>
      </w:r>
      <w:r w:rsidRPr="007D16A6">
        <w:rPr>
          <w:sz w:val="24"/>
          <w:szCs w:val="24"/>
        </w:rPr>
        <w:t>timer/dag i 28</w:t>
      </w:r>
      <w:r>
        <w:rPr>
          <w:sz w:val="24"/>
          <w:szCs w:val="24"/>
        </w:rPr>
        <w:t> </w:t>
      </w:r>
      <w:r w:rsidRPr="007D16A6">
        <w:rPr>
          <w:sz w:val="24"/>
          <w:szCs w:val="24"/>
        </w:rPr>
        <w:t xml:space="preserve">dage blev der observeret varierende grader af histologiske </w:t>
      </w:r>
      <w:r>
        <w:rPr>
          <w:sz w:val="24"/>
          <w:szCs w:val="24"/>
        </w:rPr>
        <w:t xml:space="preserve">forandringer af </w:t>
      </w:r>
      <w:r w:rsidRPr="007D16A6">
        <w:rPr>
          <w:sz w:val="24"/>
          <w:szCs w:val="24"/>
        </w:rPr>
        <w:t>testi</w:t>
      </w:r>
      <w:r>
        <w:rPr>
          <w:sz w:val="24"/>
          <w:szCs w:val="24"/>
        </w:rPr>
        <w:t>klerne,</w:t>
      </w:r>
      <w:r w:rsidRPr="007D16A6">
        <w:rPr>
          <w:sz w:val="24"/>
          <w:szCs w:val="24"/>
        </w:rPr>
        <w:t xml:space="preserve"> med tydelige tegn på </w:t>
      </w:r>
      <w:r>
        <w:rPr>
          <w:sz w:val="24"/>
          <w:szCs w:val="24"/>
        </w:rPr>
        <w:t>restitution</w:t>
      </w:r>
      <w:r w:rsidRPr="007D16A6">
        <w:rPr>
          <w:sz w:val="24"/>
          <w:szCs w:val="24"/>
        </w:rPr>
        <w:t xml:space="preserve"> hos rotter</w:t>
      </w:r>
      <w:r>
        <w:rPr>
          <w:sz w:val="24"/>
          <w:szCs w:val="24"/>
        </w:rPr>
        <w:t>,</w:t>
      </w:r>
      <w:r w:rsidRPr="007D16A6">
        <w:rPr>
          <w:sz w:val="24"/>
          <w:szCs w:val="24"/>
        </w:rPr>
        <w:t xml:space="preserve"> der fik en eksponeringsfri restitutionsperiode</w:t>
      </w:r>
      <w:r>
        <w:rPr>
          <w:sz w:val="24"/>
          <w:szCs w:val="24"/>
        </w:rPr>
        <w:t xml:space="preserve"> på 14 dage</w:t>
      </w:r>
      <w:r w:rsidRPr="007D16A6">
        <w:rPr>
          <w:sz w:val="24"/>
          <w:szCs w:val="24"/>
        </w:rPr>
        <w:t xml:space="preserve"> efter</w:t>
      </w:r>
      <w:r>
        <w:rPr>
          <w:sz w:val="24"/>
          <w:szCs w:val="24"/>
        </w:rPr>
        <w:t xml:space="preserve"> </w:t>
      </w:r>
      <w:proofErr w:type="spellStart"/>
      <w:r w:rsidRPr="007D16A6">
        <w:rPr>
          <w:sz w:val="24"/>
          <w:szCs w:val="24"/>
        </w:rPr>
        <w:t>isofluran</w:t>
      </w:r>
      <w:proofErr w:type="spellEnd"/>
      <w:r>
        <w:rPr>
          <w:sz w:val="24"/>
          <w:szCs w:val="24"/>
        </w:rPr>
        <w:t>-</w:t>
      </w:r>
      <w:r w:rsidRPr="007D16A6">
        <w:rPr>
          <w:sz w:val="24"/>
          <w:szCs w:val="24"/>
        </w:rPr>
        <w:t xml:space="preserve">eksponering. Hos hunde blev der ikke observeret histologiske </w:t>
      </w:r>
      <w:r>
        <w:rPr>
          <w:sz w:val="24"/>
          <w:szCs w:val="24"/>
        </w:rPr>
        <w:t xml:space="preserve">forandringer af </w:t>
      </w:r>
      <w:r w:rsidRPr="007D16A6">
        <w:rPr>
          <w:sz w:val="24"/>
          <w:szCs w:val="24"/>
        </w:rPr>
        <w:t>test</w:t>
      </w:r>
      <w:r>
        <w:rPr>
          <w:sz w:val="24"/>
          <w:szCs w:val="24"/>
        </w:rPr>
        <w:t xml:space="preserve">iklerne, </w:t>
      </w:r>
      <w:r w:rsidRPr="007D16A6">
        <w:rPr>
          <w:sz w:val="24"/>
          <w:szCs w:val="24"/>
        </w:rPr>
        <w:t xml:space="preserve">hverken </w:t>
      </w:r>
      <w:r>
        <w:rPr>
          <w:sz w:val="24"/>
          <w:szCs w:val="24"/>
        </w:rPr>
        <w:t xml:space="preserve">efter </w:t>
      </w:r>
      <w:r w:rsidRPr="007D16A6">
        <w:rPr>
          <w:sz w:val="24"/>
          <w:szCs w:val="24"/>
        </w:rPr>
        <w:t>48</w:t>
      </w:r>
      <w:r>
        <w:rPr>
          <w:sz w:val="24"/>
          <w:szCs w:val="24"/>
        </w:rPr>
        <w:t> </w:t>
      </w:r>
      <w:r w:rsidRPr="007D16A6">
        <w:rPr>
          <w:sz w:val="24"/>
          <w:szCs w:val="24"/>
        </w:rPr>
        <w:t xml:space="preserve">timers kontinuerlig </w:t>
      </w:r>
      <w:proofErr w:type="spellStart"/>
      <w:r w:rsidRPr="007D16A6">
        <w:rPr>
          <w:sz w:val="24"/>
          <w:szCs w:val="24"/>
        </w:rPr>
        <w:t>isofluran</w:t>
      </w:r>
      <w:proofErr w:type="spellEnd"/>
      <w:r>
        <w:rPr>
          <w:sz w:val="24"/>
          <w:szCs w:val="24"/>
        </w:rPr>
        <w:t>-</w:t>
      </w:r>
      <w:r w:rsidRPr="007D16A6">
        <w:rPr>
          <w:sz w:val="24"/>
          <w:szCs w:val="24"/>
        </w:rPr>
        <w:t xml:space="preserve">eksponering eller </w:t>
      </w:r>
      <w:r>
        <w:rPr>
          <w:sz w:val="24"/>
          <w:szCs w:val="24"/>
        </w:rPr>
        <w:t xml:space="preserve">efter </w:t>
      </w:r>
      <w:r w:rsidRPr="007D16A6">
        <w:rPr>
          <w:sz w:val="24"/>
          <w:szCs w:val="24"/>
        </w:rPr>
        <w:t>gentagen eksponering i 4</w:t>
      </w:r>
      <w:r>
        <w:rPr>
          <w:sz w:val="24"/>
          <w:szCs w:val="24"/>
        </w:rPr>
        <w:t> </w:t>
      </w:r>
      <w:r w:rsidRPr="007D16A6">
        <w:rPr>
          <w:sz w:val="24"/>
          <w:szCs w:val="24"/>
        </w:rPr>
        <w:t>timer/dag i 28</w:t>
      </w:r>
      <w:r>
        <w:rPr>
          <w:sz w:val="24"/>
          <w:szCs w:val="24"/>
        </w:rPr>
        <w:t> </w:t>
      </w:r>
      <w:r w:rsidRPr="007D16A6">
        <w:rPr>
          <w:sz w:val="24"/>
          <w:szCs w:val="24"/>
        </w:rPr>
        <w:t>dage.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232638" w:rsidP="009260DE">
      <w:pPr>
        <w:tabs>
          <w:tab w:val="left" w:pos="851"/>
        </w:tabs>
        <w:ind w:left="851"/>
        <w:rPr>
          <w:sz w:val="24"/>
          <w:szCs w:val="24"/>
        </w:rPr>
      </w:pPr>
      <w:r>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0A0377" w:rsidP="000A0377">
      <w:pPr>
        <w:ind w:left="851"/>
        <w:rPr>
          <w:sz w:val="24"/>
          <w:szCs w:val="24"/>
        </w:rPr>
      </w:pPr>
      <w:r w:rsidRPr="000A0377">
        <w:rPr>
          <w:sz w:val="24"/>
          <w:szCs w:val="24"/>
        </w:rPr>
        <w:t>Der er ingen kendte uforligeligheder.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8C38DF" w:rsidRPr="008C38DF" w:rsidRDefault="008C38DF" w:rsidP="008C38DF">
      <w:pPr>
        <w:ind w:left="851"/>
        <w:rPr>
          <w:sz w:val="24"/>
          <w:szCs w:val="24"/>
        </w:rPr>
      </w:pPr>
      <w:r w:rsidRPr="008C38DF">
        <w:rPr>
          <w:sz w:val="24"/>
          <w:szCs w:val="24"/>
        </w:rPr>
        <w:t>5 år.</w:t>
      </w:r>
    </w:p>
    <w:p w:rsidR="008C38DF" w:rsidRPr="008C38DF" w:rsidRDefault="008C38DF" w:rsidP="008C38DF">
      <w:pPr>
        <w:ind w:left="851"/>
        <w:rPr>
          <w:sz w:val="24"/>
          <w:szCs w:val="24"/>
        </w:rPr>
      </w:pPr>
    </w:p>
    <w:p w:rsidR="009260DE" w:rsidRPr="00C84483" w:rsidRDefault="008C38DF" w:rsidP="005328B4">
      <w:pPr>
        <w:ind w:left="851"/>
        <w:rPr>
          <w:sz w:val="24"/>
          <w:szCs w:val="24"/>
        </w:rPr>
      </w:pPr>
      <w:r w:rsidRPr="008C38DF">
        <w:rPr>
          <w:sz w:val="24"/>
          <w:szCs w:val="24"/>
        </w:rPr>
        <w:t xml:space="preserve">Efter påsætning af </w:t>
      </w:r>
      <w:proofErr w:type="spellStart"/>
      <w:r w:rsidRPr="008C38DF">
        <w:rPr>
          <w:sz w:val="24"/>
          <w:szCs w:val="24"/>
        </w:rPr>
        <w:t>Sedaconda</w:t>
      </w:r>
      <w:proofErr w:type="spellEnd"/>
      <w:r w:rsidRPr="008C38DF">
        <w:rPr>
          <w:sz w:val="24"/>
          <w:szCs w:val="24"/>
        </w:rPr>
        <w:t xml:space="preserve"> påfyldningsadapteren: 14 dage.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37449" w:rsidRDefault="00E37449" w:rsidP="00E37449">
      <w:pPr>
        <w:suppressAutoHyphens/>
        <w:ind w:left="851"/>
        <w:rPr>
          <w:sz w:val="24"/>
          <w:szCs w:val="24"/>
        </w:rPr>
      </w:pPr>
      <w:r w:rsidRPr="00E37449">
        <w:rPr>
          <w:sz w:val="24"/>
          <w:szCs w:val="24"/>
        </w:rPr>
        <w:t>Må ikke opbevares ved temperaturer over 30 °C.</w:t>
      </w:r>
    </w:p>
    <w:p w:rsidR="00E37449" w:rsidRDefault="00E37449" w:rsidP="00E37449">
      <w:pPr>
        <w:suppressAutoHyphens/>
        <w:ind w:left="851"/>
        <w:rPr>
          <w:sz w:val="24"/>
          <w:szCs w:val="24"/>
        </w:rPr>
      </w:pPr>
    </w:p>
    <w:p w:rsidR="009260DE" w:rsidRPr="00C84483" w:rsidRDefault="00E37449" w:rsidP="00E37449">
      <w:pPr>
        <w:suppressAutoHyphens/>
        <w:ind w:left="851"/>
        <w:rPr>
          <w:sz w:val="24"/>
          <w:szCs w:val="24"/>
        </w:rPr>
      </w:pPr>
      <w:r w:rsidRPr="00E37449">
        <w:rPr>
          <w:sz w:val="24"/>
          <w:szCs w:val="24"/>
        </w:rPr>
        <w:lastRenderedPageBreak/>
        <w:t>Opbevar flasken i den ydre karton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E37449" w:rsidRPr="00E37449" w:rsidRDefault="00E37449" w:rsidP="00E37449">
      <w:pPr>
        <w:suppressAutoHyphens/>
        <w:ind w:left="851"/>
        <w:rPr>
          <w:sz w:val="24"/>
          <w:szCs w:val="24"/>
        </w:rPr>
      </w:pPr>
      <w:r w:rsidRPr="00E37449">
        <w:rPr>
          <w:sz w:val="24"/>
          <w:szCs w:val="24"/>
        </w:rPr>
        <w:t xml:space="preserve">Ravfarvet type III glasflaske med et nominelt volumen på 100 ml eller 250 ml med sort skruelåg og </w:t>
      </w:r>
      <w:proofErr w:type="spellStart"/>
      <w:r w:rsidRPr="00E37449">
        <w:rPr>
          <w:sz w:val="24"/>
          <w:szCs w:val="24"/>
        </w:rPr>
        <w:t>polyethylenkegle</w:t>
      </w:r>
      <w:proofErr w:type="spellEnd"/>
      <w:r w:rsidRPr="00E37449">
        <w:rPr>
          <w:sz w:val="24"/>
          <w:szCs w:val="24"/>
        </w:rPr>
        <w:t>.</w:t>
      </w:r>
    </w:p>
    <w:p w:rsidR="00E37449" w:rsidRPr="00E37449" w:rsidRDefault="00E37449" w:rsidP="00E37449">
      <w:pPr>
        <w:suppressAutoHyphens/>
        <w:ind w:left="851"/>
        <w:rPr>
          <w:sz w:val="24"/>
          <w:szCs w:val="24"/>
        </w:rPr>
      </w:pPr>
    </w:p>
    <w:p w:rsidR="00E37449" w:rsidRPr="00A275F9" w:rsidRDefault="00E37449" w:rsidP="00E37449">
      <w:pPr>
        <w:suppressAutoHyphens/>
        <w:ind w:left="851"/>
        <w:rPr>
          <w:sz w:val="24"/>
          <w:szCs w:val="24"/>
          <w:u w:val="single"/>
        </w:rPr>
      </w:pPr>
      <w:r w:rsidRPr="00A275F9">
        <w:rPr>
          <w:sz w:val="24"/>
          <w:szCs w:val="24"/>
          <w:u w:val="single"/>
        </w:rPr>
        <w:t>Pakningsstørrelser</w:t>
      </w:r>
    </w:p>
    <w:p w:rsidR="00E37449" w:rsidRPr="00E37449" w:rsidRDefault="00E37449" w:rsidP="00A275F9">
      <w:pPr>
        <w:suppressAutoHyphens/>
        <w:ind w:left="851"/>
        <w:rPr>
          <w:sz w:val="24"/>
          <w:szCs w:val="24"/>
        </w:rPr>
      </w:pPr>
      <w:r w:rsidRPr="00E37449">
        <w:rPr>
          <w:sz w:val="24"/>
          <w:szCs w:val="24"/>
        </w:rPr>
        <w:t>6</w:t>
      </w:r>
      <w:r w:rsidR="00A275F9">
        <w:rPr>
          <w:sz w:val="24"/>
          <w:szCs w:val="24"/>
        </w:rPr>
        <w:t>×</w:t>
      </w:r>
      <w:r w:rsidRPr="00E37449">
        <w:rPr>
          <w:sz w:val="24"/>
          <w:szCs w:val="24"/>
        </w:rPr>
        <w:t>100 ml</w:t>
      </w:r>
      <w:r w:rsidR="00A275F9">
        <w:rPr>
          <w:sz w:val="24"/>
          <w:szCs w:val="24"/>
        </w:rPr>
        <w:t xml:space="preserve"> og </w:t>
      </w:r>
      <w:r w:rsidRPr="00E37449">
        <w:rPr>
          <w:sz w:val="24"/>
          <w:szCs w:val="24"/>
        </w:rPr>
        <w:t>6</w:t>
      </w:r>
      <w:r w:rsidR="00A275F9">
        <w:rPr>
          <w:sz w:val="24"/>
          <w:szCs w:val="24"/>
        </w:rPr>
        <w:t>×</w:t>
      </w:r>
      <w:r w:rsidRPr="00E37449">
        <w:rPr>
          <w:sz w:val="24"/>
          <w:szCs w:val="24"/>
        </w:rPr>
        <w:t>250 ml</w:t>
      </w:r>
      <w:r w:rsidR="00A275F9">
        <w:rPr>
          <w:sz w:val="24"/>
          <w:szCs w:val="24"/>
        </w:rPr>
        <w:t>.</w:t>
      </w:r>
    </w:p>
    <w:p w:rsidR="009260DE" w:rsidRPr="00C84483" w:rsidRDefault="00E37449" w:rsidP="00A275F9">
      <w:pPr>
        <w:suppressAutoHyphens/>
        <w:ind w:left="851"/>
        <w:rPr>
          <w:sz w:val="24"/>
          <w:szCs w:val="24"/>
        </w:rPr>
      </w:pPr>
      <w:r w:rsidRPr="00E37449">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D3FCB">
        <w:rPr>
          <w:b/>
          <w:sz w:val="24"/>
          <w:szCs w:val="24"/>
        </w:rPr>
        <w:t>bortskaffelse</w:t>
      </w:r>
      <w:r w:rsidRPr="00C84483">
        <w:rPr>
          <w:b/>
          <w:sz w:val="24"/>
          <w:szCs w:val="24"/>
        </w:rPr>
        <w:t xml:space="preserve"> og anden håndtering</w:t>
      </w:r>
    </w:p>
    <w:p w:rsidR="00166682" w:rsidRPr="00166682" w:rsidRDefault="00166682" w:rsidP="00166682">
      <w:pPr>
        <w:ind w:left="851"/>
        <w:rPr>
          <w:sz w:val="24"/>
          <w:szCs w:val="24"/>
        </w:rPr>
      </w:pPr>
    </w:p>
    <w:p w:rsidR="00166682" w:rsidRPr="00166682" w:rsidRDefault="00166682" w:rsidP="00166682">
      <w:pPr>
        <w:ind w:left="851"/>
        <w:rPr>
          <w:sz w:val="24"/>
          <w:szCs w:val="24"/>
          <w:u w:val="single"/>
        </w:rPr>
      </w:pPr>
      <w:proofErr w:type="spellStart"/>
      <w:r w:rsidRPr="00166682">
        <w:rPr>
          <w:sz w:val="24"/>
          <w:szCs w:val="24"/>
          <w:u w:val="single"/>
        </w:rPr>
        <w:t>Sedaconda</w:t>
      </w:r>
      <w:proofErr w:type="spellEnd"/>
      <w:r w:rsidRPr="00166682">
        <w:rPr>
          <w:sz w:val="24"/>
          <w:szCs w:val="24"/>
          <w:u w:val="single"/>
        </w:rPr>
        <w:t xml:space="preserve"> påfyldningsadapter</w:t>
      </w:r>
    </w:p>
    <w:p w:rsidR="00166682" w:rsidRPr="00166682" w:rsidRDefault="00166682" w:rsidP="00166682">
      <w:pPr>
        <w:ind w:left="851"/>
        <w:rPr>
          <w:sz w:val="24"/>
          <w:szCs w:val="24"/>
        </w:rPr>
      </w:pPr>
      <w:r w:rsidRPr="00166682">
        <w:rPr>
          <w:sz w:val="24"/>
          <w:szCs w:val="24"/>
        </w:rPr>
        <w:t xml:space="preserve">Fjern låget fra </w:t>
      </w:r>
      <w:proofErr w:type="spellStart"/>
      <w:r w:rsidRPr="00166682">
        <w:rPr>
          <w:sz w:val="24"/>
          <w:szCs w:val="24"/>
        </w:rPr>
        <w:t>Sedaconda</w:t>
      </w:r>
      <w:proofErr w:type="spellEnd"/>
      <w:r w:rsidRPr="00166682">
        <w:rPr>
          <w:sz w:val="24"/>
          <w:szCs w:val="24"/>
        </w:rPr>
        <w:t xml:space="preserve">-flasken og fastgør </w:t>
      </w:r>
      <w:proofErr w:type="spellStart"/>
      <w:r w:rsidRPr="00166682">
        <w:rPr>
          <w:sz w:val="24"/>
          <w:szCs w:val="24"/>
        </w:rPr>
        <w:t>Sedaconda</w:t>
      </w:r>
      <w:proofErr w:type="spellEnd"/>
      <w:r w:rsidRPr="00166682">
        <w:rPr>
          <w:sz w:val="24"/>
          <w:szCs w:val="24"/>
        </w:rPr>
        <w:t xml:space="preserve"> påfyldningsadapteren som vist i opsætningsvejledningen, som udleveres sammen med påfyldningsadapteren. Når den er fastgjort til flasken, erstatter påfyldningsadapteren og den medfølgende støvhætte låget. Sæt adapter-støvhætten på adapteren mellem brug.</w:t>
      </w:r>
    </w:p>
    <w:p w:rsidR="00166682" w:rsidRPr="00166682" w:rsidRDefault="00166682" w:rsidP="00166682">
      <w:pPr>
        <w:ind w:left="851"/>
        <w:rPr>
          <w:sz w:val="24"/>
          <w:szCs w:val="24"/>
        </w:rPr>
      </w:pPr>
    </w:p>
    <w:p w:rsidR="00166682" w:rsidRPr="00166682" w:rsidRDefault="00166682" w:rsidP="00166682">
      <w:pPr>
        <w:ind w:left="851"/>
        <w:rPr>
          <w:sz w:val="24"/>
          <w:szCs w:val="24"/>
          <w:u w:val="single"/>
        </w:rPr>
      </w:pPr>
      <w:r w:rsidRPr="00166682">
        <w:rPr>
          <w:sz w:val="24"/>
          <w:szCs w:val="24"/>
          <w:u w:val="single"/>
        </w:rPr>
        <w:t>Rensning og arbejdsmiljø</w:t>
      </w:r>
    </w:p>
    <w:p w:rsidR="00166682" w:rsidRPr="00166682" w:rsidRDefault="00166682" w:rsidP="00166682">
      <w:pPr>
        <w:ind w:left="851"/>
        <w:rPr>
          <w:sz w:val="24"/>
          <w:szCs w:val="24"/>
        </w:rPr>
      </w:pPr>
      <w:r w:rsidRPr="00166682">
        <w:rPr>
          <w:sz w:val="24"/>
          <w:szCs w:val="24"/>
        </w:rPr>
        <w:t xml:space="preserve">Der bør tages forholdsregler for at undgå spild og rumforurening under behandlingen med </w:t>
      </w:r>
      <w:proofErr w:type="spellStart"/>
      <w:r w:rsidRPr="00166682">
        <w:rPr>
          <w:sz w:val="24"/>
          <w:szCs w:val="24"/>
        </w:rPr>
        <w:t>Sedaconda</w:t>
      </w:r>
      <w:proofErr w:type="spellEnd"/>
      <w:r w:rsidRPr="00166682">
        <w:rPr>
          <w:sz w:val="24"/>
          <w:szCs w:val="24"/>
        </w:rPr>
        <w:t xml:space="preserve">. Sådanne forholdsregler omfatter tilstrækkelig almen ventilation på intensivstuen, brug af et velegnet rensningssystem, arbejdsgange der mindsker lækager og spild, mens </w:t>
      </w:r>
      <w:proofErr w:type="spellStart"/>
      <w:r w:rsidRPr="00166682">
        <w:rPr>
          <w:sz w:val="24"/>
          <w:szCs w:val="24"/>
        </w:rPr>
        <w:t>Sedaconda</w:t>
      </w:r>
      <w:proofErr w:type="spellEnd"/>
      <w:r w:rsidRPr="00166682">
        <w:rPr>
          <w:sz w:val="24"/>
          <w:szCs w:val="24"/>
        </w:rPr>
        <w:t xml:space="preserve"> anvendes, og rutinemæssig vedligeholdelse af udstyr for at begrænse lækager. Sådanne forholdsregler er påvist at være effektive til at holde eksponeringen af personalet på et lavt niveau.</w:t>
      </w:r>
    </w:p>
    <w:p w:rsidR="00833EFD" w:rsidRPr="00166682" w:rsidRDefault="00833EFD" w:rsidP="00D37883">
      <w:pPr>
        <w:rPr>
          <w:sz w:val="24"/>
          <w:szCs w:val="24"/>
        </w:rPr>
      </w:pPr>
    </w:p>
    <w:p w:rsidR="00166682" w:rsidRPr="00166682" w:rsidRDefault="00166682" w:rsidP="00166682">
      <w:pPr>
        <w:ind w:left="851"/>
        <w:rPr>
          <w:sz w:val="24"/>
          <w:szCs w:val="24"/>
          <w:u w:val="single"/>
        </w:rPr>
      </w:pPr>
      <w:r w:rsidRPr="00166682">
        <w:rPr>
          <w:sz w:val="24"/>
          <w:szCs w:val="24"/>
          <w:u w:val="single"/>
        </w:rPr>
        <w:t>Bortskaffelse</w:t>
      </w:r>
    </w:p>
    <w:p w:rsidR="00166682" w:rsidRPr="00166682" w:rsidRDefault="00166682" w:rsidP="00166682">
      <w:pPr>
        <w:ind w:left="851"/>
        <w:rPr>
          <w:sz w:val="24"/>
          <w:szCs w:val="24"/>
        </w:rPr>
      </w:pPr>
      <w:r w:rsidRPr="00166682">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64537" w:rsidRPr="00C64537" w:rsidRDefault="00C64537" w:rsidP="00C64537">
      <w:pPr>
        <w:autoSpaceDE w:val="0"/>
        <w:autoSpaceDN w:val="0"/>
        <w:adjustRightInd w:val="0"/>
        <w:ind w:left="851"/>
        <w:rPr>
          <w:color w:val="000000"/>
          <w:sz w:val="24"/>
          <w:szCs w:val="24"/>
          <w:lang w:eastAsia="en-GB"/>
        </w:rPr>
      </w:pPr>
      <w:proofErr w:type="spellStart"/>
      <w:r w:rsidRPr="00C64537">
        <w:rPr>
          <w:color w:val="000000"/>
          <w:sz w:val="24"/>
          <w:szCs w:val="24"/>
          <w:lang w:eastAsia="en-GB"/>
        </w:rPr>
        <w:t>Sedana</w:t>
      </w:r>
      <w:proofErr w:type="spellEnd"/>
      <w:r w:rsidRPr="00C64537">
        <w:rPr>
          <w:color w:val="000000"/>
          <w:sz w:val="24"/>
          <w:szCs w:val="24"/>
          <w:lang w:eastAsia="en-GB"/>
        </w:rPr>
        <w:t xml:space="preserve"> Medical AB</w:t>
      </w:r>
    </w:p>
    <w:p w:rsidR="00833EFD" w:rsidRPr="00833EFD" w:rsidRDefault="00833EFD" w:rsidP="00833EFD">
      <w:pPr>
        <w:tabs>
          <w:tab w:val="left" w:pos="851"/>
        </w:tabs>
        <w:ind w:left="851"/>
        <w:rPr>
          <w:color w:val="000000"/>
          <w:sz w:val="24"/>
          <w:szCs w:val="24"/>
          <w:lang w:eastAsia="en-GB"/>
        </w:rPr>
      </w:pPr>
      <w:proofErr w:type="spellStart"/>
      <w:r w:rsidRPr="00833EFD">
        <w:rPr>
          <w:color w:val="000000"/>
          <w:sz w:val="24"/>
          <w:szCs w:val="24"/>
          <w:lang w:eastAsia="en-GB"/>
        </w:rPr>
        <w:t>Svärdvägen</w:t>
      </w:r>
      <w:proofErr w:type="spellEnd"/>
      <w:r w:rsidRPr="00833EFD">
        <w:rPr>
          <w:color w:val="000000"/>
          <w:sz w:val="24"/>
          <w:szCs w:val="24"/>
          <w:lang w:eastAsia="en-GB"/>
        </w:rPr>
        <w:t xml:space="preserve"> 3A</w:t>
      </w:r>
    </w:p>
    <w:p w:rsidR="00833EFD" w:rsidRPr="00833EFD" w:rsidRDefault="00833EFD" w:rsidP="00833EFD">
      <w:pPr>
        <w:tabs>
          <w:tab w:val="left" w:pos="851"/>
        </w:tabs>
        <w:ind w:left="851"/>
        <w:rPr>
          <w:color w:val="000000"/>
          <w:sz w:val="24"/>
          <w:szCs w:val="24"/>
          <w:lang w:eastAsia="en-GB"/>
        </w:rPr>
      </w:pPr>
      <w:r w:rsidRPr="00833EFD">
        <w:rPr>
          <w:color w:val="000000"/>
          <w:sz w:val="24"/>
          <w:szCs w:val="24"/>
          <w:lang w:eastAsia="en-GB"/>
        </w:rPr>
        <w:t xml:space="preserve">SE-182 33 </w:t>
      </w:r>
      <w:proofErr w:type="spellStart"/>
      <w:r w:rsidRPr="00833EFD">
        <w:rPr>
          <w:color w:val="000000"/>
          <w:sz w:val="24"/>
          <w:szCs w:val="24"/>
          <w:lang w:eastAsia="en-GB"/>
        </w:rPr>
        <w:t>Danderyd</w:t>
      </w:r>
      <w:proofErr w:type="spellEnd"/>
    </w:p>
    <w:p w:rsidR="009260DE" w:rsidRDefault="00833EFD" w:rsidP="00833EFD">
      <w:pPr>
        <w:tabs>
          <w:tab w:val="left" w:pos="851"/>
        </w:tabs>
        <w:ind w:left="851"/>
        <w:rPr>
          <w:color w:val="000000"/>
          <w:sz w:val="24"/>
          <w:szCs w:val="24"/>
          <w:lang w:eastAsia="en-GB"/>
        </w:rPr>
      </w:pPr>
      <w:r w:rsidRPr="00833EFD">
        <w:rPr>
          <w:color w:val="000000"/>
          <w:sz w:val="24"/>
          <w:szCs w:val="24"/>
          <w:lang w:eastAsia="en-GB"/>
        </w:rPr>
        <w:t>Sverige</w:t>
      </w:r>
    </w:p>
    <w:p w:rsidR="00833EFD" w:rsidRPr="00C84483" w:rsidRDefault="00833EFD" w:rsidP="00833EF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D3FCB">
        <w:rPr>
          <w:b/>
          <w:sz w:val="24"/>
          <w:szCs w:val="24"/>
        </w:rPr>
        <w:t>-</w:t>
      </w:r>
      <w:r w:rsidRPr="00C84483">
        <w:rPr>
          <w:b/>
          <w:sz w:val="24"/>
          <w:szCs w:val="24"/>
        </w:rPr>
        <w:t>NUMRE)</w:t>
      </w:r>
    </w:p>
    <w:p w:rsidR="009260DE" w:rsidRPr="00C84483" w:rsidRDefault="003C1D18" w:rsidP="009260DE">
      <w:pPr>
        <w:tabs>
          <w:tab w:val="left" w:pos="851"/>
        </w:tabs>
        <w:ind w:left="851"/>
        <w:rPr>
          <w:sz w:val="24"/>
          <w:szCs w:val="24"/>
        </w:rPr>
      </w:pPr>
      <w:r>
        <w:rPr>
          <w:sz w:val="24"/>
          <w:szCs w:val="24"/>
        </w:rPr>
        <w:t>65438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26B44" w:rsidP="009260DE">
      <w:pPr>
        <w:tabs>
          <w:tab w:val="left" w:pos="851"/>
        </w:tabs>
        <w:ind w:left="851"/>
        <w:rPr>
          <w:sz w:val="24"/>
          <w:szCs w:val="24"/>
        </w:rPr>
      </w:pPr>
      <w:r>
        <w:rPr>
          <w:sz w:val="24"/>
          <w:szCs w:val="24"/>
        </w:rPr>
        <w:t>30.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279A9" w:rsidP="009260DE">
      <w:pPr>
        <w:tabs>
          <w:tab w:val="left" w:pos="851"/>
        </w:tabs>
        <w:ind w:left="851"/>
        <w:rPr>
          <w:sz w:val="24"/>
          <w:szCs w:val="24"/>
        </w:rPr>
      </w:pPr>
      <w:r>
        <w:rPr>
          <w:sz w:val="24"/>
          <w:szCs w:val="24"/>
        </w:rPr>
        <w:t>28. februar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9A9" w:rsidRDefault="00B279A9">
      <w:r>
        <w:separator/>
      </w:r>
    </w:p>
  </w:endnote>
  <w:endnote w:type="continuationSeparator" w:id="0">
    <w:p w:rsidR="00B279A9" w:rsidRDefault="00B2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9A9" w:rsidRDefault="00B279A9">
    <w:pPr>
      <w:pStyle w:val="Sidefod"/>
      <w:pBdr>
        <w:bottom w:val="single" w:sz="6" w:space="1" w:color="auto"/>
      </w:pBdr>
    </w:pPr>
  </w:p>
  <w:p w:rsidR="00B279A9" w:rsidRDefault="00B279A9" w:rsidP="00C42586">
    <w:pPr>
      <w:pStyle w:val="Sidefod"/>
      <w:tabs>
        <w:tab w:val="clear" w:pos="4819"/>
        <w:tab w:val="left" w:pos="8505"/>
      </w:tabs>
      <w:rPr>
        <w:i/>
        <w:sz w:val="18"/>
        <w:szCs w:val="18"/>
      </w:rPr>
    </w:pPr>
  </w:p>
  <w:p w:rsidR="00B279A9" w:rsidRPr="00B373D7" w:rsidRDefault="00B279A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Sedaconda, væske til inhalationsdamp 100 %</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9A9" w:rsidRDefault="00B279A9">
      <w:r>
        <w:separator/>
      </w:r>
    </w:p>
  </w:footnote>
  <w:footnote w:type="continuationSeparator" w:id="0">
    <w:p w:rsidR="00B279A9" w:rsidRDefault="00B2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B25"/>
    <w:rsid w:val="00005F39"/>
    <w:rsid w:val="00015FCC"/>
    <w:rsid w:val="00016443"/>
    <w:rsid w:val="000259B9"/>
    <w:rsid w:val="00041491"/>
    <w:rsid w:val="00050D16"/>
    <w:rsid w:val="00055715"/>
    <w:rsid w:val="000730CA"/>
    <w:rsid w:val="00074F2A"/>
    <w:rsid w:val="000766D3"/>
    <w:rsid w:val="00090982"/>
    <w:rsid w:val="00095124"/>
    <w:rsid w:val="000A0255"/>
    <w:rsid w:val="000A0377"/>
    <w:rsid w:val="000A1CA8"/>
    <w:rsid w:val="000A466B"/>
    <w:rsid w:val="000A4D05"/>
    <w:rsid w:val="000B058C"/>
    <w:rsid w:val="000C33CB"/>
    <w:rsid w:val="000E4E53"/>
    <w:rsid w:val="000E4EE6"/>
    <w:rsid w:val="00106566"/>
    <w:rsid w:val="00112F9D"/>
    <w:rsid w:val="00113236"/>
    <w:rsid w:val="001341D4"/>
    <w:rsid w:val="001454E2"/>
    <w:rsid w:val="001569BB"/>
    <w:rsid w:val="00166682"/>
    <w:rsid w:val="00190B25"/>
    <w:rsid w:val="00192748"/>
    <w:rsid w:val="00206CE8"/>
    <w:rsid w:val="0021526C"/>
    <w:rsid w:val="00223269"/>
    <w:rsid w:val="00232638"/>
    <w:rsid w:val="002375DB"/>
    <w:rsid w:val="00275BDB"/>
    <w:rsid w:val="00283A2B"/>
    <w:rsid w:val="002A2CF7"/>
    <w:rsid w:val="002B30AD"/>
    <w:rsid w:val="002C2C01"/>
    <w:rsid w:val="002F0837"/>
    <w:rsid w:val="0030267D"/>
    <w:rsid w:val="00366133"/>
    <w:rsid w:val="003A29AE"/>
    <w:rsid w:val="003A32D7"/>
    <w:rsid w:val="003B4074"/>
    <w:rsid w:val="003C1D18"/>
    <w:rsid w:val="003C769A"/>
    <w:rsid w:val="003D3FCB"/>
    <w:rsid w:val="003F1838"/>
    <w:rsid w:val="003F7C56"/>
    <w:rsid w:val="00441283"/>
    <w:rsid w:val="00453E95"/>
    <w:rsid w:val="0045746C"/>
    <w:rsid w:val="0049104B"/>
    <w:rsid w:val="004D7986"/>
    <w:rsid w:val="004E3B12"/>
    <w:rsid w:val="00526B44"/>
    <w:rsid w:val="00532310"/>
    <w:rsid w:val="005328B4"/>
    <w:rsid w:val="005529C6"/>
    <w:rsid w:val="00565F0F"/>
    <w:rsid w:val="00594A86"/>
    <w:rsid w:val="00595FC0"/>
    <w:rsid w:val="00596D86"/>
    <w:rsid w:val="0061713C"/>
    <w:rsid w:val="0063032B"/>
    <w:rsid w:val="00637F5A"/>
    <w:rsid w:val="00656029"/>
    <w:rsid w:val="006560B1"/>
    <w:rsid w:val="006756DD"/>
    <w:rsid w:val="00720E0F"/>
    <w:rsid w:val="00732306"/>
    <w:rsid w:val="00737275"/>
    <w:rsid w:val="00740EEC"/>
    <w:rsid w:val="0078011A"/>
    <w:rsid w:val="00782AF4"/>
    <w:rsid w:val="00790EE7"/>
    <w:rsid w:val="007B6649"/>
    <w:rsid w:val="0082078B"/>
    <w:rsid w:val="0082576E"/>
    <w:rsid w:val="00831207"/>
    <w:rsid w:val="00833EFD"/>
    <w:rsid w:val="0083571A"/>
    <w:rsid w:val="00843FF8"/>
    <w:rsid w:val="00875CEF"/>
    <w:rsid w:val="0088155F"/>
    <w:rsid w:val="008C38DF"/>
    <w:rsid w:val="00907F75"/>
    <w:rsid w:val="009260DE"/>
    <w:rsid w:val="0093258A"/>
    <w:rsid w:val="009619AC"/>
    <w:rsid w:val="009C7BA3"/>
    <w:rsid w:val="009D1F5A"/>
    <w:rsid w:val="00A10294"/>
    <w:rsid w:val="00A275F9"/>
    <w:rsid w:val="00B003BF"/>
    <w:rsid w:val="00B279A9"/>
    <w:rsid w:val="00B373D7"/>
    <w:rsid w:val="00BC2D98"/>
    <w:rsid w:val="00C348F5"/>
    <w:rsid w:val="00C36276"/>
    <w:rsid w:val="00C36F53"/>
    <w:rsid w:val="00C42586"/>
    <w:rsid w:val="00C60CCD"/>
    <w:rsid w:val="00C636D0"/>
    <w:rsid w:val="00C64537"/>
    <w:rsid w:val="00C73090"/>
    <w:rsid w:val="00C84483"/>
    <w:rsid w:val="00C95551"/>
    <w:rsid w:val="00CB20D7"/>
    <w:rsid w:val="00D02058"/>
    <w:rsid w:val="00D020B0"/>
    <w:rsid w:val="00D027B2"/>
    <w:rsid w:val="00D11748"/>
    <w:rsid w:val="00D366CF"/>
    <w:rsid w:val="00D37883"/>
    <w:rsid w:val="00D44B75"/>
    <w:rsid w:val="00D44C4B"/>
    <w:rsid w:val="00D86DF3"/>
    <w:rsid w:val="00DF7679"/>
    <w:rsid w:val="00E108AA"/>
    <w:rsid w:val="00E318FC"/>
    <w:rsid w:val="00E37449"/>
    <w:rsid w:val="00E3749A"/>
    <w:rsid w:val="00E7437F"/>
    <w:rsid w:val="00E865B8"/>
    <w:rsid w:val="00E87D05"/>
    <w:rsid w:val="00EC0B9B"/>
    <w:rsid w:val="00ED5E9F"/>
    <w:rsid w:val="00F07F0C"/>
    <w:rsid w:val="00F66D4F"/>
    <w:rsid w:val="00F86D8E"/>
    <w:rsid w:val="00FB6D01"/>
    <w:rsid w:val="00FE03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99766"/>
  <w15:chartTrackingRefBased/>
  <w15:docId w15:val="{BDC94045-4BD6-42E7-94A3-ACE11E05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192748"/>
    <w:rPr>
      <w:color w:val="0000FF"/>
      <w:u w:val="single"/>
    </w:rPr>
  </w:style>
  <w:style w:type="table" w:styleId="Tabel-Gitter">
    <w:name w:val="Table Grid"/>
    <w:basedOn w:val="Tabel-Normal"/>
    <w:uiPriority w:val="39"/>
    <w:rsid w:val="00192748"/>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4537"/>
    <w:pPr>
      <w:autoSpaceDE w:val="0"/>
      <w:autoSpaceDN w:val="0"/>
      <w:adjustRightInd w:val="0"/>
    </w:pPr>
    <w:rPr>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28687039">
      <w:bodyDiv w:val="1"/>
      <w:marLeft w:val="0"/>
      <w:marRight w:val="0"/>
      <w:marTop w:val="0"/>
      <w:marBottom w:val="0"/>
      <w:divBdr>
        <w:top w:val="none" w:sz="0" w:space="0" w:color="auto"/>
        <w:left w:val="none" w:sz="0" w:space="0" w:color="auto"/>
        <w:bottom w:val="none" w:sz="0" w:space="0" w:color="auto"/>
        <w:right w:val="none" w:sz="0" w:space="0" w:color="auto"/>
      </w:divBdr>
    </w:div>
    <w:div w:id="156048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5172</Words>
  <Characters>33872</Characters>
  <Application>Microsoft Office Word</Application>
  <DocSecurity>0</DocSecurity>
  <Lines>282</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2024012031_x000d_
SPC opdat. pkt. 4.1, 4.2, 4.4, 4.5, 4.7, 4.8, 5.1, 6.6</dc:description>
  <cp:lastModifiedBy>Marianne Ott Jensen</cp:lastModifiedBy>
  <cp:revision>5</cp:revision>
  <cp:lastPrinted>2012-08-22T08:53:00Z</cp:lastPrinted>
  <dcterms:created xsi:type="dcterms:W3CDTF">2025-02-26T08:10:00Z</dcterms:created>
  <dcterms:modified xsi:type="dcterms:W3CDTF">2025-03-07T09:13:00Z</dcterms:modified>
</cp:coreProperties>
</file>