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746C2" w14:textId="5EDB5E6F" w:rsidR="009260DE" w:rsidRPr="00F2785D" w:rsidRDefault="0021526C" w:rsidP="009260DE">
      <w:pPr>
        <w:rPr>
          <w:sz w:val="24"/>
          <w:szCs w:val="24"/>
        </w:rPr>
      </w:pPr>
      <w:r w:rsidRPr="00F2785D">
        <w:rPr>
          <w:noProof/>
          <w:sz w:val="24"/>
          <w:szCs w:val="24"/>
          <w:lang w:eastAsia="da-DK"/>
        </w:rPr>
        <w:drawing>
          <wp:anchor distT="0" distB="0" distL="114300" distR="114300" simplePos="0" relativeHeight="251658240" behindDoc="0" locked="0" layoutInCell="1" allowOverlap="1" wp14:anchorId="4E492542" wp14:editId="67272BD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2785D">
        <w:rPr>
          <w:sz w:val="24"/>
          <w:szCs w:val="24"/>
        </w:rPr>
        <w:br w:type="textWrapping" w:clear="all"/>
      </w:r>
    </w:p>
    <w:p w14:paraId="158B752E" w14:textId="2EF9BB59" w:rsidR="00B71A67" w:rsidRPr="00B71A67" w:rsidRDefault="00137031" w:rsidP="00B71A67">
      <w:pPr>
        <w:pStyle w:val="Titel"/>
        <w:tabs>
          <w:tab w:val="right" w:pos="9356"/>
        </w:tabs>
        <w:jc w:val="right"/>
        <w:rPr>
          <w:szCs w:val="24"/>
        </w:rPr>
      </w:pPr>
      <w:r>
        <w:rPr>
          <w:szCs w:val="24"/>
          <w:lang w:eastAsia="en-US"/>
        </w:rPr>
        <w:t>08</w:t>
      </w:r>
      <w:r w:rsidR="00B71A67" w:rsidRPr="00B71A67">
        <w:rPr>
          <w:szCs w:val="24"/>
          <w:lang w:eastAsia="en-US"/>
        </w:rPr>
        <w:t xml:space="preserve">. </w:t>
      </w:r>
      <w:r>
        <w:rPr>
          <w:szCs w:val="24"/>
          <w:lang w:eastAsia="en-US"/>
        </w:rPr>
        <w:t xml:space="preserve">april </w:t>
      </w:r>
      <w:r w:rsidR="00B71A67" w:rsidRPr="00B71A67">
        <w:rPr>
          <w:szCs w:val="24"/>
          <w:lang w:eastAsia="en-US"/>
        </w:rPr>
        <w:t>202</w:t>
      </w:r>
      <w:r>
        <w:rPr>
          <w:szCs w:val="24"/>
          <w:lang w:eastAsia="en-US"/>
        </w:rPr>
        <w:t>5</w:t>
      </w:r>
    </w:p>
    <w:p w14:paraId="7DEF1BCF" w14:textId="4E67312F" w:rsidR="009260DE" w:rsidRDefault="009260DE" w:rsidP="009260DE">
      <w:pPr>
        <w:pStyle w:val="Titel"/>
        <w:jc w:val="left"/>
        <w:rPr>
          <w:b w:val="0"/>
          <w:szCs w:val="24"/>
        </w:rPr>
      </w:pPr>
    </w:p>
    <w:p w14:paraId="67D6C8FD" w14:textId="77777777" w:rsidR="00137031" w:rsidRPr="00F2785D" w:rsidRDefault="00137031" w:rsidP="009260DE">
      <w:pPr>
        <w:pStyle w:val="Titel"/>
        <w:jc w:val="left"/>
        <w:rPr>
          <w:b w:val="0"/>
          <w:szCs w:val="24"/>
        </w:rPr>
      </w:pPr>
    </w:p>
    <w:p w14:paraId="590ACE7B" w14:textId="77777777" w:rsidR="009260DE" w:rsidRPr="00F2785D" w:rsidRDefault="009260DE" w:rsidP="009260DE">
      <w:pPr>
        <w:pStyle w:val="Titel"/>
        <w:jc w:val="left"/>
        <w:rPr>
          <w:b w:val="0"/>
          <w:szCs w:val="24"/>
        </w:rPr>
      </w:pPr>
    </w:p>
    <w:p w14:paraId="0EA02F4F" w14:textId="77777777" w:rsidR="009260DE" w:rsidRPr="00F2785D" w:rsidRDefault="009260DE" w:rsidP="009260DE">
      <w:pPr>
        <w:jc w:val="center"/>
        <w:rPr>
          <w:b/>
          <w:sz w:val="24"/>
          <w:szCs w:val="24"/>
        </w:rPr>
      </w:pPr>
      <w:r w:rsidRPr="00F2785D">
        <w:rPr>
          <w:b/>
          <w:sz w:val="24"/>
          <w:szCs w:val="24"/>
        </w:rPr>
        <w:t>PRODUKTRESUMÉ</w:t>
      </w:r>
    </w:p>
    <w:p w14:paraId="3243AF62" w14:textId="77777777" w:rsidR="009260DE" w:rsidRPr="00F2785D" w:rsidRDefault="009260DE" w:rsidP="009260DE">
      <w:pPr>
        <w:jc w:val="center"/>
        <w:rPr>
          <w:b/>
          <w:sz w:val="24"/>
          <w:szCs w:val="24"/>
        </w:rPr>
      </w:pPr>
    </w:p>
    <w:p w14:paraId="69AC1997" w14:textId="77777777" w:rsidR="009260DE" w:rsidRPr="00F2785D" w:rsidRDefault="009260DE" w:rsidP="009260DE">
      <w:pPr>
        <w:jc w:val="center"/>
        <w:rPr>
          <w:b/>
          <w:sz w:val="24"/>
          <w:szCs w:val="24"/>
        </w:rPr>
      </w:pPr>
      <w:r w:rsidRPr="00F2785D">
        <w:rPr>
          <w:b/>
          <w:sz w:val="24"/>
          <w:szCs w:val="24"/>
        </w:rPr>
        <w:t>for</w:t>
      </w:r>
    </w:p>
    <w:p w14:paraId="0A5EB1A4" w14:textId="77777777" w:rsidR="000B058C" w:rsidRPr="00F2785D" w:rsidRDefault="000B058C" w:rsidP="009260DE">
      <w:pPr>
        <w:jc w:val="center"/>
        <w:rPr>
          <w:b/>
          <w:sz w:val="24"/>
          <w:szCs w:val="24"/>
        </w:rPr>
      </w:pPr>
    </w:p>
    <w:p w14:paraId="6DD196C0" w14:textId="164E8241" w:rsidR="009260DE" w:rsidRPr="00F2785D" w:rsidRDefault="004136BF" w:rsidP="009260DE">
      <w:pPr>
        <w:jc w:val="center"/>
        <w:rPr>
          <w:b/>
          <w:sz w:val="24"/>
          <w:szCs w:val="24"/>
        </w:rPr>
      </w:pPr>
      <w:proofErr w:type="spellStart"/>
      <w:r w:rsidRPr="00F2785D">
        <w:rPr>
          <w:b/>
          <w:sz w:val="24"/>
          <w:szCs w:val="24"/>
        </w:rPr>
        <w:t>Sekua</w:t>
      </w:r>
      <w:proofErr w:type="spellEnd"/>
      <w:r w:rsidRPr="00F2785D">
        <w:rPr>
          <w:b/>
          <w:sz w:val="24"/>
          <w:szCs w:val="24"/>
        </w:rPr>
        <w:t>, øjendråber, opløsning, enk</w:t>
      </w:r>
      <w:r w:rsidR="000A322C" w:rsidRPr="00F2785D">
        <w:rPr>
          <w:b/>
          <w:sz w:val="24"/>
          <w:szCs w:val="24"/>
        </w:rPr>
        <w:t>el</w:t>
      </w:r>
      <w:r w:rsidRPr="00F2785D">
        <w:rPr>
          <w:b/>
          <w:sz w:val="24"/>
          <w:szCs w:val="24"/>
        </w:rPr>
        <w:t>tdosisbeholder</w:t>
      </w:r>
    </w:p>
    <w:p w14:paraId="1C912A1B" w14:textId="77777777" w:rsidR="009260DE" w:rsidRPr="00F2785D" w:rsidRDefault="009260DE" w:rsidP="009260DE">
      <w:pPr>
        <w:jc w:val="both"/>
        <w:rPr>
          <w:sz w:val="24"/>
          <w:szCs w:val="24"/>
        </w:rPr>
      </w:pPr>
    </w:p>
    <w:p w14:paraId="08090615" w14:textId="77777777" w:rsidR="009260DE" w:rsidRPr="00F2785D" w:rsidRDefault="009260DE" w:rsidP="009260DE">
      <w:pPr>
        <w:jc w:val="both"/>
        <w:rPr>
          <w:sz w:val="24"/>
          <w:szCs w:val="24"/>
        </w:rPr>
      </w:pPr>
    </w:p>
    <w:p w14:paraId="5D3B16EA" w14:textId="77777777" w:rsidR="009260DE" w:rsidRPr="00F2785D" w:rsidRDefault="009260DE" w:rsidP="009260DE">
      <w:pPr>
        <w:tabs>
          <w:tab w:val="left" w:pos="851"/>
        </w:tabs>
        <w:ind w:left="851" w:hanging="851"/>
        <w:rPr>
          <w:b/>
          <w:sz w:val="24"/>
          <w:szCs w:val="24"/>
        </w:rPr>
      </w:pPr>
      <w:r w:rsidRPr="00F2785D">
        <w:rPr>
          <w:b/>
          <w:sz w:val="24"/>
          <w:szCs w:val="24"/>
        </w:rPr>
        <w:t>0.</w:t>
      </w:r>
      <w:r w:rsidRPr="00F2785D">
        <w:rPr>
          <w:b/>
          <w:sz w:val="24"/>
          <w:szCs w:val="24"/>
        </w:rPr>
        <w:tab/>
        <w:t>D.SP.NR.</w:t>
      </w:r>
    </w:p>
    <w:p w14:paraId="3EEAED31" w14:textId="4BA36D8E" w:rsidR="009260DE" w:rsidRPr="00F2785D" w:rsidRDefault="004136BF" w:rsidP="009260DE">
      <w:pPr>
        <w:tabs>
          <w:tab w:val="left" w:pos="851"/>
        </w:tabs>
        <w:ind w:left="851"/>
        <w:rPr>
          <w:sz w:val="24"/>
          <w:szCs w:val="24"/>
        </w:rPr>
      </w:pPr>
      <w:r w:rsidRPr="00F2785D">
        <w:rPr>
          <w:sz w:val="24"/>
          <w:szCs w:val="24"/>
        </w:rPr>
        <w:t>33183</w:t>
      </w:r>
    </w:p>
    <w:p w14:paraId="559A5701" w14:textId="77777777" w:rsidR="009260DE" w:rsidRPr="00F2785D" w:rsidRDefault="009260DE" w:rsidP="009260DE">
      <w:pPr>
        <w:tabs>
          <w:tab w:val="left" w:pos="851"/>
        </w:tabs>
        <w:ind w:left="851"/>
        <w:rPr>
          <w:sz w:val="24"/>
          <w:szCs w:val="24"/>
        </w:rPr>
      </w:pPr>
    </w:p>
    <w:p w14:paraId="1D0891EA" w14:textId="77777777" w:rsidR="009260DE" w:rsidRPr="00F2785D" w:rsidRDefault="009260DE" w:rsidP="009260DE">
      <w:pPr>
        <w:tabs>
          <w:tab w:val="left" w:pos="851"/>
        </w:tabs>
        <w:ind w:left="851" w:hanging="851"/>
        <w:rPr>
          <w:b/>
          <w:sz w:val="24"/>
          <w:szCs w:val="24"/>
        </w:rPr>
      </w:pPr>
      <w:r w:rsidRPr="00F2785D">
        <w:rPr>
          <w:b/>
          <w:sz w:val="24"/>
          <w:szCs w:val="24"/>
        </w:rPr>
        <w:t>1.</w:t>
      </w:r>
      <w:r w:rsidRPr="00F2785D">
        <w:rPr>
          <w:b/>
          <w:sz w:val="24"/>
          <w:szCs w:val="24"/>
        </w:rPr>
        <w:tab/>
        <w:t>LÆGEMIDLETS NAVN</w:t>
      </w:r>
    </w:p>
    <w:p w14:paraId="6CD27B99" w14:textId="202CF231" w:rsidR="009260DE" w:rsidRPr="00F2785D" w:rsidRDefault="004136BF" w:rsidP="009260DE">
      <w:pPr>
        <w:tabs>
          <w:tab w:val="left" w:pos="851"/>
        </w:tabs>
        <w:ind w:left="851"/>
        <w:rPr>
          <w:sz w:val="24"/>
          <w:szCs w:val="24"/>
        </w:rPr>
      </w:pPr>
      <w:proofErr w:type="spellStart"/>
      <w:r w:rsidRPr="00F2785D">
        <w:rPr>
          <w:sz w:val="24"/>
          <w:szCs w:val="24"/>
        </w:rPr>
        <w:t>Sekua</w:t>
      </w:r>
      <w:proofErr w:type="spellEnd"/>
    </w:p>
    <w:p w14:paraId="61DC8242" w14:textId="77777777" w:rsidR="009260DE" w:rsidRPr="00F2785D" w:rsidRDefault="009260DE" w:rsidP="009260DE">
      <w:pPr>
        <w:tabs>
          <w:tab w:val="left" w:pos="851"/>
        </w:tabs>
        <w:ind w:left="851"/>
        <w:rPr>
          <w:sz w:val="24"/>
          <w:szCs w:val="24"/>
        </w:rPr>
      </w:pPr>
    </w:p>
    <w:p w14:paraId="637E0A8C" w14:textId="77777777" w:rsidR="009260DE" w:rsidRPr="00F2785D" w:rsidRDefault="009260DE" w:rsidP="009260DE">
      <w:pPr>
        <w:tabs>
          <w:tab w:val="left" w:pos="851"/>
        </w:tabs>
        <w:ind w:left="851" w:hanging="851"/>
        <w:rPr>
          <w:b/>
          <w:sz w:val="24"/>
          <w:szCs w:val="24"/>
        </w:rPr>
      </w:pPr>
      <w:r w:rsidRPr="00F2785D">
        <w:rPr>
          <w:b/>
          <w:sz w:val="24"/>
          <w:szCs w:val="24"/>
        </w:rPr>
        <w:t>2.</w:t>
      </w:r>
      <w:r w:rsidRPr="00F2785D">
        <w:rPr>
          <w:b/>
          <w:sz w:val="24"/>
          <w:szCs w:val="24"/>
        </w:rPr>
        <w:tab/>
        <w:t>KVALITATIV OG KVANTITATIV SAMMENSÆTNING</w:t>
      </w:r>
    </w:p>
    <w:p w14:paraId="3CA72122" w14:textId="77777777" w:rsidR="000A322C" w:rsidRPr="00F2785D" w:rsidRDefault="000A322C" w:rsidP="00475455">
      <w:pPr>
        <w:suppressAutoHyphens/>
        <w:ind w:left="851"/>
        <w:rPr>
          <w:sz w:val="24"/>
          <w:szCs w:val="24"/>
        </w:rPr>
      </w:pPr>
      <w:r w:rsidRPr="00F2785D">
        <w:rPr>
          <w:sz w:val="24"/>
          <w:szCs w:val="24"/>
        </w:rPr>
        <w:t xml:space="preserve">1 ml opløsning indeholder 0,9 mg </w:t>
      </w:r>
      <w:proofErr w:type="spellStart"/>
      <w:r w:rsidRPr="00F2785D">
        <w:rPr>
          <w:sz w:val="24"/>
          <w:szCs w:val="24"/>
        </w:rPr>
        <w:t>ciclosporin</w:t>
      </w:r>
      <w:proofErr w:type="spellEnd"/>
      <w:r w:rsidRPr="00F2785D">
        <w:rPr>
          <w:sz w:val="24"/>
          <w:szCs w:val="24"/>
        </w:rPr>
        <w:t>.</w:t>
      </w:r>
    </w:p>
    <w:p w14:paraId="72AEDC28" w14:textId="77777777" w:rsidR="000A322C" w:rsidRPr="00F2785D" w:rsidRDefault="000A322C" w:rsidP="00475455">
      <w:pPr>
        <w:suppressAutoHyphens/>
        <w:ind w:left="851"/>
        <w:rPr>
          <w:sz w:val="24"/>
          <w:szCs w:val="24"/>
        </w:rPr>
      </w:pPr>
    </w:p>
    <w:p w14:paraId="3940DD52" w14:textId="77777777" w:rsidR="000A322C" w:rsidRPr="00F2785D" w:rsidRDefault="000A322C" w:rsidP="00475455">
      <w:pPr>
        <w:suppressAutoHyphens/>
        <w:ind w:left="851"/>
        <w:rPr>
          <w:sz w:val="24"/>
          <w:szCs w:val="24"/>
        </w:rPr>
      </w:pPr>
      <w:r w:rsidRPr="00F2785D">
        <w:rPr>
          <w:sz w:val="24"/>
          <w:szCs w:val="24"/>
        </w:rPr>
        <w:t xml:space="preserve">1 ml af lægemidlet indeholder 0,9 mg </w:t>
      </w:r>
      <w:proofErr w:type="spellStart"/>
      <w:r w:rsidRPr="00F2785D">
        <w:rPr>
          <w:sz w:val="24"/>
          <w:szCs w:val="24"/>
        </w:rPr>
        <w:t>ciclosporin</w:t>
      </w:r>
      <w:proofErr w:type="spellEnd"/>
      <w:r w:rsidRPr="00F2785D">
        <w:rPr>
          <w:sz w:val="24"/>
          <w:szCs w:val="24"/>
        </w:rPr>
        <w:t xml:space="preserve"> og hver enkeltdosisbeholder indeholder 0,25 ml af lægemidlet.</w:t>
      </w:r>
    </w:p>
    <w:p w14:paraId="0877771F" w14:textId="77777777" w:rsidR="000A322C" w:rsidRPr="00F2785D" w:rsidRDefault="000A322C" w:rsidP="00475455">
      <w:pPr>
        <w:suppressAutoHyphens/>
        <w:ind w:left="851"/>
        <w:rPr>
          <w:sz w:val="24"/>
          <w:szCs w:val="24"/>
        </w:rPr>
      </w:pPr>
    </w:p>
    <w:p w14:paraId="6A219C0D" w14:textId="77777777" w:rsidR="000A322C" w:rsidRPr="00F2785D" w:rsidRDefault="000A322C" w:rsidP="00475455">
      <w:pPr>
        <w:suppressAutoHyphens/>
        <w:ind w:left="851"/>
        <w:rPr>
          <w:sz w:val="24"/>
          <w:szCs w:val="24"/>
        </w:rPr>
      </w:pPr>
      <w:r w:rsidRPr="00F2785D">
        <w:rPr>
          <w:sz w:val="24"/>
          <w:szCs w:val="24"/>
        </w:rPr>
        <w:t xml:space="preserve">Således indeholder hver enkeltdosisbeholder 0,225 mg </w:t>
      </w:r>
      <w:proofErr w:type="spellStart"/>
      <w:r w:rsidRPr="00F2785D">
        <w:rPr>
          <w:sz w:val="24"/>
          <w:szCs w:val="24"/>
        </w:rPr>
        <w:t>ciclosporin</w:t>
      </w:r>
      <w:proofErr w:type="spellEnd"/>
      <w:r w:rsidRPr="00F2785D">
        <w:rPr>
          <w:sz w:val="24"/>
          <w:szCs w:val="24"/>
        </w:rPr>
        <w:t xml:space="preserve">. Tilsvarende indeholder hver enkelt øjendråbe (ca. 0,025 ml) 0,0225 mg </w:t>
      </w:r>
      <w:proofErr w:type="spellStart"/>
      <w:r w:rsidRPr="00F2785D">
        <w:rPr>
          <w:sz w:val="24"/>
          <w:szCs w:val="24"/>
        </w:rPr>
        <w:t>ciclosporin</w:t>
      </w:r>
      <w:proofErr w:type="spellEnd"/>
      <w:r w:rsidRPr="00F2785D">
        <w:rPr>
          <w:sz w:val="24"/>
          <w:szCs w:val="24"/>
        </w:rPr>
        <w:t>.</w:t>
      </w:r>
    </w:p>
    <w:p w14:paraId="266C9CFB" w14:textId="77777777" w:rsidR="000A322C" w:rsidRPr="00F2785D" w:rsidRDefault="000A322C" w:rsidP="00475455">
      <w:pPr>
        <w:suppressAutoHyphens/>
        <w:ind w:left="851"/>
        <w:rPr>
          <w:sz w:val="24"/>
          <w:szCs w:val="24"/>
        </w:rPr>
      </w:pPr>
    </w:p>
    <w:p w14:paraId="2FCEFF22" w14:textId="77777777" w:rsidR="000A322C" w:rsidRPr="00F2785D" w:rsidRDefault="000A322C" w:rsidP="00475455">
      <w:pPr>
        <w:suppressAutoHyphens/>
        <w:ind w:left="851"/>
        <w:rPr>
          <w:sz w:val="24"/>
          <w:szCs w:val="24"/>
          <w:u w:val="single"/>
        </w:rPr>
      </w:pPr>
      <w:r w:rsidRPr="00F2785D">
        <w:rPr>
          <w:sz w:val="24"/>
          <w:szCs w:val="24"/>
          <w:u w:val="single"/>
        </w:rPr>
        <w:t>Hjælpestof, som behandleren skal være opmærksom på</w:t>
      </w:r>
    </w:p>
    <w:p w14:paraId="331E8CCD" w14:textId="77777777" w:rsidR="000A322C" w:rsidRPr="00F2785D" w:rsidRDefault="000A322C" w:rsidP="00475455">
      <w:pPr>
        <w:suppressAutoHyphens/>
        <w:ind w:left="851"/>
        <w:rPr>
          <w:sz w:val="24"/>
          <w:szCs w:val="24"/>
        </w:rPr>
      </w:pPr>
      <w:r w:rsidRPr="00F2785D">
        <w:rPr>
          <w:sz w:val="24"/>
          <w:szCs w:val="24"/>
        </w:rPr>
        <w:t xml:space="preserve">1 dråbe af opløsningen indeholder 0,159 mg </w:t>
      </w:r>
      <w:proofErr w:type="spellStart"/>
      <w:r w:rsidRPr="00F2785D">
        <w:rPr>
          <w:sz w:val="24"/>
          <w:szCs w:val="24"/>
        </w:rPr>
        <w:t>phosphater</w:t>
      </w:r>
      <w:proofErr w:type="spellEnd"/>
      <w:r w:rsidRPr="00F2785D">
        <w:rPr>
          <w:sz w:val="24"/>
          <w:szCs w:val="24"/>
        </w:rPr>
        <w:t>.</w:t>
      </w:r>
    </w:p>
    <w:p w14:paraId="360C58F5" w14:textId="77777777" w:rsidR="000A322C" w:rsidRPr="00F2785D" w:rsidRDefault="000A322C" w:rsidP="00475455">
      <w:pPr>
        <w:suppressAutoHyphens/>
        <w:ind w:left="851"/>
        <w:rPr>
          <w:sz w:val="24"/>
          <w:szCs w:val="24"/>
        </w:rPr>
      </w:pPr>
    </w:p>
    <w:p w14:paraId="12BD8998" w14:textId="77777777" w:rsidR="000A322C" w:rsidRPr="00F2785D" w:rsidRDefault="000A322C" w:rsidP="00475455">
      <w:pPr>
        <w:suppressAutoHyphens/>
        <w:ind w:left="851"/>
        <w:rPr>
          <w:sz w:val="24"/>
          <w:szCs w:val="24"/>
        </w:rPr>
      </w:pPr>
      <w:r w:rsidRPr="00F2785D">
        <w:rPr>
          <w:sz w:val="24"/>
          <w:szCs w:val="24"/>
        </w:rPr>
        <w:t>Alle hjælpestoffer er anført under pkt. 6.1.</w:t>
      </w:r>
    </w:p>
    <w:p w14:paraId="1E63D5A4" w14:textId="77777777" w:rsidR="009260DE" w:rsidRPr="00F2785D" w:rsidRDefault="009260DE" w:rsidP="009260DE">
      <w:pPr>
        <w:tabs>
          <w:tab w:val="left" w:pos="851"/>
        </w:tabs>
        <w:ind w:left="851"/>
        <w:rPr>
          <w:sz w:val="24"/>
          <w:szCs w:val="24"/>
        </w:rPr>
      </w:pPr>
    </w:p>
    <w:p w14:paraId="7707AD72" w14:textId="77777777" w:rsidR="009260DE" w:rsidRPr="00F2785D" w:rsidRDefault="009260DE" w:rsidP="009260DE">
      <w:pPr>
        <w:tabs>
          <w:tab w:val="left" w:pos="851"/>
        </w:tabs>
        <w:ind w:left="851" w:hanging="851"/>
        <w:rPr>
          <w:b/>
          <w:sz w:val="24"/>
          <w:szCs w:val="24"/>
        </w:rPr>
      </w:pPr>
      <w:r w:rsidRPr="00F2785D">
        <w:rPr>
          <w:b/>
          <w:sz w:val="24"/>
          <w:szCs w:val="24"/>
        </w:rPr>
        <w:t>3.</w:t>
      </w:r>
      <w:r w:rsidRPr="00F2785D">
        <w:rPr>
          <w:b/>
          <w:sz w:val="24"/>
          <w:szCs w:val="24"/>
        </w:rPr>
        <w:tab/>
        <w:t>LÆGEMIDDELFORM</w:t>
      </w:r>
    </w:p>
    <w:p w14:paraId="516D0E3F" w14:textId="67B08416" w:rsidR="000A322C" w:rsidRPr="00F2785D" w:rsidRDefault="000A322C" w:rsidP="00475455">
      <w:pPr>
        <w:ind w:left="851"/>
        <w:rPr>
          <w:sz w:val="24"/>
          <w:szCs w:val="24"/>
        </w:rPr>
      </w:pPr>
      <w:r w:rsidRPr="00F2785D">
        <w:rPr>
          <w:sz w:val="24"/>
          <w:szCs w:val="24"/>
        </w:rPr>
        <w:t>Øjendråber, opløsning i enkeltdosisbeholder</w:t>
      </w:r>
    </w:p>
    <w:p w14:paraId="5FC862E6" w14:textId="77777777" w:rsidR="000A322C" w:rsidRPr="00F2785D" w:rsidRDefault="000A322C" w:rsidP="00475455">
      <w:pPr>
        <w:ind w:left="851"/>
        <w:rPr>
          <w:sz w:val="24"/>
          <w:szCs w:val="24"/>
        </w:rPr>
      </w:pPr>
      <w:r w:rsidRPr="00F2785D">
        <w:rPr>
          <w:sz w:val="24"/>
          <w:szCs w:val="24"/>
        </w:rPr>
        <w:t xml:space="preserve">Klar, farveløs opløsning med en pH på 6,5 til 7,2 og </w:t>
      </w:r>
      <w:proofErr w:type="spellStart"/>
      <w:r w:rsidRPr="00F2785D">
        <w:rPr>
          <w:sz w:val="24"/>
          <w:szCs w:val="24"/>
        </w:rPr>
        <w:t>osmolalitet</w:t>
      </w:r>
      <w:proofErr w:type="spellEnd"/>
      <w:r w:rsidRPr="00F2785D">
        <w:rPr>
          <w:sz w:val="24"/>
          <w:szCs w:val="24"/>
        </w:rPr>
        <w:t xml:space="preserve"> på 160-190 </w:t>
      </w:r>
      <w:proofErr w:type="spellStart"/>
      <w:r w:rsidRPr="00F2785D">
        <w:rPr>
          <w:sz w:val="24"/>
          <w:szCs w:val="24"/>
        </w:rPr>
        <w:t>mOsm</w:t>
      </w:r>
      <w:proofErr w:type="spellEnd"/>
      <w:r w:rsidRPr="00F2785D">
        <w:rPr>
          <w:sz w:val="24"/>
          <w:szCs w:val="24"/>
        </w:rPr>
        <w:t>/kg.</w:t>
      </w:r>
    </w:p>
    <w:p w14:paraId="1E299E25" w14:textId="77777777" w:rsidR="009260DE" w:rsidRPr="00F2785D" w:rsidRDefault="009260DE" w:rsidP="009260DE">
      <w:pPr>
        <w:tabs>
          <w:tab w:val="left" w:pos="851"/>
        </w:tabs>
        <w:ind w:left="851"/>
        <w:rPr>
          <w:sz w:val="24"/>
          <w:szCs w:val="24"/>
        </w:rPr>
      </w:pPr>
    </w:p>
    <w:p w14:paraId="3DA4C24A" w14:textId="77777777" w:rsidR="009260DE" w:rsidRPr="00F2785D" w:rsidRDefault="009260DE" w:rsidP="009260DE">
      <w:pPr>
        <w:tabs>
          <w:tab w:val="left" w:pos="851"/>
        </w:tabs>
        <w:ind w:left="851"/>
        <w:rPr>
          <w:sz w:val="24"/>
          <w:szCs w:val="24"/>
        </w:rPr>
      </w:pPr>
    </w:p>
    <w:p w14:paraId="74BE6A58" w14:textId="77777777" w:rsidR="009260DE" w:rsidRPr="00F2785D" w:rsidRDefault="009260DE" w:rsidP="009260DE">
      <w:pPr>
        <w:tabs>
          <w:tab w:val="left" w:pos="851"/>
        </w:tabs>
        <w:ind w:left="851" w:hanging="851"/>
        <w:rPr>
          <w:b/>
          <w:sz w:val="24"/>
          <w:szCs w:val="24"/>
        </w:rPr>
      </w:pPr>
      <w:r w:rsidRPr="00F2785D">
        <w:rPr>
          <w:b/>
          <w:sz w:val="24"/>
          <w:szCs w:val="24"/>
        </w:rPr>
        <w:t>4.</w:t>
      </w:r>
      <w:r w:rsidRPr="00F2785D">
        <w:rPr>
          <w:b/>
          <w:sz w:val="24"/>
          <w:szCs w:val="24"/>
        </w:rPr>
        <w:tab/>
        <w:t>KLINISKE OPLYSNINGER</w:t>
      </w:r>
    </w:p>
    <w:p w14:paraId="4802AD86" w14:textId="77777777" w:rsidR="009260DE" w:rsidRPr="00F2785D" w:rsidRDefault="009260DE" w:rsidP="009260DE">
      <w:pPr>
        <w:tabs>
          <w:tab w:val="left" w:pos="851"/>
        </w:tabs>
        <w:ind w:left="851"/>
        <w:rPr>
          <w:b/>
          <w:sz w:val="24"/>
          <w:szCs w:val="24"/>
        </w:rPr>
      </w:pPr>
    </w:p>
    <w:p w14:paraId="29C7DBC0" w14:textId="77777777" w:rsidR="009260DE" w:rsidRPr="00F2785D" w:rsidRDefault="009260DE" w:rsidP="009260DE">
      <w:pPr>
        <w:tabs>
          <w:tab w:val="left" w:pos="851"/>
        </w:tabs>
        <w:ind w:left="851" w:hanging="851"/>
        <w:rPr>
          <w:b/>
          <w:sz w:val="24"/>
          <w:szCs w:val="24"/>
          <w:u w:val="single"/>
        </w:rPr>
      </w:pPr>
      <w:r w:rsidRPr="00F2785D">
        <w:rPr>
          <w:b/>
          <w:sz w:val="24"/>
          <w:szCs w:val="24"/>
        </w:rPr>
        <w:t>4.1</w:t>
      </w:r>
      <w:r w:rsidRPr="00F2785D">
        <w:rPr>
          <w:b/>
          <w:sz w:val="24"/>
          <w:szCs w:val="24"/>
        </w:rPr>
        <w:tab/>
        <w:t>Terapeutiske indikationer</w:t>
      </w:r>
    </w:p>
    <w:p w14:paraId="13007270" w14:textId="77777777" w:rsidR="000A322C" w:rsidRPr="00F2785D" w:rsidRDefault="000A322C" w:rsidP="00475455">
      <w:pPr>
        <w:ind w:left="851"/>
        <w:rPr>
          <w:sz w:val="24"/>
          <w:szCs w:val="24"/>
        </w:rPr>
      </w:pPr>
      <w:r w:rsidRPr="00F2785D">
        <w:rPr>
          <w:sz w:val="24"/>
          <w:szCs w:val="24"/>
        </w:rPr>
        <w:t>Behandling af lidelsen moderat til svær øjentørhed (</w:t>
      </w:r>
      <w:proofErr w:type="spellStart"/>
      <w:r w:rsidRPr="00F2785D">
        <w:rPr>
          <w:sz w:val="24"/>
          <w:szCs w:val="24"/>
        </w:rPr>
        <w:t>keratokonjunktivitis</w:t>
      </w:r>
      <w:proofErr w:type="spellEnd"/>
      <w:r w:rsidRPr="00F2785D">
        <w:rPr>
          <w:sz w:val="24"/>
          <w:szCs w:val="24"/>
        </w:rPr>
        <w:t xml:space="preserve"> </w:t>
      </w:r>
      <w:proofErr w:type="spellStart"/>
      <w:r w:rsidRPr="00F2785D">
        <w:rPr>
          <w:sz w:val="24"/>
          <w:szCs w:val="24"/>
        </w:rPr>
        <w:t>sicca</w:t>
      </w:r>
      <w:proofErr w:type="spellEnd"/>
      <w:r w:rsidRPr="00F2785D">
        <w:rPr>
          <w:sz w:val="24"/>
          <w:szCs w:val="24"/>
        </w:rPr>
        <w:t>) hos voksne patienter, som ikke har responderet tilstrækkeligt på kunstige tårer (se pkt. 5.1).</w:t>
      </w:r>
    </w:p>
    <w:p w14:paraId="657C13C7" w14:textId="77777777" w:rsidR="009260DE" w:rsidRPr="00F2785D" w:rsidRDefault="009260DE" w:rsidP="009260DE">
      <w:pPr>
        <w:tabs>
          <w:tab w:val="left" w:pos="851"/>
        </w:tabs>
        <w:ind w:left="851"/>
        <w:rPr>
          <w:sz w:val="24"/>
          <w:szCs w:val="24"/>
        </w:rPr>
      </w:pPr>
    </w:p>
    <w:p w14:paraId="640FA005" w14:textId="77777777" w:rsidR="009260DE" w:rsidRPr="00F2785D" w:rsidRDefault="009260DE" w:rsidP="009260DE">
      <w:pPr>
        <w:tabs>
          <w:tab w:val="left" w:pos="851"/>
        </w:tabs>
        <w:ind w:left="851" w:hanging="851"/>
        <w:rPr>
          <w:b/>
          <w:sz w:val="24"/>
          <w:szCs w:val="24"/>
        </w:rPr>
      </w:pPr>
      <w:r w:rsidRPr="00F2785D">
        <w:rPr>
          <w:b/>
          <w:sz w:val="24"/>
          <w:szCs w:val="24"/>
        </w:rPr>
        <w:t>4.2</w:t>
      </w:r>
      <w:r w:rsidRPr="00F2785D">
        <w:rPr>
          <w:b/>
          <w:sz w:val="24"/>
          <w:szCs w:val="24"/>
        </w:rPr>
        <w:tab/>
        <w:t xml:space="preserve">Dosering og </w:t>
      </w:r>
      <w:r w:rsidR="002C1EC0" w:rsidRPr="00F2785D">
        <w:rPr>
          <w:b/>
          <w:sz w:val="24"/>
          <w:szCs w:val="24"/>
        </w:rPr>
        <w:t>administration</w:t>
      </w:r>
    </w:p>
    <w:p w14:paraId="553D77AB" w14:textId="77777777" w:rsidR="000A322C" w:rsidRPr="00F2785D" w:rsidRDefault="000A322C" w:rsidP="00475455">
      <w:pPr>
        <w:ind w:left="851"/>
        <w:rPr>
          <w:sz w:val="24"/>
          <w:szCs w:val="24"/>
        </w:rPr>
      </w:pPr>
      <w:r w:rsidRPr="00F2785D">
        <w:rPr>
          <w:sz w:val="24"/>
          <w:szCs w:val="24"/>
        </w:rPr>
        <w:t>Behandlingen skal påbegyndes af en oftalmolog eller en sundhedsperson, der er uddannet inden for oftalmologi. Behandlingsresponset bør revurderes mindst hver 3. måned.</w:t>
      </w:r>
    </w:p>
    <w:p w14:paraId="3224C60C" w14:textId="77777777" w:rsidR="000A322C" w:rsidRPr="00F2785D" w:rsidRDefault="000A322C" w:rsidP="00475455">
      <w:pPr>
        <w:ind w:left="851"/>
        <w:rPr>
          <w:sz w:val="24"/>
          <w:szCs w:val="24"/>
        </w:rPr>
      </w:pPr>
    </w:p>
    <w:p w14:paraId="47CE758D" w14:textId="77777777" w:rsidR="000A322C" w:rsidRPr="00F2785D" w:rsidRDefault="000A322C" w:rsidP="00475455">
      <w:pPr>
        <w:ind w:left="851"/>
        <w:rPr>
          <w:sz w:val="24"/>
          <w:szCs w:val="24"/>
          <w:u w:val="single"/>
        </w:rPr>
      </w:pPr>
      <w:r w:rsidRPr="00F2785D">
        <w:rPr>
          <w:sz w:val="24"/>
          <w:szCs w:val="24"/>
          <w:u w:val="single"/>
        </w:rPr>
        <w:lastRenderedPageBreak/>
        <w:t>Dosering</w:t>
      </w:r>
    </w:p>
    <w:p w14:paraId="56808F18" w14:textId="77777777" w:rsidR="000A322C" w:rsidRPr="00F2785D" w:rsidRDefault="000A322C" w:rsidP="00475455">
      <w:pPr>
        <w:ind w:left="851"/>
        <w:rPr>
          <w:sz w:val="24"/>
          <w:szCs w:val="24"/>
        </w:rPr>
      </w:pPr>
      <w:r w:rsidRPr="00F2785D">
        <w:rPr>
          <w:sz w:val="24"/>
          <w:szCs w:val="24"/>
        </w:rPr>
        <w:t xml:space="preserve">Den anbefalede dosis er én dråbe af lægemidlet to gange dagligt (med ca. 12 timers mellemrum) i det/de berørte </w:t>
      </w:r>
      <w:proofErr w:type="gramStart"/>
      <w:r w:rsidRPr="00F2785D">
        <w:rPr>
          <w:sz w:val="24"/>
          <w:szCs w:val="24"/>
        </w:rPr>
        <w:t>øje/øjne</w:t>
      </w:r>
      <w:proofErr w:type="gramEnd"/>
      <w:r w:rsidRPr="00F2785D">
        <w:rPr>
          <w:sz w:val="24"/>
          <w:szCs w:val="24"/>
        </w:rPr>
        <w:t>.</w:t>
      </w:r>
    </w:p>
    <w:p w14:paraId="1CFE62A3" w14:textId="77777777" w:rsidR="000A322C" w:rsidRPr="00F2785D" w:rsidRDefault="000A322C" w:rsidP="00475455">
      <w:pPr>
        <w:ind w:left="851"/>
        <w:rPr>
          <w:sz w:val="24"/>
          <w:szCs w:val="24"/>
        </w:rPr>
      </w:pPr>
    </w:p>
    <w:p w14:paraId="661AD5AA" w14:textId="77777777" w:rsidR="000A322C" w:rsidRPr="00F2785D" w:rsidRDefault="000A322C" w:rsidP="00475455">
      <w:pPr>
        <w:ind w:left="851"/>
        <w:rPr>
          <w:sz w:val="24"/>
          <w:szCs w:val="24"/>
          <w:u w:val="single"/>
        </w:rPr>
      </w:pPr>
      <w:r w:rsidRPr="00F2785D">
        <w:rPr>
          <w:sz w:val="24"/>
          <w:szCs w:val="24"/>
          <w:u w:val="single"/>
        </w:rPr>
        <w:t>Særlige populationer</w:t>
      </w:r>
    </w:p>
    <w:p w14:paraId="2E83BB6B" w14:textId="77777777" w:rsidR="000A322C" w:rsidRPr="00F2785D" w:rsidRDefault="000A322C" w:rsidP="00475455">
      <w:pPr>
        <w:ind w:left="851"/>
        <w:rPr>
          <w:sz w:val="24"/>
          <w:szCs w:val="24"/>
        </w:rPr>
      </w:pPr>
    </w:p>
    <w:p w14:paraId="0EB9B77D" w14:textId="77777777" w:rsidR="000A322C" w:rsidRPr="00F2785D" w:rsidRDefault="000A322C" w:rsidP="00475455">
      <w:pPr>
        <w:ind w:left="851"/>
        <w:rPr>
          <w:i/>
          <w:iCs/>
          <w:sz w:val="24"/>
          <w:szCs w:val="24"/>
        </w:rPr>
      </w:pPr>
      <w:r w:rsidRPr="00F2785D">
        <w:rPr>
          <w:i/>
          <w:iCs/>
          <w:sz w:val="24"/>
          <w:szCs w:val="24"/>
        </w:rPr>
        <w:t>Ældre population</w:t>
      </w:r>
    </w:p>
    <w:p w14:paraId="05C0F20F" w14:textId="77777777" w:rsidR="000A322C" w:rsidRPr="00F2785D" w:rsidRDefault="000A322C" w:rsidP="00475455">
      <w:pPr>
        <w:ind w:left="851"/>
        <w:rPr>
          <w:sz w:val="24"/>
          <w:szCs w:val="24"/>
        </w:rPr>
      </w:pPr>
      <w:r w:rsidRPr="00F2785D">
        <w:rPr>
          <w:sz w:val="24"/>
          <w:szCs w:val="24"/>
        </w:rPr>
        <w:t>Der er ikke observeret nogen overordnede forskelle i sikkerhed eller virkning mellem ældre og yngre voksne patienter. Dosisjustering er ikke nødvendig.</w:t>
      </w:r>
    </w:p>
    <w:p w14:paraId="5612CD0A" w14:textId="77777777" w:rsidR="000A322C" w:rsidRPr="00F2785D" w:rsidRDefault="000A322C" w:rsidP="00475455">
      <w:pPr>
        <w:ind w:left="851"/>
        <w:rPr>
          <w:sz w:val="24"/>
          <w:szCs w:val="24"/>
        </w:rPr>
      </w:pPr>
    </w:p>
    <w:p w14:paraId="2A50DD30" w14:textId="77777777" w:rsidR="000A322C" w:rsidRPr="00F2785D" w:rsidRDefault="000A322C" w:rsidP="00475455">
      <w:pPr>
        <w:ind w:left="851"/>
        <w:rPr>
          <w:i/>
          <w:iCs/>
          <w:sz w:val="24"/>
          <w:szCs w:val="24"/>
        </w:rPr>
      </w:pPr>
      <w:r w:rsidRPr="00F2785D">
        <w:rPr>
          <w:i/>
          <w:iCs/>
          <w:sz w:val="24"/>
          <w:szCs w:val="24"/>
        </w:rPr>
        <w:t>Patienter med nedsat nyre- eller leverfunktion</w:t>
      </w:r>
    </w:p>
    <w:p w14:paraId="7B424B22" w14:textId="77777777" w:rsidR="000A322C" w:rsidRPr="00F2785D" w:rsidRDefault="000A322C" w:rsidP="00475455">
      <w:pPr>
        <w:ind w:left="851"/>
        <w:rPr>
          <w:sz w:val="24"/>
          <w:szCs w:val="24"/>
        </w:rPr>
      </w:pPr>
      <w:r w:rsidRPr="00F2785D">
        <w:rPr>
          <w:sz w:val="24"/>
          <w:szCs w:val="24"/>
        </w:rPr>
        <w:t xml:space="preserve">Virkningen af lægemidlet er ikke blevet undersøgt hos patienter med nedsat lever- eller nyrefunktion. Den systemiske eksponering for </w:t>
      </w:r>
      <w:proofErr w:type="spellStart"/>
      <w:r w:rsidRPr="00F2785D">
        <w:rPr>
          <w:sz w:val="24"/>
          <w:szCs w:val="24"/>
        </w:rPr>
        <w:t>ciclosporin</w:t>
      </w:r>
      <w:proofErr w:type="spellEnd"/>
      <w:r w:rsidRPr="00F2785D">
        <w:rPr>
          <w:sz w:val="24"/>
          <w:szCs w:val="24"/>
        </w:rPr>
        <w:t xml:space="preserve"> i forbindelse med brugen af lægemidlet er imidlertid meget lav (se pkt. 5.2), og det er ikke nødvendigt at tage særlige hensyn hos disse populationer.</w:t>
      </w:r>
    </w:p>
    <w:p w14:paraId="3949493E" w14:textId="77777777" w:rsidR="000A322C" w:rsidRPr="00F2785D" w:rsidRDefault="000A322C" w:rsidP="00475455">
      <w:pPr>
        <w:ind w:left="851"/>
        <w:rPr>
          <w:sz w:val="24"/>
          <w:szCs w:val="24"/>
        </w:rPr>
      </w:pPr>
    </w:p>
    <w:p w14:paraId="4B8BACF5" w14:textId="77777777" w:rsidR="000A322C" w:rsidRPr="00F2785D" w:rsidRDefault="000A322C" w:rsidP="00475455">
      <w:pPr>
        <w:ind w:left="851"/>
        <w:rPr>
          <w:sz w:val="24"/>
          <w:szCs w:val="24"/>
        </w:rPr>
      </w:pPr>
      <w:r w:rsidRPr="00F2785D">
        <w:rPr>
          <w:i/>
          <w:sz w:val="24"/>
          <w:szCs w:val="24"/>
        </w:rPr>
        <w:t>Pædiatrisk population</w:t>
      </w:r>
    </w:p>
    <w:p w14:paraId="48772040" w14:textId="77777777" w:rsidR="000A322C" w:rsidRPr="00F2785D" w:rsidRDefault="000A322C" w:rsidP="00475455">
      <w:pPr>
        <w:ind w:left="851"/>
        <w:rPr>
          <w:sz w:val="24"/>
          <w:szCs w:val="24"/>
        </w:rPr>
      </w:pPr>
      <w:r w:rsidRPr="00F2785D">
        <w:rPr>
          <w:sz w:val="24"/>
          <w:szCs w:val="24"/>
        </w:rPr>
        <w:t>Virkningen af lægemidlet er ikke blevet undersøgt hos børn. Der er ingen relevant anvendelse af lægemidlet til behandling af tegn på moderat til svær øjentørhed hos børn og unge under 18 år.</w:t>
      </w:r>
    </w:p>
    <w:p w14:paraId="1D1D0AA6" w14:textId="77777777" w:rsidR="000A322C" w:rsidRPr="00F2785D" w:rsidRDefault="000A322C" w:rsidP="00475455">
      <w:pPr>
        <w:ind w:left="851"/>
        <w:rPr>
          <w:sz w:val="24"/>
          <w:szCs w:val="24"/>
        </w:rPr>
      </w:pPr>
    </w:p>
    <w:p w14:paraId="7E2E3C25" w14:textId="77777777" w:rsidR="000A322C" w:rsidRPr="00F2785D" w:rsidRDefault="000A322C" w:rsidP="00475455">
      <w:pPr>
        <w:ind w:left="851"/>
        <w:rPr>
          <w:sz w:val="24"/>
          <w:szCs w:val="24"/>
          <w:u w:val="single"/>
        </w:rPr>
      </w:pPr>
      <w:r w:rsidRPr="00F2785D">
        <w:rPr>
          <w:sz w:val="24"/>
          <w:szCs w:val="24"/>
          <w:u w:val="single"/>
        </w:rPr>
        <w:t>Administration</w:t>
      </w:r>
    </w:p>
    <w:p w14:paraId="4EC66056" w14:textId="77777777" w:rsidR="000A322C" w:rsidRPr="00F2785D" w:rsidRDefault="000A322C" w:rsidP="00475455">
      <w:pPr>
        <w:ind w:left="851"/>
        <w:rPr>
          <w:sz w:val="24"/>
          <w:szCs w:val="24"/>
        </w:rPr>
      </w:pPr>
      <w:proofErr w:type="spellStart"/>
      <w:r w:rsidRPr="00F2785D">
        <w:rPr>
          <w:sz w:val="24"/>
          <w:szCs w:val="24"/>
        </w:rPr>
        <w:t>Okulær</w:t>
      </w:r>
      <w:proofErr w:type="spellEnd"/>
      <w:r w:rsidRPr="00F2785D">
        <w:rPr>
          <w:sz w:val="24"/>
          <w:szCs w:val="24"/>
        </w:rPr>
        <w:t xml:space="preserve"> anvendelse.</w:t>
      </w:r>
    </w:p>
    <w:p w14:paraId="2B6A97B0" w14:textId="77777777" w:rsidR="000A322C" w:rsidRPr="00F2785D" w:rsidRDefault="000A322C" w:rsidP="00475455">
      <w:pPr>
        <w:ind w:left="851"/>
        <w:rPr>
          <w:sz w:val="24"/>
          <w:szCs w:val="24"/>
        </w:rPr>
      </w:pPr>
    </w:p>
    <w:p w14:paraId="334A099D" w14:textId="77777777" w:rsidR="000A322C" w:rsidRPr="00F2785D" w:rsidRDefault="000A322C" w:rsidP="00475455">
      <w:pPr>
        <w:ind w:left="851"/>
        <w:rPr>
          <w:i/>
          <w:iCs/>
          <w:sz w:val="24"/>
          <w:szCs w:val="24"/>
        </w:rPr>
      </w:pPr>
      <w:r w:rsidRPr="00F2785D">
        <w:rPr>
          <w:i/>
          <w:iCs/>
          <w:sz w:val="24"/>
          <w:szCs w:val="24"/>
        </w:rPr>
        <w:t>Sikkerhedsforanstaltninger, der skal tages, før administration af lægemidlet</w:t>
      </w:r>
    </w:p>
    <w:p w14:paraId="3A5F9B3C" w14:textId="77777777" w:rsidR="000A322C" w:rsidRPr="00F2785D" w:rsidRDefault="000A322C" w:rsidP="00475455">
      <w:pPr>
        <w:ind w:left="851"/>
        <w:rPr>
          <w:sz w:val="24"/>
          <w:szCs w:val="24"/>
        </w:rPr>
      </w:pPr>
      <w:r w:rsidRPr="00F2785D">
        <w:rPr>
          <w:sz w:val="24"/>
          <w:szCs w:val="24"/>
        </w:rPr>
        <w:t>Patienterne skal anvises i først at vaske hænderne.</w:t>
      </w:r>
    </w:p>
    <w:p w14:paraId="00D3266A" w14:textId="77777777" w:rsidR="000A322C" w:rsidRPr="00F2785D" w:rsidRDefault="000A322C" w:rsidP="00475455">
      <w:pPr>
        <w:ind w:left="851"/>
        <w:rPr>
          <w:sz w:val="24"/>
          <w:szCs w:val="24"/>
        </w:rPr>
      </w:pPr>
      <w:r w:rsidRPr="00F2785D">
        <w:rPr>
          <w:sz w:val="24"/>
          <w:szCs w:val="24"/>
        </w:rPr>
        <w:t xml:space="preserve">Hver </w:t>
      </w:r>
      <w:proofErr w:type="spellStart"/>
      <w:r w:rsidRPr="00F2785D">
        <w:rPr>
          <w:sz w:val="24"/>
          <w:szCs w:val="24"/>
        </w:rPr>
        <w:t>Sekua</w:t>
      </w:r>
      <w:proofErr w:type="spellEnd"/>
      <w:r w:rsidRPr="00F2785D">
        <w:rPr>
          <w:sz w:val="24"/>
          <w:szCs w:val="24"/>
        </w:rPr>
        <w:t>-enkeltdosisbeholder er til engangsbrug til behandling i begge øjne hos én enkelt patient.</w:t>
      </w:r>
    </w:p>
    <w:p w14:paraId="3F756D46" w14:textId="77777777" w:rsidR="000A322C" w:rsidRPr="00F2785D" w:rsidRDefault="000A322C" w:rsidP="00475455">
      <w:pPr>
        <w:ind w:left="851"/>
        <w:rPr>
          <w:sz w:val="24"/>
          <w:szCs w:val="24"/>
        </w:rPr>
      </w:pPr>
    </w:p>
    <w:p w14:paraId="16EDFC30" w14:textId="77777777" w:rsidR="000A322C" w:rsidRPr="00F2785D" w:rsidRDefault="000A322C" w:rsidP="00475455">
      <w:pPr>
        <w:ind w:left="851"/>
        <w:rPr>
          <w:sz w:val="24"/>
          <w:szCs w:val="24"/>
        </w:rPr>
      </w:pPr>
      <w:r w:rsidRPr="00F2785D">
        <w:rPr>
          <w:sz w:val="24"/>
          <w:szCs w:val="24"/>
        </w:rPr>
        <w:t xml:space="preserve">Patienterne skal anvises i at anvende </w:t>
      </w:r>
      <w:proofErr w:type="spellStart"/>
      <w:r w:rsidRPr="00F2785D">
        <w:rPr>
          <w:sz w:val="24"/>
          <w:szCs w:val="24"/>
        </w:rPr>
        <w:t>nasolakrimal</w:t>
      </w:r>
      <w:proofErr w:type="spellEnd"/>
      <w:r w:rsidRPr="00F2785D">
        <w:rPr>
          <w:sz w:val="24"/>
          <w:szCs w:val="24"/>
        </w:rPr>
        <w:t xml:space="preserve"> </w:t>
      </w:r>
      <w:proofErr w:type="spellStart"/>
      <w:r w:rsidRPr="00F2785D">
        <w:rPr>
          <w:sz w:val="24"/>
          <w:szCs w:val="24"/>
        </w:rPr>
        <w:t>okklusion</w:t>
      </w:r>
      <w:proofErr w:type="spellEnd"/>
      <w:r w:rsidRPr="00F2785D">
        <w:rPr>
          <w:sz w:val="24"/>
          <w:szCs w:val="24"/>
        </w:rPr>
        <w:t xml:space="preserve"> og at lukke øjenlågene i 2 minutter efter </w:t>
      </w:r>
      <w:proofErr w:type="spellStart"/>
      <w:r w:rsidRPr="00F2785D">
        <w:rPr>
          <w:sz w:val="24"/>
          <w:szCs w:val="24"/>
        </w:rPr>
        <w:t>inddrypning</w:t>
      </w:r>
      <w:proofErr w:type="spellEnd"/>
      <w:r w:rsidRPr="00F2785D">
        <w:rPr>
          <w:sz w:val="24"/>
          <w:szCs w:val="24"/>
        </w:rPr>
        <w:t xml:space="preserve"> for at reducere den systemiske absorption. Dette kan medføre forøget lokal aktivitet og et fald i forekomsten af systemiske bivirkninger.</w:t>
      </w:r>
    </w:p>
    <w:p w14:paraId="42F06FA4" w14:textId="77777777" w:rsidR="000A322C" w:rsidRPr="00F2785D" w:rsidRDefault="000A322C" w:rsidP="00475455">
      <w:pPr>
        <w:ind w:left="851"/>
        <w:rPr>
          <w:sz w:val="24"/>
          <w:szCs w:val="24"/>
        </w:rPr>
      </w:pPr>
    </w:p>
    <w:p w14:paraId="1CF7B4E1" w14:textId="77777777" w:rsidR="000A322C" w:rsidRPr="00F2785D" w:rsidRDefault="000A322C" w:rsidP="00475455">
      <w:pPr>
        <w:ind w:left="851"/>
        <w:rPr>
          <w:sz w:val="24"/>
          <w:szCs w:val="24"/>
        </w:rPr>
      </w:pPr>
      <w:proofErr w:type="spellStart"/>
      <w:r w:rsidRPr="00F2785D">
        <w:rPr>
          <w:sz w:val="24"/>
          <w:szCs w:val="24"/>
        </w:rPr>
        <w:t>Sekua</w:t>
      </w:r>
      <w:proofErr w:type="spellEnd"/>
      <w:r w:rsidRPr="00F2785D">
        <w:rPr>
          <w:sz w:val="24"/>
          <w:szCs w:val="24"/>
        </w:rPr>
        <w:t xml:space="preserve"> kan anvendes sammen med kunstige tårer, i dette tilfælde skal produkterne administreres med mindst 15 minutters mellemrum. Kassér enkeltdosisbeholderen umiddelbart efter brug i begge øjne.</w:t>
      </w:r>
    </w:p>
    <w:p w14:paraId="65E2EE75" w14:textId="77777777" w:rsidR="000A322C" w:rsidRPr="00F2785D" w:rsidRDefault="000A322C" w:rsidP="00475455">
      <w:pPr>
        <w:ind w:left="851"/>
        <w:rPr>
          <w:sz w:val="24"/>
          <w:szCs w:val="24"/>
        </w:rPr>
      </w:pPr>
    </w:p>
    <w:p w14:paraId="4DE2ECB9" w14:textId="77777777" w:rsidR="000A322C" w:rsidRPr="00F2785D" w:rsidRDefault="000A322C" w:rsidP="00475455">
      <w:pPr>
        <w:ind w:left="851"/>
        <w:rPr>
          <w:sz w:val="24"/>
          <w:szCs w:val="24"/>
        </w:rPr>
      </w:pPr>
      <w:r w:rsidRPr="00F2785D">
        <w:rPr>
          <w:sz w:val="24"/>
          <w:szCs w:val="24"/>
        </w:rPr>
        <w:t>For at undgå mulig øjenskade og kontaminering skal patienterne anvises i, at spidsen af enkeltdosisbeholderen ikke må røre øjet eller andre overflader.</w:t>
      </w:r>
    </w:p>
    <w:p w14:paraId="6D5C51C3" w14:textId="77777777" w:rsidR="009260DE" w:rsidRPr="00F2785D" w:rsidRDefault="009260DE" w:rsidP="009260DE">
      <w:pPr>
        <w:tabs>
          <w:tab w:val="left" w:pos="851"/>
        </w:tabs>
        <w:ind w:left="851"/>
        <w:rPr>
          <w:sz w:val="24"/>
          <w:szCs w:val="24"/>
        </w:rPr>
      </w:pPr>
    </w:p>
    <w:p w14:paraId="09B98E25" w14:textId="77777777" w:rsidR="009260DE" w:rsidRPr="00F2785D" w:rsidRDefault="009260DE" w:rsidP="009260DE">
      <w:pPr>
        <w:tabs>
          <w:tab w:val="left" w:pos="851"/>
        </w:tabs>
        <w:ind w:left="851" w:hanging="851"/>
        <w:rPr>
          <w:b/>
          <w:sz w:val="24"/>
          <w:szCs w:val="24"/>
        </w:rPr>
      </w:pPr>
      <w:r w:rsidRPr="00F2785D">
        <w:rPr>
          <w:b/>
          <w:sz w:val="24"/>
          <w:szCs w:val="24"/>
        </w:rPr>
        <w:t>4.3</w:t>
      </w:r>
      <w:r w:rsidRPr="00F2785D">
        <w:rPr>
          <w:b/>
          <w:sz w:val="24"/>
          <w:szCs w:val="24"/>
        </w:rPr>
        <w:tab/>
        <w:t>Kontraindikationer</w:t>
      </w:r>
    </w:p>
    <w:p w14:paraId="63ABAB5C" w14:textId="77777777" w:rsidR="000A322C" w:rsidRPr="00F2785D" w:rsidRDefault="000A322C" w:rsidP="00475455">
      <w:pPr>
        <w:ind w:left="851"/>
        <w:rPr>
          <w:sz w:val="24"/>
          <w:szCs w:val="24"/>
        </w:rPr>
      </w:pPr>
      <w:r w:rsidRPr="00F2785D">
        <w:rPr>
          <w:sz w:val="24"/>
          <w:szCs w:val="24"/>
        </w:rPr>
        <w:t>Overfølsomhed over for det aktive stof eller over for et eller flere af hjælpestofferne anført i pkt. 6.1.</w:t>
      </w:r>
    </w:p>
    <w:p w14:paraId="4BD9D00C" w14:textId="77777777" w:rsidR="000A322C" w:rsidRPr="00F2785D" w:rsidRDefault="000A322C" w:rsidP="00475455">
      <w:pPr>
        <w:ind w:left="851"/>
        <w:rPr>
          <w:sz w:val="24"/>
          <w:szCs w:val="24"/>
        </w:rPr>
      </w:pPr>
    </w:p>
    <w:p w14:paraId="7E0F3E36" w14:textId="77777777" w:rsidR="000A322C" w:rsidRPr="00F2785D" w:rsidRDefault="000A322C" w:rsidP="00475455">
      <w:pPr>
        <w:ind w:left="851"/>
        <w:rPr>
          <w:sz w:val="24"/>
          <w:szCs w:val="24"/>
        </w:rPr>
      </w:pPr>
      <w:proofErr w:type="spellStart"/>
      <w:r w:rsidRPr="00F2785D">
        <w:rPr>
          <w:sz w:val="24"/>
          <w:szCs w:val="24"/>
        </w:rPr>
        <w:t>Okulære</w:t>
      </w:r>
      <w:proofErr w:type="spellEnd"/>
      <w:r w:rsidRPr="00F2785D">
        <w:rPr>
          <w:sz w:val="24"/>
          <w:szCs w:val="24"/>
        </w:rPr>
        <w:t xml:space="preserve"> eller </w:t>
      </w:r>
      <w:proofErr w:type="spellStart"/>
      <w:r w:rsidRPr="00F2785D">
        <w:rPr>
          <w:sz w:val="24"/>
          <w:szCs w:val="24"/>
        </w:rPr>
        <w:t>periokulære</w:t>
      </w:r>
      <w:proofErr w:type="spellEnd"/>
      <w:r w:rsidRPr="00F2785D">
        <w:rPr>
          <w:sz w:val="24"/>
          <w:szCs w:val="24"/>
        </w:rPr>
        <w:t xml:space="preserve"> </w:t>
      </w:r>
      <w:proofErr w:type="spellStart"/>
      <w:r w:rsidRPr="00F2785D">
        <w:rPr>
          <w:sz w:val="24"/>
          <w:szCs w:val="24"/>
        </w:rPr>
        <w:t>maligniteter</w:t>
      </w:r>
      <w:proofErr w:type="spellEnd"/>
      <w:r w:rsidRPr="00F2785D">
        <w:rPr>
          <w:sz w:val="24"/>
          <w:szCs w:val="24"/>
        </w:rPr>
        <w:t xml:space="preserve"> eller præmaligne tilstande.</w:t>
      </w:r>
    </w:p>
    <w:p w14:paraId="29D2A65D" w14:textId="77777777" w:rsidR="000A322C" w:rsidRPr="00F2785D" w:rsidRDefault="000A322C" w:rsidP="00475455">
      <w:pPr>
        <w:ind w:left="851"/>
        <w:rPr>
          <w:sz w:val="24"/>
          <w:szCs w:val="24"/>
        </w:rPr>
      </w:pPr>
    </w:p>
    <w:p w14:paraId="1145044C" w14:textId="77777777" w:rsidR="000A322C" w:rsidRPr="00F2785D" w:rsidRDefault="000A322C" w:rsidP="00475455">
      <w:pPr>
        <w:ind w:left="851"/>
        <w:rPr>
          <w:sz w:val="24"/>
          <w:szCs w:val="24"/>
        </w:rPr>
      </w:pPr>
      <w:r w:rsidRPr="00F2785D">
        <w:rPr>
          <w:sz w:val="24"/>
          <w:szCs w:val="24"/>
        </w:rPr>
        <w:t xml:space="preserve">Aktive eller formodede </w:t>
      </w:r>
      <w:proofErr w:type="spellStart"/>
      <w:r w:rsidRPr="00F2785D">
        <w:rPr>
          <w:sz w:val="24"/>
          <w:szCs w:val="24"/>
        </w:rPr>
        <w:t>okulære</w:t>
      </w:r>
      <w:proofErr w:type="spellEnd"/>
      <w:r w:rsidRPr="00F2785D">
        <w:rPr>
          <w:sz w:val="24"/>
          <w:szCs w:val="24"/>
        </w:rPr>
        <w:t xml:space="preserve"> eller </w:t>
      </w:r>
      <w:proofErr w:type="spellStart"/>
      <w:r w:rsidRPr="00F2785D">
        <w:rPr>
          <w:sz w:val="24"/>
          <w:szCs w:val="24"/>
        </w:rPr>
        <w:t>periokulære</w:t>
      </w:r>
      <w:proofErr w:type="spellEnd"/>
      <w:r w:rsidRPr="00F2785D">
        <w:rPr>
          <w:sz w:val="24"/>
          <w:szCs w:val="24"/>
        </w:rPr>
        <w:t xml:space="preserve"> infektioner (se pkt. 4.4).</w:t>
      </w:r>
    </w:p>
    <w:p w14:paraId="37A51764" w14:textId="1101E0F6" w:rsidR="00D7144A" w:rsidRDefault="00D7144A">
      <w:pPr>
        <w:rPr>
          <w:sz w:val="24"/>
          <w:szCs w:val="24"/>
        </w:rPr>
      </w:pPr>
      <w:r>
        <w:rPr>
          <w:sz w:val="24"/>
          <w:szCs w:val="24"/>
        </w:rPr>
        <w:br w:type="page"/>
      </w:r>
    </w:p>
    <w:p w14:paraId="101FF2DF" w14:textId="77777777" w:rsidR="009260DE" w:rsidRPr="00F2785D" w:rsidRDefault="009260DE" w:rsidP="009260DE">
      <w:pPr>
        <w:tabs>
          <w:tab w:val="left" w:pos="851"/>
        </w:tabs>
        <w:ind w:left="851"/>
        <w:rPr>
          <w:sz w:val="24"/>
          <w:szCs w:val="24"/>
        </w:rPr>
      </w:pPr>
    </w:p>
    <w:p w14:paraId="537F2122" w14:textId="77777777" w:rsidR="009260DE" w:rsidRPr="00F2785D" w:rsidRDefault="009260DE" w:rsidP="009260DE">
      <w:pPr>
        <w:tabs>
          <w:tab w:val="left" w:pos="851"/>
        </w:tabs>
        <w:ind w:left="851" w:hanging="851"/>
        <w:rPr>
          <w:b/>
          <w:sz w:val="24"/>
          <w:szCs w:val="24"/>
        </w:rPr>
      </w:pPr>
      <w:r w:rsidRPr="00F2785D">
        <w:rPr>
          <w:b/>
          <w:sz w:val="24"/>
          <w:szCs w:val="24"/>
        </w:rPr>
        <w:t>4.4</w:t>
      </w:r>
      <w:r w:rsidRPr="00F2785D">
        <w:rPr>
          <w:b/>
          <w:sz w:val="24"/>
          <w:szCs w:val="24"/>
        </w:rPr>
        <w:tab/>
        <w:t>Særlige advarsler og forsigtighedsregler vedrørende brugen</w:t>
      </w:r>
    </w:p>
    <w:p w14:paraId="11621AB4" w14:textId="77777777" w:rsidR="00F2785D" w:rsidRDefault="00F2785D" w:rsidP="00475455">
      <w:pPr>
        <w:ind w:left="851"/>
        <w:rPr>
          <w:sz w:val="24"/>
          <w:szCs w:val="24"/>
        </w:rPr>
      </w:pPr>
    </w:p>
    <w:p w14:paraId="6D6769C6" w14:textId="79C839E6" w:rsidR="000A322C" w:rsidRPr="00F2785D" w:rsidRDefault="000A322C" w:rsidP="00475455">
      <w:pPr>
        <w:ind w:left="851"/>
        <w:rPr>
          <w:sz w:val="24"/>
          <w:szCs w:val="24"/>
          <w:u w:val="single"/>
        </w:rPr>
      </w:pPr>
      <w:r w:rsidRPr="00F2785D">
        <w:rPr>
          <w:sz w:val="24"/>
          <w:szCs w:val="24"/>
          <w:u w:val="single"/>
        </w:rPr>
        <w:t>Brug med kontaktlinser</w:t>
      </w:r>
    </w:p>
    <w:p w14:paraId="3351CBAA" w14:textId="77777777" w:rsidR="000A322C" w:rsidRPr="00F2785D" w:rsidRDefault="000A322C" w:rsidP="00475455">
      <w:pPr>
        <w:ind w:left="851"/>
        <w:rPr>
          <w:sz w:val="24"/>
          <w:szCs w:val="24"/>
        </w:rPr>
      </w:pPr>
      <w:proofErr w:type="spellStart"/>
      <w:r w:rsidRPr="00F2785D">
        <w:rPr>
          <w:sz w:val="24"/>
          <w:szCs w:val="24"/>
        </w:rPr>
        <w:t>Sekua</w:t>
      </w:r>
      <w:proofErr w:type="spellEnd"/>
      <w:r w:rsidRPr="00F2785D">
        <w:rPr>
          <w:sz w:val="24"/>
          <w:szCs w:val="24"/>
        </w:rPr>
        <w:t xml:space="preserve"> er ikke blevet undersøgt hos patienter, der anvender kontaktlinser. Hvis der anvendes kontaktlinser, skal de fjernes før administration af opløsningen. Linserne kan sættes i igen 15 minutter efter administration af lægemidlet.</w:t>
      </w:r>
    </w:p>
    <w:p w14:paraId="63FF009D" w14:textId="77777777" w:rsidR="000A322C" w:rsidRPr="00F2785D" w:rsidRDefault="000A322C" w:rsidP="00475455">
      <w:pPr>
        <w:ind w:left="851"/>
        <w:rPr>
          <w:sz w:val="24"/>
          <w:szCs w:val="24"/>
        </w:rPr>
      </w:pPr>
    </w:p>
    <w:p w14:paraId="48C7684B" w14:textId="77777777" w:rsidR="000A322C" w:rsidRPr="00F2785D" w:rsidRDefault="000A322C" w:rsidP="00475455">
      <w:pPr>
        <w:ind w:left="851"/>
        <w:rPr>
          <w:sz w:val="24"/>
          <w:szCs w:val="24"/>
          <w:u w:val="single"/>
        </w:rPr>
      </w:pPr>
      <w:r w:rsidRPr="00F2785D">
        <w:rPr>
          <w:sz w:val="24"/>
          <w:szCs w:val="24"/>
          <w:u w:val="single"/>
        </w:rPr>
        <w:t>Samtidig behandling</w:t>
      </w:r>
    </w:p>
    <w:p w14:paraId="24F8D63F" w14:textId="77777777" w:rsidR="000A322C" w:rsidRPr="00F2785D" w:rsidRDefault="000A322C" w:rsidP="00475455">
      <w:pPr>
        <w:ind w:left="851"/>
        <w:rPr>
          <w:sz w:val="24"/>
          <w:szCs w:val="24"/>
        </w:rPr>
      </w:pPr>
      <w:r w:rsidRPr="00F2785D">
        <w:rPr>
          <w:sz w:val="24"/>
          <w:szCs w:val="24"/>
        </w:rPr>
        <w:t xml:space="preserve">Der er begrænset erfaring med </w:t>
      </w:r>
      <w:proofErr w:type="spellStart"/>
      <w:r w:rsidRPr="00F2785D">
        <w:rPr>
          <w:sz w:val="24"/>
          <w:szCs w:val="24"/>
        </w:rPr>
        <w:t>ciclosporin</w:t>
      </w:r>
      <w:proofErr w:type="spellEnd"/>
      <w:r w:rsidRPr="00F2785D">
        <w:rPr>
          <w:sz w:val="24"/>
          <w:szCs w:val="24"/>
        </w:rPr>
        <w:t xml:space="preserve">-behandling hos patienter med </w:t>
      </w:r>
      <w:proofErr w:type="spellStart"/>
      <w:r w:rsidRPr="00F2785D">
        <w:rPr>
          <w:sz w:val="24"/>
          <w:szCs w:val="24"/>
        </w:rPr>
        <w:t>glaukom</w:t>
      </w:r>
      <w:proofErr w:type="spellEnd"/>
      <w:r w:rsidRPr="00F2785D">
        <w:rPr>
          <w:sz w:val="24"/>
          <w:szCs w:val="24"/>
        </w:rPr>
        <w:t>. Det anbefales at foretage regelmæssig klinisk monitorering, når disse patienter behandles samtidig med dette lægemiddel, særligt med betablokkere, som vides at nedsætte tåresekretionen.</w:t>
      </w:r>
    </w:p>
    <w:p w14:paraId="793FEFEC" w14:textId="77777777" w:rsidR="000A322C" w:rsidRPr="00F2785D" w:rsidRDefault="000A322C" w:rsidP="00475455">
      <w:pPr>
        <w:ind w:left="851"/>
        <w:rPr>
          <w:sz w:val="24"/>
          <w:szCs w:val="24"/>
        </w:rPr>
      </w:pPr>
    </w:p>
    <w:p w14:paraId="24E4240D" w14:textId="77777777" w:rsidR="000A322C" w:rsidRPr="00F2785D" w:rsidRDefault="000A322C" w:rsidP="00475455">
      <w:pPr>
        <w:ind w:left="851"/>
        <w:rPr>
          <w:sz w:val="24"/>
          <w:szCs w:val="24"/>
          <w:u w:val="single"/>
        </w:rPr>
      </w:pPr>
      <w:r w:rsidRPr="00F2785D">
        <w:rPr>
          <w:sz w:val="24"/>
          <w:szCs w:val="24"/>
          <w:u w:val="single"/>
        </w:rPr>
        <w:t>Infektioner</w:t>
      </w:r>
    </w:p>
    <w:p w14:paraId="5F47CF2D" w14:textId="77777777" w:rsidR="000A322C" w:rsidRPr="00F2785D" w:rsidRDefault="000A322C" w:rsidP="00475455">
      <w:pPr>
        <w:ind w:left="851"/>
        <w:rPr>
          <w:sz w:val="24"/>
          <w:szCs w:val="24"/>
        </w:rPr>
      </w:pPr>
      <w:r w:rsidRPr="00F2785D">
        <w:rPr>
          <w:sz w:val="24"/>
          <w:szCs w:val="24"/>
        </w:rPr>
        <w:t xml:space="preserve">Eksisterende eller formodede </w:t>
      </w:r>
      <w:proofErr w:type="spellStart"/>
      <w:r w:rsidRPr="00F2785D">
        <w:rPr>
          <w:sz w:val="24"/>
          <w:szCs w:val="24"/>
        </w:rPr>
        <w:t>okulære</w:t>
      </w:r>
      <w:proofErr w:type="spellEnd"/>
      <w:r w:rsidRPr="00F2785D">
        <w:rPr>
          <w:sz w:val="24"/>
          <w:szCs w:val="24"/>
        </w:rPr>
        <w:t xml:space="preserve"> eller </w:t>
      </w:r>
      <w:proofErr w:type="spellStart"/>
      <w:r w:rsidRPr="00F2785D">
        <w:rPr>
          <w:sz w:val="24"/>
          <w:szCs w:val="24"/>
        </w:rPr>
        <w:t>periokulære</w:t>
      </w:r>
      <w:proofErr w:type="spellEnd"/>
      <w:r w:rsidRPr="00F2785D">
        <w:rPr>
          <w:sz w:val="24"/>
          <w:szCs w:val="24"/>
        </w:rPr>
        <w:t xml:space="preserve"> infektioner skal være overståede, før behandlingen med </w:t>
      </w:r>
      <w:proofErr w:type="spellStart"/>
      <w:r w:rsidRPr="00F2785D">
        <w:rPr>
          <w:sz w:val="24"/>
          <w:szCs w:val="24"/>
        </w:rPr>
        <w:t>Sekua</w:t>
      </w:r>
      <w:proofErr w:type="spellEnd"/>
      <w:r w:rsidRPr="00F2785D">
        <w:rPr>
          <w:sz w:val="24"/>
          <w:szCs w:val="24"/>
        </w:rPr>
        <w:t xml:space="preserve"> påbegyndes. Hvis der opstår en infektion under behandlingen, skal behandlingen med lægemidlet afbrydes, indtil infektionen er overstået.</w:t>
      </w:r>
    </w:p>
    <w:p w14:paraId="60E3E3FC" w14:textId="77777777" w:rsidR="000A322C" w:rsidRPr="00F2785D" w:rsidRDefault="000A322C" w:rsidP="00475455">
      <w:pPr>
        <w:ind w:left="851"/>
        <w:rPr>
          <w:sz w:val="24"/>
          <w:szCs w:val="24"/>
        </w:rPr>
      </w:pPr>
    </w:p>
    <w:p w14:paraId="21AE374E" w14:textId="77777777" w:rsidR="000A322C" w:rsidRPr="00F2785D" w:rsidRDefault="000A322C" w:rsidP="00475455">
      <w:pPr>
        <w:ind w:left="851"/>
        <w:rPr>
          <w:sz w:val="24"/>
          <w:szCs w:val="24"/>
          <w:u w:val="single"/>
        </w:rPr>
      </w:pPr>
      <w:r w:rsidRPr="00F2785D">
        <w:rPr>
          <w:sz w:val="24"/>
          <w:szCs w:val="24"/>
          <w:u w:val="single"/>
        </w:rPr>
        <w:t>Virkninger på immunsystemet</w:t>
      </w:r>
    </w:p>
    <w:p w14:paraId="338C6F5F" w14:textId="77777777" w:rsidR="000A322C" w:rsidRPr="00F2785D" w:rsidRDefault="000A322C" w:rsidP="00475455">
      <w:pPr>
        <w:ind w:left="851"/>
        <w:rPr>
          <w:sz w:val="24"/>
          <w:szCs w:val="24"/>
        </w:rPr>
      </w:pPr>
      <w:proofErr w:type="spellStart"/>
      <w:r w:rsidRPr="00F2785D">
        <w:rPr>
          <w:sz w:val="24"/>
          <w:szCs w:val="24"/>
        </w:rPr>
        <w:t>Oftalmiske</w:t>
      </w:r>
      <w:proofErr w:type="spellEnd"/>
      <w:r w:rsidRPr="00F2785D">
        <w:rPr>
          <w:sz w:val="24"/>
          <w:szCs w:val="24"/>
        </w:rPr>
        <w:t xml:space="preserve"> lægemidler, der påvirker immunsystemet, herunder </w:t>
      </w:r>
      <w:proofErr w:type="spellStart"/>
      <w:r w:rsidRPr="00F2785D">
        <w:rPr>
          <w:sz w:val="24"/>
          <w:szCs w:val="24"/>
        </w:rPr>
        <w:t>ciclosporin</w:t>
      </w:r>
      <w:proofErr w:type="spellEnd"/>
      <w:r w:rsidRPr="00F2785D">
        <w:rPr>
          <w:sz w:val="24"/>
          <w:szCs w:val="24"/>
        </w:rPr>
        <w:t>, kan påvirke patientens forsvar mod lokale infektioner og maligne sygdomme. Derfor anbefales regelmæssig undersøgelse af øjet/øjnene.</w:t>
      </w:r>
    </w:p>
    <w:p w14:paraId="2D9966A8" w14:textId="77777777" w:rsidR="000A322C" w:rsidRPr="00F2785D" w:rsidRDefault="000A322C" w:rsidP="00475455">
      <w:pPr>
        <w:ind w:left="851"/>
        <w:rPr>
          <w:sz w:val="24"/>
          <w:szCs w:val="24"/>
        </w:rPr>
      </w:pPr>
    </w:p>
    <w:p w14:paraId="7103F805" w14:textId="77777777" w:rsidR="000A322C" w:rsidRPr="00F2785D" w:rsidRDefault="000A322C" w:rsidP="00475455">
      <w:pPr>
        <w:ind w:left="851"/>
        <w:rPr>
          <w:sz w:val="24"/>
          <w:szCs w:val="24"/>
          <w:u w:val="single"/>
        </w:rPr>
      </w:pPr>
      <w:proofErr w:type="spellStart"/>
      <w:r w:rsidRPr="00F2785D">
        <w:rPr>
          <w:sz w:val="24"/>
          <w:szCs w:val="24"/>
          <w:u w:val="single"/>
        </w:rPr>
        <w:t>Phosphatindhold</w:t>
      </w:r>
      <w:proofErr w:type="spellEnd"/>
    </w:p>
    <w:p w14:paraId="404ED279" w14:textId="77777777" w:rsidR="000A322C" w:rsidRPr="00F2785D" w:rsidRDefault="000A322C" w:rsidP="00475455">
      <w:pPr>
        <w:ind w:left="851"/>
        <w:rPr>
          <w:sz w:val="24"/>
          <w:szCs w:val="24"/>
        </w:rPr>
      </w:pPr>
      <w:proofErr w:type="spellStart"/>
      <w:r w:rsidRPr="00F2785D">
        <w:rPr>
          <w:sz w:val="24"/>
          <w:szCs w:val="24"/>
        </w:rPr>
        <w:t>Sekua</w:t>
      </w:r>
      <w:proofErr w:type="spellEnd"/>
      <w:r w:rsidRPr="00F2785D">
        <w:rPr>
          <w:sz w:val="24"/>
          <w:szCs w:val="24"/>
        </w:rPr>
        <w:t xml:space="preserve"> indeholder </w:t>
      </w:r>
      <w:proofErr w:type="spellStart"/>
      <w:r w:rsidRPr="00F2785D">
        <w:rPr>
          <w:sz w:val="24"/>
          <w:szCs w:val="24"/>
        </w:rPr>
        <w:t>phosphater</w:t>
      </w:r>
      <w:proofErr w:type="spellEnd"/>
      <w:r w:rsidRPr="00F2785D">
        <w:rPr>
          <w:sz w:val="24"/>
          <w:szCs w:val="24"/>
        </w:rPr>
        <w:t xml:space="preserve">. </w:t>
      </w:r>
      <w:proofErr w:type="spellStart"/>
      <w:r w:rsidRPr="00F2785D">
        <w:rPr>
          <w:sz w:val="24"/>
          <w:szCs w:val="24"/>
        </w:rPr>
        <w:t>Phosphater</w:t>
      </w:r>
      <w:proofErr w:type="spellEnd"/>
      <w:r w:rsidRPr="00F2785D">
        <w:rPr>
          <w:sz w:val="24"/>
          <w:szCs w:val="24"/>
        </w:rPr>
        <w:t xml:space="preserve"> kan i meget sjældne tilfælde forårsage, at der dannes uklare pletter på </w:t>
      </w:r>
      <w:proofErr w:type="spellStart"/>
      <w:r w:rsidRPr="00F2785D">
        <w:rPr>
          <w:sz w:val="24"/>
          <w:szCs w:val="24"/>
        </w:rPr>
        <w:t>cornea</w:t>
      </w:r>
      <w:proofErr w:type="spellEnd"/>
      <w:r w:rsidRPr="00F2785D">
        <w:rPr>
          <w:sz w:val="24"/>
          <w:szCs w:val="24"/>
        </w:rPr>
        <w:t>, hvilket er forårsaget af kalkophobning under behandlingen.</w:t>
      </w:r>
    </w:p>
    <w:p w14:paraId="23376209" w14:textId="77777777" w:rsidR="009260DE" w:rsidRPr="00F2785D" w:rsidRDefault="009260DE" w:rsidP="009260DE">
      <w:pPr>
        <w:tabs>
          <w:tab w:val="left" w:pos="851"/>
        </w:tabs>
        <w:ind w:left="851"/>
        <w:rPr>
          <w:sz w:val="24"/>
          <w:szCs w:val="24"/>
        </w:rPr>
      </w:pPr>
    </w:p>
    <w:p w14:paraId="1EB8BE0D" w14:textId="77777777" w:rsidR="009260DE" w:rsidRPr="00F2785D" w:rsidRDefault="009260DE" w:rsidP="009260DE">
      <w:pPr>
        <w:tabs>
          <w:tab w:val="left" w:pos="851"/>
        </w:tabs>
        <w:ind w:left="851" w:hanging="851"/>
        <w:rPr>
          <w:b/>
          <w:sz w:val="24"/>
          <w:szCs w:val="24"/>
        </w:rPr>
      </w:pPr>
      <w:r w:rsidRPr="00F2785D">
        <w:rPr>
          <w:b/>
          <w:sz w:val="24"/>
          <w:szCs w:val="24"/>
        </w:rPr>
        <w:t>4.5</w:t>
      </w:r>
      <w:r w:rsidRPr="00F2785D">
        <w:rPr>
          <w:b/>
          <w:sz w:val="24"/>
          <w:szCs w:val="24"/>
        </w:rPr>
        <w:tab/>
        <w:t>Interaktion med andre lægemidler og andre former for interaktion</w:t>
      </w:r>
    </w:p>
    <w:p w14:paraId="0AFE8E80" w14:textId="77777777" w:rsidR="000A322C" w:rsidRPr="00F2785D" w:rsidRDefault="000A322C" w:rsidP="00475455">
      <w:pPr>
        <w:ind w:left="851"/>
        <w:rPr>
          <w:sz w:val="24"/>
          <w:szCs w:val="24"/>
        </w:rPr>
      </w:pPr>
      <w:r w:rsidRPr="00F2785D">
        <w:rPr>
          <w:sz w:val="24"/>
          <w:szCs w:val="24"/>
        </w:rPr>
        <w:t>Der er ikke udført interaktionsstudier med lægemidlet.</w:t>
      </w:r>
    </w:p>
    <w:p w14:paraId="62AD78E0" w14:textId="77777777" w:rsidR="000A322C" w:rsidRPr="00F2785D" w:rsidRDefault="000A322C" w:rsidP="00475455">
      <w:pPr>
        <w:ind w:left="851"/>
        <w:rPr>
          <w:sz w:val="24"/>
          <w:szCs w:val="24"/>
        </w:rPr>
      </w:pPr>
    </w:p>
    <w:p w14:paraId="340301F1" w14:textId="77777777" w:rsidR="000A322C" w:rsidRPr="00F2785D" w:rsidRDefault="000A322C" w:rsidP="00475455">
      <w:pPr>
        <w:ind w:left="851"/>
        <w:rPr>
          <w:sz w:val="24"/>
          <w:szCs w:val="24"/>
          <w:u w:val="single"/>
        </w:rPr>
      </w:pPr>
      <w:r w:rsidRPr="00F2785D">
        <w:rPr>
          <w:sz w:val="24"/>
          <w:szCs w:val="24"/>
          <w:u w:val="single"/>
        </w:rPr>
        <w:t>Kombination med andre lægemidler, der påvirker immunsystemet</w:t>
      </w:r>
    </w:p>
    <w:p w14:paraId="726E48D9" w14:textId="77777777" w:rsidR="000A322C" w:rsidRPr="00F2785D" w:rsidRDefault="000A322C" w:rsidP="00475455">
      <w:pPr>
        <w:ind w:left="851"/>
        <w:rPr>
          <w:sz w:val="24"/>
          <w:szCs w:val="24"/>
        </w:rPr>
      </w:pPr>
      <w:r w:rsidRPr="00F2785D">
        <w:rPr>
          <w:sz w:val="24"/>
          <w:szCs w:val="24"/>
        </w:rPr>
        <w:t xml:space="preserve">Samtidig administration af </w:t>
      </w:r>
      <w:proofErr w:type="spellStart"/>
      <w:r w:rsidRPr="00F2785D">
        <w:rPr>
          <w:sz w:val="24"/>
          <w:szCs w:val="24"/>
        </w:rPr>
        <w:t>ciclosporin</w:t>
      </w:r>
      <w:proofErr w:type="spellEnd"/>
      <w:r w:rsidRPr="00F2785D">
        <w:rPr>
          <w:sz w:val="24"/>
          <w:szCs w:val="24"/>
        </w:rPr>
        <w:t xml:space="preserve"> med øjendråber, der indeholder </w:t>
      </w:r>
      <w:proofErr w:type="spellStart"/>
      <w:r w:rsidRPr="00F2785D">
        <w:rPr>
          <w:sz w:val="24"/>
          <w:szCs w:val="24"/>
        </w:rPr>
        <w:t>kortikosteroider</w:t>
      </w:r>
      <w:proofErr w:type="spellEnd"/>
      <w:r w:rsidRPr="00F2785D">
        <w:rPr>
          <w:sz w:val="24"/>
          <w:szCs w:val="24"/>
        </w:rPr>
        <w:t xml:space="preserve">, kan forstærke </w:t>
      </w:r>
      <w:proofErr w:type="spellStart"/>
      <w:r w:rsidRPr="00F2785D">
        <w:rPr>
          <w:sz w:val="24"/>
          <w:szCs w:val="24"/>
        </w:rPr>
        <w:t>ciclosporins</w:t>
      </w:r>
      <w:proofErr w:type="spellEnd"/>
      <w:r w:rsidRPr="00F2785D">
        <w:rPr>
          <w:sz w:val="24"/>
          <w:szCs w:val="24"/>
        </w:rPr>
        <w:t xml:space="preserve"> virkninger på immunsystemet (se pkt. 4.4).</w:t>
      </w:r>
    </w:p>
    <w:p w14:paraId="62F61FD5" w14:textId="77777777" w:rsidR="009260DE" w:rsidRPr="00F2785D" w:rsidRDefault="009260DE" w:rsidP="009260DE">
      <w:pPr>
        <w:tabs>
          <w:tab w:val="left" w:pos="851"/>
        </w:tabs>
        <w:ind w:left="851"/>
        <w:rPr>
          <w:sz w:val="24"/>
          <w:szCs w:val="24"/>
        </w:rPr>
      </w:pPr>
    </w:p>
    <w:p w14:paraId="17302465" w14:textId="77777777" w:rsidR="009260DE" w:rsidRPr="00F2785D" w:rsidRDefault="009260DE" w:rsidP="009260DE">
      <w:pPr>
        <w:tabs>
          <w:tab w:val="left" w:pos="851"/>
        </w:tabs>
        <w:ind w:left="851" w:hanging="851"/>
        <w:rPr>
          <w:b/>
          <w:sz w:val="24"/>
          <w:szCs w:val="24"/>
        </w:rPr>
      </w:pPr>
      <w:r w:rsidRPr="00F2785D">
        <w:rPr>
          <w:b/>
          <w:sz w:val="24"/>
          <w:szCs w:val="24"/>
        </w:rPr>
        <w:t>4.6</w:t>
      </w:r>
      <w:r w:rsidRPr="00F2785D">
        <w:rPr>
          <w:b/>
          <w:sz w:val="24"/>
          <w:szCs w:val="24"/>
        </w:rPr>
        <w:tab/>
      </w:r>
      <w:r w:rsidR="0071241E" w:rsidRPr="00F2785D">
        <w:rPr>
          <w:b/>
          <w:sz w:val="24"/>
          <w:szCs w:val="24"/>
        </w:rPr>
        <w:t>Fertilitet, g</w:t>
      </w:r>
      <w:r w:rsidRPr="00F2785D">
        <w:rPr>
          <w:b/>
          <w:sz w:val="24"/>
          <w:szCs w:val="24"/>
        </w:rPr>
        <w:t>raviditet og amning</w:t>
      </w:r>
    </w:p>
    <w:p w14:paraId="556EFB49" w14:textId="77777777" w:rsidR="00F2785D" w:rsidRDefault="00F2785D" w:rsidP="00475455">
      <w:pPr>
        <w:ind w:left="851"/>
        <w:rPr>
          <w:sz w:val="24"/>
          <w:szCs w:val="24"/>
        </w:rPr>
      </w:pPr>
    </w:p>
    <w:p w14:paraId="1A925D04" w14:textId="7BA71F76" w:rsidR="000A322C" w:rsidRPr="00F2785D" w:rsidRDefault="000A322C" w:rsidP="00475455">
      <w:pPr>
        <w:ind w:left="851"/>
        <w:rPr>
          <w:sz w:val="24"/>
          <w:szCs w:val="24"/>
          <w:u w:val="single"/>
        </w:rPr>
      </w:pPr>
      <w:r w:rsidRPr="00F2785D">
        <w:rPr>
          <w:sz w:val="24"/>
          <w:szCs w:val="24"/>
          <w:u w:val="single"/>
        </w:rPr>
        <w:t>Kvinder i den fertile alder/</w:t>
      </w:r>
      <w:proofErr w:type="spellStart"/>
      <w:r w:rsidRPr="00F2785D">
        <w:rPr>
          <w:sz w:val="24"/>
          <w:szCs w:val="24"/>
          <w:u w:val="single"/>
        </w:rPr>
        <w:t>kontraception</w:t>
      </w:r>
      <w:proofErr w:type="spellEnd"/>
      <w:r w:rsidRPr="00F2785D">
        <w:rPr>
          <w:sz w:val="24"/>
          <w:szCs w:val="24"/>
          <w:u w:val="single"/>
        </w:rPr>
        <w:t xml:space="preserve"> hos kvinder</w:t>
      </w:r>
    </w:p>
    <w:p w14:paraId="7C071805" w14:textId="77777777" w:rsidR="000A322C" w:rsidRPr="00F2785D" w:rsidRDefault="000A322C" w:rsidP="00475455">
      <w:pPr>
        <w:ind w:left="851"/>
        <w:rPr>
          <w:sz w:val="24"/>
          <w:szCs w:val="24"/>
        </w:rPr>
      </w:pPr>
      <w:proofErr w:type="spellStart"/>
      <w:r w:rsidRPr="00F2785D">
        <w:rPr>
          <w:sz w:val="24"/>
          <w:szCs w:val="24"/>
        </w:rPr>
        <w:t>Sekua</w:t>
      </w:r>
      <w:proofErr w:type="spellEnd"/>
      <w:r w:rsidRPr="00F2785D">
        <w:rPr>
          <w:sz w:val="24"/>
          <w:szCs w:val="24"/>
        </w:rPr>
        <w:t xml:space="preserve"> frarådes til kvinder i den fertile alder, som ikke anvender sikker </w:t>
      </w:r>
      <w:proofErr w:type="spellStart"/>
      <w:r w:rsidRPr="00F2785D">
        <w:rPr>
          <w:sz w:val="24"/>
          <w:szCs w:val="24"/>
        </w:rPr>
        <w:t>kontraception</w:t>
      </w:r>
      <w:proofErr w:type="spellEnd"/>
      <w:r w:rsidRPr="00F2785D">
        <w:rPr>
          <w:sz w:val="24"/>
          <w:szCs w:val="24"/>
        </w:rPr>
        <w:t>.</w:t>
      </w:r>
    </w:p>
    <w:p w14:paraId="37316006" w14:textId="77777777" w:rsidR="000A322C" w:rsidRPr="00F2785D" w:rsidRDefault="000A322C" w:rsidP="00475455">
      <w:pPr>
        <w:ind w:left="851"/>
        <w:rPr>
          <w:sz w:val="24"/>
          <w:szCs w:val="24"/>
        </w:rPr>
      </w:pPr>
    </w:p>
    <w:p w14:paraId="7C3D9AEC" w14:textId="77777777" w:rsidR="000A322C" w:rsidRPr="00F2785D" w:rsidRDefault="000A322C" w:rsidP="00475455">
      <w:pPr>
        <w:ind w:left="851"/>
        <w:rPr>
          <w:sz w:val="24"/>
          <w:szCs w:val="24"/>
          <w:u w:val="single"/>
        </w:rPr>
      </w:pPr>
      <w:r w:rsidRPr="00F2785D">
        <w:rPr>
          <w:sz w:val="24"/>
          <w:szCs w:val="24"/>
          <w:u w:val="single"/>
        </w:rPr>
        <w:t>Graviditet</w:t>
      </w:r>
    </w:p>
    <w:p w14:paraId="626D3A48" w14:textId="77777777" w:rsidR="000A322C" w:rsidRPr="00F2785D" w:rsidRDefault="000A322C" w:rsidP="00475455">
      <w:pPr>
        <w:ind w:left="851"/>
        <w:rPr>
          <w:sz w:val="24"/>
          <w:szCs w:val="24"/>
        </w:rPr>
      </w:pPr>
      <w:r w:rsidRPr="00F2785D">
        <w:rPr>
          <w:sz w:val="24"/>
          <w:szCs w:val="24"/>
        </w:rPr>
        <w:t xml:space="preserve">Der foreligger ingen tilstrækkelige og veldokumenterede studier om administration af </w:t>
      </w:r>
      <w:proofErr w:type="spellStart"/>
      <w:r w:rsidRPr="00F2785D">
        <w:rPr>
          <w:sz w:val="24"/>
          <w:szCs w:val="24"/>
        </w:rPr>
        <w:t>Sekua</w:t>
      </w:r>
      <w:proofErr w:type="spellEnd"/>
      <w:r w:rsidRPr="00F2785D">
        <w:rPr>
          <w:sz w:val="24"/>
          <w:szCs w:val="24"/>
        </w:rPr>
        <w:t xml:space="preserve"> til gravide kvinder.</w:t>
      </w:r>
    </w:p>
    <w:p w14:paraId="1361C163" w14:textId="77777777" w:rsidR="000A322C" w:rsidRPr="00F2785D" w:rsidRDefault="000A322C" w:rsidP="00475455">
      <w:pPr>
        <w:ind w:left="851"/>
        <w:rPr>
          <w:sz w:val="24"/>
          <w:szCs w:val="24"/>
        </w:rPr>
      </w:pPr>
    </w:p>
    <w:p w14:paraId="2844B5A7" w14:textId="77777777" w:rsidR="000A322C" w:rsidRPr="00F2785D" w:rsidRDefault="000A322C" w:rsidP="00475455">
      <w:pPr>
        <w:ind w:left="851"/>
        <w:rPr>
          <w:sz w:val="24"/>
          <w:szCs w:val="24"/>
        </w:rPr>
      </w:pPr>
      <w:r w:rsidRPr="00F2785D">
        <w:rPr>
          <w:sz w:val="24"/>
          <w:szCs w:val="24"/>
        </w:rPr>
        <w:t xml:space="preserve">Dyrestudier har påvist reproduktionstoksicitet efter systemisk administration af </w:t>
      </w:r>
      <w:proofErr w:type="spellStart"/>
      <w:r w:rsidRPr="00F2785D">
        <w:rPr>
          <w:sz w:val="24"/>
          <w:szCs w:val="24"/>
        </w:rPr>
        <w:t>ciclosporin</w:t>
      </w:r>
      <w:proofErr w:type="spellEnd"/>
      <w:r w:rsidRPr="00F2785D">
        <w:rPr>
          <w:sz w:val="24"/>
          <w:szCs w:val="24"/>
        </w:rPr>
        <w:t xml:space="preserve"> ved en eksponering, der blev anset som tilstrækkeligt over den maksimale humane eksponering, hvilket indikerer ringe relevans for klinisk anvendelse af dette lægemiddel.</w:t>
      </w:r>
    </w:p>
    <w:p w14:paraId="6EF99478" w14:textId="77777777" w:rsidR="000A322C" w:rsidRPr="00F2785D" w:rsidRDefault="000A322C" w:rsidP="00475455">
      <w:pPr>
        <w:ind w:left="851"/>
        <w:rPr>
          <w:sz w:val="24"/>
          <w:szCs w:val="24"/>
        </w:rPr>
      </w:pPr>
    </w:p>
    <w:p w14:paraId="77C1A066" w14:textId="77777777" w:rsidR="000A322C" w:rsidRPr="00F2785D" w:rsidRDefault="000A322C" w:rsidP="00475455">
      <w:pPr>
        <w:ind w:left="851"/>
        <w:rPr>
          <w:sz w:val="24"/>
          <w:szCs w:val="24"/>
        </w:rPr>
      </w:pPr>
      <w:r w:rsidRPr="00F2785D">
        <w:rPr>
          <w:sz w:val="24"/>
          <w:szCs w:val="24"/>
        </w:rPr>
        <w:t>Dette lægemiddel frarådes under graviditeten medmindre den potentielle fordel for moderen opvejer den potentielle risiko for fostret.</w:t>
      </w:r>
    </w:p>
    <w:p w14:paraId="5A335CF8" w14:textId="77777777" w:rsidR="000A322C" w:rsidRPr="00F2785D" w:rsidRDefault="000A322C" w:rsidP="00475455">
      <w:pPr>
        <w:ind w:left="851"/>
        <w:rPr>
          <w:sz w:val="24"/>
          <w:szCs w:val="24"/>
        </w:rPr>
      </w:pPr>
    </w:p>
    <w:p w14:paraId="7F826FEE" w14:textId="77777777" w:rsidR="000A322C" w:rsidRPr="00F2785D" w:rsidRDefault="000A322C" w:rsidP="00475455">
      <w:pPr>
        <w:ind w:left="851"/>
        <w:rPr>
          <w:sz w:val="24"/>
          <w:szCs w:val="24"/>
          <w:u w:val="single"/>
        </w:rPr>
      </w:pPr>
      <w:r w:rsidRPr="00F2785D">
        <w:rPr>
          <w:sz w:val="24"/>
          <w:szCs w:val="24"/>
          <w:u w:val="single"/>
        </w:rPr>
        <w:t>Amning</w:t>
      </w:r>
    </w:p>
    <w:p w14:paraId="4A0CF57F" w14:textId="34B4FCA6" w:rsidR="000A322C" w:rsidRPr="00F2785D" w:rsidRDefault="000A322C" w:rsidP="00475455">
      <w:pPr>
        <w:ind w:left="851"/>
        <w:rPr>
          <w:sz w:val="24"/>
          <w:szCs w:val="24"/>
        </w:rPr>
      </w:pPr>
      <w:r w:rsidRPr="00F2785D">
        <w:rPr>
          <w:sz w:val="24"/>
          <w:szCs w:val="24"/>
        </w:rPr>
        <w:t xml:space="preserve">Der er meget begrænsede oplysninger om virkningerne af </w:t>
      </w:r>
      <w:proofErr w:type="spellStart"/>
      <w:r w:rsidRPr="00F2785D">
        <w:rPr>
          <w:sz w:val="24"/>
          <w:szCs w:val="24"/>
        </w:rPr>
        <w:t>ciclosporin</w:t>
      </w:r>
      <w:proofErr w:type="spellEnd"/>
      <w:r w:rsidRPr="00F2785D">
        <w:rPr>
          <w:sz w:val="24"/>
          <w:szCs w:val="24"/>
        </w:rPr>
        <w:t xml:space="preserve"> hos nyfødte/spæd</w:t>
      </w:r>
      <w:r w:rsidR="00D7144A">
        <w:rPr>
          <w:sz w:val="24"/>
          <w:szCs w:val="24"/>
        </w:rPr>
        <w:softHyphen/>
      </w:r>
      <w:r w:rsidRPr="00F2785D">
        <w:rPr>
          <w:sz w:val="24"/>
          <w:szCs w:val="24"/>
        </w:rPr>
        <w:t xml:space="preserve">børn. I betragtning af de terapeutiske doser af </w:t>
      </w:r>
      <w:proofErr w:type="spellStart"/>
      <w:r w:rsidRPr="00F2785D">
        <w:rPr>
          <w:sz w:val="24"/>
          <w:szCs w:val="24"/>
        </w:rPr>
        <w:t>ciclosporin</w:t>
      </w:r>
      <w:proofErr w:type="spellEnd"/>
      <w:r w:rsidRPr="00F2785D">
        <w:rPr>
          <w:sz w:val="24"/>
          <w:szCs w:val="24"/>
        </w:rPr>
        <w:t xml:space="preserve"> i øjendråber, er det usandsynligt, at der vil være tilstrækkelige mængder til stede i modermælken. Grundet det lave potentielle eksponeringsniveau forventes der derfor ikke bivirkninger hos spædbørn, der ammes, men det kan ikke udelukkes. Der bør tages højde for de udviklings- og sundhedsmæssige fordele ved amning for barnet i forhold til de kliniske behov for behandling med </w:t>
      </w:r>
      <w:proofErr w:type="spellStart"/>
      <w:r w:rsidRPr="00F2785D">
        <w:rPr>
          <w:sz w:val="24"/>
          <w:szCs w:val="24"/>
        </w:rPr>
        <w:t>ciclosporin</w:t>
      </w:r>
      <w:proofErr w:type="spellEnd"/>
      <w:r w:rsidRPr="00F2785D">
        <w:rPr>
          <w:sz w:val="24"/>
          <w:szCs w:val="24"/>
        </w:rPr>
        <w:t xml:space="preserve"> for moderen samt eventuelle bivirkninger forårsaget af </w:t>
      </w:r>
      <w:proofErr w:type="spellStart"/>
      <w:r w:rsidRPr="00F2785D">
        <w:rPr>
          <w:sz w:val="24"/>
          <w:szCs w:val="24"/>
        </w:rPr>
        <w:t>ciclosporin</w:t>
      </w:r>
      <w:proofErr w:type="spellEnd"/>
      <w:r w:rsidRPr="00F2785D">
        <w:rPr>
          <w:sz w:val="24"/>
          <w:szCs w:val="24"/>
        </w:rPr>
        <w:t xml:space="preserve"> hos barnet, der ammes.</w:t>
      </w:r>
    </w:p>
    <w:p w14:paraId="6E32E2AC" w14:textId="77777777" w:rsidR="000A322C" w:rsidRPr="00F2785D" w:rsidRDefault="000A322C" w:rsidP="00475455">
      <w:pPr>
        <w:ind w:left="851"/>
        <w:rPr>
          <w:sz w:val="24"/>
          <w:szCs w:val="24"/>
        </w:rPr>
      </w:pPr>
    </w:p>
    <w:p w14:paraId="312EE303" w14:textId="77777777" w:rsidR="000A322C" w:rsidRPr="00F2785D" w:rsidRDefault="000A322C" w:rsidP="00475455">
      <w:pPr>
        <w:ind w:left="851"/>
        <w:rPr>
          <w:sz w:val="24"/>
          <w:szCs w:val="24"/>
          <w:u w:val="single"/>
        </w:rPr>
      </w:pPr>
      <w:r w:rsidRPr="00F2785D">
        <w:rPr>
          <w:sz w:val="24"/>
          <w:szCs w:val="24"/>
          <w:u w:val="single"/>
        </w:rPr>
        <w:t>Fertilitet</w:t>
      </w:r>
    </w:p>
    <w:p w14:paraId="6EC7ADBF" w14:textId="77777777" w:rsidR="000A322C" w:rsidRPr="00F2785D" w:rsidRDefault="000A322C" w:rsidP="00475455">
      <w:pPr>
        <w:ind w:left="851"/>
        <w:rPr>
          <w:sz w:val="24"/>
          <w:szCs w:val="24"/>
        </w:rPr>
      </w:pPr>
      <w:r w:rsidRPr="00F2785D">
        <w:rPr>
          <w:sz w:val="24"/>
          <w:szCs w:val="24"/>
        </w:rPr>
        <w:t xml:space="preserve">Der foreligger ingen data om virkningen af </w:t>
      </w:r>
      <w:proofErr w:type="spellStart"/>
      <w:r w:rsidRPr="00F2785D">
        <w:rPr>
          <w:sz w:val="24"/>
          <w:szCs w:val="24"/>
        </w:rPr>
        <w:t>ciclosporin</w:t>
      </w:r>
      <w:proofErr w:type="spellEnd"/>
      <w:r w:rsidRPr="00F2785D">
        <w:rPr>
          <w:sz w:val="24"/>
          <w:szCs w:val="24"/>
        </w:rPr>
        <w:t xml:space="preserve"> på human fertilitet.</w:t>
      </w:r>
    </w:p>
    <w:p w14:paraId="7D617969" w14:textId="77777777" w:rsidR="000A322C" w:rsidRPr="00F2785D" w:rsidRDefault="000A322C" w:rsidP="00475455">
      <w:pPr>
        <w:ind w:left="851"/>
        <w:rPr>
          <w:sz w:val="24"/>
          <w:szCs w:val="24"/>
        </w:rPr>
      </w:pPr>
      <w:r w:rsidRPr="00F2785D">
        <w:rPr>
          <w:sz w:val="24"/>
          <w:szCs w:val="24"/>
        </w:rPr>
        <w:t xml:space="preserve">Der er ikke blevet rapporteret om forringelse af fertiliteten hos dyr, der fik intravenøs </w:t>
      </w:r>
      <w:proofErr w:type="spellStart"/>
      <w:r w:rsidRPr="00F2785D">
        <w:rPr>
          <w:sz w:val="24"/>
          <w:szCs w:val="24"/>
        </w:rPr>
        <w:t>ciclosporin</w:t>
      </w:r>
      <w:proofErr w:type="spellEnd"/>
      <w:r w:rsidRPr="00F2785D">
        <w:rPr>
          <w:sz w:val="24"/>
          <w:szCs w:val="24"/>
        </w:rPr>
        <w:t xml:space="preserve"> eller oral </w:t>
      </w:r>
      <w:proofErr w:type="spellStart"/>
      <w:r w:rsidRPr="00F2785D">
        <w:rPr>
          <w:sz w:val="24"/>
          <w:szCs w:val="24"/>
        </w:rPr>
        <w:t>ciclosporin</w:t>
      </w:r>
      <w:proofErr w:type="spellEnd"/>
      <w:r w:rsidRPr="00F2785D">
        <w:rPr>
          <w:sz w:val="24"/>
          <w:szCs w:val="24"/>
        </w:rPr>
        <w:t xml:space="preserve"> op til høje doser (se pkt. 5.3).</w:t>
      </w:r>
    </w:p>
    <w:p w14:paraId="31CFDFBC" w14:textId="77777777" w:rsidR="009260DE" w:rsidRPr="00F2785D" w:rsidRDefault="009260DE" w:rsidP="009260DE">
      <w:pPr>
        <w:tabs>
          <w:tab w:val="left" w:pos="851"/>
        </w:tabs>
        <w:ind w:left="851"/>
        <w:rPr>
          <w:sz w:val="24"/>
          <w:szCs w:val="24"/>
        </w:rPr>
      </w:pPr>
    </w:p>
    <w:p w14:paraId="0EC6F0F0" w14:textId="77777777" w:rsidR="009260DE" w:rsidRPr="00F2785D" w:rsidRDefault="009260DE" w:rsidP="009260DE">
      <w:pPr>
        <w:tabs>
          <w:tab w:val="left" w:pos="851"/>
        </w:tabs>
        <w:ind w:left="851" w:hanging="851"/>
        <w:rPr>
          <w:b/>
          <w:sz w:val="24"/>
          <w:szCs w:val="24"/>
        </w:rPr>
      </w:pPr>
      <w:r w:rsidRPr="00F2785D">
        <w:rPr>
          <w:b/>
          <w:sz w:val="24"/>
          <w:szCs w:val="24"/>
        </w:rPr>
        <w:t>4.7</w:t>
      </w:r>
      <w:r w:rsidRPr="00F2785D">
        <w:rPr>
          <w:b/>
          <w:sz w:val="24"/>
          <w:szCs w:val="24"/>
        </w:rPr>
        <w:tab/>
        <w:t xml:space="preserve">Virkning på evnen til at føre motorkøretøj </w:t>
      </w:r>
      <w:r w:rsidR="0071241E" w:rsidRPr="00F2785D">
        <w:rPr>
          <w:b/>
          <w:sz w:val="24"/>
          <w:szCs w:val="24"/>
        </w:rPr>
        <w:t>og</w:t>
      </w:r>
      <w:r w:rsidRPr="00F2785D">
        <w:rPr>
          <w:b/>
          <w:sz w:val="24"/>
          <w:szCs w:val="24"/>
        </w:rPr>
        <w:t xml:space="preserve"> betjene maskiner</w:t>
      </w:r>
    </w:p>
    <w:p w14:paraId="58CADD1C" w14:textId="77777777" w:rsidR="000A322C" w:rsidRPr="00F2785D" w:rsidRDefault="000A322C" w:rsidP="00475455">
      <w:pPr>
        <w:ind w:left="851"/>
        <w:rPr>
          <w:sz w:val="24"/>
          <w:szCs w:val="24"/>
        </w:rPr>
      </w:pPr>
      <w:r w:rsidRPr="00F2785D">
        <w:rPr>
          <w:sz w:val="24"/>
          <w:szCs w:val="24"/>
        </w:rPr>
        <w:t>Ikke mærkning.</w:t>
      </w:r>
    </w:p>
    <w:p w14:paraId="799169EA" w14:textId="77777777" w:rsidR="000A322C" w:rsidRPr="00F2785D" w:rsidRDefault="000A322C" w:rsidP="00475455">
      <w:pPr>
        <w:ind w:left="851"/>
        <w:rPr>
          <w:sz w:val="24"/>
          <w:szCs w:val="24"/>
        </w:rPr>
      </w:pPr>
      <w:r w:rsidRPr="00F2785D">
        <w:rPr>
          <w:sz w:val="24"/>
          <w:szCs w:val="24"/>
        </w:rPr>
        <w:t>Øjendråber kan fremkalde midlertidigt sløret syn, som kan påvirke evnen til at føre motorkøretøj eller betjene maskiner. Patienterne bør frarådes at føre motorkøretøj eller betjene maskiner, indtil deres syn er blevet klart igen.</w:t>
      </w:r>
    </w:p>
    <w:p w14:paraId="3F1EF5AC" w14:textId="77777777" w:rsidR="009260DE" w:rsidRPr="00F2785D" w:rsidRDefault="009260DE" w:rsidP="009260DE">
      <w:pPr>
        <w:tabs>
          <w:tab w:val="left" w:pos="851"/>
        </w:tabs>
        <w:ind w:left="851"/>
        <w:rPr>
          <w:sz w:val="24"/>
          <w:szCs w:val="24"/>
        </w:rPr>
      </w:pPr>
    </w:p>
    <w:p w14:paraId="21C38FCB" w14:textId="77777777" w:rsidR="009260DE" w:rsidRPr="00F2785D" w:rsidRDefault="009260DE" w:rsidP="009260DE">
      <w:pPr>
        <w:tabs>
          <w:tab w:val="left" w:pos="851"/>
        </w:tabs>
        <w:ind w:left="851" w:hanging="851"/>
        <w:rPr>
          <w:b/>
          <w:sz w:val="24"/>
          <w:szCs w:val="24"/>
        </w:rPr>
      </w:pPr>
      <w:r w:rsidRPr="00F2785D">
        <w:rPr>
          <w:b/>
          <w:sz w:val="24"/>
          <w:szCs w:val="24"/>
        </w:rPr>
        <w:t>4.8</w:t>
      </w:r>
      <w:r w:rsidRPr="00F2785D">
        <w:rPr>
          <w:b/>
          <w:sz w:val="24"/>
          <w:szCs w:val="24"/>
        </w:rPr>
        <w:tab/>
        <w:t>Bivirkninger</w:t>
      </w:r>
    </w:p>
    <w:p w14:paraId="43F0874D" w14:textId="77777777" w:rsidR="00F2785D" w:rsidRDefault="00F2785D" w:rsidP="00475455">
      <w:pPr>
        <w:ind w:left="851"/>
        <w:rPr>
          <w:sz w:val="24"/>
          <w:szCs w:val="24"/>
        </w:rPr>
      </w:pPr>
    </w:p>
    <w:p w14:paraId="5D1C7DEA" w14:textId="1DAAFE75" w:rsidR="000A322C" w:rsidRPr="00F2785D" w:rsidRDefault="000A322C" w:rsidP="00475455">
      <w:pPr>
        <w:ind w:left="851"/>
        <w:rPr>
          <w:b/>
          <w:i/>
          <w:sz w:val="24"/>
          <w:szCs w:val="24"/>
        </w:rPr>
      </w:pPr>
      <w:r w:rsidRPr="00F2785D">
        <w:rPr>
          <w:b/>
          <w:i/>
          <w:sz w:val="24"/>
          <w:szCs w:val="24"/>
        </w:rPr>
        <w:t>a.</w:t>
      </w:r>
      <w:r w:rsidRPr="00F2785D">
        <w:rPr>
          <w:b/>
          <w:i/>
          <w:sz w:val="24"/>
          <w:szCs w:val="24"/>
        </w:rPr>
        <w:tab/>
        <w:t>Resume af sikkerhedsprofilen</w:t>
      </w:r>
    </w:p>
    <w:p w14:paraId="29175ABE" w14:textId="77777777" w:rsidR="000A322C" w:rsidRPr="00F2785D" w:rsidRDefault="000A322C" w:rsidP="00475455">
      <w:pPr>
        <w:ind w:left="851"/>
        <w:rPr>
          <w:sz w:val="24"/>
          <w:szCs w:val="24"/>
        </w:rPr>
      </w:pPr>
      <w:r w:rsidRPr="00F2785D">
        <w:rPr>
          <w:sz w:val="24"/>
          <w:szCs w:val="24"/>
        </w:rPr>
        <w:t xml:space="preserve">Den primære vurdering af sikkerheden for dette lægemiddel er baseret på vehikelkontrollerede studier. Understøttende sikkerhedsdata blev tilvejebragt i den ukontrollerede sikkerhedsudvidelse i et studie til langtidsbrug, og et fase 1-studie med raske frivillige. Flere end 520 patienter blev behandlet med lægemidlet i de vehikelkontrollerede kliniske studier. De mest almindelige bivirkninger er smerter på </w:t>
      </w:r>
      <w:proofErr w:type="spellStart"/>
      <w:r w:rsidRPr="00F2785D">
        <w:rPr>
          <w:sz w:val="24"/>
          <w:szCs w:val="24"/>
        </w:rPr>
        <w:t>inddrypningsstedet</w:t>
      </w:r>
      <w:proofErr w:type="spellEnd"/>
      <w:r w:rsidRPr="00F2785D">
        <w:rPr>
          <w:sz w:val="24"/>
          <w:szCs w:val="24"/>
        </w:rPr>
        <w:t xml:space="preserve"> (21,6 % versus 3,8 % af forsøgspersonerne i vehikelgruppen) observeret umiddelbart efter administration af lægemidlet, </w:t>
      </w:r>
      <w:proofErr w:type="spellStart"/>
      <w:r w:rsidRPr="00F2785D">
        <w:rPr>
          <w:sz w:val="24"/>
          <w:szCs w:val="24"/>
        </w:rPr>
        <w:t>konjunktival</w:t>
      </w:r>
      <w:proofErr w:type="spellEnd"/>
      <w:r w:rsidRPr="00F2785D">
        <w:rPr>
          <w:sz w:val="24"/>
          <w:szCs w:val="24"/>
        </w:rPr>
        <w:t xml:space="preserve"> </w:t>
      </w:r>
      <w:proofErr w:type="spellStart"/>
      <w:r w:rsidRPr="00F2785D">
        <w:rPr>
          <w:sz w:val="24"/>
          <w:szCs w:val="24"/>
        </w:rPr>
        <w:t>hyperæmi</w:t>
      </w:r>
      <w:proofErr w:type="spellEnd"/>
      <w:r w:rsidRPr="00F2785D">
        <w:rPr>
          <w:sz w:val="24"/>
          <w:szCs w:val="24"/>
        </w:rPr>
        <w:t xml:space="preserve"> (5,7 % versus 3,6 % i vehikelgruppen) og øjenirritation (1,1 % versus 0,2 % i vehikelgruppen).</w:t>
      </w:r>
    </w:p>
    <w:p w14:paraId="0000F19C" w14:textId="77777777" w:rsidR="000A322C" w:rsidRPr="00F2785D" w:rsidRDefault="000A322C" w:rsidP="00475455">
      <w:pPr>
        <w:ind w:left="851"/>
        <w:rPr>
          <w:sz w:val="24"/>
          <w:szCs w:val="24"/>
        </w:rPr>
      </w:pPr>
    </w:p>
    <w:p w14:paraId="3F41A532" w14:textId="77777777" w:rsidR="000A322C" w:rsidRPr="00F2785D" w:rsidRDefault="000A322C" w:rsidP="00475455">
      <w:pPr>
        <w:ind w:left="851"/>
        <w:rPr>
          <w:sz w:val="24"/>
          <w:szCs w:val="24"/>
        </w:rPr>
      </w:pPr>
      <w:r w:rsidRPr="00F2785D">
        <w:rPr>
          <w:sz w:val="24"/>
          <w:szCs w:val="24"/>
        </w:rPr>
        <w:t xml:space="preserve">Størstedelen af bivirkningerne, der blev rapporteret i kliniske studier med brugen af lægemidlet, var </w:t>
      </w:r>
      <w:proofErr w:type="spellStart"/>
      <w:r w:rsidRPr="00F2785D">
        <w:rPr>
          <w:sz w:val="24"/>
          <w:szCs w:val="24"/>
        </w:rPr>
        <w:t>okulære</w:t>
      </w:r>
      <w:proofErr w:type="spellEnd"/>
      <w:r w:rsidRPr="00F2785D">
        <w:rPr>
          <w:sz w:val="24"/>
          <w:szCs w:val="24"/>
        </w:rPr>
        <w:t xml:space="preserve"> og overvejende lette i intensitet (ca. 70 % af bivirkningerne i begge behandlingsgrupper var lette), og de forsvandt i de fleste tilfælde uden behandling eller følgevirkninger. Bivirkninger af svær intensitet var ikke almindelige.</w:t>
      </w:r>
    </w:p>
    <w:p w14:paraId="546B397E" w14:textId="77777777" w:rsidR="000A322C" w:rsidRPr="00F2785D" w:rsidRDefault="000A322C" w:rsidP="00475455">
      <w:pPr>
        <w:ind w:left="851"/>
        <w:rPr>
          <w:sz w:val="24"/>
          <w:szCs w:val="24"/>
        </w:rPr>
      </w:pPr>
    </w:p>
    <w:p w14:paraId="30898598" w14:textId="77777777" w:rsidR="000A322C" w:rsidRPr="00F2785D" w:rsidRDefault="000A322C" w:rsidP="00475455">
      <w:pPr>
        <w:ind w:left="851"/>
        <w:rPr>
          <w:sz w:val="24"/>
          <w:szCs w:val="24"/>
        </w:rPr>
      </w:pPr>
      <w:r w:rsidRPr="00F2785D">
        <w:rPr>
          <w:sz w:val="24"/>
          <w:szCs w:val="24"/>
        </w:rPr>
        <w:t xml:space="preserve">Der var få bivirkninger, der førte til </w:t>
      </w:r>
      <w:proofErr w:type="spellStart"/>
      <w:r w:rsidRPr="00F2785D">
        <w:rPr>
          <w:sz w:val="24"/>
          <w:szCs w:val="24"/>
        </w:rPr>
        <w:t>seponering</w:t>
      </w:r>
      <w:proofErr w:type="spellEnd"/>
      <w:r w:rsidRPr="00F2785D">
        <w:rPr>
          <w:sz w:val="24"/>
          <w:szCs w:val="24"/>
        </w:rPr>
        <w:t xml:space="preserve"> af studielægemidlet (4,2 % versus 1,7 %), på tværs af OTX-101- og vehikelgrupperne.</w:t>
      </w:r>
    </w:p>
    <w:p w14:paraId="26D6E47F" w14:textId="77777777" w:rsidR="000A322C" w:rsidRPr="00F2785D" w:rsidRDefault="000A322C" w:rsidP="00475455">
      <w:pPr>
        <w:ind w:left="851"/>
        <w:rPr>
          <w:sz w:val="24"/>
          <w:szCs w:val="24"/>
        </w:rPr>
      </w:pPr>
    </w:p>
    <w:p w14:paraId="1D08B288" w14:textId="77777777" w:rsidR="000A322C" w:rsidRPr="00F2785D" w:rsidRDefault="000A322C" w:rsidP="00475455">
      <w:pPr>
        <w:ind w:left="851"/>
        <w:rPr>
          <w:sz w:val="24"/>
          <w:szCs w:val="24"/>
        </w:rPr>
      </w:pPr>
      <w:r w:rsidRPr="00F2785D">
        <w:rPr>
          <w:sz w:val="24"/>
          <w:szCs w:val="24"/>
        </w:rPr>
        <w:t>Der var tilgængelige langtidssikkerhedsdata (9 til ≥ 12 måneder) fra 220 patienter. Der blev ikke identificeret nye bivirkninger hos disse patienter.</w:t>
      </w:r>
    </w:p>
    <w:p w14:paraId="71B5CF70" w14:textId="77777777" w:rsidR="000A322C" w:rsidRPr="00F2785D" w:rsidRDefault="000A322C" w:rsidP="00475455">
      <w:pPr>
        <w:ind w:left="851"/>
        <w:rPr>
          <w:sz w:val="24"/>
          <w:szCs w:val="24"/>
        </w:rPr>
      </w:pPr>
    </w:p>
    <w:p w14:paraId="66E3F931" w14:textId="77777777" w:rsidR="000A322C" w:rsidRPr="00F2785D" w:rsidRDefault="000A322C" w:rsidP="00475455">
      <w:pPr>
        <w:ind w:left="851"/>
        <w:rPr>
          <w:sz w:val="24"/>
          <w:szCs w:val="24"/>
        </w:rPr>
      </w:pPr>
      <w:r w:rsidRPr="00F2785D">
        <w:rPr>
          <w:sz w:val="24"/>
          <w:szCs w:val="24"/>
        </w:rPr>
        <w:t>De nedenstående bivirkninger blev observeret i kliniske studier. De er opstillet efter systemorganklasse og klassificeret efter følgende konvention: meget almindelig (≥ 1/10), almindelig (≥ 1/100 til &lt; 1/10), ikke almindelig (≥ 1/1.000 til &lt; 1/100), sjælden (≥ 1/10.000 til &lt; 1/1.000), meget sjælden (&lt; 1/10.000) eller ikke kendt (kan ikke estimeres ud fra forhåndenværende data).</w:t>
      </w:r>
    </w:p>
    <w:p w14:paraId="52DBB03B" w14:textId="77777777" w:rsidR="000A322C" w:rsidRPr="00F2785D" w:rsidRDefault="000A322C" w:rsidP="00475455">
      <w:pPr>
        <w:ind w:left="851"/>
        <w:rPr>
          <w:sz w:val="24"/>
          <w:szCs w:val="24"/>
        </w:rPr>
      </w:pPr>
    </w:p>
    <w:p w14:paraId="5104A2B2" w14:textId="77777777" w:rsidR="000A322C" w:rsidRPr="00F2785D" w:rsidRDefault="000A322C" w:rsidP="00475455">
      <w:pPr>
        <w:ind w:left="851"/>
        <w:rPr>
          <w:b/>
          <w:i/>
          <w:sz w:val="24"/>
          <w:szCs w:val="24"/>
        </w:rPr>
      </w:pPr>
      <w:r w:rsidRPr="00F2785D">
        <w:rPr>
          <w:b/>
          <w:i/>
          <w:sz w:val="24"/>
          <w:szCs w:val="24"/>
        </w:rPr>
        <w:lastRenderedPageBreak/>
        <w:t>b.</w:t>
      </w:r>
      <w:r w:rsidRPr="00F2785D">
        <w:rPr>
          <w:b/>
          <w:i/>
          <w:sz w:val="24"/>
          <w:szCs w:val="24"/>
        </w:rPr>
        <w:tab/>
        <w:t>Tabel over bivirkninger</w:t>
      </w:r>
    </w:p>
    <w:tbl>
      <w:tblPr>
        <w:tblStyle w:val="Tabel-Gitter"/>
        <w:tblW w:w="5000" w:type="pct"/>
        <w:tblInd w:w="0" w:type="dxa"/>
        <w:tblLook w:val="04A0" w:firstRow="1" w:lastRow="0" w:firstColumn="1" w:lastColumn="0" w:noHBand="0" w:noVBand="1"/>
      </w:tblPr>
      <w:tblGrid>
        <w:gridCol w:w="2557"/>
        <w:gridCol w:w="1960"/>
        <w:gridCol w:w="5111"/>
      </w:tblGrid>
      <w:tr w:rsidR="000A322C" w:rsidRPr="00D7144A" w14:paraId="7BAF1EDB" w14:textId="77777777" w:rsidTr="00475455">
        <w:tc>
          <w:tcPr>
            <w:tcW w:w="1328" w:type="pct"/>
            <w:tcBorders>
              <w:top w:val="single" w:sz="4" w:space="0" w:color="auto"/>
              <w:left w:val="single" w:sz="4" w:space="0" w:color="auto"/>
              <w:bottom w:val="single" w:sz="4" w:space="0" w:color="auto"/>
              <w:right w:val="single" w:sz="4" w:space="0" w:color="auto"/>
            </w:tcBorders>
            <w:hideMark/>
          </w:tcPr>
          <w:p w14:paraId="39E269A5" w14:textId="77777777" w:rsidR="000A322C" w:rsidRPr="00D7144A" w:rsidRDefault="000A322C">
            <w:pPr>
              <w:jc w:val="center"/>
              <w:rPr>
                <w:sz w:val="24"/>
                <w:szCs w:val="24"/>
                <w:lang w:val="da-DK"/>
              </w:rPr>
            </w:pPr>
            <w:r w:rsidRPr="00D7144A">
              <w:rPr>
                <w:sz w:val="24"/>
                <w:szCs w:val="24"/>
                <w:lang w:val="da-DK"/>
              </w:rPr>
              <w:t>Systemorganklasse</w:t>
            </w:r>
          </w:p>
        </w:tc>
        <w:tc>
          <w:tcPr>
            <w:tcW w:w="1018" w:type="pct"/>
            <w:tcBorders>
              <w:top w:val="single" w:sz="4" w:space="0" w:color="auto"/>
              <w:left w:val="single" w:sz="4" w:space="0" w:color="auto"/>
              <w:bottom w:val="single" w:sz="4" w:space="0" w:color="auto"/>
              <w:right w:val="single" w:sz="4" w:space="0" w:color="auto"/>
            </w:tcBorders>
            <w:hideMark/>
          </w:tcPr>
          <w:p w14:paraId="3DFBB6C2" w14:textId="77777777" w:rsidR="000A322C" w:rsidRPr="00D7144A" w:rsidRDefault="000A322C">
            <w:pPr>
              <w:jc w:val="center"/>
              <w:rPr>
                <w:sz w:val="24"/>
                <w:szCs w:val="24"/>
                <w:lang w:val="da-DK"/>
              </w:rPr>
            </w:pPr>
            <w:r w:rsidRPr="00D7144A">
              <w:rPr>
                <w:sz w:val="24"/>
                <w:szCs w:val="24"/>
                <w:lang w:val="da-DK"/>
              </w:rPr>
              <w:t>Hyppighed</w:t>
            </w:r>
          </w:p>
        </w:tc>
        <w:tc>
          <w:tcPr>
            <w:tcW w:w="2654" w:type="pct"/>
            <w:tcBorders>
              <w:top w:val="single" w:sz="4" w:space="0" w:color="auto"/>
              <w:left w:val="single" w:sz="4" w:space="0" w:color="auto"/>
              <w:bottom w:val="single" w:sz="4" w:space="0" w:color="auto"/>
              <w:right w:val="single" w:sz="4" w:space="0" w:color="auto"/>
            </w:tcBorders>
            <w:hideMark/>
          </w:tcPr>
          <w:p w14:paraId="7C9F05D1" w14:textId="77777777" w:rsidR="000A322C" w:rsidRPr="00D7144A" w:rsidRDefault="000A322C">
            <w:pPr>
              <w:jc w:val="center"/>
              <w:rPr>
                <w:sz w:val="24"/>
                <w:szCs w:val="24"/>
                <w:lang w:val="da-DK"/>
              </w:rPr>
            </w:pPr>
            <w:r w:rsidRPr="00D7144A">
              <w:rPr>
                <w:sz w:val="24"/>
                <w:szCs w:val="24"/>
                <w:lang w:val="da-DK"/>
              </w:rPr>
              <w:t>Bivirkninger</w:t>
            </w:r>
          </w:p>
        </w:tc>
      </w:tr>
      <w:tr w:rsidR="000A322C" w:rsidRPr="00D7144A" w14:paraId="192159E8" w14:textId="77777777" w:rsidTr="00475455">
        <w:tc>
          <w:tcPr>
            <w:tcW w:w="1328" w:type="pct"/>
            <w:vMerge w:val="restart"/>
            <w:tcBorders>
              <w:top w:val="single" w:sz="4" w:space="0" w:color="auto"/>
              <w:left w:val="single" w:sz="4" w:space="0" w:color="auto"/>
              <w:bottom w:val="single" w:sz="4" w:space="0" w:color="auto"/>
              <w:right w:val="single" w:sz="4" w:space="0" w:color="auto"/>
            </w:tcBorders>
            <w:hideMark/>
          </w:tcPr>
          <w:p w14:paraId="083FA22F" w14:textId="77777777" w:rsidR="000A322C" w:rsidRPr="00D7144A" w:rsidRDefault="000A322C">
            <w:pPr>
              <w:rPr>
                <w:sz w:val="24"/>
                <w:szCs w:val="24"/>
                <w:lang w:val="da-DK"/>
              </w:rPr>
            </w:pPr>
            <w:r w:rsidRPr="00D7144A">
              <w:rPr>
                <w:sz w:val="24"/>
                <w:szCs w:val="24"/>
                <w:lang w:val="da-DK"/>
              </w:rPr>
              <w:t>Øjne</w:t>
            </w:r>
          </w:p>
        </w:tc>
        <w:tc>
          <w:tcPr>
            <w:tcW w:w="1018" w:type="pct"/>
            <w:tcBorders>
              <w:top w:val="single" w:sz="4" w:space="0" w:color="auto"/>
              <w:left w:val="single" w:sz="4" w:space="0" w:color="auto"/>
              <w:bottom w:val="single" w:sz="4" w:space="0" w:color="auto"/>
              <w:right w:val="single" w:sz="4" w:space="0" w:color="auto"/>
            </w:tcBorders>
            <w:hideMark/>
          </w:tcPr>
          <w:p w14:paraId="0C3DAAD6" w14:textId="77777777" w:rsidR="000A322C" w:rsidRPr="00D7144A" w:rsidRDefault="000A322C">
            <w:pPr>
              <w:rPr>
                <w:sz w:val="24"/>
                <w:szCs w:val="24"/>
                <w:lang w:val="da-DK"/>
              </w:rPr>
            </w:pPr>
            <w:r w:rsidRPr="00D7144A">
              <w:rPr>
                <w:sz w:val="24"/>
                <w:szCs w:val="24"/>
                <w:lang w:val="da-DK"/>
              </w:rPr>
              <w:t>Almindelig</w:t>
            </w:r>
          </w:p>
        </w:tc>
        <w:tc>
          <w:tcPr>
            <w:tcW w:w="2654" w:type="pct"/>
            <w:tcBorders>
              <w:top w:val="single" w:sz="4" w:space="0" w:color="auto"/>
              <w:left w:val="single" w:sz="4" w:space="0" w:color="auto"/>
              <w:bottom w:val="single" w:sz="4" w:space="0" w:color="auto"/>
              <w:right w:val="single" w:sz="4" w:space="0" w:color="auto"/>
            </w:tcBorders>
            <w:hideMark/>
          </w:tcPr>
          <w:p w14:paraId="34CF8B57" w14:textId="77777777" w:rsidR="000A322C" w:rsidRPr="00D7144A" w:rsidRDefault="000A322C">
            <w:pPr>
              <w:rPr>
                <w:sz w:val="24"/>
                <w:szCs w:val="24"/>
                <w:lang w:val="da-DK"/>
              </w:rPr>
            </w:pPr>
            <w:proofErr w:type="spellStart"/>
            <w:r w:rsidRPr="00D7144A">
              <w:rPr>
                <w:sz w:val="24"/>
                <w:szCs w:val="24"/>
                <w:lang w:val="da-DK"/>
              </w:rPr>
              <w:t>Konjunktival</w:t>
            </w:r>
            <w:proofErr w:type="spellEnd"/>
            <w:r w:rsidRPr="00D7144A">
              <w:rPr>
                <w:sz w:val="24"/>
                <w:szCs w:val="24"/>
                <w:lang w:val="da-DK"/>
              </w:rPr>
              <w:t xml:space="preserve"> </w:t>
            </w:r>
            <w:proofErr w:type="spellStart"/>
            <w:r w:rsidRPr="00D7144A">
              <w:rPr>
                <w:sz w:val="24"/>
                <w:szCs w:val="24"/>
                <w:lang w:val="da-DK"/>
              </w:rPr>
              <w:t>hyperæmi</w:t>
            </w:r>
            <w:proofErr w:type="spellEnd"/>
            <w:r w:rsidRPr="00D7144A">
              <w:rPr>
                <w:sz w:val="24"/>
                <w:szCs w:val="24"/>
                <w:lang w:val="da-DK"/>
              </w:rPr>
              <w:t>, øjenirritation</w:t>
            </w:r>
          </w:p>
        </w:tc>
      </w:tr>
      <w:tr w:rsidR="000A322C" w:rsidRPr="00D7144A" w14:paraId="56D1A3B4" w14:textId="77777777" w:rsidTr="00475455">
        <w:tc>
          <w:tcPr>
            <w:tcW w:w="1328" w:type="pct"/>
            <w:vMerge/>
            <w:tcBorders>
              <w:top w:val="single" w:sz="4" w:space="0" w:color="auto"/>
              <w:left w:val="single" w:sz="4" w:space="0" w:color="auto"/>
              <w:bottom w:val="single" w:sz="4" w:space="0" w:color="auto"/>
              <w:right w:val="single" w:sz="4" w:space="0" w:color="auto"/>
            </w:tcBorders>
            <w:vAlign w:val="center"/>
            <w:hideMark/>
          </w:tcPr>
          <w:p w14:paraId="2F82CFD5" w14:textId="77777777" w:rsidR="000A322C" w:rsidRPr="00D7144A" w:rsidRDefault="000A322C">
            <w:pPr>
              <w:rPr>
                <w:sz w:val="24"/>
                <w:szCs w:val="24"/>
                <w:lang w:val="da-DK"/>
              </w:rPr>
            </w:pPr>
          </w:p>
        </w:tc>
        <w:tc>
          <w:tcPr>
            <w:tcW w:w="1018" w:type="pct"/>
            <w:tcBorders>
              <w:top w:val="single" w:sz="4" w:space="0" w:color="auto"/>
              <w:left w:val="single" w:sz="4" w:space="0" w:color="auto"/>
              <w:bottom w:val="single" w:sz="4" w:space="0" w:color="auto"/>
              <w:right w:val="single" w:sz="4" w:space="0" w:color="auto"/>
            </w:tcBorders>
            <w:hideMark/>
          </w:tcPr>
          <w:p w14:paraId="486BDAD9" w14:textId="77777777" w:rsidR="000A322C" w:rsidRPr="00D7144A" w:rsidRDefault="000A322C">
            <w:pPr>
              <w:rPr>
                <w:sz w:val="24"/>
                <w:szCs w:val="24"/>
                <w:lang w:val="da-DK"/>
              </w:rPr>
            </w:pPr>
            <w:r w:rsidRPr="00D7144A">
              <w:rPr>
                <w:sz w:val="24"/>
                <w:szCs w:val="24"/>
                <w:lang w:val="da-DK"/>
              </w:rPr>
              <w:t>Ikke almindelig</w:t>
            </w:r>
          </w:p>
        </w:tc>
        <w:tc>
          <w:tcPr>
            <w:tcW w:w="2654" w:type="pct"/>
            <w:tcBorders>
              <w:top w:val="single" w:sz="4" w:space="0" w:color="auto"/>
              <w:left w:val="single" w:sz="4" w:space="0" w:color="auto"/>
              <w:bottom w:val="single" w:sz="4" w:space="0" w:color="auto"/>
              <w:right w:val="single" w:sz="4" w:space="0" w:color="auto"/>
            </w:tcBorders>
            <w:hideMark/>
          </w:tcPr>
          <w:p w14:paraId="6CB780B5" w14:textId="77777777" w:rsidR="000A322C" w:rsidRPr="00D7144A" w:rsidRDefault="000A322C">
            <w:pPr>
              <w:rPr>
                <w:sz w:val="24"/>
                <w:szCs w:val="24"/>
                <w:lang w:val="da-DK"/>
              </w:rPr>
            </w:pPr>
            <w:r w:rsidRPr="00D7144A">
              <w:rPr>
                <w:sz w:val="24"/>
                <w:szCs w:val="24"/>
                <w:lang w:val="da-DK"/>
              </w:rPr>
              <w:t xml:space="preserve">Øget tåreflåd, </w:t>
            </w:r>
            <w:proofErr w:type="spellStart"/>
            <w:r w:rsidRPr="00D7144A">
              <w:rPr>
                <w:sz w:val="24"/>
                <w:szCs w:val="24"/>
                <w:lang w:val="da-DK"/>
              </w:rPr>
              <w:t>punktformig</w:t>
            </w:r>
            <w:proofErr w:type="spellEnd"/>
            <w:r w:rsidRPr="00D7144A">
              <w:rPr>
                <w:sz w:val="24"/>
                <w:szCs w:val="24"/>
                <w:lang w:val="da-DK"/>
              </w:rPr>
              <w:t xml:space="preserve"> </w:t>
            </w:r>
            <w:proofErr w:type="spellStart"/>
            <w:r w:rsidRPr="00D7144A">
              <w:rPr>
                <w:sz w:val="24"/>
                <w:szCs w:val="24"/>
                <w:lang w:val="da-DK"/>
              </w:rPr>
              <w:t>keratitis</w:t>
            </w:r>
            <w:proofErr w:type="spellEnd"/>
            <w:r w:rsidRPr="00D7144A">
              <w:rPr>
                <w:sz w:val="24"/>
                <w:szCs w:val="24"/>
                <w:lang w:val="da-DK"/>
              </w:rPr>
              <w:t xml:space="preserve">, fotofobi, øjensmerter, konjunktivalt ødem, </w:t>
            </w:r>
            <w:proofErr w:type="spellStart"/>
            <w:r w:rsidRPr="00D7144A">
              <w:rPr>
                <w:sz w:val="24"/>
                <w:szCs w:val="24"/>
                <w:lang w:val="da-DK"/>
              </w:rPr>
              <w:t>blefaritis</w:t>
            </w:r>
            <w:proofErr w:type="spellEnd"/>
            <w:r w:rsidRPr="00D7144A">
              <w:rPr>
                <w:sz w:val="24"/>
                <w:szCs w:val="24"/>
                <w:lang w:val="da-DK"/>
              </w:rPr>
              <w:t xml:space="preserve">, </w:t>
            </w:r>
            <w:proofErr w:type="spellStart"/>
            <w:r w:rsidRPr="00D7144A">
              <w:rPr>
                <w:sz w:val="24"/>
                <w:szCs w:val="24"/>
                <w:lang w:val="da-DK"/>
              </w:rPr>
              <w:t>okulære</w:t>
            </w:r>
            <w:proofErr w:type="spellEnd"/>
            <w:r w:rsidRPr="00D7144A">
              <w:rPr>
                <w:sz w:val="24"/>
                <w:szCs w:val="24"/>
                <w:lang w:val="da-DK"/>
              </w:rPr>
              <w:t xml:space="preserve"> eller </w:t>
            </w:r>
            <w:proofErr w:type="spellStart"/>
            <w:r w:rsidRPr="00D7144A">
              <w:rPr>
                <w:sz w:val="24"/>
                <w:szCs w:val="24"/>
                <w:lang w:val="da-DK"/>
              </w:rPr>
              <w:t>periokulære</w:t>
            </w:r>
            <w:proofErr w:type="spellEnd"/>
            <w:r w:rsidRPr="00D7144A">
              <w:rPr>
                <w:sz w:val="24"/>
                <w:szCs w:val="24"/>
                <w:lang w:val="da-DK"/>
              </w:rPr>
              <w:t xml:space="preserve"> infektioner</w:t>
            </w:r>
          </w:p>
        </w:tc>
      </w:tr>
      <w:tr w:rsidR="000A322C" w:rsidRPr="00D7144A" w14:paraId="18A9D973" w14:textId="77777777" w:rsidTr="00475455">
        <w:tc>
          <w:tcPr>
            <w:tcW w:w="1328" w:type="pct"/>
            <w:vMerge/>
            <w:tcBorders>
              <w:top w:val="single" w:sz="4" w:space="0" w:color="auto"/>
              <w:left w:val="single" w:sz="4" w:space="0" w:color="auto"/>
              <w:bottom w:val="single" w:sz="4" w:space="0" w:color="auto"/>
              <w:right w:val="single" w:sz="4" w:space="0" w:color="auto"/>
            </w:tcBorders>
            <w:vAlign w:val="center"/>
            <w:hideMark/>
          </w:tcPr>
          <w:p w14:paraId="43820549" w14:textId="77777777" w:rsidR="000A322C" w:rsidRPr="00D7144A" w:rsidRDefault="000A322C">
            <w:pPr>
              <w:rPr>
                <w:sz w:val="24"/>
                <w:szCs w:val="24"/>
                <w:lang w:val="da-DK"/>
              </w:rPr>
            </w:pPr>
          </w:p>
        </w:tc>
        <w:tc>
          <w:tcPr>
            <w:tcW w:w="1018" w:type="pct"/>
            <w:tcBorders>
              <w:top w:val="single" w:sz="4" w:space="0" w:color="auto"/>
              <w:left w:val="single" w:sz="4" w:space="0" w:color="auto"/>
              <w:bottom w:val="single" w:sz="4" w:space="0" w:color="auto"/>
              <w:right w:val="single" w:sz="4" w:space="0" w:color="auto"/>
            </w:tcBorders>
            <w:hideMark/>
          </w:tcPr>
          <w:p w14:paraId="6E1193A3" w14:textId="77777777" w:rsidR="000A322C" w:rsidRPr="00D7144A" w:rsidRDefault="000A322C">
            <w:pPr>
              <w:rPr>
                <w:sz w:val="24"/>
                <w:szCs w:val="24"/>
                <w:lang w:val="da-DK"/>
              </w:rPr>
            </w:pPr>
            <w:r w:rsidRPr="00D7144A">
              <w:rPr>
                <w:sz w:val="24"/>
                <w:szCs w:val="24"/>
                <w:lang w:val="da-DK"/>
              </w:rPr>
              <w:t>Meget sjælden</w:t>
            </w:r>
          </w:p>
        </w:tc>
        <w:tc>
          <w:tcPr>
            <w:tcW w:w="2654" w:type="pct"/>
            <w:tcBorders>
              <w:top w:val="single" w:sz="4" w:space="0" w:color="auto"/>
              <w:left w:val="single" w:sz="4" w:space="0" w:color="auto"/>
              <w:bottom w:val="single" w:sz="4" w:space="0" w:color="auto"/>
              <w:right w:val="single" w:sz="4" w:space="0" w:color="auto"/>
            </w:tcBorders>
            <w:hideMark/>
          </w:tcPr>
          <w:p w14:paraId="3359D76A" w14:textId="77777777" w:rsidR="000A322C" w:rsidRPr="00D7144A" w:rsidRDefault="000A322C">
            <w:pPr>
              <w:rPr>
                <w:sz w:val="24"/>
                <w:szCs w:val="24"/>
                <w:lang w:val="da-DK"/>
              </w:rPr>
            </w:pPr>
            <w:r w:rsidRPr="00D7144A">
              <w:rPr>
                <w:sz w:val="24"/>
                <w:szCs w:val="24"/>
                <w:lang w:val="da-DK"/>
              </w:rPr>
              <w:t xml:space="preserve">Der er blevet rapporteret om meget sjældne tilfælde af forkalkning af </w:t>
            </w:r>
            <w:proofErr w:type="spellStart"/>
            <w:r w:rsidRPr="00D7144A">
              <w:rPr>
                <w:sz w:val="24"/>
                <w:szCs w:val="24"/>
                <w:lang w:val="da-DK"/>
              </w:rPr>
              <w:t>cornea</w:t>
            </w:r>
            <w:proofErr w:type="spellEnd"/>
            <w:r w:rsidRPr="00D7144A">
              <w:rPr>
                <w:sz w:val="24"/>
                <w:szCs w:val="24"/>
                <w:lang w:val="da-DK"/>
              </w:rPr>
              <w:t xml:space="preserve"> i forbindelse med brug af øjendråber, der indeholder </w:t>
            </w:r>
            <w:proofErr w:type="spellStart"/>
            <w:r w:rsidRPr="00D7144A">
              <w:rPr>
                <w:sz w:val="24"/>
                <w:szCs w:val="24"/>
                <w:lang w:val="da-DK"/>
              </w:rPr>
              <w:t>phosphat</w:t>
            </w:r>
            <w:proofErr w:type="spellEnd"/>
            <w:r w:rsidRPr="00D7144A">
              <w:rPr>
                <w:sz w:val="24"/>
                <w:szCs w:val="24"/>
                <w:lang w:val="da-DK"/>
              </w:rPr>
              <w:t xml:space="preserve">, hos nogle patienter med signifikante skader i </w:t>
            </w:r>
            <w:proofErr w:type="spellStart"/>
            <w:r w:rsidRPr="00D7144A">
              <w:rPr>
                <w:sz w:val="24"/>
                <w:szCs w:val="24"/>
                <w:lang w:val="da-DK"/>
              </w:rPr>
              <w:t>cornea</w:t>
            </w:r>
            <w:proofErr w:type="spellEnd"/>
            <w:r w:rsidRPr="00D7144A">
              <w:rPr>
                <w:sz w:val="24"/>
                <w:szCs w:val="24"/>
                <w:lang w:val="da-DK"/>
              </w:rPr>
              <w:t>.</w:t>
            </w:r>
          </w:p>
        </w:tc>
      </w:tr>
      <w:tr w:rsidR="000A322C" w:rsidRPr="00D7144A" w14:paraId="41D97BB1" w14:textId="77777777" w:rsidTr="00475455">
        <w:tc>
          <w:tcPr>
            <w:tcW w:w="1328" w:type="pct"/>
            <w:vMerge w:val="restart"/>
            <w:tcBorders>
              <w:top w:val="single" w:sz="4" w:space="0" w:color="auto"/>
              <w:left w:val="single" w:sz="4" w:space="0" w:color="auto"/>
              <w:bottom w:val="single" w:sz="4" w:space="0" w:color="auto"/>
              <w:right w:val="single" w:sz="4" w:space="0" w:color="auto"/>
            </w:tcBorders>
            <w:hideMark/>
          </w:tcPr>
          <w:p w14:paraId="4707BF62" w14:textId="77777777" w:rsidR="000A322C" w:rsidRPr="00D7144A" w:rsidRDefault="000A322C">
            <w:pPr>
              <w:rPr>
                <w:sz w:val="24"/>
                <w:szCs w:val="24"/>
                <w:lang w:val="da-DK"/>
              </w:rPr>
            </w:pPr>
            <w:r w:rsidRPr="00D7144A">
              <w:rPr>
                <w:sz w:val="24"/>
                <w:szCs w:val="24"/>
                <w:lang w:val="da-DK"/>
              </w:rPr>
              <w:t>Almene symptomer og reaktioner på administrationsstedet</w:t>
            </w:r>
          </w:p>
        </w:tc>
        <w:tc>
          <w:tcPr>
            <w:tcW w:w="1018" w:type="pct"/>
            <w:tcBorders>
              <w:top w:val="single" w:sz="4" w:space="0" w:color="auto"/>
              <w:left w:val="single" w:sz="4" w:space="0" w:color="auto"/>
              <w:bottom w:val="single" w:sz="4" w:space="0" w:color="auto"/>
              <w:right w:val="single" w:sz="4" w:space="0" w:color="auto"/>
            </w:tcBorders>
            <w:hideMark/>
          </w:tcPr>
          <w:p w14:paraId="0F45EBB2" w14:textId="77777777" w:rsidR="000A322C" w:rsidRPr="00D7144A" w:rsidRDefault="000A322C">
            <w:pPr>
              <w:rPr>
                <w:sz w:val="24"/>
                <w:szCs w:val="24"/>
                <w:lang w:val="da-DK"/>
              </w:rPr>
            </w:pPr>
            <w:r w:rsidRPr="00D7144A">
              <w:rPr>
                <w:sz w:val="24"/>
                <w:szCs w:val="24"/>
                <w:lang w:val="da-DK"/>
              </w:rPr>
              <w:t>Meget almindelig</w:t>
            </w:r>
          </w:p>
        </w:tc>
        <w:tc>
          <w:tcPr>
            <w:tcW w:w="2654" w:type="pct"/>
            <w:tcBorders>
              <w:top w:val="single" w:sz="4" w:space="0" w:color="auto"/>
              <w:left w:val="single" w:sz="4" w:space="0" w:color="auto"/>
              <w:bottom w:val="single" w:sz="4" w:space="0" w:color="auto"/>
              <w:right w:val="single" w:sz="4" w:space="0" w:color="auto"/>
            </w:tcBorders>
            <w:hideMark/>
          </w:tcPr>
          <w:p w14:paraId="086FBE05" w14:textId="77777777" w:rsidR="000A322C" w:rsidRPr="00D7144A" w:rsidRDefault="000A322C">
            <w:pPr>
              <w:rPr>
                <w:sz w:val="24"/>
                <w:szCs w:val="24"/>
                <w:lang w:val="da-DK"/>
              </w:rPr>
            </w:pPr>
            <w:r w:rsidRPr="00D7144A">
              <w:rPr>
                <w:sz w:val="24"/>
                <w:szCs w:val="24"/>
                <w:lang w:val="da-DK"/>
              </w:rPr>
              <w:t xml:space="preserve">Smerter på </w:t>
            </w:r>
            <w:proofErr w:type="spellStart"/>
            <w:r w:rsidRPr="00D7144A">
              <w:rPr>
                <w:sz w:val="24"/>
                <w:szCs w:val="24"/>
                <w:lang w:val="da-DK"/>
              </w:rPr>
              <w:t>inddrypningsstedet</w:t>
            </w:r>
            <w:proofErr w:type="spellEnd"/>
            <w:r w:rsidRPr="00D7144A">
              <w:rPr>
                <w:sz w:val="24"/>
                <w:szCs w:val="24"/>
                <w:lang w:val="da-DK"/>
              </w:rPr>
              <w:t>*</w:t>
            </w:r>
          </w:p>
        </w:tc>
      </w:tr>
      <w:tr w:rsidR="000A322C" w:rsidRPr="00D7144A" w14:paraId="1186B086" w14:textId="77777777" w:rsidTr="00475455">
        <w:tc>
          <w:tcPr>
            <w:tcW w:w="1328" w:type="pct"/>
            <w:vMerge/>
            <w:tcBorders>
              <w:top w:val="single" w:sz="4" w:space="0" w:color="auto"/>
              <w:left w:val="single" w:sz="4" w:space="0" w:color="auto"/>
              <w:bottom w:val="single" w:sz="4" w:space="0" w:color="auto"/>
              <w:right w:val="single" w:sz="4" w:space="0" w:color="auto"/>
            </w:tcBorders>
            <w:vAlign w:val="center"/>
            <w:hideMark/>
          </w:tcPr>
          <w:p w14:paraId="4F6AFFC7" w14:textId="77777777" w:rsidR="000A322C" w:rsidRPr="00D7144A" w:rsidRDefault="000A322C">
            <w:pPr>
              <w:rPr>
                <w:sz w:val="24"/>
                <w:szCs w:val="24"/>
                <w:lang w:val="da-DK"/>
              </w:rPr>
            </w:pPr>
          </w:p>
        </w:tc>
        <w:tc>
          <w:tcPr>
            <w:tcW w:w="1018" w:type="pct"/>
            <w:tcBorders>
              <w:top w:val="single" w:sz="4" w:space="0" w:color="auto"/>
              <w:left w:val="single" w:sz="4" w:space="0" w:color="auto"/>
              <w:bottom w:val="single" w:sz="4" w:space="0" w:color="auto"/>
              <w:right w:val="single" w:sz="4" w:space="0" w:color="auto"/>
            </w:tcBorders>
            <w:hideMark/>
          </w:tcPr>
          <w:p w14:paraId="56E36443" w14:textId="77777777" w:rsidR="000A322C" w:rsidRPr="00D7144A" w:rsidRDefault="000A322C">
            <w:pPr>
              <w:rPr>
                <w:sz w:val="24"/>
                <w:szCs w:val="24"/>
                <w:lang w:val="da-DK"/>
              </w:rPr>
            </w:pPr>
            <w:r w:rsidRPr="00D7144A">
              <w:rPr>
                <w:sz w:val="24"/>
                <w:szCs w:val="24"/>
                <w:lang w:val="da-DK"/>
              </w:rPr>
              <w:t>Almindelig</w:t>
            </w:r>
          </w:p>
        </w:tc>
        <w:tc>
          <w:tcPr>
            <w:tcW w:w="2654" w:type="pct"/>
            <w:tcBorders>
              <w:top w:val="single" w:sz="4" w:space="0" w:color="auto"/>
              <w:left w:val="single" w:sz="4" w:space="0" w:color="auto"/>
              <w:bottom w:val="single" w:sz="4" w:space="0" w:color="auto"/>
              <w:right w:val="single" w:sz="4" w:space="0" w:color="auto"/>
            </w:tcBorders>
            <w:hideMark/>
          </w:tcPr>
          <w:p w14:paraId="6C8A388D" w14:textId="77777777" w:rsidR="000A322C" w:rsidRPr="00D7144A" w:rsidRDefault="000A322C">
            <w:pPr>
              <w:rPr>
                <w:sz w:val="24"/>
                <w:szCs w:val="24"/>
                <w:lang w:val="da-DK"/>
              </w:rPr>
            </w:pPr>
            <w:r w:rsidRPr="00D7144A">
              <w:rPr>
                <w:sz w:val="24"/>
                <w:szCs w:val="24"/>
                <w:lang w:val="da-DK"/>
              </w:rPr>
              <w:t xml:space="preserve">Reaktion på </w:t>
            </w:r>
            <w:proofErr w:type="spellStart"/>
            <w:r w:rsidRPr="00D7144A">
              <w:rPr>
                <w:sz w:val="24"/>
                <w:szCs w:val="24"/>
                <w:lang w:val="da-DK"/>
              </w:rPr>
              <w:t>inddrypningsstedet</w:t>
            </w:r>
            <w:proofErr w:type="spellEnd"/>
          </w:p>
          <w:p w14:paraId="0DA86DBD" w14:textId="77777777" w:rsidR="000A322C" w:rsidRPr="00D7144A" w:rsidRDefault="000A322C">
            <w:pPr>
              <w:rPr>
                <w:sz w:val="24"/>
                <w:szCs w:val="24"/>
                <w:lang w:val="da-DK"/>
              </w:rPr>
            </w:pPr>
            <w:r w:rsidRPr="00D7144A">
              <w:rPr>
                <w:sz w:val="24"/>
                <w:szCs w:val="24"/>
                <w:lang w:val="da-DK"/>
              </w:rPr>
              <w:t xml:space="preserve">Tåreflåd på </w:t>
            </w:r>
            <w:proofErr w:type="spellStart"/>
            <w:r w:rsidRPr="00D7144A">
              <w:rPr>
                <w:sz w:val="24"/>
                <w:szCs w:val="24"/>
                <w:lang w:val="da-DK"/>
              </w:rPr>
              <w:t>inddrypningsstedet</w:t>
            </w:r>
            <w:proofErr w:type="spellEnd"/>
          </w:p>
        </w:tc>
      </w:tr>
      <w:tr w:rsidR="000A322C" w:rsidRPr="00D7144A" w14:paraId="58E95CC0" w14:textId="77777777" w:rsidTr="00475455">
        <w:tc>
          <w:tcPr>
            <w:tcW w:w="1328" w:type="pct"/>
            <w:vMerge/>
            <w:tcBorders>
              <w:top w:val="single" w:sz="4" w:space="0" w:color="auto"/>
              <w:left w:val="single" w:sz="4" w:space="0" w:color="auto"/>
              <w:bottom w:val="single" w:sz="4" w:space="0" w:color="auto"/>
              <w:right w:val="single" w:sz="4" w:space="0" w:color="auto"/>
            </w:tcBorders>
            <w:vAlign w:val="center"/>
            <w:hideMark/>
          </w:tcPr>
          <w:p w14:paraId="772EB561" w14:textId="77777777" w:rsidR="000A322C" w:rsidRPr="00D7144A" w:rsidRDefault="000A322C">
            <w:pPr>
              <w:rPr>
                <w:sz w:val="24"/>
                <w:szCs w:val="24"/>
                <w:lang w:val="da-DK"/>
              </w:rPr>
            </w:pPr>
          </w:p>
        </w:tc>
        <w:tc>
          <w:tcPr>
            <w:tcW w:w="1018" w:type="pct"/>
            <w:tcBorders>
              <w:top w:val="single" w:sz="4" w:space="0" w:color="auto"/>
              <w:left w:val="single" w:sz="4" w:space="0" w:color="auto"/>
              <w:bottom w:val="single" w:sz="4" w:space="0" w:color="auto"/>
              <w:right w:val="single" w:sz="4" w:space="0" w:color="auto"/>
            </w:tcBorders>
            <w:hideMark/>
          </w:tcPr>
          <w:p w14:paraId="55F14CFD" w14:textId="77777777" w:rsidR="000A322C" w:rsidRPr="00D7144A" w:rsidRDefault="000A322C">
            <w:pPr>
              <w:rPr>
                <w:sz w:val="24"/>
                <w:szCs w:val="24"/>
                <w:lang w:val="da-DK"/>
              </w:rPr>
            </w:pPr>
            <w:r w:rsidRPr="00D7144A">
              <w:rPr>
                <w:sz w:val="24"/>
                <w:szCs w:val="24"/>
                <w:lang w:val="da-DK"/>
              </w:rPr>
              <w:t>Ikke almindelig</w:t>
            </w:r>
          </w:p>
        </w:tc>
        <w:tc>
          <w:tcPr>
            <w:tcW w:w="2654" w:type="pct"/>
            <w:tcBorders>
              <w:top w:val="single" w:sz="4" w:space="0" w:color="auto"/>
              <w:left w:val="single" w:sz="4" w:space="0" w:color="auto"/>
              <w:bottom w:val="single" w:sz="4" w:space="0" w:color="auto"/>
              <w:right w:val="single" w:sz="4" w:space="0" w:color="auto"/>
            </w:tcBorders>
            <w:hideMark/>
          </w:tcPr>
          <w:p w14:paraId="25235E67" w14:textId="77777777" w:rsidR="000A322C" w:rsidRPr="00D7144A" w:rsidRDefault="000A322C">
            <w:pPr>
              <w:rPr>
                <w:sz w:val="24"/>
                <w:szCs w:val="24"/>
                <w:lang w:val="da-DK"/>
              </w:rPr>
            </w:pPr>
            <w:r w:rsidRPr="00D7144A">
              <w:rPr>
                <w:sz w:val="24"/>
                <w:szCs w:val="24"/>
                <w:lang w:val="da-DK"/>
              </w:rPr>
              <w:t xml:space="preserve">Tørhed på </w:t>
            </w:r>
            <w:proofErr w:type="spellStart"/>
            <w:r w:rsidRPr="00D7144A">
              <w:rPr>
                <w:sz w:val="24"/>
                <w:szCs w:val="24"/>
                <w:lang w:val="da-DK"/>
              </w:rPr>
              <w:t>inddrypningsstedet</w:t>
            </w:r>
            <w:proofErr w:type="spellEnd"/>
            <w:r w:rsidRPr="00D7144A">
              <w:rPr>
                <w:sz w:val="24"/>
                <w:szCs w:val="24"/>
                <w:lang w:val="da-DK"/>
              </w:rPr>
              <w:t xml:space="preserve">, </w:t>
            </w:r>
            <w:proofErr w:type="spellStart"/>
            <w:r w:rsidRPr="00D7144A">
              <w:rPr>
                <w:sz w:val="24"/>
                <w:szCs w:val="24"/>
                <w:lang w:val="da-DK"/>
              </w:rPr>
              <w:t>pruritus</w:t>
            </w:r>
            <w:proofErr w:type="spellEnd"/>
            <w:r w:rsidRPr="00D7144A">
              <w:rPr>
                <w:sz w:val="24"/>
                <w:szCs w:val="24"/>
                <w:lang w:val="da-DK"/>
              </w:rPr>
              <w:t xml:space="preserve"> på </w:t>
            </w:r>
            <w:proofErr w:type="spellStart"/>
            <w:r w:rsidRPr="00D7144A">
              <w:rPr>
                <w:sz w:val="24"/>
                <w:szCs w:val="24"/>
                <w:lang w:val="da-DK"/>
              </w:rPr>
              <w:t>inddrypningsstedet</w:t>
            </w:r>
            <w:proofErr w:type="spellEnd"/>
            <w:r w:rsidRPr="00D7144A">
              <w:rPr>
                <w:sz w:val="24"/>
                <w:szCs w:val="24"/>
                <w:lang w:val="da-DK"/>
              </w:rPr>
              <w:t>, hovedpine og halsirritation</w:t>
            </w:r>
          </w:p>
        </w:tc>
      </w:tr>
    </w:tbl>
    <w:p w14:paraId="0B980898" w14:textId="77777777" w:rsidR="000A322C" w:rsidRPr="00F2785D" w:rsidRDefault="000A322C" w:rsidP="000A322C">
      <w:pPr>
        <w:rPr>
          <w:sz w:val="24"/>
          <w:szCs w:val="24"/>
        </w:rPr>
      </w:pPr>
      <w:r w:rsidRPr="00F2785D">
        <w:rPr>
          <w:sz w:val="24"/>
          <w:szCs w:val="24"/>
        </w:rPr>
        <w:t>* Se pkt. 4.8 c</w:t>
      </w:r>
    </w:p>
    <w:p w14:paraId="628E76B3" w14:textId="77777777" w:rsidR="000A322C" w:rsidRPr="00F2785D" w:rsidRDefault="000A322C" w:rsidP="00475455">
      <w:pPr>
        <w:ind w:left="851"/>
        <w:rPr>
          <w:sz w:val="24"/>
          <w:szCs w:val="24"/>
        </w:rPr>
      </w:pPr>
    </w:p>
    <w:p w14:paraId="0E6C95CF" w14:textId="77777777" w:rsidR="000A322C" w:rsidRPr="00F2785D" w:rsidRDefault="000A322C" w:rsidP="00475455">
      <w:pPr>
        <w:ind w:left="851"/>
        <w:rPr>
          <w:b/>
          <w:bCs/>
          <w:i/>
          <w:iCs/>
          <w:sz w:val="24"/>
          <w:szCs w:val="24"/>
        </w:rPr>
      </w:pPr>
      <w:r w:rsidRPr="00F2785D">
        <w:rPr>
          <w:b/>
          <w:bCs/>
          <w:i/>
          <w:iCs/>
          <w:sz w:val="24"/>
          <w:szCs w:val="24"/>
        </w:rPr>
        <w:t>c.</w:t>
      </w:r>
      <w:r w:rsidRPr="00F2785D">
        <w:rPr>
          <w:b/>
          <w:bCs/>
          <w:i/>
          <w:iCs/>
          <w:sz w:val="24"/>
          <w:szCs w:val="24"/>
        </w:rPr>
        <w:tab/>
        <w:t>Beskrivelse af udvalgte bivirkninger</w:t>
      </w:r>
    </w:p>
    <w:p w14:paraId="76BBE570" w14:textId="77777777" w:rsidR="000A322C" w:rsidRPr="00F2785D" w:rsidRDefault="000A322C" w:rsidP="00475455">
      <w:pPr>
        <w:ind w:left="851"/>
        <w:rPr>
          <w:sz w:val="24"/>
          <w:szCs w:val="24"/>
        </w:rPr>
      </w:pPr>
    </w:p>
    <w:p w14:paraId="215DDF38" w14:textId="77777777" w:rsidR="000A322C" w:rsidRPr="00F2785D" w:rsidRDefault="000A322C" w:rsidP="00475455">
      <w:pPr>
        <w:ind w:left="851"/>
        <w:rPr>
          <w:sz w:val="24"/>
          <w:szCs w:val="24"/>
          <w:u w:val="single"/>
        </w:rPr>
      </w:pPr>
      <w:r w:rsidRPr="00F2785D">
        <w:rPr>
          <w:sz w:val="24"/>
          <w:szCs w:val="24"/>
          <w:u w:val="single"/>
        </w:rPr>
        <w:t xml:space="preserve">Smerter på </w:t>
      </w:r>
      <w:proofErr w:type="spellStart"/>
      <w:r w:rsidRPr="00F2785D">
        <w:rPr>
          <w:sz w:val="24"/>
          <w:szCs w:val="24"/>
          <w:u w:val="single"/>
        </w:rPr>
        <w:t>inddrypningsstedet</w:t>
      </w:r>
      <w:proofErr w:type="spellEnd"/>
    </w:p>
    <w:p w14:paraId="29491F9E" w14:textId="77777777" w:rsidR="000A322C" w:rsidRPr="00F2785D" w:rsidRDefault="000A322C" w:rsidP="00475455">
      <w:pPr>
        <w:ind w:left="851"/>
        <w:rPr>
          <w:sz w:val="24"/>
          <w:szCs w:val="24"/>
        </w:rPr>
      </w:pPr>
      <w:r w:rsidRPr="00F2785D">
        <w:rPr>
          <w:sz w:val="24"/>
          <w:szCs w:val="24"/>
        </w:rPr>
        <w:t xml:space="preserve">Smerter på </w:t>
      </w:r>
      <w:proofErr w:type="spellStart"/>
      <w:r w:rsidRPr="00F2785D">
        <w:rPr>
          <w:sz w:val="24"/>
          <w:szCs w:val="24"/>
        </w:rPr>
        <w:t>inddrypningsstedet</w:t>
      </w:r>
      <w:proofErr w:type="spellEnd"/>
      <w:r w:rsidRPr="00F2785D">
        <w:rPr>
          <w:sz w:val="24"/>
          <w:szCs w:val="24"/>
        </w:rPr>
        <w:t xml:space="preserve"> blev observeret med hyppigheden ”meget almindelig” hos personer, der brugte </w:t>
      </w:r>
      <w:proofErr w:type="spellStart"/>
      <w:r w:rsidRPr="00F2785D">
        <w:rPr>
          <w:sz w:val="24"/>
          <w:szCs w:val="24"/>
        </w:rPr>
        <w:t>Sekua</w:t>
      </w:r>
      <w:proofErr w:type="spellEnd"/>
      <w:r w:rsidRPr="00F2785D">
        <w:rPr>
          <w:sz w:val="24"/>
          <w:szCs w:val="24"/>
        </w:rPr>
        <w:t xml:space="preserve">. Det forekommer typisk umiddelbart efter </w:t>
      </w:r>
      <w:proofErr w:type="spellStart"/>
      <w:r w:rsidRPr="00F2785D">
        <w:rPr>
          <w:sz w:val="24"/>
          <w:szCs w:val="24"/>
        </w:rPr>
        <w:t>inddrypning</w:t>
      </w:r>
      <w:proofErr w:type="spellEnd"/>
      <w:r w:rsidRPr="00F2785D">
        <w:rPr>
          <w:sz w:val="24"/>
          <w:szCs w:val="24"/>
        </w:rPr>
        <w:t>, men er af kort varighed (sekunder til få minutter), og forsvinder uden at yderligere handling er påkrævet.</w:t>
      </w:r>
    </w:p>
    <w:p w14:paraId="754EB3AE" w14:textId="77777777" w:rsidR="000A322C" w:rsidRPr="00F2785D" w:rsidRDefault="000A322C" w:rsidP="00475455">
      <w:pPr>
        <w:ind w:left="851"/>
        <w:rPr>
          <w:sz w:val="24"/>
          <w:szCs w:val="24"/>
        </w:rPr>
      </w:pPr>
    </w:p>
    <w:p w14:paraId="67501EC2" w14:textId="77777777" w:rsidR="000A322C" w:rsidRPr="00F2785D" w:rsidRDefault="000A322C" w:rsidP="00475455">
      <w:pPr>
        <w:ind w:left="851"/>
        <w:rPr>
          <w:sz w:val="24"/>
          <w:szCs w:val="24"/>
        </w:rPr>
      </w:pPr>
      <w:r w:rsidRPr="00F2785D">
        <w:rPr>
          <w:sz w:val="24"/>
          <w:szCs w:val="24"/>
        </w:rPr>
        <w:t xml:space="preserve">Smerter på </w:t>
      </w:r>
      <w:proofErr w:type="spellStart"/>
      <w:r w:rsidRPr="00F2785D">
        <w:rPr>
          <w:sz w:val="24"/>
          <w:szCs w:val="24"/>
        </w:rPr>
        <w:t>inddrypningsstedet</w:t>
      </w:r>
      <w:proofErr w:type="spellEnd"/>
      <w:r w:rsidRPr="00F2785D">
        <w:rPr>
          <w:sz w:val="24"/>
          <w:szCs w:val="24"/>
        </w:rPr>
        <w:t xml:space="preserve"> var overvejende lette: Ud af de 21,6 % af patienterne med smerter på </w:t>
      </w:r>
      <w:proofErr w:type="spellStart"/>
      <w:r w:rsidRPr="00F2785D">
        <w:rPr>
          <w:sz w:val="24"/>
          <w:szCs w:val="24"/>
        </w:rPr>
        <w:t>inddrypningsstedet</w:t>
      </w:r>
      <w:proofErr w:type="spellEnd"/>
      <w:r w:rsidRPr="00F2785D">
        <w:rPr>
          <w:sz w:val="24"/>
          <w:szCs w:val="24"/>
        </w:rPr>
        <w:t xml:space="preserve"> oplevede 17,8 % lette smerter på </w:t>
      </w:r>
      <w:proofErr w:type="spellStart"/>
      <w:r w:rsidRPr="00F2785D">
        <w:rPr>
          <w:sz w:val="24"/>
          <w:szCs w:val="24"/>
        </w:rPr>
        <w:t>inddrypningsstedet</w:t>
      </w:r>
      <w:proofErr w:type="spellEnd"/>
      <w:r w:rsidRPr="00F2785D">
        <w:rPr>
          <w:sz w:val="24"/>
          <w:szCs w:val="24"/>
        </w:rPr>
        <w:t>.</w:t>
      </w:r>
    </w:p>
    <w:p w14:paraId="07B8DEC2" w14:textId="77777777" w:rsidR="000A322C" w:rsidRPr="00F2785D" w:rsidRDefault="000A322C" w:rsidP="00475455">
      <w:pPr>
        <w:ind w:left="851"/>
        <w:rPr>
          <w:i/>
          <w:sz w:val="24"/>
          <w:szCs w:val="24"/>
        </w:rPr>
      </w:pPr>
    </w:p>
    <w:p w14:paraId="5A4669A1" w14:textId="77777777" w:rsidR="000A322C" w:rsidRPr="00F2785D" w:rsidRDefault="000A322C" w:rsidP="00475455">
      <w:pPr>
        <w:ind w:left="851"/>
        <w:rPr>
          <w:sz w:val="24"/>
          <w:szCs w:val="24"/>
          <w:u w:val="single"/>
        </w:rPr>
      </w:pPr>
      <w:r w:rsidRPr="00F2785D">
        <w:rPr>
          <w:sz w:val="24"/>
          <w:szCs w:val="24"/>
          <w:u w:val="single"/>
        </w:rPr>
        <w:t>Indberetning af formodede bivirkninger</w:t>
      </w:r>
    </w:p>
    <w:p w14:paraId="5A4F2552" w14:textId="7D8362AB" w:rsidR="000A322C" w:rsidRDefault="000A322C" w:rsidP="00475455">
      <w:pPr>
        <w:ind w:left="851"/>
        <w:rPr>
          <w:sz w:val="24"/>
          <w:szCs w:val="24"/>
        </w:rPr>
      </w:pPr>
      <w:r w:rsidRPr="00F2785D">
        <w:rPr>
          <w:sz w:val="24"/>
          <w:szCs w:val="24"/>
        </w:rPr>
        <w:t>Når lægemidlet er godkendt, er indberetning af formodede bivirkninger vigtig. Det muliggør løbende overvågning af benefit/</w:t>
      </w:r>
      <w:proofErr w:type="spellStart"/>
      <w:r w:rsidRPr="00F2785D">
        <w:rPr>
          <w:sz w:val="24"/>
          <w:szCs w:val="24"/>
        </w:rPr>
        <w:t>risk</w:t>
      </w:r>
      <w:proofErr w:type="spellEnd"/>
      <w:r w:rsidRPr="00F2785D">
        <w:rPr>
          <w:sz w:val="24"/>
          <w:szCs w:val="24"/>
        </w:rPr>
        <w:t>-forholdet for lægemidlet. Sundhedspersoner anmodes om at indberette alle formodede bivirkninger via</w:t>
      </w:r>
    </w:p>
    <w:p w14:paraId="346D4830" w14:textId="77777777" w:rsidR="00F2785D" w:rsidRPr="00F2785D" w:rsidRDefault="00F2785D" w:rsidP="00475455">
      <w:pPr>
        <w:ind w:left="851"/>
        <w:rPr>
          <w:sz w:val="24"/>
          <w:szCs w:val="24"/>
        </w:rPr>
      </w:pPr>
    </w:p>
    <w:p w14:paraId="2957A0D8" w14:textId="77777777" w:rsidR="000A322C" w:rsidRPr="00F2785D" w:rsidRDefault="000A322C" w:rsidP="00475455">
      <w:pPr>
        <w:ind w:left="851"/>
        <w:rPr>
          <w:sz w:val="24"/>
          <w:szCs w:val="24"/>
        </w:rPr>
      </w:pPr>
      <w:r w:rsidRPr="00F2785D">
        <w:rPr>
          <w:sz w:val="24"/>
          <w:szCs w:val="24"/>
        </w:rPr>
        <w:t>Lægemiddelstyrelsen</w:t>
      </w:r>
    </w:p>
    <w:p w14:paraId="21C24115" w14:textId="77777777" w:rsidR="000A322C" w:rsidRPr="00F2785D" w:rsidRDefault="000A322C" w:rsidP="00475455">
      <w:pPr>
        <w:ind w:left="851"/>
        <w:rPr>
          <w:sz w:val="24"/>
          <w:szCs w:val="24"/>
        </w:rPr>
      </w:pPr>
      <w:r w:rsidRPr="00F2785D">
        <w:rPr>
          <w:sz w:val="24"/>
          <w:szCs w:val="24"/>
        </w:rPr>
        <w:t>Axel Heides Gade 1</w:t>
      </w:r>
    </w:p>
    <w:p w14:paraId="34478877" w14:textId="77777777" w:rsidR="000A322C" w:rsidRPr="00F2785D" w:rsidRDefault="000A322C" w:rsidP="00475455">
      <w:pPr>
        <w:ind w:left="851"/>
        <w:rPr>
          <w:sz w:val="24"/>
          <w:szCs w:val="24"/>
        </w:rPr>
      </w:pPr>
      <w:r w:rsidRPr="00F2785D">
        <w:rPr>
          <w:sz w:val="24"/>
          <w:szCs w:val="24"/>
        </w:rPr>
        <w:t>DK-2300 København S</w:t>
      </w:r>
    </w:p>
    <w:p w14:paraId="374AFBCC" w14:textId="77777777" w:rsidR="000A322C" w:rsidRPr="00F2785D" w:rsidRDefault="000A322C" w:rsidP="00475455">
      <w:pPr>
        <w:ind w:left="851"/>
        <w:rPr>
          <w:sz w:val="24"/>
          <w:szCs w:val="24"/>
        </w:rPr>
      </w:pPr>
      <w:r w:rsidRPr="00F2785D">
        <w:rPr>
          <w:sz w:val="24"/>
          <w:szCs w:val="24"/>
        </w:rPr>
        <w:t xml:space="preserve">Websted: </w:t>
      </w:r>
      <w:hyperlink r:id="rId8" w:history="1">
        <w:r w:rsidRPr="00F2785D">
          <w:rPr>
            <w:rStyle w:val="Hyperlink"/>
            <w:sz w:val="24"/>
            <w:szCs w:val="24"/>
          </w:rPr>
          <w:t>www.meldenbivirkning.dk</w:t>
        </w:r>
      </w:hyperlink>
    </w:p>
    <w:p w14:paraId="77D07FD6" w14:textId="77777777" w:rsidR="009260DE" w:rsidRPr="00F2785D" w:rsidRDefault="009260DE" w:rsidP="00A10294">
      <w:pPr>
        <w:tabs>
          <w:tab w:val="left" w:pos="851"/>
        </w:tabs>
        <w:ind w:left="851"/>
        <w:rPr>
          <w:sz w:val="24"/>
          <w:szCs w:val="24"/>
        </w:rPr>
      </w:pPr>
    </w:p>
    <w:p w14:paraId="14C5340C" w14:textId="77777777" w:rsidR="009260DE" w:rsidRPr="00F2785D" w:rsidRDefault="009260DE" w:rsidP="009260DE">
      <w:pPr>
        <w:tabs>
          <w:tab w:val="left" w:pos="851"/>
        </w:tabs>
        <w:ind w:left="851" w:hanging="851"/>
        <w:rPr>
          <w:b/>
          <w:sz w:val="24"/>
          <w:szCs w:val="24"/>
        </w:rPr>
      </w:pPr>
      <w:r w:rsidRPr="00F2785D">
        <w:rPr>
          <w:b/>
          <w:sz w:val="24"/>
          <w:szCs w:val="24"/>
        </w:rPr>
        <w:t>4.9</w:t>
      </w:r>
      <w:r w:rsidRPr="00F2785D">
        <w:rPr>
          <w:b/>
          <w:sz w:val="24"/>
          <w:szCs w:val="24"/>
        </w:rPr>
        <w:tab/>
        <w:t>Overdosering</w:t>
      </w:r>
    </w:p>
    <w:p w14:paraId="28C5DA50" w14:textId="77777777" w:rsidR="000A322C" w:rsidRPr="00F2785D" w:rsidRDefault="000A322C" w:rsidP="00475455">
      <w:pPr>
        <w:ind w:left="851"/>
        <w:rPr>
          <w:sz w:val="24"/>
          <w:szCs w:val="24"/>
        </w:rPr>
      </w:pPr>
      <w:r w:rsidRPr="00F2785D">
        <w:rPr>
          <w:sz w:val="24"/>
          <w:szCs w:val="24"/>
        </w:rPr>
        <w:t xml:space="preserve">Det er usandsynligt, at der vil forekomme en topisk overdosering efter </w:t>
      </w:r>
      <w:proofErr w:type="spellStart"/>
      <w:r w:rsidRPr="00F2785D">
        <w:rPr>
          <w:sz w:val="24"/>
          <w:szCs w:val="24"/>
        </w:rPr>
        <w:t>okulær</w:t>
      </w:r>
      <w:proofErr w:type="spellEnd"/>
      <w:r w:rsidRPr="00F2785D">
        <w:rPr>
          <w:sz w:val="24"/>
          <w:szCs w:val="24"/>
        </w:rPr>
        <w:t xml:space="preserve"> administration. Hvis der forekommer overdosering med lægemidlet, bør behandlingen være symptomatisk og understøttende.</w:t>
      </w:r>
    </w:p>
    <w:p w14:paraId="4C05B210" w14:textId="77777777" w:rsidR="009260DE" w:rsidRPr="00F2785D" w:rsidRDefault="009260DE" w:rsidP="009260DE">
      <w:pPr>
        <w:tabs>
          <w:tab w:val="left" w:pos="851"/>
        </w:tabs>
        <w:ind w:left="851"/>
        <w:rPr>
          <w:sz w:val="24"/>
          <w:szCs w:val="24"/>
        </w:rPr>
      </w:pPr>
    </w:p>
    <w:p w14:paraId="118CFBF0" w14:textId="77777777" w:rsidR="009260DE" w:rsidRPr="00F2785D" w:rsidRDefault="009260DE" w:rsidP="009260DE">
      <w:pPr>
        <w:tabs>
          <w:tab w:val="left" w:pos="851"/>
        </w:tabs>
        <w:ind w:left="851" w:hanging="851"/>
        <w:rPr>
          <w:b/>
          <w:sz w:val="24"/>
          <w:szCs w:val="24"/>
        </w:rPr>
      </w:pPr>
      <w:r w:rsidRPr="00F2785D">
        <w:rPr>
          <w:b/>
          <w:sz w:val="24"/>
          <w:szCs w:val="24"/>
        </w:rPr>
        <w:t>4.10</w:t>
      </w:r>
      <w:r w:rsidRPr="00F2785D">
        <w:rPr>
          <w:b/>
          <w:sz w:val="24"/>
          <w:szCs w:val="24"/>
        </w:rPr>
        <w:tab/>
        <w:t>Udlevering</w:t>
      </w:r>
    </w:p>
    <w:p w14:paraId="3B3A1B70" w14:textId="1959D5CA" w:rsidR="00475455" w:rsidRPr="00F2785D" w:rsidRDefault="00475455" w:rsidP="00475455">
      <w:pPr>
        <w:ind w:left="851"/>
        <w:rPr>
          <w:sz w:val="24"/>
          <w:szCs w:val="24"/>
        </w:rPr>
      </w:pPr>
      <w:bookmarkStart w:id="0" w:name="_Hlk39232037"/>
      <w:r w:rsidRPr="00F2785D">
        <w:rPr>
          <w:sz w:val="24"/>
          <w:szCs w:val="24"/>
        </w:rPr>
        <w:t>NBS – kun til sygehuse og efter ordination af speciallæger i oftalmologi.</w:t>
      </w:r>
      <w:bookmarkEnd w:id="0"/>
    </w:p>
    <w:p w14:paraId="57AE3951" w14:textId="77777777" w:rsidR="009260DE" w:rsidRPr="00F2785D" w:rsidRDefault="009260DE" w:rsidP="009260DE">
      <w:pPr>
        <w:tabs>
          <w:tab w:val="left" w:pos="851"/>
        </w:tabs>
        <w:ind w:left="851"/>
        <w:rPr>
          <w:sz w:val="24"/>
          <w:szCs w:val="24"/>
        </w:rPr>
      </w:pPr>
    </w:p>
    <w:p w14:paraId="51D9B556" w14:textId="1E4D4985" w:rsidR="00D7144A" w:rsidRDefault="00D7144A">
      <w:pPr>
        <w:rPr>
          <w:sz w:val="24"/>
          <w:szCs w:val="24"/>
        </w:rPr>
      </w:pPr>
      <w:r>
        <w:rPr>
          <w:sz w:val="24"/>
          <w:szCs w:val="24"/>
        </w:rPr>
        <w:br w:type="page"/>
      </w:r>
    </w:p>
    <w:p w14:paraId="160A254C" w14:textId="77777777" w:rsidR="009260DE" w:rsidRPr="00F2785D" w:rsidRDefault="009260DE" w:rsidP="009260DE">
      <w:pPr>
        <w:tabs>
          <w:tab w:val="left" w:pos="851"/>
        </w:tabs>
        <w:ind w:left="851"/>
        <w:rPr>
          <w:sz w:val="24"/>
          <w:szCs w:val="24"/>
        </w:rPr>
      </w:pPr>
    </w:p>
    <w:p w14:paraId="280E8713" w14:textId="77777777" w:rsidR="009260DE" w:rsidRPr="00F2785D" w:rsidRDefault="009260DE" w:rsidP="009260DE">
      <w:pPr>
        <w:tabs>
          <w:tab w:val="left" w:pos="851"/>
        </w:tabs>
        <w:ind w:left="851" w:hanging="851"/>
        <w:rPr>
          <w:b/>
          <w:sz w:val="24"/>
          <w:szCs w:val="24"/>
        </w:rPr>
      </w:pPr>
      <w:r w:rsidRPr="00F2785D">
        <w:rPr>
          <w:b/>
          <w:sz w:val="24"/>
          <w:szCs w:val="24"/>
        </w:rPr>
        <w:t>5.</w:t>
      </w:r>
      <w:r w:rsidRPr="00F2785D">
        <w:rPr>
          <w:b/>
          <w:sz w:val="24"/>
          <w:szCs w:val="24"/>
        </w:rPr>
        <w:tab/>
        <w:t>FARMAKOLOGISKE EGENSKABER</w:t>
      </w:r>
    </w:p>
    <w:p w14:paraId="5060ADC8" w14:textId="77777777" w:rsidR="009260DE" w:rsidRPr="00F2785D" w:rsidRDefault="009260DE" w:rsidP="009260DE">
      <w:pPr>
        <w:tabs>
          <w:tab w:val="left" w:pos="851"/>
        </w:tabs>
        <w:ind w:left="851"/>
        <w:rPr>
          <w:sz w:val="24"/>
          <w:szCs w:val="24"/>
        </w:rPr>
      </w:pPr>
    </w:p>
    <w:p w14:paraId="27F7AF3E" w14:textId="77777777" w:rsidR="009260DE" w:rsidRPr="00F2785D" w:rsidRDefault="009260DE" w:rsidP="009260DE">
      <w:pPr>
        <w:tabs>
          <w:tab w:val="num" w:pos="851"/>
        </w:tabs>
        <w:ind w:left="851" w:hanging="851"/>
        <w:rPr>
          <w:b/>
          <w:sz w:val="24"/>
          <w:szCs w:val="24"/>
        </w:rPr>
      </w:pPr>
      <w:r w:rsidRPr="00F2785D">
        <w:rPr>
          <w:b/>
          <w:sz w:val="24"/>
          <w:szCs w:val="24"/>
        </w:rPr>
        <w:t>5.1</w:t>
      </w:r>
      <w:r w:rsidRPr="00F2785D">
        <w:rPr>
          <w:b/>
          <w:sz w:val="24"/>
          <w:szCs w:val="24"/>
        </w:rPr>
        <w:tab/>
      </w:r>
      <w:proofErr w:type="spellStart"/>
      <w:r w:rsidRPr="00F2785D">
        <w:rPr>
          <w:b/>
          <w:sz w:val="24"/>
          <w:szCs w:val="24"/>
        </w:rPr>
        <w:t>Farmakodynamiske</w:t>
      </w:r>
      <w:proofErr w:type="spellEnd"/>
      <w:r w:rsidRPr="00F2785D">
        <w:rPr>
          <w:b/>
          <w:sz w:val="24"/>
          <w:szCs w:val="24"/>
        </w:rPr>
        <w:t xml:space="preserve"> egenskaber</w:t>
      </w:r>
    </w:p>
    <w:p w14:paraId="502D2B88" w14:textId="1E458E02" w:rsidR="000A322C" w:rsidRPr="00F2785D" w:rsidRDefault="000A322C" w:rsidP="00475455">
      <w:pPr>
        <w:ind w:left="851"/>
        <w:rPr>
          <w:sz w:val="24"/>
          <w:szCs w:val="24"/>
        </w:rPr>
      </w:pPr>
      <w:proofErr w:type="spellStart"/>
      <w:r w:rsidRPr="00F2785D">
        <w:rPr>
          <w:sz w:val="24"/>
          <w:szCs w:val="24"/>
        </w:rPr>
        <w:t>Farmakoterapeutisk</w:t>
      </w:r>
      <w:proofErr w:type="spellEnd"/>
      <w:r w:rsidRPr="00F2785D">
        <w:rPr>
          <w:sz w:val="24"/>
          <w:szCs w:val="24"/>
        </w:rPr>
        <w:t xml:space="preserve"> klassifikation: Oftalmologiske lægemidler, andre oftalmologiske lægemidler, ATC-kode: S01XA18</w:t>
      </w:r>
      <w:r w:rsidR="00D7144A">
        <w:rPr>
          <w:sz w:val="24"/>
          <w:szCs w:val="24"/>
        </w:rPr>
        <w:t>.</w:t>
      </w:r>
    </w:p>
    <w:p w14:paraId="6FEBEED9" w14:textId="77777777" w:rsidR="000A322C" w:rsidRPr="00F2785D" w:rsidRDefault="000A322C" w:rsidP="00475455">
      <w:pPr>
        <w:ind w:left="851"/>
        <w:rPr>
          <w:sz w:val="24"/>
          <w:szCs w:val="24"/>
        </w:rPr>
      </w:pPr>
    </w:p>
    <w:p w14:paraId="4936F0FE" w14:textId="77777777" w:rsidR="000A322C" w:rsidRPr="00F2785D" w:rsidRDefault="000A322C" w:rsidP="00475455">
      <w:pPr>
        <w:ind w:left="851"/>
        <w:rPr>
          <w:sz w:val="24"/>
          <w:szCs w:val="24"/>
          <w:u w:val="single"/>
        </w:rPr>
      </w:pPr>
      <w:r w:rsidRPr="00F2785D">
        <w:rPr>
          <w:sz w:val="24"/>
          <w:szCs w:val="24"/>
          <w:u w:val="single"/>
        </w:rPr>
        <w:t xml:space="preserve">Virkemekanisme og </w:t>
      </w:r>
      <w:proofErr w:type="spellStart"/>
      <w:r w:rsidRPr="00F2785D">
        <w:rPr>
          <w:sz w:val="24"/>
          <w:szCs w:val="24"/>
          <w:u w:val="single"/>
        </w:rPr>
        <w:t>farmakodynamisk</w:t>
      </w:r>
      <w:proofErr w:type="spellEnd"/>
      <w:r w:rsidRPr="00F2785D">
        <w:rPr>
          <w:sz w:val="24"/>
          <w:szCs w:val="24"/>
          <w:u w:val="single"/>
        </w:rPr>
        <w:t xml:space="preserve"> virkning</w:t>
      </w:r>
    </w:p>
    <w:p w14:paraId="5BC82B58" w14:textId="6D659B72" w:rsidR="000A322C" w:rsidRPr="00F2785D" w:rsidRDefault="000A322C" w:rsidP="00475455">
      <w:pPr>
        <w:ind w:left="851"/>
        <w:rPr>
          <w:sz w:val="24"/>
          <w:szCs w:val="24"/>
        </w:rPr>
      </w:pPr>
      <w:proofErr w:type="spellStart"/>
      <w:r w:rsidRPr="00F2785D">
        <w:rPr>
          <w:sz w:val="24"/>
          <w:szCs w:val="24"/>
        </w:rPr>
        <w:t>Ciclosporin</w:t>
      </w:r>
      <w:proofErr w:type="spellEnd"/>
      <w:r w:rsidRPr="00F2785D">
        <w:rPr>
          <w:sz w:val="24"/>
          <w:szCs w:val="24"/>
        </w:rPr>
        <w:t xml:space="preserve"> er en </w:t>
      </w:r>
      <w:proofErr w:type="spellStart"/>
      <w:r w:rsidRPr="00F2785D">
        <w:rPr>
          <w:sz w:val="24"/>
          <w:szCs w:val="24"/>
        </w:rPr>
        <w:t>calcineurinhæmmer</w:t>
      </w:r>
      <w:proofErr w:type="spellEnd"/>
      <w:r w:rsidRPr="00F2785D">
        <w:rPr>
          <w:sz w:val="24"/>
          <w:szCs w:val="24"/>
        </w:rPr>
        <w:t xml:space="preserve"> med immunsuppressiv og antiinflammatorisk aktivitet. Det hæmmer aktiveringen af </w:t>
      </w:r>
      <w:proofErr w:type="spellStart"/>
      <w:r w:rsidRPr="00F2785D">
        <w:rPr>
          <w:sz w:val="24"/>
          <w:szCs w:val="24"/>
        </w:rPr>
        <w:t>transkriptionsfaktorer</w:t>
      </w:r>
      <w:proofErr w:type="spellEnd"/>
      <w:r w:rsidRPr="00F2785D">
        <w:rPr>
          <w:sz w:val="24"/>
          <w:szCs w:val="24"/>
        </w:rPr>
        <w:t>, der kræves til T-celle</w:t>
      </w:r>
      <w:r w:rsidR="00D7144A">
        <w:rPr>
          <w:sz w:val="24"/>
          <w:szCs w:val="24"/>
        </w:rPr>
        <w:softHyphen/>
      </w:r>
      <w:r w:rsidRPr="00F2785D">
        <w:rPr>
          <w:sz w:val="24"/>
          <w:szCs w:val="24"/>
        </w:rPr>
        <w:t xml:space="preserve">aktivering og inflammatorisk cytokinproduktion, herunder </w:t>
      </w:r>
      <w:proofErr w:type="spellStart"/>
      <w:r w:rsidRPr="00F2785D">
        <w:rPr>
          <w:sz w:val="24"/>
          <w:szCs w:val="24"/>
        </w:rPr>
        <w:t>interleukin</w:t>
      </w:r>
      <w:proofErr w:type="spellEnd"/>
      <w:r w:rsidRPr="00F2785D">
        <w:rPr>
          <w:sz w:val="24"/>
          <w:szCs w:val="24"/>
        </w:rPr>
        <w:t> 2 (IL-2) og T-cellevækstfaktor (TCGF). Det kan også opregulere frigivelsen af antiinflammatoriske cytokiner.</w:t>
      </w:r>
    </w:p>
    <w:p w14:paraId="2933BE77" w14:textId="77777777" w:rsidR="000A322C" w:rsidRPr="00F2785D" w:rsidRDefault="000A322C" w:rsidP="00475455">
      <w:pPr>
        <w:ind w:left="851"/>
        <w:rPr>
          <w:sz w:val="24"/>
          <w:szCs w:val="24"/>
        </w:rPr>
      </w:pPr>
    </w:p>
    <w:p w14:paraId="411E997F" w14:textId="77777777" w:rsidR="000A322C" w:rsidRPr="00F2785D" w:rsidRDefault="000A322C" w:rsidP="00475455">
      <w:pPr>
        <w:ind w:left="851"/>
        <w:rPr>
          <w:sz w:val="24"/>
          <w:szCs w:val="24"/>
        </w:rPr>
      </w:pPr>
      <w:r w:rsidRPr="00F2785D">
        <w:rPr>
          <w:sz w:val="24"/>
          <w:szCs w:val="24"/>
        </w:rPr>
        <w:t>Ved lidelsen øjentørhed (</w:t>
      </w:r>
      <w:r w:rsidRPr="00F2785D">
        <w:rPr>
          <w:i/>
          <w:iCs/>
          <w:sz w:val="24"/>
          <w:szCs w:val="24"/>
        </w:rPr>
        <w:t xml:space="preserve">Dry Eye </w:t>
      </w:r>
      <w:proofErr w:type="spellStart"/>
      <w:r w:rsidRPr="00F2785D">
        <w:rPr>
          <w:i/>
          <w:iCs/>
          <w:sz w:val="24"/>
          <w:szCs w:val="24"/>
        </w:rPr>
        <w:t>Disease</w:t>
      </w:r>
      <w:proofErr w:type="spellEnd"/>
      <w:r w:rsidRPr="00F2785D">
        <w:rPr>
          <w:i/>
          <w:iCs/>
          <w:sz w:val="24"/>
          <w:szCs w:val="24"/>
        </w:rPr>
        <w:t xml:space="preserve">, </w:t>
      </w:r>
      <w:r w:rsidRPr="00F2785D">
        <w:rPr>
          <w:sz w:val="24"/>
          <w:szCs w:val="24"/>
        </w:rPr>
        <w:t xml:space="preserve">DED), som involverer en inflammatorisk mekanisme, absorberes </w:t>
      </w:r>
      <w:proofErr w:type="spellStart"/>
      <w:r w:rsidRPr="00F2785D">
        <w:rPr>
          <w:sz w:val="24"/>
          <w:szCs w:val="24"/>
        </w:rPr>
        <w:t>ciclosporin</w:t>
      </w:r>
      <w:proofErr w:type="spellEnd"/>
      <w:r w:rsidRPr="00F2785D">
        <w:rPr>
          <w:sz w:val="24"/>
          <w:szCs w:val="24"/>
        </w:rPr>
        <w:t xml:space="preserve"> i T</w:t>
      </w:r>
      <w:r w:rsidRPr="00F2785D">
        <w:rPr>
          <w:sz w:val="24"/>
          <w:szCs w:val="24"/>
        </w:rPr>
        <w:noBreakHyphen/>
        <w:t xml:space="preserve">lymfocytter i den </w:t>
      </w:r>
      <w:proofErr w:type="spellStart"/>
      <w:r w:rsidRPr="00F2785D">
        <w:rPr>
          <w:sz w:val="24"/>
          <w:szCs w:val="24"/>
        </w:rPr>
        <w:t>okulære</w:t>
      </w:r>
      <w:proofErr w:type="spellEnd"/>
      <w:r w:rsidRPr="00F2785D">
        <w:rPr>
          <w:sz w:val="24"/>
          <w:szCs w:val="24"/>
        </w:rPr>
        <w:t xml:space="preserve"> overflade og inaktiverer </w:t>
      </w:r>
      <w:proofErr w:type="spellStart"/>
      <w:r w:rsidRPr="00F2785D">
        <w:rPr>
          <w:sz w:val="24"/>
          <w:szCs w:val="24"/>
        </w:rPr>
        <w:t>calcineurinphosphatase</w:t>
      </w:r>
      <w:proofErr w:type="spellEnd"/>
      <w:r w:rsidRPr="00F2785D">
        <w:rPr>
          <w:sz w:val="24"/>
          <w:szCs w:val="24"/>
        </w:rPr>
        <w:t>, hvilket blokerer frigivelsen af pro-inflammatoriske cytokiner, såsom IL-2.</w:t>
      </w:r>
    </w:p>
    <w:p w14:paraId="4DF374CD" w14:textId="77777777" w:rsidR="000A322C" w:rsidRPr="00F2785D" w:rsidRDefault="000A322C" w:rsidP="00475455">
      <w:pPr>
        <w:ind w:left="851"/>
        <w:rPr>
          <w:sz w:val="24"/>
          <w:szCs w:val="24"/>
        </w:rPr>
      </w:pPr>
    </w:p>
    <w:p w14:paraId="0FD4CA3F" w14:textId="77777777" w:rsidR="000A322C" w:rsidRPr="00F2785D" w:rsidRDefault="000A322C" w:rsidP="00475455">
      <w:pPr>
        <w:ind w:left="851"/>
        <w:rPr>
          <w:sz w:val="24"/>
          <w:szCs w:val="24"/>
          <w:u w:val="single"/>
        </w:rPr>
      </w:pPr>
      <w:r w:rsidRPr="00F2785D">
        <w:rPr>
          <w:sz w:val="24"/>
          <w:szCs w:val="24"/>
          <w:u w:val="single"/>
        </w:rPr>
        <w:t>Klinisk virkning</w:t>
      </w:r>
    </w:p>
    <w:p w14:paraId="715F8A55" w14:textId="77777777" w:rsidR="000A322C" w:rsidRPr="00F2785D" w:rsidRDefault="000A322C" w:rsidP="00475455">
      <w:pPr>
        <w:ind w:left="851"/>
        <w:rPr>
          <w:sz w:val="24"/>
          <w:szCs w:val="24"/>
        </w:rPr>
      </w:pPr>
    </w:p>
    <w:p w14:paraId="794AC899" w14:textId="77777777" w:rsidR="000A322C" w:rsidRPr="00F2785D" w:rsidRDefault="000A322C" w:rsidP="00475455">
      <w:pPr>
        <w:ind w:left="851"/>
        <w:rPr>
          <w:sz w:val="24"/>
          <w:szCs w:val="24"/>
        </w:rPr>
      </w:pPr>
      <w:r w:rsidRPr="00F2785D">
        <w:rPr>
          <w:sz w:val="24"/>
          <w:szCs w:val="24"/>
        </w:rPr>
        <w:t>Kliniske studier</w:t>
      </w:r>
    </w:p>
    <w:p w14:paraId="44FEA12C" w14:textId="77777777" w:rsidR="000A322C" w:rsidRPr="00F2785D" w:rsidRDefault="000A322C" w:rsidP="00475455">
      <w:pPr>
        <w:ind w:left="851"/>
        <w:rPr>
          <w:sz w:val="24"/>
          <w:szCs w:val="24"/>
        </w:rPr>
      </w:pPr>
      <w:proofErr w:type="spellStart"/>
      <w:r w:rsidRPr="00F2785D">
        <w:rPr>
          <w:sz w:val="24"/>
          <w:szCs w:val="24"/>
        </w:rPr>
        <w:t>Sekuas</w:t>
      </w:r>
      <w:proofErr w:type="spellEnd"/>
      <w:r w:rsidRPr="00F2785D">
        <w:rPr>
          <w:sz w:val="24"/>
          <w:szCs w:val="24"/>
        </w:rPr>
        <w:t xml:space="preserve"> virkning og sikkerhed blev fastslået i to separate, randomiserede, dobbeltblindede, vehikelkontrollerede, kliniske studier, der inkluderede i alt 1.200 voksne patienter med moderat til svær DED (SANDE-score ≥ 40), og med symptomer i 6 måneder eller længere. I alt 524 af disse patienter blev behandlet med </w:t>
      </w:r>
      <w:proofErr w:type="spellStart"/>
      <w:r w:rsidRPr="00F2785D">
        <w:rPr>
          <w:sz w:val="24"/>
          <w:szCs w:val="24"/>
        </w:rPr>
        <w:t>Sekua</w:t>
      </w:r>
      <w:proofErr w:type="spellEnd"/>
      <w:r w:rsidRPr="00F2785D">
        <w:rPr>
          <w:sz w:val="24"/>
          <w:szCs w:val="24"/>
        </w:rPr>
        <w:t xml:space="preserve">, og 525 patienter blev behandlet med vehikel. I virkningsstudierne blev patienterne behandlet 2 gange dagligt i 12 uger. Patienterne skulle også have bilateral DED understøttet af tilstedeværelse af </w:t>
      </w:r>
      <w:proofErr w:type="spellStart"/>
      <w:r w:rsidRPr="00F2785D">
        <w:rPr>
          <w:sz w:val="24"/>
          <w:szCs w:val="24"/>
        </w:rPr>
        <w:t>lissamin</w:t>
      </w:r>
      <w:proofErr w:type="spellEnd"/>
      <w:r w:rsidRPr="00F2785D">
        <w:rPr>
          <w:sz w:val="24"/>
          <w:szCs w:val="24"/>
        </w:rPr>
        <w:t>-grøn farvningsscore på ≥ 3 til ≤ 9 ud af 12 (NEI-skala).</w:t>
      </w:r>
    </w:p>
    <w:p w14:paraId="7779FE1B" w14:textId="77777777" w:rsidR="000A322C" w:rsidRPr="00F2785D" w:rsidRDefault="000A322C" w:rsidP="00475455">
      <w:pPr>
        <w:ind w:left="851"/>
        <w:rPr>
          <w:sz w:val="24"/>
          <w:szCs w:val="24"/>
        </w:rPr>
      </w:pPr>
    </w:p>
    <w:p w14:paraId="1E164BF2" w14:textId="77777777" w:rsidR="000A322C" w:rsidRPr="00F2785D" w:rsidRDefault="000A322C" w:rsidP="00475455">
      <w:pPr>
        <w:ind w:left="851"/>
        <w:rPr>
          <w:sz w:val="24"/>
          <w:szCs w:val="24"/>
        </w:rPr>
      </w:pPr>
      <w:r w:rsidRPr="00F2785D">
        <w:rPr>
          <w:sz w:val="24"/>
          <w:szCs w:val="24"/>
        </w:rPr>
        <w:t>Resultaterne af disse studier var konsistente og er opsummeret i tabel 1.</w:t>
      </w:r>
    </w:p>
    <w:p w14:paraId="586C3963" w14:textId="77777777" w:rsidR="000A322C" w:rsidRPr="00F2785D" w:rsidRDefault="000A322C" w:rsidP="000A322C">
      <w:pPr>
        <w:suppressAutoHyphens/>
        <w:rPr>
          <w:sz w:val="24"/>
          <w:szCs w:val="24"/>
        </w:rPr>
      </w:pPr>
    </w:p>
    <w:p w14:paraId="4AE266D4" w14:textId="26A32169" w:rsidR="000A322C" w:rsidRPr="00F2785D" w:rsidRDefault="000A322C" w:rsidP="000A322C">
      <w:pPr>
        <w:suppressAutoHyphens/>
        <w:rPr>
          <w:b/>
          <w:bCs/>
          <w:sz w:val="24"/>
          <w:szCs w:val="24"/>
        </w:rPr>
      </w:pPr>
      <w:r w:rsidRPr="00F2785D">
        <w:rPr>
          <w:b/>
          <w:bCs/>
          <w:sz w:val="24"/>
          <w:szCs w:val="24"/>
        </w:rPr>
        <w:t>Tabel 1</w:t>
      </w:r>
      <w:r w:rsidRPr="00F2785D">
        <w:rPr>
          <w:b/>
          <w:bCs/>
          <w:sz w:val="24"/>
          <w:szCs w:val="24"/>
        </w:rPr>
        <w:tab/>
        <w:t>Opsummering af vigtige virkningsresultater</w:t>
      </w:r>
    </w:p>
    <w:tbl>
      <w:tblPr>
        <w:tblStyle w:val="Tabel-Gitter"/>
        <w:tblW w:w="5000" w:type="pct"/>
        <w:tblInd w:w="0" w:type="dxa"/>
        <w:tblLook w:val="04A0" w:firstRow="1" w:lastRow="0" w:firstColumn="1" w:lastColumn="0" w:noHBand="0" w:noVBand="1"/>
      </w:tblPr>
      <w:tblGrid>
        <w:gridCol w:w="1955"/>
        <w:gridCol w:w="777"/>
        <w:gridCol w:w="1155"/>
        <w:gridCol w:w="1157"/>
        <w:gridCol w:w="1136"/>
        <w:gridCol w:w="1157"/>
        <w:gridCol w:w="1157"/>
        <w:gridCol w:w="1134"/>
      </w:tblGrid>
      <w:tr w:rsidR="000A322C" w:rsidRPr="006F6613" w14:paraId="67C79E30" w14:textId="77777777" w:rsidTr="00475455">
        <w:tc>
          <w:tcPr>
            <w:tcW w:w="1015" w:type="pct"/>
            <w:tcBorders>
              <w:top w:val="single" w:sz="4" w:space="0" w:color="auto"/>
              <w:left w:val="single" w:sz="4" w:space="0" w:color="auto"/>
              <w:bottom w:val="single" w:sz="4" w:space="0" w:color="auto"/>
              <w:right w:val="single" w:sz="4" w:space="0" w:color="auto"/>
            </w:tcBorders>
            <w:hideMark/>
          </w:tcPr>
          <w:p w14:paraId="6A8FA104" w14:textId="77777777" w:rsidR="000A322C" w:rsidRPr="006F6613" w:rsidRDefault="000A322C">
            <w:pPr>
              <w:suppressAutoHyphens/>
              <w:jc w:val="center"/>
              <w:rPr>
                <w:b/>
                <w:bCs/>
                <w:sz w:val="22"/>
                <w:szCs w:val="22"/>
              </w:rPr>
            </w:pPr>
            <w:r w:rsidRPr="006F6613">
              <w:rPr>
                <w:b/>
                <w:bCs/>
                <w:sz w:val="22"/>
                <w:szCs w:val="22"/>
              </w:rPr>
              <w:t>Parameter</w:t>
            </w:r>
          </w:p>
        </w:tc>
        <w:tc>
          <w:tcPr>
            <w:tcW w:w="403" w:type="pct"/>
            <w:tcBorders>
              <w:top w:val="single" w:sz="4" w:space="0" w:color="auto"/>
              <w:left w:val="single" w:sz="4" w:space="0" w:color="auto"/>
              <w:bottom w:val="single" w:sz="4" w:space="0" w:color="auto"/>
              <w:right w:val="single" w:sz="4" w:space="0" w:color="auto"/>
            </w:tcBorders>
          </w:tcPr>
          <w:p w14:paraId="2320F3AA" w14:textId="77777777" w:rsidR="000A322C" w:rsidRPr="006F6613" w:rsidRDefault="000A322C">
            <w:pPr>
              <w:suppressAutoHyphens/>
              <w:jc w:val="center"/>
              <w:rPr>
                <w:b/>
                <w:bCs/>
                <w:sz w:val="22"/>
                <w:szCs w:val="22"/>
              </w:rPr>
            </w:pPr>
          </w:p>
        </w:tc>
        <w:tc>
          <w:tcPr>
            <w:tcW w:w="1791" w:type="pct"/>
            <w:gridSpan w:val="3"/>
            <w:tcBorders>
              <w:top w:val="single" w:sz="4" w:space="0" w:color="auto"/>
              <w:left w:val="single" w:sz="4" w:space="0" w:color="auto"/>
              <w:bottom w:val="single" w:sz="4" w:space="0" w:color="auto"/>
              <w:right w:val="single" w:sz="4" w:space="0" w:color="auto"/>
            </w:tcBorders>
            <w:hideMark/>
          </w:tcPr>
          <w:p w14:paraId="42309919" w14:textId="77777777" w:rsidR="000A322C" w:rsidRPr="006F6613" w:rsidRDefault="000A322C">
            <w:pPr>
              <w:suppressAutoHyphens/>
              <w:jc w:val="center"/>
              <w:rPr>
                <w:b/>
                <w:bCs/>
                <w:sz w:val="22"/>
                <w:szCs w:val="22"/>
              </w:rPr>
            </w:pPr>
            <w:r w:rsidRPr="006F6613">
              <w:rPr>
                <w:b/>
                <w:bCs/>
                <w:sz w:val="22"/>
                <w:szCs w:val="22"/>
              </w:rPr>
              <w:t>OTX-101-2014-001</w:t>
            </w:r>
            <w:r w:rsidRPr="006F6613">
              <w:rPr>
                <w:b/>
                <w:bCs/>
                <w:sz w:val="22"/>
                <w:szCs w:val="22"/>
                <w:vertAlign w:val="superscript"/>
              </w:rPr>
              <w:t>1</w:t>
            </w:r>
          </w:p>
        </w:tc>
        <w:tc>
          <w:tcPr>
            <w:tcW w:w="1792" w:type="pct"/>
            <w:gridSpan w:val="3"/>
            <w:tcBorders>
              <w:top w:val="single" w:sz="4" w:space="0" w:color="auto"/>
              <w:left w:val="single" w:sz="4" w:space="0" w:color="auto"/>
              <w:bottom w:val="single" w:sz="4" w:space="0" w:color="auto"/>
              <w:right w:val="single" w:sz="4" w:space="0" w:color="auto"/>
            </w:tcBorders>
            <w:hideMark/>
          </w:tcPr>
          <w:p w14:paraId="5D6E33D7" w14:textId="77777777" w:rsidR="000A322C" w:rsidRPr="006F6613" w:rsidRDefault="000A322C">
            <w:pPr>
              <w:suppressAutoHyphens/>
              <w:jc w:val="center"/>
              <w:rPr>
                <w:b/>
                <w:bCs/>
                <w:sz w:val="22"/>
                <w:szCs w:val="22"/>
              </w:rPr>
            </w:pPr>
            <w:r w:rsidRPr="006F6613">
              <w:rPr>
                <w:b/>
                <w:bCs/>
                <w:sz w:val="22"/>
                <w:szCs w:val="22"/>
              </w:rPr>
              <w:t>OTX-101-2016-001</w:t>
            </w:r>
          </w:p>
        </w:tc>
      </w:tr>
      <w:tr w:rsidR="000A322C" w:rsidRPr="006F6613" w14:paraId="507B3C25" w14:textId="77777777" w:rsidTr="00475455">
        <w:tc>
          <w:tcPr>
            <w:tcW w:w="1015" w:type="pct"/>
            <w:tcBorders>
              <w:top w:val="single" w:sz="4" w:space="0" w:color="auto"/>
              <w:left w:val="single" w:sz="4" w:space="0" w:color="auto"/>
              <w:bottom w:val="single" w:sz="4" w:space="0" w:color="auto"/>
              <w:right w:val="single" w:sz="4" w:space="0" w:color="auto"/>
            </w:tcBorders>
          </w:tcPr>
          <w:p w14:paraId="700C8488" w14:textId="77777777" w:rsidR="000A322C" w:rsidRPr="006F6613" w:rsidRDefault="000A322C">
            <w:pPr>
              <w:suppressAutoHyphens/>
              <w:jc w:val="center"/>
              <w:rPr>
                <w:b/>
                <w:bCs/>
                <w:sz w:val="22"/>
                <w:szCs w:val="22"/>
              </w:rPr>
            </w:pPr>
          </w:p>
        </w:tc>
        <w:tc>
          <w:tcPr>
            <w:tcW w:w="403" w:type="pct"/>
            <w:tcBorders>
              <w:top w:val="single" w:sz="4" w:space="0" w:color="auto"/>
              <w:left w:val="single" w:sz="4" w:space="0" w:color="auto"/>
              <w:bottom w:val="single" w:sz="4" w:space="0" w:color="auto"/>
              <w:right w:val="single" w:sz="4" w:space="0" w:color="auto"/>
            </w:tcBorders>
          </w:tcPr>
          <w:p w14:paraId="2B45413B" w14:textId="77777777" w:rsidR="000A322C" w:rsidRPr="006F6613" w:rsidRDefault="000A322C">
            <w:pPr>
              <w:suppressAutoHyphens/>
              <w:jc w:val="center"/>
              <w:rPr>
                <w:b/>
                <w:bCs/>
                <w:sz w:val="22"/>
                <w:szCs w:val="22"/>
              </w:rPr>
            </w:pPr>
          </w:p>
        </w:tc>
        <w:tc>
          <w:tcPr>
            <w:tcW w:w="600" w:type="pct"/>
            <w:tcBorders>
              <w:top w:val="single" w:sz="4" w:space="0" w:color="auto"/>
              <w:left w:val="single" w:sz="4" w:space="0" w:color="auto"/>
              <w:bottom w:val="single" w:sz="4" w:space="0" w:color="auto"/>
              <w:right w:val="single" w:sz="4" w:space="0" w:color="auto"/>
            </w:tcBorders>
            <w:hideMark/>
          </w:tcPr>
          <w:p w14:paraId="1AE43699" w14:textId="77777777" w:rsidR="000A322C" w:rsidRPr="006F6613" w:rsidRDefault="000A322C">
            <w:pPr>
              <w:suppressAutoHyphens/>
              <w:jc w:val="center"/>
              <w:rPr>
                <w:b/>
                <w:bCs/>
                <w:sz w:val="22"/>
                <w:szCs w:val="22"/>
              </w:rPr>
            </w:pPr>
            <w:r w:rsidRPr="006F6613">
              <w:rPr>
                <w:b/>
                <w:bCs/>
                <w:sz w:val="22"/>
                <w:szCs w:val="22"/>
              </w:rPr>
              <w:t>OTX-101</w:t>
            </w:r>
          </w:p>
        </w:tc>
        <w:tc>
          <w:tcPr>
            <w:tcW w:w="601" w:type="pct"/>
            <w:tcBorders>
              <w:top w:val="single" w:sz="4" w:space="0" w:color="auto"/>
              <w:left w:val="single" w:sz="4" w:space="0" w:color="auto"/>
              <w:bottom w:val="single" w:sz="4" w:space="0" w:color="auto"/>
              <w:right w:val="single" w:sz="4" w:space="0" w:color="auto"/>
            </w:tcBorders>
            <w:hideMark/>
          </w:tcPr>
          <w:p w14:paraId="400F4DF8" w14:textId="77777777" w:rsidR="000A322C" w:rsidRPr="006F6613" w:rsidRDefault="000A322C">
            <w:pPr>
              <w:suppressAutoHyphens/>
              <w:jc w:val="center"/>
              <w:rPr>
                <w:b/>
                <w:bCs/>
                <w:sz w:val="22"/>
                <w:szCs w:val="22"/>
              </w:rPr>
            </w:pPr>
            <w:proofErr w:type="spellStart"/>
            <w:r w:rsidRPr="006F6613">
              <w:rPr>
                <w:b/>
                <w:bCs/>
                <w:sz w:val="22"/>
                <w:szCs w:val="22"/>
              </w:rPr>
              <w:t>Vehikel</w:t>
            </w:r>
            <w:proofErr w:type="spellEnd"/>
          </w:p>
        </w:tc>
        <w:tc>
          <w:tcPr>
            <w:tcW w:w="590" w:type="pct"/>
            <w:tcBorders>
              <w:top w:val="single" w:sz="4" w:space="0" w:color="auto"/>
              <w:left w:val="single" w:sz="4" w:space="0" w:color="auto"/>
              <w:bottom w:val="single" w:sz="4" w:space="0" w:color="auto"/>
              <w:right w:val="single" w:sz="4" w:space="0" w:color="auto"/>
            </w:tcBorders>
            <w:hideMark/>
          </w:tcPr>
          <w:p w14:paraId="262EFA63" w14:textId="77777777" w:rsidR="000A322C" w:rsidRPr="006F6613" w:rsidRDefault="000A322C">
            <w:pPr>
              <w:suppressAutoHyphens/>
              <w:jc w:val="center"/>
              <w:rPr>
                <w:b/>
                <w:bCs/>
                <w:sz w:val="22"/>
                <w:szCs w:val="22"/>
              </w:rPr>
            </w:pPr>
            <w:r w:rsidRPr="006F6613">
              <w:rPr>
                <w:b/>
                <w:bCs/>
                <w:sz w:val="22"/>
                <w:szCs w:val="22"/>
              </w:rPr>
              <w:t>p-</w:t>
            </w:r>
            <w:proofErr w:type="spellStart"/>
            <w:r w:rsidRPr="006F6613">
              <w:rPr>
                <w:b/>
                <w:bCs/>
                <w:sz w:val="22"/>
                <w:szCs w:val="22"/>
              </w:rPr>
              <w:t>værdi</w:t>
            </w:r>
            <w:proofErr w:type="spellEnd"/>
          </w:p>
        </w:tc>
        <w:tc>
          <w:tcPr>
            <w:tcW w:w="601" w:type="pct"/>
            <w:tcBorders>
              <w:top w:val="single" w:sz="4" w:space="0" w:color="auto"/>
              <w:left w:val="single" w:sz="4" w:space="0" w:color="auto"/>
              <w:bottom w:val="single" w:sz="4" w:space="0" w:color="auto"/>
              <w:right w:val="single" w:sz="4" w:space="0" w:color="auto"/>
            </w:tcBorders>
            <w:hideMark/>
          </w:tcPr>
          <w:p w14:paraId="734872E4" w14:textId="77777777" w:rsidR="000A322C" w:rsidRPr="006F6613" w:rsidRDefault="000A322C">
            <w:pPr>
              <w:suppressAutoHyphens/>
              <w:jc w:val="center"/>
              <w:rPr>
                <w:b/>
                <w:bCs/>
                <w:sz w:val="22"/>
                <w:szCs w:val="22"/>
              </w:rPr>
            </w:pPr>
            <w:r w:rsidRPr="006F6613">
              <w:rPr>
                <w:b/>
                <w:bCs/>
                <w:sz w:val="22"/>
                <w:szCs w:val="22"/>
              </w:rPr>
              <w:t>OTX-101</w:t>
            </w:r>
          </w:p>
        </w:tc>
        <w:tc>
          <w:tcPr>
            <w:tcW w:w="601" w:type="pct"/>
            <w:tcBorders>
              <w:top w:val="single" w:sz="4" w:space="0" w:color="auto"/>
              <w:left w:val="single" w:sz="4" w:space="0" w:color="auto"/>
              <w:bottom w:val="single" w:sz="4" w:space="0" w:color="auto"/>
              <w:right w:val="single" w:sz="4" w:space="0" w:color="auto"/>
            </w:tcBorders>
            <w:hideMark/>
          </w:tcPr>
          <w:p w14:paraId="3D6C873E" w14:textId="77777777" w:rsidR="000A322C" w:rsidRPr="006F6613" w:rsidRDefault="000A322C">
            <w:pPr>
              <w:suppressAutoHyphens/>
              <w:jc w:val="center"/>
              <w:rPr>
                <w:b/>
                <w:bCs/>
                <w:sz w:val="22"/>
                <w:szCs w:val="22"/>
              </w:rPr>
            </w:pPr>
            <w:proofErr w:type="spellStart"/>
            <w:r w:rsidRPr="006F6613">
              <w:rPr>
                <w:b/>
                <w:bCs/>
                <w:sz w:val="22"/>
                <w:szCs w:val="22"/>
              </w:rPr>
              <w:t>Vehikel</w:t>
            </w:r>
            <w:proofErr w:type="spellEnd"/>
          </w:p>
        </w:tc>
        <w:tc>
          <w:tcPr>
            <w:tcW w:w="590" w:type="pct"/>
            <w:tcBorders>
              <w:top w:val="single" w:sz="4" w:space="0" w:color="auto"/>
              <w:left w:val="single" w:sz="4" w:space="0" w:color="auto"/>
              <w:bottom w:val="single" w:sz="4" w:space="0" w:color="auto"/>
              <w:right w:val="single" w:sz="4" w:space="0" w:color="auto"/>
            </w:tcBorders>
            <w:hideMark/>
          </w:tcPr>
          <w:p w14:paraId="078D3D74" w14:textId="77777777" w:rsidR="000A322C" w:rsidRPr="006F6613" w:rsidRDefault="000A322C">
            <w:pPr>
              <w:suppressAutoHyphens/>
              <w:jc w:val="center"/>
              <w:rPr>
                <w:b/>
                <w:bCs/>
                <w:sz w:val="22"/>
                <w:szCs w:val="22"/>
              </w:rPr>
            </w:pPr>
            <w:r w:rsidRPr="006F6613">
              <w:rPr>
                <w:b/>
                <w:bCs/>
                <w:sz w:val="22"/>
                <w:szCs w:val="22"/>
              </w:rPr>
              <w:t>p-</w:t>
            </w:r>
            <w:proofErr w:type="spellStart"/>
            <w:r w:rsidRPr="006F6613">
              <w:rPr>
                <w:b/>
                <w:bCs/>
                <w:sz w:val="22"/>
                <w:szCs w:val="22"/>
              </w:rPr>
              <w:t>værdi</w:t>
            </w:r>
            <w:proofErr w:type="spellEnd"/>
          </w:p>
        </w:tc>
      </w:tr>
      <w:tr w:rsidR="000A322C" w:rsidRPr="006F6613" w14:paraId="1BDF58A6" w14:textId="77777777" w:rsidTr="00475455">
        <w:tc>
          <w:tcPr>
            <w:tcW w:w="1015" w:type="pct"/>
            <w:tcBorders>
              <w:top w:val="single" w:sz="4" w:space="0" w:color="auto"/>
              <w:left w:val="single" w:sz="4" w:space="0" w:color="auto"/>
              <w:bottom w:val="single" w:sz="4" w:space="0" w:color="auto"/>
              <w:right w:val="single" w:sz="4" w:space="0" w:color="auto"/>
            </w:tcBorders>
            <w:hideMark/>
          </w:tcPr>
          <w:p w14:paraId="22BF2957" w14:textId="77777777" w:rsidR="000A322C" w:rsidRPr="006F6613" w:rsidRDefault="000A322C">
            <w:pPr>
              <w:suppressAutoHyphens/>
              <w:jc w:val="center"/>
              <w:rPr>
                <w:sz w:val="22"/>
                <w:szCs w:val="22"/>
              </w:rPr>
            </w:pPr>
            <w:r w:rsidRPr="006F6613">
              <w:rPr>
                <w:sz w:val="22"/>
                <w:szCs w:val="22"/>
              </w:rPr>
              <w:t>N</w:t>
            </w:r>
            <w:r w:rsidRPr="006F6613">
              <w:rPr>
                <w:sz w:val="22"/>
                <w:szCs w:val="22"/>
                <w:vertAlign w:val="superscript"/>
              </w:rPr>
              <w:t>2</w:t>
            </w:r>
            <w:r w:rsidRPr="006F6613">
              <w:rPr>
                <w:sz w:val="22"/>
                <w:szCs w:val="22"/>
              </w:rPr>
              <w:t xml:space="preserve"> (</w:t>
            </w:r>
            <w:proofErr w:type="spellStart"/>
            <w:r w:rsidRPr="006F6613">
              <w:rPr>
                <w:sz w:val="22"/>
                <w:szCs w:val="22"/>
              </w:rPr>
              <w:t>tilmeldt</w:t>
            </w:r>
            <w:proofErr w:type="spellEnd"/>
            <w:r w:rsidRPr="006F6613">
              <w:rPr>
                <w:sz w:val="22"/>
                <w:szCs w:val="22"/>
              </w:rPr>
              <w:t>/</w:t>
            </w:r>
            <w:proofErr w:type="spellStart"/>
            <w:r w:rsidRPr="006F6613">
              <w:rPr>
                <w:sz w:val="22"/>
                <w:szCs w:val="22"/>
              </w:rPr>
              <w:t>fuldført</w:t>
            </w:r>
            <w:proofErr w:type="spellEnd"/>
            <w:r w:rsidRPr="006F6613">
              <w:rPr>
                <w:sz w:val="22"/>
                <w:szCs w:val="22"/>
              </w:rPr>
              <w:t>)</w:t>
            </w:r>
          </w:p>
        </w:tc>
        <w:tc>
          <w:tcPr>
            <w:tcW w:w="403" w:type="pct"/>
            <w:tcBorders>
              <w:top w:val="single" w:sz="4" w:space="0" w:color="auto"/>
              <w:left w:val="single" w:sz="4" w:space="0" w:color="auto"/>
              <w:bottom w:val="single" w:sz="4" w:space="0" w:color="auto"/>
              <w:right w:val="single" w:sz="4" w:space="0" w:color="auto"/>
            </w:tcBorders>
          </w:tcPr>
          <w:p w14:paraId="1AA1B68A" w14:textId="77777777" w:rsidR="000A322C" w:rsidRPr="006F6613" w:rsidRDefault="000A322C">
            <w:pPr>
              <w:suppressAutoHyphens/>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hideMark/>
          </w:tcPr>
          <w:p w14:paraId="48E48DFF" w14:textId="77777777" w:rsidR="000A322C" w:rsidRPr="006F6613" w:rsidRDefault="000A322C">
            <w:pPr>
              <w:suppressAutoHyphens/>
              <w:jc w:val="center"/>
              <w:rPr>
                <w:sz w:val="22"/>
                <w:szCs w:val="22"/>
              </w:rPr>
            </w:pPr>
            <w:r w:rsidRPr="006F6613">
              <w:rPr>
                <w:sz w:val="22"/>
                <w:szCs w:val="22"/>
              </w:rPr>
              <w:t>152/140</w:t>
            </w:r>
          </w:p>
        </w:tc>
        <w:tc>
          <w:tcPr>
            <w:tcW w:w="601" w:type="pct"/>
            <w:tcBorders>
              <w:top w:val="single" w:sz="4" w:space="0" w:color="auto"/>
              <w:left w:val="single" w:sz="4" w:space="0" w:color="auto"/>
              <w:bottom w:val="single" w:sz="4" w:space="0" w:color="auto"/>
              <w:right w:val="single" w:sz="4" w:space="0" w:color="auto"/>
            </w:tcBorders>
            <w:hideMark/>
          </w:tcPr>
          <w:p w14:paraId="03283C84" w14:textId="77777777" w:rsidR="000A322C" w:rsidRPr="006F6613" w:rsidRDefault="000A322C">
            <w:pPr>
              <w:suppressAutoHyphens/>
              <w:jc w:val="center"/>
              <w:rPr>
                <w:sz w:val="22"/>
                <w:szCs w:val="22"/>
              </w:rPr>
            </w:pPr>
            <w:r w:rsidRPr="006F6613">
              <w:rPr>
                <w:sz w:val="22"/>
                <w:szCs w:val="22"/>
              </w:rPr>
              <w:t>152/144</w:t>
            </w:r>
          </w:p>
        </w:tc>
        <w:tc>
          <w:tcPr>
            <w:tcW w:w="590" w:type="pct"/>
            <w:tcBorders>
              <w:top w:val="single" w:sz="4" w:space="0" w:color="auto"/>
              <w:left w:val="single" w:sz="4" w:space="0" w:color="auto"/>
              <w:bottom w:val="single" w:sz="4" w:space="0" w:color="auto"/>
              <w:right w:val="single" w:sz="4" w:space="0" w:color="auto"/>
            </w:tcBorders>
          </w:tcPr>
          <w:p w14:paraId="39A6555E" w14:textId="77777777" w:rsidR="000A322C" w:rsidRPr="006F6613" w:rsidRDefault="000A322C">
            <w:pPr>
              <w:suppressAutoHyphens/>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hideMark/>
          </w:tcPr>
          <w:p w14:paraId="3D25C095" w14:textId="77777777" w:rsidR="000A322C" w:rsidRPr="006F6613" w:rsidRDefault="000A322C">
            <w:pPr>
              <w:suppressAutoHyphens/>
              <w:jc w:val="center"/>
              <w:rPr>
                <w:sz w:val="22"/>
                <w:szCs w:val="22"/>
              </w:rPr>
            </w:pPr>
            <w:r w:rsidRPr="006F6613">
              <w:rPr>
                <w:sz w:val="22"/>
                <w:szCs w:val="22"/>
              </w:rPr>
              <w:t>372/347</w:t>
            </w:r>
          </w:p>
        </w:tc>
        <w:tc>
          <w:tcPr>
            <w:tcW w:w="601" w:type="pct"/>
            <w:tcBorders>
              <w:top w:val="single" w:sz="4" w:space="0" w:color="auto"/>
              <w:left w:val="single" w:sz="4" w:space="0" w:color="auto"/>
              <w:bottom w:val="single" w:sz="4" w:space="0" w:color="auto"/>
              <w:right w:val="single" w:sz="4" w:space="0" w:color="auto"/>
            </w:tcBorders>
            <w:hideMark/>
          </w:tcPr>
          <w:p w14:paraId="6C59DEE8" w14:textId="77777777" w:rsidR="000A322C" w:rsidRPr="006F6613" w:rsidRDefault="000A322C">
            <w:pPr>
              <w:suppressAutoHyphens/>
              <w:jc w:val="center"/>
              <w:rPr>
                <w:sz w:val="22"/>
                <w:szCs w:val="22"/>
              </w:rPr>
            </w:pPr>
            <w:r w:rsidRPr="006F6613">
              <w:rPr>
                <w:sz w:val="22"/>
                <w:szCs w:val="22"/>
              </w:rPr>
              <w:t>373/361</w:t>
            </w:r>
          </w:p>
        </w:tc>
        <w:tc>
          <w:tcPr>
            <w:tcW w:w="590" w:type="pct"/>
            <w:tcBorders>
              <w:top w:val="single" w:sz="4" w:space="0" w:color="auto"/>
              <w:left w:val="single" w:sz="4" w:space="0" w:color="auto"/>
              <w:bottom w:val="single" w:sz="4" w:space="0" w:color="auto"/>
              <w:right w:val="single" w:sz="4" w:space="0" w:color="auto"/>
            </w:tcBorders>
          </w:tcPr>
          <w:p w14:paraId="4EC94EC2" w14:textId="77777777" w:rsidR="000A322C" w:rsidRPr="006F6613" w:rsidRDefault="000A322C">
            <w:pPr>
              <w:suppressAutoHyphens/>
              <w:jc w:val="center"/>
              <w:rPr>
                <w:sz w:val="22"/>
                <w:szCs w:val="22"/>
              </w:rPr>
            </w:pPr>
          </w:p>
        </w:tc>
      </w:tr>
      <w:tr w:rsidR="000A322C" w:rsidRPr="006F6613" w14:paraId="797BAEE3" w14:textId="77777777" w:rsidTr="00475455">
        <w:tc>
          <w:tcPr>
            <w:tcW w:w="5000" w:type="pct"/>
            <w:gridSpan w:val="8"/>
            <w:tcBorders>
              <w:top w:val="single" w:sz="4" w:space="0" w:color="auto"/>
              <w:left w:val="single" w:sz="4" w:space="0" w:color="auto"/>
              <w:bottom w:val="single" w:sz="4" w:space="0" w:color="auto"/>
              <w:right w:val="single" w:sz="4" w:space="0" w:color="auto"/>
            </w:tcBorders>
            <w:hideMark/>
          </w:tcPr>
          <w:p w14:paraId="6258888F" w14:textId="77777777" w:rsidR="000A322C" w:rsidRPr="006F6613" w:rsidRDefault="000A322C">
            <w:pPr>
              <w:suppressAutoHyphens/>
              <w:rPr>
                <w:b/>
                <w:bCs/>
                <w:sz w:val="22"/>
                <w:szCs w:val="22"/>
              </w:rPr>
            </w:pPr>
            <w:proofErr w:type="spellStart"/>
            <w:r w:rsidRPr="006F6613">
              <w:rPr>
                <w:b/>
                <w:bCs/>
                <w:sz w:val="22"/>
                <w:szCs w:val="22"/>
              </w:rPr>
              <w:t>Stigning</w:t>
            </w:r>
            <w:proofErr w:type="spellEnd"/>
            <w:r w:rsidRPr="006F6613">
              <w:rPr>
                <w:b/>
                <w:bCs/>
                <w:sz w:val="22"/>
                <w:szCs w:val="22"/>
              </w:rPr>
              <w:t xml:space="preserve"> </w:t>
            </w:r>
            <w:proofErr w:type="spellStart"/>
            <w:r w:rsidRPr="006F6613">
              <w:rPr>
                <w:b/>
                <w:bCs/>
                <w:sz w:val="22"/>
                <w:szCs w:val="22"/>
              </w:rPr>
              <w:t>Schirmers</w:t>
            </w:r>
            <w:proofErr w:type="spellEnd"/>
            <w:r w:rsidRPr="006F6613">
              <w:rPr>
                <w:b/>
                <w:bCs/>
                <w:sz w:val="22"/>
                <w:szCs w:val="22"/>
              </w:rPr>
              <w:t xml:space="preserve"> test ≥ 10 mm (%)</w:t>
            </w:r>
            <w:r w:rsidRPr="006F6613">
              <w:rPr>
                <w:b/>
                <w:bCs/>
                <w:sz w:val="22"/>
                <w:szCs w:val="22"/>
                <w:vertAlign w:val="superscript"/>
              </w:rPr>
              <w:t>3</w:t>
            </w:r>
          </w:p>
        </w:tc>
      </w:tr>
      <w:tr w:rsidR="000A322C" w:rsidRPr="006F6613" w14:paraId="57FB6699" w14:textId="77777777" w:rsidTr="00475455">
        <w:tc>
          <w:tcPr>
            <w:tcW w:w="1015" w:type="pct"/>
            <w:tcBorders>
              <w:top w:val="single" w:sz="4" w:space="0" w:color="auto"/>
              <w:left w:val="single" w:sz="4" w:space="0" w:color="auto"/>
              <w:bottom w:val="single" w:sz="4" w:space="0" w:color="auto"/>
              <w:right w:val="single" w:sz="4" w:space="0" w:color="auto"/>
            </w:tcBorders>
            <w:hideMark/>
          </w:tcPr>
          <w:p w14:paraId="18F12B9C" w14:textId="77777777" w:rsidR="000A322C" w:rsidRPr="006F6613" w:rsidRDefault="000A322C">
            <w:pPr>
              <w:suppressAutoHyphens/>
              <w:spacing w:after="240"/>
              <w:jc w:val="center"/>
              <w:rPr>
                <w:sz w:val="22"/>
                <w:szCs w:val="22"/>
                <w:lang w:val="da-DK"/>
              </w:rPr>
            </w:pPr>
            <w:r w:rsidRPr="006F6613">
              <w:rPr>
                <w:sz w:val="22"/>
                <w:szCs w:val="22"/>
                <w:lang w:val="da-DK"/>
              </w:rPr>
              <w:t>Samlet</w:t>
            </w:r>
          </w:p>
          <w:p w14:paraId="7722BDEF" w14:textId="77777777" w:rsidR="000A322C" w:rsidRPr="006F6613" w:rsidRDefault="000A322C">
            <w:pPr>
              <w:suppressAutoHyphens/>
              <w:jc w:val="center"/>
              <w:rPr>
                <w:sz w:val="22"/>
                <w:szCs w:val="22"/>
                <w:lang w:val="da-DK"/>
              </w:rPr>
            </w:pPr>
            <w:r w:rsidRPr="006F6613">
              <w:rPr>
                <w:sz w:val="22"/>
                <w:szCs w:val="22"/>
                <w:lang w:val="da-DK"/>
              </w:rPr>
              <w:t>B/L &lt; 5mm</w:t>
            </w:r>
          </w:p>
          <w:p w14:paraId="0ADD77DB" w14:textId="77777777" w:rsidR="000A322C" w:rsidRPr="006F6613" w:rsidRDefault="000A322C">
            <w:pPr>
              <w:suppressAutoHyphens/>
              <w:jc w:val="center"/>
              <w:rPr>
                <w:sz w:val="22"/>
                <w:szCs w:val="22"/>
                <w:lang w:val="da-DK"/>
              </w:rPr>
            </w:pPr>
            <w:r w:rsidRPr="006F6613">
              <w:rPr>
                <w:sz w:val="22"/>
                <w:szCs w:val="22"/>
                <w:lang w:val="da-DK"/>
              </w:rPr>
              <w:t>B/L 5-9 mm</w:t>
            </w:r>
          </w:p>
          <w:p w14:paraId="6D4BD41D" w14:textId="77777777" w:rsidR="000A322C" w:rsidRPr="006F6613" w:rsidRDefault="000A322C">
            <w:pPr>
              <w:suppressAutoHyphens/>
              <w:jc w:val="center"/>
              <w:rPr>
                <w:sz w:val="22"/>
                <w:szCs w:val="22"/>
              </w:rPr>
            </w:pPr>
            <w:r w:rsidRPr="006F6613">
              <w:rPr>
                <w:sz w:val="22"/>
                <w:szCs w:val="22"/>
              </w:rPr>
              <w:t>B/L ≥ 10 mm</w:t>
            </w:r>
          </w:p>
        </w:tc>
        <w:tc>
          <w:tcPr>
            <w:tcW w:w="403" w:type="pct"/>
            <w:tcBorders>
              <w:top w:val="single" w:sz="4" w:space="0" w:color="auto"/>
              <w:left w:val="single" w:sz="4" w:space="0" w:color="auto"/>
              <w:bottom w:val="single" w:sz="4" w:space="0" w:color="auto"/>
              <w:right w:val="single" w:sz="4" w:space="0" w:color="auto"/>
            </w:tcBorders>
          </w:tcPr>
          <w:p w14:paraId="11154849" w14:textId="77777777" w:rsidR="000A322C" w:rsidRPr="006F6613" w:rsidRDefault="000A322C">
            <w:pPr>
              <w:suppressAutoHyphens/>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hideMark/>
          </w:tcPr>
          <w:p w14:paraId="7882D3C9" w14:textId="77777777" w:rsidR="000A322C" w:rsidRPr="006F6613" w:rsidRDefault="000A322C">
            <w:pPr>
              <w:suppressAutoHyphens/>
              <w:spacing w:after="240"/>
              <w:jc w:val="center"/>
              <w:rPr>
                <w:sz w:val="22"/>
                <w:szCs w:val="22"/>
              </w:rPr>
            </w:pPr>
            <w:r w:rsidRPr="006F6613">
              <w:rPr>
                <w:sz w:val="22"/>
                <w:szCs w:val="22"/>
              </w:rPr>
              <w:t>16,8 %</w:t>
            </w:r>
          </w:p>
          <w:p w14:paraId="4E03B9DC" w14:textId="77777777" w:rsidR="000A322C" w:rsidRPr="006F6613" w:rsidRDefault="000A322C">
            <w:pPr>
              <w:suppressAutoHyphens/>
              <w:jc w:val="center"/>
              <w:rPr>
                <w:sz w:val="22"/>
                <w:szCs w:val="22"/>
              </w:rPr>
            </w:pPr>
            <w:r w:rsidRPr="006F6613">
              <w:rPr>
                <w:sz w:val="22"/>
                <w:szCs w:val="22"/>
              </w:rPr>
              <w:t>20,8</w:t>
            </w:r>
          </w:p>
          <w:p w14:paraId="7FFDFFDD" w14:textId="77777777" w:rsidR="000A322C" w:rsidRPr="006F6613" w:rsidRDefault="000A322C">
            <w:pPr>
              <w:suppressAutoHyphens/>
              <w:jc w:val="center"/>
              <w:rPr>
                <w:sz w:val="22"/>
                <w:szCs w:val="22"/>
              </w:rPr>
            </w:pPr>
            <w:r w:rsidRPr="006F6613">
              <w:rPr>
                <w:sz w:val="22"/>
                <w:szCs w:val="22"/>
              </w:rPr>
              <w:t>18,8</w:t>
            </w:r>
          </w:p>
          <w:p w14:paraId="4E4DC469" w14:textId="77777777" w:rsidR="000A322C" w:rsidRPr="006F6613" w:rsidRDefault="000A322C">
            <w:pPr>
              <w:suppressAutoHyphens/>
              <w:jc w:val="center"/>
              <w:rPr>
                <w:sz w:val="22"/>
                <w:szCs w:val="22"/>
              </w:rPr>
            </w:pPr>
            <w:r w:rsidRPr="006F6613">
              <w:rPr>
                <w:sz w:val="22"/>
                <w:szCs w:val="22"/>
              </w:rPr>
              <w:t>13,9</w:t>
            </w:r>
          </w:p>
        </w:tc>
        <w:tc>
          <w:tcPr>
            <w:tcW w:w="601" w:type="pct"/>
            <w:tcBorders>
              <w:top w:val="single" w:sz="4" w:space="0" w:color="auto"/>
              <w:left w:val="single" w:sz="4" w:space="0" w:color="auto"/>
              <w:bottom w:val="single" w:sz="4" w:space="0" w:color="auto"/>
              <w:right w:val="single" w:sz="4" w:space="0" w:color="auto"/>
            </w:tcBorders>
            <w:hideMark/>
          </w:tcPr>
          <w:p w14:paraId="1874C531" w14:textId="77777777" w:rsidR="000A322C" w:rsidRPr="006F6613" w:rsidRDefault="000A322C">
            <w:pPr>
              <w:suppressAutoHyphens/>
              <w:spacing w:after="240"/>
              <w:jc w:val="center"/>
              <w:rPr>
                <w:sz w:val="22"/>
                <w:szCs w:val="22"/>
              </w:rPr>
            </w:pPr>
            <w:r w:rsidRPr="006F6613">
              <w:rPr>
                <w:sz w:val="22"/>
                <w:szCs w:val="22"/>
              </w:rPr>
              <w:t>8,6 %</w:t>
            </w:r>
          </w:p>
          <w:p w14:paraId="52BDA27F" w14:textId="77777777" w:rsidR="000A322C" w:rsidRPr="006F6613" w:rsidRDefault="000A322C">
            <w:pPr>
              <w:suppressAutoHyphens/>
              <w:jc w:val="center"/>
              <w:rPr>
                <w:sz w:val="22"/>
                <w:szCs w:val="22"/>
              </w:rPr>
            </w:pPr>
            <w:r w:rsidRPr="006F6613">
              <w:rPr>
                <w:sz w:val="22"/>
                <w:szCs w:val="22"/>
              </w:rPr>
              <w:t>8,9</w:t>
            </w:r>
          </w:p>
          <w:p w14:paraId="500FB6BB" w14:textId="77777777" w:rsidR="000A322C" w:rsidRPr="006F6613" w:rsidRDefault="000A322C">
            <w:pPr>
              <w:suppressAutoHyphens/>
              <w:jc w:val="center"/>
              <w:rPr>
                <w:sz w:val="22"/>
                <w:szCs w:val="22"/>
              </w:rPr>
            </w:pPr>
            <w:r w:rsidRPr="006F6613">
              <w:rPr>
                <w:sz w:val="22"/>
                <w:szCs w:val="22"/>
              </w:rPr>
              <w:t>10,8</w:t>
            </w:r>
          </w:p>
          <w:p w14:paraId="05E2008D" w14:textId="77777777" w:rsidR="000A322C" w:rsidRPr="006F6613" w:rsidRDefault="000A322C">
            <w:pPr>
              <w:suppressAutoHyphens/>
              <w:jc w:val="center"/>
              <w:rPr>
                <w:sz w:val="22"/>
                <w:szCs w:val="22"/>
              </w:rPr>
            </w:pPr>
            <w:r w:rsidRPr="006F6613">
              <w:rPr>
                <w:sz w:val="22"/>
                <w:szCs w:val="22"/>
              </w:rPr>
              <w:t>6,8</w:t>
            </w:r>
          </w:p>
        </w:tc>
        <w:tc>
          <w:tcPr>
            <w:tcW w:w="590" w:type="pct"/>
            <w:tcBorders>
              <w:top w:val="single" w:sz="4" w:space="0" w:color="auto"/>
              <w:left w:val="single" w:sz="4" w:space="0" w:color="auto"/>
              <w:bottom w:val="single" w:sz="4" w:space="0" w:color="auto"/>
              <w:right w:val="single" w:sz="4" w:space="0" w:color="auto"/>
            </w:tcBorders>
            <w:hideMark/>
          </w:tcPr>
          <w:p w14:paraId="4A3BC1D1" w14:textId="77777777" w:rsidR="000A322C" w:rsidRPr="006F6613" w:rsidRDefault="000A322C">
            <w:pPr>
              <w:suppressAutoHyphens/>
              <w:jc w:val="center"/>
              <w:rPr>
                <w:sz w:val="22"/>
                <w:szCs w:val="22"/>
              </w:rPr>
            </w:pPr>
            <w:r w:rsidRPr="006F6613">
              <w:rPr>
                <w:sz w:val="22"/>
                <w:szCs w:val="22"/>
              </w:rPr>
              <w:t>0,0021</w:t>
            </w:r>
          </w:p>
        </w:tc>
        <w:tc>
          <w:tcPr>
            <w:tcW w:w="601" w:type="pct"/>
            <w:tcBorders>
              <w:top w:val="single" w:sz="4" w:space="0" w:color="auto"/>
              <w:left w:val="single" w:sz="4" w:space="0" w:color="auto"/>
              <w:bottom w:val="single" w:sz="4" w:space="0" w:color="auto"/>
              <w:right w:val="single" w:sz="4" w:space="0" w:color="auto"/>
            </w:tcBorders>
            <w:hideMark/>
          </w:tcPr>
          <w:p w14:paraId="71874949" w14:textId="77777777" w:rsidR="000A322C" w:rsidRPr="006F6613" w:rsidRDefault="000A322C">
            <w:pPr>
              <w:suppressAutoHyphens/>
              <w:spacing w:after="240"/>
              <w:jc w:val="center"/>
              <w:rPr>
                <w:b/>
                <w:bCs/>
                <w:sz w:val="22"/>
                <w:szCs w:val="22"/>
              </w:rPr>
            </w:pPr>
            <w:r w:rsidRPr="006F6613">
              <w:rPr>
                <w:b/>
                <w:bCs/>
                <w:sz w:val="22"/>
                <w:szCs w:val="22"/>
              </w:rPr>
              <w:t>16,6 %</w:t>
            </w:r>
          </w:p>
          <w:p w14:paraId="6E1377F8" w14:textId="77777777" w:rsidR="000A322C" w:rsidRPr="006F6613" w:rsidRDefault="000A322C">
            <w:pPr>
              <w:suppressAutoHyphens/>
              <w:jc w:val="center"/>
              <w:rPr>
                <w:sz w:val="22"/>
                <w:szCs w:val="22"/>
              </w:rPr>
            </w:pPr>
            <w:r w:rsidRPr="006F6613">
              <w:rPr>
                <w:sz w:val="22"/>
                <w:szCs w:val="22"/>
              </w:rPr>
              <w:t>20,4</w:t>
            </w:r>
          </w:p>
          <w:p w14:paraId="7BEE4812" w14:textId="77777777" w:rsidR="000A322C" w:rsidRPr="006F6613" w:rsidRDefault="000A322C">
            <w:pPr>
              <w:suppressAutoHyphens/>
              <w:jc w:val="center"/>
              <w:rPr>
                <w:sz w:val="22"/>
                <w:szCs w:val="22"/>
              </w:rPr>
            </w:pPr>
            <w:r w:rsidRPr="006F6613">
              <w:rPr>
                <w:sz w:val="22"/>
                <w:szCs w:val="22"/>
              </w:rPr>
              <w:t>17,3</w:t>
            </w:r>
          </w:p>
          <w:p w14:paraId="7F4FD8CA" w14:textId="77777777" w:rsidR="000A322C" w:rsidRPr="006F6613" w:rsidRDefault="000A322C">
            <w:pPr>
              <w:suppressAutoHyphens/>
              <w:jc w:val="center"/>
              <w:rPr>
                <w:sz w:val="22"/>
                <w:szCs w:val="22"/>
              </w:rPr>
            </w:pPr>
            <w:r w:rsidRPr="006F6613">
              <w:rPr>
                <w:sz w:val="22"/>
                <w:szCs w:val="22"/>
              </w:rPr>
              <w:t>14,8</w:t>
            </w:r>
          </w:p>
        </w:tc>
        <w:tc>
          <w:tcPr>
            <w:tcW w:w="601" w:type="pct"/>
            <w:tcBorders>
              <w:top w:val="single" w:sz="4" w:space="0" w:color="auto"/>
              <w:left w:val="single" w:sz="4" w:space="0" w:color="auto"/>
              <w:bottom w:val="single" w:sz="4" w:space="0" w:color="auto"/>
              <w:right w:val="single" w:sz="4" w:space="0" w:color="auto"/>
            </w:tcBorders>
            <w:hideMark/>
          </w:tcPr>
          <w:p w14:paraId="353CC022" w14:textId="77777777" w:rsidR="000A322C" w:rsidRPr="006F6613" w:rsidRDefault="000A322C">
            <w:pPr>
              <w:suppressAutoHyphens/>
              <w:spacing w:after="240"/>
              <w:jc w:val="center"/>
              <w:rPr>
                <w:b/>
                <w:bCs/>
                <w:sz w:val="22"/>
                <w:szCs w:val="22"/>
              </w:rPr>
            </w:pPr>
            <w:r w:rsidRPr="006F6613">
              <w:rPr>
                <w:b/>
                <w:bCs/>
                <w:sz w:val="22"/>
                <w:szCs w:val="22"/>
              </w:rPr>
              <w:t>9,2 %</w:t>
            </w:r>
          </w:p>
          <w:p w14:paraId="76A3B0D7" w14:textId="77777777" w:rsidR="000A322C" w:rsidRPr="006F6613" w:rsidRDefault="000A322C">
            <w:pPr>
              <w:suppressAutoHyphens/>
              <w:jc w:val="center"/>
              <w:rPr>
                <w:sz w:val="22"/>
                <w:szCs w:val="22"/>
              </w:rPr>
            </w:pPr>
            <w:r w:rsidRPr="006F6613">
              <w:rPr>
                <w:sz w:val="22"/>
                <w:szCs w:val="22"/>
              </w:rPr>
              <w:t>10,2</w:t>
            </w:r>
          </w:p>
          <w:p w14:paraId="00C415CE" w14:textId="77777777" w:rsidR="000A322C" w:rsidRPr="006F6613" w:rsidRDefault="000A322C">
            <w:pPr>
              <w:suppressAutoHyphens/>
              <w:jc w:val="center"/>
              <w:rPr>
                <w:sz w:val="22"/>
                <w:szCs w:val="22"/>
              </w:rPr>
            </w:pPr>
            <w:r w:rsidRPr="006F6613">
              <w:rPr>
                <w:sz w:val="22"/>
                <w:szCs w:val="22"/>
              </w:rPr>
              <w:t>10,1</w:t>
            </w:r>
          </w:p>
          <w:p w14:paraId="7D853050" w14:textId="77777777" w:rsidR="000A322C" w:rsidRPr="006F6613" w:rsidRDefault="000A322C">
            <w:pPr>
              <w:suppressAutoHyphens/>
              <w:jc w:val="center"/>
              <w:rPr>
                <w:sz w:val="22"/>
                <w:szCs w:val="22"/>
              </w:rPr>
            </w:pPr>
            <w:r w:rsidRPr="006F6613">
              <w:rPr>
                <w:sz w:val="22"/>
                <w:szCs w:val="22"/>
              </w:rPr>
              <w:t>8,5</w:t>
            </w:r>
          </w:p>
        </w:tc>
        <w:tc>
          <w:tcPr>
            <w:tcW w:w="590" w:type="pct"/>
            <w:tcBorders>
              <w:top w:val="single" w:sz="4" w:space="0" w:color="auto"/>
              <w:left w:val="single" w:sz="4" w:space="0" w:color="auto"/>
              <w:bottom w:val="single" w:sz="4" w:space="0" w:color="auto"/>
              <w:right w:val="single" w:sz="4" w:space="0" w:color="auto"/>
            </w:tcBorders>
            <w:hideMark/>
          </w:tcPr>
          <w:p w14:paraId="799B5AE8" w14:textId="77777777" w:rsidR="000A322C" w:rsidRPr="006F6613" w:rsidRDefault="000A322C">
            <w:pPr>
              <w:suppressAutoHyphens/>
              <w:jc w:val="center"/>
              <w:rPr>
                <w:b/>
                <w:bCs/>
                <w:sz w:val="22"/>
                <w:szCs w:val="22"/>
              </w:rPr>
            </w:pPr>
            <w:r w:rsidRPr="006F6613">
              <w:rPr>
                <w:b/>
                <w:bCs/>
                <w:sz w:val="22"/>
                <w:szCs w:val="22"/>
              </w:rPr>
              <w:t>0,0001</w:t>
            </w:r>
          </w:p>
        </w:tc>
      </w:tr>
      <w:tr w:rsidR="000A322C" w:rsidRPr="006F6613" w14:paraId="10F54F49" w14:textId="77777777" w:rsidTr="00475455">
        <w:tc>
          <w:tcPr>
            <w:tcW w:w="5000" w:type="pct"/>
            <w:gridSpan w:val="8"/>
            <w:tcBorders>
              <w:top w:val="single" w:sz="4" w:space="0" w:color="auto"/>
              <w:left w:val="single" w:sz="4" w:space="0" w:color="auto"/>
              <w:bottom w:val="single" w:sz="4" w:space="0" w:color="auto"/>
              <w:right w:val="single" w:sz="4" w:space="0" w:color="auto"/>
            </w:tcBorders>
            <w:hideMark/>
          </w:tcPr>
          <w:p w14:paraId="629BE035" w14:textId="77777777" w:rsidR="000A322C" w:rsidRPr="006F6613" w:rsidRDefault="000A322C">
            <w:pPr>
              <w:suppressAutoHyphens/>
              <w:rPr>
                <w:b/>
                <w:bCs/>
                <w:sz w:val="22"/>
                <w:szCs w:val="22"/>
              </w:rPr>
            </w:pPr>
            <w:proofErr w:type="spellStart"/>
            <w:r w:rsidRPr="006F6613">
              <w:rPr>
                <w:b/>
                <w:bCs/>
                <w:sz w:val="22"/>
                <w:szCs w:val="22"/>
              </w:rPr>
              <w:t>Gennemsnit</w:t>
            </w:r>
            <w:proofErr w:type="spellEnd"/>
            <w:r w:rsidRPr="006F6613">
              <w:rPr>
                <w:b/>
                <w:bCs/>
                <w:sz w:val="22"/>
                <w:szCs w:val="22"/>
              </w:rPr>
              <w:t xml:space="preserve"> </w:t>
            </w:r>
            <w:proofErr w:type="spellStart"/>
            <w:r w:rsidRPr="006F6613">
              <w:rPr>
                <w:b/>
                <w:bCs/>
                <w:sz w:val="22"/>
                <w:szCs w:val="22"/>
              </w:rPr>
              <w:t>Schirmers</w:t>
            </w:r>
            <w:proofErr w:type="spellEnd"/>
            <w:r w:rsidRPr="006F6613">
              <w:rPr>
                <w:b/>
                <w:bCs/>
                <w:sz w:val="22"/>
                <w:szCs w:val="22"/>
              </w:rPr>
              <w:t xml:space="preserve"> test (mm)</w:t>
            </w:r>
          </w:p>
        </w:tc>
      </w:tr>
      <w:tr w:rsidR="000A322C" w:rsidRPr="006F6613" w14:paraId="3C4482C6" w14:textId="77777777" w:rsidTr="00475455">
        <w:tc>
          <w:tcPr>
            <w:tcW w:w="1015" w:type="pct"/>
            <w:vMerge w:val="restart"/>
            <w:tcBorders>
              <w:top w:val="single" w:sz="4" w:space="0" w:color="auto"/>
              <w:left w:val="single" w:sz="4" w:space="0" w:color="auto"/>
              <w:bottom w:val="single" w:sz="4" w:space="0" w:color="auto"/>
              <w:right w:val="single" w:sz="4" w:space="0" w:color="auto"/>
            </w:tcBorders>
          </w:tcPr>
          <w:p w14:paraId="2DEF6AED" w14:textId="77777777" w:rsidR="000A322C" w:rsidRPr="006F6613" w:rsidRDefault="000A322C">
            <w:pPr>
              <w:suppressAutoHyphens/>
              <w:jc w:val="center"/>
              <w:rPr>
                <w:sz w:val="22"/>
                <w:szCs w:val="22"/>
                <w:lang w:val="da-DK"/>
              </w:rPr>
            </w:pPr>
            <w:r w:rsidRPr="006F6613">
              <w:rPr>
                <w:sz w:val="22"/>
                <w:szCs w:val="22"/>
                <w:lang w:val="da-DK"/>
              </w:rPr>
              <w:t>Gennemsnit (SD)</w:t>
            </w:r>
          </w:p>
          <w:p w14:paraId="54E5E3E8" w14:textId="77777777" w:rsidR="000A322C" w:rsidRPr="006F6613" w:rsidRDefault="000A322C">
            <w:pPr>
              <w:suppressAutoHyphens/>
              <w:jc w:val="center"/>
              <w:rPr>
                <w:sz w:val="22"/>
                <w:szCs w:val="22"/>
                <w:lang w:val="da-DK"/>
              </w:rPr>
            </w:pPr>
          </w:p>
          <w:p w14:paraId="12652502" w14:textId="77777777" w:rsidR="000A322C" w:rsidRPr="006F6613" w:rsidRDefault="000A322C">
            <w:pPr>
              <w:suppressAutoHyphens/>
              <w:jc w:val="center"/>
              <w:rPr>
                <w:sz w:val="22"/>
                <w:szCs w:val="22"/>
                <w:lang w:val="da-DK"/>
              </w:rPr>
            </w:pPr>
            <w:r w:rsidRPr="006F6613">
              <w:rPr>
                <w:sz w:val="22"/>
                <w:szCs w:val="22"/>
                <w:lang w:val="da-DK"/>
              </w:rPr>
              <w:t>LS-gennemsnit (SE)</w:t>
            </w:r>
          </w:p>
        </w:tc>
        <w:tc>
          <w:tcPr>
            <w:tcW w:w="403" w:type="pct"/>
            <w:tcBorders>
              <w:top w:val="single" w:sz="4" w:space="0" w:color="auto"/>
              <w:left w:val="single" w:sz="4" w:space="0" w:color="auto"/>
              <w:bottom w:val="single" w:sz="4" w:space="0" w:color="auto"/>
              <w:right w:val="single" w:sz="4" w:space="0" w:color="auto"/>
            </w:tcBorders>
            <w:hideMark/>
          </w:tcPr>
          <w:p w14:paraId="4D497C84" w14:textId="77777777" w:rsidR="000A322C" w:rsidRPr="006F6613" w:rsidRDefault="000A322C">
            <w:pPr>
              <w:suppressAutoHyphens/>
              <w:jc w:val="center"/>
              <w:rPr>
                <w:sz w:val="22"/>
                <w:szCs w:val="22"/>
              </w:rPr>
            </w:pPr>
            <w:r w:rsidRPr="006F6613">
              <w:rPr>
                <w:sz w:val="22"/>
                <w:szCs w:val="22"/>
              </w:rPr>
              <w:t>B/L</w:t>
            </w:r>
          </w:p>
        </w:tc>
        <w:tc>
          <w:tcPr>
            <w:tcW w:w="600" w:type="pct"/>
            <w:tcBorders>
              <w:top w:val="single" w:sz="4" w:space="0" w:color="auto"/>
              <w:left w:val="single" w:sz="4" w:space="0" w:color="auto"/>
              <w:bottom w:val="single" w:sz="4" w:space="0" w:color="auto"/>
              <w:right w:val="single" w:sz="4" w:space="0" w:color="auto"/>
            </w:tcBorders>
            <w:hideMark/>
          </w:tcPr>
          <w:p w14:paraId="173AB609" w14:textId="77777777" w:rsidR="000A322C" w:rsidRPr="006F6613" w:rsidRDefault="000A322C">
            <w:pPr>
              <w:suppressAutoHyphens/>
              <w:jc w:val="center"/>
              <w:rPr>
                <w:sz w:val="22"/>
                <w:szCs w:val="22"/>
              </w:rPr>
            </w:pPr>
            <w:r w:rsidRPr="006F6613">
              <w:rPr>
                <w:sz w:val="22"/>
                <w:szCs w:val="22"/>
              </w:rPr>
              <w:t>12,3</w:t>
            </w:r>
          </w:p>
          <w:p w14:paraId="42664831" w14:textId="77777777" w:rsidR="000A322C" w:rsidRPr="006F6613" w:rsidRDefault="000A322C">
            <w:pPr>
              <w:suppressAutoHyphens/>
              <w:jc w:val="center"/>
              <w:rPr>
                <w:sz w:val="22"/>
                <w:szCs w:val="22"/>
              </w:rPr>
            </w:pPr>
            <w:r w:rsidRPr="006F6613">
              <w:rPr>
                <w:sz w:val="22"/>
                <w:szCs w:val="22"/>
              </w:rPr>
              <w:t>(8,67)</w:t>
            </w:r>
          </w:p>
        </w:tc>
        <w:tc>
          <w:tcPr>
            <w:tcW w:w="601" w:type="pct"/>
            <w:tcBorders>
              <w:top w:val="single" w:sz="4" w:space="0" w:color="auto"/>
              <w:left w:val="single" w:sz="4" w:space="0" w:color="auto"/>
              <w:bottom w:val="single" w:sz="4" w:space="0" w:color="auto"/>
              <w:right w:val="single" w:sz="4" w:space="0" w:color="auto"/>
            </w:tcBorders>
            <w:hideMark/>
          </w:tcPr>
          <w:p w14:paraId="68EC603B" w14:textId="77777777" w:rsidR="000A322C" w:rsidRPr="006F6613" w:rsidRDefault="000A322C">
            <w:pPr>
              <w:suppressAutoHyphens/>
              <w:jc w:val="center"/>
              <w:rPr>
                <w:sz w:val="22"/>
                <w:szCs w:val="22"/>
              </w:rPr>
            </w:pPr>
            <w:r w:rsidRPr="006F6613">
              <w:rPr>
                <w:sz w:val="22"/>
                <w:szCs w:val="22"/>
              </w:rPr>
              <w:t>12,2</w:t>
            </w:r>
          </w:p>
          <w:p w14:paraId="4F34AEDE" w14:textId="77777777" w:rsidR="000A322C" w:rsidRPr="006F6613" w:rsidRDefault="000A322C">
            <w:pPr>
              <w:suppressAutoHyphens/>
              <w:jc w:val="center"/>
              <w:rPr>
                <w:sz w:val="22"/>
                <w:szCs w:val="22"/>
              </w:rPr>
            </w:pPr>
            <w:r w:rsidRPr="006F6613">
              <w:rPr>
                <w:sz w:val="22"/>
                <w:szCs w:val="22"/>
              </w:rPr>
              <w:t>(8,25)</w:t>
            </w:r>
          </w:p>
        </w:tc>
        <w:tc>
          <w:tcPr>
            <w:tcW w:w="590" w:type="pct"/>
            <w:tcBorders>
              <w:top w:val="single" w:sz="4" w:space="0" w:color="auto"/>
              <w:left w:val="single" w:sz="4" w:space="0" w:color="auto"/>
              <w:bottom w:val="single" w:sz="4" w:space="0" w:color="auto"/>
              <w:right w:val="single" w:sz="4" w:space="0" w:color="auto"/>
            </w:tcBorders>
          </w:tcPr>
          <w:p w14:paraId="33256905" w14:textId="77777777" w:rsidR="000A322C" w:rsidRPr="006F6613" w:rsidRDefault="000A322C">
            <w:pPr>
              <w:suppressAutoHyphens/>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hideMark/>
          </w:tcPr>
          <w:p w14:paraId="3D3AADA6" w14:textId="77777777" w:rsidR="000A322C" w:rsidRPr="006F6613" w:rsidRDefault="000A322C">
            <w:pPr>
              <w:suppressAutoHyphens/>
              <w:jc w:val="center"/>
              <w:rPr>
                <w:sz w:val="22"/>
                <w:szCs w:val="22"/>
              </w:rPr>
            </w:pPr>
            <w:r w:rsidRPr="006F6613">
              <w:rPr>
                <w:sz w:val="22"/>
                <w:szCs w:val="22"/>
              </w:rPr>
              <w:t>11,89</w:t>
            </w:r>
          </w:p>
          <w:p w14:paraId="0F248210" w14:textId="77777777" w:rsidR="000A322C" w:rsidRPr="006F6613" w:rsidRDefault="000A322C">
            <w:pPr>
              <w:suppressAutoHyphens/>
              <w:jc w:val="center"/>
              <w:rPr>
                <w:sz w:val="22"/>
                <w:szCs w:val="22"/>
              </w:rPr>
            </w:pPr>
            <w:r w:rsidRPr="006F6613">
              <w:rPr>
                <w:sz w:val="22"/>
                <w:szCs w:val="22"/>
              </w:rPr>
              <w:t>(7,77)</w:t>
            </w:r>
          </w:p>
        </w:tc>
        <w:tc>
          <w:tcPr>
            <w:tcW w:w="601" w:type="pct"/>
            <w:tcBorders>
              <w:top w:val="single" w:sz="4" w:space="0" w:color="auto"/>
              <w:left w:val="single" w:sz="4" w:space="0" w:color="auto"/>
              <w:bottom w:val="single" w:sz="4" w:space="0" w:color="auto"/>
              <w:right w:val="single" w:sz="4" w:space="0" w:color="auto"/>
            </w:tcBorders>
            <w:hideMark/>
          </w:tcPr>
          <w:p w14:paraId="069E619A" w14:textId="77777777" w:rsidR="000A322C" w:rsidRPr="006F6613" w:rsidRDefault="000A322C">
            <w:pPr>
              <w:suppressAutoHyphens/>
              <w:jc w:val="center"/>
              <w:rPr>
                <w:sz w:val="22"/>
                <w:szCs w:val="22"/>
              </w:rPr>
            </w:pPr>
            <w:r w:rsidRPr="006F6613">
              <w:rPr>
                <w:sz w:val="22"/>
                <w:szCs w:val="22"/>
              </w:rPr>
              <w:t>12,09</w:t>
            </w:r>
          </w:p>
          <w:p w14:paraId="051316DB" w14:textId="77777777" w:rsidR="000A322C" w:rsidRPr="006F6613" w:rsidRDefault="000A322C">
            <w:pPr>
              <w:suppressAutoHyphens/>
              <w:jc w:val="center"/>
              <w:rPr>
                <w:sz w:val="22"/>
                <w:szCs w:val="22"/>
              </w:rPr>
            </w:pPr>
            <w:r w:rsidRPr="006F6613">
              <w:rPr>
                <w:sz w:val="22"/>
                <w:szCs w:val="22"/>
              </w:rPr>
              <w:t>(7,73)</w:t>
            </w:r>
          </w:p>
        </w:tc>
        <w:tc>
          <w:tcPr>
            <w:tcW w:w="590" w:type="pct"/>
            <w:tcBorders>
              <w:top w:val="single" w:sz="4" w:space="0" w:color="auto"/>
              <w:left w:val="single" w:sz="4" w:space="0" w:color="auto"/>
              <w:bottom w:val="single" w:sz="4" w:space="0" w:color="auto"/>
              <w:right w:val="single" w:sz="4" w:space="0" w:color="auto"/>
            </w:tcBorders>
          </w:tcPr>
          <w:p w14:paraId="48609518" w14:textId="77777777" w:rsidR="000A322C" w:rsidRPr="006F6613" w:rsidRDefault="000A322C">
            <w:pPr>
              <w:suppressAutoHyphens/>
              <w:jc w:val="center"/>
              <w:rPr>
                <w:sz w:val="22"/>
                <w:szCs w:val="22"/>
              </w:rPr>
            </w:pPr>
          </w:p>
        </w:tc>
      </w:tr>
      <w:tr w:rsidR="000A322C" w:rsidRPr="006F6613" w14:paraId="6042A1E5" w14:textId="77777777" w:rsidTr="00475455">
        <w:tc>
          <w:tcPr>
            <w:tcW w:w="1015" w:type="pct"/>
            <w:vMerge/>
            <w:tcBorders>
              <w:top w:val="single" w:sz="4" w:space="0" w:color="auto"/>
              <w:left w:val="single" w:sz="4" w:space="0" w:color="auto"/>
              <w:bottom w:val="single" w:sz="4" w:space="0" w:color="auto"/>
              <w:right w:val="single" w:sz="4" w:space="0" w:color="auto"/>
            </w:tcBorders>
            <w:vAlign w:val="center"/>
            <w:hideMark/>
          </w:tcPr>
          <w:p w14:paraId="2B59C397" w14:textId="77777777" w:rsidR="000A322C" w:rsidRPr="006F6613" w:rsidRDefault="000A322C">
            <w:pPr>
              <w:rPr>
                <w:sz w:val="22"/>
                <w:szCs w:val="22"/>
              </w:rPr>
            </w:pPr>
          </w:p>
        </w:tc>
        <w:tc>
          <w:tcPr>
            <w:tcW w:w="403" w:type="pct"/>
            <w:tcBorders>
              <w:top w:val="single" w:sz="4" w:space="0" w:color="auto"/>
              <w:left w:val="single" w:sz="4" w:space="0" w:color="auto"/>
              <w:bottom w:val="single" w:sz="4" w:space="0" w:color="auto"/>
              <w:right w:val="single" w:sz="4" w:space="0" w:color="auto"/>
            </w:tcBorders>
            <w:hideMark/>
          </w:tcPr>
          <w:p w14:paraId="2DB153A5" w14:textId="77777777" w:rsidR="000A322C" w:rsidRPr="006F6613" w:rsidRDefault="000A322C">
            <w:pPr>
              <w:suppressAutoHyphens/>
              <w:jc w:val="center"/>
              <w:rPr>
                <w:sz w:val="22"/>
                <w:szCs w:val="22"/>
              </w:rPr>
            </w:pPr>
            <w:r w:rsidRPr="006F6613">
              <w:rPr>
                <w:sz w:val="22"/>
                <w:szCs w:val="22"/>
              </w:rPr>
              <w:t>Δ B/L</w:t>
            </w:r>
          </w:p>
        </w:tc>
        <w:tc>
          <w:tcPr>
            <w:tcW w:w="600" w:type="pct"/>
            <w:tcBorders>
              <w:top w:val="single" w:sz="4" w:space="0" w:color="auto"/>
              <w:left w:val="single" w:sz="4" w:space="0" w:color="auto"/>
              <w:bottom w:val="single" w:sz="4" w:space="0" w:color="auto"/>
              <w:right w:val="single" w:sz="4" w:space="0" w:color="auto"/>
            </w:tcBorders>
            <w:hideMark/>
          </w:tcPr>
          <w:p w14:paraId="06E2A7FA" w14:textId="77777777" w:rsidR="000A322C" w:rsidRPr="006F6613" w:rsidRDefault="000A322C">
            <w:pPr>
              <w:suppressAutoHyphens/>
              <w:jc w:val="center"/>
              <w:rPr>
                <w:sz w:val="22"/>
                <w:szCs w:val="22"/>
              </w:rPr>
            </w:pPr>
            <w:r w:rsidRPr="006F6613">
              <w:rPr>
                <w:sz w:val="22"/>
                <w:szCs w:val="22"/>
              </w:rPr>
              <w:t>3,5</w:t>
            </w:r>
          </w:p>
          <w:p w14:paraId="4052DCCA" w14:textId="77777777" w:rsidR="000A322C" w:rsidRPr="006F6613" w:rsidRDefault="000A322C">
            <w:pPr>
              <w:suppressAutoHyphens/>
              <w:jc w:val="center"/>
              <w:rPr>
                <w:sz w:val="22"/>
                <w:szCs w:val="22"/>
              </w:rPr>
            </w:pPr>
            <w:r w:rsidRPr="006F6613">
              <w:rPr>
                <w:sz w:val="22"/>
                <w:szCs w:val="22"/>
              </w:rPr>
              <w:t>(0,61)</w:t>
            </w:r>
          </w:p>
        </w:tc>
        <w:tc>
          <w:tcPr>
            <w:tcW w:w="601" w:type="pct"/>
            <w:tcBorders>
              <w:top w:val="single" w:sz="4" w:space="0" w:color="auto"/>
              <w:left w:val="single" w:sz="4" w:space="0" w:color="auto"/>
              <w:bottom w:val="single" w:sz="4" w:space="0" w:color="auto"/>
              <w:right w:val="single" w:sz="4" w:space="0" w:color="auto"/>
            </w:tcBorders>
            <w:hideMark/>
          </w:tcPr>
          <w:p w14:paraId="45ED0959" w14:textId="77777777" w:rsidR="000A322C" w:rsidRPr="006F6613" w:rsidRDefault="000A322C">
            <w:pPr>
              <w:suppressAutoHyphens/>
              <w:jc w:val="center"/>
              <w:rPr>
                <w:sz w:val="22"/>
                <w:szCs w:val="22"/>
              </w:rPr>
            </w:pPr>
            <w:r w:rsidRPr="006F6613">
              <w:rPr>
                <w:sz w:val="22"/>
                <w:szCs w:val="22"/>
              </w:rPr>
              <w:t>0,4</w:t>
            </w:r>
          </w:p>
          <w:p w14:paraId="318C7E9D" w14:textId="77777777" w:rsidR="000A322C" w:rsidRPr="006F6613" w:rsidRDefault="000A322C">
            <w:pPr>
              <w:suppressAutoHyphens/>
              <w:jc w:val="center"/>
              <w:rPr>
                <w:sz w:val="22"/>
                <w:szCs w:val="22"/>
              </w:rPr>
            </w:pPr>
            <w:r w:rsidRPr="006F6613">
              <w:rPr>
                <w:sz w:val="22"/>
                <w:szCs w:val="22"/>
              </w:rPr>
              <w:t>(0,60)</w:t>
            </w:r>
          </w:p>
        </w:tc>
        <w:tc>
          <w:tcPr>
            <w:tcW w:w="590" w:type="pct"/>
            <w:tcBorders>
              <w:top w:val="single" w:sz="4" w:space="0" w:color="auto"/>
              <w:left w:val="single" w:sz="4" w:space="0" w:color="auto"/>
              <w:bottom w:val="single" w:sz="4" w:space="0" w:color="auto"/>
              <w:right w:val="single" w:sz="4" w:space="0" w:color="auto"/>
            </w:tcBorders>
            <w:hideMark/>
          </w:tcPr>
          <w:p w14:paraId="75E21A5C" w14:textId="77777777" w:rsidR="000A322C" w:rsidRPr="006F6613" w:rsidRDefault="000A322C">
            <w:pPr>
              <w:suppressAutoHyphens/>
              <w:jc w:val="center"/>
              <w:rPr>
                <w:sz w:val="22"/>
                <w:szCs w:val="22"/>
              </w:rPr>
            </w:pPr>
            <w:r w:rsidRPr="006F6613">
              <w:rPr>
                <w:sz w:val="22"/>
                <w:szCs w:val="22"/>
              </w:rPr>
              <w:t>0,0003</w:t>
            </w:r>
          </w:p>
        </w:tc>
        <w:tc>
          <w:tcPr>
            <w:tcW w:w="601" w:type="pct"/>
            <w:tcBorders>
              <w:top w:val="single" w:sz="4" w:space="0" w:color="auto"/>
              <w:left w:val="single" w:sz="4" w:space="0" w:color="auto"/>
              <w:bottom w:val="single" w:sz="4" w:space="0" w:color="auto"/>
              <w:right w:val="single" w:sz="4" w:space="0" w:color="auto"/>
            </w:tcBorders>
            <w:hideMark/>
          </w:tcPr>
          <w:p w14:paraId="7E1A26A4" w14:textId="77777777" w:rsidR="000A322C" w:rsidRPr="006F6613" w:rsidRDefault="000A322C">
            <w:pPr>
              <w:suppressAutoHyphens/>
              <w:jc w:val="center"/>
              <w:rPr>
                <w:sz w:val="22"/>
                <w:szCs w:val="22"/>
              </w:rPr>
            </w:pPr>
            <w:r w:rsidRPr="006F6613">
              <w:rPr>
                <w:sz w:val="22"/>
                <w:szCs w:val="22"/>
              </w:rPr>
              <w:t>2,80</w:t>
            </w:r>
          </w:p>
          <w:p w14:paraId="4C495F15" w14:textId="77777777" w:rsidR="000A322C" w:rsidRPr="006F6613" w:rsidRDefault="000A322C">
            <w:pPr>
              <w:suppressAutoHyphens/>
              <w:jc w:val="center"/>
              <w:rPr>
                <w:sz w:val="22"/>
                <w:szCs w:val="22"/>
              </w:rPr>
            </w:pPr>
            <w:r w:rsidRPr="006F6613">
              <w:rPr>
                <w:sz w:val="22"/>
                <w:szCs w:val="22"/>
              </w:rPr>
              <w:t>(0,28)</w:t>
            </w:r>
          </w:p>
        </w:tc>
        <w:tc>
          <w:tcPr>
            <w:tcW w:w="601" w:type="pct"/>
            <w:tcBorders>
              <w:top w:val="single" w:sz="4" w:space="0" w:color="auto"/>
              <w:left w:val="single" w:sz="4" w:space="0" w:color="auto"/>
              <w:bottom w:val="single" w:sz="4" w:space="0" w:color="auto"/>
              <w:right w:val="single" w:sz="4" w:space="0" w:color="auto"/>
            </w:tcBorders>
            <w:hideMark/>
          </w:tcPr>
          <w:p w14:paraId="35D18C0F" w14:textId="77777777" w:rsidR="000A322C" w:rsidRPr="006F6613" w:rsidRDefault="000A322C">
            <w:pPr>
              <w:suppressAutoHyphens/>
              <w:jc w:val="center"/>
              <w:rPr>
                <w:sz w:val="22"/>
                <w:szCs w:val="22"/>
              </w:rPr>
            </w:pPr>
            <w:r w:rsidRPr="006F6613">
              <w:rPr>
                <w:sz w:val="22"/>
                <w:szCs w:val="22"/>
              </w:rPr>
              <w:t>0,99</w:t>
            </w:r>
          </w:p>
          <w:p w14:paraId="42F6F6B6" w14:textId="77777777" w:rsidR="000A322C" w:rsidRPr="006F6613" w:rsidRDefault="000A322C">
            <w:pPr>
              <w:suppressAutoHyphens/>
              <w:jc w:val="center"/>
              <w:rPr>
                <w:sz w:val="22"/>
                <w:szCs w:val="22"/>
              </w:rPr>
            </w:pPr>
            <w:r w:rsidRPr="006F6613">
              <w:rPr>
                <w:sz w:val="22"/>
                <w:szCs w:val="22"/>
              </w:rPr>
              <w:t>(0,27)</w:t>
            </w:r>
          </w:p>
        </w:tc>
        <w:tc>
          <w:tcPr>
            <w:tcW w:w="590" w:type="pct"/>
            <w:tcBorders>
              <w:top w:val="single" w:sz="4" w:space="0" w:color="auto"/>
              <w:left w:val="single" w:sz="4" w:space="0" w:color="auto"/>
              <w:bottom w:val="single" w:sz="4" w:space="0" w:color="auto"/>
              <w:right w:val="single" w:sz="4" w:space="0" w:color="auto"/>
            </w:tcBorders>
            <w:hideMark/>
          </w:tcPr>
          <w:p w14:paraId="1763871A" w14:textId="77777777" w:rsidR="000A322C" w:rsidRPr="006F6613" w:rsidRDefault="000A322C">
            <w:pPr>
              <w:suppressAutoHyphens/>
              <w:jc w:val="center"/>
              <w:rPr>
                <w:sz w:val="22"/>
                <w:szCs w:val="22"/>
              </w:rPr>
            </w:pPr>
            <w:r w:rsidRPr="006F6613">
              <w:rPr>
                <w:sz w:val="22"/>
                <w:szCs w:val="22"/>
              </w:rPr>
              <w:t>&lt; 0,0001</w:t>
            </w:r>
          </w:p>
        </w:tc>
      </w:tr>
      <w:tr w:rsidR="000A322C" w:rsidRPr="006F6613" w14:paraId="64D3521F" w14:textId="77777777" w:rsidTr="00475455">
        <w:tc>
          <w:tcPr>
            <w:tcW w:w="5000" w:type="pct"/>
            <w:gridSpan w:val="8"/>
            <w:tcBorders>
              <w:top w:val="single" w:sz="4" w:space="0" w:color="auto"/>
              <w:left w:val="single" w:sz="4" w:space="0" w:color="auto"/>
              <w:bottom w:val="single" w:sz="4" w:space="0" w:color="auto"/>
              <w:right w:val="single" w:sz="4" w:space="0" w:color="auto"/>
            </w:tcBorders>
            <w:hideMark/>
          </w:tcPr>
          <w:p w14:paraId="7749C9E5" w14:textId="77777777" w:rsidR="000A322C" w:rsidRPr="006F6613" w:rsidRDefault="000A322C">
            <w:pPr>
              <w:suppressAutoHyphens/>
              <w:rPr>
                <w:b/>
                <w:bCs/>
                <w:sz w:val="22"/>
                <w:szCs w:val="22"/>
              </w:rPr>
            </w:pPr>
            <w:r w:rsidRPr="006F6613">
              <w:rPr>
                <w:b/>
                <w:bCs/>
                <w:sz w:val="22"/>
                <w:szCs w:val="22"/>
              </w:rPr>
              <w:t>LGS total</w:t>
            </w:r>
            <w:r w:rsidRPr="006F6613">
              <w:rPr>
                <w:sz w:val="22"/>
                <w:szCs w:val="22"/>
              </w:rPr>
              <w:t xml:space="preserve"> (</w:t>
            </w:r>
            <w:proofErr w:type="spellStart"/>
            <w:r w:rsidRPr="006F6613">
              <w:rPr>
                <w:sz w:val="22"/>
                <w:szCs w:val="22"/>
              </w:rPr>
              <w:t>maks</w:t>
            </w:r>
            <w:proofErr w:type="spellEnd"/>
            <w:r w:rsidRPr="006F6613">
              <w:rPr>
                <w:sz w:val="22"/>
                <w:szCs w:val="22"/>
              </w:rPr>
              <w:t>. score = 12)</w:t>
            </w:r>
          </w:p>
        </w:tc>
      </w:tr>
      <w:tr w:rsidR="000A322C" w:rsidRPr="006F6613" w14:paraId="31E036D9" w14:textId="77777777" w:rsidTr="00475455">
        <w:tc>
          <w:tcPr>
            <w:tcW w:w="1015" w:type="pct"/>
            <w:vMerge w:val="restart"/>
            <w:tcBorders>
              <w:top w:val="single" w:sz="4" w:space="0" w:color="auto"/>
              <w:left w:val="single" w:sz="4" w:space="0" w:color="auto"/>
              <w:bottom w:val="single" w:sz="4" w:space="0" w:color="auto"/>
              <w:right w:val="single" w:sz="4" w:space="0" w:color="auto"/>
            </w:tcBorders>
          </w:tcPr>
          <w:p w14:paraId="1A0259E3" w14:textId="77777777" w:rsidR="000A322C" w:rsidRPr="006F6613" w:rsidRDefault="000A322C">
            <w:pPr>
              <w:suppressAutoHyphens/>
              <w:jc w:val="center"/>
              <w:rPr>
                <w:sz w:val="22"/>
                <w:szCs w:val="22"/>
                <w:lang w:val="da-DK"/>
              </w:rPr>
            </w:pPr>
            <w:r w:rsidRPr="006F6613">
              <w:rPr>
                <w:sz w:val="22"/>
                <w:szCs w:val="22"/>
                <w:lang w:val="da-DK"/>
              </w:rPr>
              <w:t>Gennemsnit (SD)</w:t>
            </w:r>
          </w:p>
          <w:p w14:paraId="673F1F25" w14:textId="77777777" w:rsidR="000A322C" w:rsidRPr="006F6613" w:rsidRDefault="000A322C">
            <w:pPr>
              <w:suppressAutoHyphens/>
              <w:jc w:val="center"/>
              <w:rPr>
                <w:sz w:val="22"/>
                <w:szCs w:val="22"/>
                <w:lang w:val="da-DK"/>
              </w:rPr>
            </w:pPr>
          </w:p>
          <w:p w14:paraId="7B9ACBCB" w14:textId="77777777" w:rsidR="000A322C" w:rsidRPr="006F6613" w:rsidRDefault="000A322C">
            <w:pPr>
              <w:suppressAutoHyphens/>
              <w:jc w:val="center"/>
              <w:rPr>
                <w:sz w:val="22"/>
                <w:szCs w:val="22"/>
                <w:lang w:val="da-DK"/>
              </w:rPr>
            </w:pPr>
            <w:r w:rsidRPr="006F6613">
              <w:rPr>
                <w:sz w:val="22"/>
                <w:szCs w:val="22"/>
                <w:lang w:val="da-DK"/>
              </w:rPr>
              <w:t>LS-gennemsnit (SE)</w:t>
            </w:r>
          </w:p>
        </w:tc>
        <w:tc>
          <w:tcPr>
            <w:tcW w:w="403" w:type="pct"/>
            <w:tcBorders>
              <w:top w:val="single" w:sz="4" w:space="0" w:color="auto"/>
              <w:left w:val="single" w:sz="4" w:space="0" w:color="auto"/>
              <w:bottom w:val="single" w:sz="4" w:space="0" w:color="auto"/>
              <w:right w:val="single" w:sz="4" w:space="0" w:color="auto"/>
            </w:tcBorders>
            <w:hideMark/>
          </w:tcPr>
          <w:p w14:paraId="7C892686" w14:textId="77777777" w:rsidR="000A322C" w:rsidRPr="006F6613" w:rsidRDefault="000A322C">
            <w:pPr>
              <w:suppressAutoHyphens/>
              <w:jc w:val="center"/>
              <w:rPr>
                <w:sz w:val="22"/>
                <w:szCs w:val="22"/>
              </w:rPr>
            </w:pPr>
            <w:r w:rsidRPr="006F6613">
              <w:rPr>
                <w:sz w:val="22"/>
                <w:szCs w:val="22"/>
              </w:rPr>
              <w:t>B/L</w:t>
            </w:r>
          </w:p>
        </w:tc>
        <w:tc>
          <w:tcPr>
            <w:tcW w:w="600" w:type="pct"/>
            <w:tcBorders>
              <w:top w:val="single" w:sz="4" w:space="0" w:color="auto"/>
              <w:left w:val="single" w:sz="4" w:space="0" w:color="auto"/>
              <w:bottom w:val="single" w:sz="4" w:space="0" w:color="auto"/>
              <w:right w:val="single" w:sz="4" w:space="0" w:color="auto"/>
            </w:tcBorders>
            <w:hideMark/>
          </w:tcPr>
          <w:p w14:paraId="3497E595" w14:textId="77777777" w:rsidR="000A322C" w:rsidRPr="006F6613" w:rsidRDefault="000A322C">
            <w:pPr>
              <w:suppressAutoHyphens/>
              <w:jc w:val="center"/>
              <w:rPr>
                <w:sz w:val="22"/>
                <w:szCs w:val="22"/>
              </w:rPr>
            </w:pPr>
            <w:r w:rsidRPr="006F6613">
              <w:rPr>
                <w:sz w:val="22"/>
                <w:szCs w:val="22"/>
              </w:rPr>
              <w:t>5,40</w:t>
            </w:r>
          </w:p>
          <w:p w14:paraId="424F4531" w14:textId="77777777" w:rsidR="000A322C" w:rsidRPr="006F6613" w:rsidRDefault="000A322C">
            <w:pPr>
              <w:suppressAutoHyphens/>
              <w:jc w:val="center"/>
              <w:rPr>
                <w:sz w:val="22"/>
                <w:szCs w:val="22"/>
              </w:rPr>
            </w:pPr>
            <w:r w:rsidRPr="006F6613">
              <w:rPr>
                <w:sz w:val="22"/>
                <w:szCs w:val="22"/>
              </w:rPr>
              <w:t>(1,75)</w:t>
            </w:r>
          </w:p>
        </w:tc>
        <w:tc>
          <w:tcPr>
            <w:tcW w:w="601" w:type="pct"/>
            <w:tcBorders>
              <w:top w:val="single" w:sz="4" w:space="0" w:color="auto"/>
              <w:left w:val="single" w:sz="4" w:space="0" w:color="auto"/>
              <w:bottom w:val="single" w:sz="4" w:space="0" w:color="auto"/>
              <w:right w:val="single" w:sz="4" w:space="0" w:color="auto"/>
            </w:tcBorders>
            <w:hideMark/>
          </w:tcPr>
          <w:p w14:paraId="761E4E40" w14:textId="77777777" w:rsidR="000A322C" w:rsidRPr="006F6613" w:rsidRDefault="000A322C">
            <w:pPr>
              <w:suppressAutoHyphens/>
              <w:jc w:val="center"/>
              <w:rPr>
                <w:sz w:val="22"/>
                <w:szCs w:val="22"/>
              </w:rPr>
            </w:pPr>
            <w:r w:rsidRPr="006F6613">
              <w:rPr>
                <w:sz w:val="22"/>
                <w:szCs w:val="22"/>
              </w:rPr>
              <w:t>5,52</w:t>
            </w:r>
          </w:p>
          <w:p w14:paraId="03ACEB35" w14:textId="77777777" w:rsidR="000A322C" w:rsidRPr="006F6613" w:rsidRDefault="000A322C">
            <w:pPr>
              <w:suppressAutoHyphens/>
              <w:jc w:val="center"/>
              <w:rPr>
                <w:sz w:val="22"/>
                <w:szCs w:val="22"/>
              </w:rPr>
            </w:pPr>
            <w:r w:rsidRPr="006F6613">
              <w:rPr>
                <w:sz w:val="22"/>
                <w:szCs w:val="22"/>
              </w:rPr>
              <w:t>(1,665)</w:t>
            </w:r>
          </w:p>
        </w:tc>
        <w:tc>
          <w:tcPr>
            <w:tcW w:w="590" w:type="pct"/>
            <w:tcBorders>
              <w:top w:val="single" w:sz="4" w:space="0" w:color="auto"/>
              <w:left w:val="single" w:sz="4" w:space="0" w:color="auto"/>
              <w:bottom w:val="single" w:sz="4" w:space="0" w:color="auto"/>
              <w:right w:val="single" w:sz="4" w:space="0" w:color="auto"/>
            </w:tcBorders>
          </w:tcPr>
          <w:p w14:paraId="1BC810C5" w14:textId="77777777" w:rsidR="000A322C" w:rsidRPr="006F6613" w:rsidRDefault="000A322C">
            <w:pPr>
              <w:suppressAutoHyphens/>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hideMark/>
          </w:tcPr>
          <w:p w14:paraId="6538181A" w14:textId="77777777" w:rsidR="000A322C" w:rsidRPr="006F6613" w:rsidRDefault="000A322C">
            <w:pPr>
              <w:suppressAutoHyphens/>
              <w:jc w:val="center"/>
              <w:rPr>
                <w:sz w:val="22"/>
                <w:szCs w:val="22"/>
              </w:rPr>
            </w:pPr>
            <w:r w:rsidRPr="006F6613">
              <w:rPr>
                <w:sz w:val="22"/>
                <w:szCs w:val="22"/>
              </w:rPr>
              <w:t>5,42</w:t>
            </w:r>
          </w:p>
          <w:p w14:paraId="340182AD" w14:textId="77777777" w:rsidR="000A322C" w:rsidRPr="006F6613" w:rsidRDefault="000A322C">
            <w:pPr>
              <w:suppressAutoHyphens/>
              <w:jc w:val="center"/>
              <w:rPr>
                <w:sz w:val="22"/>
                <w:szCs w:val="22"/>
              </w:rPr>
            </w:pPr>
            <w:r w:rsidRPr="006F6613">
              <w:rPr>
                <w:sz w:val="22"/>
                <w:szCs w:val="22"/>
              </w:rPr>
              <w:t>(1,714)</w:t>
            </w:r>
          </w:p>
        </w:tc>
        <w:tc>
          <w:tcPr>
            <w:tcW w:w="601" w:type="pct"/>
            <w:tcBorders>
              <w:top w:val="single" w:sz="4" w:space="0" w:color="auto"/>
              <w:left w:val="single" w:sz="4" w:space="0" w:color="auto"/>
              <w:bottom w:val="single" w:sz="4" w:space="0" w:color="auto"/>
              <w:right w:val="single" w:sz="4" w:space="0" w:color="auto"/>
            </w:tcBorders>
            <w:hideMark/>
          </w:tcPr>
          <w:p w14:paraId="38FEE989" w14:textId="77777777" w:rsidR="000A322C" w:rsidRPr="006F6613" w:rsidRDefault="000A322C">
            <w:pPr>
              <w:suppressAutoHyphens/>
              <w:jc w:val="center"/>
              <w:rPr>
                <w:sz w:val="22"/>
                <w:szCs w:val="22"/>
              </w:rPr>
            </w:pPr>
            <w:r w:rsidRPr="006F6613">
              <w:rPr>
                <w:sz w:val="22"/>
                <w:szCs w:val="22"/>
              </w:rPr>
              <w:t>5,52 (1,767)</w:t>
            </w:r>
          </w:p>
        </w:tc>
        <w:tc>
          <w:tcPr>
            <w:tcW w:w="590" w:type="pct"/>
            <w:tcBorders>
              <w:top w:val="single" w:sz="4" w:space="0" w:color="auto"/>
              <w:left w:val="single" w:sz="4" w:space="0" w:color="auto"/>
              <w:bottom w:val="single" w:sz="4" w:space="0" w:color="auto"/>
              <w:right w:val="single" w:sz="4" w:space="0" w:color="auto"/>
            </w:tcBorders>
          </w:tcPr>
          <w:p w14:paraId="2651F993" w14:textId="77777777" w:rsidR="000A322C" w:rsidRPr="006F6613" w:rsidRDefault="000A322C">
            <w:pPr>
              <w:suppressAutoHyphens/>
              <w:jc w:val="center"/>
              <w:rPr>
                <w:sz w:val="22"/>
                <w:szCs w:val="22"/>
              </w:rPr>
            </w:pPr>
          </w:p>
        </w:tc>
      </w:tr>
      <w:tr w:rsidR="000A322C" w:rsidRPr="006F6613" w14:paraId="30E0C06F" w14:textId="77777777" w:rsidTr="00475455">
        <w:tc>
          <w:tcPr>
            <w:tcW w:w="1015" w:type="pct"/>
            <w:vMerge/>
            <w:tcBorders>
              <w:top w:val="single" w:sz="4" w:space="0" w:color="auto"/>
              <w:left w:val="single" w:sz="4" w:space="0" w:color="auto"/>
              <w:bottom w:val="single" w:sz="4" w:space="0" w:color="auto"/>
              <w:right w:val="single" w:sz="4" w:space="0" w:color="auto"/>
            </w:tcBorders>
            <w:vAlign w:val="center"/>
            <w:hideMark/>
          </w:tcPr>
          <w:p w14:paraId="01A4F063" w14:textId="77777777" w:rsidR="000A322C" w:rsidRPr="006F6613" w:rsidRDefault="000A322C">
            <w:pPr>
              <w:rPr>
                <w:sz w:val="22"/>
                <w:szCs w:val="22"/>
              </w:rPr>
            </w:pPr>
          </w:p>
        </w:tc>
        <w:tc>
          <w:tcPr>
            <w:tcW w:w="403" w:type="pct"/>
            <w:tcBorders>
              <w:top w:val="single" w:sz="4" w:space="0" w:color="auto"/>
              <w:left w:val="single" w:sz="4" w:space="0" w:color="auto"/>
              <w:bottom w:val="single" w:sz="4" w:space="0" w:color="auto"/>
              <w:right w:val="single" w:sz="4" w:space="0" w:color="auto"/>
            </w:tcBorders>
            <w:hideMark/>
          </w:tcPr>
          <w:p w14:paraId="2FA6B95E" w14:textId="77777777" w:rsidR="000A322C" w:rsidRPr="006F6613" w:rsidRDefault="000A322C">
            <w:pPr>
              <w:suppressAutoHyphens/>
              <w:jc w:val="center"/>
              <w:rPr>
                <w:sz w:val="22"/>
                <w:szCs w:val="22"/>
              </w:rPr>
            </w:pPr>
            <w:r w:rsidRPr="006F6613">
              <w:rPr>
                <w:sz w:val="22"/>
                <w:szCs w:val="22"/>
              </w:rPr>
              <w:t>Δ B/L</w:t>
            </w:r>
          </w:p>
        </w:tc>
        <w:tc>
          <w:tcPr>
            <w:tcW w:w="600" w:type="pct"/>
            <w:tcBorders>
              <w:top w:val="single" w:sz="4" w:space="0" w:color="auto"/>
              <w:left w:val="single" w:sz="4" w:space="0" w:color="auto"/>
              <w:bottom w:val="single" w:sz="4" w:space="0" w:color="auto"/>
              <w:right w:val="single" w:sz="4" w:space="0" w:color="auto"/>
            </w:tcBorders>
            <w:hideMark/>
          </w:tcPr>
          <w:p w14:paraId="2A2215DB" w14:textId="77777777" w:rsidR="000A322C" w:rsidRPr="006F6613" w:rsidRDefault="000A322C">
            <w:pPr>
              <w:suppressAutoHyphens/>
              <w:jc w:val="center"/>
              <w:rPr>
                <w:b/>
                <w:bCs/>
                <w:sz w:val="22"/>
                <w:szCs w:val="22"/>
              </w:rPr>
            </w:pPr>
            <w:r w:rsidRPr="006F6613">
              <w:rPr>
                <w:b/>
                <w:bCs/>
                <w:sz w:val="22"/>
                <w:szCs w:val="22"/>
              </w:rPr>
              <w:t>-1,57</w:t>
            </w:r>
          </w:p>
          <w:p w14:paraId="78AD3534" w14:textId="77777777" w:rsidR="000A322C" w:rsidRPr="006F6613" w:rsidRDefault="000A322C">
            <w:pPr>
              <w:suppressAutoHyphens/>
              <w:jc w:val="center"/>
              <w:rPr>
                <w:sz w:val="22"/>
                <w:szCs w:val="22"/>
              </w:rPr>
            </w:pPr>
            <w:r w:rsidRPr="006F6613">
              <w:rPr>
                <w:b/>
                <w:bCs/>
                <w:sz w:val="22"/>
                <w:szCs w:val="22"/>
              </w:rPr>
              <w:t>(0,133)</w:t>
            </w:r>
          </w:p>
        </w:tc>
        <w:tc>
          <w:tcPr>
            <w:tcW w:w="601" w:type="pct"/>
            <w:tcBorders>
              <w:top w:val="single" w:sz="4" w:space="0" w:color="auto"/>
              <w:left w:val="single" w:sz="4" w:space="0" w:color="auto"/>
              <w:bottom w:val="single" w:sz="4" w:space="0" w:color="auto"/>
              <w:right w:val="single" w:sz="4" w:space="0" w:color="auto"/>
            </w:tcBorders>
            <w:hideMark/>
          </w:tcPr>
          <w:p w14:paraId="27DF0EC1" w14:textId="77777777" w:rsidR="000A322C" w:rsidRPr="006F6613" w:rsidRDefault="000A322C">
            <w:pPr>
              <w:suppressAutoHyphens/>
              <w:jc w:val="center"/>
              <w:rPr>
                <w:b/>
                <w:bCs/>
                <w:sz w:val="22"/>
                <w:szCs w:val="22"/>
              </w:rPr>
            </w:pPr>
            <w:r w:rsidRPr="006F6613">
              <w:rPr>
                <w:b/>
                <w:bCs/>
                <w:sz w:val="22"/>
                <w:szCs w:val="22"/>
              </w:rPr>
              <w:t>-0,83 (0,131)</w:t>
            </w:r>
          </w:p>
        </w:tc>
        <w:tc>
          <w:tcPr>
            <w:tcW w:w="590" w:type="pct"/>
            <w:tcBorders>
              <w:top w:val="single" w:sz="4" w:space="0" w:color="auto"/>
              <w:left w:val="single" w:sz="4" w:space="0" w:color="auto"/>
              <w:bottom w:val="single" w:sz="4" w:space="0" w:color="auto"/>
              <w:right w:val="single" w:sz="4" w:space="0" w:color="auto"/>
            </w:tcBorders>
            <w:hideMark/>
          </w:tcPr>
          <w:p w14:paraId="3345D1EA" w14:textId="77777777" w:rsidR="000A322C" w:rsidRPr="006F6613" w:rsidRDefault="000A322C">
            <w:pPr>
              <w:suppressAutoHyphens/>
              <w:jc w:val="center"/>
              <w:rPr>
                <w:b/>
                <w:bCs/>
                <w:sz w:val="22"/>
                <w:szCs w:val="22"/>
              </w:rPr>
            </w:pPr>
            <w:r w:rsidRPr="006F6613">
              <w:rPr>
                <w:b/>
                <w:bCs/>
                <w:sz w:val="22"/>
                <w:szCs w:val="22"/>
              </w:rPr>
              <w:t>&lt; 0,0001</w:t>
            </w:r>
          </w:p>
        </w:tc>
        <w:tc>
          <w:tcPr>
            <w:tcW w:w="601" w:type="pct"/>
            <w:tcBorders>
              <w:top w:val="single" w:sz="4" w:space="0" w:color="auto"/>
              <w:left w:val="single" w:sz="4" w:space="0" w:color="auto"/>
              <w:bottom w:val="single" w:sz="4" w:space="0" w:color="auto"/>
              <w:right w:val="single" w:sz="4" w:space="0" w:color="auto"/>
            </w:tcBorders>
            <w:hideMark/>
          </w:tcPr>
          <w:p w14:paraId="1892C2A5" w14:textId="77777777" w:rsidR="000A322C" w:rsidRPr="006F6613" w:rsidRDefault="000A322C">
            <w:pPr>
              <w:suppressAutoHyphens/>
              <w:jc w:val="center"/>
              <w:rPr>
                <w:sz w:val="22"/>
                <w:szCs w:val="22"/>
              </w:rPr>
            </w:pPr>
            <w:r w:rsidRPr="006F6613">
              <w:rPr>
                <w:sz w:val="22"/>
                <w:szCs w:val="22"/>
              </w:rPr>
              <w:t>-1,54</w:t>
            </w:r>
          </w:p>
          <w:p w14:paraId="5141F61A" w14:textId="77777777" w:rsidR="000A322C" w:rsidRPr="006F6613" w:rsidRDefault="000A322C">
            <w:pPr>
              <w:suppressAutoHyphens/>
              <w:jc w:val="center"/>
              <w:rPr>
                <w:sz w:val="22"/>
                <w:szCs w:val="22"/>
              </w:rPr>
            </w:pPr>
            <w:r w:rsidRPr="006F6613">
              <w:rPr>
                <w:sz w:val="22"/>
                <w:szCs w:val="22"/>
              </w:rPr>
              <w:t>(0,082)</w:t>
            </w:r>
          </w:p>
        </w:tc>
        <w:tc>
          <w:tcPr>
            <w:tcW w:w="601" w:type="pct"/>
            <w:tcBorders>
              <w:top w:val="single" w:sz="4" w:space="0" w:color="auto"/>
              <w:left w:val="single" w:sz="4" w:space="0" w:color="auto"/>
              <w:bottom w:val="single" w:sz="4" w:space="0" w:color="auto"/>
              <w:right w:val="single" w:sz="4" w:space="0" w:color="auto"/>
            </w:tcBorders>
            <w:hideMark/>
          </w:tcPr>
          <w:p w14:paraId="6A8B2C31" w14:textId="77777777" w:rsidR="000A322C" w:rsidRPr="006F6613" w:rsidRDefault="000A322C">
            <w:pPr>
              <w:suppressAutoHyphens/>
              <w:jc w:val="center"/>
              <w:rPr>
                <w:sz w:val="22"/>
                <w:szCs w:val="22"/>
              </w:rPr>
            </w:pPr>
            <w:r w:rsidRPr="006F6613">
              <w:rPr>
                <w:sz w:val="22"/>
                <w:szCs w:val="22"/>
              </w:rPr>
              <w:t>-1,15</w:t>
            </w:r>
          </w:p>
        </w:tc>
        <w:tc>
          <w:tcPr>
            <w:tcW w:w="590" w:type="pct"/>
            <w:tcBorders>
              <w:top w:val="single" w:sz="4" w:space="0" w:color="auto"/>
              <w:left w:val="single" w:sz="4" w:space="0" w:color="auto"/>
              <w:bottom w:val="single" w:sz="4" w:space="0" w:color="auto"/>
              <w:right w:val="single" w:sz="4" w:space="0" w:color="auto"/>
            </w:tcBorders>
            <w:hideMark/>
          </w:tcPr>
          <w:p w14:paraId="782B5174" w14:textId="77777777" w:rsidR="000A322C" w:rsidRPr="006F6613" w:rsidRDefault="000A322C">
            <w:pPr>
              <w:suppressAutoHyphens/>
              <w:jc w:val="center"/>
              <w:rPr>
                <w:sz w:val="22"/>
                <w:szCs w:val="22"/>
              </w:rPr>
            </w:pPr>
            <w:r w:rsidRPr="006F6613">
              <w:rPr>
                <w:sz w:val="22"/>
                <w:szCs w:val="22"/>
              </w:rPr>
              <w:t>0,0007</w:t>
            </w:r>
          </w:p>
        </w:tc>
      </w:tr>
      <w:tr w:rsidR="000A322C" w:rsidRPr="00A940BB" w14:paraId="615700B9" w14:textId="77777777" w:rsidTr="00475455">
        <w:tc>
          <w:tcPr>
            <w:tcW w:w="5000" w:type="pct"/>
            <w:gridSpan w:val="8"/>
            <w:tcBorders>
              <w:top w:val="single" w:sz="4" w:space="0" w:color="auto"/>
              <w:left w:val="single" w:sz="4" w:space="0" w:color="auto"/>
              <w:bottom w:val="single" w:sz="4" w:space="0" w:color="auto"/>
              <w:right w:val="single" w:sz="4" w:space="0" w:color="auto"/>
            </w:tcBorders>
            <w:hideMark/>
          </w:tcPr>
          <w:p w14:paraId="39432E61" w14:textId="77777777" w:rsidR="000A322C" w:rsidRPr="006F6613" w:rsidRDefault="000A322C">
            <w:pPr>
              <w:suppressAutoHyphens/>
              <w:rPr>
                <w:sz w:val="22"/>
                <w:szCs w:val="22"/>
                <w:lang w:val="en-US"/>
              </w:rPr>
            </w:pPr>
            <w:r w:rsidRPr="006F6613">
              <w:rPr>
                <w:b/>
                <w:bCs/>
                <w:sz w:val="22"/>
                <w:szCs w:val="22"/>
                <w:lang w:val="en-US"/>
              </w:rPr>
              <w:lastRenderedPageBreak/>
              <w:t>LGS temporal zone</w:t>
            </w:r>
            <w:r w:rsidRPr="006F6613">
              <w:rPr>
                <w:sz w:val="22"/>
                <w:szCs w:val="22"/>
                <w:lang w:val="en-US"/>
              </w:rPr>
              <w:t xml:space="preserve"> (</w:t>
            </w:r>
            <w:proofErr w:type="spellStart"/>
            <w:r w:rsidRPr="006F6613">
              <w:rPr>
                <w:sz w:val="22"/>
                <w:szCs w:val="22"/>
                <w:lang w:val="en-US"/>
              </w:rPr>
              <w:t>maks</w:t>
            </w:r>
            <w:proofErr w:type="spellEnd"/>
            <w:r w:rsidRPr="006F6613">
              <w:rPr>
                <w:sz w:val="22"/>
                <w:szCs w:val="22"/>
                <w:lang w:val="en-US"/>
              </w:rPr>
              <w:t>. score = 4)</w:t>
            </w:r>
          </w:p>
        </w:tc>
      </w:tr>
      <w:tr w:rsidR="000A322C" w:rsidRPr="006F6613" w14:paraId="56F78E46" w14:textId="77777777" w:rsidTr="00475455">
        <w:tc>
          <w:tcPr>
            <w:tcW w:w="1015" w:type="pct"/>
            <w:vMerge w:val="restart"/>
            <w:tcBorders>
              <w:top w:val="single" w:sz="4" w:space="0" w:color="auto"/>
              <w:left w:val="single" w:sz="4" w:space="0" w:color="auto"/>
              <w:bottom w:val="single" w:sz="4" w:space="0" w:color="auto"/>
              <w:right w:val="single" w:sz="4" w:space="0" w:color="auto"/>
            </w:tcBorders>
          </w:tcPr>
          <w:p w14:paraId="61C3AFF7" w14:textId="77777777" w:rsidR="000A322C" w:rsidRPr="006F6613" w:rsidRDefault="000A322C">
            <w:pPr>
              <w:suppressAutoHyphens/>
              <w:jc w:val="center"/>
              <w:rPr>
                <w:sz w:val="22"/>
                <w:szCs w:val="22"/>
                <w:lang w:val="da-DK"/>
              </w:rPr>
            </w:pPr>
            <w:r w:rsidRPr="006F6613">
              <w:rPr>
                <w:sz w:val="22"/>
                <w:szCs w:val="22"/>
                <w:lang w:val="da-DK"/>
              </w:rPr>
              <w:t>Gennemsnit (SD)</w:t>
            </w:r>
          </w:p>
          <w:p w14:paraId="2B42931D" w14:textId="77777777" w:rsidR="000A322C" w:rsidRPr="006F6613" w:rsidRDefault="000A322C">
            <w:pPr>
              <w:suppressAutoHyphens/>
              <w:jc w:val="center"/>
              <w:rPr>
                <w:sz w:val="22"/>
                <w:szCs w:val="22"/>
                <w:lang w:val="da-DK"/>
              </w:rPr>
            </w:pPr>
          </w:p>
          <w:p w14:paraId="34128718" w14:textId="77777777" w:rsidR="000A322C" w:rsidRPr="006F6613" w:rsidRDefault="000A322C">
            <w:pPr>
              <w:suppressAutoHyphens/>
              <w:jc w:val="center"/>
              <w:rPr>
                <w:sz w:val="22"/>
                <w:szCs w:val="22"/>
                <w:lang w:val="da-DK"/>
              </w:rPr>
            </w:pPr>
            <w:r w:rsidRPr="006F6613">
              <w:rPr>
                <w:sz w:val="22"/>
                <w:szCs w:val="22"/>
                <w:lang w:val="da-DK"/>
              </w:rPr>
              <w:t>LS-gennemsnit (SE)</w:t>
            </w:r>
          </w:p>
        </w:tc>
        <w:tc>
          <w:tcPr>
            <w:tcW w:w="403" w:type="pct"/>
            <w:tcBorders>
              <w:top w:val="single" w:sz="4" w:space="0" w:color="auto"/>
              <w:left w:val="single" w:sz="4" w:space="0" w:color="auto"/>
              <w:bottom w:val="single" w:sz="4" w:space="0" w:color="auto"/>
              <w:right w:val="single" w:sz="4" w:space="0" w:color="auto"/>
            </w:tcBorders>
            <w:hideMark/>
          </w:tcPr>
          <w:p w14:paraId="45D5691A" w14:textId="77777777" w:rsidR="000A322C" w:rsidRPr="006F6613" w:rsidRDefault="000A322C">
            <w:pPr>
              <w:suppressAutoHyphens/>
              <w:jc w:val="center"/>
              <w:rPr>
                <w:sz w:val="22"/>
                <w:szCs w:val="22"/>
              </w:rPr>
            </w:pPr>
            <w:r w:rsidRPr="006F6613">
              <w:rPr>
                <w:sz w:val="22"/>
                <w:szCs w:val="22"/>
              </w:rPr>
              <w:t>B/L</w:t>
            </w:r>
          </w:p>
        </w:tc>
        <w:tc>
          <w:tcPr>
            <w:tcW w:w="600" w:type="pct"/>
            <w:tcBorders>
              <w:top w:val="single" w:sz="4" w:space="0" w:color="auto"/>
              <w:left w:val="single" w:sz="4" w:space="0" w:color="auto"/>
              <w:bottom w:val="single" w:sz="4" w:space="0" w:color="auto"/>
              <w:right w:val="single" w:sz="4" w:space="0" w:color="auto"/>
            </w:tcBorders>
            <w:hideMark/>
          </w:tcPr>
          <w:p w14:paraId="272DEBEE" w14:textId="77777777" w:rsidR="000A322C" w:rsidRPr="006F6613" w:rsidRDefault="000A322C">
            <w:pPr>
              <w:suppressAutoHyphens/>
              <w:jc w:val="center"/>
              <w:rPr>
                <w:sz w:val="22"/>
                <w:szCs w:val="22"/>
              </w:rPr>
            </w:pPr>
            <w:r w:rsidRPr="006F6613">
              <w:rPr>
                <w:sz w:val="22"/>
                <w:szCs w:val="22"/>
              </w:rPr>
              <w:t>0,92</w:t>
            </w:r>
          </w:p>
          <w:p w14:paraId="27C0C900" w14:textId="77777777" w:rsidR="000A322C" w:rsidRPr="006F6613" w:rsidRDefault="000A322C">
            <w:pPr>
              <w:suppressAutoHyphens/>
              <w:jc w:val="center"/>
              <w:rPr>
                <w:sz w:val="22"/>
                <w:szCs w:val="22"/>
              </w:rPr>
            </w:pPr>
            <w:r w:rsidRPr="006F6613">
              <w:rPr>
                <w:sz w:val="22"/>
                <w:szCs w:val="22"/>
              </w:rPr>
              <w:t>(0,612)</w:t>
            </w:r>
          </w:p>
        </w:tc>
        <w:tc>
          <w:tcPr>
            <w:tcW w:w="601" w:type="pct"/>
            <w:tcBorders>
              <w:top w:val="single" w:sz="4" w:space="0" w:color="auto"/>
              <w:left w:val="single" w:sz="4" w:space="0" w:color="auto"/>
              <w:bottom w:val="single" w:sz="4" w:space="0" w:color="auto"/>
              <w:right w:val="single" w:sz="4" w:space="0" w:color="auto"/>
            </w:tcBorders>
            <w:hideMark/>
          </w:tcPr>
          <w:p w14:paraId="29EBE00A" w14:textId="77777777" w:rsidR="000A322C" w:rsidRPr="006F6613" w:rsidRDefault="000A322C">
            <w:pPr>
              <w:suppressAutoHyphens/>
              <w:jc w:val="center"/>
              <w:rPr>
                <w:sz w:val="22"/>
                <w:szCs w:val="22"/>
              </w:rPr>
            </w:pPr>
            <w:r w:rsidRPr="006F6613">
              <w:rPr>
                <w:sz w:val="22"/>
                <w:szCs w:val="22"/>
              </w:rPr>
              <w:t>0,90</w:t>
            </w:r>
          </w:p>
          <w:p w14:paraId="58FEADB5" w14:textId="77777777" w:rsidR="000A322C" w:rsidRPr="006F6613" w:rsidRDefault="000A322C">
            <w:pPr>
              <w:suppressAutoHyphens/>
              <w:jc w:val="center"/>
              <w:rPr>
                <w:sz w:val="22"/>
                <w:szCs w:val="22"/>
              </w:rPr>
            </w:pPr>
            <w:r w:rsidRPr="006F6613">
              <w:rPr>
                <w:sz w:val="22"/>
                <w:szCs w:val="22"/>
              </w:rPr>
              <w:t>(0,627)</w:t>
            </w:r>
          </w:p>
        </w:tc>
        <w:tc>
          <w:tcPr>
            <w:tcW w:w="590" w:type="pct"/>
            <w:tcBorders>
              <w:top w:val="single" w:sz="4" w:space="0" w:color="auto"/>
              <w:left w:val="single" w:sz="4" w:space="0" w:color="auto"/>
              <w:bottom w:val="single" w:sz="4" w:space="0" w:color="auto"/>
              <w:right w:val="single" w:sz="4" w:space="0" w:color="auto"/>
            </w:tcBorders>
          </w:tcPr>
          <w:p w14:paraId="3D5ADCEF" w14:textId="77777777" w:rsidR="000A322C" w:rsidRPr="006F6613" w:rsidRDefault="000A322C">
            <w:pPr>
              <w:suppressAutoHyphens/>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hideMark/>
          </w:tcPr>
          <w:p w14:paraId="61DA910B" w14:textId="77777777" w:rsidR="000A322C" w:rsidRPr="006F6613" w:rsidRDefault="000A322C">
            <w:pPr>
              <w:suppressAutoHyphens/>
              <w:jc w:val="center"/>
              <w:rPr>
                <w:sz w:val="22"/>
                <w:szCs w:val="22"/>
              </w:rPr>
            </w:pPr>
            <w:r w:rsidRPr="006F6613">
              <w:rPr>
                <w:sz w:val="22"/>
                <w:szCs w:val="22"/>
              </w:rPr>
              <w:t>0,92</w:t>
            </w:r>
          </w:p>
          <w:p w14:paraId="18FB3322" w14:textId="77777777" w:rsidR="000A322C" w:rsidRPr="006F6613" w:rsidRDefault="000A322C">
            <w:pPr>
              <w:suppressAutoHyphens/>
              <w:jc w:val="center"/>
              <w:rPr>
                <w:sz w:val="22"/>
                <w:szCs w:val="22"/>
              </w:rPr>
            </w:pPr>
            <w:r w:rsidRPr="006F6613">
              <w:rPr>
                <w:sz w:val="22"/>
                <w:szCs w:val="22"/>
              </w:rPr>
              <w:t>(0,639)</w:t>
            </w:r>
          </w:p>
        </w:tc>
        <w:tc>
          <w:tcPr>
            <w:tcW w:w="601" w:type="pct"/>
            <w:tcBorders>
              <w:top w:val="single" w:sz="4" w:space="0" w:color="auto"/>
              <w:left w:val="single" w:sz="4" w:space="0" w:color="auto"/>
              <w:bottom w:val="single" w:sz="4" w:space="0" w:color="auto"/>
              <w:right w:val="single" w:sz="4" w:space="0" w:color="auto"/>
            </w:tcBorders>
            <w:hideMark/>
          </w:tcPr>
          <w:p w14:paraId="77E5548C" w14:textId="77777777" w:rsidR="000A322C" w:rsidRPr="006F6613" w:rsidRDefault="000A322C">
            <w:pPr>
              <w:suppressAutoHyphens/>
              <w:jc w:val="center"/>
              <w:rPr>
                <w:sz w:val="22"/>
                <w:szCs w:val="22"/>
              </w:rPr>
            </w:pPr>
            <w:r w:rsidRPr="006F6613">
              <w:rPr>
                <w:sz w:val="22"/>
                <w:szCs w:val="22"/>
              </w:rPr>
              <w:t>1,00</w:t>
            </w:r>
          </w:p>
          <w:p w14:paraId="33E97DB7" w14:textId="77777777" w:rsidR="000A322C" w:rsidRPr="006F6613" w:rsidRDefault="000A322C">
            <w:pPr>
              <w:suppressAutoHyphens/>
              <w:jc w:val="center"/>
              <w:rPr>
                <w:sz w:val="22"/>
                <w:szCs w:val="22"/>
              </w:rPr>
            </w:pPr>
            <w:r w:rsidRPr="006F6613">
              <w:rPr>
                <w:sz w:val="22"/>
                <w:szCs w:val="22"/>
              </w:rPr>
              <w:t>(0,666)</w:t>
            </w:r>
          </w:p>
        </w:tc>
        <w:tc>
          <w:tcPr>
            <w:tcW w:w="590" w:type="pct"/>
            <w:tcBorders>
              <w:top w:val="single" w:sz="4" w:space="0" w:color="auto"/>
              <w:left w:val="single" w:sz="4" w:space="0" w:color="auto"/>
              <w:bottom w:val="single" w:sz="4" w:space="0" w:color="auto"/>
              <w:right w:val="single" w:sz="4" w:space="0" w:color="auto"/>
            </w:tcBorders>
          </w:tcPr>
          <w:p w14:paraId="1F889CE4" w14:textId="77777777" w:rsidR="000A322C" w:rsidRPr="006F6613" w:rsidRDefault="000A322C">
            <w:pPr>
              <w:suppressAutoHyphens/>
              <w:jc w:val="center"/>
              <w:rPr>
                <w:sz w:val="22"/>
                <w:szCs w:val="22"/>
              </w:rPr>
            </w:pPr>
          </w:p>
        </w:tc>
      </w:tr>
      <w:tr w:rsidR="000A322C" w:rsidRPr="006F6613" w14:paraId="3152A990" w14:textId="77777777" w:rsidTr="00475455">
        <w:tc>
          <w:tcPr>
            <w:tcW w:w="1015" w:type="pct"/>
            <w:vMerge/>
            <w:tcBorders>
              <w:top w:val="single" w:sz="4" w:space="0" w:color="auto"/>
              <w:left w:val="single" w:sz="4" w:space="0" w:color="auto"/>
              <w:bottom w:val="single" w:sz="4" w:space="0" w:color="auto"/>
              <w:right w:val="single" w:sz="4" w:space="0" w:color="auto"/>
            </w:tcBorders>
            <w:vAlign w:val="center"/>
            <w:hideMark/>
          </w:tcPr>
          <w:p w14:paraId="7219FD27" w14:textId="77777777" w:rsidR="000A322C" w:rsidRPr="006F6613" w:rsidRDefault="000A322C">
            <w:pPr>
              <w:rPr>
                <w:sz w:val="22"/>
                <w:szCs w:val="22"/>
              </w:rPr>
            </w:pPr>
          </w:p>
        </w:tc>
        <w:tc>
          <w:tcPr>
            <w:tcW w:w="403" w:type="pct"/>
            <w:tcBorders>
              <w:top w:val="single" w:sz="4" w:space="0" w:color="auto"/>
              <w:left w:val="single" w:sz="4" w:space="0" w:color="auto"/>
              <w:bottom w:val="single" w:sz="4" w:space="0" w:color="auto"/>
              <w:right w:val="single" w:sz="4" w:space="0" w:color="auto"/>
            </w:tcBorders>
            <w:hideMark/>
          </w:tcPr>
          <w:p w14:paraId="6A11A652" w14:textId="77777777" w:rsidR="000A322C" w:rsidRPr="006F6613" w:rsidRDefault="000A322C">
            <w:pPr>
              <w:keepNext/>
              <w:suppressAutoHyphens/>
              <w:jc w:val="center"/>
              <w:rPr>
                <w:sz w:val="22"/>
                <w:szCs w:val="22"/>
              </w:rPr>
            </w:pPr>
            <w:r w:rsidRPr="006F6613">
              <w:rPr>
                <w:sz w:val="22"/>
                <w:szCs w:val="22"/>
              </w:rPr>
              <w:t>Δ B/L</w:t>
            </w:r>
          </w:p>
        </w:tc>
        <w:tc>
          <w:tcPr>
            <w:tcW w:w="600" w:type="pct"/>
            <w:tcBorders>
              <w:top w:val="single" w:sz="4" w:space="0" w:color="auto"/>
              <w:left w:val="single" w:sz="4" w:space="0" w:color="auto"/>
              <w:bottom w:val="single" w:sz="4" w:space="0" w:color="auto"/>
              <w:right w:val="single" w:sz="4" w:space="0" w:color="auto"/>
            </w:tcBorders>
            <w:hideMark/>
          </w:tcPr>
          <w:p w14:paraId="42267A05" w14:textId="77777777" w:rsidR="000A322C" w:rsidRPr="006F6613" w:rsidRDefault="000A322C">
            <w:pPr>
              <w:suppressAutoHyphens/>
              <w:jc w:val="center"/>
              <w:rPr>
                <w:sz w:val="22"/>
                <w:szCs w:val="22"/>
              </w:rPr>
            </w:pPr>
            <w:r w:rsidRPr="006F6613">
              <w:rPr>
                <w:sz w:val="22"/>
                <w:szCs w:val="22"/>
              </w:rPr>
              <w:t>-0,34</w:t>
            </w:r>
          </w:p>
          <w:p w14:paraId="5923F0AD" w14:textId="77777777" w:rsidR="000A322C" w:rsidRPr="006F6613" w:rsidRDefault="000A322C">
            <w:pPr>
              <w:suppressAutoHyphens/>
              <w:jc w:val="center"/>
              <w:rPr>
                <w:sz w:val="22"/>
                <w:szCs w:val="22"/>
              </w:rPr>
            </w:pPr>
            <w:r w:rsidRPr="006F6613">
              <w:rPr>
                <w:sz w:val="22"/>
                <w:szCs w:val="22"/>
              </w:rPr>
              <w:t>(0,042)</w:t>
            </w:r>
          </w:p>
        </w:tc>
        <w:tc>
          <w:tcPr>
            <w:tcW w:w="601" w:type="pct"/>
            <w:tcBorders>
              <w:top w:val="single" w:sz="4" w:space="0" w:color="auto"/>
              <w:left w:val="single" w:sz="4" w:space="0" w:color="auto"/>
              <w:bottom w:val="single" w:sz="4" w:space="0" w:color="auto"/>
              <w:right w:val="single" w:sz="4" w:space="0" w:color="auto"/>
            </w:tcBorders>
            <w:hideMark/>
          </w:tcPr>
          <w:p w14:paraId="52D4F50A" w14:textId="77777777" w:rsidR="000A322C" w:rsidRPr="006F6613" w:rsidRDefault="000A322C">
            <w:pPr>
              <w:suppressAutoHyphens/>
              <w:jc w:val="center"/>
              <w:rPr>
                <w:sz w:val="22"/>
                <w:szCs w:val="22"/>
              </w:rPr>
            </w:pPr>
            <w:r w:rsidRPr="006F6613">
              <w:rPr>
                <w:sz w:val="22"/>
                <w:szCs w:val="22"/>
              </w:rPr>
              <w:t>-11</w:t>
            </w:r>
          </w:p>
          <w:p w14:paraId="4EC95274" w14:textId="77777777" w:rsidR="000A322C" w:rsidRPr="006F6613" w:rsidRDefault="000A322C">
            <w:pPr>
              <w:suppressAutoHyphens/>
              <w:jc w:val="center"/>
              <w:rPr>
                <w:sz w:val="22"/>
                <w:szCs w:val="22"/>
              </w:rPr>
            </w:pPr>
            <w:r w:rsidRPr="006F6613">
              <w:rPr>
                <w:sz w:val="22"/>
                <w:szCs w:val="22"/>
              </w:rPr>
              <w:t>(0,041)</w:t>
            </w:r>
          </w:p>
        </w:tc>
        <w:tc>
          <w:tcPr>
            <w:tcW w:w="590" w:type="pct"/>
            <w:tcBorders>
              <w:top w:val="single" w:sz="4" w:space="0" w:color="auto"/>
              <w:left w:val="single" w:sz="4" w:space="0" w:color="auto"/>
              <w:bottom w:val="single" w:sz="4" w:space="0" w:color="auto"/>
              <w:right w:val="single" w:sz="4" w:space="0" w:color="auto"/>
            </w:tcBorders>
            <w:hideMark/>
          </w:tcPr>
          <w:p w14:paraId="1C6D1378" w14:textId="77777777" w:rsidR="000A322C" w:rsidRPr="006F6613" w:rsidRDefault="000A322C">
            <w:pPr>
              <w:suppressAutoHyphens/>
              <w:jc w:val="center"/>
              <w:rPr>
                <w:sz w:val="22"/>
                <w:szCs w:val="22"/>
              </w:rPr>
            </w:pPr>
            <w:r w:rsidRPr="006F6613">
              <w:rPr>
                <w:sz w:val="22"/>
                <w:szCs w:val="22"/>
              </w:rPr>
              <w:t>0,0001</w:t>
            </w:r>
          </w:p>
        </w:tc>
        <w:tc>
          <w:tcPr>
            <w:tcW w:w="601" w:type="pct"/>
            <w:tcBorders>
              <w:top w:val="single" w:sz="4" w:space="0" w:color="auto"/>
              <w:left w:val="single" w:sz="4" w:space="0" w:color="auto"/>
              <w:bottom w:val="single" w:sz="4" w:space="0" w:color="auto"/>
              <w:right w:val="single" w:sz="4" w:space="0" w:color="auto"/>
            </w:tcBorders>
            <w:hideMark/>
          </w:tcPr>
          <w:p w14:paraId="1F90A894" w14:textId="77777777" w:rsidR="000A322C" w:rsidRPr="006F6613" w:rsidRDefault="000A322C">
            <w:pPr>
              <w:suppressAutoHyphens/>
              <w:jc w:val="center"/>
              <w:rPr>
                <w:sz w:val="22"/>
                <w:szCs w:val="22"/>
              </w:rPr>
            </w:pPr>
            <w:r w:rsidRPr="006F6613">
              <w:rPr>
                <w:sz w:val="22"/>
                <w:szCs w:val="22"/>
              </w:rPr>
              <w:t>-0,33</w:t>
            </w:r>
          </w:p>
          <w:p w14:paraId="0BA00245" w14:textId="77777777" w:rsidR="000A322C" w:rsidRPr="006F6613" w:rsidRDefault="000A322C">
            <w:pPr>
              <w:suppressAutoHyphens/>
              <w:jc w:val="center"/>
              <w:rPr>
                <w:sz w:val="22"/>
                <w:szCs w:val="22"/>
              </w:rPr>
            </w:pPr>
            <w:r w:rsidRPr="006F6613">
              <w:rPr>
                <w:sz w:val="22"/>
                <w:szCs w:val="22"/>
              </w:rPr>
              <w:t>(0,027)</w:t>
            </w:r>
          </w:p>
        </w:tc>
        <w:tc>
          <w:tcPr>
            <w:tcW w:w="601" w:type="pct"/>
            <w:tcBorders>
              <w:top w:val="single" w:sz="4" w:space="0" w:color="auto"/>
              <w:left w:val="single" w:sz="4" w:space="0" w:color="auto"/>
              <w:bottom w:val="single" w:sz="4" w:space="0" w:color="auto"/>
              <w:right w:val="single" w:sz="4" w:space="0" w:color="auto"/>
            </w:tcBorders>
            <w:hideMark/>
          </w:tcPr>
          <w:p w14:paraId="1483D601" w14:textId="77777777" w:rsidR="000A322C" w:rsidRPr="006F6613" w:rsidRDefault="000A322C">
            <w:pPr>
              <w:suppressAutoHyphens/>
              <w:jc w:val="center"/>
              <w:rPr>
                <w:sz w:val="22"/>
                <w:szCs w:val="22"/>
              </w:rPr>
            </w:pPr>
            <w:r w:rsidRPr="006F6613">
              <w:rPr>
                <w:sz w:val="22"/>
                <w:szCs w:val="22"/>
              </w:rPr>
              <w:t>-0,21</w:t>
            </w:r>
          </w:p>
          <w:p w14:paraId="20B59C0A" w14:textId="77777777" w:rsidR="000A322C" w:rsidRPr="006F6613" w:rsidRDefault="000A322C">
            <w:pPr>
              <w:suppressAutoHyphens/>
              <w:jc w:val="center"/>
              <w:rPr>
                <w:sz w:val="22"/>
                <w:szCs w:val="22"/>
              </w:rPr>
            </w:pPr>
            <w:r w:rsidRPr="006F6613">
              <w:rPr>
                <w:sz w:val="22"/>
                <w:szCs w:val="22"/>
              </w:rPr>
              <w:t>(0,027)</w:t>
            </w:r>
          </w:p>
        </w:tc>
        <w:tc>
          <w:tcPr>
            <w:tcW w:w="590" w:type="pct"/>
            <w:tcBorders>
              <w:top w:val="single" w:sz="4" w:space="0" w:color="auto"/>
              <w:left w:val="single" w:sz="4" w:space="0" w:color="auto"/>
              <w:bottom w:val="single" w:sz="4" w:space="0" w:color="auto"/>
              <w:right w:val="single" w:sz="4" w:space="0" w:color="auto"/>
            </w:tcBorders>
            <w:hideMark/>
          </w:tcPr>
          <w:p w14:paraId="722FDD88" w14:textId="77777777" w:rsidR="000A322C" w:rsidRPr="006F6613" w:rsidRDefault="000A322C">
            <w:pPr>
              <w:suppressAutoHyphens/>
              <w:jc w:val="center"/>
              <w:rPr>
                <w:sz w:val="22"/>
                <w:szCs w:val="22"/>
              </w:rPr>
            </w:pPr>
            <w:r w:rsidRPr="006F6613">
              <w:rPr>
                <w:sz w:val="22"/>
                <w:szCs w:val="22"/>
              </w:rPr>
              <w:t>0,0030</w:t>
            </w:r>
          </w:p>
        </w:tc>
      </w:tr>
      <w:tr w:rsidR="000A322C" w:rsidRPr="00A940BB" w14:paraId="663EC2C2" w14:textId="77777777" w:rsidTr="00475455">
        <w:tc>
          <w:tcPr>
            <w:tcW w:w="5000" w:type="pct"/>
            <w:gridSpan w:val="8"/>
            <w:tcBorders>
              <w:top w:val="single" w:sz="4" w:space="0" w:color="auto"/>
              <w:left w:val="single" w:sz="4" w:space="0" w:color="auto"/>
              <w:bottom w:val="single" w:sz="4" w:space="0" w:color="auto"/>
              <w:right w:val="single" w:sz="4" w:space="0" w:color="auto"/>
            </w:tcBorders>
            <w:hideMark/>
          </w:tcPr>
          <w:p w14:paraId="4B3FB63B" w14:textId="77777777" w:rsidR="000A322C" w:rsidRPr="006F6613" w:rsidRDefault="000A322C">
            <w:pPr>
              <w:keepNext/>
              <w:suppressAutoHyphens/>
              <w:rPr>
                <w:b/>
                <w:bCs/>
                <w:sz w:val="22"/>
                <w:szCs w:val="22"/>
                <w:lang w:val="en-US"/>
              </w:rPr>
            </w:pPr>
            <w:r w:rsidRPr="006F6613">
              <w:rPr>
                <w:b/>
                <w:bCs/>
                <w:sz w:val="22"/>
                <w:szCs w:val="22"/>
                <w:lang w:val="en-US"/>
              </w:rPr>
              <w:t xml:space="preserve">LGS </w:t>
            </w:r>
            <w:proofErr w:type="spellStart"/>
            <w:r w:rsidRPr="006F6613">
              <w:rPr>
                <w:b/>
                <w:bCs/>
                <w:sz w:val="22"/>
                <w:szCs w:val="22"/>
                <w:lang w:val="en-US"/>
              </w:rPr>
              <w:t>komplet</w:t>
            </w:r>
            <w:proofErr w:type="spellEnd"/>
            <w:r w:rsidRPr="006F6613">
              <w:rPr>
                <w:b/>
                <w:bCs/>
                <w:sz w:val="22"/>
                <w:szCs w:val="22"/>
                <w:lang w:val="en-US"/>
              </w:rPr>
              <w:t xml:space="preserve"> clearing (temporal zone)</w:t>
            </w:r>
            <w:r w:rsidRPr="006F6613">
              <w:rPr>
                <w:b/>
                <w:bCs/>
                <w:sz w:val="22"/>
                <w:szCs w:val="22"/>
                <w:vertAlign w:val="superscript"/>
                <w:lang w:val="en-US"/>
              </w:rPr>
              <w:t>3</w:t>
            </w:r>
          </w:p>
        </w:tc>
      </w:tr>
      <w:tr w:rsidR="000A322C" w:rsidRPr="006F6613" w14:paraId="73FAB676" w14:textId="77777777" w:rsidTr="00475455">
        <w:tc>
          <w:tcPr>
            <w:tcW w:w="1015" w:type="pct"/>
            <w:tcBorders>
              <w:top w:val="single" w:sz="4" w:space="0" w:color="auto"/>
              <w:left w:val="single" w:sz="4" w:space="0" w:color="auto"/>
              <w:bottom w:val="single" w:sz="4" w:space="0" w:color="auto"/>
              <w:right w:val="single" w:sz="4" w:space="0" w:color="auto"/>
            </w:tcBorders>
          </w:tcPr>
          <w:p w14:paraId="10C277B4" w14:textId="77777777" w:rsidR="000A322C" w:rsidRPr="006F6613" w:rsidRDefault="000A322C">
            <w:pPr>
              <w:suppressAutoHyphens/>
              <w:jc w:val="center"/>
              <w:rPr>
                <w:sz w:val="22"/>
                <w:szCs w:val="22"/>
                <w:lang w:val="en-US"/>
              </w:rPr>
            </w:pPr>
          </w:p>
        </w:tc>
        <w:tc>
          <w:tcPr>
            <w:tcW w:w="403" w:type="pct"/>
            <w:tcBorders>
              <w:top w:val="single" w:sz="4" w:space="0" w:color="auto"/>
              <w:left w:val="single" w:sz="4" w:space="0" w:color="auto"/>
              <w:bottom w:val="single" w:sz="4" w:space="0" w:color="auto"/>
              <w:right w:val="single" w:sz="4" w:space="0" w:color="auto"/>
            </w:tcBorders>
          </w:tcPr>
          <w:p w14:paraId="0F76E519" w14:textId="77777777" w:rsidR="000A322C" w:rsidRPr="006F6613" w:rsidRDefault="000A322C">
            <w:pPr>
              <w:suppressAutoHyphens/>
              <w:jc w:val="center"/>
              <w:rPr>
                <w:sz w:val="22"/>
                <w:szCs w:val="22"/>
                <w:lang w:val="en-US"/>
              </w:rPr>
            </w:pPr>
          </w:p>
        </w:tc>
        <w:tc>
          <w:tcPr>
            <w:tcW w:w="600" w:type="pct"/>
            <w:tcBorders>
              <w:top w:val="single" w:sz="4" w:space="0" w:color="auto"/>
              <w:left w:val="single" w:sz="4" w:space="0" w:color="auto"/>
              <w:bottom w:val="single" w:sz="4" w:space="0" w:color="auto"/>
              <w:right w:val="single" w:sz="4" w:space="0" w:color="auto"/>
            </w:tcBorders>
            <w:hideMark/>
          </w:tcPr>
          <w:p w14:paraId="5F3FA61B" w14:textId="77777777" w:rsidR="000A322C" w:rsidRPr="006F6613" w:rsidRDefault="000A322C">
            <w:pPr>
              <w:suppressAutoHyphens/>
              <w:jc w:val="center"/>
              <w:rPr>
                <w:sz w:val="22"/>
                <w:szCs w:val="22"/>
              </w:rPr>
            </w:pPr>
            <w:r w:rsidRPr="006F6613">
              <w:rPr>
                <w:sz w:val="22"/>
                <w:szCs w:val="22"/>
              </w:rPr>
              <w:t>55,4 %</w:t>
            </w:r>
          </w:p>
        </w:tc>
        <w:tc>
          <w:tcPr>
            <w:tcW w:w="601" w:type="pct"/>
            <w:tcBorders>
              <w:top w:val="single" w:sz="4" w:space="0" w:color="auto"/>
              <w:left w:val="single" w:sz="4" w:space="0" w:color="auto"/>
              <w:bottom w:val="single" w:sz="4" w:space="0" w:color="auto"/>
              <w:right w:val="single" w:sz="4" w:space="0" w:color="auto"/>
            </w:tcBorders>
            <w:hideMark/>
          </w:tcPr>
          <w:p w14:paraId="27D4323A" w14:textId="77777777" w:rsidR="000A322C" w:rsidRPr="006F6613" w:rsidRDefault="000A322C">
            <w:pPr>
              <w:suppressAutoHyphens/>
              <w:jc w:val="center"/>
              <w:rPr>
                <w:sz w:val="22"/>
                <w:szCs w:val="22"/>
              </w:rPr>
            </w:pPr>
            <w:r w:rsidRPr="006F6613">
              <w:rPr>
                <w:sz w:val="22"/>
                <w:szCs w:val="22"/>
              </w:rPr>
              <w:t>37,2 %</w:t>
            </w:r>
          </w:p>
        </w:tc>
        <w:tc>
          <w:tcPr>
            <w:tcW w:w="590" w:type="pct"/>
            <w:tcBorders>
              <w:top w:val="single" w:sz="4" w:space="0" w:color="auto"/>
              <w:left w:val="single" w:sz="4" w:space="0" w:color="auto"/>
              <w:bottom w:val="single" w:sz="4" w:space="0" w:color="auto"/>
              <w:right w:val="single" w:sz="4" w:space="0" w:color="auto"/>
            </w:tcBorders>
            <w:hideMark/>
          </w:tcPr>
          <w:p w14:paraId="12979B70" w14:textId="77777777" w:rsidR="000A322C" w:rsidRPr="006F6613" w:rsidRDefault="000A322C">
            <w:pPr>
              <w:suppressAutoHyphens/>
              <w:jc w:val="center"/>
              <w:rPr>
                <w:sz w:val="22"/>
                <w:szCs w:val="22"/>
              </w:rPr>
            </w:pPr>
            <w:r w:rsidRPr="006F6613">
              <w:rPr>
                <w:sz w:val="22"/>
                <w:szCs w:val="22"/>
              </w:rPr>
              <w:t>≤ 0,0001</w:t>
            </w:r>
          </w:p>
        </w:tc>
        <w:tc>
          <w:tcPr>
            <w:tcW w:w="601" w:type="pct"/>
            <w:tcBorders>
              <w:top w:val="single" w:sz="4" w:space="0" w:color="auto"/>
              <w:left w:val="single" w:sz="4" w:space="0" w:color="auto"/>
              <w:bottom w:val="single" w:sz="4" w:space="0" w:color="auto"/>
              <w:right w:val="single" w:sz="4" w:space="0" w:color="auto"/>
            </w:tcBorders>
            <w:hideMark/>
          </w:tcPr>
          <w:p w14:paraId="5D32CC49" w14:textId="77777777" w:rsidR="000A322C" w:rsidRPr="006F6613" w:rsidRDefault="000A322C">
            <w:pPr>
              <w:suppressAutoHyphens/>
              <w:jc w:val="center"/>
              <w:rPr>
                <w:sz w:val="22"/>
                <w:szCs w:val="22"/>
              </w:rPr>
            </w:pPr>
            <w:r w:rsidRPr="006F6613">
              <w:rPr>
                <w:sz w:val="22"/>
                <w:szCs w:val="22"/>
              </w:rPr>
              <w:t>52,9 %</w:t>
            </w:r>
          </w:p>
        </w:tc>
        <w:tc>
          <w:tcPr>
            <w:tcW w:w="601" w:type="pct"/>
            <w:tcBorders>
              <w:top w:val="single" w:sz="4" w:space="0" w:color="auto"/>
              <w:left w:val="single" w:sz="4" w:space="0" w:color="auto"/>
              <w:bottom w:val="single" w:sz="4" w:space="0" w:color="auto"/>
              <w:right w:val="single" w:sz="4" w:space="0" w:color="auto"/>
            </w:tcBorders>
            <w:hideMark/>
          </w:tcPr>
          <w:p w14:paraId="00D3F9FE" w14:textId="77777777" w:rsidR="000A322C" w:rsidRPr="006F6613" w:rsidRDefault="000A322C">
            <w:pPr>
              <w:suppressAutoHyphens/>
              <w:jc w:val="center"/>
              <w:rPr>
                <w:sz w:val="22"/>
                <w:szCs w:val="22"/>
              </w:rPr>
            </w:pPr>
            <w:r w:rsidRPr="006F6613">
              <w:rPr>
                <w:sz w:val="22"/>
                <w:szCs w:val="22"/>
              </w:rPr>
              <w:t>45,6 %</w:t>
            </w:r>
          </w:p>
        </w:tc>
        <w:tc>
          <w:tcPr>
            <w:tcW w:w="590" w:type="pct"/>
            <w:tcBorders>
              <w:top w:val="single" w:sz="4" w:space="0" w:color="auto"/>
              <w:left w:val="single" w:sz="4" w:space="0" w:color="auto"/>
              <w:bottom w:val="single" w:sz="4" w:space="0" w:color="auto"/>
              <w:right w:val="single" w:sz="4" w:space="0" w:color="auto"/>
            </w:tcBorders>
            <w:hideMark/>
          </w:tcPr>
          <w:p w14:paraId="5F2A4735" w14:textId="77777777" w:rsidR="000A322C" w:rsidRPr="006F6613" w:rsidRDefault="000A322C">
            <w:pPr>
              <w:suppressAutoHyphens/>
              <w:jc w:val="center"/>
              <w:rPr>
                <w:sz w:val="22"/>
                <w:szCs w:val="22"/>
              </w:rPr>
            </w:pPr>
            <w:r w:rsidRPr="006F6613">
              <w:rPr>
                <w:sz w:val="22"/>
                <w:szCs w:val="22"/>
              </w:rPr>
              <w:t>0,0049</w:t>
            </w:r>
          </w:p>
        </w:tc>
      </w:tr>
      <w:tr w:rsidR="000A322C" w:rsidRPr="00A940BB" w14:paraId="72D69AC5" w14:textId="77777777" w:rsidTr="00475455">
        <w:tc>
          <w:tcPr>
            <w:tcW w:w="5000" w:type="pct"/>
            <w:gridSpan w:val="8"/>
            <w:tcBorders>
              <w:top w:val="single" w:sz="4" w:space="0" w:color="auto"/>
              <w:left w:val="single" w:sz="4" w:space="0" w:color="auto"/>
              <w:bottom w:val="single" w:sz="4" w:space="0" w:color="auto"/>
              <w:right w:val="single" w:sz="4" w:space="0" w:color="auto"/>
            </w:tcBorders>
            <w:hideMark/>
          </w:tcPr>
          <w:p w14:paraId="7436BBFC" w14:textId="77777777" w:rsidR="000A322C" w:rsidRPr="006F6613" w:rsidRDefault="000A322C">
            <w:pPr>
              <w:suppressAutoHyphens/>
              <w:rPr>
                <w:sz w:val="22"/>
                <w:szCs w:val="22"/>
                <w:lang w:val="en-US"/>
              </w:rPr>
            </w:pPr>
            <w:r w:rsidRPr="006F6613">
              <w:rPr>
                <w:b/>
                <w:bCs/>
                <w:sz w:val="22"/>
                <w:szCs w:val="22"/>
                <w:lang w:val="en-US"/>
              </w:rPr>
              <w:t>CFS-score total</w:t>
            </w:r>
            <w:r w:rsidRPr="006F6613">
              <w:rPr>
                <w:sz w:val="22"/>
                <w:szCs w:val="22"/>
                <w:lang w:val="en-US"/>
              </w:rPr>
              <w:t xml:space="preserve"> (</w:t>
            </w:r>
            <w:proofErr w:type="spellStart"/>
            <w:r w:rsidRPr="006F6613">
              <w:rPr>
                <w:sz w:val="22"/>
                <w:szCs w:val="22"/>
                <w:lang w:val="en-US"/>
              </w:rPr>
              <w:t>maks</w:t>
            </w:r>
            <w:proofErr w:type="spellEnd"/>
            <w:r w:rsidRPr="006F6613">
              <w:rPr>
                <w:sz w:val="22"/>
                <w:szCs w:val="22"/>
                <w:lang w:val="en-US"/>
              </w:rPr>
              <w:t>. score = 20)</w:t>
            </w:r>
          </w:p>
        </w:tc>
      </w:tr>
      <w:tr w:rsidR="000A322C" w:rsidRPr="006F6613" w14:paraId="13D36063" w14:textId="77777777" w:rsidTr="00475455">
        <w:tc>
          <w:tcPr>
            <w:tcW w:w="1015" w:type="pct"/>
            <w:vMerge w:val="restart"/>
            <w:tcBorders>
              <w:top w:val="single" w:sz="4" w:space="0" w:color="auto"/>
              <w:left w:val="single" w:sz="4" w:space="0" w:color="auto"/>
              <w:bottom w:val="single" w:sz="4" w:space="0" w:color="auto"/>
              <w:right w:val="single" w:sz="4" w:space="0" w:color="auto"/>
            </w:tcBorders>
          </w:tcPr>
          <w:p w14:paraId="2DFC6AE2" w14:textId="77777777" w:rsidR="000A322C" w:rsidRPr="006F6613" w:rsidRDefault="000A322C">
            <w:pPr>
              <w:suppressAutoHyphens/>
              <w:jc w:val="center"/>
              <w:rPr>
                <w:sz w:val="22"/>
                <w:szCs w:val="22"/>
                <w:lang w:val="da-DK"/>
              </w:rPr>
            </w:pPr>
            <w:r w:rsidRPr="006F6613">
              <w:rPr>
                <w:sz w:val="22"/>
                <w:szCs w:val="22"/>
                <w:lang w:val="da-DK"/>
              </w:rPr>
              <w:t>Gennemsnit (SD)</w:t>
            </w:r>
          </w:p>
          <w:p w14:paraId="479D288F" w14:textId="77777777" w:rsidR="000A322C" w:rsidRPr="006F6613" w:rsidRDefault="000A322C">
            <w:pPr>
              <w:suppressAutoHyphens/>
              <w:jc w:val="center"/>
              <w:rPr>
                <w:sz w:val="22"/>
                <w:szCs w:val="22"/>
                <w:lang w:val="da-DK"/>
              </w:rPr>
            </w:pPr>
          </w:p>
          <w:p w14:paraId="7329C239" w14:textId="77777777" w:rsidR="000A322C" w:rsidRPr="006F6613" w:rsidRDefault="000A322C">
            <w:pPr>
              <w:suppressAutoHyphens/>
              <w:jc w:val="center"/>
              <w:rPr>
                <w:sz w:val="22"/>
                <w:szCs w:val="22"/>
                <w:lang w:val="da-DK"/>
              </w:rPr>
            </w:pPr>
            <w:r w:rsidRPr="006F6613">
              <w:rPr>
                <w:sz w:val="22"/>
                <w:szCs w:val="22"/>
                <w:lang w:val="da-DK"/>
              </w:rPr>
              <w:t>LS-gennemsnit (SE)</w:t>
            </w:r>
          </w:p>
        </w:tc>
        <w:tc>
          <w:tcPr>
            <w:tcW w:w="403" w:type="pct"/>
            <w:tcBorders>
              <w:top w:val="single" w:sz="4" w:space="0" w:color="auto"/>
              <w:left w:val="single" w:sz="4" w:space="0" w:color="auto"/>
              <w:bottom w:val="single" w:sz="4" w:space="0" w:color="auto"/>
              <w:right w:val="single" w:sz="4" w:space="0" w:color="auto"/>
            </w:tcBorders>
            <w:hideMark/>
          </w:tcPr>
          <w:p w14:paraId="240D0177" w14:textId="77777777" w:rsidR="000A322C" w:rsidRPr="006F6613" w:rsidRDefault="000A322C">
            <w:pPr>
              <w:suppressAutoHyphens/>
              <w:jc w:val="center"/>
              <w:rPr>
                <w:sz w:val="22"/>
                <w:szCs w:val="22"/>
              </w:rPr>
            </w:pPr>
            <w:r w:rsidRPr="006F6613">
              <w:rPr>
                <w:sz w:val="22"/>
                <w:szCs w:val="22"/>
              </w:rPr>
              <w:t>B/L</w:t>
            </w:r>
          </w:p>
        </w:tc>
        <w:tc>
          <w:tcPr>
            <w:tcW w:w="600" w:type="pct"/>
            <w:tcBorders>
              <w:top w:val="single" w:sz="4" w:space="0" w:color="auto"/>
              <w:left w:val="single" w:sz="4" w:space="0" w:color="auto"/>
              <w:bottom w:val="single" w:sz="4" w:space="0" w:color="auto"/>
              <w:right w:val="single" w:sz="4" w:space="0" w:color="auto"/>
            </w:tcBorders>
            <w:hideMark/>
          </w:tcPr>
          <w:p w14:paraId="21FDF658" w14:textId="77777777" w:rsidR="000A322C" w:rsidRPr="006F6613" w:rsidRDefault="000A322C">
            <w:pPr>
              <w:suppressAutoHyphens/>
              <w:jc w:val="center"/>
              <w:rPr>
                <w:sz w:val="22"/>
                <w:szCs w:val="22"/>
              </w:rPr>
            </w:pPr>
            <w:r w:rsidRPr="006F6613">
              <w:rPr>
                <w:sz w:val="22"/>
                <w:szCs w:val="22"/>
              </w:rPr>
              <w:t>4,40</w:t>
            </w:r>
          </w:p>
          <w:p w14:paraId="26E045B8" w14:textId="77777777" w:rsidR="000A322C" w:rsidRPr="006F6613" w:rsidRDefault="000A322C">
            <w:pPr>
              <w:suppressAutoHyphens/>
              <w:jc w:val="center"/>
              <w:rPr>
                <w:sz w:val="22"/>
                <w:szCs w:val="22"/>
              </w:rPr>
            </w:pPr>
            <w:r w:rsidRPr="006F6613">
              <w:rPr>
                <w:sz w:val="22"/>
                <w:szCs w:val="22"/>
              </w:rPr>
              <w:t>(2,847)</w:t>
            </w:r>
          </w:p>
        </w:tc>
        <w:tc>
          <w:tcPr>
            <w:tcW w:w="601" w:type="pct"/>
            <w:tcBorders>
              <w:top w:val="single" w:sz="4" w:space="0" w:color="auto"/>
              <w:left w:val="single" w:sz="4" w:space="0" w:color="auto"/>
              <w:bottom w:val="single" w:sz="4" w:space="0" w:color="auto"/>
              <w:right w:val="single" w:sz="4" w:space="0" w:color="auto"/>
            </w:tcBorders>
            <w:hideMark/>
          </w:tcPr>
          <w:p w14:paraId="04DF5CB8" w14:textId="77777777" w:rsidR="000A322C" w:rsidRPr="006F6613" w:rsidRDefault="000A322C">
            <w:pPr>
              <w:suppressAutoHyphens/>
              <w:jc w:val="center"/>
              <w:rPr>
                <w:sz w:val="22"/>
                <w:szCs w:val="22"/>
              </w:rPr>
            </w:pPr>
            <w:r w:rsidRPr="006F6613">
              <w:rPr>
                <w:sz w:val="22"/>
                <w:szCs w:val="22"/>
              </w:rPr>
              <w:t>4,42</w:t>
            </w:r>
          </w:p>
          <w:p w14:paraId="07F4AD27" w14:textId="77777777" w:rsidR="000A322C" w:rsidRPr="006F6613" w:rsidRDefault="000A322C">
            <w:pPr>
              <w:suppressAutoHyphens/>
              <w:jc w:val="center"/>
              <w:rPr>
                <w:sz w:val="22"/>
                <w:szCs w:val="22"/>
              </w:rPr>
            </w:pPr>
            <w:r w:rsidRPr="006F6613">
              <w:rPr>
                <w:sz w:val="22"/>
                <w:szCs w:val="22"/>
              </w:rPr>
              <w:t>(2,636)</w:t>
            </w:r>
          </w:p>
        </w:tc>
        <w:tc>
          <w:tcPr>
            <w:tcW w:w="590" w:type="pct"/>
            <w:tcBorders>
              <w:top w:val="single" w:sz="4" w:space="0" w:color="auto"/>
              <w:left w:val="single" w:sz="4" w:space="0" w:color="auto"/>
              <w:bottom w:val="single" w:sz="4" w:space="0" w:color="auto"/>
              <w:right w:val="single" w:sz="4" w:space="0" w:color="auto"/>
            </w:tcBorders>
          </w:tcPr>
          <w:p w14:paraId="50A36E62" w14:textId="77777777" w:rsidR="000A322C" w:rsidRPr="006F6613" w:rsidRDefault="000A322C">
            <w:pPr>
              <w:suppressAutoHyphens/>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hideMark/>
          </w:tcPr>
          <w:p w14:paraId="28CE8ECD" w14:textId="77777777" w:rsidR="000A322C" w:rsidRPr="006F6613" w:rsidRDefault="000A322C">
            <w:pPr>
              <w:suppressAutoHyphens/>
              <w:jc w:val="center"/>
              <w:rPr>
                <w:sz w:val="22"/>
                <w:szCs w:val="22"/>
              </w:rPr>
            </w:pPr>
            <w:r w:rsidRPr="006F6613">
              <w:rPr>
                <w:sz w:val="22"/>
                <w:szCs w:val="22"/>
              </w:rPr>
              <w:t>4,06</w:t>
            </w:r>
          </w:p>
          <w:p w14:paraId="17492937" w14:textId="77777777" w:rsidR="000A322C" w:rsidRPr="006F6613" w:rsidRDefault="000A322C">
            <w:pPr>
              <w:suppressAutoHyphens/>
              <w:jc w:val="center"/>
              <w:rPr>
                <w:sz w:val="22"/>
                <w:szCs w:val="22"/>
              </w:rPr>
            </w:pPr>
            <w:r w:rsidRPr="006F6613">
              <w:rPr>
                <w:sz w:val="22"/>
                <w:szCs w:val="22"/>
              </w:rPr>
              <w:t>(2,374)</w:t>
            </w:r>
          </w:p>
        </w:tc>
        <w:tc>
          <w:tcPr>
            <w:tcW w:w="601" w:type="pct"/>
            <w:tcBorders>
              <w:top w:val="single" w:sz="4" w:space="0" w:color="auto"/>
              <w:left w:val="single" w:sz="4" w:space="0" w:color="auto"/>
              <w:bottom w:val="single" w:sz="4" w:space="0" w:color="auto"/>
              <w:right w:val="single" w:sz="4" w:space="0" w:color="auto"/>
            </w:tcBorders>
            <w:hideMark/>
          </w:tcPr>
          <w:p w14:paraId="6CBED52E" w14:textId="77777777" w:rsidR="000A322C" w:rsidRPr="006F6613" w:rsidRDefault="000A322C">
            <w:pPr>
              <w:suppressAutoHyphens/>
              <w:jc w:val="center"/>
              <w:rPr>
                <w:sz w:val="22"/>
                <w:szCs w:val="22"/>
              </w:rPr>
            </w:pPr>
            <w:r w:rsidRPr="006F6613">
              <w:rPr>
                <w:sz w:val="22"/>
                <w:szCs w:val="22"/>
              </w:rPr>
              <w:t>4.30</w:t>
            </w:r>
          </w:p>
          <w:p w14:paraId="70053A5F" w14:textId="77777777" w:rsidR="000A322C" w:rsidRPr="006F6613" w:rsidRDefault="000A322C">
            <w:pPr>
              <w:suppressAutoHyphens/>
              <w:jc w:val="center"/>
              <w:rPr>
                <w:sz w:val="22"/>
                <w:szCs w:val="22"/>
              </w:rPr>
            </w:pPr>
            <w:r w:rsidRPr="006F6613">
              <w:rPr>
                <w:sz w:val="22"/>
                <w:szCs w:val="22"/>
              </w:rPr>
              <w:t>(2,650)</w:t>
            </w:r>
          </w:p>
        </w:tc>
        <w:tc>
          <w:tcPr>
            <w:tcW w:w="590" w:type="pct"/>
            <w:tcBorders>
              <w:top w:val="single" w:sz="4" w:space="0" w:color="auto"/>
              <w:left w:val="single" w:sz="4" w:space="0" w:color="auto"/>
              <w:bottom w:val="single" w:sz="4" w:space="0" w:color="auto"/>
              <w:right w:val="single" w:sz="4" w:space="0" w:color="auto"/>
            </w:tcBorders>
          </w:tcPr>
          <w:p w14:paraId="139D47AC" w14:textId="77777777" w:rsidR="000A322C" w:rsidRPr="006F6613" w:rsidRDefault="000A322C">
            <w:pPr>
              <w:suppressAutoHyphens/>
              <w:jc w:val="center"/>
              <w:rPr>
                <w:sz w:val="22"/>
                <w:szCs w:val="22"/>
              </w:rPr>
            </w:pPr>
          </w:p>
        </w:tc>
      </w:tr>
      <w:tr w:rsidR="000A322C" w:rsidRPr="006F6613" w14:paraId="56C51404" w14:textId="77777777" w:rsidTr="00475455">
        <w:tc>
          <w:tcPr>
            <w:tcW w:w="1015" w:type="pct"/>
            <w:vMerge/>
            <w:tcBorders>
              <w:top w:val="single" w:sz="4" w:space="0" w:color="auto"/>
              <w:left w:val="single" w:sz="4" w:space="0" w:color="auto"/>
              <w:bottom w:val="single" w:sz="4" w:space="0" w:color="auto"/>
              <w:right w:val="single" w:sz="4" w:space="0" w:color="auto"/>
            </w:tcBorders>
            <w:vAlign w:val="center"/>
            <w:hideMark/>
          </w:tcPr>
          <w:p w14:paraId="2F2573B5" w14:textId="77777777" w:rsidR="000A322C" w:rsidRPr="006F6613" w:rsidRDefault="000A322C">
            <w:pPr>
              <w:rPr>
                <w:sz w:val="22"/>
                <w:szCs w:val="22"/>
              </w:rPr>
            </w:pPr>
          </w:p>
        </w:tc>
        <w:tc>
          <w:tcPr>
            <w:tcW w:w="403" w:type="pct"/>
            <w:tcBorders>
              <w:top w:val="single" w:sz="4" w:space="0" w:color="auto"/>
              <w:left w:val="single" w:sz="4" w:space="0" w:color="auto"/>
              <w:bottom w:val="single" w:sz="4" w:space="0" w:color="auto"/>
              <w:right w:val="single" w:sz="4" w:space="0" w:color="auto"/>
            </w:tcBorders>
            <w:hideMark/>
          </w:tcPr>
          <w:p w14:paraId="4AD4B401" w14:textId="77777777" w:rsidR="000A322C" w:rsidRPr="006F6613" w:rsidRDefault="000A322C">
            <w:pPr>
              <w:suppressAutoHyphens/>
              <w:jc w:val="center"/>
              <w:rPr>
                <w:sz w:val="22"/>
                <w:szCs w:val="22"/>
              </w:rPr>
            </w:pPr>
            <w:r w:rsidRPr="006F6613">
              <w:rPr>
                <w:sz w:val="22"/>
                <w:szCs w:val="22"/>
              </w:rPr>
              <w:t>Δ B/L</w:t>
            </w:r>
          </w:p>
        </w:tc>
        <w:tc>
          <w:tcPr>
            <w:tcW w:w="600" w:type="pct"/>
            <w:tcBorders>
              <w:top w:val="single" w:sz="4" w:space="0" w:color="auto"/>
              <w:left w:val="single" w:sz="4" w:space="0" w:color="auto"/>
              <w:bottom w:val="single" w:sz="4" w:space="0" w:color="auto"/>
              <w:right w:val="single" w:sz="4" w:space="0" w:color="auto"/>
            </w:tcBorders>
            <w:hideMark/>
          </w:tcPr>
          <w:p w14:paraId="5D0A6E9E" w14:textId="77777777" w:rsidR="000A322C" w:rsidRPr="006F6613" w:rsidRDefault="000A322C">
            <w:pPr>
              <w:suppressAutoHyphens/>
              <w:jc w:val="center"/>
              <w:rPr>
                <w:sz w:val="22"/>
                <w:szCs w:val="22"/>
              </w:rPr>
            </w:pPr>
            <w:r w:rsidRPr="006F6613">
              <w:rPr>
                <w:sz w:val="22"/>
                <w:szCs w:val="22"/>
              </w:rPr>
              <w:t>-1.33</w:t>
            </w:r>
          </w:p>
          <w:p w14:paraId="74427E95" w14:textId="77777777" w:rsidR="000A322C" w:rsidRPr="006F6613" w:rsidRDefault="000A322C">
            <w:pPr>
              <w:suppressAutoHyphens/>
              <w:jc w:val="center"/>
              <w:rPr>
                <w:sz w:val="22"/>
                <w:szCs w:val="22"/>
              </w:rPr>
            </w:pPr>
            <w:r w:rsidRPr="006F6613">
              <w:rPr>
                <w:sz w:val="22"/>
                <w:szCs w:val="22"/>
              </w:rPr>
              <w:t>(0,149)</w:t>
            </w:r>
          </w:p>
        </w:tc>
        <w:tc>
          <w:tcPr>
            <w:tcW w:w="601" w:type="pct"/>
            <w:tcBorders>
              <w:top w:val="single" w:sz="4" w:space="0" w:color="auto"/>
              <w:left w:val="single" w:sz="4" w:space="0" w:color="auto"/>
              <w:bottom w:val="single" w:sz="4" w:space="0" w:color="auto"/>
              <w:right w:val="single" w:sz="4" w:space="0" w:color="auto"/>
            </w:tcBorders>
            <w:hideMark/>
          </w:tcPr>
          <w:p w14:paraId="35FF1C81" w14:textId="77777777" w:rsidR="000A322C" w:rsidRPr="006F6613" w:rsidRDefault="000A322C">
            <w:pPr>
              <w:suppressAutoHyphens/>
              <w:jc w:val="center"/>
              <w:rPr>
                <w:sz w:val="22"/>
                <w:szCs w:val="22"/>
              </w:rPr>
            </w:pPr>
            <w:r w:rsidRPr="006F6613">
              <w:rPr>
                <w:sz w:val="22"/>
                <w:szCs w:val="22"/>
              </w:rPr>
              <w:t>-0.43</w:t>
            </w:r>
          </w:p>
          <w:p w14:paraId="16F55CCE" w14:textId="77777777" w:rsidR="000A322C" w:rsidRPr="006F6613" w:rsidRDefault="000A322C">
            <w:pPr>
              <w:suppressAutoHyphens/>
              <w:jc w:val="center"/>
              <w:rPr>
                <w:sz w:val="22"/>
                <w:szCs w:val="22"/>
              </w:rPr>
            </w:pPr>
            <w:r w:rsidRPr="006F6613">
              <w:rPr>
                <w:sz w:val="22"/>
                <w:szCs w:val="22"/>
              </w:rPr>
              <w:t>(0,147)</w:t>
            </w:r>
          </w:p>
        </w:tc>
        <w:tc>
          <w:tcPr>
            <w:tcW w:w="590" w:type="pct"/>
            <w:tcBorders>
              <w:top w:val="single" w:sz="4" w:space="0" w:color="auto"/>
              <w:left w:val="single" w:sz="4" w:space="0" w:color="auto"/>
              <w:bottom w:val="single" w:sz="4" w:space="0" w:color="auto"/>
              <w:right w:val="single" w:sz="4" w:space="0" w:color="auto"/>
            </w:tcBorders>
            <w:hideMark/>
          </w:tcPr>
          <w:p w14:paraId="5DF5F971" w14:textId="77777777" w:rsidR="000A322C" w:rsidRPr="006F6613" w:rsidRDefault="000A322C">
            <w:pPr>
              <w:suppressAutoHyphens/>
              <w:jc w:val="center"/>
              <w:rPr>
                <w:sz w:val="22"/>
                <w:szCs w:val="22"/>
              </w:rPr>
            </w:pPr>
            <w:r w:rsidRPr="006F6613">
              <w:rPr>
                <w:sz w:val="22"/>
                <w:szCs w:val="22"/>
              </w:rPr>
              <w:t>&lt; 0,0001</w:t>
            </w:r>
          </w:p>
        </w:tc>
        <w:tc>
          <w:tcPr>
            <w:tcW w:w="601" w:type="pct"/>
            <w:tcBorders>
              <w:top w:val="single" w:sz="4" w:space="0" w:color="auto"/>
              <w:left w:val="single" w:sz="4" w:space="0" w:color="auto"/>
              <w:bottom w:val="single" w:sz="4" w:space="0" w:color="auto"/>
              <w:right w:val="single" w:sz="4" w:space="0" w:color="auto"/>
            </w:tcBorders>
            <w:hideMark/>
          </w:tcPr>
          <w:p w14:paraId="406F3D24" w14:textId="77777777" w:rsidR="000A322C" w:rsidRPr="006F6613" w:rsidRDefault="000A322C">
            <w:pPr>
              <w:suppressAutoHyphens/>
              <w:jc w:val="center"/>
              <w:rPr>
                <w:sz w:val="22"/>
                <w:szCs w:val="22"/>
              </w:rPr>
            </w:pPr>
            <w:r w:rsidRPr="006F6613">
              <w:rPr>
                <w:sz w:val="22"/>
                <w:szCs w:val="22"/>
              </w:rPr>
              <w:t>-1,47</w:t>
            </w:r>
          </w:p>
          <w:p w14:paraId="068966CC" w14:textId="77777777" w:rsidR="000A322C" w:rsidRPr="006F6613" w:rsidRDefault="000A322C">
            <w:pPr>
              <w:suppressAutoHyphens/>
              <w:jc w:val="center"/>
              <w:rPr>
                <w:sz w:val="22"/>
                <w:szCs w:val="22"/>
              </w:rPr>
            </w:pPr>
            <w:r w:rsidRPr="006F6613">
              <w:rPr>
                <w:sz w:val="22"/>
                <w:szCs w:val="22"/>
              </w:rPr>
              <w:t>(0,075)</w:t>
            </w:r>
          </w:p>
        </w:tc>
        <w:tc>
          <w:tcPr>
            <w:tcW w:w="601" w:type="pct"/>
            <w:tcBorders>
              <w:top w:val="single" w:sz="4" w:space="0" w:color="auto"/>
              <w:left w:val="single" w:sz="4" w:space="0" w:color="auto"/>
              <w:bottom w:val="single" w:sz="4" w:space="0" w:color="auto"/>
              <w:right w:val="single" w:sz="4" w:space="0" w:color="auto"/>
            </w:tcBorders>
            <w:hideMark/>
          </w:tcPr>
          <w:p w14:paraId="603955FB" w14:textId="77777777" w:rsidR="000A322C" w:rsidRPr="006F6613" w:rsidRDefault="000A322C">
            <w:pPr>
              <w:suppressAutoHyphens/>
              <w:jc w:val="center"/>
              <w:rPr>
                <w:sz w:val="22"/>
                <w:szCs w:val="22"/>
              </w:rPr>
            </w:pPr>
            <w:r w:rsidRPr="006F6613">
              <w:rPr>
                <w:sz w:val="22"/>
                <w:szCs w:val="22"/>
              </w:rPr>
              <w:t>-1,11</w:t>
            </w:r>
          </w:p>
          <w:p w14:paraId="12A46F07" w14:textId="77777777" w:rsidR="000A322C" w:rsidRPr="006F6613" w:rsidRDefault="000A322C">
            <w:pPr>
              <w:suppressAutoHyphens/>
              <w:jc w:val="center"/>
              <w:rPr>
                <w:sz w:val="22"/>
                <w:szCs w:val="22"/>
              </w:rPr>
            </w:pPr>
            <w:r w:rsidRPr="006F6613">
              <w:rPr>
                <w:sz w:val="22"/>
                <w:szCs w:val="22"/>
              </w:rPr>
              <w:t>(0,074)</w:t>
            </w:r>
          </w:p>
        </w:tc>
        <w:tc>
          <w:tcPr>
            <w:tcW w:w="590" w:type="pct"/>
            <w:tcBorders>
              <w:top w:val="single" w:sz="4" w:space="0" w:color="auto"/>
              <w:left w:val="single" w:sz="4" w:space="0" w:color="auto"/>
              <w:bottom w:val="single" w:sz="4" w:space="0" w:color="auto"/>
              <w:right w:val="single" w:sz="4" w:space="0" w:color="auto"/>
            </w:tcBorders>
            <w:hideMark/>
          </w:tcPr>
          <w:p w14:paraId="49442826" w14:textId="77777777" w:rsidR="000A322C" w:rsidRPr="006F6613" w:rsidRDefault="000A322C">
            <w:pPr>
              <w:suppressAutoHyphens/>
              <w:jc w:val="center"/>
              <w:rPr>
                <w:sz w:val="22"/>
                <w:szCs w:val="22"/>
              </w:rPr>
            </w:pPr>
            <w:r w:rsidRPr="006F6613">
              <w:rPr>
                <w:sz w:val="22"/>
                <w:szCs w:val="22"/>
              </w:rPr>
              <w:t>0,0007</w:t>
            </w:r>
          </w:p>
        </w:tc>
      </w:tr>
      <w:tr w:rsidR="000A322C" w:rsidRPr="00A940BB" w14:paraId="7E8CDBE0" w14:textId="77777777" w:rsidTr="00475455">
        <w:tc>
          <w:tcPr>
            <w:tcW w:w="5000" w:type="pct"/>
            <w:gridSpan w:val="8"/>
            <w:tcBorders>
              <w:top w:val="single" w:sz="4" w:space="0" w:color="auto"/>
              <w:left w:val="single" w:sz="4" w:space="0" w:color="auto"/>
              <w:bottom w:val="single" w:sz="4" w:space="0" w:color="auto"/>
              <w:right w:val="single" w:sz="4" w:space="0" w:color="auto"/>
            </w:tcBorders>
            <w:hideMark/>
          </w:tcPr>
          <w:p w14:paraId="619DD1F7" w14:textId="77777777" w:rsidR="000A322C" w:rsidRPr="006F6613" w:rsidRDefault="000A322C">
            <w:pPr>
              <w:suppressAutoHyphens/>
              <w:rPr>
                <w:sz w:val="22"/>
                <w:szCs w:val="22"/>
                <w:lang w:val="en-US"/>
              </w:rPr>
            </w:pPr>
            <w:r w:rsidRPr="006F6613">
              <w:rPr>
                <w:b/>
                <w:bCs/>
                <w:sz w:val="22"/>
                <w:szCs w:val="22"/>
                <w:lang w:val="en-US"/>
              </w:rPr>
              <w:t>CFS-score central</w:t>
            </w:r>
            <w:r w:rsidRPr="006F6613">
              <w:rPr>
                <w:sz w:val="22"/>
                <w:szCs w:val="22"/>
                <w:lang w:val="en-US"/>
              </w:rPr>
              <w:t xml:space="preserve"> (</w:t>
            </w:r>
            <w:proofErr w:type="spellStart"/>
            <w:r w:rsidRPr="006F6613">
              <w:rPr>
                <w:sz w:val="22"/>
                <w:szCs w:val="22"/>
                <w:lang w:val="en-US"/>
              </w:rPr>
              <w:t>maks</w:t>
            </w:r>
            <w:proofErr w:type="spellEnd"/>
            <w:r w:rsidRPr="006F6613">
              <w:rPr>
                <w:sz w:val="22"/>
                <w:szCs w:val="22"/>
                <w:lang w:val="en-US"/>
              </w:rPr>
              <w:t>. score = 4)</w:t>
            </w:r>
          </w:p>
        </w:tc>
      </w:tr>
      <w:tr w:rsidR="000A322C" w:rsidRPr="006F6613" w14:paraId="5F6583E9" w14:textId="77777777" w:rsidTr="00475455">
        <w:tc>
          <w:tcPr>
            <w:tcW w:w="1015" w:type="pct"/>
            <w:vMerge w:val="restart"/>
            <w:tcBorders>
              <w:top w:val="single" w:sz="4" w:space="0" w:color="auto"/>
              <w:left w:val="single" w:sz="4" w:space="0" w:color="auto"/>
              <w:bottom w:val="single" w:sz="4" w:space="0" w:color="auto"/>
              <w:right w:val="single" w:sz="4" w:space="0" w:color="auto"/>
            </w:tcBorders>
          </w:tcPr>
          <w:p w14:paraId="7CDC16D5" w14:textId="77777777" w:rsidR="000A322C" w:rsidRPr="006F6613" w:rsidRDefault="000A322C">
            <w:pPr>
              <w:suppressAutoHyphens/>
              <w:jc w:val="center"/>
              <w:rPr>
                <w:sz w:val="22"/>
                <w:szCs w:val="22"/>
                <w:lang w:val="da-DK"/>
              </w:rPr>
            </w:pPr>
            <w:r w:rsidRPr="006F6613">
              <w:rPr>
                <w:sz w:val="22"/>
                <w:szCs w:val="22"/>
                <w:lang w:val="da-DK"/>
              </w:rPr>
              <w:t>Gennemsnit (SD)</w:t>
            </w:r>
          </w:p>
          <w:p w14:paraId="2264F054" w14:textId="77777777" w:rsidR="000A322C" w:rsidRPr="006F6613" w:rsidRDefault="000A322C">
            <w:pPr>
              <w:suppressAutoHyphens/>
              <w:jc w:val="center"/>
              <w:rPr>
                <w:sz w:val="22"/>
                <w:szCs w:val="22"/>
                <w:lang w:val="da-DK"/>
              </w:rPr>
            </w:pPr>
          </w:p>
          <w:p w14:paraId="15647F3D" w14:textId="77777777" w:rsidR="000A322C" w:rsidRPr="006F6613" w:rsidRDefault="000A322C">
            <w:pPr>
              <w:suppressAutoHyphens/>
              <w:jc w:val="center"/>
              <w:rPr>
                <w:sz w:val="22"/>
                <w:szCs w:val="22"/>
                <w:lang w:val="da-DK"/>
              </w:rPr>
            </w:pPr>
            <w:r w:rsidRPr="006F6613">
              <w:rPr>
                <w:sz w:val="22"/>
                <w:szCs w:val="22"/>
                <w:lang w:val="da-DK"/>
              </w:rPr>
              <w:t>LS-gennemsnit (SE)</w:t>
            </w:r>
          </w:p>
        </w:tc>
        <w:tc>
          <w:tcPr>
            <w:tcW w:w="403" w:type="pct"/>
            <w:tcBorders>
              <w:top w:val="single" w:sz="4" w:space="0" w:color="auto"/>
              <w:left w:val="single" w:sz="4" w:space="0" w:color="auto"/>
              <w:bottom w:val="single" w:sz="4" w:space="0" w:color="auto"/>
              <w:right w:val="single" w:sz="4" w:space="0" w:color="auto"/>
            </w:tcBorders>
            <w:hideMark/>
          </w:tcPr>
          <w:p w14:paraId="4B720DE4" w14:textId="77777777" w:rsidR="000A322C" w:rsidRPr="006F6613" w:rsidRDefault="000A322C">
            <w:pPr>
              <w:suppressAutoHyphens/>
              <w:jc w:val="center"/>
              <w:rPr>
                <w:sz w:val="22"/>
                <w:szCs w:val="22"/>
              </w:rPr>
            </w:pPr>
            <w:r w:rsidRPr="006F6613">
              <w:rPr>
                <w:sz w:val="22"/>
                <w:szCs w:val="22"/>
              </w:rPr>
              <w:t>B/L</w:t>
            </w:r>
          </w:p>
        </w:tc>
        <w:tc>
          <w:tcPr>
            <w:tcW w:w="600" w:type="pct"/>
            <w:tcBorders>
              <w:top w:val="single" w:sz="4" w:space="0" w:color="auto"/>
              <w:left w:val="single" w:sz="4" w:space="0" w:color="auto"/>
              <w:bottom w:val="single" w:sz="4" w:space="0" w:color="auto"/>
              <w:right w:val="single" w:sz="4" w:space="0" w:color="auto"/>
            </w:tcBorders>
            <w:hideMark/>
          </w:tcPr>
          <w:p w14:paraId="718BCFA6" w14:textId="77777777" w:rsidR="000A322C" w:rsidRPr="006F6613" w:rsidRDefault="000A322C">
            <w:pPr>
              <w:suppressAutoHyphens/>
              <w:jc w:val="center"/>
              <w:rPr>
                <w:sz w:val="22"/>
                <w:szCs w:val="22"/>
              </w:rPr>
            </w:pPr>
            <w:r w:rsidRPr="006F6613">
              <w:rPr>
                <w:sz w:val="22"/>
                <w:szCs w:val="22"/>
              </w:rPr>
              <w:t>0,76</w:t>
            </w:r>
          </w:p>
          <w:p w14:paraId="1BA9FBC2" w14:textId="77777777" w:rsidR="000A322C" w:rsidRPr="006F6613" w:rsidRDefault="000A322C">
            <w:pPr>
              <w:suppressAutoHyphens/>
              <w:jc w:val="center"/>
              <w:rPr>
                <w:sz w:val="22"/>
                <w:szCs w:val="22"/>
              </w:rPr>
            </w:pPr>
            <w:r w:rsidRPr="006F6613">
              <w:rPr>
                <w:sz w:val="22"/>
                <w:szCs w:val="22"/>
              </w:rPr>
              <w:t>(0,708)</w:t>
            </w:r>
          </w:p>
        </w:tc>
        <w:tc>
          <w:tcPr>
            <w:tcW w:w="601" w:type="pct"/>
            <w:tcBorders>
              <w:top w:val="single" w:sz="4" w:space="0" w:color="auto"/>
              <w:left w:val="single" w:sz="4" w:space="0" w:color="auto"/>
              <w:bottom w:val="single" w:sz="4" w:space="0" w:color="auto"/>
              <w:right w:val="single" w:sz="4" w:space="0" w:color="auto"/>
            </w:tcBorders>
            <w:hideMark/>
          </w:tcPr>
          <w:p w14:paraId="632BFD0B" w14:textId="77777777" w:rsidR="000A322C" w:rsidRPr="006F6613" w:rsidRDefault="000A322C">
            <w:pPr>
              <w:suppressAutoHyphens/>
              <w:jc w:val="center"/>
              <w:rPr>
                <w:sz w:val="22"/>
                <w:szCs w:val="22"/>
              </w:rPr>
            </w:pPr>
            <w:r w:rsidRPr="006F6613">
              <w:rPr>
                <w:sz w:val="22"/>
                <w:szCs w:val="22"/>
              </w:rPr>
              <w:t>0,75</w:t>
            </w:r>
          </w:p>
          <w:p w14:paraId="29977859" w14:textId="77777777" w:rsidR="000A322C" w:rsidRPr="006F6613" w:rsidRDefault="000A322C">
            <w:pPr>
              <w:suppressAutoHyphens/>
              <w:jc w:val="center"/>
              <w:rPr>
                <w:sz w:val="22"/>
                <w:szCs w:val="22"/>
              </w:rPr>
            </w:pPr>
            <w:r w:rsidRPr="006F6613">
              <w:rPr>
                <w:sz w:val="22"/>
                <w:szCs w:val="22"/>
              </w:rPr>
              <w:t>(0,704)</w:t>
            </w:r>
          </w:p>
        </w:tc>
        <w:tc>
          <w:tcPr>
            <w:tcW w:w="590" w:type="pct"/>
            <w:tcBorders>
              <w:top w:val="single" w:sz="4" w:space="0" w:color="auto"/>
              <w:left w:val="single" w:sz="4" w:space="0" w:color="auto"/>
              <w:bottom w:val="single" w:sz="4" w:space="0" w:color="auto"/>
              <w:right w:val="single" w:sz="4" w:space="0" w:color="auto"/>
            </w:tcBorders>
          </w:tcPr>
          <w:p w14:paraId="32F0B0A5" w14:textId="77777777" w:rsidR="000A322C" w:rsidRPr="006F6613" w:rsidRDefault="000A322C">
            <w:pPr>
              <w:suppressAutoHyphens/>
              <w:jc w:val="center"/>
              <w:rPr>
                <w:sz w:val="22"/>
                <w:szCs w:val="22"/>
              </w:rPr>
            </w:pPr>
          </w:p>
        </w:tc>
        <w:tc>
          <w:tcPr>
            <w:tcW w:w="601" w:type="pct"/>
            <w:tcBorders>
              <w:top w:val="single" w:sz="4" w:space="0" w:color="auto"/>
              <w:left w:val="single" w:sz="4" w:space="0" w:color="auto"/>
              <w:bottom w:val="single" w:sz="4" w:space="0" w:color="auto"/>
              <w:right w:val="single" w:sz="4" w:space="0" w:color="auto"/>
            </w:tcBorders>
            <w:hideMark/>
          </w:tcPr>
          <w:p w14:paraId="56B57A43" w14:textId="77777777" w:rsidR="000A322C" w:rsidRPr="006F6613" w:rsidRDefault="000A322C">
            <w:pPr>
              <w:suppressAutoHyphens/>
              <w:jc w:val="center"/>
              <w:rPr>
                <w:sz w:val="22"/>
                <w:szCs w:val="22"/>
              </w:rPr>
            </w:pPr>
            <w:r w:rsidRPr="006F6613">
              <w:rPr>
                <w:sz w:val="22"/>
                <w:szCs w:val="22"/>
              </w:rPr>
              <w:t>0,60</w:t>
            </w:r>
          </w:p>
          <w:p w14:paraId="0B2051C2" w14:textId="77777777" w:rsidR="000A322C" w:rsidRPr="006F6613" w:rsidRDefault="000A322C">
            <w:pPr>
              <w:suppressAutoHyphens/>
              <w:jc w:val="center"/>
              <w:rPr>
                <w:sz w:val="22"/>
                <w:szCs w:val="22"/>
              </w:rPr>
            </w:pPr>
            <w:r w:rsidRPr="006F6613">
              <w:rPr>
                <w:sz w:val="22"/>
                <w:szCs w:val="22"/>
              </w:rPr>
              <w:t>(0,597)</w:t>
            </w:r>
          </w:p>
        </w:tc>
        <w:tc>
          <w:tcPr>
            <w:tcW w:w="601" w:type="pct"/>
            <w:tcBorders>
              <w:top w:val="single" w:sz="4" w:space="0" w:color="auto"/>
              <w:left w:val="single" w:sz="4" w:space="0" w:color="auto"/>
              <w:bottom w:val="single" w:sz="4" w:space="0" w:color="auto"/>
              <w:right w:val="single" w:sz="4" w:space="0" w:color="auto"/>
            </w:tcBorders>
            <w:hideMark/>
          </w:tcPr>
          <w:p w14:paraId="71ED24CA" w14:textId="77777777" w:rsidR="000A322C" w:rsidRPr="006F6613" w:rsidRDefault="000A322C">
            <w:pPr>
              <w:suppressAutoHyphens/>
              <w:jc w:val="center"/>
              <w:rPr>
                <w:sz w:val="22"/>
                <w:szCs w:val="22"/>
              </w:rPr>
            </w:pPr>
            <w:r w:rsidRPr="006F6613">
              <w:rPr>
                <w:sz w:val="22"/>
                <w:szCs w:val="22"/>
              </w:rPr>
              <w:t>0.69</w:t>
            </w:r>
          </w:p>
          <w:p w14:paraId="31A944C2" w14:textId="77777777" w:rsidR="000A322C" w:rsidRPr="006F6613" w:rsidRDefault="000A322C">
            <w:pPr>
              <w:suppressAutoHyphens/>
              <w:jc w:val="center"/>
              <w:rPr>
                <w:sz w:val="22"/>
                <w:szCs w:val="22"/>
              </w:rPr>
            </w:pPr>
            <w:r w:rsidRPr="006F6613">
              <w:rPr>
                <w:sz w:val="22"/>
                <w:szCs w:val="22"/>
              </w:rPr>
              <w:t>(0,705)</w:t>
            </w:r>
          </w:p>
        </w:tc>
        <w:tc>
          <w:tcPr>
            <w:tcW w:w="590" w:type="pct"/>
            <w:tcBorders>
              <w:top w:val="single" w:sz="4" w:space="0" w:color="auto"/>
              <w:left w:val="single" w:sz="4" w:space="0" w:color="auto"/>
              <w:bottom w:val="single" w:sz="4" w:space="0" w:color="auto"/>
              <w:right w:val="single" w:sz="4" w:space="0" w:color="auto"/>
            </w:tcBorders>
          </w:tcPr>
          <w:p w14:paraId="45BF8531" w14:textId="77777777" w:rsidR="000A322C" w:rsidRPr="006F6613" w:rsidRDefault="000A322C">
            <w:pPr>
              <w:suppressAutoHyphens/>
              <w:jc w:val="center"/>
              <w:rPr>
                <w:sz w:val="22"/>
                <w:szCs w:val="22"/>
              </w:rPr>
            </w:pPr>
          </w:p>
        </w:tc>
      </w:tr>
      <w:tr w:rsidR="000A322C" w:rsidRPr="006F6613" w14:paraId="41232F02" w14:textId="77777777" w:rsidTr="00475455">
        <w:tc>
          <w:tcPr>
            <w:tcW w:w="1015" w:type="pct"/>
            <w:vMerge/>
            <w:tcBorders>
              <w:top w:val="single" w:sz="4" w:space="0" w:color="auto"/>
              <w:left w:val="single" w:sz="4" w:space="0" w:color="auto"/>
              <w:bottom w:val="single" w:sz="4" w:space="0" w:color="auto"/>
              <w:right w:val="single" w:sz="4" w:space="0" w:color="auto"/>
            </w:tcBorders>
            <w:vAlign w:val="center"/>
            <w:hideMark/>
          </w:tcPr>
          <w:p w14:paraId="54827D0D" w14:textId="77777777" w:rsidR="000A322C" w:rsidRPr="006F6613" w:rsidRDefault="000A322C">
            <w:pPr>
              <w:rPr>
                <w:sz w:val="22"/>
                <w:szCs w:val="22"/>
              </w:rPr>
            </w:pPr>
          </w:p>
        </w:tc>
        <w:tc>
          <w:tcPr>
            <w:tcW w:w="403" w:type="pct"/>
            <w:tcBorders>
              <w:top w:val="single" w:sz="4" w:space="0" w:color="auto"/>
              <w:left w:val="single" w:sz="4" w:space="0" w:color="auto"/>
              <w:bottom w:val="single" w:sz="4" w:space="0" w:color="auto"/>
              <w:right w:val="single" w:sz="4" w:space="0" w:color="auto"/>
            </w:tcBorders>
            <w:hideMark/>
          </w:tcPr>
          <w:p w14:paraId="2D043BC8" w14:textId="77777777" w:rsidR="000A322C" w:rsidRPr="006F6613" w:rsidRDefault="000A322C">
            <w:pPr>
              <w:suppressAutoHyphens/>
              <w:jc w:val="center"/>
              <w:rPr>
                <w:sz w:val="22"/>
                <w:szCs w:val="22"/>
              </w:rPr>
            </w:pPr>
            <w:r w:rsidRPr="006F6613">
              <w:rPr>
                <w:sz w:val="22"/>
                <w:szCs w:val="22"/>
              </w:rPr>
              <w:t>Δ B/L</w:t>
            </w:r>
          </w:p>
        </w:tc>
        <w:tc>
          <w:tcPr>
            <w:tcW w:w="600" w:type="pct"/>
            <w:tcBorders>
              <w:top w:val="single" w:sz="4" w:space="0" w:color="auto"/>
              <w:left w:val="single" w:sz="4" w:space="0" w:color="auto"/>
              <w:bottom w:val="single" w:sz="4" w:space="0" w:color="auto"/>
              <w:right w:val="single" w:sz="4" w:space="0" w:color="auto"/>
            </w:tcBorders>
            <w:hideMark/>
          </w:tcPr>
          <w:p w14:paraId="16763C41" w14:textId="77777777" w:rsidR="000A322C" w:rsidRPr="006F6613" w:rsidRDefault="000A322C">
            <w:pPr>
              <w:suppressAutoHyphens/>
              <w:jc w:val="center"/>
              <w:rPr>
                <w:sz w:val="22"/>
                <w:szCs w:val="22"/>
              </w:rPr>
            </w:pPr>
            <w:r w:rsidRPr="006F6613">
              <w:rPr>
                <w:sz w:val="22"/>
                <w:szCs w:val="22"/>
              </w:rPr>
              <w:t>-0.28</w:t>
            </w:r>
          </w:p>
          <w:p w14:paraId="50F23FDC" w14:textId="77777777" w:rsidR="000A322C" w:rsidRPr="006F6613" w:rsidRDefault="000A322C">
            <w:pPr>
              <w:suppressAutoHyphens/>
              <w:jc w:val="center"/>
              <w:rPr>
                <w:sz w:val="22"/>
                <w:szCs w:val="22"/>
              </w:rPr>
            </w:pPr>
            <w:r w:rsidRPr="006F6613">
              <w:rPr>
                <w:sz w:val="22"/>
                <w:szCs w:val="22"/>
              </w:rPr>
              <w:t>(0,039)</w:t>
            </w:r>
          </w:p>
        </w:tc>
        <w:tc>
          <w:tcPr>
            <w:tcW w:w="601" w:type="pct"/>
            <w:tcBorders>
              <w:top w:val="single" w:sz="4" w:space="0" w:color="auto"/>
              <w:left w:val="single" w:sz="4" w:space="0" w:color="auto"/>
              <w:bottom w:val="single" w:sz="4" w:space="0" w:color="auto"/>
              <w:right w:val="single" w:sz="4" w:space="0" w:color="auto"/>
            </w:tcBorders>
            <w:hideMark/>
          </w:tcPr>
          <w:p w14:paraId="7888C83D" w14:textId="77777777" w:rsidR="000A322C" w:rsidRPr="006F6613" w:rsidRDefault="000A322C">
            <w:pPr>
              <w:suppressAutoHyphens/>
              <w:jc w:val="center"/>
              <w:rPr>
                <w:sz w:val="22"/>
                <w:szCs w:val="22"/>
              </w:rPr>
            </w:pPr>
            <w:r w:rsidRPr="006F6613">
              <w:rPr>
                <w:sz w:val="22"/>
                <w:szCs w:val="22"/>
              </w:rPr>
              <w:t>-0,09</w:t>
            </w:r>
          </w:p>
          <w:p w14:paraId="3276CCE3" w14:textId="77777777" w:rsidR="000A322C" w:rsidRPr="006F6613" w:rsidRDefault="000A322C">
            <w:pPr>
              <w:suppressAutoHyphens/>
              <w:jc w:val="center"/>
              <w:rPr>
                <w:sz w:val="22"/>
                <w:szCs w:val="22"/>
              </w:rPr>
            </w:pPr>
            <w:r w:rsidRPr="006F6613">
              <w:rPr>
                <w:sz w:val="22"/>
                <w:szCs w:val="22"/>
              </w:rPr>
              <w:t>(0,039)</w:t>
            </w:r>
          </w:p>
        </w:tc>
        <w:tc>
          <w:tcPr>
            <w:tcW w:w="590" w:type="pct"/>
            <w:tcBorders>
              <w:top w:val="single" w:sz="4" w:space="0" w:color="auto"/>
              <w:left w:val="single" w:sz="4" w:space="0" w:color="auto"/>
              <w:bottom w:val="single" w:sz="4" w:space="0" w:color="auto"/>
              <w:right w:val="single" w:sz="4" w:space="0" w:color="auto"/>
            </w:tcBorders>
            <w:hideMark/>
          </w:tcPr>
          <w:p w14:paraId="129EFCB4" w14:textId="77777777" w:rsidR="000A322C" w:rsidRPr="006F6613" w:rsidRDefault="000A322C">
            <w:pPr>
              <w:suppressAutoHyphens/>
              <w:jc w:val="center"/>
              <w:rPr>
                <w:sz w:val="22"/>
                <w:szCs w:val="22"/>
              </w:rPr>
            </w:pPr>
            <w:r w:rsidRPr="006F6613">
              <w:rPr>
                <w:sz w:val="22"/>
                <w:szCs w:val="22"/>
              </w:rPr>
              <w:t>0,0005</w:t>
            </w:r>
          </w:p>
        </w:tc>
        <w:tc>
          <w:tcPr>
            <w:tcW w:w="601" w:type="pct"/>
            <w:tcBorders>
              <w:top w:val="single" w:sz="4" w:space="0" w:color="auto"/>
              <w:left w:val="single" w:sz="4" w:space="0" w:color="auto"/>
              <w:bottom w:val="single" w:sz="4" w:space="0" w:color="auto"/>
              <w:right w:val="single" w:sz="4" w:space="0" w:color="auto"/>
            </w:tcBorders>
            <w:hideMark/>
          </w:tcPr>
          <w:p w14:paraId="78514FDE" w14:textId="77777777" w:rsidR="000A322C" w:rsidRPr="006F6613" w:rsidRDefault="000A322C">
            <w:pPr>
              <w:suppressAutoHyphens/>
              <w:jc w:val="center"/>
              <w:rPr>
                <w:sz w:val="22"/>
                <w:szCs w:val="22"/>
              </w:rPr>
            </w:pPr>
            <w:r w:rsidRPr="006F6613">
              <w:rPr>
                <w:sz w:val="22"/>
                <w:szCs w:val="22"/>
              </w:rPr>
              <w:t>-0,30</w:t>
            </w:r>
          </w:p>
          <w:p w14:paraId="6271E69E" w14:textId="77777777" w:rsidR="000A322C" w:rsidRPr="006F6613" w:rsidRDefault="000A322C">
            <w:pPr>
              <w:suppressAutoHyphens/>
              <w:jc w:val="center"/>
              <w:rPr>
                <w:sz w:val="22"/>
                <w:szCs w:val="22"/>
              </w:rPr>
            </w:pPr>
            <w:r w:rsidRPr="006F6613">
              <w:rPr>
                <w:sz w:val="22"/>
                <w:szCs w:val="22"/>
              </w:rPr>
              <w:t>(0,019)</w:t>
            </w:r>
          </w:p>
        </w:tc>
        <w:tc>
          <w:tcPr>
            <w:tcW w:w="601" w:type="pct"/>
            <w:tcBorders>
              <w:top w:val="single" w:sz="4" w:space="0" w:color="auto"/>
              <w:left w:val="single" w:sz="4" w:space="0" w:color="auto"/>
              <w:bottom w:val="single" w:sz="4" w:space="0" w:color="auto"/>
              <w:right w:val="single" w:sz="4" w:space="0" w:color="auto"/>
            </w:tcBorders>
            <w:hideMark/>
          </w:tcPr>
          <w:p w14:paraId="46A915B0" w14:textId="77777777" w:rsidR="000A322C" w:rsidRPr="006F6613" w:rsidRDefault="000A322C">
            <w:pPr>
              <w:suppressAutoHyphens/>
              <w:jc w:val="center"/>
              <w:rPr>
                <w:sz w:val="22"/>
                <w:szCs w:val="22"/>
              </w:rPr>
            </w:pPr>
            <w:r w:rsidRPr="006F6613">
              <w:rPr>
                <w:sz w:val="22"/>
                <w:szCs w:val="22"/>
              </w:rPr>
              <w:t>-0,24</w:t>
            </w:r>
          </w:p>
          <w:p w14:paraId="5FB1D60E" w14:textId="77777777" w:rsidR="000A322C" w:rsidRPr="006F6613" w:rsidRDefault="000A322C">
            <w:pPr>
              <w:suppressAutoHyphens/>
              <w:jc w:val="center"/>
              <w:rPr>
                <w:sz w:val="22"/>
                <w:szCs w:val="22"/>
              </w:rPr>
            </w:pPr>
            <w:r w:rsidRPr="006F6613">
              <w:rPr>
                <w:sz w:val="22"/>
                <w:szCs w:val="22"/>
              </w:rPr>
              <w:t>(0,019)</w:t>
            </w:r>
          </w:p>
        </w:tc>
        <w:tc>
          <w:tcPr>
            <w:tcW w:w="590" w:type="pct"/>
            <w:tcBorders>
              <w:top w:val="single" w:sz="4" w:space="0" w:color="auto"/>
              <w:left w:val="single" w:sz="4" w:space="0" w:color="auto"/>
              <w:bottom w:val="single" w:sz="4" w:space="0" w:color="auto"/>
              <w:right w:val="single" w:sz="4" w:space="0" w:color="auto"/>
            </w:tcBorders>
            <w:hideMark/>
          </w:tcPr>
          <w:p w14:paraId="446DBE1D" w14:textId="77777777" w:rsidR="000A322C" w:rsidRPr="006F6613" w:rsidRDefault="000A322C">
            <w:pPr>
              <w:suppressAutoHyphens/>
              <w:jc w:val="center"/>
              <w:rPr>
                <w:sz w:val="22"/>
                <w:szCs w:val="22"/>
              </w:rPr>
            </w:pPr>
            <w:r w:rsidRPr="006F6613">
              <w:rPr>
                <w:sz w:val="22"/>
                <w:szCs w:val="22"/>
              </w:rPr>
              <w:t>0,0159</w:t>
            </w:r>
          </w:p>
        </w:tc>
      </w:tr>
      <w:tr w:rsidR="000A322C" w:rsidRPr="006F6613" w14:paraId="1258FBEB" w14:textId="77777777" w:rsidTr="00475455">
        <w:tc>
          <w:tcPr>
            <w:tcW w:w="5000" w:type="pct"/>
            <w:gridSpan w:val="8"/>
            <w:tcBorders>
              <w:top w:val="single" w:sz="4" w:space="0" w:color="auto"/>
              <w:left w:val="single" w:sz="4" w:space="0" w:color="auto"/>
              <w:bottom w:val="single" w:sz="4" w:space="0" w:color="auto"/>
              <w:right w:val="single" w:sz="4" w:space="0" w:color="auto"/>
            </w:tcBorders>
            <w:hideMark/>
          </w:tcPr>
          <w:p w14:paraId="7DCF3CB6" w14:textId="77777777" w:rsidR="000A322C" w:rsidRPr="006F6613" w:rsidRDefault="000A322C">
            <w:pPr>
              <w:suppressAutoHyphens/>
              <w:rPr>
                <w:sz w:val="22"/>
                <w:szCs w:val="22"/>
              </w:rPr>
            </w:pPr>
            <w:r w:rsidRPr="006F6613">
              <w:rPr>
                <w:b/>
                <w:bCs/>
                <w:sz w:val="22"/>
                <w:szCs w:val="22"/>
              </w:rPr>
              <w:t xml:space="preserve">CFS </w:t>
            </w:r>
            <w:proofErr w:type="spellStart"/>
            <w:r w:rsidRPr="006F6613">
              <w:rPr>
                <w:b/>
                <w:bCs/>
                <w:sz w:val="22"/>
                <w:szCs w:val="22"/>
              </w:rPr>
              <w:t>komplet</w:t>
            </w:r>
            <w:proofErr w:type="spellEnd"/>
            <w:r w:rsidRPr="006F6613">
              <w:rPr>
                <w:b/>
                <w:bCs/>
                <w:sz w:val="22"/>
                <w:szCs w:val="22"/>
              </w:rPr>
              <w:t xml:space="preserve"> clearing central (%)</w:t>
            </w:r>
            <w:r w:rsidRPr="006F6613">
              <w:rPr>
                <w:b/>
                <w:bCs/>
                <w:sz w:val="22"/>
                <w:szCs w:val="22"/>
                <w:vertAlign w:val="superscript"/>
              </w:rPr>
              <w:t>3</w:t>
            </w:r>
          </w:p>
        </w:tc>
      </w:tr>
      <w:tr w:rsidR="000A322C" w:rsidRPr="006F6613" w14:paraId="2C5AE7C9" w14:textId="77777777" w:rsidTr="00475455">
        <w:tc>
          <w:tcPr>
            <w:tcW w:w="1015" w:type="pct"/>
            <w:tcBorders>
              <w:top w:val="single" w:sz="4" w:space="0" w:color="auto"/>
              <w:left w:val="single" w:sz="4" w:space="0" w:color="auto"/>
              <w:bottom w:val="single" w:sz="4" w:space="0" w:color="auto"/>
              <w:right w:val="single" w:sz="4" w:space="0" w:color="auto"/>
            </w:tcBorders>
          </w:tcPr>
          <w:p w14:paraId="7AC52C20" w14:textId="77777777" w:rsidR="000A322C" w:rsidRPr="006F6613" w:rsidRDefault="000A322C">
            <w:pPr>
              <w:suppressAutoHyphens/>
              <w:jc w:val="center"/>
              <w:rPr>
                <w:sz w:val="22"/>
                <w:szCs w:val="22"/>
              </w:rPr>
            </w:pPr>
          </w:p>
        </w:tc>
        <w:tc>
          <w:tcPr>
            <w:tcW w:w="403" w:type="pct"/>
            <w:tcBorders>
              <w:top w:val="single" w:sz="4" w:space="0" w:color="auto"/>
              <w:left w:val="single" w:sz="4" w:space="0" w:color="auto"/>
              <w:bottom w:val="single" w:sz="4" w:space="0" w:color="auto"/>
              <w:right w:val="single" w:sz="4" w:space="0" w:color="auto"/>
            </w:tcBorders>
          </w:tcPr>
          <w:p w14:paraId="793ACBF2" w14:textId="77777777" w:rsidR="000A322C" w:rsidRPr="006F6613" w:rsidRDefault="000A322C">
            <w:pPr>
              <w:suppressAutoHyphens/>
              <w:jc w:val="center"/>
              <w:rPr>
                <w:sz w:val="22"/>
                <w:szCs w:val="22"/>
              </w:rPr>
            </w:pPr>
          </w:p>
        </w:tc>
        <w:tc>
          <w:tcPr>
            <w:tcW w:w="600" w:type="pct"/>
            <w:tcBorders>
              <w:top w:val="single" w:sz="4" w:space="0" w:color="auto"/>
              <w:left w:val="single" w:sz="4" w:space="0" w:color="auto"/>
              <w:bottom w:val="single" w:sz="4" w:space="0" w:color="auto"/>
              <w:right w:val="single" w:sz="4" w:space="0" w:color="auto"/>
            </w:tcBorders>
            <w:hideMark/>
          </w:tcPr>
          <w:p w14:paraId="5FAEFAB9" w14:textId="77777777" w:rsidR="000A322C" w:rsidRPr="006F6613" w:rsidRDefault="000A322C">
            <w:pPr>
              <w:suppressAutoHyphens/>
              <w:jc w:val="center"/>
              <w:rPr>
                <w:sz w:val="22"/>
                <w:szCs w:val="22"/>
              </w:rPr>
            </w:pPr>
            <w:r w:rsidRPr="006F6613">
              <w:rPr>
                <w:sz w:val="22"/>
                <w:szCs w:val="22"/>
              </w:rPr>
              <w:t>50,7%</w:t>
            </w:r>
          </w:p>
        </w:tc>
        <w:tc>
          <w:tcPr>
            <w:tcW w:w="601" w:type="pct"/>
            <w:tcBorders>
              <w:top w:val="single" w:sz="4" w:space="0" w:color="auto"/>
              <w:left w:val="single" w:sz="4" w:space="0" w:color="auto"/>
              <w:bottom w:val="single" w:sz="4" w:space="0" w:color="auto"/>
              <w:right w:val="single" w:sz="4" w:space="0" w:color="auto"/>
            </w:tcBorders>
            <w:hideMark/>
          </w:tcPr>
          <w:p w14:paraId="56D57621" w14:textId="77777777" w:rsidR="000A322C" w:rsidRPr="006F6613" w:rsidRDefault="000A322C">
            <w:pPr>
              <w:suppressAutoHyphens/>
              <w:jc w:val="center"/>
              <w:rPr>
                <w:sz w:val="22"/>
                <w:szCs w:val="22"/>
              </w:rPr>
            </w:pPr>
            <w:r w:rsidRPr="006F6613">
              <w:rPr>
                <w:sz w:val="22"/>
                <w:szCs w:val="22"/>
              </w:rPr>
              <w:t>43,8 %</w:t>
            </w:r>
          </w:p>
        </w:tc>
        <w:tc>
          <w:tcPr>
            <w:tcW w:w="590" w:type="pct"/>
            <w:tcBorders>
              <w:top w:val="single" w:sz="4" w:space="0" w:color="auto"/>
              <w:left w:val="single" w:sz="4" w:space="0" w:color="auto"/>
              <w:bottom w:val="single" w:sz="4" w:space="0" w:color="auto"/>
              <w:right w:val="single" w:sz="4" w:space="0" w:color="auto"/>
            </w:tcBorders>
            <w:hideMark/>
          </w:tcPr>
          <w:p w14:paraId="5621B18B" w14:textId="77777777" w:rsidR="000A322C" w:rsidRPr="006F6613" w:rsidRDefault="000A322C">
            <w:pPr>
              <w:suppressAutoHyphens/>
              <w:jc w:val="center"/>
              <w:rPr>
                <w:sz w:val="22"/>
                <w:szCs w:val="22"/>
              </w:rPr>
            </w:pPr>
            <w:r w:rsidRPr="006F6613">
              <w:rPr>
                <w:sz w:val="22"/>
                <w:szCs w:val="22"/>
              </w:rPr>
              <w:t>0,0777</w:t>
            </w:r>
          </w:p>
        </w:tc>
        <w:tc>
          <w:tcPr>
            <w:tcW w:w="601" w:type="pct"/>
            <w:tcBorders>
              <w:top w:val="single" w:sz="4" w:space="0" w:color="auto"/>
              <w:left w:val="single" w:sz="4" w:space="0" w:color="auto"/>
              <w:bottom w:val="single" w:sz="4" w:space="0" w:color="auto"/>
              <w:right w:val="single" w:sz="4" w:space="0" w:color="auto"/>
            </w:tcBorders>
            <w:hideMark/>
          </w:tcPr>
          <w:p w14:paraId="65A50E5D" w14:textId="77777777" w:rsidR="000A322C" w:rsidRPr="006F6613" w:rsidRDefault="000A322C">
            <w:pPr>
              <w:suppressAutoHyphens/>
              <w:jc w:val="center"/>
              <w:rPr>
                <w:sz w:val="22"/>
                <w:szCs w:val="22"/>
              </w:rPr>
            </w:pPr>
            <w:r w:rsidRPr="006F6613">
              <w:rPr>
                <w:sz w:val="22"/>
                <w:szCs w:val="22"/>
              </w:rPr>
              <w:t>65,0 %</w:t>
            </w:r>
          </w:p>
        </w:tc>
        <w:tc>
          <w:tcPr>
            <w:tcW w:w="601" w:type="pct"/>
            <w:tcBorders>
              <w:top w:val="single" w:sz="4" w:space="0" w:color="auto"/>
              <w:left w:val="single" w:sz="4" w:space="0" w:color="auto"/>
              <w:bottom w:val="single" w:sz="4" w:space="0" w:color="auto"/>
              <w:right w:val="single" w:sz="4" w:space="0" w:color="auto"/>
            </w:tcBorders>
            <w:hideMark/>
          </w:tcPr>
          <w:p w14:paraId="08250312" w14:textId="77777777" w:rsidR="000A322C" w:rsidRPr="006F6613" w:rsidRDefault="000A322C">
            <w:pPr>
              <w:suppressAutoHyphens/>
              <w:jc w:val="center"/>
              <w:rPr>
                <w:sz w:val="22"/>
                <w:szCs w:val="22"/>
              </w:rPr>
            </w:pPr>
            <w:r w:rsidRPr="006F6613">
              <w:rPr>
                <w:sz w:val="22"/>
                <w:szCs w:val="22"/>
              </w:rPr>
              <w:t>56,9 %</w:t>
            </w:r>
          </w:p>
        </w:tc>
        <w:tc>
          <w:tcPr>
            <w:tcW w:w="590" w:type="pct"/>
            <w:tcBorders>
              <w:top w:val="single" w:sz="4" w:space="0" w:color="auto"/>
              <w:left w:val="single" w:sz="4" w:space="0" w:color="auto"/>
              <w:bottom w:val="single" w:sz="4" w:space="0" w:color="auto"/>
              <w:right w:val="single" w:sz="4" w:space="0" w:color="auto"/>
            </w:tcBorders>
            <w:hideMark/>
          </w:tcPr>
          <w:p w14:paraId="0EF371A1" w14:textId="77777777" w:rsidR="000A322C" w:rsidRPr="006F6613" w:rsidRDefault="000A322C">
            <w:pPr>
              <w:suppressAutoHyphens/>
              <w:jc w:val="center"/>
              <w:rPr>
                <w:sz w:val="22"/>
                <w:szCs w:val="22"/>
              </w:rPr>
            </w:pPr>
            <w:r w:rsidRPr="006F6613">
              <w:rPr>
                <w:sz w:val="22"/>
                <w:szCs w:val="22"/>
              </w:rPr>
              <w:t>0,0022</w:t>
            </w:r>
          </w:p>
        </w:tc>
      </w:tr>
    </w:tbl>
    <w:p w14:paraId="367AC9A2" w14:textId="77777777" w:rsidR="000A322C" w:rsidRPr="00F2785D" w:rsidRDefault="000A322C" w:rsidP="006F6613">
      <w:pPr>
        <w:rPr>
          <w:sz w:val="24"/>
          <w:szCs w:val="24"/>
        </w:rPr>
      </w:pPr>
      <w:r w:rsidRPr="00F2785D">
        <w:rPr>
          <w:sz w:val="24"/>
          <w:szCs w:val="24"/>
        </w:rPr>
        <w:t>B/L = </w:t>
      </w:r>
      <w:r w:rsidRPr="00F2785D">
        <w:rPr>
          <w:i/>
          <w:iCs/>
          <w:sz w:val="24"/>
          <w:szCs w:val="24"/>
        </w:rPr>
        <w:t>Baseline</w:t>
      </w:r>
      <w:r w:rsidRPr="00F2785D">
        <w:rPr>
          <w:sz w:val="24"/>
          <w:szCs w:val="24"/>
        </w:rPr>
        <w:t xml:space="preserve">; Δ B/L = Ændring fra </w:t>
      </w:r>
      <w:r w:rsidRPr="00F2785D">
        <w:rPr>
          <w:i/>
          <w:iCs/>
          <w:sz w:val="24"/>
          <w:szCs w:val="24"/>
        </w:rPr>
        <w:t>baseline</w:t>
      </w:r>
      <w:r w:rsidRPr="00F2785D">
        <w:rPr>
          <w:sz w:val="24"/>
          <w:szCs w:val="24"/>
        </w:rPr>
        <w:t>; LGS = </w:t>
      </w:r>
      <w:proofErr w:type="spellStart"/>
      <w:r w:rsidRPr="00F2785D">
        <w:rPr>
          <w:sz w:val="24"/>
          <w:szCs w:val="24"/>
        </w:rPr>
        <w:t>Lissamin</w:t>
      </w:r>
      <w:proofErr w:type="spellEnd"/>
      <w:r w:rsidRPr="00F2785D">
        <w:rPr>
          <w:sz w:val="24"/>
          <w:szCs w:val="24"/>
        </w:rPr>
        <w:t>-grøn farvning (</w:t>
      </w:r>
      <w:proofErr w:type="spellStart"/>
      <w:r w:rsidRPr="00F2785D">
        <w:rPr>
          <w:sz w:val="24"/>
          <w:szCs w:val="24"/>
        </w:rPr>
        <w:t>konjunktiva</w:t>
      </w:r>
      <w:proofErr w:type="spellEnd"/>
      <w:r w:rsidRPr="00F2785D">
        <w:rPr>
          <w:sz w:val="24"/>
          <w:szCs w:val="24"/>
        </w:rPr>
        <w:t>), CFS = </w:t>
      </w:r>
      <w:proofErr w:type="spellStart"/>
      <w:r w:rsidRPr="00F2785D">
        <w:rPr>
          <w:sz w:val="24"/>
          <w:szCs w:val="24"/>
        </w:rPr>
        <w:t>Corneal</w:t>
      </w:r>
      <w:proofErr w:type="spellEnd"/>
      <w:r w:rsidRPr="00F2785D">
        <w:rPr>
          <w:sz w:val="24"/>
          <w:szCs w:val="24"/>
        </w:rPr>
        <w:t xml:space="preserve"> </w:t>
      </w:r>
      <w:proofErr w:type="spellStart"/>
      <w:r w:rsidRPr="00F2785D">
        <w:rPr>
          <w:sz w:val="24"/>
          <w:szCs w:val="24"/>
        </w:rPr>
        <w:t>fluorescein</w:t>
      </w:r>
      <w:proofErr w:type="spellEnd"/>
      <w:r w:rsidRPr="00F2785D">
        <w:rPr>
          <w:sz w:val="24"/>
          <w:szCs w:val="24"/>
        </w:rPr>
        <w:t xml:space="preserve"> farvning</w:t>
      </w:r>
    </w:p>
    <w:p w14:paraId="1F962DDC" w14:textId="77777777" w:rsidR="000A322C" w:rsidRPr="00F2785D" w:rsidRDefault="000A322C" w:rsidP="006F6613">
      <w:pPr>
        <w:ind w:left="284" w:hanging="284"/>
        <w:rPr>
          <w:sz w:val="24"/>
          <w:szCs w:val="24"/>
        </w:rPr>
      </w:pPr>
      <w:r w:rsidRPr="00F2785D">
        <w:rPr>
          <w:sz w:val="24"/>
          <w:szCs w:val="24"/>
        </w:rPr>
        <w:t>1</w:t>
      </w:r>
      <w:r w:rsidRPr="00F2785D">
        <w:rPr>
          <w:sz w:val="24"/>
          <w:szCs w:val="24"/>
        </w:rPr>
        <w:tab/>
        <w:t>Genanalyseret for at facilitere sammenligning med OTX-101-2026-001.</w:t>
      </w:r>
    </w:p>
    <w:p w14:paraId="5F6A1AE0" w14:textId="77777777" w:rsidR="000A322C" w:rsidRPr="00F2785D" w:rsidRDefault="000A322C" w:rsidP="006F6613">
      <w:pPr>
        <w:ind w:left="284" w:hanging="284"/>
        <w:rPr>
          <w:sz w:val="24"/>
          <w:szCs w:val="24"/>
        </w:rPr>
      </w:pPr>
      <w:r w:rsidRPr="00F2785D">
        <w:rPr>
          <w:sz w:val="24"/>
          <w:szCs w:val="24"/>
        </w:rPr>
        <w:t>2</w:t>
      </w:r>
      <w:r w:rsidRPr="00F2785D">
        <w:rPr>
          <w:sz w:val="24"/>
          <w:szCs w:val="24"/>
        </w:rPr>
        <w:tab/>
        <w:t>N = </w:t>
      </w:r>
      <w:r w:rsidRPr="00F2785D">
        <w:rPr>
          <w:i/>
          <w:iCs/>
          <w:sz w:val="24"/>
          <w:szCs w:val="24"/>
        </w:rPr>
        <w:t>Intent-to-</w:t>
      </w:r>
      <w:proofErr w:type="spellStart"/>
      <w:r w:rsidRPr="00F2785D">
        <w:rPr>
          <w:i/>
          <w:iCs/>
          <w:sz w:val="24"/>
          <w:szCs w:val="24"/>
        </w:rPr>
        <w:t>treat</w:t>
      </w:r>
      <w:proofErr w:type="spellEnd"/>
      <w:r w:rsidRPr="00F2785D">
        <w:rPr>
          <w:sz w:val="24"/>
          <w:szCs w:val="24"/>
        </w:rPr>
        <w:t>-population</w:t>
      </w:r>
    </w:p>
    <w:p w14:paraId="0495E7EF" w14:textId="77777777" w:rsidR="000A322C" w:rsidRPr="00F2785D" w:rsidRDefault="000A322C" w:rsidP="006F6613">
      <w:pPr>
        <w:ind w:left="284" w:hanging="284"/>
        <w:rPr>
          <w:sz w:val="24"/>
          <w:szCs w:val="24"/>
        </w:rPr>
      </w:pPr>
      <w:r w:rsidRPr="00F2785D">
        <w:rPr>
          <w:sz w:val="24"/>
          <w:szCs w:val="24"/>
        </w:rPr>
        <w:t>3</w:t>
      </w:r>
      <w:r w:rsidRPr="00F2785D">
        <w:rPr>
          <w:sz w:val="24"/>
          <w:szCs w:val="24"/>
        </w:rPr>
        <w:tab/>
        <w:t>n = Antal forsøgspersoner med respons i kun ét øje + 2 gange antallet af forsøgspersoner med respons i begge øjne. Nævneren er to gange antallet af forsøgspersoner.</w:t>
      </w:r>
    </w:p>
    <w:p w14:paraId="05EF662A" w14:textId="77777777" w:rsidR="000A322C" w:rsidRPr="00F2785D" w:rsidRDefault="000A322C" w:rsidP="0011507A">
      <w:pPr>
        <w:ind w:left="851"/>
        <w:rPr>
          <w:sz w:val="24"/>
          <w:szCs w:val="24"/>
        </w:rPr>
      </w:pPr>
    </w:p>
    <w:p w14:paraId="4C2EFE6C" w14:textId="6E095182" w:rsidR="000A322C" w:rsidRPr="00F2785D" w:rsidRDefault="000A322C" w:rsidP="0011507A">
      <w:pPr>
        <w:ind w:left="851"/>
        <w:rPr>
          <w:sz w:val="24"/>
          <w:szCs w:val="24"/>
        </w:rPr>
      </w:pPr>
      <w:r w:rsidRPr="00F2785D">
        <w:rPr>
          <w:sz w:val="24"/>
          <w:szCs w:val="24"/>
        </w:rPr>
        <w:t xml:space="preserve">OTX-101-2014-001 var et studie til bestemmelse af dosis med 2 </w:t>
      </w:r>
      <w:proofErr w:type="spellStart"/>
      <w:r w:rsidRPr="00F2785D">
        <w:rPr>
          <w:sz w:val="24"/>
          <w:szCs w:val="24"/>
        </w:rPr>
        <w:t>co</w:t>
      </w:r>
      <w:proofErr w:type="spellEnd"/>
      <w:r w:rsidRPr="00F2785D">
        <w:rPr>
          <w:sz w:val="24"/>
          <w:szCs w:val="24"/>
        </w:rPr>
        <w:t>-primære virknings</w:t>
      </w:r>
      <w:r w:rsidR="00D7144A">
        <w:rPr>
          <w:sz w:val="24"/>
          <w:szCs w:val="24"/>
        </w:rPr>
        <w:softHyphen/>
      </w:r>
      <w:r w:rsidRPr="00F2785D">
        <w:rPr>
          <w:sz w:val="24"/>
          <w:szCs w:val="24"/>
        </w:rPr>
        <w:t xml:space="preserve">endepunkter for gennemsnitlig ændring fra </w:t>
      </w:r>
      <w:r w:rsidRPr="00F2785D">
        <w:rPr>
          <w:i/>
          <w:iCs/>
          <w:sz w:val="24"/>
          <w:szCs w:val="24"/>
        </w:rPr>
        <w:t>baseline</w:t>
      </w:r>
      <w:r w:rsidRPr="00F2785D">
        <w:rPr>
          <w:sz w:val="24"/>
          <w:szCs w:val="24"/>
        </w:rPr>
        <w:t xml:space="preserve"> på dag 84 i total </w:t>
      </w:r>
      <w:proofErr w:type="spellStart"/>
      <w:r w:rsidRPr="00F2785D">
        <w:rPr>
          <w:sz w:val="24"/>
          <w:szCs w:val="24"/>
        </w:rPr>
        <w:t>konjunktival</w:t>
      </w:r>
      <w:proofErr w:type="spellEnd"/>
      <w:r w:rsidRPr="00F2785D">
        <w:rPr>
          <w:sz w:val="24"/>
          <w:szCs w:val="24"/>
        </w:rPr>
        <w:t xml:space="preserve"> farvningsscore i det udpegede studieøje og global SANDE-symptomscore. I OTX-101-2016-001 var det primære virkningsendepunkt andelen af patienter med en stigning på ≥ 10 mm fra </w:t>
      </w:r>
      <w:r w:rsidRPr="00F2785D">
        <w:rPr>
          <w:i/>
          <w:iCs/>
          <w:sz w:val="24"/>
          <w:szCs w:val="24"/>
        </w:rPr>
        <w:t>baseline</w:t>
      </w:r>
      <w:r w:rsidRPr="00F2785D">
        <w:rPr>
          <w:sz w:val="24"/>
          <w:szCs w:val="24"/>
        </w:rPr>
        <w:t xml:space="preserve"> i </w:t>
      </w:r>
      <w:proofErr w:type="spellStart"/>
      <w:r w:rsidRPr="00F2785D">
        <w:rPr>
          <w:sz w:val="24"/>
          <w:szCs w:val="24"/>
        </w:rPr>
        <w:t>Schirmers</w:t>
      </w:r>
      <w:proofErr w:type="spellEnd"/>
      <w:r w:rsidRPr="00F2785D">
        <w:rPr>
          <w:sz w:val="24"/>
          <w:szCs w:val="24"/>
        </w:rPr>
        <w:t xml:space="preserve"> testscore på dag 84 baseret på data for begge øjne. Andre vigtige sekundære og yderligere virkningsvariabler inkluderede gennemsnitlig ændring fra </w:t>
      </w:r>
      <w:r w:rsidRPr="00F2785D">
        <w:rPr>
          <w:i/>
          <w:iCs/>
          <w:sz w:val="24"/>
          <w:szCs w:val="24"/>
        </w:rPr>
        <w:t>baseline</w:t>
      </w:r>
      <w:r w:rsidRPr="00F2785D">
        <w:rPr>
          <w:sz w:val="24"/>
          <w:szCs w:val="24"/>
        </w:rPr>
        <w:t xml:space="preserve"> i </w:t>
      </w:r>
      <w:proofErr w:type="spellStart"/>
      <w:r w:rsidRPr="00F2785D">
        <w:rPr>
          <w:sz w:val="24"/>
          <w:szCs w:val="24"/>
        </w:rPr>
        <w:t>Schirmers</w:t>
      </w:r>
      <w:proofErr w:type="spellEnd"/>
      <w:r w:rsidRPr="00F2785D">
        <w:rPr>
          <w:sz w:val="24"/>
          <w:szCs w:val="24"/>
        </w:rPr>
        <w:t xml:space="preserve"> testscore, gennemsnitlig ændring fra </w:t>
      </w:r>
      <w:r w:rsidRPr="00F2785D">
        <w:rPr>
          <w:i/>
          <w:iCs/>
          <w:sz w:val="24"/>
          <w:szCs w:val="24"/>
        </w:rPr>
        <w:t>baseline</w:t>
      </w:r>
      <w:r w:rsidRPr="00F2785D">
        <w:rPr>
          <w:sz w:val="24"/>
          <w:szCs w:val="24"/>
        </w:rPr>
        <w:t xml:space="preserve"> i total og temporal </w:t>
      </w:r>
      <w:proofErr w:type="spellStart"/>
      <w:r w:rsidRPr="00F2785D">
        <w:rPr>
          <w:sz w:val="24"/>
          <w:szCs w:val="24"/>
        </w:rPr>
        <w:t>konjunktival</w:t>
      </w:r>
      <w:proofErr w:type="spellEnd"/>
      <w:r w:rsidRPr="00F2785D">
        <w:rPr>
          <w:sz w:val="24"/>
          <w:szCs w:val="24"/>
        </w:rPr>
        <w:t xml:space="preserve"> </w:t>
      </w:r>
      <w:proofErr w:type="spellStart"/>
      <w:r w:rsidRPr="00F2785D">
        <w:rPr>
          <w:sz w:val="24"/>
          <w:szCs w:val="24"/>
        </w:rPr>
        <w:t>lissamin</w:t>
      </w:r>
      <w:proofErr w:type="spellEnd"/>
      <w:r w:rsidRPr="00F2785D">
        <w:rPr>
          <w:sz w:val="24"/>
          <w:szCs w:val="24"/>
        </w:rPr>
        <w:t xml:space="preserve">-grøn farvningsscore, clearing af temporal </w:t>
      </w:r>
      <w:proofErr w:type="spellStart"/>
      <w:r w:rsidRPr="00F2785D">
        <w:rPr>
          <w:sz w:val="24"/>
          <w:szCs w:val="24"/>
        </w:rPr>
        <w:t>lissamin</w:t>
      </w:r>
      <w:proofErr w:type="spellEnd"/>
      <w:r w:rsidRPr="00F2785D">
        <w:rPr>
          <w:sz w:val="24"/>
          <w:szCs w:val="24"/>
        </w:rPr>
        <w:t xml:space="preserve">-grøn farvning, gennemsnitlig ændring fra </w:t>
      </w:r>
      <w:r w:rsidRPr="00F2785D">
        <w:rPr>
          <w:i/>
          <w:iCs/>
          <w:sz w:val="24"/>
          <w:szCs w:val="24"/>
        </w:rPr>
        <w:t>baseline</w:t>
      </w:r>
      <w:r w:rsidRPr="00F2785D">
        <w:rPr>
          <w:sz w:val="24"/>
          <w:szCs w:val="24"/>
        </w:rPr>
        <w:t xml:space="preserve"> i total og central </w:t>
      </w:r>
      <w:proofErr w:type="spellStart"/>
      <w:r w:rsidRPr="00F2785D">
        <w:rPr>
          <w:sz w:val="24"/>
          <w:szCs w:val="24"/>
        </w:rPr>
        <w:t>corneal</w:t>
      </w:r>
      <w:proofErr w:type="spellEnd"/>
      <w:r w:rsidRPr="00F2785D">
        <w:rPr>
          <w:sz w:val="24"/>
          <w:szCs w:val="24"/>
        </w:rPr>
        <w:t xml:space="preserve"> </w:t>
      </w:r>
      <w:proofErr w:type="spellStart"/>
      <w:r w:rsidRPr="00F2785D">
        <w:rPr>
          <w:sz w:val="24"/>
          <w:szCs w:val="24"/>
        </w:rPr>
        <w:t>fluorescein</w:t>
      </w:r>
      <w:proofErr w:type="spellEnd"/>
      <w:r w:rsidRPr="00F2785D">
        <w:rPr>
          <w:sz w:val="24"/>
          <w:szCs w:val="24"/>
        </w:rPr>
        <w:t xml:space="preserve"> farvningsscore og clearing af central </w:t>
      </w:r>
      <w:proofErr w:type="spellStart"/>
      <w:r w:rsidRPr="00F2785D">
        <w:rPr>
          <w:sz w:val="24"/>
          <w:szCs w:val="24"/>
        </w:rPr>
        <w:t>corneal</w:t>
      </w:r>
      <w:proofErr w:type="spellEnd"/>
      <w:r w:rsidRPr="00F2785D">
        <w:rPr>
          <w:sz w:val="24"/>
          <w:szCs w:val="24"/>
        </w:rPr>
        <w:t xml:space="preserve"> farvning.</w:t>
      </w:r>
    </w:p>
    <w:p w14:paraId="41E352AC" w14:textId="77777777" w:rsidR="000A322C" w:rsidRPr="00F2785D" w:rsidRDefault="000A322C" w:rsidP="0011507A">
      <w:pPr>
        <w:ind w:left="851"/>
        <w:rPr>
          <w:sz w:val="24"/>
          <w:szCs w:val="24"/>
        </w:rPr>
      </w:pPr>
    </w:p>
    <w:p w14:paraId="48E7575E" w14:textId="77777777" w:rsidR="000A322C" w:rsidRPr="00F2785D" w:rsidRDefault="000A322C" w:rsidP="0011507A">
      <w:pPr>
        <w:ind w:left="851"/>
        <w:rPr>
          <w:sz w:val="24"/>
          <w:szCs w:val="24"/>
        </w:rPr>
      </w:pPr>
      <w:r w:rsidRPr="00F2785D">
        <w:rPr>
          <w:sz w:val="24"/>
          <w:szCs w:val="24"/>
        </w:rPr>
        <w:t xml:space="preserve">Resultaterne fra begge kliniske studier var konsistente (se tabel 1). </w:t>
      </w:r>
      <w:proofErr w:type="spellStart"/>
      <w:r w:rsidRPr="00F2785D">
        <w:rPr>
          <w:sz w:val="24"/>
          <w:szCs w:val="24"/>
        </w:rPr>
        <w:t>Sekua</w:t>
      </w:r>
      <w:proofErr w:type="spellEnd"/>
      <w:r w:rsidRPr="00F2785D">
        <w:rPr>
          <w:sz w:val="24"/>
          <w:szCs w:val="24"/>
        </w:rPr>
        <w:t xml:space="preserve"> var bedre end dets vehikel med hensyn til øget tåreproduktion: En større andel af forsøgspersoner, der blev behandlet med </w:t>
      </w:r>
      <w:proofErr w:type="spellStart"/>
      <w:r w:rsidRPr="00F2785D">
        <w:rPr>
          <w:sz w:val="24"/>
          <w:szCs w:val="24"/>
        </w:rPr>
        <w:t>Sekua</w:t>
      </w:r>
      <w:proofErr w:type="spellEnd"/>
      <w:r w:rsidRPr="00F2785D">
        <w:rPr>
          <w:sz w:val="24"/>
          <w:szCs w:val="24"/>
        </w:rPr>
        <w:t xml:space="preserve">, responderede med en stigning i </w:t>
      </w:r>
      <w:proofErr w:type="spellStart"/>
      <w:r w:rsidRPr="00F2785D">
        <w:rPr>
          <w:sz w:val="24"/>
          <w:szCs w:val="24"/>
        </w:rPr>
        <w:t>Schirmers</w:t>
      </w:r>
      <w:proofErr w:type="spellEnd"/>
      <w:r w:rsidRPr="00F2785D">
        <w:rPr>
          <w:sz w:val="24"/>
          <w:szCs w:val="24"/>
        </w:rPr>
        <w:t xml:space="preserve"> test på ≥ 10 mm sammenlignet med forsøgspersoner, der blev behandlet med vehikel, og stigningen i LS-gennemsnit </w:t>
      </w:r>
      <w:proofErr w:type="spellStart"/>
      <w:r w:rsidRPr="00F2785D">
        <w:rPr>
          <w:sz w:val="24"/>
          <w:szCs w:val="24"/>
        </w:rPr>
        <w:t>Schirmers</w:t>
      </w:r>
      <w:proofErr w:type="spellEnd"/>
      <w:r w:rsidRPr="00F2785D">
        <w:rPr>
          <w:sz w:val="24"/>
          <w:szCs w:val="24"/>
        </w:rPr>
        <w:t xml:space="preserve">-resultater var højere i gruppen, der blev behandlet med </w:t>
      </w:r>
      <w:proofErr w:type="spellStart"/>
      <w:r w:rsidRPr="00F2785D">
        <w:rPr>
          <w:sz w:val="24"/>
          <w:szCs w:val="24"/>
        </w:rPr>
        <w:t>Sekua</w:t>
      </w:r>
      <w:proofErr w:type="spellEnd"/>
      <w:r w:rsidRPr="00F2785D">
        <w:rPr>
          <w:sz w:val="24"/>
          <w:szCs w:val="24"/>
        </w:rPr>
        <w:t xml:space="preserve">. Patienter, der blev behandlet med </w:t>
      </w:r>
      <w:proofErr w:type="spellStart"/>
      <w:r w:rsidRPr="00F2785D">
        <w:rPr>
          <w:sz w:val="24"/>
          <w:szCs w:val="24"/>
        </w:rPr>
        <w:t>Sekua</w:t>
      </w:r>
      <w:proofErr w:type="spellEnd"/>
      <w:r w:rsidRPr="00F2785D">
        <w:rPr>
          <w:sz w:val="24"/>
          <w:szCs w:val="24"/>
        </w:rPr>
        <w:t xml:space="preserve">, viste overlegen forbedring af skader i </w:t>
      </w:r>
      <w:proofErr w:type="spellStart"/>
      <w:r w:rsidRPr="00F2785D">
        <w:rPr>
          <w:sz w:val="24"/>
          <w:szCs w:val="24"/>
        </w:rPr>
        <w:t>cornea</w:t>
      </w:r>
      <w:proofErr w:type="spellEnd"/>
      <w:r w:rsidRPr="00F2785D">
        <w:rPr>
          <w:sz w:val="24"/>
          <w:szCs w:val="24"/>
        </w:rPr>
        <w:t xml:space="preserve"> ved brug af </w:t>
      </w:r>
      <w:proofErr w:type="spellStart"/>
      <w:r w:rsidRPr="00F2785D">
        <w:rPr>
          <w:sz w:val="24"/>
          <w:szCs w:val="24"/>
        </w:rPr>
        <w:t>fluorescein</w:t>
      </w:r>
      <w:proofErr w:type="spellEnd"/>
      <w:r w:rsidRPr="00F2785D">
        <w:rPr>
          <w:sz w:val="24"/>
          <w:szCs w:val="24"/>
        </w:rPr>
        <w:t xml:space="preserve"> farvning (fald i LS-gennemsnitlig total CFS-score, clearing af CFS i den centrale region af </w:t>
      </w:r>
      <w:proofErr w:type="spellStart"/>
      <w:r w:rsidRPr="00F2785D">
        <w:rPr>
          <w:sz w:val="24"/>
          <w:szCs w:val="24"/>
        </w:rPr>
        <w:t>cornea</w:t>
      </w:r>
      <w:proofErr w:type="spellEnd"/>
      <w:r w:rsidRPr="00F2785D">
        <w:rPr>
          <w:sz w:val="24"/>
          <w:szCs w:val="24"/>
        </w:rPr>
        <w:t xml:space="preserve"> og reduktion af LS-gennemsnitlig CFS-score for central region) sammenlignet med forsøgspersoner, der blev behandlet med vehikel. </w:t>
      </w:r>
      <w:proofErr w:type="spellStart"/>
      <w:r w:rsidRPr="00F2785D">
        <w:rPr>
          <w:sz w:val="24"/>
          <w:szCs w:val="24"/>
        </w:rPr>
        <w:t>Konjunktival</w:t>
      </w:r>
      <w:proofErr w:type="spellEnd"/>
      <w:r w:rsidRPr="00F2785D">
        <w:rPr>
          <w:sz w:val="24"/>
          <w:szCs w:val="24"/>
        </w:rPr>
        <w:t xml:space="preserve"> skade (med </w:t>
      </w:r>
      <w:proofErr w:type="spellStart"/>
      <w:r w:rsidRPr="00F2785D">
        <w:rPr>
          <w:sz w:val="24"/>
          <w:szCs w:val="24"/>
        </w:rPr>
        <w:t>lissamin</w:t>
      </w:r>
      <w:proofErr w:type="spellEnd"/>
      <w:r w:rsidRPr="00F2785D">
        <w:rPr>
          <w:sz w:val="24"/>
          <w:szCs w:val="24"/>
        </w:rPr>
        <w:t xml:space="preserve">-grøn farvning) i gruppen, der blev behandlet med </w:t>
      </w:r>
      <w:proofErr w:type="spellStart"/>
      <w:r w:rsidRPr="00F2785D">
        <w:rPr>
          <w:sz w:val="24"/>
          <w:szCs w:val="24"/>
        </w:rPr>
        <w:t>Sekua</w:t>
      </w:r>
      <w:proofErr w:type="spellEnd"/>
      <w:r w:rsidRPr="00F2785D">
        <w:rPr>
          <w:sz w:val="24"/>
          <w:szCs w:val="24"/>
        </w:rPr>
        <w:t xml:space="preserve">, blev reduceret i mere signifikant grad end i gruppen, der blev behandlet med vehikel, som vist ved sammenligning af LS-gennemsnitlig LGS-score for den samlede og for den temporale region af </w:t>
      </w:r>
      <w:proofErr w:type="spellStart"/>
      <w:r w:rsidRPr="00F2785D">
        <w:rPr>
          <w:sz w:val="24"/>
          <w:szCs w:val="24"/>
        </w:rPr>
        <w:t>konjunktiva</w:t>
      </w:r>
      <w:proofErr w:type="spellEnd"/>
      <w:r w:rsidRPr="00F2785D">
        <w:rPr>
          <w:sz w:val="24"/>
          <w:szCs w:val="24"/>
        </w:rPr>
        <w:t xml:space="preserve">, og ved clearing af LGS i den temporale region. Den konstaterede virkning for forbedring af øjenoverfladen (både </w:t>
      </w:r>
      <w:proofErr w:type="spellStart"/>
      <w:r w:rsidRPr="00F2785D">
        <w:rPr>
          <w:sz w:val="24"/>
          <w:szCs w:val="24"/>
        </w:rPr>
        <w:t>corneal</w:t>
      </w:r>
      <w:proofErr w:type="spellEnd"/>
      <w:r w:rsidRPr="00F2785D">
        <w:rPr>
          <w:sz w:val="24"/>
          <w:szCs w:val="24"/>
        </w:rPr>
        <w:t xml:space="preserve"> og </w:t>
      </w:r>
      <w:proofErr w:type="spellStart"/>
      <w:r w:rsidRPr="00F2785D">
        <w:rPr>
          <w:sz w:val="24"/>
          <w:szCs w:val="24"/>
        </w:rPr>
        <w:t>konjunktival</w:t>
      </w:r>
      <w:proofErr w:type="spellEnd"/>
      <w:r w:rsidRPr="00F2785D">
        <w:rPr>
          <w:sz w:val="24"/>
          <w:szCs w:val="24"/>
        </w:rPr>
        <w:t xml:space="preserve"> farvning) blev set inden for 28 dage og den blev opretholdt under hele studieperioden i begge studier.</w:t>
      </w:r>
    </w:p>
    <w:p w14:paraId="6E0F848B" w14:textId="77777777" w:rsidR="000A322C" w:rsidRPr="00F2785D" w:rsidRDefault="000A322C" w:rsidP="0011507A">
      <w:pPr>
        <w:ind w:left="851"/>
        <w:rPr>
          <w:sz w:val="24"/>
          <w:szCs w:val="24"/>
        </w:rPr>
      </w:pPr>
    </w:p>
    <w:p w14:paraId="645CA8B4" w14:textId="77777777" w:rsidR="000A322C" w:rsidRPr="00F2785D" w:rsidRDefault="000A322C" w:rsidP="0011507A">
      <w:pPr>
        <w:ind w:left="851"/>
        <w:rPr>
          <w:sz w:val="24"/>
          <w:szCs w:val="24"/>
        </w:rPr>
      </w:pPr>
      <w:r w:rsidRPr="00F2785D">
        <w:rPr>
          <w:sz w:val="24"/>
          <w:szCs w:val="24"/>
        </w:rPr>
        <w:t xml:space="preserve">Både </w:t>
      </w:r>
      <w:proofErr w:type="spellStart"/>
      <w:r w:rsidRPr="00F2785D">
        <w:rPr>
          <w:sz w:val="24"/>
          <w:szCs w:val="24"/>
        </w:rPr>
        <w:t>Sekua</w:t>
      </w:r>
      <w:proofErr w:type="spellEnd"/>
      <w:r w:rsidRPr="00F2785D">
        <w:rPr>
          <w:sz w:val="24"/>
          <w:szCs w:val="24"/>
        </w:rPr>
        <w:t xml:space="preserve"> og dets vehikel forbedrede symptomer (SANDE-score) med ca. 30 % uden statistisk forskel mellem dem.</w:t>
      </w:r>
    </w:p>
    <w:p w14:paraId="51C0E3EC" w14:textId="77777777" w:rsidR="000A322C" w:rsidRPr="00F2785D" w:rsidRDefault="000A322C" w:rsidP="0011507A">
      <w:pPr>
        <w:ind w:left="851"/>
        <w:rPr>
          <w:sz w:val="24"/>
          <w:szCs w:val="24"/>
        </w:rPr>
      </w:pPr>
    </w:p>
    <w:p w14:paraId="6FF4A91A" w14:textId="77777777" w:rsidR="000A322C" w:rsidRPr="00F2785D" w:rsidRDefault="000A322C" w:rsidP="0011507A">
      <w:pPr>
        <w:ind w:left="851"/>
        <w:rPr>
          <w:sz w:val="24"/>
          <w:szCs w:val="24"/>
          <w:u w:val="single"/>
        </w:rPr>
      </w:pPr>
      <w:r w:rsidRPr="00F2785D">
        <w:rPr>
          <w:bCs/>
          <w:sz w:val="24"/>
          <w:szCs w:val="24"/>
          <w:u w:val="single"/>
        </w:rPr>
        <w:t>Pædiatrisk population</w:t>
      </w:r>
    </w:p>
    <w:p w14:paraId="18083885" w14:textId="77777777" w:rsidR="000A322C" w:rsidRPr="00F2785D" w:rsidRDefault="000A322C" w:rsidP="0011507A">
      <w:pPr>
        <w:ind w:left="851"/>
        <w:rPr>
          <w:rFonts w:eastAsia="SimSun"/>
          <w:sz w:val="24"/>
          <w:szCs w:val="24"/>
          <w:lang w:eastAsia="zh-CN"/>
        </w:rPr>
      </w:pPr>
      <w:r w:rsidRPr="00F2785D">
        <w:rPr>
          <w:sz w:val="24"/>
          <w:szCs w:val="24"/>
        </w:rPr>
        <w:t xml:space="preserve">Det Europæiske Lægemiddelagentur </w:t>
      </w:r>
      <w:r w:rsidRPr="00F2785D">
        <w:rPr>
          <w:rFonts w:eastAsia="SimSun"/>
          <w:sz w:val="24"/>
          <w:szCs w:val="24"/>
          <w:lang w:eastAsia="zh-CN"/>
        </w:rPr>
        <w:t xml:space="preserve">har dispenseret fra kravet om at fremlægge resultaterne af studier med </w:t>
      </w:r>
      <w:proofErr w:type="spellStart"/>
      <w:r w:rsidRPr="00F2785D">
        <w:rPr>
          <w:rFonts w:eastAsia="SimSun"/>
          <w:sz w:val="24"/>
          <w:szCs w:val="24"/>
          <w:lang w:eastAsia="zh-CN"/>
        </w:rPr>
        <w:t>Sekua</w:t>
      </w:r>
      <w:proofErr w:type="spellEnd"/>
      <w:r w:rsidRPr="00F2785D">
        <w:rPr>
          <w:rFonts w:eastAsia="SimSun"/>
          <w:sz w:val="24"/>
          <w:szCs w:val="24"/>
          <w:lang w:eastAsia="zh-CN"/>
        </w:rPr>
        <w:t xml:space="preserve"> i alle undergrupper af den pædiatriske population </w:t>
      </w:r>
      <w:r w:rsidRPr="00F2785D">
        <w:rPr>
          <w:sz w:val="24"/>
          <w:szCs w:val="24"/>
        </w:rPr>
        <w:t>med lidelsen øjentørhed</w:t>
      </w:r>
      <w:r w:rsidRPr="00F2785D">
        <w:rPr>
          <w:rFonts w:eastAsia="SimSun"/>
          <w:i/>
          <w:sz w:val="24"/>
          <w:szCs w:val="24"/>
          <w:lang w:eastAsia="zh-CN"/>
        </w:rPr>
        <w:t xml:space="preserve"> </w:t>
      </w:r>
      <w:r w:rsidRPr="00F2785D">
        <w:rPr>
          <w:rFonts w:eastAsia="SimSun"/>
          <w:sz w:val="24"/>
          <w:szCs w:val="24"/>
          <w:lang w:eastAsia="zh-CN"/>
        </w:rPr>
        <w:t xml:space="preserve">(se pkt. 4.2 for </w:t>
      </w:r>
      <w:r w:rsidRPr="00F2785D">
        <w:rPr>
          <w:sz w:val="24"/>
          <w:szCs w:val="24"/>
        </w:rPr>
        <w:t>oplysninger</w:t>
      </w:r>
      <w:r w:rsidRPr="00F2785D">
        <w:rPr>
          <w:rFonts w:eastAsia="SimSun"/>
          <w:sz w:val="24"/>
          <w:szCs w:val="24"/>
          <w:lang w:eastAsia="zh-CN"/>
        </w:rPr>
        <w:t xml:space="preserve"> om pædiatrisk anvendelse).</w:t>
      </w:r>
    </w:p>
    <w:p w14:paraId="0968A520" w14:textId="77777777" w:rsidR="009260DE" w:rsidRPr="00F2785D" w:rsidRDefault="009260DE" w:rsidP="009260DE">
      <w:pPr>
        <w:tabs>
          <w:tab w:val="left" w:pos="851"/>
        </w:tabs>
        <w:ind w:left="851"/>
        <w:rPr>
          <w:sz w:val="24"/>
          <w:szCs w:val="24"/>
        </w:rPr>
      </w:pPr>
    </w:p>
    <w:p w14:paraId="0E937739" w14:textId="77777777" w:rsidR="009260DE" w:rsidRPr="00F2785D" w:rsidRDefault="009260DE" w:rsidP="009260DE">
      <w:pPr>
        <w:tabs>
          <w:tab w:val="left" w:pos="851"/>
        </w:tabs>
        <w:ind w:left="851" w:hanging="851"/>
        <w:rPr>
          <w:b/>
          <w:sz w:val="24"/>
          <w:szCs w:val="24"/>
        </w:rPr>
      </w:pPr>
      <w:r w:rsidRPr="00F2785D">
        <w:rPr>
          <w:b/>
          <w:sz w:val="24"/>
          <w:szCs w:val="24"/>
        </w:rPr>
        <w:t>5.2</w:t>
      </w:r>
      <w:r w:rsidRPr="00F2785D">
        <w:rPr>
          <w:b/>
          <w:sz w:val="24"/>
          <w:szCs w:val="24"/>
        </w:rPr>
        <w:tab/>
      </w:r>
      <w:proofErr w:type="spellStart"/>
      <w:r w:rsidRPr="00F2785D">
        <w:rPr>
          <w:b/>
          <w:sz w:val="24"/>
          <w:szCs w:val="24"/>
        </w:rPr>
        <w:t>Farmakokinetiske</w:t>
      </w:r>
      <w:proofErr w:type="spellEnd"/>
      <w:r w:rsidRPr="00F2785D">
        <w:rPr>
          <w:b/>
          <w:sz w:val="24"/>
          <w:szCs w:val="24"/>
        </w:rPr>
        <w:t xml:space="preserve"> egenskaber</w:t>
      </w:r>
    </w:p>
    <w:p w14:paraId="2F46F1A6" w14:textId="77777777" w:rsidR="006F6613" w:rsidRDefault="006F6613" w:rsidP="0011507A">
      <w:pPr>
        <w:ind w:left="851"/>
        <w:rPr>
          <w:sz w:val="24"/>
          <w:szCs w:val="24"/>
        </w:rPr>
      </w:pPr>
    </w:p>
    <w:p w14:paraId="30B4F27B" w14:textId="61DE7BF9" w:rsidR="000A322C" w:rsidRPr="006F6613" w:rsidRDefault="000A322C" w:rsidP="0011507A">
      <w:pPr>
        <w:ind w:left="851"/>
        <w:rPr>
          <w:sz w:val="24"/>
          <w:szCs w:val="24"/>
          <w:u w:val="single"/>
        </w:rPr>
      </w:pPr>
      <w:r w:rsidRPr="006F6613">
        <w:rPr>
          <w:sz w:val="24"/>
          <w:szCs w:val="24"/>
          <w:u w:val="single"/>
        </w:rPr>
        <w:t>Absorption</w:t>
      </w:r>
    </w:p>
    <w:p w14:paraId="28C723EA" w14:textId="77777777" w:rsidR="000A322C" w:rsidRPr="00F2785D" w:rsidRDefault="000A322C" w:rsidP="0011507A">
      <w:pPr>
        <w:ind w:left="851"/>
        <w:rPr>
          <w:sz w:val="24"/>
          <w:szCs w:val="24"/>
        </w:rPr>
      </w:pPr>
      <w:proofErr w:type="spellStart"/>
      <w:r w:rsidRPr="00F2785D">
        <w:rPr>
          <w:sz w:val="24"/>
          <w:szCs w:val="24"/>
        </w:rPr>
        <w:t>Ciclosporin</w:t>
      </w:r>
      <w:proofErr w:type="spellEnd"/>
      <w:r w:rsidRPr="00F2785D">
        <w:rPr>
          <w:sz w:val="24"/>
          <w:szCs w:val="24"/>
        </w:rPr>
        <w:t xml:space="preserve">-koncentrationerne i blodet efter topisk </w:t>
      </w:r>
      <w:proofErr w:type="spellStart"/>
      <w:r w:rsidRPr="00F2785D">
        <w:rPr>
          <w:sz w:val="24"/>
          <w:szCs w:val="24"/>
        </w:rPr>
        <w:t>okulær</w:t>
      </w:r>
      <w:proofErr w:type="spellEnd"/>
      <w:r w:rsidRPr="00F2785D">
        <w:rPr>
          <w:sz w:val="24"/>
          <w:szCs w:val="24"/>
        </w:rPr>
        <w:t xml:space="preserve"> administration af </w:t>
      </w:r>
      <w:proofErr w:type="spellStart"/>
      <w:r w:rsidRPr="00F2785D">
        <w:rPr>
          <w:sz w:val="24"/>
          <w:szCs w:val="24"/>
        </w:rPr>
        <w:t>Sekua</w:t>
      </w:r>
      <w:proofErr w:type="spellEnd"/>
      <w:r w:rsidRPr="00F2785D">
        <w:rPr>
          <w:sz w:val="24"/>
          <w:szCs w:val="24"/>
        </w:rPr>
        <w:t xml:space="preserve"> to gange dagligt i hvert øje hos raske forsøgspersoner i op til 7 dage og én gang på dag 8, var enten upåviselige eller marginalt over den nedre grænse for analysekvantificering på 0,100 </w:t>
      </w:r>
      <w:proofErr w:type="spellStart"/>
      <w:r w:rsidRPr="00F2785D">
        <w:rPr>
          <w:sz w:val="24"/>
          <w:szCs w:val="24"/>
        </w:rPr>
        <w:t>ng</w:t>
      </w:r>
      <w:proofErr w:type="spellEnd"/>
      <w:r w:rsidRPr="00F2785D">
        <w:rPr>
          <w:sz w:val="24"/>
          <w:szCs w:val="24"/>
        </w:rPr>
        <w:t>/ml (interval 0,101 til 0,195 </w:t>
      </w:r>
      <w:proofErr w:type="spellStart"/>
      <w:r w:rsidRPr="00F2785D">
        <w:rPr>
          <w:sz w:val="24"/>
          <w:szCs w:val="24"/>
        </w:rPr>
        <w:t>ng</w:t>
      </w:r>
      <w:proofErr w:type="spellEnd"/>
      <w:r w:rsidRPr="00F2785D">
        <w:rPr>
          <w:sz w:val="24"/>
          <w:szCs w:val="24"/>
        </w:rPr>
        <w:t xml:space="preserve">/ml) i op til 2 timer efter en enkelt dosis og i op til 4 timer efter flere doser. </w:t>
      </w:r>
      <w:proofErr w:type="spellStart"/>
      <w:r w:rsidRPr="00F2785D">
        <w:rPr>
          <w:sz w:val="24"/>
          <w:szCs w:val="24"/>
        </w:rPr>
        <w:t>Ciclosporin</w:t>
      </w:r>
      <w:proofErr w:type="spellEnd"/>
      <w:r w:rsidRPr="00F2785D">
        <w:rPr>
          <w:sz w:val="24"/>
          <w:szCs w:val="24"/>
        </w:rPr>
        <w:t>-niveauerne i blodet forblev meget lavere end terapeutiske/toksiske niveauer og oversteg aldrig 0,2 </w:t>
      </w:r>
      <w:proofErr w:type="spellStart"/>
      <w:r w:rsidRPr="00F2785D">
        <w:rPr>
          <w:sz w:val="24"/>
          <w:szCs w:val="24"/>
        </w:rPr>
        <w:t>ng</w:t>
      </w:r>
      <w:proofErr w:type="spellEnd"/>
      <w:r w:rsidRPr="00F2785D">
        <w:rPr>
          <w:sz w:val="24"/>
          <w:szCs w:val="24"/>
        </w:rPr>
        <w:t>/ml.</w:t>
      </w:r>
    </w:p>
    <w:p w14:paraId="32E20EE7" w14:textId="77777777" w:rsidR="009260DE" w:rsidRPr="00F2785D" w:rsidRDefault="009260DE" w:rsidP="009260DE">
      <w:pPr>
        <w:tabs>
          <w:tab w:val="left" w:pos="851"/>
        </w:tabs>
        <w:ind w:left="851"/>
        <w:rPr>
          <w:sz w:val="24"/>
          <w:szCs w:val="24"/>
        </w:rPr>
      </w:pPr>
    </w:p>
    <w:p w14:paraId="25627F5F" w14:textId="77777777" w:rsidR="009260DE" w:rsidRPr="00F2785D" w:rsidRDefault="009260DE" w:rsidP="009260DE">
      <w:pPr>
        <w:tabs>
          <w:tab w:val="left" w:pos="851"/>
        </w:tabs>
        <w:ind w:left="851" w:hanging="851"/>
        <w:rPr>
          <w:b/>
          <w:sz w:val="24"/>
          <w:szCs w:val="24"/>
        </w:rPr>
      </w:pPr>
      <w:r w:rsidRPr="00F2785D">
        <w:rPr>
          <w:b/>
          <w:sz w:val="24"/>
          <w:szCs w:val="24"/>
        </w:rPr>
        <w:t>5.3</w:t>
      </w:r>
      <w:r w:rsidRPr="00F2785D">
        <w:rPr>
          <w:b/>
          <w:sz w:val="24"/>
          <w:szCs w:val="24"/>
        </w:rPr>
        <w:tab/>
      </w:r>
      <w:r w:rsidR="00BD7931" w:rsidRPr="00F2785D">
        <w:rPr>
          <w:b/>
          <w:sz w:val="24"/>
          <w:szCs w:val="24"/>
        </w:rPr>
        <w:t>Non-</w:t>
      </w:r>
      <w:r w:rsidRPr="00F2785D">
        <w:rPr>
          <w:b/>
          <w:sz w:val="24"/>
          <w:szCs w:val="24"/>
        </w:rPr>
        <w:t>kliniske sikkerhedsdata</w:t>
      </w:r>
    </w:p>
    <w:p w14:paraId="69604FB5" w14:textId="77777777" w:rsidR="000A322C" w:rsidRPr="00F2785D" w:rsidRDefault="000A322C" w:rsidP="0011507A">
      <w:pPr>
        <w:ind w:left="851"/>
        <w:rPr>
          <w:sz w:val="24"/>
          <w:szCs w:val="24"/>
        </w:rPr>
      </w:pPr>
      <w:r w:rsidRPr="00F2785D">
        <w:rPr>
          <w:sz w:val="24"/>
          <w:szCs w:val="24"/>
        </w:rPr>
        <w:t xml:space="preserve">Non-kliniske data viser ingen speciel risiko for mennesker vurderet ud fra konventionelle studier af sikkerhedsfarmakologi, toksicitet efter gentagne doser, genotoksicitet, </w:t>
      </w:r>
      <w:proofErr w:type="spellStart"/>
      <w:r w:rsidRPr="00F2785D">
        <w:rPr>
          <w:sz w:val="24"/>
          <w:szCs w:val="24"/>
        </w:rPr>
        <w:t>karcinogent</w:t>
      </w:r>
      <w:proofErr w:type="spellEnd"/>
      <w:r w:rsidRPr="00F2785D">
        <w:rPr>
          <w:sz w:val="24"/>
          <w:szCs w:val="24"/>
        </w:rPr>
        <w:t xml:space="preserve"> potentiale samt reproduktions- og udviklingstoksicitet.</w:t>
      </w:r>
    </w:p>
    <w:p w14:paraId="2EDEC386" w14:textId="77777777" w:rsidR="000A322C" w:rsidRPr="00F2785D" w:rsidRDefault="000A322C" w:rsidP="0011507A">
      <w:pPr>
        <w:ind w:left="851"/>
        <w:rPr>
          <w:sz w:val="24"/>
          <w:szCs w:val="24"/>
        </w:rPr>
      </w:pPr>
    </w:p>
    <w:p w14:paraId="32FFAD51" w14:textId="77777777" w:rsidR="000A322C" w:rsidRPr="00F2785D" w:rsidRDefault="000A322C" w:rsidP="0011507A">
      <w:pPr>
        <w:ind w:left="851"/>
        <w:rPr>
          <w:sz w:val="24"/>
          <w:szCs w:val="24"/>
        </w:rPr>
      </w:pPr>
      <w:r w:rsidRPr="00F2785D">
        <w:rPr>
          <w:sz w:val="24"/>
          <w:szCs w:val="24"/>
        </w:rPr>
        <w:t>I non-kliniske studier blev der kun iagttaget virkninger ved doser, der anses for at overstige den maksimale humane eksponering i tilstrækkelig grad. Disse virkninger vurderes derfor til at være af ringe klinisk relevans.</w:t>
      </w:r>
    </w:p>
    <w:p w14:paraId="4BCCA930" w14:textId="77777777" w:rsidR="009260DE" w:rsidRPr="00F2785D" w:rsidRDefault="009260DE" w:rsidP="009260DE">
      <w:pPr>
        <w:tabs>
          <w:tab w:val="left" w:pos="851"/>
        </w:tabs>
        <w:ind w:left="851"/>
        <w:rPr>
          <w:sz w:val="24"/>
          <w:szCs w:val="24"/>
        </w:rPr>
      </w:pPr>
    </w:p>
    <w:p w14:paraId="05836976" w14:textId="77777777" w:rsidR="009260DE" w:rsidRPr="00F2785D" w:rsidRDefault="009260DE" w:rsidP="009260DE">
      <w:pPr>
        <w:tabs>
          <w:tab w:val="left" w:pos="851"/>
        </w:tabs>
        <w:ind w:left="851"/>
        <w:rPr>
          <w:sz w:val="24"/>
          <w:szCs w:val="24"/>
        </w:rPr>
      </w:pPr>
    </w:p>
    <w:p w14:paraId="1D71913C" w14:textId="77777777" w:rsidR="009260DE" w:rsidRPr="00F2785D" w:rsidRDefault="009260DE" w:rsidP="009260DE">
      <w:pPr>
        <w:tabs>
          <w:tab w:val="left" w:pos="851"/>
        </w:tabs>
        <w:ind w:left="851" w:hanging="851"/>
        <w:rPr>
          <w:b/>
          <w:sz w:val="24"/>
          <w:szCs w:val="24"/>
        </w:rPr>
      </w:pPr>
      <w:r w:rsidRPr="00F2785D">
        <w:rPr>
          <w:b/>
          <w:sz w:val="24"/>
          <w:szCs w:val="24"/>
        </w:rPr>
        <w:t>6.</w:t>
      </w:r>
      <w:r w:rsidRPr="00F2785D">
        <w:rPr>
          <w:b/>
          <w:sz w:val="24"/>
          <w:szCs w:val="24"/>
        </w:rPr>
        <w:tab/>
        <w:t>FARMACEUTISKE OPLYSNINGER</w:t>
      </w:r>
    </w:p>
    <w:p w14:paraId="28DD7B92" w14:textId="77777777" w:rsidR="009260DE" w:rsidRPr="00F2785D" w:rsidRDefault="009260DE" w:rsidP="009260DE">
      <w:pPr>
        <w:tabs>
          <w:tab w:val="left" w:pos="851"/>
        </w:tabs>
        <w:ind w:left="851"/>
        <w:rPr>
          <w:sz w:val="24"/>
          <w:szCs w:val="24"/>
        </w:rPr>
      </w:pPr>
    </w:p>
    <w:p w14:paraId="53DA6289" w14:textId="77777777" w:rsidR="009260DE" w:rsidRPr="00F2785D" w:rsidRDefault="009260DE" w:rsidP="009260DE">
      <w:pPr>
        <w:tabs>
          <w:tab w:val="left" w:pos="851"/>
        </w:tabs>
        <w:ind w:left="851" w:hanging="851"/>
        <w:rPr>
          <w:b/>
          <w:sz w:val="24"/>
          <w:szCs w:val="24"/>
        </w:rPr>
      </w:pPr>
      <w:r w:rsidRPr="00F2785D">
        <w:rPr>
          <w:b/>
          <w:sz w:val="24"/>
          <w:szCs w:val="24"/>
        </w:rPr>
        <w:t>6.1</w:t>
      </w:r>
      <w:r w:rsidRPr="00F2785D">
        <w:rPr>
          <w:b/>
          <w:sz w:val="24"/>
          <w:szCs w:val="24"/>
        </w:rPr>
        <w:tab/>
        <w:t>Hjælpestoffer</w:t>
      </w:r>
    </w:p>
    <w:p w14:paraId="6F249690" w14:textId="77777777" w:rsidR="000A322C" w:rsidRPr="00F2785D" w:rsidRDefault="000A322C" w:rsidP="0011507A">
      <w:pPr>
        <w:ind w:left="851"/>
        <w:rPr>
          <w:sz w:val="24"/>
          <w:szCs w:val="24"/>
        </w:rPr>
      </w:pPr>
      <w:r w:rsidRPr="00F2785D">
        <w:rPr>
          <w:sz w:val="24"/>
          <w:szCs w:val="24"/>
        </w:rPr>
        <w:t xml:space="preserve">Ricinusolie, </w:t>
      </w:r>
      <w:proofErr w:type="spellStart"/>
      <w:r w:rsidRPr="00F2785D">
        <w:rPr>
          <w:sz w:val="24"/>
          <w:szCs w:val="24"/>
        </w:rPr>
        <w:t>polyoxyleret</w:t>
      </w:r>
      <w:proofErr w:type="spellEnd"/>
      <w:r w:rsidRPr="00F2785D">
        <w:rPr>
          <w:sz w:val="24"/>
          <w:szCs w:val="24"/>
        </w:rPr>
        <w:t xml:space="preserve">, </w:t>
      </w:r>
      <w:proofErr w:type="spellStart"/>
      <w:r w:rsidRPr="00F2785D">
        <w:rPr>
          <w:sz w:val="24"/>
          <w:szCs w:val="24"/>
        </w:rPr>
        <w:t>hydrogeneret</w:t>
      </w:r>
      <w:proofErr w:type="spellEnd"/>
    </w:p>
    <w:p w14:paraId="69B0FB49" w14:textId="77777777" w:rsidR="000A322C" w:rsidRPr="00F2785D" w:rsidRDefault="000A322C" w:rsidP="0011507A">
      <w:pPr>
        <w:ind w:left="851"/>
        <w:rPr>
          <w:sz w:val="24"/>
          <w:szCs w:val="24"/>
          <w:lang w:val="en-US"/>
        </w:rPr>
      </w:pPr>
      <w:r w:rsidRPr="00F2785D">
        <w:rPr>
          <w:sz w:val="24"/>
          <w:szCs w:val="24"/>
          <w:lang w:val="en-US"/>
        </w:rPr>
        <w:t>Octoxynol-40</w:t>
      </w:r>
    </w:p>
    <w:p w14:paraId="45A50BCA" w14:textId="77777777" w:rsidR="000A322C" w:rsidRPr="00F2785D" w:rsidRDefault="000A322C" w:rsidP="0011507A">
      <w:pPr>
        <w:ind w:left="851"/>
        <w:rPr>
          <w:sz w:val="24"/>
          <w:szCs w:val="24"/>
          <w:lang w:val="en-US"/>
        </w:rPr>
      </w:pPr>
      <w:proofErr w:type="spellStart"/>
      <w:r w:rsidRPr="00F2785D">
        <w:rPr>
          <w:sz w:val="24"/>
          <w:szCs w:val="24"/>
          <w:lang w:val="en-US"/>
        </w:rPr>
        <w:t>Natriumdihydrogenphosphatdihydrat</w:t>
      </w:r>
      <w:proofErr w:type="spellEnd"/>
      <w:r w:rsidRPr="00F2785D">
        <w:rPr>
          <w:sz w:val="24"/>
          <w:szCs w:val="24"/>
          <w:lang w:val="en-US"/>
        </w:rPr>
        <w:t xml:space="preserve"> (E339)</w:t>
      </w:r>
    </w:p>
    <w:p w14:paraId="67C23047" w14:textId="77777777" w:rsidR="000A322C" w:rsidRPr="00F2785D" w:rsidRDefault="000A322C" w:rsidP="0011507A">
      <w:pPr>
        <w:ind w:left="851"/>
        <w:rPr>
          <w:sz w:val="24"/>
          <w:szCs w:val="24"/>
          <w:lang w:val="en-US"/>
        </w:rPr>
      </w:pPr>
      <w:proofErr w:type="spellStart"/>
      <w:r w:rsidRPr="00F2785D">
        <w:rPr>
          <w:sz w:val="24"/>
          <w:szCs w:val="24"/>
          <w:lang w:val="en-US"/>
        </w:rPr>
        <w:t>Dinatriumphosphat</w:t>
      </w:r>
      <w:proofErr w:type="spellEnd"/>
      <w:r w:rsidRPr="00F2785D">
        <w:rPr>
          <w:sz w:val="24"/>
          <w:szCs w:val="24"/>
          <w:lang w:val="en-US"/>
        </w:rPr>
        <w:t xml:space="preserve"> (E339)</w:t>
      </w:r>
    </w:p>
    <w:p w14:paraId="1FC30337" w14:textId="77777777" w:rsidR="000A322C" w:rsidRPr="00F2785D" w:rsidRDefault="000A322C" w:rsidP="0011507A">
      <w:pPr>
        <w:ind w:left="851"/>
        <w:rPr>
          <w:sz w:val="24"/>
          <w:szCs w:val="24"/>
        </w:rPr>
      </w:pPr>
      <w:proofErr w:type="spellStart"/>
      <w:r w:rsidRPr="00F2785D">
        <w:rPr>
          <w:sz w:val="24"/>
          <w:szCs w:val="24"/>
        </w:rPr>
        <w:t>Natriumchlorid</w:t>
      </w:r>
      <w:proofErr w:type="spellEnd"/>
    </w:p>
    <w:p w14:paraId="175F0C48" w14:textId="77777777" w:rsidR="000A322C" w:rsidRPr="00F2785D" w:rsidRDefault="000A322C" w:rsidP="0011507A">
      <w:pPr>
        <w:ind w:left="851"/>
        <w:rPr>
          <w:sz w:val="24"/>
          <w:szCs w:val="24"/>
        </w:rPr>
      </w:pPr>
      <w:proofErr w:type="spellStart"/>
      <w:r w:rsidRPr="00F2785D">
        <w:rPr>
          <w:sz w:val="24"/>
          <w:szCs w:val="24"/>
        </w:rPr>
        <w:t>Povidon</w:t>
      </w:r>
      <w:proofErr w:type="spellEnd"/>
      <w:r w:rsidRPr="00F2785D">
        <w:rPr>
          <w:sz w:val="24"/>
          <w:szCs w:val="24"/>
        </w:rPr>
        <w:t xml:space="preserve"> (E1201)</w:t>
      </w:r>
    </w:p>
    <w:p w14:paraId="3466DB95" w14:textId="77777777" w:rsidR="000A322C" w:rsidRPr="00F2785D" w:rsidRDefault="000A322C" w:rsidP="0011507A">
      <w:pPr>
        <w:ind w:left="851"/>
        <w:rPr>
          <w:sz w:val="24"/>
          <w:szCs w:val="24"/>
        </w:rPr>
      </w:pPr>
      <w:r w:rsidRPr="00F2785D">
        <w:rPr>
          <w:sz w:val="24"/>
          <w:szCs w:val="24"/>
        </w:rPr>
        <w:t>Saltsyre (til justering af pH) (E507)</w:t>
      </w:r>
    </w:p>
    <w:p w14:paraId="6902AA29" w14:textId="77777777" w:rsidR="000A322C" w:rsidRPr="00F2785D" w:rsidRDefault="000A322C" w:rsidP="0011507A">
      <w:pPr>
        <w:ind w:left="851"/>
        <w:rPr>
          <w:sz w:val="24"/>
          <w:szCs w:val="24"/>
        </w:rPr>
      </w:pPr>
      <w:r w:rsidRPr="00F2785D">
        <w:rPr>
          <w:sz w:val="24"/>
          <w:szCs w:val="24"/>
        </w:rPr>
        <w:t>Natriumhydroxid (til justering af pH) (E524)</w:t>
      </w:r>
    </w:p>
    <w:p w14:paraId="2646C83A" w14:textId="77777777" w:rsidR="000A322C" w:rsidRPr="00F2785D" w:rsidRDefault="000A322C" w:rsidP="0011507A">
      <w:pPr>
        <w:ind w:left="851"/>
        <w:rPr>
          <w:sz w:val="24"/>
          <w:szCs w:val="24"/>
        </w:rPr>
      </w:pPr>
      <w:r w:rsidRPr="00F2785D">
        <w:rPr>
          <w:sz w:val="24"/>
          <w:szCs w:val="24"/>
        </w:rPr>
        <w:t>Vand til injektionsvæsker</w:t>
      </w:r>
    </w:p>
    <w:p w14:paraId="19674240" w14:textId="77777777" w:rsidR="009260DE" w:rsidRPr="00F2785D" w:rsidRDefault="009260DE" w:rsidP="009260DE">
      <w:pPr>
        <w:tabs>
          <w:tab w:val="left" w:pos="851"/>
        </w:tabs>
        <w:ind w:left="851"/>
        <w:rPr>
          <w:sz w:val="24"/>
          <w:szCs w:val="24"/>
        </w:rPr>
      </w:pPr>
    </w:p>
    <w:p w14:paraId="29656133" w14:textId="77777777" w:rsidR="009260DE" w:rsidRPr="00F2785D" w:rsidRDefault="009260DE" w:rsidP="009260DE">
      <w:pPr>
        <w:tabs>
          <w:tab w:val="left" w:pos="851"/>
        </w:tabs>
        <w:ind w:left="851" w:hanging="851"/>
        <w:rPr>
          <w:b/>
          <w:sz w:val="24"/>
          <w:szCs w:val="24"/>
        </w:rPr>
      </w:pPr>
      <w:r w:rsidRPr="00F2785D">
        <w:rPr>
          <w:b/>
          <w:sz w:val="24"/>
          <w:szCs w:val="24"/>
        </w:rPr>
        <w:t>6.2</w:t>
      </w:r>
      <w:r w:rsidRPr="00F2785D">
        <w:rPr>
          <w:b/>
          <w:sz w:val="24"/>
          <w:szCs w:val="24"/>
        </w:rPr>
        <w:tab/>
        <w:t>Uforligeligheder</w:t>
      </w:r>
    </w:p>
    <w:p w14:paraId="1F578D24" w14:textId="77777777" w:rsidR="000A322C" w:rsidRPr="00F2785D" w:rsidRDefault="000A322C" w:rsidP="0011507A">
      <w:pPr>
        <w:ind w:left="851"/>
        <w:rPr>
          <w:sz w:val="24"/>
          <w:szCs w:val="24"/>
        </w:rPr>
      </w:pPr>
      <w:r w:rsidRPr="00F2785D">
        <w:rPr>
          <w:sz w:val="24"/>
          <w:szCs w:val="24"/>
        </w:rPr>
        <w:t>Ikke relevant.</w:t>
      </w:r>
    </w:p>
    <w:p w14:paraId="3360035E" w14:textId="77777777" w:rsidR="009260DE" w:rsidRPr="00F2785D" w:rsidRDefault="009260DE" w:rsidP="009260DE">
      <w:pPr>
        <w:tabs>
          <w:tab w:val="left" w:pos="851"/>
        </w:tabs>
        <w:ind w:left="851"/>
        <w:rPr>
          <w:sz w:val="24"/>
          <w:szCs w:val="24"/>
        </w:rPr>
      </w:pPr>
    </w:p>
    <w:p w14:paraId="056DF04A" w14:textId="77777777" w:rsidR="009260DE" w:rsidRPr="00F2785D" w:rsidRDefault="009260DE" w:rsidP="009260DE">
      <w:pPr>
        <w:tabs>
          <w:tab w:val="left" w:pos="851"/>
        </w:tabs>
        <w:ind w:left="851" w:hanging="851"/>
        <w:rPr>
          <w:b/>
          <w:sz w:val="24"/>
          <w:szCs w:val="24"/>
        </w:rPr>
      </w:pPr>
      <w:r w:rsidRPr="00F2785D">
        <w:rPr>
          <w:b/>
          <w:sz w:val="24"/>
          <w:szCs w:val="24"/>
        </w:rPr>
        <w:t>6.3</w:t>
      </w:r>
      <w:r w:rsidRPr="00F2785D">
        <w:rPr>
          <w:b/>
          <w:sz w:val="24"/>
          <w:szCs w:val="24"/>
        </w:rPr>
        <w:tab/>
        <w:t>Opbevaringstid</w:t>
      </w:r>
    </w:p>
    <w:p w14:paraId="618DC443" w14:textId="77777777" w:rsidR="000A322C" w:rsidRPr="00F2785D" w:rsidRDefault="000A322C" w:rsidP="0011507A">
      <w:pPr>
        <w:ind w:left="851"/>
        <w:rPr>
          <w:sz w:val="24"/>
          <w:szCs w:val="24"/>
        </w:rPr>
      </w:pPr>
      <w:r w:rsidRPr="00F2785D">
        <w:rPr>
          <w:sz w:val="24"/>
          <w:szCs w:val="24"/>
        </w:rPr>
        <w:t>Opbevaringstid: 18 måneder</w:t>
      </w:r>
    </w:p>
    <w:p w14:paraId="16AF32A2" w14:textId="77777777" w:rsidR="000A322C" w:rsidRPr="00F2785D" w:rsidRDefault="000A322C" w:rsidP="0011507A">
      <w:pPr>
        <w:ind w:left="851"/>
        <w:rPr>
          <w:sz w:val="24"/>
          <w:szCs w:val="24"/>
        </w:rPr>
      </w:pPr>
      <w:r w:rsidRPr="00F2785D">
        <w:rPr>
          <w:sz w:val="24"/>
          <w:szCs w:val="24"/>
        </w:rPr>
        <w:t>Opbevaringstid efter første åbning af aluminiumposen: 5 dage</w:t>
      </w:r>
    </w:p>
    <w:p w14:paraId="76CC7DA5" w14:textId="7688D40C" w:rsidR="00D7144A" w:rsidRDefault="00D7144A">
      <w:pPr>
        <w:rPr>
          <w:sz w:val="24"/>
          <w:szCs w:val="24"/>
        </w:rPr>
      </w:pPr>
      <w:r>
        <w:rPr>
          <w:sz w:val="24"/>
          <w:szCs w:val="24"/>
        </w:rPr>
        <w:br w:type="page"/>
      </w:r>
    </w:p>
    <w:p w14:paraId="7A3BB8E2" w14:textId="77777777" w:rsidR="009260DE" w:rsidRPr="00F2785D" w:rsidRDefault="009260DE" w:rsidP="009260DE">
      <w:pPr>
        <w:tabs>
          <w:tab w:val="left" w:pos="851"/>
        </w:tabs>
        <w:ind w:left="851"/>
        <w:rPr>
          <w:sz w:val="24"/>
          <w:szCs w:val="24"/>
        </w:rPr>
      </w:pPr>
    </w:p>
    <w:p w14:paraId="1DFD191B" w14:textId="77777777" w:rsidR="009260DE" w:rsidRPr="00F2785D" w:rsidRDefault="009260DE" w:rsidP="009260DE">
      <w:pPr>
        <w:tabs>
          <w:tab w:val="left" w:pos="851"/>
        </w:tabs>
        <w:ind w:left="851" w:hanging="851"/>
        <w:rPr>
          <w:b/>
          <w:sz w:val="24"/>
          <w:szCs w:val="24"/>
        </w:rPr>
      </w:pPr>
      <w:r w:rsidRPr="00F2785D">
        <w:rPr>
          <w:b/>
          <w:sz w:val="24"/>
          <w:szCs w:val="24"/>
        </w:rPr>
        <w:t>6.4</w:t>
      </w:r>
      <w:r w:rsidRPr="00F2785D">
        <w:rPr>
          <w:b/>
          <w:sz w:val="24"/>
          <w:szCs w:val="24"/>
        </w:rPr>
        <w:tab/>
        <w:t>Særlige opbevaringsforhold</w:t>
      </w:r>
    </w:p>
    <w:p w14:paraId="29859AE0" w14:textId="60309EED" w:rsidR="000A322C" w:rsidRPr="00F2785D" w:rsidRDefault="000A322C" w:rsidP="0011507A">
      <w:pPr>
        <w:ind w:left="851"/>
        <w:rPr>
          <w:sz w:val="24"/>
          <w:szCs w:val="24"/>
        </w:rPr>
      </w:pPr>
      <w:r w:rsidRPr="00F2785D">
        <w:rPr>
          <w:sz w:val="24"/>
          <w:szCs w:val="24"/>
        </w:rPr>
        <w:t>Opbevares ved temperaturer under 25 °C. Må ikke nedfryses. Opbevar enkeltdosis</w:t>
      </w:r>
      <w:r w:rsidR="00D7144A">
        <w:rPr>
          <w:sz w:val="24"/>
          <w:szCs w:val="24"/>
        </w:rPr>
        <w:softHyphen/>
      </w:r>
      <w:r w:rsidRPr="00F2785D">
        <w:rPr>
          <w:sz w:val="24"/>
          <w:szCs w:val="24"/>
        </w:rPr>
        <w:t>beholderne i polyfolie-aluminiumposen.</w:t>
      </w:r>
    </w:p>
    <w:p w14:paraId="05934880" w14:textId="77777777" w:rsidR="000A322C" w:rsidRPr="00F2785D" w:rsidRDefault="000A322C" w:rsidP="0011507A">
      <w:pPr>
        <w:ind w:left="851"/>
        <w:rPr>
          <w:sz w:val="24"/>
          <w:szCs w:val="24"/>
        </w:rPr>
      </w:pPr>
    </w:p>
    <w:p w14:paraId="7E510C68" w14:textId="77777777" w:rsidR="000A322C" w:rsidRPr="00F2785D" w:rsidRDefault="000A322C" w:rsidP="0011507A">
      <w:pPr>
        <w:ind w:left="851"/>
        <w:rPr>
          <w:sz w:val="24"/>
          <w:szCs w:val="24"/>
        </w:rPr>
      </w:pPr>
      <w:r w:rsidRPr="00F2785D">
        <w:rPr>
          <w:sz w:val="24"/>
          <w:szCs w:val="24"/>
        </w:rPr>
        <w:t xml:space="preserve">Bortskaf </w:t>
      </w:r>
      <w:proofErr w:type="spellStart"/>
      <w:r w:rsidRPr="00F2785D">
        <w:rPr>
          <w:sz w:val="24"/>
          <w:szCs w:val="24"/>
        </w:rPr>
        <w:t>anbrudte</w:t>
      </w:r>
      <w:proofErr w:type="spellEnd"/>
      <w:r w:rsidRPr="00F2785D">
        <w:rPr>
          <w:sz w:val="24"/>
          <w:szCs w:val="24"/>
        </w:rPr>
        <w:t xml:space="preserve"> enkeltdosisbeholdere med eventuel overskydende opløsning umiddelbart efter brug.</w:t>
      </w:r>
    </w:p>
    <w:p w14:paraId="7D49E871" w14:textId="77777777" w:rsidR="009260DE" w:rsidRPr="00F2785D" w:rsidRDefault="009260DE" w:rsidP="009260DE">
      <w:pPr>
        <w:tabs>
          <w:tab w:val="left" w:pos="851"/>
        </w:tabs>
        <w:ind w:left="851"/>
        <w:rPr>
          <w:sz w:val="24"/>
          <w:szCs w:val="24"/>
        </w:rPr>
      </w:pPr>
    </w:p>
    <w:p w14:paraId="1767420C" w14:textId="77777777" w:rsidR="009260DE" w:rsidRPr="00F2785D" w:rsidRDefault="009260DE" w:rsidP="009260DE">
      <w:pPr>
        <w:tabs>
          <w:tab w:val="left" w:pos="851"/>
        </w:tabs>
        <w:ind w:left="851" w:hanging="851"/>
        <w:rPr>
          <w:b/>
          <w:sz w:val="24"/>
          <w:szCs w:val="24"/>
        </w:rPr>
      </w:pPr>
      <w:r w:rsidRPr="00F2785D">
        <w:rPr>
          <w:b/>
          <w:sz w:val="24"/>
          <w:szCs w:val="24"/>
        </w:rPr>
        <w:t>6.5</w:t>
      </w:r>
      <w:r w:rsidRPr="00F2785D">
        <w:rPr>
          <w:b/>
          <w:sz w:val="24"/>
          <w:szCs w:val="24"/>
        </w:rPr>
        <w:tab/>
        <w:t>Emballagetype og pakningsstørrelser</w:t>
      </w:r>
    </w:p>
    <w:p w14:paraId="733287CF" w14:textId="77777777" w:rsidR="00137031" w:rsidRPr="00137031" w:rsidRDefault="00137031" w:rsidP="00137031">
      <w:pPr>
        <w:tabs>
          <w:tab w:val="left" w:pos="851"/>
        </w:tabs>
        <w:ind w:left="851"/>
        <w:rPr>
          <w:sz w:val="24"/>
          <w:szCs w:val="24"/>
        </w:rPr>
      </w:pPr>
      <w:proofErr w:type="spellStart"/>
      <w:r w:rsidRPr="00137031">
        <w:rPr>
          <w:sz w:val="24"/>
          <w:szCs w:val="24"/>
        </w:rPr>
        <w:t>Sekua</w:t>
      </w:r>
      <w:proofErr w:type="spellEnd"/>
      <w:r w:rsidRPr="00137031">
        <w:rPr>
          <w:sz w:val="24"/>
          <w:szCs w:val="24"/>
        </w:rPr>
        <w:t xml:space="preserve"> 0,9 mg/ml øjendråber, opløsning er pakket i lavdensitets </w:t>
      </w:r>
      <w:proofErr w:type="spellStart"/>
      <w:r w:rsidRPr="00137031">
        <w:rPr>
          <w:sz w:val="24"/>
          <w:szCs w:val="24"/>
        </w:rPr>
        <w:t>polyethylen</w:t>
      </w:r>
      <w:proofErr w:type="spellEnd"/>
      <w:r w:rsidRPr="00137031">
        <w:rPr>
          <w:sz w:val="24"/>
          <w:szCs w:val="24"/>
        </w:rPr>
        <w:t xml:space="preserve"> (LDPE)-enkeltdosisbeholdere. Hver enkeltdosisbeholder indeholder 0,25 ml af opløsningen.</w:t>
      </w:r>
    </w:p>
    <w:p w14:paraId="74911485" w14:textId="77777777" w:rsidR="00137031" w:rsidRPr="00137031" w:rsidRDefault="00137031" w:rsidP="00137031">
      <w:pPr>
        <w:tabs>
          <w:tab w:val="left" w:pos="851"/>
        </w:tabs>
        <w:ind w:left="851"/>
        <w:rPr>
          <w:sz w:val="24"/>
          <w:szCs w:val="24"/>
        </w:rPr>
      </w:pPr>
    </w:p>
    <w:p w14:paraId="7CCD2A20" w14:textId="77777777" w:rsidR="00137031" w:rsidRPr="00137031" w:rsidRDefault="00137031" w:rsidP="00137031">
      <w:pPr>
        <w:tabs>
          <w:tab w:val="left" w:pos="851"/>
        </w:tabs>
        <w:ind w:left="851"/>
        <w:rPr>
          <w:sz w:val="24"/>
          <w:szCs w:val="24"/>
        </w:rPr>
      </w:pPr>
      <w:proofErr w:type="spellStart"/>
      <w:r w:rsidRPr="00137031">
        <w:rPr>
          <w:sz w:val="24"/>
          <w:szCs w:val="24"/>
        </w:rPr>
        <w:t>Sekua</w:t>
      </w:r>
      <w:proofErr w:type="spellEnd"/>
      <w:r w:rsidRPr="00137031">
        <w:rPr>
          <w:sz w:val="24"/>
          <w:szCs w:val="24"/>
        </w:rPr>
        <w:t xml:space="preserve"> enkeltdosisbeholdere er pakket i æsker med 60 eller 180 enkeltdosisbeholdere: 10 enkeltdosisbeholdere (2 kort hver med 5 enkeltdosisbeholdere) er pakket i en polyfolie-aluminiumpose; 6 poser (60 stk.) eller 18 poser (180 stk.) er pakket i æskerne er pakket i kartoner eller multipakninger indeholdende 180 stk. (3 pakninger á 60'er).</w:t>
      </w:r>
    </w:p>
    <w:p w14:paraId="65D5F88C" w14:textId="77777777" w:rsidR="00137031" w:rsidRPr="00137031" w:rsidRDefault="00137031" w:rsidP="00137031">
      <w:pPr>
        <w:tabs>
          <w:tab w:val="left" w:pos="851"/>
        </w:tabs>
        <w:ind w:left="851"/>
        <w:rPr>
          <w:sz w:val="24"/>
          <w:szCs w:val="24"/>
        </w:rPr>
      </w:pPr>
    </w:p>
    <w:p w14:paraId="6FC75C08" w14:textId="722C533F" w:rsidR="009260DE" w:rsidRPr="00F2785D" w:rsidRDefault="00137031" w:rsidP="00137031">
      <w:pPr>
        <w:tabs>
          <w:tab w:val="left" w:pos="851"/>
        </w:tabs>
        <w:ind w:left="851"/>
        <w:rPr>
          <w:sz w:val="24"/>
          <w:szCs w:val="24"/>
        </w:rPr>
      </w:pPr>
      <w:r w:rsidRPr="00137031">
        <w:rPr>
          <w:sz w:val="24"/>
          <w:szCs w:val="24"/>
        </w:rPr>
        <w:t>Ikke alle pakningsstørrelser er nødvendigvis markedsført.</w:t>
      </w:r>
      <w:r>
        <w:rPr>
          <w:sz w:val="24"/>
          <w:szCs w:val="24"/>
        </w:rPr>
        <w:br/>
      </w:r>
    </w:p>
    <w:p w14:paraId="4E229F1C" w14:textId="77777777" w:rsidR="009260DE" w:rsidRPr="00F2785D" w:rsidRDefault="009260DE" w:rsidP="009260DE">
      <w:pPr>
        <w:tabs>
          <w:tab w:val="left" w:pos="851"/>
        </w:tabs>
        <w:ind w:left="851" w:hanging="851"/>
        <w:rPr>
          <w:b/>
          <w:sz w:val="24"/>
          <w:szCs w:val="24"/>
        </w:rPr>
      </w:pPr>
      <w:r w:rsidRPr="00F2785D">
        <w:rPr>
          <w:b/>
          <w:sz w:val="24"/>
          <w:szCs w:val="24"/>
        </w:rPr>
        <w:t>6.6</w:t>
      </w:r>
      <w:r w:rsidRPr="00F2785D">
        <w:rPr>
          <w:b/>
          <w:sz w:val="24"/>
          <w:szCs w:val="24"/>
        </w:rPr>
        <w:tab/>
        <w:t xml:space="preserve">Regler for </w:t>
      </w:r>
      <w:r w:rsidR="00BD7931" w:rsidRPr="00F2785D">
        <w:rPr>
          <w:b/>
          <w:sz w:val="24"/>
          <w:szCs w:val="24"/>
        </w:rPr>
        <w:t>bortskaffelse</w:t>
      </w:r>
      <w:r w:rsidRPr="00F2785D">
        <w:rPr>
          <w:b/>
          <w:sz w:val="24"/>
          <w:szCs w:val="24"/>
        </w:rPr>
        <w:t xml:space="preserve"> og anden håndtering</w:t>
      </w:r>
    </w:p>
    <w:p w14:paraId="5163DE6D" w14:textId="77777777" w:rsidR="000A322C" w:rsidRPr="00F2785D" w:rsidRDefault="000A322C" w:rsidP="0011507A">
      <w:pPr>
        <w:ind w:left="851"/>
        <w:rPr>
          <w:sz w:val="24"/>
          <w:szCs w:val="24"/>
        </w:rPr>
      </w:pPr>
      <w:r w:rsidRPr="00F2785D">
        <w:rPr>
          <w:sz w:val="24"/>
          <w:szCs w:val="24"/>
        </w:rPr>
        <w:t>Ikke anvendt lægemiddel samt affald heraf skal bortskaffes i henhold til lokale retningslinjer.</w:t>
      </w:r>
    </w:p>
    <w:p w14:paraId="006205BC" w14:textId="77777777" w:rsidR="009260DE" w:rsidRPr="00F2785D" w:rsidRDefault="009260DE" w:rsidP="000730CA">
      <w:pPr>
        <w:tabs>
          <w:tab w:val="left" w:pos="851"/>
        </w:tabs>
        <w:ind w:left="851"/>
        <w:rPr>
          <w:sz w:val="24"/>
          <w:szCs w:val="24"/>
        </w:rPr>
      </w:pPr>
    </w:p>
    <w:p w14:paraId="4B82A10A" w14:textId="77777777" w:rsidR="009260DE" w:rsidRPr="00F2785D" w:rsidRDefault="009260DE" w:rsidP="009260DE">
      <w:pPr>
        <w:tabs>
          <w:tab w:val="left" w:pos="851"/>
        </w:tabs>
        <w:ind w:left="851" w:hanging="851"/>
        <w:rPr>
          <w:b/>
          <w:sz w:val="24"/>
          <w:szCs w:val="24"/>
        </w:rPr>
      </w:pPr>
      <w:r w:rsidRPr="00F2785D">
        <w:rPr>
          <w:b/>
          <w:sz w:val="24"/>
          <w:szCs w:val="24"/>
        </w:rPr>
        <w:t>7.</w:t>
      </w:r>
      <w:r w:rsidRPr="00F2785D">
        <w:rPr>
          <w:b/>
          <w:sz w:val="24"/>
          <w:szCs w:val="24"/>
        </w:rPr>
        <w:tab/>
        <w:t>INDEHAVER AF MARKEDSFØRINGSTILLADELSEN</w:t>
      </w:r>
    </w:p>
    <w:p w14:paraId="2B3B49F5" w14:textId="77777777" w:rsidR="000A322C" w:rsidRPr="00F2785D" w:rsidRDefault="000A322C" w:rsidP="0011507A">
      <w:pPr>
        <w:ind w:left="851"/>
        <w:rPr>
          <w:sz w:val="24"/>
          <w:szCs w:val="24"/>
        </w:rPr>
      </w:pPr>
      <w:r w:rsidRPr="00F2785D">
        <w:rPr>
          <w:sz w:val="24"/>
          <w:szCs w:val="24"/>
        </w:rPr>
        <w:t xml:space="preserve">Sun </w:t>
      </w:r>
      <w:proofErr w:type="spellStart"/>
      <w:r w:rsidRPr="00F2785D">
        <w:rPr>
          <w:sz w:val="24"/>
          <w:szCs w:val="24"/>
        </w:rPr>
        <w:t>Pharmaceutical</w:t>
      </w:r>
      <w:proofErr w:type="spellEnd"/>
      <w:r w:rsidRPr="00F2785D">
        <w:rPr>
          <w:sz w:val="24"/>
          <w:szCs w:val="24"/>
        </w:rPr>
        <w:t xml:space="preserve"> Industries BV</w:t>
      </w:r>
    </w:p>
    <w:p w14:paraId="1C9102E3" w14:textId="77777777" w:rsidR="000A322C" w:rsidRPr="00F2785D" w:rsidRDefault="000A322C" w:rsidP="0011507A">
      <w:pPr>
        <w:ind w:left="851"/>
        <w:rPr>
          <w:sz w:val="24"/>
          <w:szCs w:val="24"/>
        </w:rPr>
      </w:pPr>
      <w:r w:rsidRPr="00F2785D">
        <w:rPr>
          <w:sz w:val="24"/>
          <w:szCs w:val="24"/>
        </w:rPr>
        <w:t>Polarisavenue 87</w:t>
      </w:r>
    </w:p>
    <w:p w14:paraId="022891DD" w14:textId="77777777" w:rsidR="000A322C" w:rsidRPr="00F2785D" w:rsidRDefault="000A322C" w:rsidP="0011507A">
      <w:pPr>
        <w:ind w:left="851"/>
        <w:rPr>
          <w:sz w:val="24"/>
          <w:szCs w:val="24"/>
        </w:rPr>
      </w:pPr>
      <w:r w:rsidRPr="00F2785D">
        <w:rPr>
          <w:sz w:val="24"/>
          <w:szCs w:val="24"/>
        </w:rPr>
        <w:t xml:space="preserve">2132JH </w:t>
      </w:r>
      <w:proofErr w:type="spellStart"/>
      <w:r w:rsidRPr="00F2785D">
        <w:rPr>
          <w:sz w:val="24"/>
          <w:szCs w:val="24"/>
        </w:rPr>
        <w:t>Hoofddorp</w:t>
      </w:r>
      <w:proofErr w:type="spellEnd"/>
    </w:p>
    <w:p w14:paraId="69708521" w14:textId="77777777" w:rsidR="000A322C" w:rsidRPr="00F2785D" w:rsidRDefault="000A322C" w:rsidP="0011507A">
      <w:pPr>
        <w:ind w:left="851"/>
        <w:rPr>
          <w:sz w:val="24"/>
          <w:szCs w:val="24"/>
        </w:rPr>
      </w:pPr>
      <w:r w:rsidRPr="00F2785D">
        <w:rPr>
          <w:sz w:val="24"/>
          <w:szCs w:val="24"/>
        </w:rPr>
        <w:t>Holland</w:t>
      </w:r>
    </w:p>
    <w:p w14:paraId="2F5EB2C8" w14:textId="77777777" w:rsidR="00641C65" w:rsidRPr="00F2785D" w:rsidRDefault="00641C65" w:rsidP="009260DE">
      <w:pPr>
        <w:tabs>
          <w:tab w:val="left" w:pos="851"/>
        </w:tabs>
        <w:ind w:left="851"/>
        <w:rPr>
          <w:sz w:val="24"/>
          <w:szCs w:val="24"/>
        </w:rPr>
      </w:pPr>
    </w:p>
    <w:p w14:paraId="5EFD6232" w14:textId="77777777" w:rsidR="009260DE" w:rsidRPr="00F2785D" w:rsidRDefault="009260DE" w:rsidP="009260DE">
      <w:pPr>
        <w:tabs>
          <w:tab w:val="left" w:pos="851"/>
        </w:tabs>
        <w:ind w:left="851" w:hanging="851"/>
        <w:rPr>
          <w:b/>
          <w:sz w:val="24"/>
          <w:szCs w:val="24"/>
        </w:rPr>
      </w:pPr>
      <w:r w:rsidRPr="00F2785D">
        <w:rPr>
          <w:b/>
          <w:sz w:val="24"/>
          <w:szCs w:val="24"/>
        </w:rPr>
        <w:t>8.</w:t>
      </w:r>
      <w:r w:rsidRPr="00F2785D">
        <w:rPr>
          <w:b/>
          <w:sz w:val="24"/>
          <w:szCs w:val="24"/>
        </w:rPr>
        <w:tab/>
        <w:t>MARKEDSFØRINGSTILLADELSESNUMMER (</w:t>
      </w:r>
      <w:r w:rsidR="00BF6243" w:rsidRPr="00F2785D">
        <w:rPr>
          <w:b/>
          <w:sz w:val="24"/>
          <w:szCs w:val="24"/>
        </w:rPr>
        <w:t>-</w:t>
      </w:r>
      <w:r w:rsidRPr="00F2785D">
        <w:rPr>
          <w:b/>
          <w:sz w:val="24"/>
          <w:szCs w:val="24"/>
        </w:rPr>
        <w:t>NUMRE)</w:t>
      </w:r>
    </w:p>
    <w:p w14:paraId="39ACF334" w14:textId="700E651D" w:rsidR="009260DE" w:rsidRPr="00F2785D" w:rsidRDefault="000A322C" w:rsidP="009260DE">
      <w:pPr>
        <w:tabs>
          <w:tab w:val="left" w:pos="851"/>
        </w:tabs>
        <w:ind w:left="851"/>
        <w:rPr>
          <w:sz w:val="24"/>
          <w:szCs w:val="24"/>
        </w:rPr>
      </w:pPr>
      <w:r w:rsidRPr="00F2785D">
        <w:rPr>
          <w:sz w:val="24"/>
          <w:szCs w:val="24"/>
        </w:rPr>
        <w:t>68511</w:t>
      </w:r>
    </w:p>
    <w:p w14:paraId="3AFADFF7" w14:textId="77777777" w:rsidR="009260DE" w:rsidRPr="00F2785D" w:rsidRDefault="009260DE" w:rsidP="009260DE">
      <w:pPr>
        <w:tabs>
          <w:tab w:val="left" w:pos="851"/>
        </w:tabs>
        <w:ind w:left="851"/>
        <w:jc w:val="both"/>
        <w:rPr>
          <w:sz w:val="24"/>
          <w:szCs w:val="24"/>
        </w:rPr>
      </w:pPr>
    </w:p>
    <w:p w14:paraId="456EEAE9" w14:textId="77777777" w:rsidR="009260DE" w:rsidRPr="00F2785D" w:rsidRDefault="009260DE" w:rsidP="009260DE">
      <w:pPr>
        <w:tabs>
          <w:tab w:val="left" w:pos="851"/>
        </w:tabs>
        <w:ind w:left="851" w:hanging="851"/>
        <w:rPr>
          <w:b/>
          <w:sz w:val="24"/>
          <w:szCs w:val="24"/>
        </w:rPr>
      </w:pPr>
      <w:r w:rsidRPr="00F2785D">
        <w:rPr>
          <w:b/>
          <w:sz w:val="24"/>
          <w:szCs w:val="24"/>
        </w:rPr>
        <w:t>9.</w:t>
      </w:r>
      <w:r w:rsidRPr="00F2785D">
        <w:rPr>
          <w:b/>
          <w:sz w:val="24"/>
          <w:szCs w:val="24"/>
        </w:rPr>
        <w:tab/>
        <w:t>DATO FOR FØRSTE MARKEDSFØRINGSTILLADELSE</w:t>
      </w:r>
    </w:p>
    <w:p w14:paraId="4B36C0DD" w14:textId="6D1F7159" w:rsidR="009260DE" w:rsidRPr="00F2785D" w:rsidRDefault="00B71A67" w:rsidP="009260DE">
      <w:pPr>
        <w:tabs>
          <w:tab w:val="left" w:pos="851"/>
        </w:tabs>
        <w:ind w:left="851"/>
        <w:rPr>
          <w:sz w:val="24"/>
          <w:szCs w:val="24"/>
        </w:rPr>
      </w:pPr>
      <w:r>
        <w:rPr>
          <w:sz w:val="24"/>
          <w:szCs w:val="24"/>
        </w:rPr>
        <w:t>2. maj 2024</w:t>
      </w:r>
    </w:p>
    <w:p w14:paraId="0E91BE6C" w14:textId="77777777" w:rsidR="009260DE" w:rsidRPr="00F2785D" w:rsidRDefault="009260DE" w:rsidP="009260DE">
      <w:pPr>
        <w:tabs>
          <w:tab w:val="left" w:pos="851"/>
        </w:tabs>
        <w:ind w:left="851"/>
        <w:rPr>
          <w:sz w:val="24"/>
          <w:szCs w:val="24"/>
        </w:rPr>
      </w:pPr>
    </w:p>
    <w:p w14:paraId="0842EA70" w14:textId="77777777" w:rsidR="009260DE" w:rsidRPr="00F2785D" w:rsidRDefault="009260DE" w:rsidP="009260DE">
      <w:pPr>
        <w:tabs>
          <w:tab w:val="left" w:pos="851"/>
        </w:tabs>
        <w:ind w:left="851" w:hanging="851"/>
        <w:rPr>
          <w:b/>
          <w:sz w:val="24"/>
          <w:szCs w:val="24"/>
        </w:rPr>
      </w:pPr>
      <w:r w:rsidRPr="00F2785D">
        <w:rPr>
          <w:b/>
          <w:sz w:val="24"/>
          <w:szCs w:val="24"/>
        </w:rPr>
        <w:t>10.</w:t>
      </w:r>
      <w:r w:rsidRPr="00F2785D">
        <w:rPr>
          <w:b/>
          <w:sz w:val="24"/>
          <w:szCs w:val="24"/>
        </w:rPr>
        <w:tab/>
        <w:t>DATO FOR ÆNDRING AF TEKSTEN</w:t>
      </w:r>
    </w:p>
    <w:p w14:paraId="0A287CD1" w14:textId="34089267" w:rsidR="009260DE" w:rsidRPr="00F2785D" w:rsidRDefault="00137031" w:rsidP="009260DE">
      <w:pPr>
        <w:tabs>
          <w:tab w:val="left" w:pos="851"/>
        </w:tabs>
        <w:ind w:left="851"/>
        <w:rPr>
          <w:sz w:val="24"/>
          <w:szCs w:val="24"/>
        </w:rPr>
      </w:pPr>
      <w:r>
        <w:rPr>
          <w:sz w:val="24"/>
          <w:szCs w:val="24"/>
        </w:rPr>
        <w:t>08</w:t>
      </w:r>
      <w:r w:rsidR="00235132">
        <w:rPr>
          <w:sz w:val="24"/>
          <w:szCs w:val="24"/>
        </w:rPr>
        <w:t xml:space="preserve">. </w:t>
      </w:r>
      <w:r>
        <w:rPr>
          <w:sz w:val="24"/>
          <w:szCs w:val="24"/>
        </w:rPr>
        <w:t xml:space="preserve">april </w:t>
      </w:r>
      <w:r w:rsidR="00235132">
        <w:rPr>
          <w:sz w:val="24"/>
          <w:szCs w:val="24"/>
        </w:rPr>
        <w:t>202</w:t>
      </w:r>
      <w:r>
        <w:rPr>
          <w:sz w:val="24"/>
          <w:szCs w:val="24"/>
        </w:rPr>
        <w:t>5</w:t>
      </w:r>
      <w:bookmarkStart w:id="1" w:name="_GoBack"/>
      <w:bookmarkEnd w:id="1"/>
    </w:p>
    <w:sectPr w:rsidR="009260DE" w:rsidRPr="00F2785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049FC" w14:textId="77777777" w:rsidR="00C10230" w:rsidRDefault="00C10230">
      <w:r>
        <w:separator/>
      </w:r>
    </w:p>
  </w:endnote>
  <w:endnote w:type="continuationSeparator" w:id="0">
    <w:p w14:paraId="4B15FE97" w14:textId="77777777" w:rsidR="00C10230" w:rsidRDefault="00C1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C267B" w14:textId="77777777" w:rsidR="000259B9" w:rsidRDefault="000259B9">
    <w:pPr>
      <w:pStyle w:val="Sidefod"/>
      <w:pBdr>
        <w:bottom w:val="single" w:sz="6" w:space="1" w:color="auto"/>
      </w:pBdr>
    </w:pPr>
  </w:p>
  <w:p w14:paraId="379D3385" w14:textId="77777777" w:rsidR="000259B9" w:rsidRDefault="000259B9" w:rsidP="00C42586">
    <w:pPr>
      <w:pStyle w:val="Sidefod"/>
      <w:tabs>
        <w:tab w:val="clear" w:pos="4819"/>
        <w:tab w:val="left" w:pos="8505"/>
      </w:tabs>
      <w:rPr>
        <w:i/>
        <w:sz w:val="18"/>
        <w:szCs w:val="18"/>
      </w:rPr>
    </w:pPr>
  </w:p>
  <w:p w14:paraId="24CE5274" w14:textId="0654EF4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75849">
      <w:rPr>
        <w:i/>
        <w:noProof/>
        <w:sz w:val="18"/>
        <w:szCs w:val="18"/>
      </w:rPr>
      <w:t>Sekua, øjendråber, opløsning, enkeltdosisbeholder 0,9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179BD" w14:textId="77777777" w:rsidR="00C10230" w:rsidRDefault="00C10230">
      <w:r>
        <w:separator/>
      </w:r>
    </w:p>
  </w:footnote>
  <w:footnote w:type="continuationSeparator" w:id="0">
    <w:p w14:paraId="7D79A80D" w14:textId="77777777" w:rsidR="00C10230" w:rsidRDefault="00C10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30"/>
    <w:rsid w:val="000259B9"/>
    <w:rsid w:val="00041491"/>
    <w:rsid w:val="00050D16"/>
    <w:rsid w:val="000730CA"/>
    <w:rsid w:val="00074F2A"/>
    <w:rsid w:val="000A1CA8"/>
    <w:rsid w:val="000A322C"/>
    <w:rsid w:val="000A466B"/>
    <w:rsid w:val="000B058C"/>
    <w:rsid w:val="000D68B0"/>
    <w:rsid w:val="000E4EE6"/>
    <w:rsid w:val="0011507A"/>
    <w:rsid w:val="00137031"/>
    <w:rsid w:val="00142CE1"/>
    <w:rsid w:val="001454E2"/>
    <w:rsid w:val="001B2F2E"/>
    <w:rsid w:val="00206CE8"/>
    <w:rsid w:val="0021526C"/>
    <w:rsid w:val="00235132"/>
    <w:rsid w:val="00283A2B"/>
    <w:rsid w:val="002B30AD"/>
    <w:rsid w:val="002C1EC0"/>
    <w:rsid w:val="002C2C01"/>
    <w:rsid w:val="003A29AE"/>
    <w:rsid w:val="003A32D7"/>
    <w:rsid w:val="003B4074"/>
    <w:rsid w:val="003C769A"/>
    <w:rsid w:val="003D3A90"/>
    <w:rsid w:val="003F1838"/>
    <w:rsid w:val="004136BF"/>
    <w:rsid w:val="004251C1"/>
    <w:rsid w:val="0045746C"/>
    <w:rsid w:val="00475455"/>
    <w:rsid w:val="0049104B"/>
    <w:rsid w:val="004E3B12"/>
    <w:rsid w:val="00532310"/>
    <w:rsid w:val="00565F0F"/>
    <w:rsid w:val="00594A86"/>
    <w:rsid w:val="00596D86"/>
    <w:rsid w:val="00637F5A"/>
    <w:rsid w:val="00641C65"/>
    <w:rsid w:val="006560B1"/>
    <w:rsid w:val="006756DD"/>
    <w:rsid w:val="006F6613"/>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75849"/>
    <w:rsid w:val="00A940BB"/>
    <w:rsid w:val="00B003BF"/>
    <w:rsid w:val="00B373D7"/>
    <w:rsid w:val="00B55271"/>
    <w:rsid w:val="00B71A67"/>
    <w:rsid w:val="00BD7931"/>
    <w:rsid w:val="00BF6243"/>
    <w:rsid w:val="00C10230"/>
    <w:rsid w:val="00C36276"/>
    <w:rsid w:val="00C42586"/>
    <w:rsid w:val="00C45F6B"/>
    <w:rsid w:val="00C60CCD"/>
    <w:rsid w:val="00C84483"/>
    <w:rsid w:val="00C95551"/>
    <w:rsid w:val="00CB20D7"/>
    <w:rsid w:val="00D020B0"/>
    <w:rsid w:val="00D11748"/>
    <w:rsid w:val="00D237F6"/>
    <w:rsid w:val="00D34D98"/>
    <w:rsid w:val="00D366CF"/>
    <w:rsid w:val="00D7144A"/>
    <w:rsid w:val="00D93992"/>
    <w:rsid w:val="00E108AA"/>
    <w:rsid w:val="00E3749A"/>
    <w:rsid w:val="00E7437F"/>
    <w:rsid w:val="00E865B8"/>
    <w:rsid w:val="00EC0B9B"/>
    <w:rsid w:val="00ED5E9F"/>
    <w:rsid w:val="00F2785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10A98"/>
  <w15:chartTrackingRefBased/>
  <w15:docId w15:val="{C9805F8E-FBFC-4641-85CE-5DCD5264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0A322C"/>
    <w:rPr>
      <w:color w:val="0000FF"/>
      <w:u w:val="single"/>
    </w:rPr>
  </w:style>
  <w:style w:type="table" w:styleId="Tabel-Gitter">
    <w:name w:val="Table Grid"/>
    <w:basedOn w:val="Tabel-Normal"/>
    <w:rsid w:val="000A322C"/>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1157">
      <w:bodyDiv w:val="1"/>
      <w:marLeft w:val="0"/>
      <w:marRight w:val="0"/>
      <w:marTop w:val="0"/>
      <w:marBottom w:val="0"/>
      <w:divBdr>
        <w:top w:val="none" w:sz="0" w:space="0" w:color="auto"/>
        <w:left w:val="none" w:sz="0" w:space="0" w:color="auto"/>
        <w:bottom w:val="none" w:sz="0" w:space="0" w:color="auto"/>
        <w:right w:val="none" w:sz="0" w:space="0" w:color="auto"/>
      </w:divBdr>
    </w:div>
    <w:div w:id="11437511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8155732">
      <w:bodyDiv w:val="1"/>
      <w:marLeft w:val="0"/>
      <w:marRight w:val="0"/>
      <w:marTop w:val="0"/>
      <w:marBottom w:val="0"/>
      <w:divBdr>
        <w:top w:val="none" w:sz="0" w:space="0" w:color="auto"/>
        <w:left w:val="none" w:sz="0" w:space="0" w:color="auto"/>
        <w:bottom w:val="none" w:sz="0" w:space="0" w:color="auto"/>
        <w:right w:val="none" w:sz="0" w:space="0" w:color="auto"/>
      </w:divBdr>
    </w:div>
    <w:div w:id="203566245">
      <w:bodyDiv w:val="1"/>
      <w:marLeft w:val="0"/>
      <w:marRight w:val="0"/>
      <w:marTop w:val="0"/>
      <w:marBottom w:val="0"/>
      <w:divBdr>
        <w:top w:val="none" w:sz="0" w:space="0" w:color="auto"/>
        <w:left w:val="none" w:sz="0" w:space="0" w:color="auto"/>
        <w:bottom w:val="none" w:sz="0" w:space="0" w:color="auto"/>
        <w:right w:val="none" w:sz="0" w:space="0" w:color="auto"/>
      </w:divBdr>
    </w:div>
    <w:div w:id="303629806">
      <w:bodyDiv w:val="1"/>
      <w:marLeft w:val="0"/>
      <w:marRight w:val="0"/>
      <w:marTop w:val="0"/>
      <w:marBottom w:val="0"/>
      <w:divBdr>
        <w:top w:val="none" w:sz="0" w:space="0" w:color="auto"/>
        <w:left w:val="none" w:sz="0" w:space="0" w:color="auto"/>
        <w:bottom w:val="none" w:sz="0" w:space="0" w:color="auto"/>
        <w:right w:val="none" w:sz="0" w:space="0" w:color="auto"/>
      </w:divBdr>
    </w:div>
    <w:div w:id="388917883">
      <w:bodyDiv w:val="1"/>
      <w:marLeft w:val="0"/>
      <w:marRight w:val="0"/>
      <w:marTop w:val="0"/>
      <w:marBottom w:val="0"/>
      <w:divBdr>
        <w:top w:val="none" w:sz="0" w:space="0" w:color="auto"/>
        <w:left w:val="none" w:sz="0" w:space="0" w:color="auto"/>
        <w:bottom w:val="none" w:sz="0" w:space="0" w:color="auto"/>
        <w:right w:val="none" w:sz="0" w:space="0" w:color="auto"/>
      </w:divBdr>
    </w:div>
    <w:div w:id="472141661">
      <w:bodyDiv w:val="1"/>
      <w:marLeft w:val="0"/>
      <w:marRight w:val="0"/>
      <w:marTop w:val="0"/>
      <w:marBottom w:val="0"/>
      <w:divBdr>
        <w:top w:val="none" w:sz="0" w:space="0" w:color="auto"/>
        <w:left w:val="none" w:sz="0" w:space="0" w:color="auto"/>
        <w:bottom w:val="none" w:sz="0" w:space="0" w:color="auto"/>
        <w:right w:val="none" w:sz="0" w:space="0" w:color="auto"/>
      </w:divBdr>
    </w:div>
    <w:div w:id="487288044">
      <w:bodyDiv w:val="1"/>
      <w:marLeft w:val="0"/>
      <w:marRight w:val="0"/>
      <w:marTop w:val="0"/>
      <w:marBottom w:val="0"/>
      <w:divBdr>
        <w:top w:val="none" w:sz="0" w:space="0" w:color="auto"/>
        <w:left w:val="none" w:sz="0" w:space="0" w:color="auto"/>
        <w:bottom w:val="none" w:sz="0" w:space="0" w:color="auto"/>
        <w:right w:val="none" w:sz="0" w:space="0" w:color="auto"/>
      </w:divBdr>
    </w:div>
    <w:div w:id="488714575">
      <w:bodyDiv w:val="1"/>
      <w:marLeft w:val="0"/>
      <w:marRight w:val="0"/>
      <w:marTop w:val="0"/>
      <w:marBottom w:val="0"/>
      <w:divBdr>
        <w:top w:val="none" w:sz="0" w:space="0" w:color="auto"/>
        <w:left w:val="none" w:sz="0" w:space="0" w:color="auto"/>
        <w:bottom w:val="none" w:sz="0" w:space="0" w:color="auto"/>
        <w:right w:val="none" w:sz="0" w:space="0" w:color="auto"/>
      </w:divBdr>
    </w:div>
    <w:div w:id="680158589">
      <w:bodyDiv w:val="1"/>
      <w:marLeft w:val="0"/>
      <w:marRight w:val="0"/>
      <w:marTop w:val="0"/>
      <w:marBottom w:val="0"/>
      <w:divBdr>
        <w:top w:val="none" w:sz="0" w:space="0" w:color="auto"/>
        <w:left w:val="none" w:sz="0" w:space="0" w:color="auto"/>
        <w:bottom w:val="none" w:sz="0" w:space="0" w:color="auto"/>
        <w:right w:val="none" w:sz="0" w:space="0" w:color="auto"/>
      </w:divBdr>
    </w:div>
    <w:div w:id="695665063">
      <w:bodyDiv w:val="1"/>
      <w:marLeft w:val="0"/>
      <w:marRight w:val="0"/>
      <w:marTop w:val="0"/>
      <w:marBottom w:val="0"/>
      <w:divBdr>
        <w:top w:val="none" w:sz="0" w:space="0" w:color="auto"/>
        <w:left w:val="none" w:sz="0" w:space="0" w:color="auto"/>
        <w:bottom w:val="none" w:sz="0" w:space="0" w:color="auto"/>
        <w:right w:val="none" w:sz="0" w:space="0" w:color="auto"/>
      </w:divBdr>
    </w:div>
    <w:div w:id="718940042">
      <w:bodyDiv w:val="1"/>
      <w:marLeft w:val="0"/>
      <w:marRight w:val="0"/>
      <w:marTop w:val="0"/>
      <w:marBottom w:val="0"/>
      <w:divBdr>
        <w:top w:val="none" w:sz="0" w:space="0" w:color="auto"/>
        <w:left w:val="none" w:sz="0" w:space="0" w:color="auto"/>
        <w:bottom w:val="none" w:sz="0" w:space="0" w:color="auto"/>
        <w:right w:val="none" w:sz="0" w:space="0" w:color="auto"/>
      </w:divBdr>
    </w:div>
    <w:div w:id="855582173">
      <w:bodyDiv w:val="1"/>
      <w:marLeft w:val="0"/>
      <w:marRight w:val="0"/>
      <w:marTop w:val="0"/>
      <w:marBottom w:val="0"/>
      <w:divBdr>
        <w:top w:val="none" w:sz="0" w:space="0" w:color="auto"/>
        <w:left w:val="none" w:sz="0" w:space="0" w:color="auto"/>
        <w:bottom w:val="none" w:sz="0" w:space="0" w:color="auto"/>
        <w:right w:val="none" w:sz="0" w:space="0" w:color="auto"/>
      </w:divBdr>
    </w:div>
    <w:div w:id="969868438">
      <w:bodyDiv w:val="1"/>
      <w:marLeft w:val="0"/>
      <w:marRight w:val="0"/>
      <w:marTop w:val="0"/>
      <w:marBottom w:val="0"/>
      <w:divBdr>
        <w:top w:val="none" w:sz="0" w:space="0" w:color="auto"/>
        <w:left w:val="none" w:sz="0" w:space="0" w:color="auto"/>
        <w:bottom w:val="none" w:sz="0" w:space="0" w:color="auto"/>
        <w:right w:val="none" w:sz="0" w:space="0" w:color="auto"/>
      </w:divBdr>
    </w:div>
    <w:div w:id="1357120504">
      <w:bodyDiv w:val="1"/>
      <w:marLeft w:val="0"/>
      <w:marRight w:val="0"/>
      <w:marTop w:val="0"/>
      <w:marBottom w:val="0"/>
      <w:divBdr>
        <w:top w:val="none" w:sz="0" w:space="0" w:color="auto"/>
        <w:left w:val="none" w:sz="0" w:space="0" w:color="auto"/>
        <w:bottom w:val="none" w:sz="0" w:space="0" w:color="auto"/>
        <w:right w:val="none" w:sz="0" w:space="0" w:color="auto"/>
      </w:divBdr>
    </w:div>
    <w:div w:id="1372338280">
      <w:bodyDiv w:val="1"/>
      <w:marLeft w:val="0"/>
      <w:marRight w:val="0"/>
      <w:marTop w:val="0"/>
      <w:marBottom w:val="0"/>
      <w:divBdr>
        <w:top w:val="none" w:sz="0" w:space="0" w:color="auto"/>
        <w:left w:val="none" w:sz="0" w:space="0" w:color="auto"/>
        <w:bottom w:val="none" w:sz="0" w:space="0" w:color="auto"/>
        <w:right w:val="none" w:sz="0" w:space="0" w:color="auto"/>
      </w:divBdr>
    </w:div>
    <w:div w:id="1548225858">
      <w:bodyDiv w:val="1"/>
      <w:marLeft w:val="0"/>
      <w:marRight w:val="0"/>
      <w:marTop w:val="0"/>
      <w:marBottom w:val="0"/>
      <w:divBdr>
        <w:top w:val="none" w:sz="0" w:space="0" w:color="auto"/>
        <w:left w:val="none" w:sz="0" w:space="0" w:color="auto"/>
        <w:bottom w:val="none" w:sz="0" w:space="0" w:color="auto"/>
        <w:right w:val="none" w:sz="0" w:space="0" w:color="auto"/>
      </w:divBdr>
    </w:div>
    <w:div w:id="1585990690">
      <w:bodyDiv w:val="1"/>
      <w:marLeft w:val="0"/>
      <w:marRight w:val="0"/>
      <w:marTop w:val="0"/>
      <w:marBottom w:val="0"/>
      <w:divBdr>
        <w:top w:val="none" w:sz="0" w:space="0" w:color="auto"/>
        <w:left w:val="none" w:sz="0" w:space="0" w:color="auto"/>
        <w:bottom w:val="none" w:sz="0" w:space="0" w:color="auto"/>
        <w:right w:val="none" w:sz="0" w:space="0" w:color="auto"/>
      </w:divBdr>
    </w:div>
    <w:div w:id="1754626196">
      <w:bodyDiv w:val="1"/>
      <w:marLeft w:val="0"/>
      <w:marRight w:val="0"/>
      <w:marTop w:val="0"/>
      <w:marBottom w:val="0"/>
      <w:divBdr>
        <w:top w:val="none" w:sz="0" w:space="0" w:color="auto"/>
        <w:left w:val="none" w:sz="0" w:space="0" w:color="auto"/>
        <w:bottom w:val="none" w:sz="0" w:space="0" w:color="auto"/>
        <w:right w:val="none" w:sz="0" w:space="0" w:color="auto"/>
      </w:divBdr>
    </w:div>
    <w:div w:id="1837727352">
      <w:bodyDiv w:val="1"/>
      <w:marLeft w:val="0"/>
      <w:marRight w:val="0"/>
      <w:marTop w:val="0"/>
      <w:marBottom w:val="0"/>
      <w:divBdr>
        <w:top w:val="none" w:sz="0" w:space="0" w:color="auto"/>
        <w:left w:val="none" w:sz="0" w:space="0" w:color="auto"/>
        <w:bottom w:val="none" w:sz="0" w:space="0" w:color="auto"/>
        <w:right w:val="none" w:sz="0" w:space="0" w:color="auto"/>
      </w:divBdr>
    </w:div>
    <w:div w:id="1915816323">
      <w:bodyDiv w:val="1"/>
      <w:marLeft w:val="0"/>
      <w:marRight w:val="0"/>
      <w:marTop w:val="0"/>
      <w:marBottom w:val="0"/>
      <w:divBdr>
        <w:top w:val="none" w:sz="0" w:space="0" w:color="auto"/>
        <w:left w:val="none" w:sz="0" w:space="0" w:color="auto"/>
        <w:bottom w:val="none" w:sz="0" w:space="0" w:color="auto"/>
        <w:right w:val="none" w:sz="0" w:space="0" w:color="auto"/>
      </w:divBdr>
    </w:div>
    <w:div w:id="1984575176">
      <w:bodyDiv w:val="1"/>
      <w:marLeft w:val="0"/>
      <w:marRight w:val="0"/>
      <w:marTop w:val="0"/>
      <w:marBottom w:val="0"/>
      <w:divBdr>
        <w:top w:val="none" w:sz="0" w:space="0" w:color="auto"/>
        <w:left w:val="none" w:sz="0" w:space="0" w:color="auto"/>
        <w:bottom w:val="none" w:sz="0" w:space="0" w:color="auto"/>
        <w:right w:val="none" w:sz="0" w:space="0" w:color="auto"/>
      </w:divBdr>
    </w:div>
    <w:div w:id="210490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9</Pages>
  <Words>2589</Words>
  <Characters>16715</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HELS@dkma.dk</dc:creator>
  <cp:keywords/>
  <dc:description>2025010257 SPC punkt 6.5</dc:description>
  <cp:lastModifiedBy>Nanna Helene Lillelund</cp:lastModifiedBy>
  <cp:revision>2</cp:revision>
  <cp:lastPrinted>2012-08-22T08:53:00Z</cp:lastPrinted>
  <dcterms:created xsi:type="dcterms:W3CDTF">2025-04-08T07:18:00Z</dcterms:created>
  <dcterms:modified xsi:type="dcterms:W3CDTF">2025-04-08T07:18:00Z</dcterms:modified>
</cp:coreProperties>
</file>