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904D5D" w:rsidRDefault="0021526C" w:rsidP="0015530E">
      <w:pPr>
        <w:rPr>
          <w:sz w:val="24"/>
          <w:szCs w:val="24"/>
        </w:rPr>
      </w:pPr>
      <w:r w:rsidRPr="00904D5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04D5D">
        <w:rPr>
          <w:sz w:val="24"/>
          <w:szCs w:val="24"/>
        </w:rPr>
        <w:br w:type="textWrapping" w:clear="all"/>
      </w:r>
    </w:p>
    <w:p w:rsidR="009260DE" w:rsidRPr="00904D5D" w:rsidRDefault="009260DE" w:rsidP="0015530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904D5D" w:rsidRDefault="009260DE" w:rsidP="0015530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04D5D">
        <w:rPr>
          <w:b w:val="0"/>
          <w:szCs w:val="24"/>
          <w:lang w:eastAsia="en-US"/>
        </w:rPr>
        <w:tab/>
      </w:r>
      <w:r w:rsidR="007A3AE4">
        <w:rPr>
          <w:szCs w:val="24"/>
        </w:rPr>
        <w:t>8</w:t>
      </w:r>
      <w:r w:rsidR="00442898">
        <w:rPr>
          <w:szCs w:val="24"/>
        </w:rPr>
        <w:t>. marts 2024</w:t>
      </w:r>
    </w:p>
    <w:p w:rsidR="009260DE" w:rsidRPr="00904D5D" w:rsidRDefault="009260DE" w:rsidP="0015530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Pr="00904D5D" w:rsidRDefault="009260DE" w:rsidP="0015530E">
      <w:pPr>
        <w:pStyle w:val="Titel"/>
        <w:jc w:val="left"/>
        <w:rPr>
          <w:b w:val="0"/>
          <w:szCs w:val="24"/>
        </w:rPr>
      </w:pPr>
    </w:p>
    <w:p w:rsidR="00442898" w:rsidRDefault="00442898" w:rsidP="0015530E">
      <w:pPr>
        <w:jc w:val="center"/>
        <w:rPr>
          <w:b/>
          <w:sz w:val="24"/>
          <w:szCs w:val="24"/>
        </w:rPr>
      </w:pPr>
    </w:p>
    <w:p w:rsidR="009260DE" w:rsidRPr="00904D5D" w:rsidRDefault="009260DE" w:rsidP="0015530E">
      <w:pPr>
        <w:jc w:val="center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PRODUKTRESUMÉ</w:t>
      </w:r>
    </w:p>
    <w:p w:rsidR="009260DE" w:rsidRPr="00904D5D" w:rsidRDefault="009260DE" w:rsidP="0015530E">
      <w:pPr>
        <w:jc w:val="center"/>
        <w:rPr>
          <w:b/>
          <w:sz w:val="24"/>
          <w:szCs w:val="24"/>
        </w:rPr>
      </w:pPr>
    </w:p>
    <w:p w:rsidR="009260DE" w:rsidRPr="00904D5D" w:rsidRDefault="009260DE" w:rsidP="0015530E">
      <w:pPr>
        <w:jc w:val="center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for</w:t>
      </w:r>
    </w:p>
    <w:p w:rsidR="000B058C" w:rsidRPr="00904D5D" w:rsidRDefault="000B058C" w:rsidP="0015530E">
      <w:pPr>
        <w:jc w:val="center"/>
        <w:rPr>
          <w:b/>
          <w:sz w:val="24"/>
          <w:szCs w:val="24"/>
        </w:rPr>
      </w:pPr>
    </w:p>
    <w:p w:rsidR="009260DE" w:rsidRPr="00904D5D" w:rsidRDefault="0057309E" w:rsidP="0015530E">
      <w:pPr>
        <w:jc w:val="center"/>
        <w:rPr>
          <w:b/>
          <w:sz w:val="24"/>
          <w:szCs w:val="24"/>
        </w:rPr>
      </w:pPr>
      <w:proofErr w:type="spellStart"/>
      <w:r w:rsidRPr="00904D5D">
        <w:rPr>
          <w:b/>
          <w:sz w:val="24"/>
          <w:szCs w:val="24"/>
        </w:rPr>
        <w:t>Septabene</w:t>
      </w:r>
      <w:proofErr w:type="spellEnd"/>
      <w:r w:rsidR="006734F4" w:rsidRPr="00904D5D">
        <w:rPr>
          <w:b/>
          <w:sz w:val="24"/>
          <w:szCs w:val="24"/>
        </w:rPr>
        <w:t xml:space="preserve"> citron og honning</w:t>
      </w:r>
      <w:r w:rsidRPr="00904D5D">
        <w:rPr>
          <w:b/>
          <w:sz w:val="24"/>
          <w:szCs w:val="24"/>
        </w:rPr>
        <w:t xml:space="preserve">, </w:t>
      </w:r>
      <w:r w:rsidR="006734F4" w:rsidRPr="00904D5D">
        <w:rPr>
          <w:b/>
          <w:sz w:val="24"/>
          <w:szCs w:val="24"/>
        </w:rPr>
        <w:t>sugetabletter</w:t>
      </w:r>
    </w:p>
    <w:p w:rsidR="009260DE" w:rsidRPr="00904D5D" w:rsidRDefault="009260DE" w:rsidP="0015530E">
      <w:pPr>
        <w:jc w:val="both"/>
        <w:rPr>
          <w:sz w:val="24"/>
          <w:szCs w:val="24"/>
        </w:rPr>
      </w:pPr>
    </w:p>
    <w:p w:rsidR="009260DE" w:rsidRPr="00904D5D" w:rsidRDefault="009260DE" w:rsidP="0015530E">
      <w:pPr>
        <w:jc w:val="both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0.</w:t>
      </w:r>
      <w:r w:rsidRPr="00904D5D">
        <w:rPr>
          <w:b/>
          <w:sz w:val="24"/>
          <w:szCs w:val="24"/>
        </w:rPr>
        <w:tab/>
        <w:t>D.SP.NR.</w:t>
      </w:r>
    </w:p>
    <w:p w:rsidR="009260DE" w:rsidRPr="00904D5D" w:rsidRDefault="0057309E" w:rsidP="0015530E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3187</w:t>
      </w:r>
      <w:r w:rsidR="00B06E4B" w:rsidRPr="00904D5D">
        <w:rPr>
          <w:sz w:val="24"/>
          <w:szCs w:val="24"/>
        </w:rPr>
        <w:t>0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1.</w:t>
      </w:r>
      <w:r w:rsidRPr="00904D5D">
        <w:rPr>
          <w:b/>
          <w:sz w:val="24"/>
          <w:szCs w:val="24"/>
        </w:rPr>
        <w:tab/>
        <w:t>LÆGEMIDLETS NAVN</w:t>
      </w:r>
    </w:p>
    <w:p w:rsidR="009260DE" w:rsidRPr="00904D5D" w:rsidRDefault="0057309E" w:rsidP="0015530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04D5D">
        <w:rPr>
          <w:sz w:val="24"/>
          <w:szCs w:val="24"/>
        </w:rPr>
        <w:t>Septabene</w:t>
      </w:r>
      <w:proofErr w:type="spellEnd"/>
      <w:r w:rsidR="006734F4" w:rsidRPr="00904D5D">
        <w:rPr>
          <w:sz w:val="24"/>
          <w:szCs w:val="24"/>
        </w:rPr>
        <w:t xml:space="preserve"> citron og honning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2.</w:t>
      </w:r>
      <w:r w:rsidRPr="00904D5D">
        <w:rPr>
          <w:b/>
          <w:sz w:val="24"/>
          <w:szCs w:val="24"/>
        </w:rPr>
        <w:tab/>
        <w:t>KVALITATIV OG KVANTITATIV SAMMENSÆTNING</w:t>
      </w:r>
    </w:p>
    <w:p w:rsidR="003D6779" w:rsidRPr="00904D5D" w:rsidRDefault="003D677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Hver sugetablet indeholder 3 mg </w:t>
      </w:r>
      <w:bookmarkStart w:id="0" w:name="_Hlk72089243"/>
      <w:proofErr w:type="spellStart"/>
      <w:r w:rsidRPr="00904D5D">
        <w:rPr>
          <w:sz w:val="24"/>
          <w:szCs w:val="24"/>
          <w:lang w:eastAsia="da-DK"/>
        </w:rPr>
        <w:t>benzydaminhydrochlorid</w:t>
      </w:r>
      <w:proofErr w:type="spellEnd"/>
      <w:r w:rsidRPr="00904D5D">
        <w:rPr>
          <w:sz w:val="24"/>
          <w:szCs w:val="24"/>
          <w:lang w:eastAsia="da-DK"/>
        </w:rPr>
        <w:t xml:space="preserve"> og 1 mg </w:t>
      </w:r>
      <w:proofErr w:type="spellStart"/>
      <w:r w:rsidRPr="00904D5D">
        <w:rPr>
          <w:sz w:val="24"/>
          <w:szCs w:val="24"/>
          <w:lang w:eastAsia="da-DK"/>
        </w:rPr>
        <w:t>cetylpyridiniumchlorid</w:t>
      </w:r>
      <w:proofErr w:type="spellEnd"/>
      <w:r w:rsidRPr="00904D5D">
        <w:rPr>
          <w:sz w:val="24"/>
          <w:szCs w:val="24"/>
          <w:lang w:eastAsia="da-DK"/>
        </w:rPr>
        <w:t>.</w:t>
      </w:r>
    </w:p>
    <w:bookmarkEnd w:id="0"/>
    <w:p w:rsidR="003D6779" w:rsidRPr="00904D5D" w:rsidRDefault="003D677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3D6779" w:rsidRPr="00904D5D" w:rsidRDefault="003D6779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Hjælpestoffer, som behandleren skal være opmærksom på</w:t>
      </w:r>
    </w:p>
    <w:p w:rsidR="003D6779" w:rsidRPr="00904D5D" w:rsidRDefault="003D6779" w:rsidP="0015530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isomalt</w:t>
      </w:r>
      <w:proofErr w:type="spellEnd"/>
      <w:r w:rsidRPr="00904D5D">
        <w:rPr>
          <w:sz w:val="24"/>
          <w:szCs w:val="24"/>
          <w:lang w:eastAsia="da-DK"/>
        </w:rPr>
        <w:t xml:space="preserve"> (E 953): 2.452,8 mg/sugetablet</w:t>
      </w:r>
    </w:p>
    <w:p w:rsidR="003D6779" w:rsidRPr="00904D5D" w:rsidRDefault="003D6779" w:rsidP="0015530E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natriumbenzoat (E 211): op til 0,0009 mg/sugetablet</w:t>
      </w:r>
    </w:p>
    <w:p w:rsidR="003D6779" w:rsidRPr="00904D5D" w:rsidRDefault="003D677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3D6779" w:rsidRPr="00904D5D" w:rsidRDefault="003D677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Alle hjælpestoffer er anført under pkt. 6.1.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3.</w:t>
      </w:r>
      <w:r w:rsidRPr="00904D5D">
        <w:rPr>
          <w:b/>
          <w:sz w:val="24"/>
          <w:szCs w:val="24"/>
        </w:rPr>
        <w:tab/>
        <w:t>LÆGEMIDDELFORM</w:t>
      </w:r>
    </w:p>
    <w:p w:rsidR="006D514E" w:rsidRPr="00904D5D" w:rsidRDefault="006D514E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Sugetabletter</w:t>
      </w:r>
    </w:p>
    <w:p w:rsidR="006D514E" w:rsidRPr="00904D5D" w:rsidRDefault="006D514E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6D514E" w:rsidRPr="00904D5D" w:rsidRDefault="006D514E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1" w:name="_Hlk72089445"/>
      <w:r w:rsidRPr="00904D5D">
        <w:rPr>
          <w:sz w:val="24"/>
          <w:szCs w:val="24"/>
          <w:lang w:eastAsia="da-DK"/>
        </w:rPr>
        <w:t>Lysegule til gule, runde sugetabletter med affasede kanter og ru overflade. Der kan forekomme hvide pletter, ujævn farve, luftbobler i ”</w:t>
      </w:r>
      <w:proofErr w:type="spellStart"/>
      <w:r w:rsidRPr="00904D5D">
        <w:rPr>
          <w:sz w:val="24"/>
          <w:szCs w:val="24"/>
          <w:lang w:eastAsia="da-DK"/>
        </w:rPr>
        <w:t>bolche</w:t>
      </w:r>
      <w:proofErr w:type="spellEnd"/>
      <w:r w:rsidRPr="00904D5D">
        <w:rPr>
          <w:sz w:val="24"/>
          <w:szCs w:val="24"/>
          <w:lang w:eastAsia="da-DK"/>
        </w:rPr>
        <w:t>”-massen og små skarpe kanter. Sugetablettens diameter: 18 mm-19 mm, tykkelse: 7 mm-8 mm.</w:t>
      </w:r>
    </w:p>
    <w:bookmarkEnd w:id="1"/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</w:t>
      </w:r>
      <w:r w:rsidRPr="00904D5D">
        <w:rPr>
          <w:b/>
          <w:sz w:val="24"/>
          <w:szCs w:val="24"/>
        </w:rPr>
        <w:tab/>
        <w:t>KLINISKE OPLYSNINGER</w:t>
      </w:r>
    </w:p>
    <w:p w:rsidR="009260DE" w:rsidRPr="00904D5D" w:rsidRDefault="009260DE" w:rsidP="0015530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04D5D">
        <w:rPr>
          <w:b/>
          <w:sz w:val="24"/>
          <w:szCs w:val="24"/>
        </w:rPr>
        <w:t>4.1</w:t>
      </w:r>
      <w:r w:rsidRPr="00904D5D">
        <w:rPr>
          <w:b/>
          <w:sz w:val="24"/>
          <w:szCs w:val="24"/>
        </w:rPr>
        <w:tab/>
        <w:t>Terapeutiske indikationer</w:t>
      </w:r>
    </w:p>
    <w:p w:rsidR="00276943" w:rsidRPr="00904D5D" w:rsidRDefault="0015530E" w:rsidP="005B59B9">
      <w:pPr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er indiceret til lokal antiinflammatorisk, analgetisk og antiseptisk kortidsbehandling af irritation i svælget, munden og tandkødet hos voksne, unge og børn over 6 år.</w:t>
      </w:r>
    </w:p>
    <w:p w:rsidR="005B59B9" w:rsidRPr="00904D5D" w:rsidRDefault="005B59B9">
      <w:pPr>
        <w:rPr>
          <w:sz w:val="24"/>
          <w:szCs w:val="24"/>
        </w:rPr>
      </w:pPr>
      <w:r w:rsidRPr="00904D5D">
        <w:rPr>
          <w:sz w:val="24"/>
          <w:szCs w:val="24"/>
        </w:rPr>
        <w:br w:type="page"/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4.2</w:t>
      </w:r>
      <w:r w:rsidRPr="00904D5D">
        <w:rPr>
          <w:b/>
          <w:sz w:val="24"/>
          <w:szCs w:val="24"/>
        </w:rPr>
        <w:tab/>
        <w:t xml:space="preserve">Dosering og </w:t>
      </w:r>
      <w:r w:rsidR="00442898">
        <w:rPr>
          <w:b/>
          <w:sz w:val="24"/>
          <w:szCs w:val="24"/>
        </w:rPr>
        <w:t>administration</w:t>
      </w:r>
    </w:p>
    <w:p w:rsidR="00276943" w:rsidRPr="00904D5D" w:rsidRDefault="00276943" w:rsidP="0015530E">
      <w:pPr>
        <w:keepNext/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276943" w:rsidRPr="00904D5D" w:rsidRDefault="00276943" w:rsidP="0015530E">
      <w:pPr>
        <w:keepNext/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r w:rsidRPr="00904D5D">
        <w:rPr>
          <w:b/>
          <w:sz w:val="24"/>
          <w:szCs w:val="24"/>
          <w:lang w:eastAsia="da-DK"/>
        </w:rPr>
        <w:t>Dosering</w:t>
      </w:r>
    </w:p>
    <w:p w:rsidR="00276943" w:rsidRPr="00904D5D" w:rsidRDefault="00276943" w:rsidP="0015530E">
      <w:pPr>
        <w:keepNext/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CC19D1" w:rsidRPr="00904D5D" w:rsidRDefault="00276943" w:rsidP="0015530E">
      <w:pPr>
        <w:tabs>
          <w:tab w:val="left" w:pos="851"/>
        </w:tabs>
        <w:ind w:left="851"/>
        <w:rPr>
          <w:bCs/>
          <w:sz w:val="24"/>
          <w:szCs w:val="24"/>
          <w:u w:val="single"/>
          <w:lang w:eastAsia="da-DK"/>
        </w:rPr>
      </w:pPr>
      <w:bookmarkStart w:id="2" w:name="_Hlk72086911"/>
      <w:r w:rsidRPr="00904D5D">
        <w:rPr>
          <w:bCs/>
          <w:sz w:val="24"/>
          <w:szCs w:val="24"/>
          <w:u w:val="single"/>
          <w:lang w:eastAsia="da-DK"/>
        </w:rPr>
        <w:t>Voksne</w:t>
      </w:r>
      <w:bookmarkStart w:id="3" w:name="_Hlk72081433"/>
    </w:p>
    <w:bookmarkEnd w:id="2"/>
    <w:bookmarkEnd w:id="3"/>
    <w:p w:rsidR="00276943" w:rsidRPr="00904D5D" w:rsidRDefault="005B59B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Den anbefalede dosis er 3-4 sugetabletter daglig. Sugetabletten bør langsomt opløses i munden hver 3. til 6. time.</w:t>
      </w:r>
    </w:p>
    <w:p w:rsidR="005B59B9" w:rsidRPr="00904D5D" w:rsidRDefault="005B59B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276943" w:rsidRPr="00904D5D" w:rsidRDefault="00276943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Ældre patienter</w:t>
      </w:r>
    </w:p>
    <w:p w:rsidR="00276943" w:rsidRPr="00904D5D" w:rsidRDefault="0027694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Den anbefalede dosis er den samme som hos voksne.</w:t>
      </w:r>
    </w:p>
    <w:p w:rsidR="00276943" w:rsidRPr="00904D5D" w:rsidRDefault="0027694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276943" w:rsidRPr="00904D5D" w:rsidRDefault="00276943" w:rsidP="0015530E">
      <w:pPr>
        <w:tabs>
          <w:tab w:val="left" w:pos="851"/>
        </w:tabs>
        <w:ind w:left="851"/>
        <w:rPr>
          <w:iCs/>
          <w:sz w:val="24"/>
          <w:szCs w:val="24"/>
          <w:u w:val="single"/>
          <w:lang w:eastAsia="da-DK"/>
        </w:rPr>
      </w:pPr>
      <w:r w:rsidRPr="00904D5D">
        <w:rPr>
          <w:iCs/>
          <w:sz w:val="24"/>
          <w:szCs w:val="24"/>
          <w:u w:val="single"/>
          <w:lang w:eastAsia="da-DK"/>
        </w:rPr>
        <w:t>Pædiatrisk population</w:t>
      </w:r>
    </w:p>
    <w:p w:rsidR="00276943" w:rsidRPr="00904D5D" w:rsidRDefault="00276943" w:rsidP="0015530E">
      <w:pPr>
        <w:tabs>
          <w:tab w:val="left" w:pos="851"/>
        </w:tabs>
        <w:ind w:left="851"/>
        <w:rPr>
          <w:b/>
          <w:bCs/>
          <w:sz w:val="24"/>
          <w:szCs w:val="24"/>
          <w:lang w:eastAsia="da-DK"/>
        </w:rPr>
      </w:pPr>
    </w:p>
    <w:p w:rsidR="00CC19D1" w:rsidRPr="00904D5D" w:rsidRDefault="00276943" w:rsidP="0015530E">
      <w:pPr>
        <w:tabs>
          <w:tab w:val="left" w:pos="851"/>
        </w:tabs>
        <w:ind w:left="851"/>
        <w:rPr>
          <w:b/>
          <w:bCs/>
          <w:sz w:val="24"/>
          <w:szCs w:val="24"/>
          <w:lang w:eastAsia="da-DK"/>
        </w:rPr>
      </w:pPr>
      <w:r w:rsidRPr="00904D5D">
        <w:rPr>
          <w:bCs/>
          <w:i/>
          <w:sz w:val="24"/>
          <w:szCs w:val="24"/>
          <w:lang w:eastAsia="da-DK"/>
        </w:rPr>
        <w:t>Unge over 12 år</w:t>
      </w:r>
    </w:p>
    <w:p w:rsidR="00276943" w:rsidRPr="00904D5D" w:rsidRDefault="00B839F7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Den anbefalede dosis er 3-4 sugetabletter daglig. En sugetablet bør langsomt opløses i munden hver 3. til 6. time.</w:t>
      </w:r>
    </w:p>
    <w:p w:rsidR="00B839F7" w:rsidRPr="00904D5D" w:rsidRDefault="00B839F7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CC19D1" w:rsidRPr="00904D5D" w:rsidRDefault="00276943" w:rsidP="0015530E">
      <w:pPr>
        <w:tabs>
          <w:tab w:val="left" w:pos="851"/>
        </w:tabs>
        <w:ind w:left="851"/>
        <w:rPr>
          <w:bCs/>
          <w:i/>
          <w:sz w:val="24"/>
          <w:szCs w:val="24"/>
          <w:lang w:eastAsia="da-DK"/>
        </w:rPr>
      </w:pPr>
      <w:r w:rsidRPr="00904D5D">
        <w:rPr>
          <w:bCs/>
          <w:i/>
          <w:sz w:val="24"/>
          <w:szCs w:val="24"/>
          <w:lang w:eastAsia="da-DK"/>
        </w:rPr>
        <w:t>Børn fra 6 til 12 år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Den anbefalede dosis er 3 sugetabletter </w:t>
      </w:r>
      <w:r w:rsidR="00904D5D">
        <w:rPr>
          <w:sz w:val="24"/>
          <w:szCs w:val="24"/>
          <w:lang w:eastAsia="da-DK"/>
        </w:rPr>
        <w:t>daglig</w:t>
      </w:r>
      <w:r w:rsidRPr="00904D5D">
        <w:rPr>
          <w:sz w:val="24"/>
          <w:szCs w:val="24"/>
          <w:lang w:eastAsia="da-DK"/>
        </w:rPr>
        <w:t>. En sugetablet bør langsomt opløses i munden hver 3. til 6. time.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Sugetabletten skal administreres under en voksens opsyn hos børn fra 6 til 12 år.</w:t>
      </w:r>
    </w:p>
    <w:p w:rsidR="00276943" w:rsidRPr="00904D5D" w:rsidRDefault="00276943" w:rsidP="0015530E">
      <w:pPr>
        <w:tabs>
          <w:tab w:val="left" w:pos="851"/>
        </w:tabs>
        <w:ind w:left="851"/>
        <w:rPr>
          <w:b/>
          <w:bCs/>
          <w:i/>
          <w:iCs/>
          <w:sz w:val="24"/>
          <w:szCs w:val="24"/>
          <w:lang w:eastAsia="da-DK"/>
        </w:rPr>
      </w:pPr>
    </w:p>
    <w:p w:rsidR="00DE6DFD" w:rsidRPr="00904D5D" w:rsidRDefault="00DE6DFD" w:rsidP="00DE6DFD">
      <w:pPr>
        <w:tabs>
          <w:tab w:val="left" w:pos="851"/>
        </w:tabs>
        <w:ind w:left="851"/>
        <w:rPr>
          <w:bCs/>
          <w:i/>
          <w:sz w:val="24"/>
          <w:szCs w:val="24"/>
          <w:lang w:eastAsia="da-DK"/>
        </w:rPr>
      </w:pPr>
      <w:r w:rsidRPr="00904D5D">
        <w:rPr>
          <w:bCs/>
          <w:i/>
          <w:sz w:val="24"/>
          <w:szCs w:val="24"/>
          <w:lang w:eastAsia="da-DK"/>
        </w:rPr>
        <w:t>Børn under 6 år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er kontraindiceret til børn under 6 år (se pkt. 4.3).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4" w:name="_Hlk72087054"/>
      <w:r w:rsidRPr="00904D5D">
        <w:rPr>
          <w:sz w:val="24"/>
          <w:szCs w:val="24"/>
          <w:lang w:eastAsia="da-DK"/>
        </w:rPr>
        <w:t>Den anførte dosis bør ikke overskrides.</w:t>
      </w:r>
    </w:p>
    <w:bookmarkEnd w:id="4"/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kan anvendes i op til 7 dage.</w:t>
      </w:r>
    </w:p>
    <w:p w:rsidR="00276943" w:rsidRPr="00904D5D" w:rsidRDefault="0027694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276943" w:rsidRPr="00904D5D" w:rsidRDefault="00276943" w:rsidP="0015530E">
      <w:pPr>
        <w:tabs>
          <w:tab w:val="left" w:pos="851"/>
        </w:tabs>
        <w:ind w:left="851"/>
        <w:rPr>
          <w:b/>
          <w:bCs/>
          <w:sz w:val="24"/>
          <w:szCs w:val="24"/>
          <w:lang w:eastAsia="da-DK"/>
        </w:rPr>
      </w:pPr>
      <w:r w:rsidRPr="00904D5D">
        <w:rPr>
          <w:b/>
          <w:bCs/>
          <w:sz w:val="24"/>
          <w:szCs w:val="24"/>
          <w:lang w:eastAsia="da-DK"/>
        </w:rPr>
        <w:t>Administration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Sugetabletten bør langsomt opløses i munden hver 3. til 6. time.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Det frarådes at anvende produktet umiddelbart før eller efter tandbørstning.</w:t>
      </w:r>
    </w:p>
    <w:p w:rsidR="00DE6DFD" w:rsidRPr="00904D5D" w:rsidRDefault="00DE6DFD" w:rsidP="00DE6DFD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 xml:space="preserve">Patienten bør ikke spise eller drikke i mindst en time efter indtag af </w:t>
      </w:r>
      <w:proofErr w:type="spellStart"/>
      <w:r w:rsidRPr="00904D5D">
        <w:rPr>
          <w:sz w:val="24"/>
          <w:szCs w:val="24"/>
        </w:rPr>
        <w:t>Septabene</w:t>
      </w:r>
      <w:proofErr w:type="spellEnd"/>
      <w:r w:rsidRPr="00904D5D">
        <w:rPr>
          <w:sz w:val="24"/>
          <w:szCs w:val="24"/>
        </w:rPr>
        <w:t xml:space="preserve"> citron og honning.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4.3</w:t>
      </w:r>
      <w:r w:rsidRPr="00904D5D">
        <w:rPr>
          <w:b/>
          <w:sz w:val="24"/>
          <w:szCs w:val="24"/>
        </w:rPr>
        <w:tab/>
        <w:t>Kontraindikationer</w:t>
      </w:r>
    </w:p>
    <w:p w:rsidR="002E7DC8" w:rsidRPr="00904D5D" w:rsidRDefault="002E7DC8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Overfølsomhed over for </w:t>
      </w:r>
      <w:proofErr w:type="spellStart"/>
      <w:r w:rsidRPr="00904D5D">
        <w:rPr>
          <w:sz w:val="24"/>
          <w:szCs w:val="24"/>
          <w:lang w:eastAsia="da-DK"/>
        </w:rPr>
        <w:t>benzydaminhydrochlorid</w:t>
      </w:r>
      <w:proofErr w:type="spellEnd"/>
      <w:r w:rsidRPr="00904D5D">
        <w:rPr>
          <w:sz w:val="24"/>
          <w:szCs w:val="24"/>
          <w:lang w:eastAsia="da-DK"/>
        </w:rPr>
        <w:t xml:space="preserve"> eller </w:t>
      </w:r>
      <w:proofErr w:type="spellStart"/>
      <w:r w:rsidRPr="00904D5D">
        <w:rPr>
          <w:sz w:val="24"/>
          <w:szCs w:val="24"/>
          <w:lang w:eastAsia="da-DK"/>
        </w:rPr>
        <w:t>cetylpyridiniumchlorid</w:t>
      </w:r>
      <w:proofErr w:type="spellEnd"/>
      <w:r w:rsidRPr="00904D5D">
        <w:rPr>
          <w:sz w:val="24"/>
          <w:szCs w:val="24"/>
          <w:lang w:eastAsia="da-DK"/>
        </w:rPr>
        <w:t xml:space="preserve"> eller over for et eller flere af hjælpestofferne anført i pkt. 6.1.</w:t>
      </w:r>
    </w:p>
    <w:p w:rsidR="009260DE" w:rsidRPr="00904D5D" w:rsidRDefault="002E7DC8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Børn under 6 år, </w:t>
      </w:r>
      <w:bookmarkStart w:id="5" w:name="_Hlk72085500"/>
      <w:r w:rsidRPr="00904D5D">
        <w:rPr>
          <w:sz w:val="24"/>
          <w:szCs w:val="24"/>
          <w:lang w:eastAsia="da-DK"/>
        </w:rPr>
        <w:t>da lægemiddelformen ikke er velegnet til denne aldersgruppe</w:t>
      </w:r>
      <w:bookmarkEnd w:id="5"/>
      <w:r w:rsidR="00CF69E3" w:rsidRPr="00904D5D">
        <w:rPr>
          <w:sz w:val="24"/>
          <w:szCs w:val="24"/>
          <w:lang w:eastAsia="da-DK"/>
        </w:rPr>
        <w:t>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4.4</w:t>
      </w:r>
      <w:r w:rsidRPr="00904D5D">
        <w:rPr>
          <w:b/>
          <w:sz w:val="24"/>
          <w:szCs w:val="24"/>
        </w:rPr>
        <w:tab/>
        <w:t>Særlige advarsler og forsigtighedsregler vedrørende brugen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bør ikke anvendes i mere end 7 dage. Hvis patientens symptomer ikke bedres i løbet af 3 dage eller hvis patienten får feber eller andre symptomer, tilrådes det, at patienten opsøger en læge.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Brug af </w:t>
      </w:r>
      <w:proofErr w:type="spellStart"/>
      <w:r w:rsidRPr="00904D5D">
        <w:rPr>
          <w:sz w:val="24"/>
          <w:szCs w:val="24"/>
          <w:lang w:eastAsia="da-DK"/>
        </w:rPr>
        <w:t>topikale</w:t>
      </w:r>
      <w:proofErr w:type="spellEnd"/>
      <w:r w:rsidRPr="00904D5D">
        <w:rPr>
          <w:sz w:val="24"/>
          <w:szCs w:val="24"/>
          <w:lang w:eastAsia="da-DK"/>
        </w:rPr>
        <w:t xml:space="preserve"> lægemidler, især over længere tid, kan forårsage sensibilisering. Hvis dette forekommer, skal behandlingen seponeres og lægen skal konsulteres, således at der kan opstartes relevant behandling.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lastRenderedPageBreak/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må ikke anvendes i kombination med </w:t>
      </w:r>
      <w:proofErr w:type="spellStart"/>
      <w:r w:rsidRPr="00904D5D">
        <w:rPr>
          <w:sz w:val="24"/>
          <w:szCs w:val="24"/>
          <w:lang w:eastAsia="da-DK"/>
        </w:rPr>
        <w:t>anioniske</w:t>
      </w:r>
      <w:proofErr w:type="spellEnd"/>
      <w:r w:rsidRPr="00904D5D">
        <w:rPr>
          <w:sz w:val="24"/>
          <w:szCs w:val="24"/>
          <w:lang w:eastAsia="da-DK"/>
        </w:rPr>
        <w:t xml:space="preserve"> stoffer, såsom dem der findes i tandpastaer, og det frarådes derfor at produktet anvendes umiddelbart før eller efter tandbørstning.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Det frarådes at anvende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til patienter, som er overfølsomme over for </w:t>
      </w:r>
      <w:proofErr w:type="spellStart"/>
      <w:r w:rsidRPr="00904D5D">
        <w:rPr>
          <w:sz w:val="24"/>
          <w:szCs w:val="24"/>
          <w:lang w:eastAsia="da-DK"/>
        </w:rPr>
        <w:t>salicylater</w:t>
      </w:r>
      <w:proofErr w:type="spellEnd"/>
      <w:r w:rsidRPr="00904D5D">
        <w:rPr>
          <w:sz w:val="24"/>
          <w:szCs w:val="24"/>
          <w:lang w:eastAsia="da-DK"/>
        </w:rPr>
        <w:t xml:space="preserve"> (f.eks. acetylsalicylsyre og salicylsyre) eller andre NSAID.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Der kan forekomme </w:t>
      </w:r>
      <w:proofErr w:type="spellStart"/>
      <w:r w:rsidRPr="00904D5D">
        <w:rPr>
          <w:sz w:val="24"/>
          <w:szCs w:val="24"/>
          <w:lang w:eastAsia="da-DK"/>
        </w:rPr>
        <w:t>bronkospasme</w:t>
      </w:r>
      <w:proofErr w:type="spellEnd"/>
      <w:r w:rsidRPr="00904D5D">
        <w:rPr>
          <w:sz w:val="24"/>
          <w:szCs w:val="24"/>
          <w:lang w:eastAsia="da-DK"/>
        </w:rPr>
        <w:t xml:space="preserve"> hos patienter, der lider af eller tidligere har lidt af bronkial astma. Der skal udvises forsigtighed hos disse patienter.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bør ikke anvendes til patienter med åbne sår eller </w:t>
      </w:r>
      <w:proofErr w:type="spellStart"/>
      <w:r w:rsidRPr="00904D5D">
        <w:rPr>
          <w:sz w:val="24"/>
          <w:szCs w:val="24"/>
          <w:lang w:eastAsia="da-DK"/>
        </w:rPr>
        <w:t>ulcerationer</w:t>
      </w:r>
      <w:proofErr w:type="spellEnd"/>
      <w:r w:rsidRPr="00904D5D">
        <w:rPr>
          <w:sz w:val="24"/>
          <w:szCs w:val="24"/>
          <w:lang w:eastAsia="da-DK"/>
        </w:rPr>
        <w:t xml:space="preserve"> i munden eller svælget.</w:t>
      </w: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indeholder </w:t>
      </w:r>
      <w:proofErr w:type="spellStart"/>
      <w:r w:rsidRPr="00904D5D">
        <w:rPr>
          <w:sz w:val="24"/>
          <w:szCs w:val="24"/>
          <w:lang w:eastAsia="da-DK"/>
        </w:rPr>
        <w:t>isomalt</w:t>
      </w:r>
      <w:proofErr w:type="spellEnd"/>
      <w:r w:rsidRPr="00904D5D">
        <w:rPr>
          <w:sz w:val="24"/>
          <w:szCs w:val="24"/>
          <w:lang w:eastAsia="da-DK"/>
        </w:rPr>
        <w:t xml:space="preserve"> (E 953). Bør ikke anvendes til patienter med hereditær </w:t>
      </w:r>
      <w:proofErr w:type="spellStart"/>
      <w:r w:rsidRPr="00904D5D">
        <w:rPr>
          <w:sz w:val="24"/>
          <w:szCs w:val="24"/>
          <w:lang w:eastAsia="da-DK"/>
        </w:rPr>
        <w:t>fructoseintolerans</w:t>
      </w:r>
      <w:proofErr w:type="spellEnd"/>
      <w:r w:rsidRPr="00904D5D">
        <w:rPr>
          <w:sz w:val="24"/>
          <w:szCs w:val="24"/>
          <w:lang w:eastAsia="da-DK"/>
        </w:rPr>
        <w:t>.</w:t>
      </w:r>
    </w:p>
    <w:p w:rsidR="00C8103D" w:rsidRPr="00904D5D" w:rsidRDefault="00C8103D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Dette lægemiddel indeholder op til 0,0009 mg natriumbenzoat (E 211) i hver sugetablet. Natriumbenzoat kan forårsage ikke-immunologiske kontaktreaktioner ved en mulig </w:t>
      </w:r>
      <w:proofErr w:type="spellStart"/>
      <w:r w:rsidRPr="00904D5D">
        <w:rPr>
          <w:sz w:val="24"/>
          <w:szCs w:val="24"/>
          <w:lang w:eastAsia="da-DK"/>
        </w:rPr>
        <w:t>cholinerg</w:t>
      </w:r>
      <w:proofErr w:type="spellEnd"/>
      <w:r w:rsidRPr="00904D5D">
        <w:rPr>
          <w:sz w:val="24"/>
          <w:szCs w:val="24"/>
          <w:lang w:eastAsia="da-DK"/>
        </w:rPr>
        <w:t xml:space="preserve"> mekanisme.</w:t>
      </w:r>
    </w:p>
    <w:p w:rsidR="00C8103D" w:rsidRPr="00904D5D" w:rsidRDefault="00C8103D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EB224A" w:rsidRPr="00904D5D" w:rsidRDefault="00EB224A" w:rsidP="00EB224A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Dette lægemiddel indeholder mindre end 1 mmol (23 mg) natrium pr. sugetablet, dvs. det er i det væsentlige natriumfrit.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4.5</w:t>
      </w:r>
      <w:r w:rsidRPr="00904D5D">
        <w:rPr>
          <w:b/>
          <w:sz w:val="24"/>
          <w:szCs w:val="24"/>
        </w:rPr>
        <w:tab/>
        <w:t>Interaktion med andre lægemidler og andre former for interaktion</w:t>
      </w:r>
    </w:p>
    <w:p w:rsidR="00183064" w:rsidRPr="00904D5D" w:rsidRDefault="00183064" w:rsidP="001830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bør ikke anvendes samtidig med andre </w:t>
      </w:r>
      <w:proofErr w:type="spellStart"/>
      <w:r w:rsidRPr="00904D5D">
        <w:rPr>
          <w:sz w:val="24"/>
          <w:szCs w:val="24"/>
          <w:lang w:eastAsia="da-DK"/>
        </w:rPr>
        <w:t>antiseptika</w:t>
      </w:r>
      <w:proofErr w:type="spellEnd"/>
      <w:r w:rsidRPr="00904D5D">
        <w:rPr>
          <w:sz w:val="24"/>
          <w:szCs w:val="24"/>
          <w:lang w:eastAsia="da-DK"/>
        </w:rPr>
        <w:t>.</w:t>
      </w:r>
    </w:p>
    <w:p w:rsidR="00183064" w:rsidRPr="00904D5D" w:rsidRDefault="00183064" w:rsidP="001830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Sugetabletterne bør ikke tages sammen med mælk, da mælk kan nedsætte </w:t>
      </w:r>
      <w:proofErr w:type="spellStart"/>
      <w:r w:rsidRPr="00904D5D">
        <w:rPr>
          <w:sz w:val="24"/>
          <w:szCs w:val="24"/>
          <w:lang w:eastAsia="da-DK"/>
        </w:rPr>
        <w:t>cetylpyridiniumchlorids</w:t>
      </w:r>
      <w:proofErr w:type="spellEnd"/>
      <w:r w:rsidRPr="00904D5D">
        <w:rPr>
          <w:sz w:val="24"/>
          <w:szCs w:val="24"/>
          <w:lang w:eastAsia="da-DK"/>
        </w:rPr>
        <w:t xml:space="preserve"> antimikrobielle virkning.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4.6</w:t>
      </w:r>
      <w:r w:rsidRPr="00904D5D">
        <w:rPr>
          <w:b/>
          <w:sz w:val="24"/>
          <w:szCs w:val="24"/>
        </w:rPr>
        <w:tab/>
      </w:r>
      <w:r w:rsidR="00442898">
        <w:rPr>
          <w:b/>
          <w:sz w:val="24"/>
          <w:szCs w:val="24"/>
        </w:rPr>
        <w:t>Fertilitet, g</w:t>
      </w:r>
      <w:r w:rsidRPr="00904D5D">
        <w:rPr>
          <w:b/>
          <w:sz w:val="24"/>
          <w:szCs w:val="24"/>
        </w:rPr>
        <w:t>raviditet og amning</w:t>
      </w: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Graviditet</w:t>
      </w: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Der foreligger ingen eller utilstrækkelige data vedrørende anvendelsen af </w:t>
      </w:r>
      <w:proofErr w:type="spellStart"/>
      <w:r w:rsidRPr="00904D5D">
        <w:rPr>
          <w:sz w:val="24"/>
          <w:szCs w:val="24"/>
          <w:lang w:eastAsia="da-DK"/>
        </w:rPr>
        <w:t>benzydaminhydrochlorid</w:t>
      </w:r>
      <w:proofErr w:type="spellEnd"/>
      <w:r w:rsidRPr="00904D5D">
        <w:rPr>
          <w:sz w:val="24"/>
          <w:szCs w:val="24"/>
          <w:lang w:eastAsia="da-DK"/>
        </w:rPr>
        <w:t xml:space="preserve"> og </w:t>
      </w:r>
      <w:proofErr w:type="spellStart"/>
      <w:r w:rsidRPr="00904D5D">
        <w:rPr>
          <w:sz w:val="24"/>
          <w:szCs w:val="24"/>
          <w:lang w:eastAsia="da-DK"/>
        </w:rPr>
        <w:t>cetylpyridiniumchlorid</w:t>
      </w:r>
      <w:proofErr w:type="spellEnd"/>
      <w:r w:rsidRPr="00904D5D">
        <w:rPr>
          <w:sz w:val="24"/>
          <w:szCs w:val="24"/>
          <w:lang w:eastAsia="da-DK"/>
        </w:rPr>
        <w:t xml:space="preserve"> til gravide kvinder.</w:t>
      </w:r>
    </w:p>
    <w:p w:rsidR="00056D16" w:rsidRPr="00904D5D" w:rsidRDefault="001744DA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citron og honning bør ikke anvendes under graviditet.</w:t>
      </w:r>
    </w:p>
    <w:p w:rsidR="001744DA" w:rsidRPr="00904D5D" w:rsidRDefault="001744DA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Amning</w:t>
      </w: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Det er ukendt, om </w:t>
      </w:r>
      <w:proofErr w:type="spellStart"/>
      <w:r w:rsidRPr="00904D5D">
        <w:rPr>
          <w:sz w:val="24"/>
          <w:szCs w:val="24"/>
          <w:lang w:eastAsia="da-DK"/>
        </w:rPr>
        <w:t>benzydaminhydrochlorid</w:t>
      </w:r>
      <w:proofErr w:type="spellEnd"/>
      <w:r w:rsidRPr="00904D5D">
        <w:rPr>
          <w:sz w:val="24"/>
          <w:szCs w:val="24"/>
          <w:lang w:eastAsia="da-DK"/>
        </w:rPr>
        <w:t xml:space="preserve">, </w:t>
      </w:r>
      <w:proofErr w:type="spellStart"/>
      <w:r w:rsidRPr="00904D5D">
        <w:rPr>
          <w:sz w:val="24"/>
          <w:szCs w:val="24"/>
          <w:lang w:eastAsia="da-DK"/>
        </w:rPr>
        <w:t>cetylpyridiniumchlorid</w:t>
      </w:r>
      <w:proofErr w:type="spellEnd"/>
      <w:r w:rsidRPr="00904D5D">
        <w:rPr>
          <w:sz w:val="24"/>
          <w:szCs w:val="24"/>
          <w:lang w:eastAsia="da-DK"/>
        </w:rPr>
        <w:t xml:space="preserve"> eller metabolitter udskilles i human mælk.</w:t>
      </w:r>
    </w:p>
    <w:p w:rsidR="00056D16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En risiko for nyfødte/spædbørn kan ikke udelukkes.</w:t>
      </w:r>
    </w:p>
    <w:p w:rsidR="009260DE" w:rsidRPr="00904D5D" w:rsidRDefault="00056D16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Det skal besluttes, om amning eller behandling med </w:t>
      </w:r>
      <w:proofErr w:type="spellStart"/>
      <w:r w:rsidRPr="00904D5D">
        <w:rPr>
          <w:sz w:val="24"/>
          <w:szCs w:val="24"/>
          <w:lang w:eastAsia="da-DK"/>
        </w:rPr>
        <w:t>Septabene</w:t>
      </w:r>
      <w:proofErr w:type="spellEnd"/>
      <w:r w:rsidRPr="00904D5D">
        <w:rPr>
          <w:sz w:val="24"/>
          <w:szCs w:val="24"/>
          <w:lang w:eastAsia="da-DK"/>
        </w:rPr>
        <w:t xml:space="preserve"> </w:t>
      </w:r>
      <w:r w:rsidR="001744DA" w:rsidRPr="00904D5D">
        <w:rPr>
          <w:sz w:val="24"/>
          <w:szCs w:val="24"/>
        </w:rPr>
        <w:t xml:space="preserve">citron og honning </w:t>
      </w:r>
      <w:r w:rsidRPr="00904D5D">
        <w:rPr>
          <w:sz w:val="24"/>
          <w:szCs w:val="24"/>
          <w:lang w:eastAsia="da-DK"/>
        </w:rPr>
        <w:t>skal ophøre, idet der tages højde for fordelene ved amning for barnet i forhold til de terapeutiske fordele for moderen.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4.7</w:t>
      </w:r>
      <w:r w:rsidRPr="00904D5D">
        <w:rPr>
          <w:b/>
          <w:sz w:val="24"/>
          <w:szCs w:val="24"/>
        </w:rPr>
        <w:tab/>
        <w:t xml:space="preserve">Virkning på evnen til at føre motorkøretøj </w:t>
      </w:r>
      <w:r w:rsidR="00442898">
        <w:rPr>
          <w:b/>
          <w:sz w:val="24"/>
          <w:szCs w:val="24"/>
        </w:rPr>
        <w:t>og</w:t>
      </w:r>
      <w:r w:rsidRPr="00904D5D">
        <w:rPr>
          <w:b/>
          <w:sz w:val="24"/>
          <w:szCs w:val="24"/>
        </w:rPr>
        <w:t xml:space="preserve"> betjene maskiner</w:t>
      </w:r>
    </w:p>
    <w:p w:rsidR="00526AB0" w:rsidRPr="00904D5D" w:rsidRDefault="00526AB0" w:rsidP="0015530E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Ikke mærkning.</w:t>
      </w:r>
    </w:p>
    <w:p w:rsidR="00526AB0" w:rsidRPr="00904D5D" w:rsidRDefault="00526AB0" w:rsidP="0015530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04D5D">
        <w:rPr>
          <w:sz w:val="24"/>
          <w:szCs w:val="24"/>
        </w:rPr>
        <w:t>Septabene</w:t>
      </w:r>
      <w:proofErr w:type="spellEnd"/>
      <w:r w:rsidRPr="00904D5D">
        <w:rPr>
          <w:sz w:val="24"/>
          <w:szCs w:val="24"/>
        </w:rPr>
        <w:t xml:space="preserve"> </w:t>
      </w:r>
      <w:r w:rsidR="005258AD" w:rsidRPr="00904D5D">
        <w:rPr>
          <w:sz w:val="24"/>
          <w:szCs w:val="24"/>
        </w:rPr>
        <w:t xml:space="preserve">citron og honning </w:t>
      </w:r>
      <w:r w:rsidRPr="00904D5D">
        <w:rPr>
          <w:sz w:val="24"/>
          <w:szCs w:val="24"/>
        </w:rPr>
        <w:t xml:space="preserve">påvirker ikke eller kun i ubetydelig grad evnen til at føre motorkøretøj </w:t>
      </w:r>
      <w:r w:rsidR="00904D5D" w:rsidRPr="00904D5D">
        <w:rPr>
          <w:sz w:val="24"/>
          <w:szCs w:val="24"/>
        </w:rPr>
        <w:t>eller</w:t>
      </w:r>
      <w:r w:rsidRPr="00904D5D">
        <w:rPr>
          <w:sz w:val="24"/>
          <w:szCs w:val="24"/>
        </w:rPr>
        <w:t xml:space="preserve"> betjene maskiner.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4.8</w:t>
      </w:r>
      <w:r w:rsidRPr="00904D5D">
        <w:rPr>
          <w:b/>
          <w:sz w:val="24"/>
          <w:szCs w:val="24"/>
        </w:rPr>
        <w:tab/>
        <w:t>Bivirkninger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Meget almindelig (</w:t>
      </w:r>
      <w:r w:rsidRPr="00904D5D">
        <w:rPr>
          <w:sz w:val="24"/>
          <w:szCs w:val="24"/>
          <w:lang w:val="en-GB" w:eastAsia="da-DK"/>
        </w:rPr>
        <w:sym w:font="Symbol" w:char="F0B3"/>
      </w:r>
      <w:r w:rsidRPr="00904D5D">
        <w:rPr>
          <w:sz w:val="24"/>
          <w:szCs w:val="24"/>
          <w:lang w:eastAsia="da-DK"/>
        </w:rPr>
        <w:t>1/10)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Almindelig (</w:t>
      </w:r>
      <w:r w:rsidRPr="00904D5D">
        <w:rPr>
          <w:sz w:val="24"/>
          <w:szCs w:val="24"/>
          <w:lang w:val="en-GB" w:eastAsia="da-DK"/>
        </w:rPr>
        <w:sym w:font="Symbol" w:char="F0B3"/>
      </w:r>
      <w:r w:rsidRPr="00904D5D">
        <w:rPr>
          <w:sz w:val="24"/>
          <w:szCs w:val="24"/>
          <w:lang w:eastAsia="da-DK"/>
        </w:rPr>
        <w:t>1/100 til &lt;1/10)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lastRenderedPageBreak/>
        <w:t>Ikke almindelig (≥1/1.000 til &lt;1/100)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Sjælden (≥1/10.000 til &lt;1/1.000)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Meget sjælden (&lt;1/10.000)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Ikke kendt (kan ikke estimeres ud fra forhåndenværende data)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Bivirkningstabel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697"/>
        <w:gridCol w:w="1937"/>
        <w:gridCol w:w="2877"/>
      </w:tblGrid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Meget sjælden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Ikke kendt</w:t>
            </w:r>
          </w:p>
        </w:tc>
      </w:tr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Immunsystemet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bCs/>
                <w:sz w:val="24"/>
                <w:szCs w:val="24"/>
                <w:lang w:eastAsia="da-DK"/>
              </w:rPr>
            </w:pPr>
            <w:r w:rsidRPr="00904D5D">
              <w:rPr>
                <w:bCs/>
                <w:sz w:val="24"/>
                <w:szCs w:val="24"/>
                <w:lang w:eastAsia="da-DK"/>
              </w:rPr>
              <w:t>Overfølsomhedsreaktioner</w:t>
            </w:r>
          </w:p>
          <w:p w:rsidR="000842C2" w:rsidRPr="00904D5D" w:rsidRDefault="000842C2" w:rsidP="0015530E">
            <w:pPr>
              <w:tabs>
                <w:tab w:val="left" w:pos="851"/>
              </w:tabs>
              <w:rPr>
                <w:bCs/>
                <w:sz w:val="24"/>
                <w:szCs w:val="24"/>
                <w:lang w:eastAsia="da-DK"/>
              </w:rPr>
            </w:pPr>
            <w:proofErr w:type="spellStart"/>
            <w:r w:rsidRPr="00904D5D">
              <w:rPr>
                <w:bCs/>
                <w:sz w:val="24"/>
                <w:szCs w:val="24"/>
                <w:lang w:eastAsia="da-DK"/>
              </w:rPr>
              <w:t>Anafylaktiske</w:t>
            </w:r>
            <w:proofErr w:type="spellEnd"/>
            <w:r w:rsidRPr="00904D5D">
              <w:rPr>
                <w:bCs/>
                <w:sz w:val="24"/>
                <w:szCs w:val="24"/>
                <w:lang w:eastAsia="da-DK"/>
              </w:rPr>
              <w:t xml:space="preserve"> reaktioner</w:t>
            </w:r>
          </w:p>
        </w:tc>
      </w:tr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Nervesystemet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Brændende fornemmelse i mundslimhinden</w:t>
            </w:r>
          </w:p>
        </w:tc>
      </w:tr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 xml:space="preserve">Luftveje, thorax og </w:t>
            </w:r>
            <w:proofErr w:type="spellStart"/>
            <w:r w:rsidRPr="00904D5D">
              <w:rPr>
                <w:sz w:val="24"/>
                <w:szCs w:val="24"/>
                <w:lang w:eastAsia="da-DK"/>
              </w:rPr>
              <w:t>mediastinum</w:t>
            </w:r>
            <w:proofErr w:type="spellEnd"/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904D5D">
              <w:rPr>
                <w:sz w:val="24"/>
                <w:szCs w:val="24"/>
                <w:lang w:eastAsia="da-DK"/>
              </w:rPr>
              <w:t>Bronkospasme</w:t>
            </w:r>
            <w:proofErr w:type="spellEnd"/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</w:tr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Mave-tarm-kanalen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Irritation i mundslimhinden</w:t>
            </w:r>
          </w:p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Brændende fornemmelse i munden</w:t>
            </w:r>
          </w:p>
        </w:tc>
        <w:tc>
          <w:tcPr>
            <w:tcW w:w="0" w:type="auto"/>
          </w:tcPr>
          <w:p w:rsidR="000842C2" w:rsidRPr="00904D5D" w:rsidRDefault="001B652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Følelsesløshed i mundslimhinden</w:t>
            </w:r>
          </w:p>
        </w:tc>
      </w:tr>
      <w:tr w:rsidR="000842C2" w:rsidRPr="00904D5D" w:rsidTr="005512D5">
        <w:tc>
          <w:tcPr>
            <w:tcW w:w="2158" w:type="dxa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Hud og subkutane væv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proofErr w:type="spellStart"/>
            <w:r w:rsidRPr="00904D5D">
              <w:rPr>
                <w:sz w:val="24"/>
                <w:szCs w:val="24"/>
                <w:lang w:eastAsia="da-DK"/>
              </w:rPr>
              <w:t>Urticaria</w:t>
            </w:r>
            <w:proofErr w:type="spellEnd"/>
          </w:p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  <w:r w:rsidRPr="00904D5D">
              <w:rPr>
                <w:sz w:val="24"/>
                <w:szCs w:val="24"/>
                <w:lang w:eastAsia="da-DK"/>
              </w:rPr>
              <w:t>Fotosensitivitet</w:t>
            </w: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</w:tcPr>
          <w:p w:rsidR="000842C2" w:rsidRPr="00904D5D" w:rsidRDefault="000842C2" w:rsidP="0015530E">
            <w:pPr>
              <w:tabs>
                <w:tab w:val="left" w:pos="851"/>
              </w:tabs>
              <w:rPr>
                <w:sz w:val="24"/>
                <w:szCs w:val="24"/>
                <w:lang w:eastAsia="da-DK"/>
              </w:rPr>
            </w:pPr>
          </w:p>
        </w:tc>
      </w:tr>
    </w:tbl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Indberetning af formodede bivirkninger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904D5D">
        <w:rPr>
          <w:sz w:val="24"/>
          <w:szCs w:val="24"/>
          <w:lang w:eastAsia="da-DK"/>
        </w:rPr>
        <w:t>risk</w:t>
      </w:r>
      <w:proofErr w:type="spellEnd"/>
      <w:r w:rsidRPr="00904D5D"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Lægemiddelstyrelsen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Axel Heides Gade 1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DK-2300 København S</w:t>
      </w:r>
    </w:p>
    <w:p w:rsidR="000842C2" w:rsidRPr="00904D5D" w:rsidRDefault="000842C2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Websted: www.meldenbivirkning.dk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4.9</w:t>
      </w:r>
      <w:r w:rsidRPr="00904D5D">
        <w:rPr>
          <w:b/>
          <w:sz w:val="24"/>
          <w:szCs w:val="24"/>
        </w:rPr>
        <w:tab/>
        <w:t>Overdosering</w:t>
      </w:r>
    </w:p>
    <w:p w:rsidR="005870A3" w:rsidRPr="00904D5D" w:rsidRDefault="005870A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Symptomer</w:t>
      </w: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Toksiske manifestationer af overdosering med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omfatter </w:t>
      </w:r>
      <w:proofErr w:type="spellStart"/>
      <w:r w:rsidRPr="00904D5D">
        <w:rPr>
          <w:sz w:val="24"/>
          <w:szCs w:val="24"/>
          <w:lang w:eastAsia="da-DK"/>
        </w:rPr>
        <w:t>opstemthed</w:t>
      </w:r>
      <w:proofErr w:type="spellEnd"/>
      <w:r w:rsidRPr="00904D5D">
        <w:rPr>
          <w:sz w:val="24"/>
          <w:szCs w:val="24"/>
          <w:lang w:eastAsia="da-DK"/>
        </w:rPr>
        <w:t xml:space="preserve">, kramper, svedtendens, </w:t>
      </w:r>
      <w:proofErr w:type="spellStart"/>
      <w:r w:rsidRPr="00904D5D">
        <w:rPr>
          <w:sz w:val="24"/>
          <w:szCs w:val="24"/>
          <w:lang w:eastAsia="da-DK"/>
        </w:rPr>
        <w:t>ataksi</w:t>
      </w:r>
      <w:proofErr w:type="spellEnd"/>
      <w:r w:rsidRPr="00904D5D">
        <w:rPr>
          <w:sz w:val="24"/>
          <w:szCs w:val="24"/>
          <w:lang w:eastAsia="da-DK"/>
        </w:rPr>
        <w:t xml:space="preserve">, rysten og opkastning. Da der ikke findes nogen specifik </w:t>
      </w:r>
      <w:proofErr w:type="spellStart"/>
      <w:r w:rsidRPr="00904D5D">
        <w:rPr>
          <w:sz w:val="24"/>
          <w:szCs w:val="24"/>
          <w:lang w:eastAsia="da-DK"/>
        </w:rPr>
        <w:t>antidot</w:t>
      </w:r>
      <w:proofErr w:type="spellEnd"/>
      <w:r w:rsidRPr="00904D5D">
        <w:rPr>
          <w:sz w:val="24"/>
          <w:szCs w:val="24"/>
          <w:lang w:eastAsia="da-DK"/>
        </w:rPr>
        <w:t xml:space="preserve">, er behandlingen af akut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>-forgiftning udelukkende symptomatisk.</w:t>
      </w: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Tegn og symptomer på forgiftning som følge af indtagelse af betydelige mængder </w:t>
      </w:r>
      <w:proofErr w:type="spellStart"/>
      <w:r w:rsidRPr="00904D5D">
        <w:rPr>
          <w:sz w:val="24"/>
          <w:szCs w:val="24"/>
          <w:lang w:eastAsia="da-DK"/>
        </w:rPr>
        <w:t>cetylpyridiniumchlorid</w:t>
      </w:r>
      <w:proofErr w:type="spellEnd"/>
      <w:r w:rsidRPr="00904D5D">
        <w:rPr>
          <w:sz w:val="24"/>
          <w:szCs w:val="24"/>
          <w:lang w:eastAsia="da-DK"/>
        </w:rPr>
        <w:t xml:space="preserve"> omfatter kvalme, opkastning, dyspnø, cyanose, </w:t>
      </w:r>
      <w:proofErr w:type="spellStart"/>
      <w:r w:rsidRPr="00904D5D">
        <w:rPr>
          <w:sz w:val="24"/>
          <w:szCs w:val="24"/>
          <w:lang w:eastAsia="da-DK"/>
        </w:rPr>
        <w:t>asfyksi</w:t>
      </w:r>
      <w:proofErr w:type="spellEnd"/>
      <w:r w:rsidRPr="00904D5D">
        <w:rPr>
          <w:sz w:val="24"/>
          <w:szCs w:val="24"/>
          <w:lang w:eastAsia="da-DK"/>
        </w:rPr>
        <w:t xml:space="preserve"> efter lammelse af åndedrætsmusklerne, CNS-depression, hypotension og koma. Den letale dosis hos mennesker er cirka 1-3 gram.</w:t>
      </w: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Behandling</w:t>
      </w:r>
    </w:p>
    <w:p w:rsidR="00DA3109" w:rsidRPr="00904D5D" w:rsidRDefault="00DA3109" w:rsidP="00DA3109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Da der ikke findes nogen specifik </w:t>
      </w:r>
      <w:proofErr w:type="spellStart"/>
      <w:r w:rsidRPr="00904D5D">
        <w:rPr>
          <w:sz w:val="24"/>
          <w:szCs w:val="24"/>
          <w:lang w:eastAsia="da-DK"/>
        </w:rPr>
        <w:t>antidot</w:t>
      </w:r>
      <w:proofErr w:type="spellEnd"/>
      <w:r w:rsidRPr="00904D5D">
        <w:rPr>
          <w:sz w:val="24"/>
          <w:szCs w:val="24"/>
          <w:lang w:eastAsia="da-DK"/>
        </w:rPr>
        <w:t>, er behandlingen af akut overdosering udelukkende symptomatisk.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4.10</w:t>
      </w:r>
      <w:r w:rsidRPr="00904D5D">
        <w:rPr>
          <w:b/>
          <w:sz w:val="24"/>
          <w:szCs w:val="24"/>
        </w:rPr>
        <w:tab/>
        <w:t>Udlevering</w:t>
      </w:r>
    </w:p>
    <w:p w:rsidR="009260DE" w:rsidRPr="00904D5D" w:rsidRDefault="00136512" w:rsidP="0015530E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HA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442898" w:rsidRDefault="009260DE" w:rsidP="00442898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lastRenderedPageBreak/>
        <w:t>5.</w:t>
      </w:r>
      <w:r w:rsidRPr="00904D5D">
        <w:rPr>
          <w:b/>
          <w:sz w:val="24"/>
          <w:szCs w:val="24"/>
        </w:rPr>
        <w:tab/>
        <w:t>FARMAKOLOGISKE EGENSKABER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5.1</w:t>
      </w:r>
      <w:r w:rsidRPr="00904D5D">
        <w:rPr>
          <w:b/>
          <w:sz w:val="24"/>
          <w:szCs w:val="24"/>
        </w:rPr>
        <w:tab/>
      </w:r>
      <w:proofErr w:type="spellStart"/>
      <w:r w:rsidRPr="00904D5D">
        <w:rPr>
          <w:b/>
          <w:sz w:val="24"/>
          <w:szCs w:val="24"/>
        </w:rPr>
        <w:t>Farmakodynamiske</w:t>
      </w:r>
      <w:proofErr w:type="spellEnd"/>
      <w:r w:rsidRPr="00904D5D">
        <w:rPr>
          <w:b/>
          <w:sz w:val="24"/>
          <w:szCs w:val="24"/>
        </w:rPr>
        <w:t xml:space="preserve"> egenskaber</w:t>
      </w:r>
    </w:p>
    <w:p w:rsidR="00483F50" w:rsidRDefault="00442898" w:rsidP="0015530E">
      <w:pPr>
        <w:keepNext/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904D5D">
        <w:rPr>
          <w:sz w:val="24"/>
          <w:szCs w:val="24"/>
          <w:lang w:eastAsia="da-DK"/>
        </w:rPr>
        <w:t>Halsmidler, andre halsmidler.</w:t>
      </w:r>
      <w:r w:rsidRPr="00442898">
        <w:rPr>
          <w:sz w:val="24"/>
          <w:szCs w:val="24"/>
          <w:lang w:eastAsia="da-DK"/>
        </w:rPr>
        <w:t xml:space="preserve"> </w:t>
      </w:r>
      <w:r w:rsidRPr="00904D5D">
        <w:rPr>
          <w:sz w:val="24"/>
          <w:szCs w:val="24"/>
          <w:lang w:eastAsia="da-DK"/>
        </w:rPr>
        <w:t>ATC-kode: R 02 AX 03.</w:t>
      </w:r>
    </w:p>
    <w:p w:rsidR="00442898" w:rsidRPr="00904D5D" w:rsidRDefault="00442898" w:rsidP="0015530E">
      <w:pPr>
        <w:keepNext/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Virkningsmekanisme</w:t>
      </w: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Benzydaminhydrochlorid</w:t>
      </w:r>
      <w:proofErr w:type="spellEnd"/>
      <w:r>
        <w:rPr>
          <w:sz w:val="24"/>
          <w:szCs w:val="24"/>
          <w:lang w:eastAsia="da-DK"/>
        </w:rPr>
        <w:t xml:space="preserve"> er et molekyle med en non-steroid kemisk struktur med antiinflammatoriske og analgetiske egenskaber. Virkningsmekanismen synes at skyldes hæmningen af </w:t>
      </w:r>
      <w:proofErr w:type="spellStart"/>
      <w:r>
        <w:rPr>
          <w:sz w:val="24"/>
          <w:szCs w:val="24"/>
          <w:lang w:eastAsia="da-DK"/>
        </w:rPr>
        <w:t>prostaglandinsyntese</w:t>
      </w:r>
      <w:proofErr w:type="spellEnd"/>
      <w:r>
        <w:rPr>
          <w:sz w:val="24"/>
          <w:szCs w:val="24"/>
          <w:lang w:eastAsia="da-DK"/>
        </w:rPr>
        <w:t xml:space="preserve"> og derigennem reduktion af lokale tegn på inflammation (såsom smerte, rødme, hævelse, varme og nedsat funktion). </w:t>
      </w:r>
      <w:proofErr w:type="spellStart"/>
      <w:r>
        <w:rPr>
          <w:sz w:val="24"/>
          <w:szCs w:val="24"/>
          <w:lang w:eastAsia="da-DK"/>
        </w:rPr>
        <w:t>Benzydaminhydrochlorid</w:t>
      </w:r>
      <w:proofErr w:type="spellEnd"/>
      <w:r>
        <w:rPr>
          <w:sz w:val="24"/>
          <w:szCs w:val="24"/>
          <w:lang w:eastAsia="da-DK"/>
        </w:rPr>
        <w:t xml:space="preserve"> har også en moderat lokalbedøvende virkning.</w:t>
      </w: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Cetylpyridiniumchlorid</w:t>
      </w:r>
      <w:proofErr w:type="spellEnd"/>
      <w:r>
        <w:rPr>
          <w:sz w:val="24"/>
          <w:szCs w:val="24"/>
          <w:lang w:eastAsia="da-DK"/>
        </w:rPr>
        <w:t xml:space="preserve"> er et </w:t>
      </w:r>
      <w:proofErr w:type="spellStart"/>
      <w:r>
        <w:rPr>
          <w:sz w:val="24"/>
          <w:szCs w:val="24"/>
          <w:lang w:eastAsia="da-DK"/>
        </w:rPr>
        <w:t>kationisk</w:t>
      </w:r>
      <w:proofErr w:type="spellEnd"/>
      <w:r>
        <w:rPr>
          <w:sz w:val="24"/>
          <w:szCs w:val="24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antiseptika</w:t>
      </w:r>
      <w:proofErr w:type="spellEnd"/>
      <w:r>
        <w:rPr>
          <w:sz w:val="24"/>
          <w:szCs w:val="24"/>
          <w:lang w:eastAsia="da-DK"/>
        </w:rPr>
        <w:t xml:space="preserve">, der tilhører gruppen af kvartære </w:t>
      </w:r>
      <w:proofErr w:type="spellStart"/>
      <w:r>
        <w:rPr>
          <w:sz w:val="24"/>
          <w:szCs w:val="24"/>
          <w:lang w:eastAsia="da-DK"/>
        </w:rPr>
        <w:t>ammoniumsalte</w:t>
      </w:r>
      <w:proofErr w:type="spellEnd"/>
      <w:r>
        <w:rPr>
          <w:sz w:val="24"/>
          <w:szCs w:val="24"/>
          <w:lang w:eastAsia="da-DK"/>
        </w:rPr>
        <w:t xml:space="preserve">. </w:t>
      </w:r>
      <w:r>
        <w:rPr>
          <w:i/>
          <w:iCs/>
          <w:sz w:val="24"/>
          <w:szCs w:val="24"/>
          <w:lang w:eastAsia="da-DK"/>
        </w:rPr>
        <w:t>In </w:t>
      </w:r>
      <w:proofErr w:type="spellStart"/>
      <w:r>
        <w:rPr>
          <w:i/>
          <w:iCs/>
          <w:sz w:val="24"/>
          <w:szCs w:val="24"/>
          <w:lang w:eastAsia="da-DK"/>
        </w:rPr>
        <w:t>vitro</w:t>
      </w:r>
      <w:proofErr w:type="spellEnd"/>
      <w:r>
        <w:rPr>
          <w:sz w:val="24"/>
          <w:szCs w:val="24"/>
          <w:lang w:eastAsia="da-DK"/>
        </w:rPr>
        <w:t xml:space="preserve">-undersøgelser med </w:t>
      </w:r>
      <w:proofErr w:type="spellStart"/>
      <w:r>
        <w:rPr>
          <w:sz w:val="24"/>
          <w:szCs w:val="24"/>
          <w:lang w:eastAsia="da-DK"/>
        </w:rPr>
        <w:t>cetylpyridiniumchlorid</w:t>
      </w:r>
      <w:proofErr w:type="spellEnd"/>
      <w:r>
        <w:rPr>
          <w:sz w:val="24"/>
          <w:szCs w:val="24"/>
          <w:lang w:eastAsia="da-DK"/>
        </w:rPr>
        <w:t xml:space="preserve"> viste antiviral aktivitet; den kliniske relevans er dog ukendt.</w:t>
      </w: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Klinisk virkning og sikkerhed</w:t>
      </w: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sz w:val="24"/>
          <w:szCs w:val="24"/>
          <w:lang w:eastAsia="da-DK"/>
        </w:rPr>
        <w:t>Benzydamin</w:t>
      </w:r>
      <w:proofErr w:type="spellEnd"/>
      <w:r>
        <w:rPr>
          <w:sz w:val="24"/>
          <w:szCs w:val="24"/>
          <w:lang w:eastAsia="da-DK"/>
        </w:rPr>
        <w:t xml:space="preserve"> anvendes hovedsageligt til behandling af lidelser i mundhulen og svælget.</w:t>
      </w:r>
      <w:r>
        <w:rPr>
          <w:sz w:val="24"/>
          <w:szCs w:val="24"/>
          <w:u w:val="single"/>
          <w:lang w:eastAsia="da-DK"/>
        </w:rPr>
        <w:t xml:space="preserve"> </w:t>
      </w:r>
      <w:proofErr w:type="spellStart"/>
      <w:r>
        <w:rPr>
          <w:sz w:val="24"/>
          <w:szCs w:val="24"/>
          <w:lang w:eastAsia="da-DK"/>
        </w:rPr>
        <w:t>Cetylpyridiniumchlorid</w:t>
      </w:r>
      <w:proofErr w:type="spellEnd"/>
      <w:r>
        <w:rPr>
          <w:sz w:val="24"/>
          <w:szCs w:val="24"/>
          <w:lang w:eastAsia="da-DK"/>
        </w:rPr>
        <w:t xml:space="preserve"> er aktivt mod grampositive bakterier og mindre aktivt mod gramnegative bakterier og udøver derfor en optimal antiseptisk og bakteriedræbende virkning. Det har også </w:t>
      </w:r>
      <w:proofErr w:type="spellStart"/>
      <w:r>
        <w:rPr>
          <w:sz w:val="24"/>
          <w:szCs w:val="24"/>
          <w:lang w:eastAsia="da-DK"/>
        </w:rPr>
        <w:t>antifungale</w:t>
      </w:r>
      <w:proofErr w:type="spellEnd"/>
      <w:r>
        <w:rPr>
          <w:sz w:val="24"/>
          <w:szCs w:val="24"/>
          <w:lang w:eastAsia="da-DK"/>
        </w:rPr>
        <w:t xml:space="preserve"> egenskaber.</w:t>
      </w:r>
    </w:p>
    <w:p w:rsidR="00442898" w:rsidRDefault="00442898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 xml:space="preserve">I et placebokontrolleret klinisk studie med </w:t>
      </w:r>
      <w:proofErr w:type="spellStart"/>
      <w:r>
        <w:rPr>
          <w:sz w:val="24"/>
          <w:szCs w:val="24"/>
          <w:lang w:eastAsia="da-DK"/>
        </w:rPr>
        <w:t>benzydaminhydrochlorid</w:t>
      </w:r>
      <w:proofErr w:type="spellEnd"/>
      <w:r>
        <w:rPr>
          <w:sz w:val="24"/>
          <w:szCs w:val="24"/>
          <w:lang w:eastAsia="da-DK"/>
        </w:rPr>
        <w:t>/</w:t>
      </w:r>
      <w:proofErr w:type="spellStart"/>
      <w:r>
        <w:rPr>
          <w:sz w:val="24"/>
          <w:szCs w:val="24"/>
          <w:lang w:eastAsia="da-DK"/>
        </w:rPr>
        <w:t>cetylpyridiniumchlorid</w:t>
      </w:r>
      <w:proofErr w:type="spellEnd"/>
      <w:r>
        <w:rPr>
          <w:sz w:val="24"/>
          <w:szCs w:val="24"/>
          <w:lang w:eastAsia="da-DK"/>
        </w:rPr>
        <w:t xml:space="preserve"> sugetabletter blev der observeret indtræden af smertelindring (reduktion af ømhed og hævelse i svælget) 15 minutter efter indtagelse af en sugetablet, og virkningen varede i op til 3 timer.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5.2</w:t>
      </w:r>
      <w:r w:rsidRPr="00904D5D">
        <w:rPr>
          <w:b/>
          <w:sz w:val="24"/>
          <w:szCs w:val="24"/>
        </w:rPr>
        <w:tab/>
      </w:r>
      <w:proofErr w:type="spellStart"/>
      <w:r w:rsidRPr="00904D5D">
        <w:rPr>
          <w:b/>
          <w:sz w:val="24"/>
          <w:szCs w:val="24"/>
        </w:rPr>
        <w:t>Farmakokinetiske</w:t>
      </w:r>
      <w:proofErr w:type="spellEnd"/>
      <w:r w:rsidRPr="00904D5D">
        <w:rPr>
          <w:b/>
          <w:sz w:val="24"/>
          <w:szCs w:val="24"/>
        </w:rPr>
        <w:t xml:space="preserve"> egenskaber</w:t>
      </w:r>
    </w:p>
    <w:p w:rsidR="00677044" w:rsidRPr="00904D5D" w:rsidRDefault="00677044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Absorption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Af de to aktive stoffer, </w:t>
      </w:r>
      <w:proofErr w:type="spellStart"/>
      <w:r w:rsidRPr="00904D5D">
        <w:rPr>
          <w:sz w:val="24"/>
          <w:szCs w:val="24"/>
          <w:lang w:eastAsia="da-DK"/>
        </w:rPr>
        <w:t>cetylpyridinium</w:t>
      </w:r>
      <w:proofErr w:type="spellEnd"/>
      <w:r w:rsidRPr="00904D5D">
        <w:rPr>
          <w:sz w:val="24"/>
          <w:szCs w:val="24"/>
          <w:lang w:eastAsia="da-DK"/>
        </w:rPr>
        <w:t xml:space="preserve"> og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, er det kun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, der absorberes. </w:t>
      </w:r>
      <w:proofErr w:type="spellStart"/>
      <w:r w:rsidRPr="00904D5D">
        <w:rPr>
          <w:sz w:val="24"/>
          <w:szCs w:val="24"/>
          <w:lang w:eastAsia="da-DK"/>
        </w:rPr>
        <w:t>Cetylpyridinium</w:t>
      </w:r>
      <w:proofErr w:type="spellEnd"/>
      <w:r w:rsidRPr="00904D5D">
        <w:rPr>
          <w:sz w:val="24"/>
          <w:szCs w:val="24"/>
          <w:lang w:eastAsia="da-DK"/>
        </w:rPr>
        <w:t xml:space="preserve"> giver derfor ikke anledning til </w:t>
      </w:r>
      <w:proofErr w:type="spellStart"/>
      <w:r w:rsidRPr="00904D5D">
        <w:rPr>
          <w:sz w:val="24"/>
          <w:szCs w:val="24"/>
          <w:lang w:eastAsia="da-DK"/>
        </w:rPr>
        <w:t>farmakokinetiske</w:t>
      </w:r>
      <w:proofErr w:type="spellEnd"/>
      <w:r w:rsidRPr="00904D5D">
        <w:rPr>
          <w:sz w:val="24"/>
          <w:szCs w:val="24"/>
          <w:lang w:eastAsia="da-DK"/>
        </w:rPr>
        <w:t xml:space="preserve"> interaktioner med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på systemisk niveau.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Absorptionen af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gennem slimhinderne i munden og svælget er påvist ved tilstedeværelse af </w:t>
      </w:r>
      <w:proofErr w:type="spellStart"/>
      <w:r w:rsidRPr="00904D5D">
        <w:rPr>
          <w:sz w:val="24"/>
          <w:szCs w:val="24"/>
          <w:lang w:eastAsia="da-DK"/>
        </w:rPr>
        <w:t>detekterbare</w:t>
      </w:r>
      <w:proofErr w:type="spellEnd"/>
      <w:r w:rsidRPr="00904D5D">
        <w:rPr>
          <w:sz w:val="24"/>
          <w:szCs w:val="24"/>
          <w:lang w:eastAsia="da-DK"/>
        </w:rPr>
        <w:t xml:space="preserve"> mængder af det aktive stof i serum, disse mængder er dog utilstrækkelige til at forårsage systemisk påvirkning.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absorberes, når det administreres systemisk. Absorptionen af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er derfor højere med lægemiddelformer, der opløses i munden sammenlignet med den </w:t>
      </w:r>
      <w:proofErr w:type="spellStart"/>
      <w:r w:rsidRPr="00904D5D">
        <w:rPr>
          <w:sz w:val="24"/>
          <w:szCs w:val="24"/>
          <w:lang w:eastAsia="da-DK"/>
        </w:rPr>
        <w:t>topikale</w:t>
      </w:r>
      <w:proofErr w:type="spellEnd"/>
      <w:r w:rsidRPr="00904D5D">
        <w:rPr>
          <w:sz w:val="24"/>
          <w:szCs w:val="24"/>
          <w:lang w:eastAsia="da-DK"/>
        </w:rPr>
        <w:t xml:space="preserve"> administrationsvej (såsom mundhulespray).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Fordeling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Ved lokal anvendelse er det vist, at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ophobes i inflammerede væv, hvor det opnår virksomme koncentrationer på grund af sin evne til at gennemtrænge overfladeepitelet.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904D5D">
        <w:rPr>
          <w:sz w:val="24"/>
          <w:szCs w:val="24"/>
          <w:u w:val="single"/>
          <w:lang w:eastAsia="da-DK"/>
        </w:rPr>
        <w:t>Elimination</w:t>
      </w:r>
    </w:p>
    <w:p w:rsidR="00904D5D" w:rsidRPr="00904D5D" w:rsidRDefault="000A0F3B" w:rsidP="00442898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Udskillelsen af </w:t>
      </w:r>
      <w:proofErr w:type="spellStart"/>
      <w:r w:rsidRPr="00904D5D">
        <w:rPr>
          <w:sz w:val="24"/>
          <w:szCs w:val="24"/>
          <w:lang w:eastAsia="da-DK"/>
        </w:rPr>
        <w:t>benzydamin</w:t>
      </w:r>
      <w:proofErr w:type="spellEnd"/>
      <w:r w:rsidRPr="00904D5D">
        <w:rPr>
          <w:sz w:val="24"/>
          <w:szCs w:val="24"/>
          <w:lang w:eastAsia="da-DK"/>
        </w:rPr>
        <w:t xml:space="preserve"> sker primært med urinen og især i form af inaktive metabolitter.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5.3</w:t>
      </w:r>
      <w:r w:rsidRPr="00904D5D">
        <w:rPr>
          <w:b/>
          <w:sz w:val="24"/>
          <w:szCs w:val="24"/>
        </w:rPr>
        <w:tab/>
      </w:r>
      <w:r w:rsidR="00442898">
        <w:rPr>
          <w:b/>
          <w:sz w:val="24"/>
          <w:szCs w:val="24"/>
        </w:rPr>
        <w:t>Non-</w:t>
      </w:r>
      <w:r w:rsidRPr="00904D5D">
        <w:rPr>
          <w:b/>
          <w:sz w:val="24"/>
          <w:szCs w:val="24"/>
        </w:rPr>
        <w:t>kliniske sikkerhedsdata</w:t>
      </w:r>
    </w:p>
    <w:p w:rsidR="000A0F3B" w:rsidRPr="00904D5D" w:rsidRDefault="000A0F3B" w:rsidP="000A0F3B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Præ-kliniske data viser ingen speciel risiko for mennesker vurderet ud fra studier af sikkerhedsfarmakologi, toksicitet efter gentagne doser, genotoksicitet, reproduktions- og udviklingstoksicitet.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</w:t>
      </w:r>
      <w:r w:rsidRPr="00904D5D">
        <w:rPr>
          <w:b/>
          <w:sz w:val="24"/>
          <w:szCs w:val="24"/>
        </w:rPr>
        <w:tab/>
        <w:t>FARMACEUTISKE OPLYSNINGER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6.1</w:t>
      </w:r>
      <w:r w:rsidRPr="00904D5D">
        <w:rPr>
          <w:b/>
          <w:sz w:val="24"/>
          <w:szCs w:val="24"/>
        </w:rPr>
        <w:tab/>
        <w:t>Hjælpestoffer</w:t>
      </w:r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Pebermynteolie</w:t>
      </w:r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Levomenthol</w:t>
      </w:r>
      <w:proofErr w:type="spellEnd"/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Sucralose</w:t>
      </w:r>
      <w:proofErr w:type="spellEnd"/>
      <w:r w:rsidRPr="00904D5D">
        <w:rPr>
          <w:sz w:val="24"/>
          <w:szCs w:val="24"/>
          <w:lang w:eastAsia="da-DK"/>
        </w:rPr>
        <w:t xml:space="preserve"> (E955)</w:t>
      </w:r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val="sv-SE" w:eastAsia="da-DK"/>
        </w:rPr>
      </w:pPr>
      <w:proofErr w:type="spellStart"/>
      <w:r w:rsidRPr="00904D5D">
        <w:rPr>
          <w:sz w:val="24"/>
          <w:szCs w:val="24"/>
          <w:lang w:val="sv-SE" w:eastAsia="da-DK"/>
        </w:rPr>
        <w:t>Citronsyre</w:t>
      </w:r>
      <w:proofErr w:type="spellEnd"/>
      <w:r w:rsidRPr="00904D5D">
        <w:rPr>
          <w:sz w:val="24"/>
          <w:szCs w:val="24"/>
          <w:lang w:val="sv-SE" w:eastAsia="da-DK"/>
        </w:rPr>
        <w:t xml:space="preserve"> (E330)</w:t>
      </w:r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val="sv-SE" w:eastAsia="da-DK"/>
        </w:rPr>
      </w:pPr>
      <w:proofErr w:type="spellStart"/>
      <w:r w:rsidRPr="00904D5D">
        <w:rPr>
          <w:sz w:val="24"/>
          <w:szCs w:val="24"/>
          <w:lang w:val="sv-SE" w:eastAsia="da-DK"/>
        </w:rPr>
        <w:t>Isomalt</w:t>
      </w:r>
      <w:proofErr w:type="spellEnd"/>
      <w:r w:rsidRPr="00904D5D">
        <w:rPr>
          <w:sz w:val="24"/>
          <w:szCs w:val="24"/>
          <w:lang w:val="sv-SE" w:eastAsia="da-DK"/>
        </w:rPr>
        <w:t xml:space="preserve"> (E953)</w:t>
      </w:r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val="sv-SE" w:eastAsia="da-DK"/>
        </w:rPr>
      </w:pPr>
      <w:proofErr w:type="spellStart"/>
      <w:r w:rsidRPr="00904D5D">
        <w:rPr>
          <w:sz w:val="24"/>
          <w:szCs w:val="24"/>
          <w:lang w:val="sv-SE" w:eastAsia="da-DK"/>
        </w:rPr>
        <w:t>Citronaroma</w:t>
      </w:r>
      <w:proofErr w:type="spellEnd"/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val="sv-SE" w:eastAsia="da-DK"/>
        </w:rPr>
      </w:pPr>
      <w:proofErr w:type="spellStart"/>
      <w:r w:rsidRPr="00904D5D">
        <w:rPr>
          <w:sz w:val="24"/>
          <w:szCs w:val="24"/>
          <w:lang w:val="sv-SE" w:eastAsia="da-DK"/>
        </w:rPr>
        <w:t>Honningaroma</w:t>
      </w:r>
      <w:proofErr w:type="spellEnd"/>
    </w:p>
    <w:p w:rsidR="00A65074" w:rsidRPr="00904D5D" w:rsidRDefault="00A65074" w:rsidP="00A6507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Curcumin</w:t>
      </w:r>
      <w:proofErr w:type="spellEnd"/>
      <w:r w:rsidRPr="00904D5D">
        <w:rPr>
          <w:sz w:val="24"/>
          <w:szCs w:val="24"/>
          <w:lang w:eastAsia="da-DK"/>
        </w:rPr>
        <w:t xml:space="preserve"> (E100) [indeholdende natriumbenzoat (E211)]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6.2</w:t>
      </w:r>
      <w:r w:rsidRPr="00904D5D">
        <w:rPr>
          <w:b/>
          <w:sz w:val="24"/>
          <w:szCs w:val="24"/>
        </w:rPr>
        <w:tab/>
        <w:t>Uforligeligheder</w:t>
      </w:r>
    </w:p>
    <w:p w:rsidR="004A5081" w:rsidRPr="00904D5D" w:rsidRDefault="004A5081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Ikke relevant.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6.3</w:t>
      </w:r>
      <w:r w:rsidRPr="00904D5D">
        <w:rPr>
          <w:b/>
          <w:sz w:val="24"/>
          <w:szCs w:val="24"/>
        </w:rPr>
        <w:tab/>
        <w:t>Opbevaringstid</w:t>
      </w:r>
    </w:p>
    <w:p w:rsidR="004A5081" w:rsidRPr="00904D5D" w:rsidRDefault="00A34BF1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4</w:t>
      </w:r>
      <w:r w:rsidR="004A5081" w:rsidRPr="00904D5D">
        <w:rPr>
          <w:sz w:val="24"/>
          <w:szCs w:val="24"/>
          <w:lang w:eastAsia="da-DK"/>
        </w:rPr>
        <w:t> år.</w:t>
      </w:r>
    </w:p>
    <w:p w:rsidR="004A5081" w:rsidRPr="00904D5D" w:rsidRDefault="004A5081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6.4</w:t>
      </w:r>
      <w:r w:rsidRPr="00904D5D">
        <w:rPr>
          <w:b/>
          <w:sz w:val="24"/>
          <w:szCs w:val="24"/>
        </w:rPr>
        <w:tab/>
        <w:t>Særlige opbevaringsforhold</w:t>
      </w:r>
    </w:p>
    <w:p w:rsidR="00F84964" w:rsidRPr="00904D5D" w:rsidRDefault="00F84964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6" w:name="_Hlk72077757"/>
      <w:bookmarkStart w:id="7" w:name="_Hlk72089120"/>
      <w:r w:rsidRPr="00904D5D">
        <w:rPr>
          <w:sz w:val="24"/>
          <w:szCs w:val="24"/>
          <w:lang w:eastAsia="da-DK"/>
        </w:rPr>
        <w:t>Der er ingen særlige krav vedrørende opbevaringstemperaturer for dette lægemiddel.</w:t>
      </w:r>
    </w:p>
    <w:p w:rsidR="00F84964" w:rsidRPr="00904D5D" w:rsidRDefault="00F84964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F84964" w:rsidRPr="00904D5D" w:rsidRDefault="00F84964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Opbevares i den originale yderpakning for at beskytte mod lys.</w:t>
      </w:r>
    </w:p>
    <w:bookmarkEnd w:id="6"/>
    <w:bookmarkEnd w:id="7"/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6.5</w:t>
      </w:r>
      <w:r w:rsidRPr="00904D5D">
        <w:rPr>
          <w:b/>
          <w:sz w:val="24"/>
          <w:szCs w:val="24"/>
        </w:rPr>
        <w:tab/>
        <w:t>Emballagetype og pakningsstørrelser</w:t>
      </w:r>
    </w:p>
    <w:p w:rsidR="00270CC6" w:rsidRPr="00904D5D" w:rsidRDefault="00F84964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Blister (PVC/PE/PVDC//</w:t>
      </w:r>
      <w:proofErr w:type="spellStart"/>
      <w:r w:rsidRPr="00904D5D">
        <w:rPr>
          <w:sz w:val="24"/>
          <w:szCs w:val="24"/>
          <w:lang w:eastAsia="da-DK"/>
        </w:rPr>
        <w:t>Alu</w:t>
      </w:r>
      <w:proofErr w:type="spellEnd"/>
      <w:r w:rsidRPr="00904D5D">
        <w:rPr>
          <w:sz w:val="24"/>
          <w:szCs w:val="24"/>
          <w:lang w:eastAsia="da-DK"/>
        </w:rPr>
        <w:t>)</w:t>
      </w:r>
      <w:r w:rsidR="00270CC6" w:rsidRPr="00904D5D">
        <w:rPr>
          <w:sz w:val="24"/>
          <w:szCs w:val="24"/>
          <w:lang w:eastAsia="da-DK"/>
        </w:rPr>
        <w:t>, i æske.</w:t>
      </w:r>
    </w:p>
    <w:p w:rsidR="00270CC6" w:rsidRPr="00904D5D" w:rsidRDefault="00270CC6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F84964" w:rsidRPr="00904D5D" w:rsidRDefault="00270CC6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Pakningsstørrelser</w:t>
      </w:r>
      <w:r w:rsidR="00F84964" w:rsidRPr="00904D5D">
        <w:rPr>
          <w:sz w:val="24"/>
          <w:szCs w:val="24"/>
          <w:lang w:eastAsia="da-DK"/>
        </w:rPr>
        <w:t xml:space="preserve">: </w:t>
      </w:r>
      <w:bookmarkStart w:id="8" w:name="_Hlk72089513"/>
      <w:r w:rsidR="00F84964" w:rsidRPr="00904D5D">
        <w:rPr>
          <w:sz w:val="24"/>
          <w:szCs w:val="24"/>
          <w:lang w:eastAsia="da-DK"/>
        </w:rPr>
        <w:t xml:space="preserve">8, 16, 24, 32 </w:t>
      </w:r>
      <w:r w:rsidRPr="00904D5D">
        <w:rPr>
          <w:sz w:val="24"/>
          <w:szCs w:val="24"/>
          <w:lang w:eastAsia="da-DK"/>
        </w:rPr>
        <w:t>og</w:t>
      </w:r>
      <w:r w:rsidR="00F84964" w:rsidRPr="00904D5D">
        <w:rPr>
          <w:sz w:val="24"/>
          <w:szCs w:val="24"/>
          <w:lang w:eastAsia="da-DK"/>
        </w:rPr>
        <w:t xml:space="preserve"> 40 sugetabletter</w:t>
      </w:r>
      <w:r w:rsidRPr="00904D5D">
        <w:rPr>
          <w:sz w:val="24"/>
          <w:szCs w:val="24"/>
          <w:lang w:eastAsia="da-DK"/>
        </w:rPr>
        <w:t>.</w:t>
      </w:r>
    </w:p>
    <w:bookmarkEnd w:id="8"/>
    <w:p w:rsidR="00F84964" w:rsidRPr="00904D5D" w:rsidRDefault="00F84964" w:rsidP="00F84964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Ikke alle pakningsstørrelser er nødvendigvis markedsført.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6.6</w:t>
      </w:r>
      <w:r w:rsidRPr="00904D5D">
        <w:rPr>
          <w:b/>
          <w:sz w:val="24"/>
          <w:szCs w:val="24"/>
        </w:rPr>
        <w:tab/>
        <w:t xml:space="preserve">Regler for </w:t>
      </w:r>
      <w:r w:rsidR="00442898">
        <w:rPr>
          <w:b/>
          <w:sz w:val="24"/>
          <w:szCs w:val="24"/>
        </w:rPr>
        <w:t>bortskaffelse</w:t>
      </w:r>
      <w:r w:rsidRPr="00904D5D">
        <w:rPr>
          <w:b/>
          <w:sz w:val="24"/>
          <w:szCs w:val="24"/>
        </w:rPr>
        <w:t xml:space="preserve"> og anden håndtering</w:t>
      </w:r>
    </w:p>
    <w:p w:rsidR="009260DE" w:rsidRPr="00904D5D" w:rsidRDefault="00936C69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Ikke anvendt lægemiddel samt affald heraf skal bortskaffes i henhold til lokale retningslinjer.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7.</w:t>
      </w:r>
      <w:r w:rsidRPr="00904D5D">
        <w:rPr>
          <w:b/>
          <w:sz w:val="24"/>
          <w:szCs w:val="24"/>
        </w:rPr>
        <w:tab/>
        <w:t>INDEHAVER AF MARKEDSFØRINGSTILLADELSEN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bookmarkStart w:id="9" w:name="_Hlk72077826"/>
      <w:proofErr w:type="spellStart"/>
      <w:r w:rsidRPr="00904D5D">
        <w:rPr>
          <w:sz w:val="24"/>
          <w:szCs w:val="24"/>
          <w:lang w:eastAsia="da-DK"/>
        </w:rPr>
        <w:t>Krka</w:t>
      </w:r>
      <w:proofErr w:type="spellEnd"/>
      <w:r w:rsidRPr="00904D5D">
        <w:rPr>
          <w:sz w:val="24"/>
          <w:szCs w:val="24"/>
          <w:lang w:eastAsia="da-DK"/>
        </w:rPr>
        <w:t xml:space="preserve">, d.d., Novo </w:t>
      </w:r>
      <w:proofErr w:type="spellStart"/>
      <w:r w:rsidRPr="00904D5D">
        <w:rPr>
          <w:sz w:val="24"/>
          <w:szCs w:val="24"/>
          <w:lang w:eastAsia="da-DK"/>
        </w:rPr>
        <w:t>mesto</w:t>
      </w:r>
      <w:proofErr w:type="spellEnd"/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Šmarješka</w:t>
      </w:r>
      <w:proofErr w:type="spellEnd"/>
      <w:r w:rsidRPr="00904D5D">
        <w:rPr>
          <w:sz w:val="24"/>
          <w:szCs w:val="24"/>
          <w:lang w:eastAsia="da-DK"/>
        </w:rPr>
        <w:t xml:space="preserve"> </w:t>
      </w:r>
      <w:proofErr w:type="spellStart"/>
      <w:r w:rsidRPr="00904D5D">
        <w:rPr>
          <w:sz w:val="24"/>
          <w:szCs w:val="24"/>
          <w:lang w:eastAsia="da-DK"/>
        </w:rPr>
        <w:t>cesta</w:t>
      </w:r>
      <w:proofErr w:type="spellEnd"/>
      <w:r w:rsidRPr="00904D5D">
        <w:rPr>
          <w:sz w:val="24"/>
          <w:szCs w:val="24"/>
          <w:lang w:eastAsia="da-DK"/>
        </w:rPr>
        <w:t xml:space="preserve"> 6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 xml:space="preserve">8501 Novo </w:t>
      </w:r>
      <w:proofErr w:type="spellStart"/>
      <w:r w:rsidRPr="00904D5D">
        <w:rPr>
          <w:sz w:val="24"/>
          <w:szCs w:val="24"/>
          <w:lang w:eastAsia="da-DK"/>
        </w:rPr>
        <w:t>mesto</w:t>
      </w:r>
      <w:proofErr w:type="spellEnd"/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Slovenien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</w:p>
    <w:p w:rsidR="008F6273" w:rsidRPr="00904D5D" w:rsidRDefault="008F6273" w:rsidP="0015530E">
      <w:pPr>
        <w:tabs>
          <w:tab w:val="left" w:pos="851"/>
        </w:tabs>
        <w:ind w:left="851"/>
        <w:rPr>
          <w:b/>
          <w:sz w:val="24"/>
          <w:szCs w:val="24"/>
          <w:lang w:eastAsia="da-DK"/>
        </w:rPr>
      </w:pPr>
      <w:r w:rsidRPr="00904D5D">
        <w:rPr>
          <w:b/>
          <w:sz w:val="24"/>
          <w:szCs w:val="24"/>
          <w:lang w:eastAsia="da-DK"/>
        </w:rPr>
        <w:t>Repræsentant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KRKA Sverige AB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Göta Ark 175</w:t>
      </w:r>
    </w:p>
    <w:p w:rsidR="00F239EA" w:rsidRPr="00904D5D" w:rsidRDefault="00F239EA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proofErr w:type="spellStart"/>
      <w:r w:rsidRPr="00904D5D">
        <w:rPr>
          <w:sz w:val="24"/>
          <w:szCs w:val="24"/>
          <w:lang w:eastAsia="da-DK"/>
        </w:rPr>
        <w:t>Medborgarplatsen</w:t>
      </w:r>
      <w:proofErr w:type="spellEnd"/>
      <w:r w:rsidRPr="00904D5D">
        <w:rPr>
          <w:sz w:val="24"/>
          <w:szCs w:val="24"/>
          <w:lang w:eastAsia="da-DK"/>
        </w:rPr>
        <w:t xml:space="preserve"> 25</w:t>
      </w:r>
    </w:p>
    <w:p w:rsidR="008F6273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118 72 Stockholm</w:t>
      </w:r>
    </w:p>
    <w:p w:rsidR="009260DE" w:rsidRPr="00904D5D" w:rsidRDefault="008F6273" w:rsidP="0015530E">
      <w:pPr>
        <w:tabs>
          <w:tab w:val="left" w:pos="851"/>
        </w:tabs>
        <w:ind w:left="851"/>
        <w:rPr>
          <w:sz w:val="24"/>
          <w:szCs w:val="24"/>
          <w:lang w:eastAsia="da-DK"/>
        </w:rPr>
      </w:pPr>
      <w:r w:rsidRPr="00904D5D">
        <w:rPr>
          <w:sz w:val="24"/>
          <w:szCs w:val="24"/>
          <w:lang w:eastAsia="da-DK"/>
        </w:rPr>
        <w:t>Sverige</w:t>
      </w:r>
      <w:bookmarkEnd w:id="9"/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8.</w:t>
      </w:r>
      <w:r w:rsidRPr="00904D5D">
        <w:rPr>
          <w:b/>
          <w:sz w:val="24"/>
          <w:szCs w:val="24"/>
        </w:rPr>
        <w:tab/>
        <w:t>MARKEDSFØRINGSTILLADELSESNUMMER (</w:t>
      </w:r>
      <w:r w:rsidR="00442898">
        <w:rPr>
          <w:b/>
          <w:sz w:val="24"/>
          <w:szCs w:val="24"/>
        </w:rPr>
        <w:t>-</w:t>
      </w:r>
      <w:r w:rsidRPr="00904D5D">
        <w:rPr>
          <w:b/>
          <w:sz w:val="24"/>
          <w:szCs w:val="24"/>
        </w:rPr>
        <w:t>NUMRE)</w:t>
      </w:r>
    </w:p>
    <w:p w:rsidR="009260DE" w:rsidRPr="00904D5D" w:rsidRDefault="000F6D5C" w:rsidP="0015530E">
      <w:pPr>
        <w:tabs>
          <w:tab w:val="left" w:pos="851"/>
        </w:tabs>
        <w:ind w:left="851"/>
        <w:rPr>
          <w:sz w:val="24"/>
          <w:szCs w:val="24"/>
        </w:rPr>
      </w:pPr>
      <w:r w:rsidRPr="00904D5D">
        <w:rPr>
          <w:sz w:val="24"/>
          <w:szCs w:val="24"/>
        </w:rPr>
        <w:t>63</w:t>
      </w:r>
      <w:r w:rsidR="00A64499" w:rsidRPr="00904D5D">
        <w:rPr>
          <w:sz w:val="24"/>
          <w:szCs w:val="24"/>
        </w:rPr>
        <w:t>692</w:t>
      </w:r>
    </w:p>
    <w:p w:rsidR="009260DE" w:rsidRPr="00904D5D" w:rsidRDefault="009260DE" w:rsidP="0015530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lastRenderedPageBreak/>
        <w:t>9.</w:t>
      </w:r>
      <w:r w:rsidRPr="00904D5D">
        <w:rPr>
          <w:b/>
          <w:sz w:val="24"/>
          <w:szCs w:val="24"/>
        </w:rPr>
        <w:tab/>
        <w:t>DATO FOR FØRSTE MARKEDSFØRINGSTILLADELSE</w:t>
      </w:r>
    </w:p>
    <w:p w:rsidR="009260DE" w:rsidRPr="00904D5D" w:rsidRDefault="003F4946" w:rsidP="0015530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30. august 2021</w:t>
      </w:r>
    </w:p>
    <w:p w:rsidR="009260DE" w:rsidRPr="00904D5D" w:rsidRDefault="009260DE" w:rsidP="0015530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904D5D" w:rsidRDefault="009260DE" w:rsidP="0015530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04D5D">
        <w:rPr>
          <w:b/>
          <w:sz w:val="24"/>
          <w:szCs w:val="24"/>
        </w:rPr>
        <w:t>10.</w:t>
      </w:r>
      <w:r w:rsidRPr="00904D5D">
        <w:rPr>
          <w:b/>
          <w:sz w:val="24"/>
          <w:szCs w:val="24"/>
        </w:rPr>
        <w:tab/>
        <w:t>DATO FOR ÆNDRING AF TEKSTEN</w:t>
      </w:r>
    </w:p>
    <w:p w:rsidR="009260DE" w:rsidRPr="00904D5D" w:rsidRDefault="007A3AE4" w:rsidP="0015530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8</w:t>
      </w:r>
      <w:bookmarkStart w:id="10" w:name="_GoBack"/>
      <w:bookmarkEnd w:id="10"/>
      <w:r w:rsidR="00442898">
        <w:rPr>
          <w:sz w:val="24"/>
          <w:szCs w:val="24"/>
        </w:rPr>
        <w:t>. marts 2024</w:t>
      </w:r>
    </w:p>
    <w:sectPr w:rsidR="009260DE" w:rsidRPr="00904D5D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09E" w:rsidRDefault="0057309E">
      <w:r>
        <w:separator/>
      </w:r>
    </w:p>
  </w:endnote>
  <w:endnote w:type="continuationSeparator" w:id="0">
    <w:p w:rsidR="0057309E" w:rsidRDefault="0057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314B0B">
      <w:rPr>
        <w:i/>
        <w:noProof/>
        <w:sz w:val="18"/>
        <w:szCs w:val="18"/>
      </w:rPr>
      <w:t>Septabene citron og honning, sugetabletter 3+1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09E" w:rsidRDefault="0057309E">
      <w:r>
        <w:separator/>
      </w:r>
    </w:p>
  </w:footnote>
  <w:footnote w:type="continuationSeparator" w:id="0">
    <w:p w:rsidR="0057309E" w:rsidRDefault="0057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92259DD"/>
    <w:multiLevelType w:val="hybridMultilevel"/>
    <w:tmpl w:val="9D369B8C"/>
    <w:lvl w:ilvl="0" w:tplc="DE16829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E"/>
    <w:rsid w:val="000259B9"/>
    <w:rsid w:val="00041491"/>
    <w:rsid w:val="00050D16"/>
    <w:rsid w:val="00056D16"/>
    <w:rsid w:val="000730CA"/>
    <w:rsid w:val="00074F2A"/>
    <w:rsid w:val="000842C2"/>
    <w:rsid w:val="00092C9C"/>
    <w:rsid w:val="000A0F3B"/>
    <w:rsid w:val="000A1CA8"/>
    <w:rsid w:val="000A466B"/>
    <w:rsid w:val="000B058C"/>
    <w:rsid w:val="000E4EE6"/>
    <w:rsid w:val="000F6D5C"/>
    <w:rsid w:val="00136512"/>
    <w:rsid w:val="001454E2"/>
    <w:rsid w:val="0015530E"/>
    <w:rsid w:val="001744DA"/>
    <w:rsid w:val="001766D5"/>
    <w:rsid w:val="00183064"/>
    <w:rsid w:val="001B6522"/>
    <w:rsid w:val="00206CE8"/>
    <w:rsid w:val="0021526C"/>
    <w:rsid w:val="00270CC6"/>
    <w:rsid w:val="00276943"/>
    <w:rsid w:val="00283A2B"/>
    <w:rsid w:val="002B30AD"/>
    <w:rsid w:val="002C2C01"/>
    <w:rsid w:val="002E7DC8"/>
    <w:rsid w:val="002F13A4"/>
    <w:rsid w:val="00314B0B"/>
    <w:rsid w:val="00326442"/>
    <w:rsid w:val="003A29AE"/>
    <w:rsid w:val="003A32D7"/>
    <w:rsid w:val="003B4074"/>
    <w:rsid w:val="003C769A"/>
    <w:rsid w:val="003D6779"/>
    <w:rsid w:val="003F1838"/>
    <w:rsid w:val="003F4946"/>
    <w:rsid w:val="00442898"/>
    <w:rsid w:val="0045746C"/>
    <w:rsid w:val="00483F50"/>
    <w:rsid w:val="00485751"/>
    <w:rsid w:val="0049104B"/>
    <w:rsid w:val="004A5081"/>
    <w:rsid w:val="004E3B12"/>
    <w:rsid w:val="005258AD"/>
    <w:rsid w:val="00526AB0"/>
    <w:rsid w:val="00532310"/>
    <w:rsid w:val="00565F0F"/>
    <w:rsid w:val="00572EA3"/>
    <w:rsid w:val="0057309E"/>
    <w:rsid w:val="005870A3"/>
    <w:rsid w:val="00594A86"/>
    <w:rsid w:val="00596D86"/>
    <w:rsid w:val="005B59B9"/>
    <w:rsid w:val="005F576A"/>
    <w:rsid w:val="00637F5A"/>
    <w:rsid w:val="006560B1"/>
    <w:rsid w:val="006734F4"/>
    <w:rsid w:val="006756DD"/>
    <w:rsid w:val="00677044"/>
    <w:rsid w:val="00683E12"/>
    <w:rsid w:val="006D514E"/>
    <w:rsid w:val="00737275"/>
    <w:rsid w:val="00740EEC"/>
    <w:rsid w:val="0078011A"/>
    <w:rsid w:val="00782AF4"/>
    <w:rsid w:val="00790EE7"/>
    <w:rsid w:val="007A3AE4"/>
    <w:rsid w:val="007B6649"/>
    <w:rsid w:val="00810FFF"/>
    <w:rsid w:val="0082576E"/>
    <w:rsid w:val="008A2B80"/>
    <w:rsid w:val="008F6273"/>
    <w:rsid w:val="00904D5D"/>
    <w:rsid w:val="00907F75"/>
    <w:rsid w:val="009260DE"/>
    <w:rsid w:val="0093258A"/>
    <w:rsid w:val="00936C69"/>
    <w:rsid w:val="009440C6"/>
    <w:rsid w:val="0096278A"/>
    <w:rsid w:val="009804FD"/>
    <w:rsid w:val="009C7BA3"/>
    <w:rsid w:val="009D1F5A"/>
    <w:rsid w:val="00A10294"/>
    <w:rsid w:val="00A34BF1"/>
    <w:rsid w:val="00A64499"/>
    <w:rsid w:val="00A65074"/>
    <w:rsid w:val="00AD7F9D"/>
    <w:rsid w:val="00AE5AB7"/>
    <w:rsid w:val="00B003BF"/>
    <w:rsid w:val="00B06E4B"/>
    <w:rsid w:val="00B373D7"/>
    <w:rsid w:val="00B839F7"/>
    <w:rsid w:val="00C302BF"/>
    <w:rsid w:val="00C36276"/>
    <w:rsid w:val="00C42586"/>
    <w:rsid w:val="00C60CCD"/>
    <w:rsid w:val="00C8103D"/>
    <w:rsid w:val="00C84483"/>
    <w:rsid w:val="00C95551"/>
    <w:rsid w:val="00CB20D7"/>
    <w:rsid w:val="00CC19D1"/>
    <w:rsid w:val="00CF1A63"/>
    <w:rsid w:val="00CF541A"/>
    <w:rsid w:val="00CF69E3"/>
    <w:rsid w:val="00D020B0"/>
    <w:rsid w:val="00D11748"/>
    <w:rsid w:val="00D231A3"/>
    <w:rsid w:val="00D366CF"/>
    <w:rsid w:val="00DA3109"/>
    <w:rsid w:val="00DE6DFD"/>
    <w:rsid w:val="00E047E0"/>
    <w:rsid w:val="00E108AA"/>
    <w:rsid w:val="00E3749A"/>
    <w:rsid w:val="00E7437F"/>
    <w:rsid w:val="00E865B8"/>
    <w:rsid w:val="00EB224A"/>
    <w:rsid w:val="00EC0B9B"/>
    <w:rsid w:val="00ED5E9F"/>
    <w:rsid w:val="00F239EA"/>
    <w:rsid w:val="00F66D4F"/>
    <w:rsid w:val="00F73361"/>
    <w:rsid w:val="00F84964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4F3E3"/>
  <w15:chartTrackingRefBased/>
  <w15:docId w15:val="{953611BE-6E04-4286-8306-ABC71088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0842C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1361</Words>
  <Characters>9002</Characters>
  <Application>Microsoft Office Word</Application>
  <DocSecurity>0</DocSecurity>
  <Lines>75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El Kadiri</dc:creator>
  <cp:keywords/>
  <dc:description>2023014316_x000d_
SPC pkt. 5.1</dc:description>
  <cp:lastModifiedBy>Iman El Kadiri</cp:lastModifiedBy>
  <cp:revision>4</cp:revision>
  <cp:lastPrinted>2012-08-22T08:53:00Z</cp:lastPrinted>
  <dcterms:created xsi:type="dcterms:W3CDTF">2024-03-05T09:21:00Z</dcterms:created>
  <dcterms:modified xsi:type="dcterms:W3CDTF">2024-03-08T08:56:00Z</dcterms:modified>
</cp:coreProperties>
</file>