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E634B">
        <w:rPr>
          <w:szCs w:val="24"/>
        </w:rPr>
        <w:t>30. august 2021</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57309E" w:rsidP="009260DE">
      <w:pPr>
        <w:jc w:val="center"/>
        <w:rPr>
          <w:b/>
          <w:sz w:val="24"/>
          <w:szCs w:val="24"/>
        </w:rPr>
      </w:pPr>
      <w:r>
        <w:rPr>
          <w:b/>
          <w:sz w:val="24"/>
          <w:szCs w:val="24"/>
        </w:rPr>
        <w:t>Septabene, mundhulespray,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57309E" w:rsidP="009260DE">
      <w:pPr>
        <w:tabs>
          <w:tab w:val="left" w:pos="851"/>
        </w:tabs>
        <w:ind w:left="851"/>
        <w:rPr>
          <w:sz w:val="24"/>
          <w:szCs w:val="24"/>
        </w:rPr>
      </w:pPr>
      <w:r>
        <w:rPr>
          <w:sz w:val="24"/>
          <w:szCs w:val="24"/>
        </w:rPr>
        <w:t>3187</w:t>
      </w:r>
      <w:r w:rsidR="00B06E4B">
        <w:rPr>
          <w:sz w:val="24"/>
          <w:szCs w:val="24"/>
        </w:rPr>
        <w:t>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7309E" w:rsidP="009260DE">
      <w:pPr>
        <w:tabs>
          <w:tab w:val="left" w:pos="851"/>
        </w:tabs>
        <w:ind w:left="851"/>
        <w:rPr>
          <w:sz w:val="24"/>
          <w:szCs w:val="24"/>
        </w:rPr>
      </w:pPr>
      <w:r>
        <w:rPr>
          <w:sz w:val="24"/>
          <w:szCs w:val="24"/>
        </w:rPr>
        <w:t>Septabene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73361" w:rsidRDefault="00F73361" w:rsidP="00F73361">
      <w:pPr>
        <w:tabs>
          <w:tab w:val="left" w:pos="851"/>
        </w:tabs>
        <w:ind w:left="851"/>
        <w:rPr>
          <w:sz w:val="24"/>
          <w:lang w:eastAsia="da-DK"/>
        </w:rPr>
      </w:pPr>
      <w:r w:rsidRPr="00F73361">
        <w:rPr>
          <w:sz w:val="24"/>
          <w:lang w:eastAsia="da-DK"/>
        </w:rPr>
        <w:t xml:space="preserve">Hver ml mundhulespray, opløsning indeholder 1,5 mg </w:t>
      </w:r>
      <w:bookmarkStart w:id="1" w:name="_Hlk72089243"/>
      <w:r w:rsidRPr="00F73361">
        <w:rPr>
          <w:sz w:val="24"/>
          <w:lang w:eastAsia="da-DK"/>
        </w:rPr>
        <w:t>benzydaminhydrochlorid og 5 mg cetylpyridiniumchlorid.</w:t>
      </w:r>
    </w:p>
    <w:p w:rsidR="00CF541A" w:rsidRPr="00F73361" w:rsidRDefault="00CF541A" w:rsidP="00F73361">
      <w:pPr>
        <w:tabs>
          <w:tab w:val="left" w:pos="851"/>
        </w:tabs>
        <w:ind w:left="851"/>
        <w:rPr>
          <w:sz w:val="24"/>
          <w:lang w:eastAsia="da-DK"/>
        </w:rPr>
      </w:pPr>
    </w:p>
    <w:bookmarkEnd w:id="1"/>
    <w:p w:rsidR="00F73361" w:rsidRPr="00F73361" w:rsidRDefault="00F73361" w:rsidP="00F73361">
      <w:pPr>
        <w:tabs>
          <w:tab w:val="left" w:pos="851"/>
        </w:tabs>
        <w:ind w:left="851"/>
        <w:rPr>
          <w:sz w:val="24"/>
          <w:lang w:eastAsia="da-DK"/>
        </w:rPr>
      </w:pPr>
      <w:r w:rsidRPr="00F73361">
        <w:rPr>
          <w:sz w:val="24"/>
          <w:lang w:eastAsia="da-DK"/>
        </w:rPr>
        <w:t>Et pust indeholder 0,1 ml mundhulespray, opløsning indeholdende 0,15 mg benzydaminhydrochlorid og 0,5 mg cetylpyridiniumchlorid.</w:t>
      </w:r>
    </w:p>
    <w:p w:rsidR="00F73361" w:rsidRPr="00F73361" w:rsidRDefault="00F73361" w:rsidP="00F73361">
      <w:pPr>
        <w:tabs>
          <w:tab w:val="left" w:pos="851"/>
        </w:tabs>
        <w:ind w:left="851"/>
        <w:rPr>
          <w:sz w:val="24"/>
          <w:lang w:eastAsia="da-DK"/>
        </w:rPr>
      </w:pPr>
    </w:p>
    <w:p w:rsidR="00F73361" w:rsidRPr="00F73361" w:rsidRDefault="00F73361" w:rsidP="00F73361">
      <w:pPr>
        <w:tabs>
          <w:tab w:val="left" w:pos="851"/>
        </w:tabs>
        <w:ind w:left="851"/>
        <w:rPr>
          <w:sz w:val="24"/>
          <w:u w:val="single"/>
          <w:lang w:eastAsia="da-DK"/>
        </w:rPr>
      </w:pPr>
      <w:r w:rsidRPr="00F73361">
        <w:rPr>
          <w:sz w:val="24"/>
          <w:u w:val="single"/>
          <w:lang w:eastAsia="da-DK"/>
        </w:rPr>
        <w:t>Hjælpestoffer, som behandleren skal være opmærksom på</w:t>
      </w:r>
    </w:p>
    <w:p w:rsidR="00F73361" w:rsidRPr="00F73361" w:rsidRDefault="00F73361" w:rsidP="00CF541A">
      <w:pPr>
        <w:numPr>
          <w:ilvl w:val="0"/>
          <w:numId w:val="6"/>
        </w:numPr>
        <w:tabs>
          <w:tab w:val="left" w:pos="851"/>
        </w:tabs>
        <w:ind w:left="1134" w:hanging="283"/>
        <w:rPr>
          <w:sz w:val="24"/>
          <w:lang w:val="en-US" w:eastAsia="da-DK"/>
        </w:rPr>
      </w:pPr>
      <w:r w:rsidRPr="00F73361">
        <w:rPr>
          <w:sz w:val="24"/>
          <w:lang w:val="en-US" w:eastAsia="da-DK"/>
        </w:rPr>
        <w:t>ethanol: 267,60 mg/ml (26,76 mg/pust)</w:t>
      </w:r>
    </w:p>
    <w:p w:rsidR="00F73361" w:rsidRPr="00F73361" w:rsidRDefault="00F73361" w:rsidP="00CF541A">
      <w:pPr>
        <w:numPr>
          <w:ilvl w:val="0"/>
          <w:numId w:val="6"/>
        </w:numPr>
        <w:tabs>
          <w:tab w:val="left" w:pos="851"/>
        </w:tabs>
        <w:ind w:left="1134" w:hanging="283"/>
        <w:rPr>
          <w:sz w:val="24"/>
          <w:lang w:val="en-US" w:eastAsia="da-DK"/>
        </w:rPr>
      </w:pPr>
      <w:r w:rsidRPr="00F73361">
        <w:rPr>
          <w:sz w:val="24"/>
          <w:lang w:val="en-US" w:eastAsia="da-DK"/>
        </w:rPr>
        <w:t>macrogolglycerolhydroxystearat: 2,5 mg/ml (0,25 mg/pust)</w:t>
      </w:r>
    </w:p>
    <w:p w:rsidR="00F73361" w:rsidRPr="00F73361" w:rsidRDefault="00F73361" w:rsidP="00F73361">
      <w:pPr>
        <w:tabs>
          <w:tab w:val="left" w:pos="851"/>
        </w:tabs>
        <w:ind w:left="851"/>
        <w:rPr>
          <w:sz w:val="24"/>
          <w:lang w:val="en-US" w:eastAsia="da-DK"/>
        </w:rPr>
      </w:pPr>
    </w:p>
    <w:p w:rsidR="009260DE" w:rsidRPr="00CF541A" w:rsidRDefault="00F73361" w:rsidP="00CF541A">
      <w:pPr>
        <w:tabs>
          <w:tab w:val="left" w:pos="851"/>
        </w:tabs>
        <w:ind w:left="851"/>
        <w:rPr>
          <w:sz w:val="24"/>
          <w:lang w:eastAsia="da-DK"/>
        </w:rPr>
      </w:pPr>
      <w:r w:rsidRPr="00F73361">
        <w:rPr>
          <w:sz w:val="24"/>
          <w:lang w:eastAsia="da-DK"/>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92C9C" w:rsidRDefault="00092C9C" w:rsidP="00092C9C">
      <w:pPr>
        <w:tabs>
          <w:tab w:val="left" w:pos="851"/>
        </w:tabs>
        <w:ind w:left="851"/>
        <w:rPr>
          <w:sz w:val="24"/>
          <w:lang w:eastAsia="da-DK"/>
        </w:rPr>
      </w:pPr>
      <w:r w:rsidRPr="00092C9C">
        <w:rPr>
          <w:sz w:val="24"/>
          <w:lang w:eastAsia="da-DK"/>
        </w:rPr>
        <w:t>Mundhulespray, opløsning (mundhulespray)</w:t>
      </w:r>
    </w:p>
    <w:p w:rsidR="00092C9C" w:rsidRPr="00092C9C" w:rsidRDefault="00092C9C" w:rsidP="00092C9C">
      <w:pPr>
        <w:tabs>
          <w:tab w:val="left" w:pos="851"/>
        </w:tabs>
        <w:ind w:left="851"/>
        <w:rPr>
          <w:sz w:val="24"/>
          <w:lang w:eastAsia="da-DK"/>
        </w:rPr>
      </w:pPr>
    </w:p>
    <w:p w:rsidR="009260DE" w:rsidRPr="00092C9C" w:rsidRDefault="00092C9C" w:rsidP="00092C9C">
      <w:pPr>
        <w:tabs>
          <w:tab w:val="left" w:pos="851"/>
        </w:tabs>
        <w:ind w:left="851"/>
        <w:rPr>
          <w:sz w:val="24"/>
          <w:lang w:eastAsia="da-DK"/>
        </w:rPr>
      </w:pPr>
      <w:r w:rsidRPr="00092C9C">
        <w:rPr>
          <w:sz w:val="24"/>
          <w:lang w:eastAsia="da-DK"/>
        </w:rPr>
        <w:t>Klar, farveløs til gullig væske.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60DE" w:rsidRPr="00B06E4B" w:rsidRDefault="00B06E4B" w:rsidP="00B06E4B">
      <w:pPr>
        <w:tabs>
          <w:tab w:val="left" w:pos="851"/>
        </w:tabs>
        <w:ind w:left="851"/>
        <w:rPr>
          <w:sz w:val="24"/>
          <w:lang w:eastAsia="da-DK"/>
        </w:rPr>
      </w:pPr>
      <w:r w:rsidRPr="00B06E4B">
        <w:rPr>
          <w:sz w:val="24"/>
          <w:lang w:eastAsia="da-DK"/>
        </w:rPr>
        <w:t>Septabene mundhulespray, opløsning er indiceret til lokal antiinflammatorisk, analgetisk og antiseptisk kortidsbehandling af irritation i svælget, munden og tandkødet samt til brug før og efter tandudtrækning hos voksne, unge og børn over 6 år.</w:t>
      </w:r>
    </w:p>
    <w:p w:rsidR="00276943" w:rsidRDefault="0027694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76943" w:rsidRPr="00276943" w:rsidRDefault="00276943" w:rsidP="00276943">
      <w:pPr>
        <w:keepNext/>
        <w:tabs>
          <w:tab w:val="left" w:pos="851"/>
        </w:tabs>
        <w:ind w:left="851"/>
        <w:rPr>
          <w:sz w:val="24"/>
          <w:lang w:eastAsia="da-DK"/>
        </w:rPr>
      </w:pPr>
    </w:p>
    <w:p w:rsidR="00276943" w:rsidRPr="00276943" w:rsidRDefault="00276943" w:rsidP="00276943">
      <w:pPr>
        <w:keepNext/>
        <w:tabs>
          <w:tab w:val="left" w:pos="851"/>
        </w:tabs>
        <w:ind w:left="851"/>
        <w:rPr>
          <w:b/>
          <w:sz w:val="24"/>
          <w:lang w:eastAsia="da-DK"/>
        </w:rPr>
      </w:pPr>
      <w:r w:rsidRPr="00276943">
        <w:rPr>
          <w:b/>
          <w:sz w:val="24"/>
          <w:lang w:eastAsia="da-DK"/>
        </w:rPr>
        <w:t>Dosering</w:t>
      </w:r>
    </w:p>
    <w:p w:rsidR="00276943" w:rsidRPr="00276943" w:rsidRDefault="00276943" w:rsidP="00276943">
      <w:pPr>
        <w:keepNext/>
        <w:tabs>
          <w:tab w:val="left" w:pos="851"/>
        </w:tabs>
        <w:ind w:left="851"/>
        <w:rPr>
          <w:sz w:val="24"/>
          <w:lang w:eastAsia="da-DK"/>
        </w:rPr>
      </w:pPr>
    </w:p>
    <w:p w:rsidR="00CC19D1" w:rsidRPr="00CC19D1" w:rsidRDefault="00276943" w:rsidP="00276943">
      <w:pPr>
        <w:tabs>
          <w:tab w:val="left" w:pos="851"/>
        </w:tabs>
        <w:ind w:left="851"/>
        <w:rPr>
          <w:bCs/>
          <w:sz w:val="24"/>
          <w:u w:val="single"/>
          <w:lang w:eastAsia="da-DK"/>
        </w:rPr>
      </w:pPr>
      <w:bookmarkStart w:id="2" w:name="_Hlk72086911"/>
      <w:r w:rsidRPr="00276943">
        <w:rPr>
          <w:bCs/>
          <w:sz w:val="24"/>
          <w:u w:val="single"/>
          <w:lang w:eastAsia="da-DK"/>
        </w:rPr>
        <w:t>Voksne</w:t>
      </w:r>
      <w:bookmarkStart w:id="3" w:name="_Hlk72081433"/>
    </w:p>
    <w:p w:rsidR="00276943" w:rsidRPr="00276943" w:rsidRDefault="00276943" w:rsidP="00276943">
      <w:pPr>
        <w:tabs>
          <w:tab w:val="left" w:pos="851"/>
        </w:tabs>
        <w:ind w:left="851"/>
        <w:rPr>
          <w:sz w:val="24"/>
          <w:lang w:eastAsia="da-DK"/>
        </w:rPr>
      </w:pPr>
      <w:r w:rsidRPr="00276943">
        <w:rPr>
          <w:sz w:val="24"/>
          <w:lang w:eastAsia="da-DK"/>
        </w:rPr>
        <w:t xml:space="preserve">For at frigive en enkeltdosis, skal sprayhovedet trykkes ned én eller to gange. Dette kan gentages hver 2. time, 3-5 gange </w:t>
      </w:r>
      <w:r w:rsidR="00697844">
        <w:rPr>
          <w:sz w:val="24"/>
          <w:lang w:eastAsia="da-DK"/>
        </w:rPr>
        <w:t>daglig</w:t>
      </w:r>
      <w:r w:rsidRPr="00276943">
        <w:rPr>
          <w:sz w:val="24"/>
          <w:lang w:eastAsia="da-DK"/>
        </w:rPr>
        <w:t>.</w:t>
      </w:r>
    </w:p>
    <w:p w:rsidR="00276943" w:rsidRPr="00276943" w:rsidRDefault="00276943" w:rsidP="00276943">
      <w:pPr>
        <w:tabs>
          <w:tab w:val="left" w:pos="851"/>
        </w:tabs>
        <w:ind w:left="851"/>
        <w:rPr>
          <w:sz w:val="24"/>
          <w:lang w:eastAsia="da-DK"/>
        </w:rPr>
      </w:pPr>
    </w:p>
    <w:p w:rsidR="00276943" w:rsidRPr="00276943" w:rsidRDefault="00276943" w:rsidP="00276943">
      <w:pPr>
        <w:tabs>
          <w:tab w:val="left" w:pos="851"/>
        </w:tabs>
        <w:ind w:left="851"/>
        <w:rPr>
          <w:sz w:val="24"/>
          <w:lang w:eastAsia="da-DK"/>
        </w:rPr>
      </w:pPr>
      <w:r w:rsidRPr="00276943">
        <w:rPr>
          <w:sz w:val="24"/>
          <w:lang w:eastAsia="da-DK"/>
        </w:rPr>
        <w:t>For at opnå den bedste virkning frarådes det at bruge produktet umiddelbart før eller efter tandbørstning.</w:t>
      </w:r>
    </w:p>
    <w:p w:rsidR="00276943" w:rsidRPr="00276943" w:rsidRDefault="00276943" w:rsidP="00276943">
      <w:pPr>
        <w:tabs>
          <w:tab w:val="left" w:pos="851"/>
        </w:tabs>
        <w:ind w:left="851"/>
        <w:rPr>
          <w:sz w:val="24"/>
          <w:lang w:eastAsia="da-DK"/>
        </w:rPr>
      </w:pPr>
      <w:bookmarkStart w:id="4" w:name="_Hlk72087054"/>
      <w:bookmarkEnd w:id="2"/>
      <w:bookmarkEnd w:id="3"/>
      <w:r w:rsidRPr="00276943">
        <w:rPr>
          <w:sz w:val="24"/>
          <w:lang w:eastAsia="da-DK"/>
        </w:rPr>
        <w:t>Den anførte dosis bør ikke overskrides.</w:t>
      </w:r>
    </w:p>
    <w:bookmarkEnd w:id="4"/>
    <w:p w:rsidR="00276943" w:rsidRPr="00276943" w:rsidRDefault="00276943" w:rsidP="00276943">
      <w:pPr>
        <w:tabs>
          <w:tab w:val="left" w:pos="851"/>
        </w:tabs>
        <w:ind w:left="851"/>
        <w:rPr>
          <w:sz w:val="24"/>
          <w:lang w:eastAsia="da-DK"/>
        </w:rPr>
      </w:pPr>
      <w:r w:rsidRPr="00276943">
        <w:rPr>
          <w:sz w:val="24"/>
          <w:lang w:eastAsia="da-DK"/>
        </w:rPr>
        <w:t>Septabene kan anvendes i op til 7 dage.</w:t>
      </w:r>
    </w:p>
    <w:p w:rsidR="00276943" w:rsidRPr="00276943" w:rsidRDefault="00276943" w:rsidP="00276943">
      <w:pPr>
        <w:tabs>
          <w:tab w:val="left" w:pos="851"/>
        </w:tabs>
        <w:ind w:left="851"/>
        <w:rPr>
          <w:sz w:val="24"/>
          <w:lang w:eastAsia="da-DK"/>
        </w:rPr>
      </w:pPr>
    </w:p>
    <w:p w:rsidR="00276943" w:rsidRPr="00276943" w:rsidRDefault="00276943" w:rsidP="00276943">
      <w:pPr>
        <w:tabs>
          <w:tab w:val="left" w:pos="851"/>
        </w:tabs>
        <w:ind w:left="851"/>
        <w:rPr>
          <w:sz w:val="24"/>
          <w:u w:val="single"/>
          <w:lang w:eastAsia="da-DK"/>
        </w:rPr>
      </w:pPr>
      <w:r w:rsidRPr="00276943">
        <w:rPr>
          <w:sz w:val="24"/>
          <w:u w:val="single"/>
          <w:lang w:eastAsia="da-DK"/>
        </w:rPr>
        <w:t>Ældre patienter</w:t>
      </w:r>
    </w:p>
    <w:p w:rsidR="00276943" w:rsidRPr="00276943" w:rsidRDefault="00276943" w:rsidP="00276943">
      <w:pPr>
        <w:tabs>
          <w:tab w:val="left" w:pos="851"/>
        </w:tabs>
        <w:ind w:left="851"/>
        <w:rPr>
          <w:sz w:val="24"/>
          <w:lang w:eastAsia="da-DK"/>
        </w:rPr>
      </w:pPr>
      <w:r w:rsidRPr="00276943">
        <w:rPr>
          <w:sz w:val="24"/>
          <w:lang w:eastAsia="da-DK"/>
        </w:rPr>
        <w:t>Den anbefalede dosis er den samme som hos voksne.</w:t>
      </w:r>
    </w:p>
    <w:p w:rsidR="00276943" w:rsidRPr="00276943" w:rsidRDefault="00276943" w:rsidP="00276943">
      <w:pPr>
        <w:tabs>
          <w:tab w:val="left" w:pos="851"/>
        </w:tabs>
        <w:ind w:left="851"/>
        <w:rPr>
          <w:sz w:val="24"/>
          <w:lang w:eastAsia="da-DK"/>
        </w:rPr>
      </w:pPr>
    </w:p>
    <w:p w:rsidR="00276943" w:rsidRPr="00276943" w:rsidRDefault="00276943" w:rsidP="00276943">
      <w:pPr>
        <w:tabs>
          <w:tab w:val="left" w:pos="851"/>
        </w:tabs>
        <w:ind w:left="851"/>
        <w:rPr>
          <w:iCs/>
          <w:sz w:val="24"/>
          <w:u w:val="single"/>
          <w:lang w:eastAsia="da-DK"/>
        </w:rPr>
      </w:pPr>
      <w:r w:rsidRPr="00276943">
        <w:rPr>
          <w:iCs/>
          <w:sz w:val="24"/>
          <w:u w:val="single"/>
          <w:lang w:eastAsia="da-DK"/>
        </w:rPr>
        <w:t>Pædiatrisk population</w:t>
      </w:r>
    </w:p>
    <w:p w:rsidR="00276943" w:rsidRPr="00276943" w:rsidRDefault="00276943" w:rsidP="00276943">
      <w:pPr>
        <w:tabs>
          <w:tab w:val="left" w:pos="851"/>
        </w:tabs>
        <w:ind w:left="851"/>
        <w:rPr>
          <w:b/>
          <w:bCs/>
          <w:sz w:val="24"/>
          <w:lang w:eastAsia="da-DK"/>
        </w:rPr>
      </w:pPr>
    </w:p>
    <w:p w:rsidR="00CC19D1" w:rsidRDefault="00276943" w:rsidP="00276943">
      <w:pPr>
        <w:tabs>
          <w:tab w:val="left" w:pos="851"/>
        </w:tabs>
        <w:ind w:left="851"/>
        <w:rPr>
          <w:b/>
          <w:bCs/>
          <w:sz w:val="24"/>
          <w:lang w:eastAsia="da-DK"/>
        </w:rPr>
      </w:pPr>
      <w:r w:rsidRPr="00276943">
        <w:rPr>
          <w:bCs/>
          <w:i/>
          <w:sz w:val="24"/>
          <w:lang w:eastAsia="da-DK"/>
        </w:rPr>
        <w:t>Unge over 12 år</w:t>
      </w:r>
    </w:p>
    <w:p w:rsidR="00276943" w:rsidRPr="00276943" w:rsidRDefault="00276943" w:rsidP="00276943">
      <w:pPr>
        <w:tabs>
          <w:tab w:val="left" w:pos="851"/>
        </w:tabs>
        <w:ind w:left="851"/>
        <w:rPr>
          <w:sz w:val="24"/>
          <w:lang w:eastAsia="da-DK"/>
        </w:rPr>
      </w:pPr>
      <w:r w:rsidRPr="00276943">
        <w:rPr>
          <w:sz w:val="24"/>
          <w:lang w:eastAsia="da-DK"/>
        </w:rPr>
        <w:t xml:space="preserve">For at frigive en enkeltdosis, skal sprayhovedet trykkes ned én eller to gange. Dette kan gentages hver 2. time, 3-5 gange </w:t>
      </w:r>
      <w:r w:rsidR="00697844">
        <w:rPr>
          <w:sz w:val="24"/>
          <w:lang w:eastAsia="da-DK"/>
        </w:rPr>
        <w:t>daglig</w:t>
      </w:r>
      <w:r w:rsidRPr="00276943">
        <w:rPr>
          <w:sz w:val="24"/>
          <w:lang w:eastAsia="da-DK"/>
        </w:rPr>
        <w:t>.</w:t>
      </w:r>
    </w:p>
    <w:p w:rsidR="00276943" w:rsidRPr="00276943" w:rsidRDefault="00276943" w:rsidP="00276943">
      <w:pPr>
        <w:tabs>
          <w:tab w:val="left" w:pos="851"/>
        </w:tabs>
        <w:ind w:left="851"/>
        <w:rPr>
          <w:sz w:val="24"/>
          <w:lang w:eastAsia="da-DK"/>
        </w:rPr>
      </w:pPr>
    </w:p>
    <w:p w:rsidR="00CC19D1" w:rsidRPr="00CC19D1" w:rsidRDefault="00276943" w:rsidP="00276943">
      <w:pPr>
        <w:tabs>
          <w:tab w:val="left" w:pos="851"/>
        </w:tabs>
        <w:ind w:left="851"/>
        <w:rPr>
          <w:bCs/>
          <w:i/>
          <w:sz w:val="24"/>
          <w:lang w:eastAsia="da-DK"/>
        </w:rPr>
      </w:pPr>
      <w:r w:rsidRPr="00276943">
        <w:rPr>
          <w:bCs/>
          <w:i/>
          <w:sz w:val="24"/>
          <w:lang w:eastAsia="da-DK"/>
        </w:rPr>
        <w:t>Børn fra 6 til 12 år</w:t>
      </w:r>
    </w:p>
    <w:p w:rsidR="00276943" w:rsidRPr="00276943" w:rsidRDefault="00276943" w:rsidP="00276943">
      <w:pPr>
        <w:tabs>
          <w:tab w:val="left" w:pos="851"/>
        </w:tabs>
        <w:ind w:left="851"/>
        <w:rPr>
          <w:sz w:val="24"/>
          <w:lang w:eastAsia="da-DK"/>
        </w:rPr>
      </w:pPr>
      <w:r w:rsidRPr="00276943">
        <w:rPr>
          <w:sz w:val="24"/>
          <w:lang w:eastAsia="da-DK"/>
        </w:rPr>
        <w:t xml:space="preserve">For at frigive en enkeltdosis, skal sprayhovedet trykkes ned én gang. Dette kan gentages hver 2. time, 3-5 gange </w:t>
      </w:r>
      <w:r w:rsidR="00697844">
        <w:rPr>
          <w:sz w:val="24"/>
          <w:lang w:eastAsia="da-DK"/>
        </w:rPr>
        <w:t>daglig</w:t>
      </w:r>
      <w:r w:rsidRPr="00276943">
        <w:rPr>
          <w:sz w:val="24"/>
          <w:lang w:eastAsia="da-DK"/>
        </w:rPr>
        <w:t>. Påføring af mundsprayen bør ske under en voksens opsyn hos børn fra 6 til 12 år.</w:t>
      </w:r>
    </w:p>
    <w:p w:rsidR="00276943" w:rsidRPr="00276943" w:rsidRDefault="00276943" w:rsidP="00276943">
      <w:pPr>
        <w:tabs>
          <w:tab w:val="left" w:pos="851"/>
        </w:tabs>
        <w:ind w:left="851"/>
        <w:rPr>
          <w:b/>
          <w:bCs/>
          <w:i/>
          <w:iCs/>
          <w:sz w:val="24"/>
          <w:lang w:eastAsia="da-DK"/>
        </w:rPr>
      </w:pPr>
    </w:p>
    <w:p w:rsidR="00276943" w:rsidRPr="00276943" w:rsidRDefault="00276943" w:rsidP="00276943">
      <w:pPr>
        <w:tabs>
          <w:tab w:val="left" w:pos="851"/>
        </w:tabs>
        <w:ind w:left="851"/>
        <w:rPr>
          <w:sz w:val="24"/>
          <w:lang w:eastAsia="da-DK"/>
        </w:rPr>
      </w:pPr>
      <w:r w:rsidRPr="00276943">
        <w:rPr>
          <w:sz w:val="24"/>
          <w:lang w:eastAsia="da-DK"/>
        </w:rPr>
        <w:t>Septabene er kontraindiceret til børn under 6 år (se pkt. 4.3).</w:t>
      </w:r>
    </w:p>
    <w:p w:rsidR="00276943" w:rsidRPr="00276943" w:rsidRDefault="00276943" w:rsidP="00276943">
      <w:pPr>
        <w:tabs>
          <w:tab w:val="left" w:pos="851"/>
        </w:tabs>
        <w:ind w:left="851"/>
        <w:rPr>
          <w:sz w:val="24"/>
          <w:lang w:eastAsia="da-DK"/>
        </w:rPr>
      </w:pPr>
    </w:p>
    <w:p w:rsidR="00276943" w:rsidRPr="00276943" w:rsidRDefault="00276943" w:rsidP="00276943">
      <w:pPr>
        <w:tabs>
          <w:tab w:val="left" w:pos="851"/>
        </w:tabs>
        <w:ind w:left="851"/>
        <w:rPr>
          <w:b/>
          <w:bCs/>
          <w:sz w:val="24"/>
          <w:lang w:eastAsia="da-DK"/>
        </w:rPr>
      </w:pPr>
      <w:r w:rsidRPr="00276943">
        <w:rPr>
          <w:b/>
          <w:bCs/>
          <w:sz w:val="24"/>
          <w:lang w:eastAsia="da-DK"/>
        </w:rPr>
        <w:t>Administration</w:t>
      </w:r>
    </w:p>
    <w:p w:rsidR="00276943" w:rsidRPr="00276943" w:rsidRDefault="00276943" w:rsidP="00276943">
      <w:pPr>
        <w:tabs>
          <w:tab w:val="left" w:pos="851"/>
        </w:tabs>
        <w:ind w:left="851"/>
        <w:rPr>
          <w:sz w:val="24"/>
          <w:lang w:eastAsia="da-DK"/>
        </w:rPr>
      </w:pPr>
      <w:r w:rsidRPr="00276943">
        <w:rPr>
          <w:sz w:val="24"/>
          <w:lang w:eastAsia="da-DK"/>
        </w:rPr>
        <w:t>Tryk flere gange på sprayhovedet for at opnå en jævn levering, inden Septabene mundhulespray anvendes første gang. Hvis sprayen ikke har været brugt i længere tid (f.eks. i mindst en uge), skal sprayhovedet trykkes ned én gang, for at opnå en jævn levering.</w:t>
      </w:r>
    </w:p>
    <w:p w:rsidR="00276943" w:rsidRPr="00276943" w:rsidRDefault="00276943" w:rsidP="00276943">
      <w:pPr>
        <w:tabs>
          <w:tab w:val="left" w:pos="851"/>
        </w:tabs>
        <w:ind w:left="851"/>
        <w:rPr>
          <w:sz w:val="24"/>
          <w:lang w:eastAsia="da-DK"/>
        </w:rPr>
      </w:pPr>
    </w:p>
    <w:tbl>
      <w:tblPr>
        <w:tblW w:w="0" w:type="auto"/>
        <w:tblInd w:w="-34" w:type="dxa"/>
        <w:tblLook w:val="01E0" w:firstRow="1" w:lastRow="1" w:firstColumn="1" w:lastColumn="1" w:noHBand="0" w:noVBand="0"/>
      </w:tblPr>
      <w:tblGrid>
        <w:gridCol w:w="3094"/>
        <w:gridCol w:w="3005"/>
      </w:tblGrid>
      <w:tr w:rsidR="00276943" w:rsidRPr="00276943" w:rsidTr="00D46B81">
        <w:tc>
          <w:tcPr>
            <w:tcW w:w="3094" w:type="dxa"/>
            <w:hideMark/>
          </w:tcPr>
          <w:p w:rsidR="00276943" w:rsidRPr="00276943" w:rsidRDefault="00276943" w:rsidP="00276943">
            <w:pPr>
              <w:tabs>
                <w:tab w:val="left" w:pos="851"/>
              </w:tabs>
              <w:ind w:left="851"/>
              <w:rPr>
                <w:sz w:val="24"/>
                <w:lang w:eastAsia="da-DK"/>
              </w:rPr>
            </w:pPr>
            <w:r w:rsidRPr="00276943">
              <w:rPr>
                <w:noProof/>
                <w:sz w:val="24"/>
                <w:lang w:eastAsia="da-DK"/>
              </w:rPr>
              <w:drawing>
                <wp:inline distT="0" distB="0" distL="0" distR="0">
                  <wp:extent cx="1282700" cy="12573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1257300"/>
                          </a:xfrm>
                          <a:prstGeom prst="rect">
                            <a:avLst/>
                          </a:prstGeom>
                          <a:noFill/>
                          <a:ln>
                            <a:noFill/>
                          </a:ln>
                        </pic:spPr>
                      </pic:pic>
                    </a:graphicData>
                  </a:graphic>
                </wp:inline>
              </w:drawing>
            </w:r>
          </w:p>
        </w:tc>
        <w:tc>
          <w:tcPr>
            <w:tcW w:w="3005" w:type="dxa"/>
          </w:tcPr>
          <w:p w:rsidR="00276943" w:rsidRPr="00276943" w:rsidRDefault="00276943" w:rsidP="00276943">
            <w:pPr>
              <w:tabs>
                <w:tab w:val="left" w:pos="851"/>
              </w:tabs>
              <w:ind w:left="851"/>
              <w:rPr>
                <w:sz w:val="24"/>
                <w:lang w:eastAsia="da-DK"/>
              </w:rPr>
            </w:pPr>
          </w:p>
          <w:p w:rsidR="00276943" w:rsidRPr="00276943" w:rsidRDefault="00276943" w:rsidP="00276943">
            <w:pPr>
              <w:tabs>
                <w:tab w:val="left" w:pos="851"/>
              </w:tabs>
              <w:ind w:left="851"/>
              <w:rPr>
                <w:sz w:val="24"/>
                <w:lang w:eastAsia="da-DK"/>
              </w:rPr>
            </w:pPr>
            <w:r w:rsidRPr="00276943">
              <w:rPr>
                <w:sz w:val="24"/>
                <w:lang w:eastAsia="da-DK"/>
              </w:rPr>
              <w:t>Fjern plastichætten før brug.</w:t>
            </w:r>
          </w:p>
        </w:tc>
      </w:tr>
    </w:tbl>
    <w:p w:rsidR="00276943" w:rsidRPr="00276943" w:rsidRDefault="00276943" w:rsidP="00276943">
      <w:pPr>
        <w:tabs>
          <w:tab w:val="left" w:pos="851"/>
        </w:tabs>
        <w:ind w:left="851"/>
        <w:rPr>
          <w:sz w:val="24"/>
          <w:lang w:eastAsia="da-DK"/>
        </w:rPr>
      </w:pPr>
    </w:p>
    <w:tbl>
      <w:tblPr>
        <w:tblW w:w="0" w:type="auto"/>
        <w:tblInd w:w="-34" w:type="dxa"/>
        <w:tblLook w:val="01E0" w:firstRow="1" w:lastRow="1" w:firstColumn="1" w:lastColumn="1" w:noHBand="0" w:noVBand="0"/>
      </w:tblPr>
      <w:tblGrid>
        <w:gridCol w:w="3094"/>
        <w:gridCol w:w="4278"/>
      </w:tblGrid>
      <w:tr w:rsidR="00276943" w:rsidRPr="00276943" w:rsidTr="00D46B81">
        <w:tc>
          <w:tcPr>
            <w:tcW w:w="3094" w:type="dxa"/>
          </w:tcPr>
          <w:p w:rsidR="00276943" w:rsidRPr="00276943" w:rsidRDefault="00276943" w:rsidP="00276943">
            <w:pPr>
              <w:tabs>
                <w:tab w:val="left" w:pos="851"/>
              </w:tabs>
              <w:ind w:left="851"/>
              <w:rPr>
                <w:sz w:val="24"/>
                <w:lang w:eastAsia="da-DK"/>
              </w:rPr>
            </w:pPr>
            <w:r w:rsidRPr="00276943">
              <w:rPr>
                <w:noProof/>
                <w:sz w:val="24"/>
                <w:lang w:eastAsia="da-DK"/>
              </w:rPr>
              <w:drawing>
                <wp:inline distT="0" distB="0" distL="0" distR="0">
                  <wp:extent cx="1282700" cy="12446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44600"/>
                          </a:xfrm>
                          <a:prstGeom prst="rect">
                            <a:avLst/>
                          </a:prstGeom>
                          <a:noFill/>
                          <a:ln>
                            <a:noFill/>
                          </a:ln>
                        </pic:spPr>
                      </pic:pic>
                    </a:graphicData>
                  </a:graphic>
                </wp:inline>
              </w:drawing>
            </w:r>
          </w:p>
        </w:tc>
        <w:tc>
          <w:tcPr>
            <w:tcW w:w="4278" w:type="dxa"/>
          </w:tcPr>
          <w:p w:rsidR="00276943" w:rsidRPr="00276943" w:rsidRDefault="00276943" w:rsidP="00276943">
            <w:pPr>
              <w:tabs>
                <w:tab w:val="left" w:pos="851"/>
              </w:tabs>
              <w:ind w:left="851"/>
              <w:rPr>
                <w:sz w:val="24"/>
                <w:lang w:eastAsia="da-DK"/>
              </w:rPr>
            </w:pPr>
          </w:p>
          <w:p w:rsidR="00276943" w:rsidRPr="00276943" w:rsidRDefault="00276943" w:rsidP="00276943">
            <w:pPr>
              <w:tabs>
                <w:tab w:val="left" w:pos="851"/>
              </w:tabs>
              <w:ind w:left="851"/>
              <w:rPr>
                <w:sz w:val="24"/>
                <w:lang w:eastAsia="da-DK"/>
              </w:rPr>
            </w:pPr>
            <w:r w:rsidRPr="00276943">
              <w:rPr>
                <w:sz w:val="24"/>
                <w:lang w:eastAsia="da-DK"/>
              </w:rPr>
              <w:t>Åbn munden helt op, peg spraydysen mod svælget og tryk 1-2 gange på sprayhovedet. Hold vejret, mens du sprayer.</w:t>
            </w:r>
          </w:p>
        </w:tc>
      </w:tr>
    </w:tbl>
    <w:p w:rsidR="00276943" w:rsidRPr="00276943" w:rsidRDefault="00276943" w:rsidP="00276943">
      <w:pPr>
        <w:tabs>
          <w:tab w:val="left" w:pos="851"/>
        </w:tabs>
        <w:ind w:left="851"/>
        <w:rPr>
          <w:sz w:val="24"/>
          <w:lang w:eastAsia="da-DK"/>
        </w:rPr>
      </w:pPr>
    </w:p>
    <w:p w:rsidR="00276943" w:rsidRPr="00276943" w:rsidRDefault="00276943" w:rsidP="00276943">
      <w:pPr>
        <w:tabs>
          <w:tab w:val="left" w:pos="851"/>
        </w:tabs>
        <w:ind w:left="851"/>
        <w:rPr>
          <w:sz w:val="24"/>
          <w:lang w:eastAsia="da-DK"/>
        </w:rPr>
      </w:pPr>
      <w:r w:rsidRPr="00276943">
        <w:rPr>
          <w:sz w:val="24"/>
          <w:lang w:eastAsia="da-DK"/>
        </w:rPr>
        <w:t>Sæt plastichætten tilbage på sprayhovedet efter hver brug.</w:t>
      </w:r>
    </w:p>
    <w:p w:rsidR="009260DE" w:rsidRPr="00CC19D1" w:rsidRDefault="00276943" w:rsidP="00CC19D1">
      <w:pPr>
        <w:tabs>
          <w:tab w:val="left" w:pos="851"/>
        </w:tabs>
        <w:ind w:left="851"/>
        <w:rPr>
          <w:sz w:val="24"/>
          <w:lang w:eastAsia="da-DK"/>
        </w:rPr>
      </w:pPr>
      <w:r w:rsidRPr="00276943">
        <w:rPr>
          <w:sz w:val="24"/>
          <w:lang w:eastAsia="da-DK"/>
        </w:rPr>
        <w:t>Når der trykkes 1 gang på sprayhovedet, frigøres der 0,1 ml mundhulespray, opløsning, der indeholder 0,15 mg benzydaminhydrochlorid og 0,5 mg cetylpyridiniumchlorid.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2E7DC8" w:rsidRPr="002E7DC8" w:rsidRDefault="002E7DC8" w:rsidP="002E7DC8">
      <w:pPr>
        <w:tabs>
          <w:tab w:val="left" w:pos="851"/>
        </w:tabs>
        <w:ind w:left="851"/>
        <w:rPr>
          <w:sz w:val="24"/>
          <w:lang w:eastAsia="da-DK"/>
        </w:rPr>
      </w:pPr>
      <w:r w:rsidRPr="002E7DC8">
        <w:rPr>
          <w:sz w:val="24"/>
          <w:lang w:eastAsia="da-DK"/>
        </w:rPr>
        <w:t>Overfølsomhed over for benzydaminhydrochlorid eller cetylpyridiniumchlorid eller over for et eller flere af hjælpestofferne anført i pkt. 6.1.</w:t>
      </w:r>
    </w:p>
    <w:p w:rsidR="009260DE" w:rsidRPr="002E7DC8" w:rsidRDefault="002E7DC8" w:rsidP="002E7DC8">
      <w:pPr>
        <w:tabs>
          <w:tab w:val="left" w:pos="851"/>
        </w:tabs>
        <w:ind w:left="851"/>
        <w:rPr>
          <w:sz w:val="24"/>
          <w:lang w:eastAsia="da-DK"/>
        </w:rPr>
      </w:pPr>
      <w:r w:rsidRPr="002E7DC8">
        <w:rPr>
          <w:sz w:val="24"/>
          <w:lang w:eastAsia="da-DK"/>
        </w:rPr>
        <w:t xml:space="preserve">Børn under 6 år, </w:t>
      </w:r>
      <w:bookmarkStart w:id="5" w:name="_Hlk72085500"/>
      <w:r w:rsidRPr="002E7DC8">
        <w:rPr>
          <w:sz w:val="24"/>
          <w:lang w:eastAsia="da-DK"/>
        </w:rPr>
        <w:t>da lægemiddelformen ikke er velegnet til denne aldersgruppe, fordi der er risiko for, at sprayen inhaleres.</w:t>
      </w:r>
      <w:bookmarkEnd w:id="5"/>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83E12" w:rsidRPr="00683E12" w:rsidRDefault="00683E12" w:rsidP="00683E12">
      <w:pPr>
        <w:tabs>
          <w:tab w:val="left" w:pos="851"/>
        </w:tabs>
        <w:ind w:left="851"/>
        <w:rPr>
          <w:sz w:val="24"/>
          <w:lang w:eastAsia="da-DK"/>
        </w:rPr>
      </w:pPr>
      <w:r w:rsidRPr="00683E12">
        <w:rPr>
          <w:sz w:val="24"/>
          <w:lang w:eastAsia="da-DK"/>
        </w:rPr>
        <w:t>Septabene bør ikke anvendes i mere end 7 dage. Hvis patientens symptomer ikke bedres i løbet af 3 dage eller hvis patienten får feber eller andre symptomer, skal der søges læge.</w:t>
      </w:r>
    </w:p>
    <w:p w:rsidR="00683E12" w:rsidRPr="00683E12" w:rsidRDefault="00683E12" w:rsidP="00683E12">
      <w:pPr>
        <w:tabs>
          <w:tab w:val="left" w:pos="851"/>
        </w:tabs>
        <w:ind w:left="851"/>
        <w:rPr>
          <w:sz w:val="24"/>
          <w:lang w:eastAsia="da-DK"/>
        </w:rPr>
      </w:pPr>
    </w:p>
    <w:p w:rsidR="00683E12" w:rsidRPr="00683E12" w:rsidRDefault="00683E12" w:rsidP="00683E12">
      <w:pPr>
        <w:tabs>
          <w:tab w:val="left" w:pos="851"/>
        </w:tabs>
        <w:ind w:left="851"/>
        <w:rPr>
          <w:sz w:val="24"/>
          <w:lang w:eastAsia="da-DK"/>
        </w:rPr>
      </w:pPr>
      <w:r w:rsidRPr="00683E12">
        <w:rPr>
          <w:sz w:val="24"/>
          <w:lang w:eastAsia="da-DK"/>
        </w:rPr>
        <w:t>Brug af topikale lægemidler, især over længere tid, kan forårsage sensibilisering. Hvis dette forekommer, skal behandlingen seponeres, og der skal opstartes anden relevant behandling.</w:t>
      </w:r>
    </w:p>
    <w:p w:rsidR="00683E12" w:rsidRPr="00683E12" w:rsidRDefault="00683E12" w:rsidP="00683E12">
      <w:pPr>
        <w:tabs>
          <w:tab w:val="left" w:pos="851"/>
        </w:tabs>
        <w:ind w:left="851"/>
        <w:rPr>
          <w:sz w:val="24"/>
          <w:lang w:eastAsia="da-DK"/>
        </w:rPr>
      </w:pPr>
    </w:p>
    <w:p w:rsidR="00683E12" w:rsidRPr="00683E12" w:rsidRDefault="00683E12" w:rsidP="00683E12">
      <w:pPr>
        <w:tabs>
          <w:tab w:val="left" w:pos="851"/>
        </w:tabs>
        <w:ind w:left="851"/>
        <w:rPr>
          <w:sz w:val="24"/>
          <w:lang w:eastAsia="da-DK"/>
        </w:rPr>
      </w:pPr>
      <w:r w:rsidRPr="00683E12">
        <w:rPr>
          <w:sz w:val="24"/>
          <w:lang w:eastAsia="da-DK"/>
        </w:rPr>
        <w:t>Septabene må ikke anvendes i kombination med anioniske stoffer, såsom dem der findes i tandpastaer, og det frarådes derfor at produktet anvendes umiddelbart før eller efter tandbørstning.</w:t>
      </w:r>
    </w:p>
    <w:p w:rsidR="00683E12" w:rsidRPr="00683E12" w:rsidRDefault="00683E12" w:rsidP="00683E12">
      <w:pPr>
        <w:tabs>
          <w:tab w:val="left" w:pos="851"/>
        </w:tabs>
        <w:ind w:left="851"/>
        <w:rPr>
          <w:sz w:val="24"/>
          <w:lang w:eastAsia="da-DK"/>
        </w:rPr>
      </w:pPr>
    </w:p>
    <w:p w:rsidR="00683E12" w:rsidRPr="00683E12" w:rsidRDefault="00683E12" w:rsidP="00683E12">
      <w:pPr>
        <w:tabs>
          <w:tab w:val="left" w:pos="851"/>
        </w:tabs>
        <w:ind w:left="851"/>
        <w:rPr>
          <w:sz w:val="24"/>
          <w:lang w:eastAsia="da-DK"/>
        </w:rPr>
      </w:pPr>
      <w:r w:rsidRPr="00683E12">
        <w:rPr>
          <w:sz w:val="24"/>
          <w:lang w:eastAsia="da-DK"/>
        </w:rPr>
        <w:t>Det frarådes at anvende benzydamin til patienter, som er overfølsomme over for salicylater (f.eks. acetylsalicylsyre og salicylsyre) eller andre NSAID.</w:t>
      </w:r>
    </w:p>
    <w:p w:rsidR="00683E12" w:rsidRPr="00683E12" w:rsidRDefault="00683E12" w:rsidP="00683E12">
      <w:pPr>
        <w:tabs>
          <w:tab w:val="left" w:pos="851"/>
        </w:tabs>
        <w:ind w:left="851"/>
        <w:rPr>
          <w:sz w:val="24"/>
          <w:lang w:eastAsia="da-DK"/>
        </w:rPr>
      </w:pPr>
    </w:p>
    <w:p w:rsidR="00683E12" w:rsidRPr="00683E12" w:rsidRDefault="00683E12" w:rsidP="00683E12">
      <w:pPr>
        <w:tabs>
          <w:tab w:val="left" w:pos="851"/>
        </w:tabs>
        <w:ind w:left="851"/>
        <w:rPr>
          <w:sz w:val="24"/>
          <w:lang w:eastAsia="da-DK"/>
        </w:rPr>
      </w:pPr>
      <w:r w:rsidRPr="00683E12">
        <w:rPr>
          <w:sz w:val="24"/>
          <w:lang w:eastAsia="da-DK"/>
        </w:rPr>
        <w:t>Der kan forekomme bronkospasme hos patienter, der lider af eller tidligere har lidt af bronkial astma. Der skal udvises forsigtighed hos disse patienter.</w:t>
      </w:r>
    </w:p>
    <w:p w:rsidR="00683E12" w:rsidRPr="00683E12" w:rsidRDefault="00683E12" w:rsidP="00683E12">
      <w:pPr>
        <w:tabs>
          <w:tab w:val="left" w:pos="851"/>
        </w:tabs>
        <w:ind w:left="851"/>
        <w:rPr>
          <w:sz w:val="24"/>
          <w:lang w:eastAsia="da-DK"/>
        </w:rPr>
      </w:pPr>
    </w:p>
    <w:p w:rsidR="00683E12" w:rsidRPr="00683E12" w:rsidRDefault="00683E12" w:rsidP="00683E12">
      <w:pPr>
        <w:tabs>
          <w:tab w:val="left" w:pos="851"/>
        </w:tabs>
        <w:ind w:left="851"/>
        <w:rPr>
          <w:sz w:val="24"/>
          <w:lang w:eastAsia="da-DK"/>
        </w:rPr>
      </w:pPr>
      <w:r w:rsidRPr="00683E12">
        <w:rPr>
          <w:sz w:val="24"/>
          <w:lang w:eastAsia="da-DK"/>
        </w:rPr>
        <w:t>Det bør undgås, at Septabene mundhulespray, opløsning kommer i direkte kontakt med øjnene. Produktet må ikke inhaleres.</w:t>
      </w:r>
    </w:p>
    <w:p w:rsidR="00683E12" w:rsidRPr="00683E12" w:rsidRDefault="00683E12" w:rsidP="00683E12">
      <w:pPr>
        <w:tabs>
          <w:tab w:val="left" w:pos="851"/>
        </w:tabs>
        <w:ind w:left="851"/>
        <w:rPr>
          <w:sz w:val="24"/>
          <w:lang w:eastAsia="da-DK"/>
        </w:rPr>
      </w:pPr>
    </w:p>
    <w:p w:rsidR="00683E12" w:rsidRPr="00683E12" w:rsidRDefault="00683E12" w:rsidP="00683E12">
      <w:pPr>
        <w:tabs>
          <w:tab w:val="left" w:pos="851"/>
        </w:tabs>
        <w:ind w:left="851"/>
        <w:rPr>
          <w:sz w:val="24"/>
          <w:lang w:eastAsia="da-DK"/>
        </w:rPr>
      </w:pPr>
      <w:r w:rsidRPr="00683E12">
        <w:rPr>
          <w:sz w:val="24"/>
          <w:lang w:eastAsia="da-DK"/>
        </w:rPr>
        <w:t>Dette lægemiddel indeholder 267,60 mg alkohol (ethanol) i 1 ml mundhulespray, opløsning. Mængden i 1 ml af dette lægemiddel svarer til mindre end 7 ml øl eller 3 ml vin.</w:t>
      </w:r>
    </w:p>
    <w:p w:rsidR="00683E12" w:rsidRPr="00683E12" w:rsidRDefault="00683E12" w:rsidP="00683E12">
      <w:pPr>
        <w:tabs>
          <w:tab w:val="left" w:pos="851"/>
        </w:tabs>
        <w:ind w:left="851"/>
        <w:rPr>
          <w:sz w:val="24"/>
          <w:lang w:eastAsia="da-DK"/>
        </w:rPr>
      </w:pPr>
      <w:r w:rsidRPr="00683E12">
        <w:rPr>
          <w:sz w:val="24"/>
          <w:lang w:eastAsia="da-DK"/>
        </w:rPr>
        <w:t>Den mindre mængde alkohol i dette lægemiddel vil ikke have nogen nævneværdig effekt.</w:t>
      </w:r>
    </w:p>
    <w:p w:rsidR="00683E12" w:rsidRDefault="00683E12" w:rsidP="00683E12">
      <w:pPr>
        <w:tabs>
          <w:tab w:val="left" w:pos="851"/>
        </w:tabs>
        <w:ind w:left="851"/>
        <w:rPr>
          <w:sz w:val="24"/>
          <w:lang w:eastAsia="da-DK"/>
        </w:rPr>
      </w:pPr>
      <w:r w:rsidRPr="00683E12">
        <w:rPr>
          <w:sz w:val="24"/>
          <w:lang w:eastAsia="da-DK"/>
        </w:rPr>
        <w:t xml:space="preserve">Septabene indeholder </w:t>
      </w:r>
      <w:r w:rsidR="00056D16">
        <w:rPr>
          <w:sz w:val="24"/>
          <w:lang w:eastAsia="da-DK"/>
        </w:rPr>
        <w:t>r</w:t>
      </w:r>
      <w:r w:rsidRPr="00683E12">
        <w:rPr>
          <w:sz w:val="24"/>
          <w:lang w:eastAsia="da-DK"/>
        </w:rPr>
        <w:t>icinusolie, polyoxyleret, hydrogeneret. Kan give mavebesvær og diarré.</w:t>
      </w:r>
    </w:p>
    <w:p w:rsidR="00056D16" w:rsidRPr="00683E12" w:rsidRDefault="00056D16" w:rsidP="00683E12">
      <w:pPr>
        <w:tabs>
          <w:tab w:val="left" w:pos="851"/>
        </w:tabs>
        <w:ind w:left="851"/>
        <w:rPr>
          <w:sz w:val="24"/>
          <w:lang w:eastAsia="da-DK"/>
        </w:rPr>
      </w:pPr>
    </w:p>
    <w:p w:rsidR="009260DE" w:rsidRPr="00683E12" w:rsidRDefault="00683E12" w:rsidP="00683E12">
      <w:pPr>
        <w:tabs>
          <w:tab w:val="left" w:pos="851"/>
        </w:tabs>
        <w:ind w:left="851"/>
        <w:rPr>
          <w:sz w:val="24"/>
          <w:lang w:eastAsia="da-DK"/>
        </w:rPr>
      </w:pPr>
      <w:r w:rsidRPr="00683E12">
        <w:rPr>
          <w:sz w:val="24"/>
          <w:lang w:eastAsia="da-DK"/>
        </w:rPr>
        <w:t>Dette lægemiddel indeholder mindre end 1 mmol (23 mg) natrium pr. dosis,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56D16" w:rsidRPr="00056D16" w:rsidRDefault="00056D16" w:rsidP="00056D16">
      <w:pPr>
        <w:tabs>
          <w:tab w:val="left" w:pos="851"/>
        </w:tabs>
        <w:ind w:left="851"/>
        <w:rPr>
          <w:sz w:val="24"/>
          <w:lang w:eastAsia="da-DK"/>
        </w:rPr>
      </w:pPr>
      <w:r w:rsidRPr="00056D16">
        <w:rPr>
          <w:sz w:val="24"/>
          <w:lang w:eastAsia="da-DK"/>
        </w:rPr>
        <w:t>Septabene bør ikke anvendes samtidig med andre antiseptika.</w:t>
      </w:r>
    </w:p>
    <w:p w:rsidR="009260DE" w:rsidRPr="00056D16" w:rsidRDefault="00056D16" w:rsidP="00056D16">
      <w:pPr>
        <w:tabs>
          <w:tab w:val="left" w:pos="851"/>
        </w:tabs>
        <w:ind w:left="851"/>
        <w:rPr>
          <w:sz w:val="24"/>
          <w:lang w:eastAsia="da-DK"/>
        </w:rPr>
      </w:pPr>
      <w:r w:rsidRPr="00056D16">
        <w:rPr>
          <w:sz w:val="24"/>
          <w:lang w:eastAsia="da-DK"/>
        </w:rPr>
        <w:t>Septabene bør ikke tages sammen med mælk, da mælk kan nedsætte cetylpyridiniumchlorids antimikrobielle virkning.</w:t>
      </w:r>
    </w:p>
    <w:p w:rsidR="00056D16" w:rsidRDefault="00056D1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56D16" w:rsidRPr="00056D16" w:rsidRDefault="00056D16" w:rsidP="00056D16">
      <w:pPr>
        <w:tabs>
          <w:tab w:val="left" w:pos="851"/>
        </w:tabs>
        <w:ind w:left="851"/>
        <w:rPr>
          <w:sz w:val="24"/>
          <w:lang w:eastAsia="da-DK"/>
        </w:rPr>
      </w:pPr>
    </w:p>
    <w:p w:rsidR="00056D16" w:rsidRPr="00056D16" w:rsidRDefault="00056D16" w:rsidP="00056D16">
      <w:pPr>
        <w:tabs>
          <w:tab w:val="left" w:pos="851"/>
        </w:tabs>
        <w:ind w:left="851"/>
        <w:rPr>
          <w:sz w:val="24"/>
          <w:u w:val="single"/>
          <w:lang w:eastAsia="da-DK"/>
        </w:rPr>
      </w:pPr>
      <w:r w:rsidRPr="00056D16">
        <w:rPr>
          <w:sz w:val="24"/>
          <w:u w:val="single"/>
          <w:lang w:eastAsia="da-DK"/>
        </w:rPr>
        <w:t>Graviditet</w:t>
      </w:r>
    </w:p>
    <w:p w:rsidR="00056D16" w:rsidRPr="00056D16" w:rsidRDefault="00056D16" w:rsidP="00056D16">
      <w:pPr>
        <w:tabs>
          <w:tab w:val="left" w:pos="851"/>
        </w:tabs>
        <w:ind w:left="851"/>
        <w:rPr>
          <w:sz w:val="24"/>
          <w:lang w:eastAsia="da-DK"/>
        </w:rPr>
      </w:pPr>
      <w:r w:rsidRPr="00056D16">
        <w:rPr>
          <w:sz w:val="24"/>
          <w:lang w:eastAsia="da-DK"/>
        </w:rPr>
        <w:t>Der foreligger ingen eller utilstrækkelige data vedrørende anvendelsen af benzydaminhydrochlorid og cetylpyridiniumchlorid til gravide kvinder.</w:t>
      </w:r>
    </w:p>
    <w:p w:rsidR="00056D16" w:rsidRPr="00056D16" w:rsidRDefault="00056D16" w:rsidP="00056D16">
      <w:pPr>
        <w:tabs>
          <w:tab w:val="left" w:pos="851"/>
        </w:tabs>
        <w:ind w:left="851"/>
        <w:rPr>
          <w:sz w:val="24"/>
          <w:lang w:eastAsia="da-DK"/>
        </w:rPr>
      </w:pPr>
      <w:r w:rsidRPr="00056D16">
        <w:rPr>
          <w:sz w:val="24"/>
          <w:lang w:eastAsia="da-DK"/>
        </w:rPr>
        <w:t>Septabene bør ikke anvendes under graviditet.</w:t>
      </w:r>
    </w:p>
    <w:p w:rsidR="00056D16" w:rsidRPr="00056D16" w:rsidRDefault="00056D16" w:rsidP="00056D16">
      <w:pPr>
        <w:tabs>
          <w:tab w:val="left" w:pos="851"/>
        </w:tabs>
        <w:ind w:left="851"/>
        <w:rPr>
          <w:sz w:val="24"/>
          <w:lang w:eastAsia="da-DK"/>
        </w:rPr>
      </w:pPr>
    </w:p>
    <w:p w:rsidR="00056D16" w:rsidRPr="00056D16" w:rsidRDefault="00056D16" w:rsidP="00056D16">
      <w:pPr>
        <w:tabs>
          <w:tab w:val="left" w:pos="851"/>
        </w:tabs>
        <w:ind w:left="851"/>
        <w:rPr>
          <w:sz w:val="24"/>
          <w:u w:val="single"/>
          <w:lang w:eastAsia="da-DK"/>
        </w:rPr>
      </w:pPr>
      <w:r w:rsidRPr="00056D16">
        <w:rPr>
          <w:sz w:val="24"/>
          <w:u w:val="single"/>
          <w:lang w:eastAsia="da-DK"/>
        </w:rPr>
        <w:t>Amning</w:t>
      </w:r>
    </w:p>
    <w:p w:rsidR="00056D16" w:rsidRPr="00056D16" w:rsidRDefault="00056D16" w:rsidP="00056D16">
      <w:pPr>
        <w:tabs>
          <w:tab w:val="left" w:pos="851"/>
        </w:tabs>
        <w:ind w:left="851"/>
        <w:rPr>
          <w:sz w:val="24"/>
          <w:lang w:eastAsia="da-DK"/>
        </w:rPr>
      </w:pPr>
      <w:r w:rsidRPr="00056D16">
        <w:rPr>
          <w:sz w:val="24"/>
          <w:lang w:eastAsia="da-DK"/>
        </w:rPr>
        <w:t>Det er ukendt, om benzydaminhydrochlorid, cetylpyridiniumchlorid eller metabolitter udskilles i human mælk.</w:t>
      </w:r>
    </w:p>
    <w:p w:rsidR="00056D16" w:rsidRPr="00056D16" w:rsidRDefault="00056D16" w:rsidP="00056D16">
      <w:pPr>
        <w:tabs>
          <w:tab w:val="left" w:pos="851"/>
        </w:tabs>
        <w:ind w:left="851"/>
        <w:rPr>
          <w:sz w:val="24"/>
          <w:lang w:eastAsia="da-DK"/>
        </w:rPr>
      </w:pPr>
      <w:r w:rsidRPr="00056D16">
        <w:rPr>
          <w:sz w:val="24"/>
          <w:lang w:eastAsia="da-DK"/>
        </w:rPr>
        <w:t>En risiko for nyfødte/spædbørn kan ikke udelukkes.</w:t>
      </w:r>
    </w:p>
    <w:p w:rsidR="009260DE" w:rsidRPr="00056D16" w:rsidRDefault="00056D16" w:rsidP="00056D16">
      <w:pPr>
        <w:tabs>
          <w:tab w:val="left" w:pos="851"/>
        </w:tabs>
        <w:ind w:left="851"/>
        <w:rPr>
          <w:sz w:val="24"/>
          <w:lang w:eastAsia="da-DK"/>
        </w:rPr>
      </w:pPr>
      <w:r w:rsidRPr="00056D16">
        <w:rPr>
          <w:sz w:val="24"/>
          <w:lang w:eastAsia="da-DK"/>
        </w:rPr>
        <w:t>Det skal besluttes, om amning eller behandling med Septabene skal ophøre, idet der tages højde for fordelene ved amning for barnet i forhold til de terapeutiske fordele for moderen.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526AB0" w:rsidRPr="00526AB0" w:rsidRDefault="00526AB0" w:rsidP="00526AB0">
      <w:pPr>
        <w:tabs>
          <w:tab w:val="left" w:pos="851"/>
        </w:tabs>
        <w:ind w:left="851"/>
        <w:rPr>
          <w:sz w:val="24"/>
          <w:szCs w:val="24"/>
        </w:rPr>
      </w:pPr>
      <w:r w:rsidRPr="00526AB0">
        <w:rPr>
          <w:sz w:val="24"/>
          <w:szCs w:val="24"/>
        </w:rPr>
        <w:t>Ikke mærkning.</w:t>
      </w:r>
    </w:p>
    <w:p w:rsidR="00526AB0" w:rsidRPr="00526AB0" w:rsidRDefault="00526AB0" w:rsidP="00526AB0">
      <w:pPr>
        <w:tabs>
          <w:tab w:val="left" w:pos="851"/>
        </w:tabs>
        <w:ind w:left="851"/>
        <w:rPr>
          <w:sz w:val="24"/>
          <w:szCs w:val="24"/>
        </w:rPr>
      </w:pPr>
      <w:r w:rsidRPr="00526AB0">
        <w:rPr>
          <w:sz w:val="24"/>
          <w:szCs w:val="24"/>
        </w:rPr>
        <w:t xml:space="preserve">Septabene påvirker ikke eller kun i ubetydelig grad evnen til at føre motorkøretøj </w:t>
      </w:r>
      <w:r w:rsidR="00592C68">
        <w:rPr>
          <w:sz w:val="24"/>
          <w:szCs w:val="24"/>
        </w:rPr>
        <w:t>eller</w:t>
      </w:r>
      <w:r w:rsidRPr="00526AB0">
        <w:rPr>
          <w:sz w:val="24"/>
          <w:szCs w:val="24"/>
        </w:rPr>
        <w:t xml:space="preserve">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842C2" w:rsidRPr="000842C2" w:rsidRDefault="000842C2" w:rsidP="000842C2">
      <w:pPr>
        <w:tabs>
          <w:tab w:val="left" w:pos="851"/>
        </w:tabs>
        <w:ind w:left="851"/>
        <w:rPr>
          <w:sz w:val="24"/>
          <w:lang w:eastAsia="da-DK"/>
        </w:rPr>
      </w:pPr>
      <w:r w:rsidRPr="000842C2">
        <w:rPr>
          <w:sz w:val="24"/>
          <w:lang w:eastAsia="da-DK"/>
        </w:rPr>
        <w:t xml:space="preserve">Meget almindelig </w:t>
      </w:r>
      <w:r w:rsidRPr="00697844">
        <w:rPr>
          <w:sz w:val="24"/>
          <w:lang w:eastAsia="da-DK"/>
        </w:rPr>
        <w:t>(</w:t>
      </w:r>
      <w:r w:rsidRPr="000842C2">
        <w:rPr>
          <w:sz w:val="24"/>
          <w:szCs w:val="24"/>
          <w:lang w:val="en-GB" w:eastAsia="da-DK"/>
        </w:rPr>
        <w:sym w:font="Symbol" w:char="F0B3"/>
      </w:r>
      <w:r w:rsidRPr="00697844">
        <w:rPr>
          <w:sz w:val="24"/>
          <w:lang w:eastAsia="da-DK"/>
        </w:rPr>
        <w:t>1/10)</w:t>
      </w:r>
    </w:p>
    <w:p w:rsidR="000842C2" w:rsidRPr="000842C2" w:rsidRDefault="000842C2" w:rsidP="000842C2">
      <w:pPr>
        <w:tabs>
          <w:tab w:val="left" w:pos="851"/>
        </w:tabs>
        <w:ind w:left="851"/>
        <w:rPr>
          <w:sz w:val="24"/>
          <w:lang w:eastAsia="da-DK"/>
        </w:rPr>
      </w:pPr>
      <w:r w:rsidRPr="000842C2">
        <w:rPr>
          <w:sz w:val="24"/>
          <w:lang w:eastAsia="da-DK"/>
        </w:rPr>
        <w:t>Almindelig (</w:t>
      </w:r>
      <w:r w:rsidRPr="000842C2">
        <w:rPr>
          <w:sz w:val="24"/>
          <w:szCs w:val="24"/>
          <w:lang w:val="en-GB" w:eastAsia="da-DK"/>
        </w:rPr>
        <w:sym w:font="Symbol" w:char="F0B3"/>
      </w:r>
      <w:r w:rsidRPr="000842C2">
        <w:rPr>
          <w:sz w:val="24"/>
          <w:lang w:eastAsia="da-DK"/>
        </w:rPr>
        <w:t>1/100 til &lt;1/10)</w:t>
      </w:r>
    </w:p>
    <w:p w:rsidR="000842C2" w:rsidRPr="000842C2" w:rsidRDefault="000842C2" w:rsidP="000842C2">
      <w:pPr>
        <w:tabs>
          <w:tab w:val="left" w:pos="851"/>
        </w:tabs>
        <w:ind w:left="851"/>
        <w:rPr>
          <w:sz w:val="24"/>
          <w:lang w:eastAsia="da-DK"/>
        </w:rPr>
      </w:pPr>
      <w:r w:rsidRPr="000842C2">
        <w:rPr>
          <w:sz w:val="24"/>
          <w:lang w:eastAsia="da-DK"/>
        </w:rPr>
        <w:t>Ikke almindelig (≥1/1.000 til &lt;1/100)</w:t>
      </w:r>
    </w:p>
    <w:p w:rsidR="000842C2" w:rsidRPr="000842C2" w:rsidRDefault="000842C2" w:rsidP="000842C2">
      <w:pPr>
        <w:tabs>
          <w:tab w:val="left" w:pos="851"/>
        </w:tabs>
        <w:ind w:left="851"/>
        <w:rPr>
          <w:sz w:val="24"/>
          <w:lang w:eastAsia="da-DK"/>
        </w:rPr>
      </w:pPr>
      <w:r w:rsidRPr="000842C2">
        <w:rPr>
          <w:sz w:val="24"/>
          <w:lang w:eastAsia="da-DK"/>
        </w:rPr>
        <w:t>Sjælden (≥1/10.000 til &lt;1/1.000)</w:t>
      </w:r>
    </w:p>
    <w:p w:rsidR="000842C2" w:rsidRPr="000842C2" w:rsidRDefault="000842C2" w:rsidP="000842C2">
      <w:pPr>
        <w:tabs>
          <w:tab w:val="left" w:pos="851"/>
        </w:tabs>
        <w:ind w:left="851"/>
        <w:rPr>
          <w:sz w:val="24"/>
          <w:lang w:eastAsia="da-DK"/>
        </w:rPr>
      </w:pPr>
      <w:r w:rsidRPr="000842C2">
        <w:rPr>
          <w:sz w:val="24"/>
          <w:lang w:eastAsia="da-DK"/>
        </w:rPr>
        <w:t>Meget sjælden (&lt;1/10.000)</w:t>
      </w:r>
    </w:p>
    <w:p w:rsidR="000842C2" w:rsidRPr="000842C2" w:rsidRDefault="000842C2" w:rsidP="000842C2">
      <w:pPr>
        <w:tabs>
          <w:tab w:val="left" w:pos="851"/>
        </w:tabs>
        <w:ind w:left="851"/>
        <w:rPr>
          <w:sz w:val="24"/>
          <w:lang w:eastAsia="da-DK"/>
        </w:rPr>
      </w:pPr>
      <w:r w:rsidRPr="000842C2">
        <w:rPr>
          <w:sz w:val="24"/>
          <w:lang w:eastAsia="da-DK"/>
        </w:rPr>
        <w:t>Ikke kendt (kan ikke estimeres ud fra forhåndenværende data)</w:t>
      </w:r>
    </w:p>
    <w:p w:rsidR="000842C2" w:rsidRPr="000842C2" w:rsidRDefault="000842C2" w:rsidP="000842C2">
      <w:pPr>
        <w:tabs>
          <w:tab w:val="left" w:pos="851"/>
        </w:tabs>
        <w:ind w:left="851"/>
        <w:rPr>
          <w:sz w:val="24"/>
          <w:lang w:eastAsia="da-DK"/>
        </w:rPr>
      </w:pPr>
    </w:p>
    <w:p w:rsidR="000842C2" w:rsidRPr="000842C2" w:rsidRDefault="000842C2" w:rsidP="000842C2">
      <w:pPr>
        <w:tabs>
          <w:tab w:val="left" w:pos="851"/>
        </w:tabs>
        <w:ind w:left="851"/>
        <w:rPr>
          <w:sz w:val="24"/>
          <w:u w:val="single"/>
          <w:lang w:eastAsia="da-DK"/>
        </w:rPr>
      </w:pPr>
      <w:r w:rsidRPr="000842C2">
        <w:rPr>
          <w:sz w:val="24"/>
          <w:u w:val="single"/>
          <w:lang w:eastAsia="da-DK"/>
        </w:rPr>
        <w:t>Bivirkningstabel</w:t>
      </w:r>
    </w:p>
    <w:p w:rsidR="000842C2" w:rsidRPr="000842C2" w:rsidRDefault="000842C2" w:rsidP="000842C2">
      <w:pPr>
        <w:tabs>
          <w:tab w:val="left" w:pos="851"/>
        </w:tabs>
        <w:ind w:left="851"/>
        <w:rPr>
          <w:sz w:val="24"/>
          <w:lang w:eastAsia="da-D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697"/>
        <w:gridCol w:w="1937"/>
        <w:gridCol w:w="2877"/>
      </w:tblGrid>
      <w:tr w:rsidR="000842C2" w:rsidRPr="000842C2" w:rsidTr="005512D5">
        <w:tc>
          <w:tcPr>
            <w:tcW w:w="2158" w:type="dxa"/>
          </w:tcPr>
          <w:p w:rsidR="000842C2" w:rsidRPr="000842C2" w:rsidRDefault="000842C2" w:rsidP="000842C2">
            <w:pPr>
              <w:tabs>
                <w:tab w:val="left" w:pos="851"/>
              </w:tabs>
              <w:rPr>
                <w:sz w:val="24"/>
                <w:lang w:eastAsia="da-DK"/>
              </w:rPr>
            </w:pPr>
          </w:p>
        </w:tc>
        <w:tc>
          <w:tcPr>
            <w:tcW w:w="0" w:type="auto"/>
          </w:tcPr>
          <w:p w:rsidR="000842C2" w:rsidRPr="000842C2" w:rsidRDefault="000842C2" w:rsidP="000842C2">
            <w:pPr>
              <w:tabs>
                <w:tab w:val="left" w:pos="851"/>
              </w:tabs>
              <w:rPr>
                <w:sz w:val="24"/>
                <w:lang w:eastAsia="da-DK"/>
              </w:rPr>
            </w:pPr>
            <w:r w:rsidRPr="000842C2">
              <w:rPr>
                <w:sz w:val="24"/>
                <w:lang w:eastAsia="da-DK"/>
              </w:rPr>
              <w:t>Sjælden</w:t>
            </w:r>
          </w:p>
        </w:tc>
        <w:tc>
          <w:tcPr>
            <w:tcW w:w="0" w:type="auto"/>
          </w:tcPr>
          <w:p w:rsidR="000842C2" w:rsidRPr="000842C2" w:rsidRDefault="000842C2" w:rsidP="000842C2">
            <w:pPr>
              <w:tabs>
                <w:tab w:val="left" w:pos="851"/>
              </w:tabs>
              <w:rPr>
                <w:sz w:val="24"/>
                <w:lang w:eastAsia="da-DK"/>
              </w:rPr>
            </w:pPr>
            <w:r w:rsidRPr="000842C2">
              <w:rPr>
                <w:sz w:val="24"/>
                <w:lang w:eastAsia="da-DK"/>
              </w:rPr>
              <w:t>Meget sjælden</w:t>
            </w:r>
          </w:p>
        </w:tc>
        <w:tc>
          <w:tcPr>
            <w:tcW w:w="0" w:type="auto"/>
          </w:tcPr>
          <w:p w:rsidR="000842C2" w:rsidRPr="000842C2" w:rsidRDefault="000842C2" w:rsidP="000842C2">
            <w:pPr>
              <w:tabs>
                <w:tab w:val="left" w:pos="851"/>
              </w:tabs>
              <w:rPr>
                <w:sz w:val="24"/>
                <w:lang w:eastAsia="da-DK"/>
              </w:rPr>
            </w:pPr>
            <w:r w:rsidRPr="000842C2">
              <w:rPr>
                <w:sz w:val="24"/>
                <w:lang w:eastAsia="da-DK"/>
              </w:rPr>
              <w:t>Ikke kendt</w:t>
            </w:r>
          </w:p>
        </w:tc>
      </w:tr>
      <w:tr w:rsidR="000842C2" w:rsidRPr="000842C2" w:rsidTr="005512D5">
        <w:tc>
          <w:tcPr>
            <w:tcW w:w="2158" w:type="dxa"/>
          </w:tcPr>
          <w:p w:rsidR="000842C2" w:rsidRPr="000842C2" w:rsidRDefault="000842C2" w:rsidP="000842C2">
            <w:pPr>
              <w:tabs>
                <w:tab w:val="left" w:pos="851"/>
              </w:tabs>
              <w:rPr>
                <w:sz w:val="24"/>
                <w:lang w:eastAsia="da-DK"/>
              </w:rPr>
            </w:pPr>
            <w:r w:rsidRPr="000842C2">
              <w:rPr>
                <w:sz w:val="24"/>
                <w:lang w:eastAsia="da-DK"/>
              </w:rPr>
              <w:t>Immunsystemet</w:t>
            </w:r>
          </w:p>
        </w:tc>
        <w:tc>
          <w:tcPr>
            <w:tcW w:w="0" w:type="auto"/>
          </w:tcPr>
          <w:p w:rsidR="000842C2" w:rsidRPr="000842C2" w:rsidRDefault="000842C2" w:rsidP="000842C2">
            <w:pPr>
              <w:tabs>
                <w:tab w:val="left" w:pos="851"/>
              </w:tabs>
              <w:rPr>
                <w:sz w:val="24"/>
                <w:lang w:eastAsia="da-DK"/>
              </w:rPr>
            </w:pPr>
          </w:p>
        </w:tc>
        <w:tc>
          <w:tcPr>
            <w:tcW w:w="0" w:type="auto"/>
          </w:tcPr>
          <w:p w:rsidR="000842C2" w:rsidRPr="000842C2" w:rsidRDefault="000842C2" w:rsidP="000842C2">
            <w:pPr>
              <w:tabs>
                <w:tab w:val="left" w:pos="851"/>
              </w:tabs>
              <w:rPr>
                <w:sz w:val="24"/>
                <w:lang w:eastAsia="da-DK"/>
              </w:rPr>
            </w:pPr>
          </w:p>
        </w:tc>
        <w:tc>
          <w:tcPr>
            <w:tcW w:w="0" w:type="auto"/>
          </w:tcPr>
          <w:p w:rsidR="000842C2" w:rsidRPr="000842C2" w:rsidRDefault="000842C2" w:rsidP="000842C2">
            <w:pPr>
              <w:tabs>
                <w:tab w:val="left" w:pos="851"/>
              </w:tabs>
              <w:rPr>
                <w:bCs/>
                <w:sz w:val="24"/>
                <w:lang w:eastAsia="da-DK"/>
              </w:rPr>
            </w:pPr>
            <w:r w:rsidRPr="000842C2">
              <w:rPr>
                <w:bCs/>
                <w:sz w:val="24"/>
                <w:lang w:eastAsia="da-DK"/>
              </w:rPr>
              <w:t>Overfølsomhedsreaktioner</w:t>
            </w:r>
          </w:p>
          <w:p w:rsidR="000842C2" w:rsidRPr="000842C2" w:rsidRDefault="000842C2" w:rsidP="000842C2">
            <w:pPr>
              <w:tabs>
                <w:tab w:val="left" w:pos="851"/>
              </w:tabs>
              <w:rPr>
                <w:bCs/>
                <w:sz w:val="24"/>
                <w:lang w:eastAsia="da-DK"/>
              </w:rPr>
            </w:pPr>
            <w:r w:rsidRPr="000842C2">
              <w:rPr>
                <w:bCs/>
                <w:sz w:val="24"/>
                <w:lang w:eastAsia="da-DK"/>
              </w:rPr>
              <w:t>Anafylaktiske reaktioner</w:t>
            </w:r>
          </w:p>
        </w:tc>
      </w:tr>
      <w:tr w:rsidR="000842C2" w:rsidRPr="000842C2" w:rsidTr="005512D5">
        <w:tc>
          <w:tcPr>
            <w:tcW w:w="2158" w:type="dxa"/>
          </w:tcPr>
          <w:p w:rsidR="000842C2" w:rsidRPr="000842C2" w:rsidRDefault="000842C2" w:rsidP="000842C2">
            <w:pPr>
              <w:tabs>
                <w:tab w:val="left" w:pos="851"/>
              </w:tabs>
              <w:rPr>
                <w:sz w:val="24"/>
                <w:lang w:eastAsia="da-DK"/>
              </w:rPr>
            </w:pPr>
            <w:r w:rsidRPr="000842C2">
              <w:rPr>
                <w:sz w:val="24"/>
                <w:lang w:eastAsia="da-DK"/>
              </w:rPr>
              <w:t>Nervesystemet</w:t>
            </w:r>
          </w:p>
        </w:tc>
        <w:tc>
          <w:tcPr>
            <w:tcW w:w="0" w:type="auto"/>
          </w:tcPr>
          <w:p w:rsidR="000842C2" w:rsidRPr="000842C2" w:rsidRDefault="000842C2" w:rsidP="000842C2">
            <w:pPr>
              <w:tabs>
                <w:tab w:val="left" w:pos="851"/>
              </w:tabs>
              <w:rPr>
                <w:sz w:val="24"/>
                <w:lang w:eastAsia="da-DK"/>
              </w:rPr>
            </w:pPr>
          </w:p>
        </w:tc>
        <w:tc>
          <w:tcPr>
            <w:tcW w:w="0" w:type="auto"/>
          </w:tcPr>
          <w:p w:rsidR="000842C2" w:rsidRPr="000842C2" w:rsidRDefault="000842C2" w:rsidP="000842C2">
            <w:pPr>
              <w:tabs>
                <w:tab w:val="left" w:pos="851"/>
              </w:tabs>
              <w:rPr>
                <w:sz w:val="24"/>
                <w:lang w:eastAsia="da-DK"/>
              </w:rPr>
            </w:pPr>
          </w:p>
        </w:tc>
        <w:tc>
          <w:tcPr>
            <w:tcW w:w="0" w:type="auto"/>
          </w:tcPr>
          <w:p w:rsidR="000842C2" w:rsidRPr="000842C2" w:rsidRDefault="000842C2" w:rsidP="000842C2">
            <w:pPr>
              <w:tabs>
                <w:tab w:val="left" w:pos="851"/>
              </w:tabs>
              <w:rPr>
                <w:sz w:val="24"/>
                <w:lang w:eastAsia="da-DK"/>
              </w:rPr>
            </w:pPr>
            <w:r w:rsidRPr="000842C2">
              <w:rPr>
                <w:sz w:val="24"/>
                <w:lang w:eastAsia="da-DK"/>
              </w:rPr>
              <w:t>Brændende fornemmelse i mundslimhinden</w:t>
            </w:r>
          </w:p>
          <w:p w:rsidR="000842C2" w:rsidRPr="000842C2" w:rsidRDefault="000842C2" w:rsidP="000842C2">
            <w:pPr>
              <w:tabs>
                <w:tab w:val="left" w:pos="851"/>
              </w:tabs>
              <w:rPr>
                <w:sz w:val="24"/>
                <w:lang w:eastAsia="da-DK"/>
              </w:rPr>
            </w:pPr>
            <w:r w:rsidRPr="000842C2">
              <w:rPr>
                <w:sz w:val="24"/>
                <w:lang w:eastAsia="da-DK"/>
              </w:rPr>
              <w:t>Følelsesløshed i mundslimhinden</w:t>
            </w:r>
          </w:p>
        </w:tc>
      </w:tr>
      <w:tr w:rsidR="000842C2" w:rsidRPr="000842C2" w:rsidTr="005512D5">
        <w:tc>
          <w:tcPr>
            <w:tcW w:w="2158" w:type="dxa"/>
          </w:tcPr>
          <w:p w:rsidR="000842C2" w:rsidRPr="000842C2" w:rsidRDefault="000842C2" w:rsidP="000842C2">
            <w:pPr>
              <w:tabs>
                <w:tab w:val="left" w:pos="851"/>
              </w:tabs>
              <w:rPr>
                <w:sz w:val="24"/>
                <w:lang w:eastAsia="da-DK"/>
              </w:rPr>
            </w:pPr>
            <w:r w:rsidRPr="000842C2">
              <w:rPr>
                <w:sz w:val="24"/>
                <w:lang w:eastAsia="da-DK"/>
              </w:rPr>
              <w:t>Luftveje, thorax og mediastinum</w:t>
            </w:r>
          </w:p>
        </w:tc>
        <w:tc>
          <w:tcPr>
            <w:tcW w:w="0" w:type="auto"/>
          </w:tcPr>
          <w:p w:rsidR="000842C2" w:rsidRPr="000842C2" w:rsidRDefault="000842C2" w:rsidP="000842C2">
            <w:pPr>
              <w:tabs>
                <w:tab w:val="left" w:pos="851"/>
              </w:tabs>
              <w:rPr>
                <w:sz w:val="24"/>
                <w:lang w:eastAsia="da-DK"/>
              </w:rPr>
            </w:pPr>
            <w:r w:rsidRPr="000842C2">
              <w:rPr>
                <w:sz w:val="24"/>
                <w:lang w:eastAsia="da-DK"/>
              </w:rPr>
              <w:t>Bronkospasme</w:t>
            </w:r>
          </w:p>
        </w:tc>
        <w:tc>
          <w:tcPr>
            <w:tcW w:w="0" w:type="auto"/>
          </w:tcPr>
          <w:p w:rsidR="000842C2" w:rsidRPr="000842C2" w:rsidRDefault="000842C2" w:rsidP="000842C2">
            <w:pPr>
              <w:tabs>
                <w:tab w:val="left" w:pos="851"/>
              </w:tabs>
              <w:rPr>
                <w:sz w:val="24"/>
                <w:lang w:eastAsia="da-DK"/>
              </w:rPr>
            </w:pPr>
          </w:p>
        </w:tc>
        <w:tc>
          <w:tcPr>
            <w:tcW w:w="0" w:type="auto"/>
          </w:tcPr>
          <w:p w:rsidR="000842C2" w:rsidRPr="000842C2" w:rsidRDefault="000842C2" w:rsidP="000842C2">
            <w:pPr>
              <w:tabs>
                <w:tab w:val="left" w:pos="851"/>
              </w:tabs>
              <w:rPr>
                <w:sz w:val="24"/>
                <w:lang w:eastAsia="da-DK"/>
              </w:rPr>
            </w:pPr>
          </w:p>
        </w:tc>
      </w:tr>
      <w:tr w:rsidR="000842C2" w:rsidRPr="000842C2" w:rsidTr="005512D5">
        <w:tc>
          <w:tcPr>
            <w:tcW w:w="2158" w:type="dxa"/>
          </w:tcPr>
          <w:p w:rsidR="000842C2" w:rsidRPr="000842C2" w:rsidRDefault="000842C2" w:rsidP="000842C2">
            <w:pPr>
              <w:tabs>
                <w:tab w:val="left" w:pos="851"/>
              </w:tabs>
              <w:rPr>
                <w:sz w:val="24"/>
                <w:lang w:eastAsia="da-DK"/>
              </w:rPr>
            </w:pPr>
            <w:r w:rsidRPr="000842C2">
              <w:rPr>
                <w:sz w:val="24"/>
                <w:lang w:eastAsia="da-DK"/>
              </w:rPr>
              <w:t>Mave-tarm-kanalen</w:t>
            </w:r>
          </w:p>
        </w:tc>
        <w:tc>
          <w:tcPr>
            <w:tcW w:w="0" w:type="auto"/>
          </w:tcPr>
          <w:p w:rsidR="000842C2" w:rsidRPr="000842C2" w:rsidRDefault="000842C2" w:rsidP="000842C2">
            <w:pPr>
              <w:tabs>
                <w:tab w:val="left" w:pos="851"/>
              </w:tabs>
              <w:rPr>
                <w:sz w:val="24"/>
                <w:lang w:eastAsia="da-DK"/>
              </w:rPr>
            </w:pPr>
          </w:p>
        </w:tc>
        <w:tc>
          <w:tcPr>
            <w:tcW w:w="0" w:type="auto"/>
          </w:tcPr>
          <w:p w:rsidR="000842C2" w:rsidRPr="000842C2" w:rsidRDefault="000842C2" w:rsidP="000842C2">
            <w:pPr>
              <w:tabs>
                <w:tab w:val="left" w:pos="851"/>
              </w:tabs>
              <w:rPr>
                <w:sz w:val="24"/>
                <w:lang w:eastAsia="da-DK"/>
              </w:rPr>
            </w:pPr>
            <w:r w:rsidRPr="000842C2">
              <w:rPr>
                <w:sz w:val="24"/>
                <w:lang w:eastAsia="da-DK"/>
              </w:rPr>
              <w:t>Irritation i mundslimhinden</w:t>
            </w:r>
          </w:p>
          <w:p w:rsidR="000842C2" w:rsidRPr="000842C2" w:rsidRDefault="000842C2" w:rsidP="000842C2">
            <w:pPr>
              <w:tabs>
                <w:tab w:val="left" w:pos="851"/>
              </w:tabs>
              <w:rPr>
                <w:sz w:val="24"/>
                <w:lang w:eastAsia="da-DK"/>
              </w:rPr>
            </w:pPr>
            <w:r w:rsidRPr="000842C2">
              <w:rPr>
                <w:sz w:val="24"/>
                <w:lang w:eastAsia="da-DK"/>
              </w:rPr>
              <w:t>Brændende fornemmelse i munden</w:t>
            </w:r>
          </w:p>
        </w:tc>
        <w:tc>
          <w:tcPr>
            <w:tcW w:w="0" w:type="auto"/>
          </w:tcPr>
          <w:p w:rsidR="000842C2" w:rsidRPr="000842C2" w:rsidRDefault="000842C2" w:rsidP="000842C2">
            <w:pPr>
              <w:tabs>
                <w:tab w:val="left" w:pos="851"/>
              </w:tabs>
              <w:rPr>
                <w:sz w:val="24"/>
                <w:lang w:eastAsia="da-DK"/>
              </w:rPr>
            </w:pPr>
          </w:p>
        </w:tc>
      </w:tr>
      <w:tr w:rsidR="000842C2" w:rsidRPr="000842C2" w:rsidTr="005512D5">
        <w:tc>
          <w:tcPr>
            <w:tcW w:w="2158" w:type="dxa"/>
          </w:tcPr>
          <w:p w:rsidR="000842C2" w:rsidRPr="000842C2" w:rsidRDefault="000842C2" w:rsidP="000842C2">
            <w:pPr>
              <w:tabs>
                <w:tab w:val="left" w:pos="851"/>
              </w:tabs>
              <w:rPr>
                <w:sz w:val="24"/>
                <w:lang w:eastAsia="da-DK"/>
              </w:rPr>
            </w:pPr>
            <w:r w:rsidRPr="000842C2">
              <w:rPr>
                <w:sz w:val="24"/>
                <w:lang w:eastAsia="da-DK"/>
              </w:rPr>
              <w:t>Hud og subkutane væv</w:t>
            </w:r>
          </w:p>
        </w:tc>
        <w:tc>
          <w:tcPr>
            <w:tcW w:w="0" w:type="auto"/>
          </w:tcPr>
          <w:p w:rsidR="000842C2" w:rsidRPr="000842C2" w:rsidRDefault="000842C2" w:rsidP="000842C2">
            <w:pPr>
              <w:tabs>
                <w:tab w:val="left" w:pos="851"/>
              </w:tabs>
              <w:rPr>
                <w:sz w:val="24"/>
                <w:lang w:eastAsia="da-DK"/>
              </w:rPr>
            </w:pPr>
            <w:r w:rsidRPr="000842C2">
              <w:rPr>
                <w:sz w:val="24"/>
                <w:lang w:eastAsia="da-DK"/>
              </w:rPr>
              <w:t>Urticaria</w:t>
            </w:r>
          </w:p>
          <w:p w:rsidR="000842C2" w:rsidRPr="000842C2" w:rsidRDefault="000842C2" w:rsidP="000842C2">
            <w:pPr>
              <w:tabs>
                <w:tab w:val="left" w:pos="851"/>
              </w:tabs>
              <w:rPr>
                <w:sz w:val="24"/>
                <w:lang w:eastAsia="da-DK"/>
              </w:rPr>
            </w:pPr>
            <w:r w:rsidRPr="000842C2">
              <w:rPr>
                <w:sz w:val="24"/>
                <w:lang w:eastAsia="da-DK"/>
              </w:rPr>
              <w:t>Fotosensitivitet</w:t>
            </w:r>
          </w:p>
        </w:tc>
        <w:tc>
          <w:tcPr>
            <w:tcW w:w="0" w:type="auto"/>
          </w:tcPr>
          <w:p w:rsidR="000842C2" w:rsidRPr="000842C2" w:rsidRDefault="000842C2" w:rsidP="000842C2">
            <w:pPr>
              <w:tabs>
                <w:tab w:val="left" w:pos="851"/>
              </w:tabs>
              <w:rPr>
                <w:sz w:val="24"/>
                <w:lang w:eastAsia="da-DK"/>
              </w:rPr>
            </w:pPr>
          </w:p>
        </w:tc>
        <w:tc>
          <w:tcPr>
            <w:tcW w:w="0" w:type="auto"/>
          </w:tcPr>
          <w:p w:rsidR="000842C2" w:rsidRPr="000842C2" w:rsidRDefault="000842C2" w:rsidP="000842C2">
            <w:pPr>
              <w:tabs>
                <w:tab w:val="left" w:pos="851"/>
              </w:tabs>
              <w:rPr>
                <w:sz w:val="24"/>
                <w:lang w:eastAsia="da-DK"/>
              </w:rPr>
            </w:pPr>
          </w:p>
        </w:tc>
      </w:tr>
    </w:tbl>
    <w:p w:rsidR="000842C2" w:rsidRPr="000842C2" w:rsidRDefault="000842C2" w:rsidP="000842C2">
      <w:pPr>
        <w:tabs>
          <w:tab w:val="left" w:pos="851"/>
        </w:tabs>
        <w:ind w:left="851"/>
        <w:rPr>
          <w:sz w:val="24"/>
          <w:lang w:eastAsia="da-DK"/>
        </w:rPr>
      </w:pPr>
    </w:p>
    <w:p w:rsidR="000842C2" w:rsidRPr="000842C2" w:rsidRDefault="000842C2" w:rsidP="000842C2">
      <w:pPr>
        <w:tabs>
          <w:tab w:val="left" w:pos="851"/>
        </w:tabs>
        <w:ind w:left="851"/>
        <w:rPr>
          <w:sz w:val="24"/>
          <w:u w:val="single"/>
          <w:lang w:eastAsia="da-DK"/>
        </w:rPr>
      </w:pPr>
      <w:r w:rsidRPr="000842C2">
        <w:rPr>
          <w:sz w:val="24"/>
          <w:u w:val="single"/>
          <w:lang w:eastAsia="da-DK"/>
        </w:rPr>
        <w:t>Indberetning af formodede bivirkninger</w:t>
      </w:r>
    </w:p>
    <w:p w:rsidR="000842C2" w:rsidRPr="000842C2" w:rsidRDefault="000842C2" w:rsidP="000842C2">
      <w:pPr>
        <w:tabs>
          <w:tab w:val="left" w:pos="851"/>
        </w:tabs>
        <w:ind w:left="851"/>
        <w:rPr>
          <w:sz w:val="24"/>
          <w:lang w:eastAsia="da-DK"/>
        </w:rPr>
      </w:pPr>
      <w:r w:rsidRPr="000842C2">
        <w:rPr>
          <w:sz w:val="24"/>
          <w:lang w:eastAsia="da-DK"/>
        </w:rPr>
        <w:t>Når lægemidlet er godkendt, er indberetning af formodede bivirkninger vigtig. Det muliggør løbende overvågning af benefit/risk-forholdet for lægemidlet. Sundhedspersoner anmodes om at indberette alle formodede bivirkninger via</w:t>
      </w:r>
      <w:r>
        <w:rPr>
          <w:sz w:val="24"/>
          <w:lang w:eastAsia="da-DK"/>
        </w:rPr>
        <w:t>:</w:t>
      </w:r>
    </w:p>
    <w:p w:rsidR="000842C2" w:rsidRPr="000842C2" w:rsidRDefault="000842C2" w:rsidP="000842C2">
      <w:pPr>
        <w:tabs>
          <w:tab w:val="left" w:pos="851"/>
        </w:tabs>
        <w:ind w:left="851"/>
        <w:rPr>
          <w:sz w:val="24"/>
          <w:lang w:eastAsia="da-DK"/>
        </w:rPr>
      </w:pPr>
    </w:p>
    <w:p w:rsidR="000842C2" w:rsidRPr="000842C2" w:rsidRDefault="000842C2" w:rsidP="000842C2">
      <w:pPr>
        <w:tabs>
          <w:tab w:val="left" w:pos="851"/>
        </w:tabs>
        <w:ind w:left="851"/>
        <w:rPr>
          <w:sz w:val="24"/>
          <w:lang w:eastAsia="da-DK"/>
        </w:rPr>
      </w:pPr>
      <w:r w:rsidRPr="000842C2">
        <w:rPr>
          <w:sz w:val="24"/>
          <w:lang w:eastAsia="da-DK"/>
        </w:rPr>
        <w:t>Lægemiddelstyrelsen</w:t>
      </w:r>
    </w:p>
    <w:p w:rsidR="000842C2" w:rsidRPr="000842C2" w:rsidRDefault="000842C2" w:rsidP="000842C2">
      <w:pPr>
        <w:tabs>
          <w:tab w:val="left" w:pos="851"/>
        </w:tabs>
        <w:ind w:left="851"/>
        <w:rPr>
          <w:sz w:val="24"/>
          <w:lang w:eastAsia="da-DK"/>
        </w:rPr>
      </w:pPr>
      <w:r w:rsidRPr="000842C2">
        <w:rPr>
          <w:sz w:val="24"/>
          <w:lang w:eastAsia="da-DK"/>
        </w:rPr>
        <w:t>Axel Heides Gade 1</w:t>
      </w:r>
    </w:p>
    <w:p w:rsidR="000842C2" w:rsidRPr="000842C2" w:rsidRDefault="000842C2" w:rsidP="000842C2">
      <w:pPr>
        <w:tabs>
          <w:tab w:val="left" w:pos="851"/>
        </w:tabs>
        <w:ind w:left="851"/>
        <w:rPr>
          <w:sz w:val="24"/>
          <w:lang w:eastAsia="da-DK"/>
        </w:rPr>
      </w:pPr>
      <w:r w:rsidRPr="000842C2">
        <w:rPr>
          <w:sz w:val="24"/>
          <w:lang w:eastAsia="da-DK"/>
        </w:rPr>
        <w:t>DK-2300 København S</w:t>
      </w:r>
    </w:p>
    <w:p w:rsidR="000842C2" w:rsidRPr="000842C2" w:rsidRDefault="000842C2" w:rsidP="000842C2">
      <w:pPr>
        <w:tabs>
          <w:tab w:val="left" w:pos="851"/>
        </w:tabs>
        <w:ind w:left="851"/>
        <w:rPr>
          <w:sz w:val="24"/>
          <w:lang w:eastAsia="da-DK"/>
        </w:rPr>
      </w:pPr>
      <w:r w:rsidRPr="000842C2">
        <w:rPr>
          <w:sz w:val="24"/>
          <w:lang w:eastAsia="da-DK"/>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5870A3" w:rsidRPr="005870A3" w:rsidRDefault="005870A3" w:rsidP="005870A3">
      <w:pPr>
        <w:tabs>
          <w:tab w:val="left" w:pos="851"/>
        </w:tabs>
        <w:ind w:left="851"/>
        <w:rPr>
          <w:sz w:val="24"/>
          <w:lang w:eastAsia="da-DK"/>
        </w:rPr>
      </w:pPr>
    </w:p>
    <w:p w:rsidR="005870A3" w:rsidRPr="005870A3" w:rsidRDefault="005870A3" w:rsidP="005870A3">
      <w:pPr>
        <w:tabs>
          <w:tab w:val="left" w:pos="851"/>
        </w:tabs>
        <w:ind w:left="851"/>
        <w:rPr>
          <w:sz w:val="24"/>
          <w:u w:val="single"/>
          <w:lang w:eastAsia="da-DK"/>
        </w:rPr>
      </w:pPr>
      <w:r w:rsidRPr="005870A3">
        <w:rPr>
          <w:sz w:val="24"/>
          <w:u w:val="single"/>
          <w:lang w:eastAsia="da-DK"/>
        </w:rPr>
        <w:t>Symptomer</w:t>
      </w:r>
    </w:p>
    <w:p w:rsidR="005870A3" w:rsidRPr="005870A3" w:rsidRDefault="005870A3" w:rsidP="005870A3">
      <w:pPr>
        <w:tabs>
          <w:tab w:val="left" w:pos="851"/>
        </w:tabs>
        <w:ind w:left="851"/>
        <w:rPr>
          <w:sz w:val="24"/>
          <w:lang w:eastAsia="da-DK"/>
        </w:rPr>
      </w:pPr>
      <w:r w:rsidRPr="005870A3">
        <w:rPr>
          <w:sz w:val="24"/>
          <w:lang w:eastAsia="da-DK"/>
        </w:rPr>
        <w:t>Forgiftning kan kun forventes i tilfælde af utilsigtet indtagelse af store mængder af benzydamin (&gt;300 mg). Symptomer forbundet med en indtaget overdosis af benzydamin er primært gastrointestinale symptomer og symptomer i centralnervesystemet. De hyppigste gastrointestinale symptomer er kvalme, opkastning, abdominalsmerter og irritation i spiserøret. Symptomer i centralnervesystemet omfatter svimmelhed, hallucinationer, agitation, angst og irritabilitet.</w:t>
      </w:r>
    </w:p>
    <w:p w:rsidR="005870A3" w:rsidRPr="005870A3" w:rsidRDefault="005870A3" w:rsidP="005870A3">
      <w:pPr>
        <w:tabs>
          <w:tab w:val="left" w:pos="851"/>
        </w:tabs>
        <w:ind w:left="851"/>
        <w:rPr>
          <w:sz w:val="24"/>
          <w:lang w:eastAsia="da-DK"/>
        </w:rPr>
      </w:pPr>
      <w:r w:rsidRPr="005870A3">
        <w:rPr>
          <w:sz w:val="24"/>
          <w:lang w:eastAsia="da-DK"/>
        </w:rPr>
        <w:t>Kun symptomatisk behandling er mulig ved akut overdosering. Patienterne bør holdes under tæt observation og der skal gives understøttende behandling. Der skal opretholdes tilstrækkelig væskebalance.</w:t>
      </w:r>
    </w:p>
    <w:p w:rsidR="005870A3" w:rsidRPr="005870A3" w:rsidRDefault="005870A3" w:rsidP="005870A3">
      <w:pPr>
        <w:tabs>
          <w:tab w:val="left" w:pos="851"/>
        </w:tabs>
        <w:ind w:left="851"/>
        <w:rPr>
          <w:sz w:val="24"/>
          <w:lang w:eastAsia="da-DK"/>
        </w:rPr>
      </w:pPr>
    </w:p>
    <w:p w:rsidR="005870A3" w:rsidRPr="005870A3" w:rsidRDefault="005870A3" w:rsidP="005870A3">
      <w:pPr>
        <w:tabs>
          <w:tab w:val="left" w:pos="851"/>
        </w:tabs>
        <w:ind w:left="851"/>
        <w:rPr>
          <w:sz w:val="24"/>
          <w:lang w:eastAsia="da-DK"/>
        </w:rPr>
      </w:pPr>
      <w:r w:rsidRPr="005870A3">
        <w:rPr>
          <w:sz w:val="24"/>
          <w:lang w:eastAsia="da-DK"/>
        </w:rPr>
        <w:t>Tegn og symptomer på forgiftning som følge af indtagelse af betydelige mængder cetylpyridiniumchlorid omfatter kvalme, opkastning, dyspnø, cyanose, asfyksi efter lammelse af åndedrætsmusklerne, CNS-depression, hypotension og koma. Den letale dosis hos mennesker er cirka 1-3 gram.</w:t>
      </w:r>
    </w:p>
    <w:p w:rsidR="005870A3" w:rsidRPr="005870A3" w:rsidRDefault="005870A3" w:rsidP="005870A3">
      <w:pPr>
        <w:tabs>
          <w:tab w:val="left" w:pos="851"/>
        </w:tabs>
        <w:ind w:left="851"/>
        <w:rPr>
          <w:sz w:val="24"/>
          <w:lang w:eastAsia="da-DK"/>
        </w:rPr>
      </w:pPr>
    </w:p>
    <w:p w:rsidR="005870A3" w:rsidRPr="005870A3" w:rsidRDefault="005870A3" w:rsidP="005870A3">
      <w:pPr>
        <w:tabs>
          <w:tab w:val="left" w:pos="851"/>
        </w:tabs>
        <w:ind w:left="851"/>
        <w:rPr>
          <w:sz w:val="24"/>
          <w:u w:val="single"/>
          <w:lang w:eastAsia="da-DK"/>
        </w:rPr>
      </w:pPr>
      <w:r w:rsidRPr="005870A3">
        <w:rPr>
          <w:sz w:val="24"/>
          <w:u w:val="single"/>
          <w:lang w:eastAsia="da-DK"/>
        </w:rPr>
        <w:t>Behandling</w:t>
      </w:r>
    </w:p>
    <w:p w:rsidR="009260DE" w:rsidRPr="00572EA3" w:rsidRDefault="005870A3" w:rsidP="00572EA3">
      <w:pPr>
        <w:tabs>
          <w:tab w:val="left" w:pos="851"/>
        </w:tabs>
        <w:ind w:left="851"/>
        <w:rPr>
          <w:sz w:val="24"/>
          <w:lang w:eastAsia="da-DK"/>
        </w:rPr>
      </w:pPr>
      <w:r w:rsidRPr="005870A3">
        <w:rPr>
          <w:sz w:val="24"/>
          <w:lang w:eastAsia="da-DK"/>
        </w:rPr>
        <w:t>Da der ikke findes nogen specifik antidot, er behandlingen af akut overdosering udelukkende symptomatisk.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136512" w:rsidP="009260DE">
      <w:pPr>
        <w:tabs>
          <w:tab w:val="left" w:pos="851"/>
        </w:tabs>
        <w:ind w:left="851"/>
        <w:rPr>
          <w:sz w:val="24"/>
          <w:szCs w:val="24"/>
        </w:rPr>
      </w:pPr>
      <w:r>
        <w:rPr>
          <w:sz w:val="24"/>
          <w:szCs w:val="24"/>
        </w:rPr>
        <w:t>HA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9440C6" w:rsidRDefault="009440C6" w:rsidP="009440C6">
      <w:pPr>
        <w:tabs>
          <w:tab w:val="left" w:pos="851"/>
        </w:tabs>
        <w:ind w:left="851"/>
        <w:rPr>
          <w:sz w:val="24"/>
          <w:lang w:eastAsia="da-DK"/>
        </w:rPr>
      </w:pPr>
      <w:r w:rsidRPr="009440C6">
        <w:rPr>
          <w:sz w:val="24"/>
          <w:lang w:eastAsia="da-DK"/>
        </w:rPr>
        <w:t>ATC-kode: R</w:t>
      </w:r>
      <w:r>
        <w:rPr>
          <w:sz w:val="24"/>
          <w:lang w:eastAsia="da-DK"/>
        </w:rPr>
        <w:t xml:space="preserve"> </w:t>
      </w:r>
      <w:r w:rsidRPr="009440C6">
        <w:rPr>
          <w:sz w:val="24"/>
          <w:lang w:eastAsia="da-DK"/>
        </w:rPr>
        <w:t>02</w:t>
      </w:r>
      <w:r>
        <w:rPr>
          <w:sz w:val="24"/>
          <w:lang w:eastAsia="da-DK"/>
        </w:rPr>
        <w:t xml:space="preserve"> </w:t>
      </w:r>
      <w:r w:rsidRPr="009440C6">
        <w:rPr>
          <w:sz w:val="24"/>
          <w:lang w:eastAsia="da-DK"/>
        </w:rPr>
        <w:t>AX</w:t>
      </w:r>
      <w:r>
        <w:rPr>
          <w:sz w:val="24"/>
          <w:lang w:eastAsia="da-DK"/>
        </w:rPr>
        <w:t xml:space="preserve"> </w:t>
      </w:r>
      <w:r w:rsidRPr="009440C6">
        <w:rPr>
          <w:sz w:val="24"/>
          <w:lang w:eastAsia="da-DK"/>
        </w:rPr>
        <w:t>03. Halsmidler, andre halsmidler.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83F50" w:rsidRPr="00483F50" w:rsidRDefault="00483F50" w:rsidP="00483F50">
      <w:pPr>
        <w:keepNext/>
        <w:tabs>
          <w:tab w:val="left" w:pos="851"/>
        </w:tabs>
        <w:ind w:left="851"/>
        <w:rPr>
          <w:sz w:val="24"/>
          <w:lang w:eastAsia="da-DK"/>
        </w:rPr>
      </w:pPr>
    </w:p>
    <w:p w:rsidR="00483F50" w:rsidRPr="00483F50" w:rsidRDefault="00483F50" w:rsidP="00483F50">
      <w:pPr>
        <w:tabs>
          <w:tab w:val="left" w:pos="851"/>
        </w:tabs>
        <w:ind w:left="851"/>
        <w:rPr>
          <w:sz w:val="24"/>
          <w:u w:val="single"/>
          <w:lang w:eastAsia="da-DK"/>
        </w:rPr>
      </w:pPr>
      <w:r w:rsidRPr="00483F50">
        <w:rPr>
          <w:sz w:val="24"/>
          <w:u w:val="single"/>
          <w:lang w:eastAsia="da-DK"/>
        </w:rPr>
        <w:t>Virkningsmekanisme</w:t>
      </w:r>
    </w:p>
    <w:p w:rsidR="00483F50" w:rsidRPr="00483F50" w:rsidRDefault="00483F50" w:rsidP="00483F50">
      <w:pPr>
        <w:tabs>
          <w:tab w:val="left" w:pos="851"/>
        </w:tabs>
        <w:ind w:left="851"/>
        <w:rPr>
          <w:sz w:val="24"/>
          <w:lang w:eastAsia="da-DK"/>
        </w:rPr>
      </w:pPr>
      <w:r w:rsidRPr="00483F50">
        <w:rPr>
          <w:sz w:val="24"/>
          <w:lang w:eastAsia="da-DK"/>
        </w:rPr>
        <w:t>Benzydaminhydrochlorid er et molekyle med en non-steroid kemisk struktur med antiinflammatoriske og analgetiske egenskaber. Virkningsmekanismen synes at skyldes hæmningen af prostaglandinsyntese og derigennem reduktion af lokale tegn på inflammation (såsom smerte, rødme, hævelse, varme og nedsat funktion). Cetylpyridiniumchlorid er et kationisk antiseptika, der tilhører gruppen af kvartære ammoniumsalte.</w:t>
      </w:r>
    </w:p>
    <w:p w:rsidR="00483F50" w:rsidRPr="00483F50" w:rsidRDefault="00483F50" w:rsidP="00483F50">
      <w:pPr>
        <w:tabs>
          <w:tab w:val="left" w:pos="851"/>
        </w:tabs>
        <w:ind w:left="851"/>
        <w:rPr>
          <w:sz w:val="24"/>
          <w:lang w:eastAsia="da-DK"/>
        </w:rPr>
      </w:pPr>
    </w:p>
    <w:p w:rsidR="00483F50" w:rsidRPr="00483F50" w:rsidRDefault="00483F50" w:rsidP="00483F50">
      <w:pPr>
        <w:tabs>
          <w:tab w:val="left" w:pos="851"/>
        </w:tabs>
        <w:ind w:left="851"/>
        <w:rPr>
          <w:sz w:val="24"/>
          <w:u w:val="single"/>
          <w:lang w:eastAsia="da-DK"/>
        </w:rPr>
      </w:pPr>
      <w:r w:rsidRPr="00483F50">
        <w:rPr>
          <w:sz w:val="24"/>
          <w:u w:val="single"/>
          <w:lang w:eastAsia="da-DK"/>
        </w:rPr>
        <w:t>Klinisk virkning og sikkerhed</w:t>
      </w:r>
    </w:p>
    <w:p w:rsidR="009260DE" w:rsidRPr="00483F50" w:rsidRDefault="00483F50" w:rsidP="00483F50">
      <w:pPr>
        <w:tabs>
          <w:tab w:val="left" w:pos="851"/>
        </w:tabs>
        <w:ind w:left="851"/>
        <w:rPr>
          <w:sz w:val="24"/>
          <w:lang w:eastAsia="da-DK"/>
        </w:rPr>
      </w:pPr>
      <w:r w:rsidRPr="00483F50">
        <w:rPr>
          <w:sz w:val="24"/>
          <w:lang w:eastAsia="da-DK"/>
        </w:rPr>
        <w:t xml:space="preserve">Benzydamin anvendes hovedsageligt til behandling af lidelser i mundhulen og svælget. Cetylpyridiniumchlorid er aktivt mod grampositive bakterier og mindre aktivt mod </w:t>
      </w:r>
      <w:r w:rsidRPr="00483F50">
        <w:rPr>
          <w:sz w:val="24"/>
          <w:lang w:eastAsia="da-DK"/>
        </w:rPr>
        <w:lastRenderedPageBreak/>
        <w:t>gramnegative bakterier og udøver derfor en optimal antiseptisk og bakteriedræbende virkning. Det har også antifungale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677044" w:rsidRPr="00677044" w:rsidRDefault="00677044" w:rsidP="00677044">
      <w:pPr>
        <w:tabs>
          <w:tab w:val="left" w:pos="851"/>
        </w:tabs>
        <w:ind w:left="851"/>
        <w:rPr>
          <w:sz w:val="24"/>
          <w:lang w:eastAsia="da-DK"/>
        </w:rPr>
      </w:pPr>
    </w:p>
    <w:p w:rsidR="00677044" w:rsidRPr="00677044" w:rsidRDefault="00677044" w:rsidP="00677044">
      <w:pPr>
        <w:tabs>
          <w:tab w:val="left" w:pos="851"/>
        </w:tabs>
        <w:ind w:left="851"/>
        <w:rPr>
          <w:sz w:val="24"/>
          <w:u w:val="single"/>
          <w:lang w:eastAsia="da-DK"/>
        </w:rPr>
      </w:pPr>
      <w:r w:rsidRPr="00677044">
        <w:rPr>
          <w:sz w:val="24"/>
          <w:u w:val="single"/>
          <w:lang w:eastAsia="da-DK"/>
        </w:rPr>
        <w:t>Absorption</w:t>
      </w:r>
    </w:p>
    <w:p w:rsidR="00677044" w:rsidRPr="00677044" w:rsidRDefault="00677044" w:rsidP="00677044">
      <w:pPr>
        <w:tabs>
          <w:tab w:val="left" w:pos="851"/>
        </w:tabs>
        <w:ind w:left="851"/>
        <w:rPr>
          <w:sz w:val="24"/>
          <w:lang w:eastAsia="da-DK"/>
        </w:rPr>
      </w:pPr>
      <w:r w:rsidRPr="00677044">
        <w:rPr>
          <w:sz w:val="24"/>
          <w:lang w:eastAsia="da-DK"/>
        </w:rPr>
        <w:t>Af de to aktive stoffer, cetylpyridinium og benzydamin, er det kun benzydamin, der absorberes. Cetylpyridinium giver derfor ikke anledning til farmakokinetiske interaktioner med benzydamin på systemisk niveau.</w:t>
      </w:r>
    </w:p>
    <w:p w:rsidR="00677044" w:rsidRPr="00677044" w:rsidRDefault="00677044" w:rsidP="00677044">
      <w:pPr>
        <w:tabs>
          <w:tab w:val="left" w:pos="851"/>
        </w:tabs>
        <w:ind w:left="851"/>
        <w:rPr>
          <w:sz w:val="24"/>
          <w:lang w:eastAsia="da-DK"/>
        </w:rPr>
      </w:pPr>
      <w:r w:rsidRPr="00677044">
        <w:rPr>
          <w:sz w:val="24"/>
          <w:lang w:eastAsia="da-DK"/>
        </w:rPr>
        <w:t>Absorptionen af benzydamin gennem slimhinderne i munden og svælget er påvist ved tilstedeværelse af detekterbare mængder af det aktive stof i serum, disse mængder er dog utilstrækkelige til at forårsage systemisk påvirkning.</w:t>
      </w:r>
    </w:p>
    <w:p w:rsidR="00677044" w:rsidRPr="00677044" w:rsidRDefault="00677044" w:rsidP="00677044">
      <w:pPr>
        <w:tabs>
          <w:tab w:val="left" w:pos="851"/>
        </w:tabs>
        <w:ind w:left="851"/>
        <w:rPr>
          <w:sz w:val="24"/>
          <w:lang w:eastAsia="da-DK"/>
        </w:rPr>
      </w:pPr>
      <w:r w:rsidRPr="00677044">
        <w:rPr>
          <w:sz w:val="24"/>
          <w:lang w:eastAsia="da-DK"/>
        </w:rPr>
        <w:t>Benzydamin absorberes, når det administreres systemisk. Absorptionen af benzydamin er derfor højere med lægemiddelformer, der opløses i munden sammenlignet med den topikale administrationsvej (mundhulespray). Derudover er absorptionen af benzydamin fra mundhulespray ved de anbefalede doser ubetydelig.</w:t>
      </w:r>
    </w:p>
    <w:p w:rsidR="00677044" w:rsidRPr="00677044" w:rsidRDefault="00677044" w:rsidP="00677044">
      <w:pPr>
        <w:tabs>
          <w:tab w:val="left" w:pos="851"/>
        </w:tabs>
        <w:ind w:left="851"/>
        <w:rPr>
          <w:sz w:val="24"/>
          <w:lang w:eastAsia="da-DK"/>
        </w:rPr>
      </w:pPr>
    </w:p>
    <w:p w:rsidR="00677044" w:rsidRPr="00677044" w:rsidRDefault="00677044" w:rsidP="00677044">
      <w:pPr>
        <w:tabs>
          <w:tab w:val="left" w:pos="851"/>
        </w:tabs>
        <w:ind w:left="851"/>
        <w:rPr>
          <w:sz w:val="24"/>
          <w:u w:val="single"/>
          <w:lang w:eastAsia="da-DK"/>
        </w:rPr>
      </w:pPr>
      <w:r w:rsidRPr="00677044">
        <w:rPr>
          <w:sz w:val="24"/>
          <w:u w:val="single"/>
          <w:lang w:eastAsia="da-DK"/>
        </w:rPr>
        <w:t>Fordeling</w:t>
      </w:r>
    </w:p>
    <w:p w:rsidR="00677044" w:rsidRPr="00677044" w:rsidRDefault="00677044" w:rsidP="00677044">
      <w:pPr>
        <w:tabs>
          <w:tab w:val="left" w:pos="851"/>
        </w:tabs>
        <w:ind w:left="851"/>
        <w:rPr>
          <w:sz w:val="24"/>
          <w:lang w:eastAsia="da-DK"/>
        </w:rPr>
      </w:pPr>
      <w:r w:rsidRPr="00677044">
        <w:rPr>
          <w:sz w:val="24"/>
          <w:lang w:eastAsia="da-DK"/>
        </w:rPr>
        <w:t>Fordelingsvolumenet er det samme for alle lægemiddelformer.</w:t>
      </w:r>
    </w:p>
    <w:p w:rsidR="00677044" w:rsidRPr="00677044" w:rsidRDefault="00677044" w:rsidP="00677044">
      <w:pPr>
        <w:tabs>
          <w:tab w:val="left" w:pos="851"/>
        </w:tabs>
        <w:ind w:left="851"/>
        <w:rPr>
          <w:sz w:val="24"/>
          <w:lang w:eastAsia="da-DK"/>
        </w:rPr>
      </w:pPr>
    </w:p>
    <w:p w:rsidR="00677044" w:rsidRPr="00677044" w:rsidRDefault="00677044" w:rsidP="00677044">
      <w:pPr>
        <w:tabs>
          <w:tab w:val="left" w:pos="851"/>
        </w:tabs>
        <w:ind w:left="851"/>
        <w:rPr>
          <w:sz w:val="24"/>
          <w:u w:val="single"/>
          <w:lang w:eastAsia="da-DK"/>
        </w:rPr>
      </w:pPr>
      <w:r w:rsidRPr="00677044">
        <w:rPr>
          <w:sz w:val="24"/>
          <w:u w:val="single"/>
          <w:lang w:eastAsia="da-DK"/>
        </w:rPr>
        <w:t>Elimination</w:t>
      </w:r>
    </w:p>
    <w:p w:rsidR="009260DE" w:rsidRPr="00677044" w:rsidRDefault="00677044" w:rsidP="00677044">
      <w:pPr>
        <w:tabs>
          <w:tab w:val="left" w:pos="851"/>
        </w:tabs>
        <w:ind w:left="851"/>
        <w:rPr>
          <w:sz w:val="24"/>
          <w:lang w:eastAsia="da-DK"/>
        </w:rPr>
      </w:pPr>
      <w:r w:rsidRPr="00677044">
        <w:rPr>
          <w:sz w:val="24"/>
          <w:lang w:eastAsia="da-DK"/>
        </w:rPr>
        <w:t>Udskillelsen sker primært med urinen og især i form af inaktive metabolitter. Halveringstiden og den systemiske clearance en den samme for alle lægemiddelformer.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260DE" w:rsidRPr="008A2B80" w:rsidRDefault="008A2B80" w:rsidP="008A2B80">
      <w:pPr>
        <w:tabs>
          <w:tab w:val="left" w:pos="851"/>
        </w:tabs>
        <w:ind w:left="851"/>
        <w:rPr>
          <w:sz w:val="24"/>
          <w:lang w:eastAsia="da-DK"/>
        </w:rPr>
      </w:pPr>
      <w:r w:rsidRPr="008A2B80">
        <w:rPr>
          <w:sz w:val="24"/>
          <w:lang w:eastAsia="da-DK"/>
        </w:rPr>
        <w:t>Præ-kliniske data viser ingen speciel risiko for mennesker vurderet ud fra konventionelle studier af sikkerhedsfarmakologi, toksicitet efter gentagne doser, genotoksicitet, reproduktions- og udviklingstoksicitet.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4A5081" w:rsidRPr="004A5081" w:rsidRDefault="004A5081" w:rsidP="004A5081">
      <w:pPr>
        <w:tabs>
          <w:tab w:val="left" w:pos="851"/>
        </w:tabs>
        <w:ind w:left="851"/>
        <w:rPr>
          <w:sz w:val="24"/>
          <w:lang w:eastAsia="da-DK"/>
        </w:rPr>
      </w:pPr>
      <w:r w:rsidRPr="004A5081">
        <w:rPr>
          <w:sz w:val="24"/>
          <w:lang w:eastAsia="da-DK"/>
        </w:rPr>
        <w:t>Ethanol (96 %)</w:t>
      </w:r>
    </w:p>
    <w:p w:rsidR="004A5081" w:rsidRPr="004A5081" w:rsidRDefault="004A5081" w:rsidP="004A5081">
      <w:pPr>
        <w:tabs>
          <w:tab w:val="left" w:pos="851"/>
        </w:tabs>
        <w:ind w:left="851"/>
        <w:rPr>
          <w:sz w:val="24"/>
          <w:lang w:eastAsia="da-DK"/>
        </w:rPr>
      </w:pPr>
      <w:r w:rsidRPr="004A5081">
        <w:rPr>
          <w:sz w:val="24"/>
          <w:lang w:eastAsia="da-DK"/>
        </w:rPr>
        <w:t>Glycerol (E 422)</w:t>
      </w:r>
    </w:p>
    <w:p w:rsidR="004A5081" w:rsidRPr="004A5081" w:rsidRDefault="004A5081" w:rsidP="004A5081">
      <w:pPr>
        <w:tabs>
          <w:tab w:val="left" w:pos="851"/>
        </w:tabs>
        <w:ind w:left="851"/>
        <w:rPr>
          <w:sz w:val="24"/>
          <w:lang w:eastAsia="da-DK"/>
        </w:rPr>
      </w:pPr>
      <w:r w:rsidRPr="004A5081">
        <w:rPr>
          <w:sz w:val="24"/>
          <w:lang w:eastAsia="da-DK"/>
        </w:rPr>
        <w:t>Ricinusolie, polyoxyleret, hydrogeneret</w:t>
      </w:r>
    </w:p>
    <w:p w:rsidR="004A5081" w:rsidRPr="004A5081" w:rsidRDefault="004A5081" w:rsidP="004A5081">
      <w:pPr>
        <w:tabs>
          <w:tab w:val="left" w:pos="851"/>
        </w:tabs>
        <w:ind w:left="851"/>
        <w:rPr>
          <w:sz w:val="24"/>
          <w:lang w:eastAsia="da-DK"/>
        </w:rPr>
      </w:pPr>
      <w:r w:rsidRPr="004A5081">
        <w:rPr>
          <w:sz w:val="24"/>
          <w:lang w:eastAsia="da-DK"/>
        </w:rPr>
        <w:t>Saccharinnatrium (E 954)</w:t>
      </w:r>
    </w:p>
    <w:p w:rsidR="004A5081" w:rsidRPr="004A5081" w:rsidRDefault="004A5081" w:rsidP="004A5081">
      <w:pPr>
        <w:tabs>
          <w:tab w:val="left" w:pos="851"/>
        </w:tabs>
        <w:ind w:left="851"/>
        <w:rPr>
          <w:sz w:val="24"/>
          <w:lang w:eastAsia="da-DK"/>
        </w:rPr>
      </w:pPr>
      <w:r w:rsidRPr="004A5081">
        <w:rPr>
          <w:sz w:val="24"/>
          <w:lang w:eastAsia="da-DK"/>
        </w:rPr>
        <w:t>Pebermynteolie</w:t>
      </w:r>
    </w:p>
    <w:p w:rsidR="009260DE" w:rsidRPr="004A5081" w:rsidRDefault="004A5081" w:rsidP="004A5081">
      <w:pPr>
        <w:tabs>
          <w:tab w:val="left" w:pos="851"/>
        </w:tabs>
        <w:ind w:left="851"/>
        <w:rPr>
          <w:sz w:val="24"/>
          <w:lang w:eastAsia="da-DK"/>
        </w:rPr>
      </w:pPr>
      <w:r w:rsidRPr="004A5081">
        <w:rPr>
          <w:sz w:val="24"/>
          <w:lang w:eastAsia="da-DK"/>
        </w:rPr>
        <w:t>Renset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4A5081" w:rsidRPr="004A5081" w:rsidRDefault="004A5081" w:rsidP="004A5081">
      <w:pPr>
        <w:tabs>
          <w:tab w:val="left" w:pos="851"/>
        </w:tabs>
        <w:ind w:left="851"/>
        <w:rPr>
          <w:sz w:val="24"/>
          <w:lang w:eastAsia="da-DK"/>
        </w:rPr>
      </w:pPr>
      <w:r w:rsidRPr="004A5081">
        <w:rPr>
          <w:sz w:val="24"/>
          <w:lang w:eastAsia="da-DK"/>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4A5081" w:rsidRPr="004A5081" w:rsidRDefault="004A5081" w:rsidP="004A5081">
      <w:pPr>
        <w:tabs>
          <w:tab w:val="left" w:pos="851"/>
        </w:tabs>
        <w:ind w:left="851"/>
        <w:rPr>
          <w:sz w:val="24"/>
          <w:lang w:eastAsia="da-DK"/>
        </w:rPr>
      </w:pPr>
      <w:r w:rsidRPr="004A5081">
        <w:rPr>
          <w:sz w:val="24"/>
          <w:lang w:eastAsia="da-DK"/>
        </w:rPr>
        <w:t>3 år.</w:t>
      </w:r>
    </w:p>
    <w:p w:rsidR="004A5081" w:rsidRPr="004A5081" w:rsidRDefault="004A5081" w:rsidP="004A5081">
      <w:pPr>
        <w:tabs>
          <w:tab w:val="left" w:pos="851"/>
        </w:tabs>
        <w:ind w:left="851"/>
        <w:rPr>
          <w:sz w:val="24"/>
          <w:lang w:eastAsia="da-DK"/>
        </w:rPr>
      </w:pPr>
    </w:p>
    <w:p w:rsidR="009260DE" w:rsidRPr="00C302BF" w:rsidRDefault="004A5081" w:rsidP="00C302BF">
      <w:pPr>
        <w:tabs>
          <w:tab w:val="left" w:pos="851"/>
        </w:tabs>
        <w:ind w:left="851"/>
        <w:rPr>
          <w:sz w:val="24"/>
          <w:lang w:eastAsia="da-DK"/>
        </w:rPr>
      </w:pPr>
      <w:r w:rsidRPr="004A5081">
        <w:rPr>
          <w:sz w:val="24"/>
          <w:lang w:eastAsia="da-DK"/>
        </w:rPr>
        <w:t>Efter første åbning af beholderen skal produktet anvendes inden for 12 måneder, hvis det opbevares ved temperaturer under 25 °C.</w:t>
      </w:r>
    </w:p>
    <w:p w:rsidR="00C302BF" w:rsidRDefault="00C302B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302BF" w:rsidRPr="00C302BF" w:rsidRDefault="00C302BF" w:rsidP="00C302BF">
      <w:pPr>
        <w:tabs>
          <w:tab w:val="left" w:pos="851"/>
        </w:tabs>
        <w:ind w:left="851"/>
        <w:rPr>
          <w:sz w:val="24"/>
          <w:lang w:eastAsia="da-DK"/>
        </w:rPr>
      </w:pPr>
      <w:r w:rsidRPr="00C302BF">
        <w:rPr>
          <w:sz w:val="24"/>
          <w:lang w:eastAsia="da-DK"/>
        </w:rPr>
        <w:t>Må ikke opbevares ved temperaturer over 25 °C.</w:t>
      </w:r>
    </w:p>
    <w:p w:rsidR="00C302BF" w:rsidRPr="00C302BF" w:rsidRDefault="00C302BF" w:rsidP="00C302BF">
      <w:pPr>
        <w:tabs>
          <w:tab w:val="left" w:pos="851"/>
        </w:tabs>
        <w:ind w:left="851"/>
        <w:rPr>
          <w:sz w:val="24"/>
          <w:lang w:eastAsia="da-DK"/>
        </w:rPr>
      </w:pPr>
    </w:p>
    <w:p w:rsidR="009260DE" w:rsidRPr="00C302BF" w:rsidRDefault="00C302BF" w:rsidP="00C302BF">
      <w:pPr>
        <w:tabs>
          <w:tab w:val="left" w:pos="851"/>
        </w:tabs>
        <w:ind w:left="851"/>
        <w:rPr>
          <w:sz w:val="24"/>
          <w:lang w:eastAsia="da-DK"/>
        </w:rPr>
      </w:pPr>
      <w:r w:rsidRPr="00C302BF">
        <w:rPr>
          <w:sz w:val="24"/>
          <w:lang w:eastAsia="da-DK"/>
        </w:rPr>
        <w:t>For opbevaringsforhold efter første åbning 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810FFF" w:rsidRDefault="00485751" w:rsidP="00485751">
      <w:pPr>
        <w:tabs>
          <w:tab w:val="left" w:pos="851"/>
        </w:tabs>
        <w:ind w:left="851"/>
        <w:rPr>
          <w:sz w:val="24"/>
          <w:lang w:eastAsia="da-DK"/>
        </w:rPr>
      </w:pPr>
      <w:r w:rsidRPr="00485751">
        <w:rPr>
          <w:sz w:val="24"/>
          <w:lang w:eastAsia="da-DK"/>
        </w:rPr>
        <w:t>Spraybeholder af plastic (HDPE) med hvid spraypumpe med aktuator og blå plastichætte (PP)</w:t>
      </w:r>
      <w:r w:rsidR="00810FFF">
        <w:rPr>
          <w:sz w:val="24"/>
          <w:lang w:eastAsia="da-DK"/>
        </w:rPr>
        <w:t>, i æske.</w:t>
      </w:r>
      <w:r w:rsidR="001766D5">
        <w:rPr>
          <w:sz w:val="24"/>
          <w:lang w:eastAsia="da-DK"/>
        </w:rPr>
        <w:t xml:space="preserve"> </w:t>
      </w:r>
      <w:r w:rsidR="00810FFF" w:rsidRPr="00485751">
        <w:rPr>
          <w:sz w:val="24"/>
          <w:lang w:eastAsia="da-DK"/>
        </w:rPr>
        <w:t>30 ml mundhulespray, opløsning afgiver 250 pust.</w:t>
      </w:r>
    </w:p>
    <w:p w:rsidR="00485751" w:rsidRDefault="00485751" w:rsidP="00485751">
      <w:pPr>
        <w:tabs>
          <w:tab w:val="left" w:pos="851"/>
        </w:tabs>
        <w:ind w:left="851"/>
        <w:rPr>
          <w:sz w:val="24"/>
          <w:lang w:eastAsia="da-DK"/>
        </w:rPr>
      </w:pPr>
    </w:p>
    <w:p w:rsidR="009260DE" w:rsidRDefault="00485751" w:rsidP="00810FFF">
      <w:pPr>
        <w:tabs>
          <w:tab w:val="left" w:pos="851"/>
        </w:tabs>
        <w:ind w:left="851"/>
        <w:rPr>
          <w:sz w:val="24"/>
          <w:lang w:eastAsia="da-DK"/>
        </w:rPr>
      </w:pPr>
      <w:r>
        <w:rPr>
          <w:sz w:val="24"/>
          <w:lang w:eastAsia="da-DK"/>
        </w:rPr>
        <w:t>Pakningsstørrelser</w:t>
      </w:r>
      <w:r w:rsidRPr="00485751">
        <w:rPr>
          <w:sz w:val="24"/>
          <w:lang w:eastAsia="da-DK"/>
        </w:rPr>
        <w:t xml:space="preserve">: </w:t>
      </w:r>
      <w:bookmarkStart w:id="6" w:name="_Hlk72130124"/>
      <w:r w:rsidRPr="00485751">
        <w:rPr>
          <w:sz w:val="24"/>
          <w:lang w:eastAsia="da-DK"/>
        </w:rPr>
        <w:t>30 ml</w:t>
      </w:r>
      <w:bookmarkEnd w:id="6"/>
      <w:r w:rsidR="001766D5">
        <w:rPr>
          <w:sz w:val="24"/>
          <w:lang w:eastAsia="da-DK"/>
        </w:rPr>
        <w:t>.</w:t>
      </w:r>
    </w:p>
    <w:p w:rsidR="008B0DA1" w:rsidRPr="00810FFF" w:rsidRDefault="008B0DA1" w:rsidP="00810FFF">
      <w:pPr>
        <w:tabs>
          <w:tab w:val="left" w:pos="851"/>
        </w:tabs>
        <w:ind w:left="851"/>
        <w:rPr>
          <w:sz w:val="24"/>
          <w:lang w:eastAsia="da-DK"/>
        </w:rPr>
      </w:pPr>
      <w:r>
        <w:rPr>
          <w:sz w:val="24"/>
          <w:lang w:eastAsia="da-DK"/>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36C69" w:rsidRDefault="00936C69" w:rsidP="00936C69">
      <w:pPr>
        <w:tabs>
          <w:tab w:val="left" w:pos="851"/>
        </w:tabs>
        <w:ind w:left="851"/>
        <w:rPr>
          <w:sz w:val="24"/>
          <w:lang w:eastAsia="da-DK"/>
        </w:rPr>
      </w:pPr>
      <w:r w:rsidRPr="00936C69">
        <w:rPr>
          <w:sz w:val="24"/>
          <w:lang w:eastAsia="da-DK"/>
        </w:rPr>
        <w:t>Ingen særlige forholdsregler.</w:t>
      </w:r>
    </w:p>
    <w:p w:rsidR="00936C69" w:rsidRPr="00936C69" w:rsidRDefault="00936C69" w:rsidP="00936C69">
      <w:pPr>
        <w:tabs>
          <w:tab w:val="left" w:pos="851"/>
        </w:tabs>
        <w:ind w:left="851"/>
        <w:rPr>
          <w:sz w:val="24"/>
          <w:lang w:eastAsia="da-DK"/>
        </w:rPr>
      </w:pPr>
    </w:p>
    <w:p w:rsidR="009260DE" w:rsidRPr="00936C69" w:rsidRDefault="00936C69" w:rsidP="00936C69">
      <w:pPr>
        <w:tabs>
          <w:tab w:val="left" w:pos="851"/>
        </w:tabs>
        <w:ind w:left="851"/>
        <w:rPr>
          <w:sz w:val="24"/>
          <w:lang w:eastAsia="da-DK"/>
        </w:rPr>
      </w:pPr>
      <w:r w:rsidRPr="00936C69">
        <w:rPr>
          <w:sz w:val="24"/>
          <w:lang w:eastAsia="da-DK"/>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F6273" w:rsidRPr="008F6273" w:rsidRDefault="008F6273" w:rsidP="008F6273">
      <w:pPr>
        <w:tabs>
          <w:tab w:val="left" w:pos="851"/>
        </w:tabs>
        <w:ind w:left="851"/>
        <w:rPr>
          <w:sz w:val="24"/>
          <w:lang w:eastAsia="da-DK"/>
        </w:rPr>
      </w:pPr>
      <w:bookmarkStart w:id="7" w:name="_Hlk72077826"/>
      <w:r w:rsidRPr="008F6273">
        <w:rPr>
          <w:sz w:val="24"/>
          <w:lang w:eastAsia="da-DK"/>
        </w:rPr>
        <w:t>Krka, d.d., Novo mesto</w:t>
      </w:r>
    </w:p>
    <w:p w:rsidR="008F6273" w:rsidRPr="008F6273" w:rsidRDefault="008F6273" w:rsidP="008F6273">
      <w:pPr>
        <w:tabs>
          <w:tab w:val="left" w:pos="851"/>
        </w:tabs>
        <w:ind w:left="851"/>
        <w:rPr>
          <w:sz w:val="24"/>
          <w:lang w:eastAsia="da-DK"/>
        </w:rPr>
      </w:pPr>
      <w:r w:rsidRPr="008F6273">
        <w:rPr>
          <w:sz w:val="24"/>
          <w:lang w:eastAsia="da-DK"/>
        </w:rPr>
        <w:t>Šmarješka cesta 6</w:t>
      </w:r>
    </w:p>
    <w:p w:rsidR="008F6273" w:rsidRPr="008F6273" w:rsidRDefault="008F6273" w:rsidP="008F6273">
      <w:pPr>
        <w:tabs>
          <w:tab w:val="left" w:pos="851"/>
        </w:tabs>
        <w:ind w:left="851"/>
        <w:rPr>
          <w:sz w:val="24"/>
          <w:lang w:eastAsia="da-DK"/>
        </w:rPr>
      </w:pPr>
      <w:r w:rsidRPr="008F6273">
        <w:rPr>
          <w:sz w:val="24"/>
          <w:lang w:eastAsia="da-DK"/>
        </w:rPr>
        <w:t>8501 Novo mesto</w:t>
      </w:r>
    </w:p>
    <w:p w:rsidR="008F6273" w:rsidRPr="008F6273" w:rsidRDefault="008F6273" w:rsidP="008F6273">
      <w:pPr>
        <w:tabs>
          <w:tab w:val="left" w:pos="851"/>
        </w:tabs>
        <w:ind w:left="851"/>
        <w:rPr>
          <w:sz w:val="24"/>
          <w:lang w:eastAsia="da-DK"/>
        </w:rPr>
      </w:pPr>
      <w:r w:rsidRPr="008F6273">
        <w:rPr>
          <w:sz w:val="24"/>
          <w:lang w:eastAsia="da-DK"/>
        </w:rPr>
        <w:t>Slovenien</w:t>
      </w:r>
    </w:p>
    <w:p w:rsidR="008F6273" w:rsidRPr="008F6273" w:rsidRDefault="008F6273" w:rsidP="008F6273">
      <w:pPr>
        <w:tabs>
          <w:tab w:val="left" w:pos="851"/>
        </w:tabs>
        <w:ind w:left="851"/>
        <w:rPr>
          <w:sz w:val="24"/>
          <w:lang w:eastAsia="da-DK"/>
        </w:rPr>
      </w:pPr>
    </w:p>
    <w:p w:rsidR="008F6273" w:rsidRPr="008F6273" w:rsidRDefault="008F6273" w:rsidP="008F6273">
      <w:pPr>
        <w:tabs>
          <w:tab w:val="left" w:pos="851"/>
        </w:tabs>
        <w:ind w:left="851"/>
        <w:rPr>
          <w:b/>
          <w:sz w:val="24"/>
          <w:szCs w:val="24"/>
          <w:lang w:eastAsia="da-DK"/>
        </w:rPr>
      </w:pPr>
      <w:r w:rsidRPr="008F6273">
        <w:rPr>
          <w:b/>
          <w:sz w:val="24"/>
          <w:szCs w:val="24"/>
          <w:lang w:eastAsia="da-DK"/>
        </w:rPr>
        <w:t>Repræsentant</w:t>
      </w:r>
    </w:p>
    <w:p w:rsidR="008F6273" w:rsidRPr="008F6273" w:rsidRDefault="008F6273" w:rsidP="008F6273">
      <w:pPr>
        <w:tabs>
          <w:tab w:val="left" w:pos="851"/>
        </w:tabs>
        <w:ind w:left="851"/>
        <w:rPr>
          <w:sz w:val="24"/>
          <w:lang w:eastAsia="da-DK"/>
        </w:rPr>
      </w:pPr>
      <w:r w:rsidRPr="008F6273">
        <w:rPr>
          <w:sz w:val="24"/>
          <w:szCs w:val="24"/>
          <w:lang w:eastAsia="da-DK"/>
        </w:rPr>
        <w:t>KRKA Sverige AB</w:t>
      </w:r>
    </w:p>
    <w:p w:rsidR="008F6273" w:rsidRDefault="008F6273" w:rsidP="008F6273">
      <w:pPr>
        <w:tabs>
          <w:tab w:val="left" w:pos="851"/>
        </w:tabs>
        <w:ind w:left="851"/>
        <w:rPr>
          <w:sz w:val="24"/>
          <w:szCs w:val="24"/>
          <w:lang w:eastAsia="da-DK"/>
        </w:rPr>
      </w:pPr>
      <w:r w:rsidRPr="008F6273">
        <w:rPr>
          <w:sz w:val="24"/>
          <w:szCs w:val="24"/>
          <w:lang w:eastAsia="da-DK"/>
        </w:rPr>
        <w:t>Göta Ark 175</w:t>
      </w:r>
    </w:p>
    <w:p w:rsidR="00F239EA" w:rsidRPr="008F6273" w:rsidRDefault="00F239EA" w:rsidP="008F6273">
      <w:pPr>
        <w:tabs>
          <w:tab w:val="left" w:pos="851"/>
        </w:tabs>
        <w:ind w:left="851"/>
        <w:rPr>
          <w:sz w:val="24"/>
          <w:szCs w:val="24"/>
          <w:lang w:eastAsia="da-DK"/>
        </w:rPr>
      </w:pPr>
      <w:r w:rsidRPr="00F239EA">
        <w:rPr>
          <w:sz w:val="24"/>
          <w:szCs w:val="24"/>
          <w:lang w:eastAsia="da-DK"/>
        </w:rPr>
        <w:t>Medborgarplatsen 25</w:t>
      </w:r>
    </w:p>
    <w:p w:rsidR="008F6273" w:rsidRPr="008F6273" w:rsidRDefault="008F6273" w:rsidP="008F6273">
      <w:pPr>
        <w:tabs>
          <w:tab w:val="left" w:pos="851"/>
        </w:tabs>
        <w:ind w:left="851"/>
        <w:rPr>
          <w:sz w:val="24"/>
          <w:szCs w:val="24"/>
          <w:lang w:eastAsia="da-DK"/>
        </w:rPr>
      </w:pPr>
      <w:r w:rsidRPr="008F6273">
        <w:rPr>
          <w:sz w:val="24"/>
          <w:szCs w:val="24"/>
          <w:lang w:eastAsia="da-DK"/>
        </w:rPr>
        <w:t>118 72 Stockholm</w:t>
      </w:r>
    </w:p>
    <w:p w:rsidR="009260DE" w:rsidRPr="00F239EA" w:rsidRDefault="008F6273" w:rsidP="00F239EA">
      <w:pPr>
        <w:tabs>
          <w:tab w:val="left" w:pos="851"/>
        </w:tabs>
        <w:ind w:left="851"/>
        <w:rPr>
          <w:sz w:val="24"/>
          <w:lang w:eastAsia="da-DK"/>
        </w:rPr>
      </w:pPr>
      <w:r w:rsidRPr="008F6273">
        <w:rPr>
          <w:sz w:val="24"/>
          <w:szCs w:val="24"/>
          <w:lang w:eastAsia="da-DK"/>
        </w:rPr>
        <w:t>Sverige</w:t>
      </w:r>
      <w:bookmarkEnd w:id="7"/>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0F6D5C" w:rsidP="009260DE">
      <w:pPr>
        <w:tabs>
          <w:tab w:val="left" w:pos="851"/>
        </w:tabs>
        <w:ind w:left="851"/>
        <w:rPr>
          <w:sz w:val="24"/>
          <w:szCs w:val="24"/>
        </w:rPr>
      </w:pPr>
      <w:r>
        <w:rPr>
          <w:sz w:val="24"/>
          <w:szCs w:val="24"/>
        </w:rPr>
        <w:t>63701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E634B" w:rsidP="009260DE">
      <w:pPr>
        <w:tabs>
          <w:tab w:val="left" w:pos="851"/>
        </w:tabs>
        <w:ind w:left="851"/>
        <w:rPr>
          <w:sz w:val="24"/>
          <w:szCs w:val="24"/>
        </w:rPr>
      </w:pPr>
      <w:r>
        <w:rPr>
          <w:sz w:val="24"/>
          <w:szCs w:val="24"/>
        </w:rPr>
        <w:t>30.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F6D5C"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09E" w:rsidRDefault="0057309E">
      <w:r>
        <w:separator/>
      </w:r>
    </w:p>
  </w:endnote>
  <w:endnote w:type="continuationSeparator" w:id="0">
    <w:p w:rsidR="0057309E" w:rsidRDefault="0057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06E4B">
      <w:rPr>
        <w:i/>
        <w:noProof/>
        <w:sz w:val="18"/>
        <w:szCs w:val="18"/>
      </w:rPr>
      <w:t>Septabene, mundhulespray, opløsning 1,5+5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09E" w:rsidRDefault="0057309E">
      <w:r>
        <w:separator/>
      </w:r>
    </w:p>
  </w:footnote>
  <w:footnote w:type="continuationSeparator" w:id="0">
    <w:p w:rsidR="0057309E" w:rsidRDefault="00573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2259DD"/>
    <w:multiLevelType w:val="hybridMultilevel"/>
    <w:tmpl w:val="9D369B8C"/>
    <w:lvl w:ilvl="0" w:tplc="DE168290">
      <w:start w:val="1"/>
      <w:numFmt w:val="bullet"/>
      <w:lvlText w:val="-"/>
      <w:lvlJc w:val="left"/>
      <w:pPr>
        <w:ind w:left="1211" w:hanging="360"/>
      </w:pPr>
      <w:rPr>
        <w:rFonts w:ascii="Times New Roman" w:eastAsia="Times New Roman" w:hAnsi="Times New Roman"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9E"/>
    <w:rsid w:val="000259B9"/>
    <w:rsid w:val="00041491"/>
    <w:rsid w:val="00050D16"/>
    <w:rsid w:val="00056D16"/>
    <w:rsid w:val="000730CA"/>
    <w:rsid w:val="00074F2A"/>
    <w:rsid w:val="000842C2"/>
    <w:rsid w:val="00092C9C"/>
    <w:rsid w:val="000A1CA8"/>
    <w:rsid w:val="000A466B"/>
    <w:rsid w:val="000B058C"/>
    <w:rsid w:val="000E4EE6"/>
    <w:rsid w:val="000F6D5C"/>
    <w:rsid w:val="00136512"/>
    <w:rsid w:val="001454E2"/>
    <w:rsid w:val="001766D5"/>
    <w:rsid w:val="00206CE8"/>
    <w:rsid w:val="0021526C"/>
    <w:rsid w:val="00276943"/>
    <w:rsid w:val="00283A2B"/>
    <w:rsid w:val="002B30AD"/>
    <w:rsid w:val="002C2C01"/>
    <w:rsid w:val="002E7DC8"/>
    <w:rsid w:val="003A29AE"/>
    <w:rsid w:val="003A32D7"/>
    <w:rsid w:val="003B4074"/>
    <w:rsid w:val="003C769A"/>
    <w:rsid w:val="003F1838"/>
    <w:rsid w:val="0045746C"/>
    <w:rsid w:val="00483F50"/>
    <w:rsid w:val="00485751"/>
    <w:rsid w:val="0049104B"/>
    <w:rsid w:val="004A5081"/>
    <w:rsid w:val="004E3B12"/>
    <w:rsid w:val="004E634B"/>
    <w:rsid w:val="00526AB0"/>
    <w:rsid w:val="00532310"/>
    <w:rsid w:val="00565F0F"/>
    <w:rsid w:val="00572EA3"/>
    <w:rsid w:val="0057309E"/>
    <w:rsid w:val="005870A3"/>
    <w:rsid w:val="00592C68"/>
    <w:rsid w:val="00594A86"/>
    <w:rsid w:val="00596D86"/>
    <w:rsid w:val="005F576A"/>
    <w:rsid w:val="00637F5A"/>
    <w:rsid w:val="006560B1"/>
    <w:rsid w:val="006756DD"/>
    <w:rsid w:val="00677044"/>
    <w:rsid w:val="00683E12"/>
    <w:rsid w:val="00697844"/>
    <w:rsid w:val="00737275"/>
    <w:rsid w:val="00740EEC"/>
    <w:rsid w:val="0078011A"/>
    <w:rsid w:val="00782AF4"/>
    <w:rsid w:val="00790EE7"/>
    <w:rsid w:val="007B6649"/>
    <w:rsid w:val="00810FFF"/>
    <w:rsid w:val="0082576E"/>
    <w:rsid w:val="008A2B80"/>
    <w:rsid w:val="008B0DA1"/>
    <w:rsid w:val="008F6273"/>
    <w:rsid w:val="00907F75"/>
    <w:rsid w:val="009260DE"/>
    <w:rsid w:val="0093258A"/>
    <w:rsid w:val="00936C69"/>
    <w:rsid w:val="009440C6"/>
    <w:rsid w:val="009804FD"/>
    <w:rsid w:val="009C7BA3"/>
    <w:rsid w:val="009D1F5A"/>
    <w:rsid w:val="00A10294"/>
    <w:rsid w:val="00B003BF"/>
    <w:rsid w:val="00B06E4B"/>
    <w:rsid w:val="00B373D7"/>
    <w:rsid w:val="00C302BF"/>
    <w:rsid w:val="00C36276"/>
    <w:rsid w:val="00C42586"/>
    <w:rsid w:val="00C60CCD"/>
    <w:rsid w:val="00C84483"/>
    <w:rsid w:val="00C95551"/>
    <w:rsid w:val="00CB20D7"/>
    <w:rsid w:val="00CC19D1"/>
    <w:rsid w:val="00CF541A"/>
    <w:rsid w:val="00D020B0"/>
    <w:rsid w:val="00D11748"/>
    <w:rsid w:val="00D366CF"/>
    <w:rsid w:val="00E108AA"/>
    <w:rsid w:val="00E3749A"/>
    <w:rsid w:val="00E7437F"/>
    <w:rsid w:val="00E865B8"/>
    <w:rsid w:val="00EC0B9B"/>
    <w:rsid w:val="00ED5E9F"/>
    <w:rsid w:val="00F239EA"/>
    <w:rsid w:val="00F66D4F"/>
    <w:rsid w:val="00F7336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001FC"/>
  <w15:chartTrackingRefBased/>
  <w15:docId w15:val="{953611BE-6E04-4286-8306-ABC71088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0842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97225291">
      <w:bodyDiv w:val="1"/>
      <w:marLeft w:val="0"/>
      <w:marRight w:val="0"/>
      <w:marTop w:val="0"/>
      <w:marBottom w:val="0"/>
      <w:divBdr>
        <w:top w:val="none" w:sz="0" w:space="0" w:color="auto"/>
        <w:left w:val="none" w:sz="0" w:space="0" w:color="auto"/>
        <w:bottom w:val="none" w:sz="0" w:space="0" w:color="auto"/>
        <w:right w:val="none" w:sz="0" w:space="0" w:color="auto"/>
      </w:divBdr>
    </w:div>
    <w:div w:id="2040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6</TotalTime>
  <Pages>7</Pages>
  <Words>1449</Words>
  <Characters>9503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2019120198 mt</dc:description>
  <cp:lastModifiedBy>Hanne Thy Iversen</cp:lastModifiedBy>
  <cp:revision>6</cp:revision>
  <cp:lastPrinted>2012-08-22T08:53:00Z</cp:lastPrinted>
  <dcterms:created xsi:type="dcterms:W3CDTF">2021-08-27T15:32:00Z</dcterms:created>
  <dcterms:modified xsi:type="dcterms:W3CDTF">2021-08-30T08:48:00Z</dcterms:modified>
</cp:coreProperties>
</file>