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026C" w:rsidRPr="008F49E1" w:rsidRDefault="00E1026C" w:rsidP="00E1026C">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77975EAE" wp14:editId="05181FD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B7B05" w:rsidRDefault="00E1026C" w:rsidP="002C0DDD">
      <w:pPr>
        <w:pStyle w:val="Titel"/>
        <w:tabs>
          <w:tab w:val="right" w:pos="9356"/>
        </w:tabs>
        <w:jc w:val="left"/>
        <w:rPr>
          <w:b w:val="0"/>
          <w:szCs w:val="24"/>
        </w:rPr>
      </w:pPr>
      <w:r w:rsidRPr="00C84483">
        <w:rPr>
          <w:b w:val="0"/>
          <w:szCs w:val="24"/>
          <w:lang w:eastAsia="en-US"/>
        </w:rPr>
        <w:tab/>
      </w:r>
      <w:r w:rsidR="005B0104">
        <w:rPr>
          <w:szCs w:val="24"/>
        </w:rPr>
        <w:t>5. september 2021</w:t>
      </w:r>
    </w:p>
    <w:p w:rsidR="002C0DDD" w:rsidRPr="00C84483" w:rsidRDefault="002C0DDD" w:rsidP="00E1026C">
      <w:pPr>
        <w:pStyle w:val="Titel"/>
        <w:jc w:val="left"/>
        <w:rPr>
          <w:b w:val="0"/>
          <w:szCs w:val="24"/>
        </w:rPr>
      </w:pPr>
    </w:p>
    <w:p w:rsidR="00E1026C" w:rsidRPr="00C84483" w:rsidRDefault="00E1026C" w:rsidP="00E1026C">
      <w:pPr>
        <w:pStyle w:val="Titel"/>
        <w:jc w:val="left"/>
        <w:rPr>
          <w:b w:val="0"/>
          <w:szCs w:val="24"/>
        </w:rPr>
      </w:pPr>
    </w:p>
    <w:p w:rsidR="00E1026C" w:rsidRPr="00C84483" w:rsidRDefault="00E1026C" w:rsidP="00E1026C">
      <w:pPr>
        <w:jc w:val="center"/>
        <w:rPr>
          <w:b/>
          <w:sz w:val="24"/>
          <w:szCs w:val="24"/>
        </w:rPr>
      </w:pPr>
      <w:r w:rsidRPr="00C84483">
        <w:rPr>
          <w:b/>
          <w:sz w:val="24"/>
          <w:szCs w:val="24"/>
        </w:rPr>
        <w:t>PRODUKTRESUMÉ</w:t>
      </w:r>
    </w:p>
    <w:p w:rsidR="00E1026C" w:rsidRPr="00C84483" w:rsidRDefault="00E1026C" w:rsidP="00E1026C">
      <w:pPr>
        <w:jc w:val="center"/>
        <w:rPr>
          <w:b/>
          <w:sz w:val="24"/>
          <w:szCs w:val="24"/>
        </w:rPr>
      </w:pPr>
    </w:p>
    <w:p w:rsidR="00E1026C" w:rsidRDefault="00E1026C" w:rsidP="00E1026C">
      <w:pPr>
        <w:jc w:val="center"/>
        <w:rPr>
          <w:b/>
          <w:sz w:val="24"/>
          <w:szCs w:val="24"/>
        </w:rPr>
      </w:pPr>
      <w:r w:rsidRPr="00C84483">
        <w:rPr>
          <w:b/>
          <w:sz w:val="24"/>
          <w:szCs w:val="24"/>
        </w:rPr>
        <w:t>for</w:t>
      </w:r>
    </w:p>
    <w:p w:rsidR="00E1026C" w:rsidRPr="00C84483" w:rsidRDefault="00E1026C" w:rsidP="00E1026C">
      <w:pPr>
        <w:jc w:val="center"/>
        <w:rPr>
          <w:b/>
          <w:sz w:val="24"/>
          <w:szCs w:val="24"/>
        </w:rPr>
      </w:pPr>
    </w:p>
    <w:p w:rsidR="00E1026C" w:rsidRPr="00C84483" w:rsidRDefault="00E1026C" w:rsidP="00E1026C">
      <w:pPr>
        <w:jc w:val="center"/>
        <w:rPr>
          <w:b/>
          <w:sz w:val="24"/>
          <w:szCs w:val="24"/>
        </w:rPr>
      </w:pPr>
      <w:proofErr w:type="spellStart"/>
      <w:r>
        <w:rPr>
          <w:b/>
          <w:sz w:val="24"/>
          <w:szCs w:val="24"/>
        </w:rPr>
        <w:t>Sevelamerhydrochlorid</w:t>
      </w:r>
      <w:proofErr w:type="spellEnd"/>
      <w:r>
        <w:rPr>
          <w:b/>
          <w:sz w:val="24"/>
          <w:szCs w:val="24"/>
        </w:rPr>
        <w:t xml:space="preserve"> "</w:t>
      </w:r>
      <w:proofErr w:type="spellStart"/>
      <w:r>
        <w:rPr>
          <w:b/>
          <w:sz w:val="24"/>
          <w:szCs w:val="24"/>
        </w:rPr>
        <w:t>Waymade</w:t>
      </w:r>
      <w:proofErr w:type="spellEnd"/>
      <w:r>
        <w:rPr>
          <w:b/>
          <w:sz w:val="24"/>
          <w:szCs w:val="24"/>
        </w:rPr>
        <w:t>", filmovertrukne tabletter 800 mg</w:t>
      </w:r>
    </w:p>
    <w:p w:rsidR="00E1026C" w:rsidRPr="00C84483" w:rsidRDefault="00E1026C" w:rsidP="00E1026C">
      <w:pPr>
        <w:jc w:val="both"/>
        <w:rPr>
          <w:sz w:val="24"/>
          <w:szCs w:val="24"/>
        </w:rPr>
      </w:pPr>
    </w:p>
    <w:p w:rsidR="00E1026C" w:rsidRPr="005F1933" w:rsidRDefault="00E1026C" w:rsidP="00E1026C">
      <w:pPr>
        <w:ind w:left="851" w:hanging="851"/>
        <w:jc w:val="both"/>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0.</w:t>
      </w:r>
      <w:r w:rsidRPr="005F1933">
        <w:rPr>
          <w:b/>
          <w:sz w:val="24"/>
          <w:szCs w:val="24"/>
        </w:rPr>
        <w:tab/>
        <w:t>D.SP.NR.</w:t>
      </w:r>
    </w:p>
    <w:p w:rsidR="00E1026C" w:rsidRPr="005F1933" w:rsidRDefault="00E1026C" w:rsidP="00E1026C">
      <w:pPr>
        <w:tabs>
          <w:tab w:val="left" w:pos="851"/>
        </w:tabs>
        <w:ind w:left="851" w:hanging="851"/>
        <w:rPr>
          <w:sz w:val="24"/>
          <w:szCs w:val="24"/>
        </w:rPr>
      </w:pPr>
      <w:r>
        <w:rPr>
          <w:sz w:val="24"/>
          <w:szCs w:val="24"/>
        </w:rPr>
        <w:tab/>
      </w:r>
      <w:r w:rsidRPr="005F1933">
        <w:rPr>
          <w:sz w:val="24"/>
          <w:szCs w:val="24"/>
        </w:rPr>
        <w:t>31279</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1.</w:t>
      </w:r>
      <w:r w:rsidRPr="005F1933">
        <w:rPr>
          <w:b/>
          <w:sz w:val="24"/>
          <w:szCs w:val="24"/>
        </w:rPr>
        <w:tab/>
        <w:t>LÆGEMIDLETS NAVN</w:t>
      </w:r>
    </w:p>
    <w:p w:rsidR="00E1026C" w:rsidRPr="005F1933" w:rsidRDefault="00E1026C" w:rsidP="00E1026C">
      <w:pPr>
        <w:tabs>
          <w:tab w:val="left" w:pos="851"/>
        </w:tabs>
        <w:ind w:left="851" w:hanging="851"/>
        <w:rPr>
          <w:sz w:val="24"/>
          <w:szCs w:val="24"/>
        </w:rPr>
      </w:pPr>
      <w:r>
        <w:rPr>
          <w:sz w:val="24"/>
          <w:szCs w:val="24"/>
        </w:rPr>
        <w:tab/>
      </w:r>
      <w:proofErr w:type="spellStart"/>
      <w:r w:rsidRPr="005F1933">
        <w:rPr>
          <w:sz w:val="24"/>
          <w:szCs w:val="24"/>
        </w:rPr>
        <w:t>Sevelamerhydrochlorid</w:t>
      </w:r>
      <w:proofErr w:type="spellEnd"/>
      <w:r w:rsidRPr="005F1933">
        <w:rPr>
          <w:sz w:val="24"/>
          <w:szCs w:val="24"/>
        </w:rPr>
        <w:t xml:space="preserve"> "</w:t>
      </w:r>
      <w:proofErr w:type="spellStart"/>
      <w:r w:rsidRPr="005F1933">
        <w:rPr>
          <w:sz w:val="24"/>
          <w:szCs w:val="24"/>
        </w:rPr>
        <w:t>Waymade</w:t>
      </w:r>
      <w:proofErr w:type="spellEnd"/>
      <w:r w:rsidRPr="005F1933">
        <w:rPr>
          <w:sz w:val="24"/>
          <w:szCs w:val="24"/>
        </w:rPr>
        <w:t>"</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2.</w:t>
      </w:r>
      <w:r w:rsidRPr="005F1933">
        <w:rPr>
          <w:b/>
          <w:sz w:val="24"/>
          <w:szCs w:val="24"/>
        </w:rPr>
        <w:tab/>
        <w:t>KVALITATIV OG KVANTITATIV SAMMENSÆTNING</w:t>
      </w:r>
    </w:p>
    <w:p w:rsidR="00E1026C" w:rsidRPr="005F1933" w:rsidRDefault="00E1026C" w:rsidP="00E1026C">
      <w:pPr>
        <w:suppressAutoHyphens/>
        <w:ind w:left="851"/>
        <w:rPr>
          <w:sz w:val="24"/>
          <w:szCs w:val="24"/>
        </w:rPr>
      </w:pPr>
      <w:r w:rsidRPr="005F1933">
        <w:rPr>
          <w:sz w:val="24"/>
          <w:szCs w:val="24"/>
        </w:rPr>
        <w:t xml:space="preserve">Hver tablet indeholder 800 mg </w:t>
      </w:r>
      <w:proofErr w:type="spellStart"/>
      <w:r w:rsidRPr="005F1933">
        <w:rPr>
          <w:sz w:val="24"/>
          <w:szCs w:val="24"/>
        </w:rPr>
        <w:t>sevelamerhydrochlorid</w:t>
      </w:r>
      <w:proofErr w:type="spellEnd"/>
      <w:r w:rsidRPr="005F1933">
        <w:rPr>
          <w:sz w:val="24"/>
          <w:szCs w:val="24"/>
        </w:rPr>
        <w:t xml:space="preserve">. </w:t>
      </w:r>
    </w:p>
    <w:p w:rsidR="00E1026C" w:rsidRPr="005F1933" w:rsidRDefault="00E1026C" w:rsidP="00E1026C">
      <w:pPr>
        <w:suppressAutoHyphens/>
        <w:ind w:left="851"/>
        <w:rPr>
          <w:sz w:val="24"/>
          <w:szCs w:val="24"/>
        </w:rPr>
      </w:pPr>
    </w:p>
    <w:p w:rsidR="00E1026C" w:rsidRDefault="00E1026C" w:rsidP="00E1026C">
      <w:pPr>
        <w:suppressAutoHyphens/>
        <w:ind w:left="851"/>
        <w:rPr>
          <w:sz w:val="24"/>
          <w:szCs w:val="24"/>
        </w:rPr>
      </w:pPr>
      <w:r w:rsidRPr="005F1933">
        <w:rPr>
          <w:sz w:val="24"/>
          <w:szCs w:val="24"/>
          <w:u w:val="single"/>
        </w:rPr>
        <w:t>Hjælpestof(fer), som behandleren skal være opmærksom på</w:t>
      </w:r>
      <w:r>
        <w:rPr>
          <w:sz w:val="24"/>
          <w:szCs w:val="24"/>
        </w:rPr>
        <w:t xml:space="preserve">: </w:t>
      </w:r>
    </w:p>
    <w:p w:rsidR="00E1026C" w:rsidRPr="005F1933" w:rsidRDefault="00E1026C" w:rsidP="00E1026C">
      <w:pPr>
        <w:suppressAutoHyphens/>
        <w:ind w:left="851"/>
        <w:rPr>
          <w:sz w:val="24"/>
          <w:szCs w:val="24"/>
        </w:rPr>
      </w:pPr>
      <w:r>
        <w:rPr>
          <w:sz w:val="24"/>
          <w:szCs w:val="24"/>
        </w:rPr>
        <w:t xml:space="preserve">Dette lægemiddel indeholder </w:t>
      </w:r>
      <w:r w:rsidRPr="005F1933">
        <w:rPr>
          <w:sz w:val="24"/>
          <w:szCs w:val="24"/>
        </w:rPr>
        <w:t>96 mg sorbitol i hver tablet.</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r w:rsidRPr="005F1933">
        <w:rPr>
          <w:sz w:val="24"/>
          <w:szCs w:val="24"/>
        </w:rPr>
        <w:t>Alle hjælpestoffer er anført under pkt. 6.1.</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3.</w:t>
      </w:r>
      <w:r w:rsidRPr="005F1933">
        <w:rPr>
          <w:b/>
          <w:sz w:val="24"/>
          <w:szCs w:val="24"/>
        </w:rPr>
        <w:tab/>
        <w:t>LÆGEMIDDELFORM</w:t>
      </w:r>
    </w:p>
    <w:p w:rsidR="00E1026C" w:rsidRPr="005F1933" w:rsidRDefault="00E1026C" w:rsidP="00E1026C">
      <w:pPr>
        <w:suppressAutoHyphens/>
        <w:ind w:left="851"/>
        <w:rPr>
          <w:sz w:val="24"/>
          <w:szCs w:val="24"/>
        </w:rPr>
      </w:pPr>
      <w:r>
        <w:rPr>
          <w:sz w:val="24"/>
          <w:szCs w:val="24"/>
        </w:rPr>
        <w:t>Filmovertrukne tabletter</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r w:rsidRPr="005F1933">
        <w:rPr>
          <w:sz w:val="24"/>
          <w:szCs w:val="24"/>
        </w:rPr>
        <w:t>Ovale, hvide til råhvide, filmovertrukne tabletter ca. 19,10</w:t>
      </w:r>
      <w:r>
        <w:rPr>
          <w:sz w:val="24"/>
          <w:szCs w:val="24"/>
        </w:rPr>
        <w:t>×</w:t>
      </w:r>
      <w:r w:rsidRPr="005F1933">
        <w:rPr>
          <w:sz w:val="24"/>
          <w:szCs w:val="24"/>
        </w:rPr>
        <w:t>9,80 mm, præget med 800 på den ene side og præget med SH på den anden side.</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w:t>
      </w:r>
      <w:r w:rsidRPr="005F1933">
        <w:rPr>
          <w:b/>
          <w:sz w:val="24"/>
          <w:szCs w:val="24"/>
        </w:rPr>
        <w:tab/>
        <w:t>KLINISKE OPLYSNINGER</w:t>
      </w:r>
    </w:p>
    <w:p w:rsidR="00E1026C" w:rsidRPr="005F1933" w:rsidRDefault="00E1026C" w:rsidP="00E1026C">
      <w:pPr>
        <w:tabs>
          <w:tab w:val="left" w:pos="851"/>
        </w:tabs>
        <w:ind w:left="851" w:hanging="851"/>
        <w:rPr>
          <w:b/>
          <w:sz w:val="24"/>
          <w:szCs w:val="24"/>
        </w:rPr>
      </w:pPr>
    </w:p>
    <w:p w:rsidR="00E1026C" w:rsidRPr="005F1933" w:rsidRDefault="00E1026C" w:rsidP="00E1026C">
      <w:pPr>
        <w:tabs>
          <w:tab w:val="left" w:pos="851"/>
        </w:tabs>
        <w:ind w:left="851" w:hanging="851"/>
        <w:rPr>
          <w:b/>
          <w:sz w:val="24"/>
          <w:szCs w:val="24"/>
          <w:u w:val="single"/>
        </w:rPr>
      </w:pPr>
      <w:r w:rsidRPr="005F1933">
        <w:rPr>
          <w:b/>
          <w:sz w:val="24"/>
          <w:szCs w:val="24"/>
        </w:rPr>
        <w:t>4.1</w:t>
      </w:r>
      <w:r w:rsidRPr="005F1933">
        <w:rPr>
          <w:b/>
          <w:sz w:val="24"/>
          <w:szCs w:val="24"/>
        </w:rPr>
        <w:tab/>
        <w:t>Terapeutiske indikationer</w:t>
      </w:r>
    </w:p>
    <w:p w:rsidR="00E1026C" w:rsidRPr="005F1933" w:rsidRDefault="00E1026C" w:rsidP="00E1026C">
      <w:pPr>
        <w:ind w:left="851"/>
        <w:rPr>
          <w:sz w:val="24"/>
          <w:szCs w:val="24"/>
        </w:rPr>
      </w:pPr>
      <w:proofErr w:type="spellStart"/>
      <w:r w:rsidRPr="005F1933">
        <w:rPr>
          <w:sz w:val="24"/>
          <w:szCs w:val="24"/>
        </w:rPr>
        <w:t>Sevelamerhydrochlorid</w:t>
      </w:r>
      <w:proofErr w:type="spellEnd"/>
      <w:r w:rsidRPr="005F1933">
        <w:rPr>
          <w:sz w:val="24"/>
          <w:szCs w:val="24"/>
        </w:rPr>
        <w:t xml:space="preserve"> er indiceret til kontrol af </w:t>
      </w:r>
      <w:proofErr w:type="spellStart"/>
      <w:r w:rsidRPr="005F1933">
        <w:rPr>
          <w:sz w:val="24"/>
          <w:szCs w:val="24"/>
        </w:rPr>
        <w:t>hyperphosphatæmi</w:t>
      </w:r>
      <w:proofErr w:type="spellEnd"/>
      <w:r w:rsidRPr="005F1933">
        <w:rPr>
          <w:sz w:val="24"/>
          <w:szCs w:val="24"/>
        </w:rPr>
        <w:t xml:space="preserve"> hos voksne patienter, der er i hæmodialyse eller </w:t>
      </w:r>
      <w:proofErr w:type="spellStart"/>
      <w:r w:rsidRPr="005F1933">
        <w:rPr>
          <w:sz w:val="24"/>
          <w:szCs w:val="24"/>
        </w:rPr>
        <w:t>peritonealdialyse</w:t>
      </w:r>
      <w:proofErr w:type="spellEnd"/>
      <w:r w:rsidRPr="005F1933">
        <w:rPr>
          <w:sz w:val="24"/>
          <w:szCs w:val="24"/>
        </w:rPr>
        <w:t xml:space="preserve">. </w:t>
      </w:r>
      <w:proofErr w:type="spellStart"/>
      <w:r w:rsidRPr="005F1933">
        <w:rPr>
          <w:sz w:val="24"/>
          <w:szCs w:val="24"/>
        </w:rPr>
        <w:t>Sevelamerhydrochlorid</w:t>
      </w:r>
      <w:proofErr w:type="spellEnd"/>
      <w:r w:rsidRPr="005F1933">
        <w:rPr>
          <w:sz w:val="24"/>
          <w:szCs w:val="24"/>
        </w:rPr>
        <w:t xml:space="preserve"> bør anvendes i forbindelse med flere andre behandlinger, der kan omfatte ekstra tilførsel af calcium, 1,25-dihydroxy-vitamin D3 eller et af dettes analoge stoffer til styring af udviklingen af </w:t>
      </w:r>
      <w:proofErr w:type="spellStart"/>
      <w:r w:rsidRPr="005F1933">
        <w:rPr>
          <w:sz w:val="24"/>
          <w:szCs w:val="24"/>
        </w:rPr>
        <w:t>renal</w:t>
      </w:r>
      <w:proofErr w:type="spellEnd"/>
      <w:r w:rsidRPr="005F1933">
        <w:rPr>
          <w:sz w:val="24"/>
          <w:szCs w:val="24"/>
        </w:rPr>
        <w:t xml:space="preserve"> knoglesygdom.</w:t>
      </w:r>
    </w:p>
    <w:p w:rsidR="002C0DDD" w:rsidRDefault="002C0DDD">
      <w:pPr>
        <w:rPr>
          <w:sz w:val="24"/>
          <w:szCs w:val="24"/>
        </w:rPr>
      </w:pPr>
      <w:r>
        <w:rPr>
          <w:sz w:val="24"/>
          <w:szCs w:val="24"/>
        </w:rPr>
        <w:br w:type="page"/>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4.2</w:t>
      </w:r>
      <w:r w:rsidRPr="005F1933">
        <w:rPr>
          <w:b/>
          <w:sz w:val="24"/>
          <w:szCs w:val="24"/>
        </w:rPr>
        <w:tab/>
        <w:t>Dosering og indgivelsesmåde</w:t>
      </w:r>
    </w:p>
    <w:p w:rsidR="00E1026C"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Dosering</w:t>
      </w:r>
    </w:p>
    <w:p w:rsidR="00E1026C" w:rsidRPr="005F1933" w:rsidRDefault="00E1026C" w:rsidP="00E1026C">
      <w:pPr>
        <w:ind w:left="851"/>
        <w:rPr>
          <w:sz w:val="24"/>
          <w:szCs w:val="24"/>
          <w:u w:val="single"/>
        </w:rPr>
      </w:pPr>
    </w:p>
    <w:p w:rsidR="00E1026C" w:rsidRPr="005F1933" w:rsidRDefault="00E1026C" w:rsidP="00E1026C">
      <w:pPr>
        <w:ind w:left="851"/>
        <w:rPr>
          <w:i/>
          <w:sz w:val="24"/>
          <w:szCs w:val="24"/>
          <w:u w:val="single"/>
        </w:rPr>
      </w:pPr>
      <w:r w:rsidRPr="005F1933">
        <w:rPr>
          <w:i/>
          <w:sz w:val="24"/>
          <w:szCs w:val="24"/>
          <w:u w:val="single"/>
        </w:rPr>
        <w:t>Startdosis</w:t>
      </w:r>
    </w:p>
    <w:p w:rsidR="00E1026C" w:rsidRPr="005F1933" w:rsidRDefault="00E1026C" w:rsidP="00E1026C">
      <w:pPr>
        <w:ind w:left="851"/>
        <w:rPr>
          <w:sz w:val="24"/>
          <w:szCs w:val="24"/>
        </w:rPr>
      </w:pPr>
      <w:r w:rsidRPr="005F1933">
        <w:rPr>
          <w:sz w:val="24"/>
          <w:szCs w:val="24"/>
        </w:rPr>
        <w:t xml:space="preserve">Den anbefalede startdosis af </w:t>
      </w:r>
      <w:proofErr w:type="spellStart"/>
      <w:r w:rsidRPr="005F1933">
        <w:rPr>
          <w:sz w:val="24"/>
          <w:szCs w:val="24"/>
        </w:rPr>
        <w:t>sevelamerhydrochlorid</w:t>
      </w:r>
      <w:proofErr w:type="spellEnd"/>
      <w:r w:rsidRPr="005F1933">
        <w:rPr>
          <w:sz w:val="24"/>
          <w:szCs w:val="24"/>
        </w:rPr>
        <w:t xml:space="preserve"> er 2,4 g eller 4,8 g dagligt baseret på kliniske behov og </w:t>
      </w:r>
      <w:proofErr w:type="spellStart"/>
      <w:r w:rsidRPr="005F1933">
        <w:rPr>
          <w:sz w:val="24"/>
          <w:szCs w:val="24"/>
        </w:rPr>
        <w:t>serumphosphatniveau</w:t>
      </w:r>
      <w:proofErr w:type="spellEnd"/>
      <w:r w:rsidRPr="005F1933">
        <w:rPr>
          <w:sz w:val="24"/>
          <w:szCs w:val="24"/>
        </w:rPr>
        <w:t xml:space="preserve">. </w:t>
      </w:r>
      <w:proofErr w:type="spellStart"/>
      <w:r w:rsidRPr="005F1933">
        <w:rPr>
          <w:sz w:val="24"/>
          <w:szCs w:val="24"/>
        </w:rPr>
        <w:t>Sevelamerhydrochlorid</w:t>
      </w:r>
      <w:proofErr w:type="spellEnd"/>
      <w:r w:rsidRPr="005F1933">
        <w:rPr>
          <w:sz w:val="24"/>
          <w:szCs w:val="24"/>
        </w:rPr>
        <w:t xml:space="preserve"> skal tages tre gange dagligt i forbindelse med måltider.</w:t>
      </w:r>
    </w:p>
    <w:p w:rsidR="00E1026C" w:rsidRPr="005F1933" w:rsidRDefault="00E1026C" w:rsidP="00E1026C">
      <w:pPr>
        <w:jc w:val="both"/>
        <w:rPr>
          <w:sz w:val="24"/>
          <w:szCs w:val="24"/>
        </w:rPr>
      </w:pP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6"/>
        <w:gridCol w:w="3970"/>
      </w:tblGrid>
      <w:tr w:rsidR="00E1026C" w:rsidRPr="00005A35" w:rsidTr="003B4BCE">
        <w:trPr>
          <w:trHeight w:val="269"/>
        </w:trPr>
        <w:tc>
          <w:tcPr>
            <w:tcW w:w="4536" w:type="dxa"/>
          </w:tcPr>
          <w:p w:rsidR="00E1026C" w:rsidRPr="00005A35" w:rsidRDefault="00E1026C" w:rsidP="003B4BCE">
            <w:pPr>
              <w:ind w:left="159" w:right="124"/>
              <w:rPr>
                <w:sz w:val="24"/>
                <w:szCs w:val="24"/>
              </w:rPr>
            </w:pPr>
            <w:proofErr w:type="spellStart"/>
            <w:r w:rsidRPr="00005A35">
              <w:rPr>
                <w:sz w:val="24"/>
                <w:szCs w:val="24"/>
              </w:rPr>
              <w:t>Serumphosphatniveauer</w:t>
            </w:r>
            <w:proofErr w:type="spellEnd"/>
            <w:r w:rsidRPr="00005A35">
              <w:rPr>
                <w:sz w:val="24"/>
                <w:szCs w:val="24"/>
              </w:rPr>
              <w:t xml:space="preserve"> hos patienter, der ikke får </w:t>
            </w:r>
            <w:proofErr w:type="spellStart"/>
            <w:r w:rsidRPr="00005A35">
              <w:rPr>
                <w:sz w:val="24"/>
                <w:szCs w:val="24"/>
              </w:rPr>
              <w:t>phosphatbindere</w:t>
            </w:r>
            <w:proofErr w:type="spellEnd"/>
          </w:p>
        </w:tc>
        <w:tc>
          <w:tcPr>
            <w:tcW w:w="3970" w:type="dxa"/>
          </w:tcPr>
          <w:p w:rsidR="00E1026C" w:rsidRPr="00005A35" w:rsidRDefault="00E1026C" w:rsidP="003B4BCE">
            <w:pPr>
              <w:ind w:left="159" w:right="124"/>
              <w:rPr>
                <w:sz w:val="24"/>
                <w:szCs w:val="24"/>
              </w:rPr>
            </w:pPr>
            <w:r w:rsidRPr="00005A35">
              <w:rPr>
                <w:sz w:val="24"/>
                <w:szCs w:val="24"/>
              </w:rPr>
              <w:t xml:space="preserve">Startdosis </w:t>
            </w:r>
            <w:proofErr w:type="spellStart"/>
            <w:r w:rsidRPr="00005A35">
              <w:rPr>
                <w:sz w:val="24"/>
                <w:szCs w:val="24"/>
              </w:rPr>
              <w:t>Sevelamerhydrochlorid</w:t>
            </w:r>
            <w:proofErr w:type="spellEnd"/>
            <w:r w:rsidRPr="00005A35">
              <w:rPr>
                <w:sz w:val="24"/>
                <w:szCs w:val="24"/>
              </w:rPr>
              <w:t xml:space="preserve"> "</w:t>
            </w:r>
            <w:proofErr w:type="spellStart"/>
            <w:r w:rsidRPr="00005A35">
              <w:rPr>
                <w:sz w:val="24"/>
                <w:szCs w:val="24"/>
              </w:rPr>
              <w:t>Waymade</w:t>
            </w:r>
            <w:proofErr w:type="spellEnd"/>
            <w:r w:rsidRPr="00005A35">
              <w:rPr>
                <w:sz w:val="24"/>
                <w:szCs w:val="24"/>
              </w:rPr>
              <w:t>" 800 mg</w:t>
            </w:r>
          </w:p>
        </w:tc>
      </w:tr>
      <w:tr w:rsidR="00E1026C" w:rsidRPr="00005A35" w:rsidTr="003B4BCE">
        <w:trPr>
          <w:trHeight w:val="258"/>
        </w:trPr>
        <w:tc>
          <w:tcPr>
            <w:tcW w:w="4536" w:type="dxa"/>
          </w:tcPr>
          <w:p w:rsidR="00E1026C" w:rsidRPr="00005A35" w:rsidRDefault="00E1026C" w:rsidP="003B4BCE">
            <w:pPr>
              <w:ind w:left="159" w:right="124"/>
              <w:rPr>
                <w:sz w:val="24"/>
                <w:szCs w:val="24"/>
              </w:rPr>
            </w:pPr>
            <w:r w:rsidRPr="00005A35">
              <w:rPr>
                <w:sz w:val="24"/>
                <w:szCs w:val="24"/>
              </w:rPr>
              <w:t>1,76 –2,42 mmol/L (5,5-7,5 mg/dl)</w:t>
            </w:r>
          </w:p>
        </w:tc>
        <w:tc>
          <w:tcPr>
            <w:tcW w:w="3970" w:type="dxa"/>
          </w:tcPr>
          <w:p w:rsidR="00E1026C" w:rsidRPr="00005A35" w:rsidRDefault="00E1026C" w:rsidP="003B4BCE">
            <w:pPr>
              <w:ind w:left="159" w:right="124"/>
              <w:rPr>
                <w:sz w:val="24"/>
                <w:szCs w:val="24"/>
              </w:rPr>
            </w:pPr>
            <w:r w:rsidRPr="00005A35">
              <w:rPr>
                <w:sz w:val="24"/>
                <w:szCs w:val="24"/>
              </w:rPr>
              <w:t>1 tablet 3 gange daglig</w:t>
            </w:r>
          </w:p>
        </w:tc>
      </w:tr>
      <w:tr w:rsidR="00E1026C" w:rsidRPr="00005A35" w:rsidTr="003B4BCE">
        <w:trPr>
          <w:trHeight w:val="258"/>
        </w:trPr>
        <w:tc>
          <w:tcPr>
            <w:tcW w:w="4536" w:type="dxa"/>
          </w:tcPr>
          <w:p w:rsidR="00E1026C" w:rsidRPr="00005A35" w:rsidRDefault="00E1026C" w:rsidP="003B4BCE">
            <w:pPr>
              <w:ind w:left="159" w:right="124"/>
              <w:rPr>
                <w:sz w:val="24"/>
                <w:szCs w:val="24"/>
              </w:rPr>
            </w:pPr>
            <w:r w:rsidRPr="00005A35">
              <w:rPr>
                <w:sz w:val="24"/>
                <w:szCs w:val="24"/>
              </w:rPr>
              <w:t>&gt; 2,42 mmol/L (&gt; 7,5 mg/dl)</w:t>
            </w:r>
          </w:p>
        </w:tc>
        <w:tc>
          <w:tcPr>
            <w:tcW w:w="3970" w:type="dxa"/>
          </w:tcPr>
          <w:p w:rsidR="00E1026C" w:rsidRPr="00005A35" w:rsidRDefault="00E1026C" w:rsidP="003B4BCE">
            <w:pPr>
              <w:ind w:left="159" w:right="124"/>
              <w:rPr>
                <w:sz w:val="24"/>
                <w:szCs w:val="24"/>
              </w:rPr>
            </w:pPr>
            <w:r w:rsidRPr="00005A35">
              <w:rPr>
                <w:sz w:val="24"/>
                <w:szCs w:val="24"/>
              </w:rPr>
              <w:t>2 tabletter 3 gange daglig</w:t>
            </w:r>
          </w:p>
        </w:tc>
      </w:tr>
    </w:tbl>
    <w:p w:rsidR="00E1026C" w:rsidRPr="005F1933" w:rsidRDefault="00E1026C" w:rsidP="00E1026C">
      <w:pPr>
        <w:ind w:left="851" w:hanging="851"/>
        <w:rPr>
          <w:sz w:val="24"/>
          <w:szCs w:val="24"/>
        </w:rPr>
      </w:pPr>
    </w:p>
    <w:p w:rsidR="00E1026C" w:rsidRPr="005F1933" w:rsidRDefault="00E1026C" w:rsidP="00E1026C">
      <w:pPr>
        <w:ind w:left="851"/>
        <w:rPr>
          <w:sz w:val="24"/>
          <w:szCs w:val="24"/>
        </w:rPr>
      </w:pPr>
      <w:r w:rsidRPr="005F1933">
        <w:rPr>
          <w:sz w:val="24"/>
          <w:szCs w:val="24"/>
        </w:rPr>
        <w:t xml:space="preserve">Patienter, der tidligere har taget </w:t>
      </w:r>
      <w:proofErr w:type="spellStart"/>
      <w:r w:rsidRPr="005F1933">
        <w:rPr>
          <w:sz w:val="24"/>
          <w:szCs w:val="24"/>
        </w:rPr>
        <w:t>phosphatbindere</w:t>
      </w:r>
      <w:proofErr w:type="spellEnd"/>
      <w:r w:rsidRPr="005F1933">
        <w:rPr>
          <w:sz w:val="24"/>
          <w:szCs w:val="24"/>
        </w:rPr>
        <w:t xml:space="preserve">, bør have </w:t>
      </w:r>
      <w:proofErr w:type="spellStart"/>
      <w:r w:rsidR="00686666">
        <w:rPr>
          <w:sz w:val="24"/>
          <w:szCs w:val="24"/>
        </w:rPr>
        <w:t>s</w:t>
      </w:r>
      <w:r w:rsidRPr="005F1933">
        <w:rPr>
          <w:sz w:val="24"/>
          <w:szCs w:val="24"/>
        </w:rPr>
        <w:t>evelamerhydrochlorid</w:t>
      </w:r>
      <w:proofErr w:type="spellEnd"/>
      <w:r w:rsidRPr="005F1933">
        <w:rPr>
          <w:sz w:val="24"/>
          <w:szCs w:val="24"/>
        </w:rPr>
        <w:t xml:space="preserve"> på gram til gram basis under monitorering af </w:t>
      </w:r>
      <w:proofErr w:type="spellStart"/>
      <w:r w:rsidRPr="005F1933">
        <w:rPr>
          <w:sz w:val="24"/>
          <w:szCs w:val="24"/>
        </w:rPr>
        <w:t>serumphosphatniveauet</w:t>
      </w:r>
      <w:proofErr w:type="spellEnd"/>
      <w:r w:rsidRPr="005F1933">
        <w:rPr>
          <w:sz w:val="24"/>
          <w:szCs w:val="24"/>
        </w:rPr>
        <w:t xml:space="preserve"> for at sikre en optimal daglig dosis.</w:t>
      </w:r>
    </w:p>
    <w:p w:rsidR="00E1026C" w:rsidRPr="005F1933" w:rsidRDefault="00E1026C" w:rsidP="00E1026C">
      <w:pPr>
        <w:ind w:left="851"/>
        <w:rPr>
          <w:sz w:val="24"/>
          <w:szCs w:val="24"/>
        </w:rPr>
      </w:pPr>
    </w:p>
    <w:p w:rsidR="00E1026C" w:rsidRPr="005F1933" w:rsidRDefault="00E1026C" w:rsidP="00E1026C">
      <w:pPr>
        <w:ind w:left="851"/>
        <w:rPr>
          <w:i/>
          <w:sz w:val="24"/>
          <w:szCs w:val="24"/>
          <w:u w:val="single"/>
        </w:rPr>
      </w:pPr>
      <w:r w:rsidRPr="005F1933">
        <w:rPr>
          <w:i/>
          <w:sz w:val="24"/>
          <w:szCs w:val="24"/>
          <w:u w:val="single"/>
        </w:rPr>
        <w:t>Titrering og vedligeholdelse</w:t>
      </w:r>
    </w:p>
    <w:p w:rsidR="00E1026C" w:rsidRPr="005F1933" w:rsidRDefault="00E1026C" w:rsidP="00E1026C">
      <w:pPr>
        <w:ind w:left="851"/>
        <w:rPr>
          <w:sz w:val="24"/>
          <w:szCs w:val="24"/>
        </w:rPr>
      </w:pPr>
      <w:proofErr w:type="spellStart"/>
      <w:r w:rsidRPr="005F1933">
        <w:rPr>
          <w:sz w:val="24"/>
          <w:szCs w:val="24"/>
        </w:rPr>
        <w:t>Serumphosphatniveauerne</w:t>
      </w:r>
      <w:proofErr w:type="spellEnd"/>
      <w:r w:rsidRPr="005F1933">
        <w:rPr>
          <w:sz w:val="24"/>
          <w:szCs w:val="24"/>
        </w:rPr>
        <w:t xml:space="preserve"> skal nøje monitoreres, og dosen af </w:t>
      </w:r>
      <w:proofErr w:type="spellStart"/>
      <w:r w:rsidRPr="005F1933">
        <w:rPr>
          <w:sz w:val="24"/>
          <w:szCs w:val="24"/>
        </w:rPr>
        <w:t>sevelamerhydrochlorid</w:t>
      </w:r>
      <w:proofErr w:type="spellEnd"/>
      <w:r w:rsidRPr="005F1933">
        <w:rPr>
          <w:sz w:val="24"/>
          <w:szCs w:val="24"/>
        </w:rPr>
        <w:t xml:space="preserve"> titreres med 0,8 g forøgelse tre gange daglig (2,4 g/dag) med det formål at sænke </w:t>
      </w:r>
      <w:proofErr w:type="spellStart"/>
      <w:r w:rsidRPr="005F1933">
        <w:rPr>
          <w:sz w:val="24"/>
          <w:szCs w:val="24"/>
        </w:rPr>
        <w:t>serumphosphatet</w:t>
      </w:r>
      <w:proofErr w:type="spellEnd"/>
      <w:r w:rsidRPr="005F1933">
        <w:rPr>
          <w:sz w:val="24"/>
          <w:szCs w:val="24"/>
        </w:rPr>
        <w:t xml:space="preserve"> til 1,76 mmol/L (5,5 mg/dl) eller derunder. </w:t>
      </w:r>
      <w:proofErr w:type="spellStart"/>
      <w:r w:rsidRPr="005F1933">
        <w:rPr>
          <w:sz w:val="24"/>
          <w:szCs w:val="24"/>
        </w:rPr>
        <w:t>Serumphosphat</w:t>
      </w:r>
      <w:proofErr w:type="spellEnd"/>
      <w:r w:rsidRPr="005F1933">
        <w:rPr>
          <w:sz w:val="24"/>
          <w:szCs w:val="24"/>
        </w:rPr>
        <w:t xml:space="preserve"> skal testes hver anden eller tredje uge, indtil der er opnået et stabilt </w:t>
      </w:r>
      <w:proofErr w:type="spellStart"/>
      <w:r w:rsidRPr="005F1933">
        <w:rPr>
          <w:sz w:val="24"/>
          <w:szCs w:val="24"/>
        </w:rPr>
        <w:t>serumphosphatniveau</w:t>
      </w:r>
      <w:proofErr w:type="spellEnd"/>
      <w:r w:rsidRPr="005F1933">
        <w:rPr>
          <w:sz w:val="24"/>
          <w:szCs w:val="24"/>
        </w:rPr>
        <w:t>, og derefter jævnligt.</w:t>
      </w:r>
    </w:p>
    <w:p w:rsidR="00E1026C" w:rsidRPr="005F1933" w:rsidRDefault="00E1026C" w:rsidP="00E1026C">
      <w:pPr>
        <w:ind w:left="851"/>
        <w:rPr>
          <w:sz w:val="24"/>
          <w:szCs w:val="24"/>
        </w:rPr>
      </w:pPr>
    </w:p>
    <w:p w:rsidR="00E1026C" w:rsidRPr="005F1933" w:rsidRDefault="00E1026C" w:rsidP="00E1026C">
      <w:pPr>
        <w:ind w:left="851"/>
        <w:rPr>
          <w:sz w:val="24"/>
          <w:szCs w:val="24"/>
        </w:rPr>
      </w:pPr>
      <w:r w:rsidRPr="005F1933">
        <w:rPr>
          <w:sz w:val="24"/>
          <w:szCs w:val="24"/>
        </w:rPr>
        <w:t xml:space="preserve">Doseringsområdet kan variere mellem 1 og 5 tabletter af 800 mg pr. måltid. Den gennemsnitlige, faktiske daglige dosis i den kroniske fase i et klinisk studie over 1 år var 7 g </w:t>
      </w:r>
      <w:proofErr w:type="spellStart"/>
      <w:r w:rsidRPr="005F1933">
        <w:rPr>
          <w:sz w:val="24"/>
          <w:szCs w:val="24"/>
        </w:rPr>
        <w:t>sevelamer</w:t>
      </w:r>
      <w:proofErr w:type="spellEnd"/>
      <w:r w:rsidRPr="005F1933">
        <w:rPr>
          <w:sz w:val="24"/>
          <w:szCs w:val="24"/>
        </w:rPr>
        <w:t>.</w:t>
      </w:r>
    </w:p>
    <w:p w:rsidR="00E1026C" w:rsidRPr="005F1933" w:rsidRDefault="00E1026C" w:rsidP="00E1026C">
      <w:pPr>
        <w:ind w:left="851"/>
        <w:rPr>
          <w:i/>
          <w:sz w:val="24"/>
          <w:szCs w:val="24"/>
        </w:rPr>
      </w:pPr>
    </w:p>
    <w:p w:rsidR="00E1026C" w:rsidRPr="005F1933" w:rsidRDefault="00E1026C" w:rsidP="00E1026C">
      <w:pPr>
        <w:ind w:left="851"/>
        <w:rPr>
          <w:i/>
          <w:sz w:val="24"/>
          <w:szCs w:val="24"/>
          <w:u w:val="single"/>
        </w:rPr>
      </w:pPr>
      <w:r w:rsidRPr="005F1933">
        <w:rPr>
          <w:i/>
          <w:sz w:val="24"/>
          <w:szCs w:val="24"/>
          <w:u w:val="single"/>
        </w:rPr>
        <w:t>Pædiatrisk population</w:t>
      </w:r>
    </w:p>
    <w:p w:rsidR="00E1026C" w:rsidRPr="005F1933" w:rsidRDefault="00E1026C" w:rsidP="00E1026C">
      <w:pPr>
        <w:ind w:left="851"/>
        <w:rPr>
          <w:sz w:val="24"/>
          <w:szCs w:val="24"/>
        </w:rPr>
      </w:pPr>
      <w:r w:rsidRPr="005F1933">
        <w:rPr>
          <w:sz w:val="24"/>
          <w:szCs w:val="24"/>
        </w:rPr>
        <w:t>Sikkerheden og virkningen af dette lægemiddel er ikke dokumenteret hos patienter under 18 år.</w:t>
      </w:r>
    </w:p>
    <w:p w:rsidR="00E1026C" w:rsidRPr="005F1933" w:rsidRDefault="00E1026C" w:rsidP="00E1026C">
      <w:pPr>
        <w:ind w:left="851"/>
        <w:rPr>
          <w:sz w:val="24"/>
          <w:szCs w:val="24"/>
        </w:rPr>
      </w:pPr>
    </w:p>
    <w:p w:rsidR="00E1026C" w:rsidRPr="005F1933" w:rsidRDefault="00E1026C" w:rsidP="00E1026C">
      <w:pPr>
        <w:ind w:left="851"/>
        <w:rPr>
          <w:i/>
          <w:sz w:val="24"/>
          <w:szCs w:val="24"/>
          <w:u w:val="single"/>
        </w:rPr>
      </w:pPr>
      <w:r w:rsidRPr="005F1933">
        <w:rPr>
          <w:i/>
          <w:sz w:val="24"/>
          <w:szCs w:val="24"/>
          <w:u w:val="single"/>
        </w:rPr>
        <w:t xml:space="preserve">Nedsat nyrefunktion </w:t>
      </w:r>
    </w:p>
    <w:p w:rsidR="00E1026C" w:rsidRPr="005F1933" w:rsidRDefault="00E1026C" w:rsidP="00E1026C">
      <w:pPr>
        <w:ind w:left="851"/>
        <w:rPr>
          <w:sz w:val="24"/>
          <w:szCs w:val="24"/>
        </w:rPr>
      </w:pPr>
      <w:r w:rsidRPr="005F1933">
        <w:rPr>
          <w:sz w:val="24"/>
          <w:szCs w:val="24"/>
        </w:rPr>
        <w:t>Sikkerheden og virkningen af dette lægemiddel er ikke dokumenteret hos prædialysepatienter.</w:t>
      </w:r>
    </w:p>
    <w:p w:rsidR="00E1026C" w:rsidRPr="005F1933" w:rsidRDefault="00E1026C" w:rsidP="00E1026C">
      <w:pPr>
        <w:ind w:left="851"/>
        <w:rPr>
          <w:i/>
          <w:sz w:val="24"/>
          <w:szCs w:val="24"/>
        </w:rPr>
      </w:pPr>
    </w:p>
    <w:p w:rsidR="00E1026C" w:rsidRPr="005F1933" w:rsidRDefault="00E1026C" w:rsidP="00E1026C">
      <w:pPr>
        <w:ind w:left="851"/>
        <w:rPr>
          <w:i/>
          <w:sz w:val="24"/>
          <w:szCs w:val="24"/>
          <w:u w:val="single"/>
        </w:rPr>
      </w:pPr>
      <w:r w:rsidRPr="005F1933">
        <w:rPr>
          <w:i/>
          <w:sz w:val="24"/>
          <w:szCs w:val="24"/>
          <w:u w:val="single"/>
        </w:rPr>
        <w:t>Administration</w:t>
      </w:r>
    </w:p>
    <w:p w:rsidR="00E1026C" w:rsidRPr="005F1933" w:rsidRDefault="00E1026C" w:rsidP="00E1026C">
      <w:pPr>
        <w:ind w:left="851"/>
        <w:rPr>
          <w:sz w:val="24"/>
          <w:szCs w:val="24"/>
        </w:rPr>
      </w:pPr>
      <w:r w:rsidRPr="005F1933">
        <w:rPr>
          <w:sz w:val="24"/>
          <w:szCs w:val="24"/>
        </w:rPr>
        <w:t>Til oral anvendelse.</w:t>
      </w:r>
    </w:p>
    <w:p w:rsidR="00E1026C" w:rsidRPr="005F1933" w:rsidRDefault="00E1026C" w:rsidP="00E1026C">
      <w:pPr>
        <w:ind w:left="851"/>
        <w:rPr>
          <w:sz w:val="24"/>
          <w:szCs w:val="24"/>
        </w:rPr>
      </w:pPr>
      <w:r w:rsidRPr="005F1933">
        <w:rPr>
          <w:sz w:val="24"/>
          <w:szCs w:val="24"/>
        </w:rPr>
        <w:t xml:space="preserve">Patienterne skal indtage </w:t>
      </w:r>
      <w:proofErr w:type="spellStart"/>
      <w:r>
        <w:rPr>
          <w:sz w:val="24"/>
          <w:szCs w:val="24"/>
        </w:rPr>
        <w:t>s</w:t>
      </w:r>
      <w:r w:rsidRPr="005F1933">
        <w:rPr>
          <w:sz w:val="24"/>
          <w:szCs w:val="24"/>
        </w:rPr>
        <w:t>evelamerhydrochlorid</w:t>
      </w:r>
      <w:proofErr w:type="spellEnd"/>
      <w:r w:rsidRPr="005F1933">
        <w:rPr>
          <w:sz w:val="24"/>
          <w:szCs w:val="24"/>
        </w:rPr>
        <w:t xml:space="preserve"> sammen med måltider og holde sig til deres foreskrevne diæter. Tabletterne skal sluges hele. Må ikke knuses, tygges eller brækkes i stykker inden administration.</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4.3</w:t>
      </w:r>
      <w:r w:rsidRPr="005F1933">
        <w:rPr>
          <w:b/>
          <w:sz w:val="24"/>
          <w:szCs w:val="24"/>
        </w:rPr>
        <w:tab/>
        <w:t>Kontraindikationer</w:t>
      </w:r>
    </w:p>
    <w:p w:rsidR="00E1026C" w:rsidRPr="005F1933" w:rsidRDefault="00E1026C" w:rsidP="00E1026C">
      <w:pPr>
        <w:numPr>
          <w:ilvl w:val="0"/>
          <w:numId w:val="6"/>
        </w:numPr>
        <w:ind w:left="1276" w:hanging="425"/>
        <w:rPr>
          <w:sz w:val="24"/>
          <w:szCs w:val="24"/>
        </w:rPr>
      </w:pPr>
      <w:r w:rsidRPr="005F1933">
        <w:rPr>
          <w:sz w:val="24"/>
          <w:szCs w:val="24"/>
        </w:rPr>
        <w:t xml:space="preserve">Overfølsomhed over for </w:t>
      </w:r>
      <w:proofErr w:type="spellStart"/>
      <w:r w:rsidRPr="005F1933">
        <w:rPr>
          <w:sz w:val="24"/>
          <w:szCs w:val="24"/>
        </w:rPr>
        <w:t>sevelamer</w:t>
      </w:r>
      <w:proofErr w:type="spellEnd"/>
      <w:r w:rsidRPr="005F1933">
        <w:rPr>
          <w:sz w:val="24"/>
          <w:szCs w:val="24"/>
        </w:rPr>
        <w:t xml:space="preserve"> eller over for et eller flere af hjælpestofferne anført i punkt 6.1.</w:t>
      </w:r>
    </w:p>
    <w:p w:rsidR="00E1026C" w:rsidRPr="005F1933" w:rsidRDefault="00E1026C" w:rsidP="00E1026C">
      <w:pPr>
        <w:numPr>
          <w:ilvl w:val="0"/>
          <w:numId w:val="6"/>
        </w:numPr>
        <w:ind w:left="1276" w:hanging="425"/>
        <w:rPr>
          <w:sz w:val="24"/>
          <w:szCs w:val="24"/>
        </w:rPr>
      </w:pPr>
      <w:proofErr w:type="spellStart"/>
      <w:r w:rsidRPr="005F1933">
        <w:rPr>
          <w:sz w:val="24"/>
          <w:szCs w:val="24"/>
        </w:rPr>
        <w:t>Hypophosphatæmi</w:t>
      </w:r>
      <w:proofErr w:type="spellEnd"/>
    </w:p>
    <w:p w:rsidR="00E1026C" w:rsidRPr="005F1933" w:rsidRDefault="00E1026C" w:rsidP="00E1026C">
      <w:pPr>
        <w:numPr>
          <w:ilvl w:val="0"/>
          <w:numId w:val="6"/>
        </w:numPr>
        <w:ind w:left="1276" w:hanging="425"/>
        <w:rPr>
          <w:sz w:val="24"/>
          <w:szCs w:val="24"/>
        </w:rPr>
      </w:pPr>
      <w:r w:rsidRPr="005F1933">
        <w:rPr>
          <w:sz w:val="24"/>
          <w:szCs w:val="24"/>
        </w:rPr>
        <w:t>Tarmobstruktion</w:t>
      </w:r>
    </w:p>
    <w:p w:rsidR="00E1026C" w:rsidRDefault="00E1026C" w:rsidP="00E1026C">
      <w:pPr>
        <w:rPr>
          <w:sz w:val="24"/>
          <w:szCs w:val="24"/>
        </w:rPr>
      </w:pPr>
      <w:r>
        <w:rPr>
          <w:sz w:val="24"/>
          <w:szCs w:val="24"/>
        </w:rPr>
        <w:br w:type="page"/>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4.4</w:t>
      </w:r>
      <w:r w:rsidRPr="005F1933">
        <w:rPr>
          <w:b/>
          <w:sz w:val="24"/>
          <w:szCs w:val="24"/>
        </w:rPr>
        <w:tab/>
        <w:t>Særlige advarsler og forsigtighedsregler vedrørende brugen</w:t>
      </w:r>
    </w:p>
    <w:p w:rsidR="00E1026C" w:rsidRPr="005F1933" w:rsidRDefault="00E1026C" w:rsidP="00E1026C">
      <w:pPr>
        <w:ind w:left="851"/>
        <w:rPr>
          <w:sz w:val="24"/>
          <w:szCs w:val="24"/>
        </w:rPr>
      </w:pPr>
      <w:proofErr w:type="spellStart"/>
      <w:r w:rsidRPr="005F1933">
        <w:rPr>
          <w:sz w:val="24"/>
          <w:szCs w:val="24"/>
        </w:rPr>
        <w:t>Sevelamerhydrochlorids</w:t>
      </w:r>
      <w:proofErr w:type="spellEnd"/>
      <w:r w:rsidRPr="005F1933">
        <w:rPr>
          <w:sz w:val="24"/>
          <w:szCs w:val="24"/>
        </w:rPr>
        <w:t xml:space="preserve"> sikkerhed og effekt er ikke undersøgt hos patienter med:</w:t>
      </w:r>
    </w:p>
    <w:p w:rsidR="00E1026C" w:rsidRPr="005F1933" w:rsidRDefault="00E1026C" w:rsidP="00E1026C">
      <w:pPr>
        <w:numPr>
          <w:ilvl w:val="0"/>
          <w:numId w:val="7"/>
        </w:numPr>
        <w:ind w:left="1276" w:hanging="425"/>
        <w:rPr>
          <w:sz w:val="24"/>
          <w:szCs w:val="24"/>
        </w:rPr>
      </w:pPr>
      <w:r w:rsidRPr="005F1933">
        <w:rPr>
          <w:sz w:val="24"/>
          <w:szCs w:val="24"/>
        </w:rPr>
        <w:t>Synkevanskeligheder</w:t>
      </w:r>
    </w:p>
    <w:p w:rsidR="00E1026C" w:rsidRPr="005F1933" w:rsidRDefault="00E1026C" w:rsidP="00E1026C">
      <w:pPr>
        <w:numPr>
          <w:ilvl w:val="0"/>
          <w:numId w:val="7"/>
        </w:numPr>
        <w:ind w:left="1276" w:hanging="425"/>
        <w:rPr>
          <w:sz w:val="24"/>
          <w:szCs w:val="24"/>
        </w:rPr>
      </w:pPr>
      <w:r w:rsidRPr="005F1933">
        <w:rPr>
          <w:sz w:val="24"/>
          <w:szCs w:val="24"/>
        </w:rPr>
        <w:t>aktiv inflammatorisk tarmsygdom</w:t>
      </w:r>
    </w:p>
    <w:p w:rsidR="00E1026C" w:rsidRPr="005F1933" w:rsidRDefault="00E1026C" w:rsidP="00E1026C">
      <w:pPr>
        <w:numPr>
          <w:ilvl w:val="0"/>
          <w:numId w:val="7"/>
        </w:numPr>
        <w:ind w:left="1276" w:hanging="425"/>
        <w:rPr>
          <w:sz w:val="24"/>
          <w:szCs w:val="24"/>
        </w:rPr>
      </w:pPr>
      <w:proofErr w:type="spellStart"/>
      <w:r w:rsidRPr="005F1933">
        <w:rPr>
          <w:sz w:val="24"/>
          <w:szCs w:val="24"/>
        </w:rPr>
        <w:t>gastrointestinale</w:t>
      </w:r>
      <w:proofErr w:type="spellEnd"/>
      <w:r w:rsidRPr="005F1933">
        <w:rPr>
          <w:sz w:val="24"/>
          <w:szCs w:val="24"/>
        </w:rPr>
        <w:t xml:space="preserve"> </w:t>
      </w:r>
      <w:proofErr w:type="spellStart"/>
      <w:r w:rsidRPr="005F1933">
        <w:rPr>
          <w:sz w:val="24"/>
          <w:szCs w:val="24"/>
        </w:rPr>
        <w:t>motilitetsproblemer</w:t>
      </w:r>
      <w:proofErr w:type="spellEnd"/>
      <w:r w:rsidRPr="005F1933">
        <w:rPr>
          <w:sz w:val="24"/>
          <w:szCs w:val="24"/>
        </w:rPr>
        <w:t xml:space="preserve">, inklusive ubehandlet eller svær </w:t>
      </w:r>
      <w:proofErr w:type="spellStart"/>
      <w:r w:rsidRPr="005F1933">
        <w:rPr>
          <w:sz w:val="24"/>
          <w:szCs w:val="24"/>
        </w:rPr>
        <w:t>gastroparese</w:t>
      </w:r>
      <w:proofErr w:type="spellEnd"/>
      <w:r w:rsidRPr="005F1933">
        <w:rPr>
          <w:sz w:val="24"/>
          <w:szCs w:val="24"/>
        </w:rPr>
        <w:t xml:space="preserve">, retention af ventrikelindhold pga. </w:t>
      </w:r>
      <w:proofErr w:type="spellStart"/>
      <w:r w:rsidRPr="005F1933">
        <w:rPr>
          <w:sz w:val="24"/>
          <w:szCs w:val="24"/>
        </w:rPr>
        <w:t>divertikulose</w:t>
      </w:r>
      <w:proofErr w:type="spellEnd"/>
      <w:r w:rsidRPr="005F1933">
        <w:rPr>
          <w:sz w:val="24"/>
          <w:szCs w:val="24"/>
        </w:rPr>
        <w:t>, unormal eller uregelmæssig tarmbevægelse</w:t>
      </w:r>
    </w:p>
    <w:p w:rsidR="00E1026C" w:rsidRPr="005F1933" w:rsidRDefault="00E1026C" w:rsidP="00E1026C">
      <w:pPr>
        <w:numPr>
          <w:ilvl w:val="0"/>
          <w:numId w:val="7"/>
        </w:numPr>
        <w:ind w:left="1276" w:hanging="425"/>
        <w:rPr>
          <w:sz w:val="24"/>
          <w:szCs w:val="24"/>
        </w:rPr>
      </w:pPr>
      <w:r w:rsidRPr="005F1933">
        <w:rPr>
          <w:sz w:val="24"/>
          <w:szCs w:val="24"/>
        </w:rPr>
        <w:t xml:space="preserve">patienter med større </w:t>
      </w:r>
      <w:proofErr w:type="spellStart"/>
      <w:r w:rsidRPr="005F1933">
        <w:rPr>
          <w:sz w:val="24"/>
          <w:szCs w:val="24"/>
        </w:rPr>
        <w:t>gastrointestinale</w:t>
      </w:r>
      <w:proofErr w:type="spellEnd"/>
      <w:r w:rsidRPr="005F1933">
        <w:rPr>
          <w:sz w:val="24"/>
          <w:szCs w:val="24"/>
        </w:rPr>
        <w:t xml:space="preserve"> kirurgiske indgreb i anamnesen.</w:t>
      </w:r>
    </w:p>
    <w:p w:rsidR="00E1026C" w:rsidRPr="005F1933" w:rsidRDefault="00E1026C" w:rsidP="00E1026C">
      <w:pPr>
        <w:ind w:left="851"/>
        <w:rPr>
          <w:sz w:val="24"/>
          <w:szCs w:val="24"/>
        </w:rPr>
      </w:pPr>
      <w:r w:rsidRPr="005F1933">
        <w:rPr>
          <w:sz w:val="24"/>
          <w:szCs w:val="24"/>
        </w:rPr>
        <w:t>Der skal de</w:t>
      </w:r>
      <w:r>
        <w:rPr>
          <w:sz w:val="24"/>
          <w:szCs w:val="24"/>
        </w:rPr>
        <w:t xml:space="preserve">rfor udvises forsigtighed, når </w:t>
      </w:r>
      <w:proofErr w:type="spellStart"/>
      <w:r>
        <w:rPr>
          <w:sz w:val="24"/>
          <w:szCs w:val="24"/>
        </w:rPr>
        <w:t>s</w:t>
      </w:r>
      <w:r w:rsidRPr="005F1933">
        <w:rPr>
          <w:sz w:val="24"/>
          <w:szCs w:val="24"/>
        </w:rPr>
        <w:t>evelamerhydrochlorid</w:t>
      </w:r>
      <w:proofErr w:type="spellEnd"/>
      <w:r w:rsidRPr="005F1933">
        <w:rPr>
          <w:sz w:val="24"/>
          <w:szCs w:val="24"/>
        </w:rPr>
        <w:t xml:space="preserve"> anvendes hos patienter med disse problemer.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Intestinal</w:t>
      </w:r>
      <w:proofErr w:type="spellEnd"/>
      <w:r w:rsidRPr="005F1933">
        <w:rPr>
          <w:sz w:val="24"/>
          <w:szCs w:val="24"/>
          <w:u w:val="single"/>
        </w:rPr>
        <w:t xml:space="preserve"> obstruktion og </w:t>
      </w:r>
      <w:proofErr w:type="spellStart"/>
      <w:r w:rsidRPr="005F1933">
        <w:rPr>
          <w:sz w:val="24"/>
          <w:szCs w:val="24"/>
          <w:u w:val="single"/>
        </w:rPr>
        <w:t>ileus</w:t>
      </w:r>
      <w:proofErr w:type="spellEnd"/>
      <w:r w:rsidRPr="005F1933">
        <w:rPr>
          <w:sz w:val="24"/>
          <w:szCs w:val="24"/>
          <w:u w:val="single"/>
        </w:rPr>
        <w:t>/</w:t>
      </w:r>
      <w:proofErr w:type="spellStart"/>
      <w:r w:rsidRPr="005F1933">
        <w:rPr>
          <w:sz w:val="24"/>
          <w:szCs w:val="24"/>
          <w:u w:val="single"/>
        </w:rPr>
        <w:t>subileus</w:t>
      </w:r>
      <w:proofErr w:type="spellEnd"/>
    </w:p>
    <w:p w:rsidR="00E1026C" w:rsidRPr="005F1933" w:rsidRDefault="00E1026C" w:rsidP="00E1026C">
      <w:pPr>
        <w:ind w:left="851"/>
        <w:rPr>
          <w:sz w:val="24"/>
          <w:szCs w:val="24"/>
        </w:rPr>
      </w:pPr>
      <w:r w:rsidRPr="005F1933">
        <w:rPr>
          <w:sz w:val="24"/>
          <w:szCs w:val="24"/>
        </w:rPr>
        <w:t xml:space="preserve">I meget sjældne tilfælde er der observeret tarmobstruktion og </w:t>
      </w:r>
      <w:proofErr w:type="spellStart"/>
      <w:r w:rsidRPr="005F1933">
        <w:rPr>
          <w:sz w:val="24"/>
          <w:szCs w:val="24"/>
        </w:rPr>
        <w:t>ileus</w:t>
      </w:r>
      <w:proofErr w:type="spellEnd"/>
      <w:r w:rsidRPr="005F1933">
        <w:rPr>
          <w:sz w:val="24"/>
          <w:szCs w:val="24"/>
        </w:rPr>
        <w:t>/</w:t>
      </w:r>
      <w:proofErr w:type="spellStart"/>
      <w:r w:rsidRPr="005F1933">
        <w:rPr>
          <w:sz w:val="24"/>
          <w:szCs w:val="24"/>
        </w:rPr>
        <w:t>subileus</w:t>
      </w:r>
      <w:proofErr w:type="spellEnd"/>
      <w:r w:rsidRPr="005F1933">
        <w:rPr>
          <w:sz w:val="24"/>
          <w:szCs w:val="24"/>
        </w:rPr>
        <w:t xml:space="preserve"> hos patienter under behandling med </w:t>
      </w:r>
      <w:proofErr w:type="spellStart"/>
      <w:r w:rsidRPr="005F1933">
        <w:rPr>
          <w:sz w:val="24"/>
          <w:szCs w:val="24"/>
        </w:rPr>
        <w:t>sevelamerhydrochlorid</w:t>
      </w:r>
      <w:proofErr w:type="spellEnd"/>
      <w:r w:rsidRPr="005F1933">
        <w:rPr>
          <w:sz w:val="24"/>
          <w:szCs w:val="24"/>
        </w:rPr>
        <w:t xml:space="preserve">. Obstipation kan være et første symptom. Patienter med obstipation skal overvåges omhyggeligt, medens de behandles med </w:t>
      </w:r>
      <w:proofErr w:type="spellStart"/>
      <w:r w:rsidRPr="005F1933">
        <w:rPr>
          <w:sz w:val="24"/>
          <w:szCs w:val="24"/>
        </w:rPr>
        <w:t>sevelamerhydrochlorid</w:t>
      </w:r>
      <w:proofErr w:type="spellEnd"/>
      <w:r w:rsidRPr="005F1933">
        <w:rPr>
          <w:sz w:val="24"/>
          <w:szCs w:val="24"/>
        </w:rPr>
        <w:t>.</w:t>
      </w:r>
    </w:p>
    <w:p w:rsidR="00E1026C" w:rsidRPr="005F1933" w:rsidRDefault="00E1026C" w:rsidP="00E1026C">
      <w:pPr>
        <w:ind w:left="851"/>
        <w:rPr>
          <w:sz w:val="24"/>
          <w:szCs w:val="24"/>
        </w:rPr>
      </w:pPr>
      <w:r w:rsidRPr="005F1933">
        <w:rPr>
          <w:sz w:val="24"/>
          <w:szCs w:val="24"/>
        </w:rPr>
        <w:t xml:space="preserve">Behandling med </w:t>
      </w:r>
      <w:proofErr w:type="spellStart"/>
      <w:r>
        <w:rPr>
          <w:sz w:val="24"/>
          <w:szCs w:val="24"/>
        </w:rPr>
        <w:t>s</w:t>
      </w:r>
      <w:r w:rsidRPr="005F1933">
        <w:rPr>
          <w:sz w:val="24"/>
          <w:szCs w:val="24"/>
        </w:rPr>
        <w:t>evelamerhydrochlorid</w:t>
      </w:r>
      <w:proofErr w:type="spellEnd"/>
      <w:r w:rsidRPr="005F1933">
        <w:rPr>
          <w:sz w:val="24"/>
          <w:szCs w:val="24"/>
        </w:rPr>
        <w:t xml:space="preserve"> skal genvurderes for patienter, der udvikler svær obstipation eller andre alvorlige </w:t>
      </w:r>
      <w:proofErr w:type="spellStart"/>
      <w:r w:rsidRPr="005F1933">
        <w:rPr>
          <w:sz w:val="24"/>
          <w:szCs w:val="24"/>
        </w:rPr>
        <w:t>gastrointestinale</w:t>
      </w:r>
      <w:proofErr w:type="spellEnd"/>
      <w:r w:rsidRPr="005F1933">
        <w:rPr>
          <w:sz w:val="24"/>
          <w:szCs w:val="24"/>
        </w:rPr>
        <w:t xml:space="preserve"> symptomer.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Fedtopløselige vitaminer</w:t>
      </w:r>
    </w:p>
    <w:p w:rsidR="00E1026C" w:rsidRPr="005F1933" w:rsidRDefault="00E1026C" w:rsidP="00E1026C">
      <w:pPr>
        <w:ind w:left="851"/>
        <w:rPr>
          <w:sz w:val="24"/>
          <w:szCs w:val="24"/>
        </w:rPr>
      </w:pPr>
      <w:r w:rsidRPr="005F1933">
        <w:rPr>
          <w:sz w:val="24"/>
          <w:szCs w:val="24"/>
        </w:rPr>
        <w:t xml:space="preserve">Afhængigt af fødeindtagelse og graden af </w:t>
      </w:r>
      <w:proofErr w:type="gramStart"/>
      <w:r w:rsidRPr="005F1933">
        <w:rPr>
          <w:sz w:val="24"/>
          <w:szCs w:val="24"/>
        </w:rPr>
        <w:t>terminal nyresvigt</w:t>
      </w:r>
      <w:proofErr w:type="gramEnd"/>
      <w:r w:rsidRPr="005F1933">
        <w:rPr>
          <w:sz w:val="24"/>
          <w:szCs w:val="24"/>
        </w:rPr>
        <w:t xml:space="preserve"> kan dialysepatienter udvikle lave niveauer af A-, D-, E- og K-vitamin. Det kan ikke udelukkes, at </w:t>
      </w:r>
      <w:proofErr w:type="spellStart"/>
      <w:r>
        <w:rPr>
          <w:sz w:val="24"/>
          <w:szCs w:val="24"/>
        </w:rPr>
        <w:t>s</w:t>
      </w:r>
      <w:r w:rsidRPr="005F1933">
        <w:rPr>
          <w:sz w:val="24"/>
          <w:szCs w:val="24"/>
        </w:rPr>
        <w:t>evelamerhydrochlorid</w:t>
      </w:r>
      <w:proofErr w:type="spellEnd"/>
      <w:r w:rsidRPr="005F1933">
        <w:rPr>
          <w:sz w:val="24"/>
          <w:szCs w:val="24"/>
        </w:rPr>
        <w:t xml:space="preserve"> kan binde fedtopløselige vitaminer i indtaget mad. Hos patienter, der ikke tager disse vitaminer, bør det derfor overvejes nøje at monitorere niveauerne af</w:t>
      </w:r>
      <w:r w:rsidR="00912A59">
        <w:rPr>
          <w:sz w:val="24"/>
          <w:szCs w:val="24"/>
        </w:rPr>
        <w:t xml:space="preserve"> </w:t>
      </w:r>
      <w:r w:rsidRPr="005F1933">
        <w:rPr>
          <w:sz w:val="24"/>
          <w:szCs w:val="24"/>
        </w:rPr>
        <w:t xml:space="preserve">A-, D- og E-vitamin og vurdere status af vitamin-K gennem måling af </w:t>
      </w:r>
      <w:proofErr w:type="spellStart"/>
      <w:r w:rsidRPr="005F1933">
        <w:rPr>
          <w:sz w:val="24"/>
          <w:szCs w:val="24"/>
        </w:rPr>
        <w:t>tromboplastintid</w:t>
      </w:r>
      <w:proofErr w:type="spellEnd"/>
      <w:r w:rsidRPr="005F1933">
        <w:rPr>
          <w:sz w:val="24"/>
          <w:szCs w:val="24"/>
        </w:rPr>
        <w:t xml:space="preserve"> og om nødvendigt give vitamintilskud. Ekstra monitorering af vitaminer og </w:t>
      </w:r>
      <w:proofErr w:type="spellStart"/>
      <w:r w:rsidRPr="005F1933">
        <w:rPr>
          <w:sz w:val="24"/>
          <w:szCs w:val="24"/>
        </w:rPr>
        <w:t>folinsyre</w:t>
      </w:r>
      <w:proofErr w:type="spellEnd"/>
      <w:r w:rsidRPr="005F1933">
        <w:rPr>
          <w:sz w:val="24"/>
          <w:szCs w:val="24"/>
        </w:rPr>
        <w:t xml:space="preserve"> anbefales hos patienter i </w:t>
      </w:r>
      <w:proofErr w:type="spellStart"/>
      <w:r w:rsidRPr="005F1933">
        <w:rPr>
          <w:sz w:val="24"/>
          <w:szCs w:val="24"/>
        </w:rPr>
        <w:t>peritonealdialyse</w:t>
      </w:r>
      <w:proofErr w:type="spellEnd"/>
      <w:r w:rsidRPr="005F1933">
        <w:rPr>
          <w:sz w:val="24"/>
          <w:szCs w:val="24"/>
        </w:rPr>
        <w:t>, eftersom niveauet af A-, D-, E- og K-vitamin ikke blev målt i kliniske studier hos sådanne patienter.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Folatmangel</w:t>
      </w:r>
      <w:proofErr w:type="spellEnd"/>
    </w:p>
    <w:p w:rsidR="00E1026C" w:rsidRPr="005F1933" w:rsidRDefault="00E1026C" w:rsidP="00E1026C">
      <w:pPr>
        <w:ind w:left="851"/>
        <w:rPr>
          <w:sz w:val="24"/>
          <w:szCs w:val="24"/>
        </w:rPr>
      </w:pPr>
      <w:r w:rsidRPr="005F1933">
        <w:rPr>
          <w:sz w:val="24"/>
          <w:szCs w:val="24"/>
        </w:rPr>
        <w:t xml:space="preserve">Der er i øjeblikket utilstrækkelige data til at udelukke muligheden for </w:t>
      </w:r>
      <w:proofErr w:type="spellStart"/>
      <w:r w:rsidRPr="005F1933">
        <w:rPr>
          <w:sz w:val="24"/>
          <w:szCs w:val="24"/>
        </w:rPr>
        <w:t>folatmangel</w:t>
      </w:r>
      <w:proofErr w:type="spellEnd"/>
      <w:r w:rsidRPr="005F1933">
        <w:rPr>
          <w:sz w:val="24"/>
          <w:szCs w:val="24"/>
        </w:rPr>
        <w:t xml:space="preserve"> ved langtidsbehandling med </w:t>
      </w:r>
      <w:proofErr w:type="spellStart"/>
      <w:r>
        <w:rPr>
          <w:sz w:val="24"/>
          <w:szCs w:val="24"/>
        </w:rPr>
        <w:t>s</w:t>
      </w:r>
      <w:r w:rsidRPr="005F1933">
        <w:rPr>
          <w:sz w:val="24"/>
          <w:szCs w:val="24"/>
        </w:rPr>
        <w:t>evelamerhydrochlorid</w:t>
      </w:r>
      <w:proofErr w:type="spellEnd"/>
      <w:r w:rsidRPr="005F1933">
        <w:rPr>
          <w:sz w:val="24"/>
          <w:szCs w:val="24"/>
        </w:rPr>
        <w: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Hypokalcæmi</w:t>
      </w:r>
      <w:proofErr w:type="spellEnd"/>
      <w:r w:rsidRPr="005F1933">
        <w:rPr>
          <w:sz w:val="24"/>
          <w:szCs w:val="24"/>
          <w:u w:val="single"/>
        </w:rPr>
        <w:t>/</w:t>
      </w:r>
      <w:proofErr w:type="spellStart"/>
      <w:r w:rsidRPr="005F1933">
        <w:rPr>
          <w:sz w:val="24"/>
          <w:szCs w:val="24"/>
          <w:u w:val="single"/>
        </w:rPr>
        <w:t>hyperkalcæmi</w:t>
      </w:r>
      <w:proofErr w:type="spellEnd"/>
    </w:p>
    <w:p w:rsidR="00E1026C" w:rsidRPr="005F1933" w:rsidRDefault="00E1026C" w:rsidP="00E1026C">
      <w:pPr>
        <w:ind w:left="851"/>
        <w:rPr>
          <w:sz w:val="24"/>
          <w:szCs w:val="24"/>
        </w:rPr>
      </w:pPr>
      <w:r w:rsidRPr="005F1933">
        <w:rPr>
          <w:sz w:val="24"/>
          <w:szCs w:val="24"/>
        </w:rPr>
        <w:t xml:space="preserve">Patienter med nyreinsufficiens kan udvikle </w:t>
      </w:r>
      <w:proofErr w:type="spellStart"/>
      <w:r w:rsidRPr="005F1933">
        <w:rPr>
          <w:sz w:val="24"/>
          <w:szCs w:val="24"/>
        </w:rPr>
        <w:t>hypokalcæmi</w:t>
      </w:r>
      <w:proofErr w:type="spellEnd"/>
      <w:r w:rsidRPr="005F1933">
        <w:rPr>
          <w:sz w:val="24"/>
          <w:szCs w:val="24"/>
        </w:rPr>
        <w:t xml:space="preserve"> eller </w:t>
      </w:r>
      <w:proofErr w:type="spellStart"/>
      <w:r w:rsidRPr="005F1933">
        <w:rPr>
          <w:sz w:val="24"/>
          <w:szCs w:val="24"/>
        </w:rPr>
        <w:t>hyperkalcæmi</w:t>
      </w:r>
      <w:proofErr w:type="spellEnd"/>
      <w:r w:rsidRPr="005F1933">
        <w:rPr>
          <w:sz w:val="24"/>
          <w:szCs w:val="24"/>
        </w:rPr>
        <w:t xml:space="preserve">. </w:t>
      </w:r>
      <w:proofErr w:type="spellStart"/>
      <w:r w:rsidRPr="005F1933">
        <w:rPr>
          <w:sz w:val="24"/>
          <w:szCs w:val="24"/>
        </w:rPr>
        <w:t>Sevelamerhydrochlorid</w:t>
      </w:r>
      <w:proofErr w:type="spellEnd"/>
      <w:r w:rsidRPr="005F1933">
        <w:rPr>
          <w:sz w:val="24"/>
          <w:szCs w:val="24"/>
        </w:rPr>
        <w:t xml:space="preserve"> indeholder ikke calcium. Serumcalciumniveauerne bør monitoreres, som det sker ved normal opfølgning af dialysepatienter. Der bør gives usammensat calcium som tilskud i tilfælde af </w:t>
      </w:r>
      <w:proofErr w:type="spellStart"/>
      <w:r w:rsidRPr="005F1933">
        <w:rPr>
          <w:sz w:val="24"/>
          <w:szCs w:val="24"/>
        </w:rPr>
        <w:t>hypokalcæmi</w:t>
      </w:r>
      <w:proofErr w:type="spellEnd"/>
      <w:r w:rsidRPr="005F1933">
        <w:rPr>
          <w:sz w:val="24"/>
          <w:szCs w:val="24"/>
        </w:rPr>
        <w: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 xml:space="preserve">Metabolisk </w:t>
      </w:r>
      <w:proofErr w:type="spellStart"/>
      <w:r w:rsidRPr="005F1933">
        <w:rPr>
          <w:sz w:val="24"/>
          <w:szCs w:val="24"/>
          <w:u w:val="single"/>
        </w:rPr>
        <w:t>acidose</w:t>
      </w:r>
      <w:proofErr w:type="spellEnd"/>
    </w:p>
    <w:p w:rsidR="00E1026C" w:rsidRPr="005F1933" w:rsidRDefault="00E1026C" w:rsidP="00E1026C">
      <w:pPr>
        <w:ind w:left="851"/>
        <w:rPr>
          <w:sz w:val="24"/>
          <w:szCs w:val="24"/>
        </w:rPr>
      </w:pPr>
      <w:r w:rsidRPr="005F1933">
        <w:rPr>
          <w:sz w:val="24"/>
          <w:szCs w:val="24"/>
        </w:rPr>
        <w:t xml:space="preserve">Patienter med kronisk nyreinsufficiens er disponeret for at udvikle metabolisk </w:t>
      </w:r>
      <w:proofErr w:type="spellStart"/>
      <w:r w:rsidRPr="005F1933">
        <w:rPr>
          <w:sz w:val="24"/>
          <w:szCs w:val="24"/>
        </w:rPr>
        <w:t>acidose</w:t>
      </w:r>
      <w:proofErr w:type="spellEnd"/>
      <w:r w:rsidRPr="005F1933">
        <w:rPr>
          <w:sz w:val="24"/>
          <w:szCs w:val="24"/>
        </w:rPr>
        <w:t xml:space="preserve">. Forværring af </w:t>
      </w:r>
      <w:proofErr w:type="spellStart"/>
      <w:r w:rsidRPr="005F1933">
        <w:rPr>
          <w:sz w:val="24"/>
          <w:szCs w:val="24"/>
        </w:rPr>
        <w:t>acidose</w:t>
      </w:r>
      <w:proofErr w:type="spellEnd"/>
      <w:r w:rsidRPr="005F1933">
        <w:rPr>
          <w:sz w:val="24"/>
          <w:szCs w:val="24"/>
        </w:rPr>
        <w:t xml:space="preserve"> er rapporteret efter skift fra andre </w:t>
      </w:r>
      <w:proofErr w:type="spellStart"/>
      <w:r w:rsidRPr="005F1933">
        <w:rPr>
          <w:sz w:val="24"/>
          <w:szCs w:val="24"/>
        </w:rPr>
        <w:t>phosphatbindere</w:t>
      </w:r>
      <w:proofErr w:type="spellEnd"/>
      <w:r w:rsidRPr="005F1933">
        <w:rPr>
          <w:sz w:val="24"/>
          <w:szCs w:val="24"/>
        </w:rPr>
        <w:t xml:space="preserve"> til </w:t>
      </w:r>
      <w:proofErr w:type="spellStart"/>
      <w:r w:rsidRPr="005F1933">
        <w:rPr>
          <w:sz w:val="24"/>
          <w:szCs w:val="24"/>
        </w:rPr>
        <w:t>sevelamer</w:t>
      </w:r>
      <w:proofErr w:type="spellEnd"/>
      <w:r w:rsidRPr="005F1933">
        <w:rPr>
          <w:sz w:val="24"/>
          <w:szCs w:val="24"/>
        </w:rPr>
        <w:t xml:space="preserve"> i en række studier, hvor der blev observeret lavere </w:t>
      </w:r>
      <w:proofErr w:type="spellStart"/>
      <w:r w:rsidRPr="005F1933">
        <w:rPr>
          <w:sz w:val="24"/>
          <w:szCs w:val="24"/>
        </w:rPr>
        <w:t>hydrogencarbonatniveauer</w:t>
      </w:r>
      <w:proofErr w:type="spellEnd"/>
      <w:r w:rsidRPr="005F1933">
        <w:rPr>
          <w:sz w:val="24"/>
          <w:szCs w:val="24"/>
        </w:rPr>
        <w:t xml:space="preserve"> hos patienter, der blev behandlet med </w:t>
      </w:r>
      <w:proofErr w:type="spellStart"/>
      <w:r w:rsidRPr="005F1933">
        <w:rPr>
          <w:sz w:val="24"/>
          <w:szCs w:val="24"/>
        </w:rPr>
        <w:t>sevelamer</w:t>
      </w:r>
      <w:proofErr w:type="spellEnd"/>
      <w:r w:rsidRPr="005F1933">
        <w:rPr>
          <w:sz w:val="24"/>
          <w:szCs w:val="24"/>
        </w:rPr>
        <w:t>,</w:t>
      </w:r>
      <w:r>
        <w:rPr>
          <w:sz w:val="24"/>
          <w:szCs w:val="24"/>
        </w:rPr>
        <w:t xml:space="preserve"> </w:t>
      </w:r>
      <w:r w:rsidRPr="005F1933">
        <w:rPr>
          <w:sz w:val="24"/>
          <w:szCs w:val="24"/>
        </w:rPr>
        <w:t xml:space="preserve">sammenlignet med patienter, der blev behandlet med calciumbaserede bindere. Derfor anbefales en nøje monitorering af </w:t>
      </w:r>
      <w:proofErr w:type="spellStart"/>
      <w:r w:rsidRPr="005F1933">
        <w:rPr>
          <w:sz w:val="24"/>
          <w:szCs w:val="24"/>
        </w:rPr>
        <w:t>hydrogencarbonatniveau</w:t>
      </w:r>
      <w:proofErr w:type="spellEnd"/>
      <w:r w:rsidRPr="005F1933">
        <w:rPr>
          <w:sz w:val="24"/>
          <w:szCs w:val="24"/>
        </w:rPr>
        <w:t xml:space="preserve"> i serum.</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Peritonitis</w:t>
      </w:r>
      <w:proofErr w:type="spellEnd"/>
    </w:p>
    <w:p w:rsidR="00E1026C" w:rsidRPr="005F1933" w:rsidRDefault="00E1026C" w:rsidP="00E1026C">
      <w:pPr>
        <w:ind w:left="851"/>
        <w:rPr>
          <w:sz w:val="24"/>
          <w:szCs w:val="24"/>
        </w:rPr>
      </w:pPr>
      <w:r w:rsidRPr="005F1933">
        <w:rPr>
          <w:sz w:val="24"/>
          <w:szCs w:val="24"/>
        </w:rPr>
        <w:t xml:space="preserve">Patienter i dialyse </w:t>
      </w:r>
      <w:r>
        <w:rPr>
          <w:sz w:val="24"/>
          <w:szCs w:val="24"/>
        </w:rPr>
        <w:t>har</w:t>
      </w:r>
      <w:r w:rsidRPr="005F1933">
        <w:rPr>
          <w:sz w:val="24"/>
          <w:szCs w:val="24"/>
        </w:rPr>
        <w:t xml:space="preserve"> en vis risiko for infektion, der er specifik for dialysemetoden. </w:t>
      </w:r>
      <w:proofErr w:type="spellStart"/>
      <w:r w:rsidRPr="005F1933">
        <w:rPr>
          <w:sz w:val="24"/>
          <w:szCs w:val="24"/>
        </w:rPr>
        <w:t>Peritonitis</w:t>
      </w:r>
      <w:proofErr w:type="spellEnd"/>
      <w:r w:rsidRPr="005F1933">
        <w:rPr>
          <w:sz w:val="24"/>
          <w:szCs w:val="24"/>
        </w:rPr>
        <w:t xml:space="preserve"> er en kendt komplikation hos patienter i </w:t>
      </w:r>
      <w:proofErr w:type="spellStart"/>
      <w:r w:rsidRPr="005F1933">
        <w:rPr>
          <w:sz w:val="24"/>
          <w:szCs w:val="24"/>
        </w:rPr>
        <w:t>peritonealdialyse</w:t>
      </w:r>
      <w:proofErr w:type="spellEnd"/>
      <w:r w:rsidRPr="005F1933">
        <w:rPr>
          <w:sz w:val="24"/>
          <w:szCs w:val="24"/>
        </w:rPr>
        <w:t xml:space="preserve"> (PD), og i et klinisk studie med </w:t>
      </w:r>
      <w:proofErr w:type="spellStart"/>
      <w:r>
        <w:rPr>
          <w:sz w:val="24"/>
          <w:szCs w:val="24"/>
        </w:rPr>
        <w:t>s</w:t>
      </w:r>
      <w:r w:rsidRPr="005F1933">
        <w:rPr>
          <w:sz w:val="24"/>
          <w:szCs w:val="24"/>
        </w:rPr>
        <w:t>evelamerhydrochlorid</w:t>
      </w:r>
      <w:proofErr w:type="spellEnd"/>
      <w:r w:rsidRPr="005F1933">
        <w:rPr>
          <w:sz w:val="24"/>
          <w:szCs w:val="24"/>
        </w:rPr>
        <w:t xml:space="preserve"> blev et antal </w:t>
      </w:r>
      <w:proofErr w:type="spellStart"/>
      <w:r w:rsidRPr="005F1933">
        <w:rPr>
          <w:sz w:val="24"/>
          <w:szCs w:val="24"/>
        </w:rPr>
        <w:t>peritonitistilfælde</w:t>
      </w:r>
      <w:proofErr w:type="spellEnd"/>
      <w:r w:rsidRPr="005F1933">
        <w:rPr>
          <w:sz w:val="24"/>
          <w:szCs w:val="24"/>
        </w:rPr>
        <w:t xml:space="preserve"> rapporteret. Patienter i </w:t>
      </w:r>
      <w:proofErr w:type="spellStart"/>
      <w:r w:rsidRPr="005F1933">
        <w:rPr>
          <w:sz w:val="24"/>
          <w:szCs w:val="24"/>
        </w:rPr>
        <w:t>peritonealdialyse</w:t>
      </w:r>
      <w:proofErr w:type="spellEnd"/>
      <w:r w:rsidRPr="005F1933">
        <w:rPr>
          <w:sz w:val="24"/>
          <w:szCs w:val="24"/>
        </w:rPr>
        <w:t xml:space="preserve"> skal derfor overvåges nøje for at sikre pålidelig brug af aseptisk teknik samt øjeblikkelig erkendelse og behandling af tegn og symptomer på </w:t>
      </w:r>
      <w:proofErr w:type="spellStart"/>
      <w:r w:rsidRPr="005F1933">
        <w:rPr>
          <w:sz w:val="24"/>
          <w:szCs w:val="24"/>
        </w:rPr>
        <w:t>peritonitis</w:t>
      </w:r>
      <w:proofErr w:type="spellEnd"/>
      <w:r w:rsidRPr="005F1933">
        <w:rPr>
          <w:sz w:val="24"/>
          <w:szCs w:val="24"/>
        </w:rPr>
        <w: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Problemer med at sluge tabletterne eller med at få tabletterne galt i halsen</w:t>
      </w:r>
    </w:p>
    <w:p w:rsidR="00E1026C" w:rsidRPr="005F1933" w:rsidRDefault="00E1026C" w:rsidP="00E1026C">
      <w:pPr>
        <w:ind w:left="851"/>
        <w:rPr>
          <w:sz w:val="24"/>
          <w:szCs w:val="24"/>
        </w:rPr>
      </w:pPr>
      <w:r w:rsidRPr="005F1933">
        <w:rPr>
          <w:sz w:val="24"/>
          <w:szCs w:val="24"/>
        </w:rPr>
        <w:t xml:space="preserve">Der er i ikke almindelige tilfælde rapporteret, at patienter har haft svært ved at sluge </w:t>
      </w:r>
      <w:proofErr w:type="spellStart"/>
      <w:r>
        <w:rPr>
          <w:sz w:val="24"/>
          <w:szCs w:val="24"/>
        </w:rPr>
        <w:t>s</w:t>
      </w:r>
      <w:r w:rsidRPr="005F1933">
        <w:rPr>
          <w:sz w:val="24"/>
          <w:szCs w:val="24"/>
        </w:rPr>
        <w:t>evelamerhydrochlorid</w:t>
      </w:r>
      <w:proofErr w:type="spellEnd"/>
      <w:r w:rsidR="00912A59">
        <w:rPr>
          <w:sz w:val="24"/>
          <w:szCs w:val="24"/>
        </w:rPr>
        <w:t>-</w:t>
      </w:r>
      <w:r w:rsidRPr="005F1933">
        <w:rPr>
          <w:sz w:val="24"/>
          <w:szCs w:val="24"/>
        </w:rPr>
        <w:t xml:space="preserve">tabletten. Mange af disse tilfælde har involveret patienter med andre lidelser, bl.a. synkeforstyrrelser eller </w:t>
      </w:r>
      <w:proofErr w:type="spellStart"/>
      <w:r w:rsidRPr="005F1933">
        <w:rPr>
          <w:sz w:val="24"/>
          <w:szCs w:val="24"/>
        </w:rPr>
        <w:t>esophagus-abnormaliteter</w:t>
      </w:r>
      <w:proofErr w:type="spellEnd"/>
      <w:r w:rsidRPr="005F1933">
        <w:rPr>
          <w:sz w:val="24"/>
          <w:szCs w:val="24"/>
        </w:rPr>
        <w:t xml:space="preserve">. Der skal udvises forsigtighed, når </w:t>
      </w:r>
      <w:proofErr w:type="spellStart"/>
      <w:r w:rsidR="00912A59">
        <w:rPr>
          <w:sz w:val="24"/>
          <w:szCs w:val="24"/>
        </w:rPr>
        <w:t>s</w:t>
      </w:r>
      <w:r w:rsidRPr="005F1933">
        <w:rPr>
          <w:sz w:val="24"/>
          <w:szCs w:val="24"/>
        </w:rPr>
        <w:t>evelamerhydrochlorid</w:t>
      </w:r>
      <w:proofErr w:type="spellEnd"/>
      <w:r w:rsidRPr="005F1933">
        <w:rPr>
          <w:sz w:val="24"/>
          <w:szCs w:val="24"/>
        </w:rPr>
        <w:t xml:space="preserve"> anvendes hos patienter, der har problemer med at synke.</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Hypothyroidisme</w:t>
      </w:r>
      <w:proofErr w:type="spellEnd"/>
    </w:p>
    <w:p w:rsidR="00E1026C" w:rsidRPr="005F1933" w:rsidRDefault="00E1026C" w:rsidP="00E1026C">
      <w:pPr>
        <w:ind w:left="851"/>
        <w:rPr>
          <w:sz w:val="24"/>
          <w:szCs w:val="24"/>
        </w:rPr>
      </w:pPr>
      <w:r w:rsidRPr="005F1933">
        <w:rPr>
          <w:sz w:val="24"/>
          <w:szCs w:val="24"/>
        </w:rPr>
        <w:t xml:space="preserve">Tættere monitorering af patienter med </w:t>
      </w:r>
      <w:proofErr w:type="spellStart"/>
      <w:r w:rsidRPr="005F1933">
        <w:rPr>
          <w:sz w:val="24"/>
          <w:szCs w:val="24"/>
        </w:rPr>
        <w:t>hypothyreose</w:t>
      </w:r>
      <w:proofErr w:type="spellEnd"/>
      <w:r w:rsidRPr="005F1933">
        <w:rPr>
          <w:sz w:val="24"/>
          <w:szCs w:val="24"/>
        </w:rPr>
        <w:t xml:space="preserve"> anbefales ved samtidig indgift af </w:t>
      </w:r>
      <w:proofErr w:type="spellStart"/>
      <w:r w:rsidRPr="005F1933">
        <w:rPr>
          <w:sz w:val="24"/>
          <w:szCs w:val="24"/>
        </w:rPr>
        <w:t>sevelamerhydrochlorid</w:t>
      </w:r>
      <w:proofErr w:type="spellEnd"/>
      <w:r w:rsidRPr="005F1933">
        <w:rPr>
          <w:sz w:val="24"/>
          <w:szCs w:val="24"/>
        </w:rPr>
        <w:t xml:space="preserve"> og </w:t>
      </w:r>
      <w:proofErr w:type="spellStart"/>
      <w:r w:rsidRPr="005F1933">
        <w:rPr>
          <w:sz w:val="24"/>
          <w:szCs w:val="24"/>
        </w:rPr>
        <w:t>levothyroxin</w:t>
      </w:r>
      <w:proofErr w:type="spellEnd"/>
      <w:r w:rsidRPr="005F1933">
        <w:rPr>
          <w:sz w:val="24"/>
          <w:szCs w:val="24"/>
        </w:rPr>
        <w:t xml:space="preserve"> (se pkt. 4.5).</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Langtidsbehandling</w:t>
      </w:r>
    </w:p>
    <w:p w:rsidR="00E1026C" w:rsidRPr="005F1933" w:rsidRDefault="00E1026C" w:rsidP="00E1026C">
      <w:pPr>
        <w:ind w:left="851"/>
        <w:rPr>
          <w:sz w:val="24"/>
          <w:szCs w:val="24"/>
        </w:rPr>
      </w:pPr>
      <w:r w:rsidRPr="005F1933">
        <w:rPr>
          <w:sz w:val="24"/>
          <w:szCs w:val="24"/>
        </w:rPr>
        <w:t xml:space="preserve">Da der ikke foreligger data om kronisk anvendelse af </w:t>
      </w:r>
      <w:proofErr w:type="spellStart"/>
      <w:r w:rsidRPr="005F1933">
        <w:rPr>
          <w:sz w:val="24"/>
          <w:szCs w:val="24"/>
        </w:rPr>
        <w:t>sevelamer</w:t>
      </w:r>
      <w:proofErr w:type="spellEnd"/>
      <w:r w:rsidRPr="005F1933">
        <w:rPr>
          <w:sz w:val="24"/>
          <w:szCs w:val="24"/>
        </w:rPr>
        <w:t xml:space="preserve"> i over et år, kan potentiel absorption og akkumulation af </w:t>
      </w:r>
      <w:proofErr w:type="spellStart"/>
      <w:r w:rsidRPr="005F1933">
        <w:rPr>
          <w:sz w:val="24"/>
          <w:szCs w:val="24"/>
        </w:rPr>
        <w:t>sevelamer</w:t>
      </w:r>
      <w:proofErr w:type="spellEnd"/>
      <w:r w:rsidRPr="005F1933">
        <w:rPr>
          <w:sz w:val="24"/>
          <w:szCs w:val="24"/>
        </w:rPr>
        <w:t xml:space="preserve"> under langvarig kronisk behandling ikke helt udelukkes (se pkt. 5.2).</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Hyperparathyroidisme</w:t>
      </w:r>
      <w:proofErr w:type="spellEnd"/>
    </w:p>
    <w:p w:rsidR="00E1026C" w:rsidRPr="005F1933" w:rsidRDefault="00E1026C" w:rsidP="00E1026C">
      <w:pPr>
        <w:ind w:left="851"/>
        <w:rPr>
          <w:sz w:val="24"/>
          <w:szCs w:val="24"/>
        </w:rPr>
      </w:pPr>
      <w:proofErr w:type="spellStart"/>
      <w:r w:rsidRPr="005F1933">
        <w:rPr>
          <w:sz w:val="24"/>
          <w:szCs w:val="24"/>
        </w:rPr>
        <w:t>Sevelamerhydrochlorid</w:t>
      </w:r>
      <w:proofErr w:type="spellEnd"/>
      <w:r w:rsidRPr="005F1933">
        <w:rPr>
          <w:sz w:val="24"/>
          <w:szCs w:val="24"/>
        </w:rPr>
        <w:t xml:space="preserve"> alene er ikke indiceret til kontrol af </w:t>
      </w:r>
      <w:proofErr w:type="spellStart"/>
      <w:r w:rsidRPr="005F1933">
        <w:rPr>
          <w:sz w:val="24"/>
          <w:szCs w:val="24"/>
        </w:rPr>
        <w:t>hyperparathyreose</w:t>
      </w:r>
      <w:proofErr w:type="spellEnd"/>
      <w:r w:rsidRPr="005F1933">
        <w:rPr>
          <w:sz w:val="24"/>
          <w:szCs w:val="24"/>
        </w:rPr>
        <w:t xml:space="preserve">. Hos patienter med sekundær </w:t>
      </w:r>
      <w:proofErr w:type="spellStart"/>
      <w:r w:rsidRPr="005F1933">
        <w:rPr>
          <w:sz w:val="24"/>
          <w:szCs w:val="24"/>
        </w:rPr>
        <w:t>hyperparathyreose</w:t>
      </w:r>
      <w:proofErr w:type="spellEnd"/>
      <w:r w:rsidRPr="005F1933">
        <w:rPr>
          <w:sz w:val="24"/>
          <w:szCs w:val="24"/>
        </w:rPr>
        <w:t xml:space="preserve"> bør </w:t>
      </w:r>
      <w:proofErr w:type="spellStart"/>
      <w:r>
        <w:rPr>
          <w:sz w:val="24"/>
          <w:szCs w:val="24"/>
        </w:rPr>
        <w:t>s</w:t>
      </w:r>
      <w:r w:rsidRPr="005F1933">
        <w:rPr>
          <w:sz w:val="24"/>
          <w:szCs w:val="24"/>
        </w:rPr>
        <w:t>evelamerhydrochlorid</w:t>
      </w:r>
      <w:proofErr w:type="spellEnd"/>
      <w:r w:rsidRPr="005F1933">
        <w:rPr>
          <w:sz w:val="24"/>
          <w:szCs w:val="24"/>
        </w:rPr>
        <w:t xml:space="preserve"> anvendes i forbindelse med flere andre behandlinger, der kan omfatte ekstra tilførsel af calcium, 1,25-dihydroxy-vitamin D3 eller et af dettes </w:t>
      </w:r>
      <w:proofErr w:type="spellStart"/>
      <w:r w:rsidRPr="005F1933">
        <w:rPr>
          <w:sz w:val="24"/>
          <w:szCs w:val="24"/>
        </w:rPr>
        <w:t>analoger</w:t>
      </w:r>
      <w:proofErr w:type="spellEnd"/>
      <w:r w:rsidRPr="005F1933">
        <w:rPr>
          <w:sz w:val="24"/>
          <w:szCs w:val="24"/>
        </w:rPr>
        <w:t xml:space="preserve"> for at sænke intakt </w:t>
      </w:r>
      <w:proofErr w:type="spellStart"/>
      <w:r w:rsidRPr="005F1933">
        <w:rPr>
          <w:sz w:val="24"/>
          <w:szCs w:val="24"/>
        </w:rPr>
        <w:t>parathyroideahormon</w:t>
      </w:r>
      <w:proofErr w:type="spellEnd"/>
      <w:r w:rsidRPr="005F1933">
        <w:rPr>
          <w:sz w:val="24"/>
          <w:szCs w:val="24"/>
        </w:rPr>
        <w:t>-(</w:t>
      </w:r>
      <w:proofErr w:type="spellStart"/>
      <w:r w:rsidRPr="005F1933">
        <w:rPr>
          <w:sz w:val="24"/>
          <w:szCs w:val="24"/>
        </w:rPr>
        <w:t>iPTH</w:t>
      </w:r>
      <w:proofErr w:type="spellEnd"/>
      <w:r w:rsidRPr="005F1933">
        <w:rPr>
          <w:sz w:val="24"/>
          <w:szCs w:val="24"/>
        </w:rPr>
        <w:t>)-niveauerne.</w:t>
      </w:r>
    </w:p>
    <w:p w:rsidR="00E1026C" w:rsidRPr="005F1933" w:rsidRDefault="00E1026C" w:rsidP="00E1026C">
      <w:pPr>
        <w:ind w:left="851"/>
        <w:rPr>
          <w:sz w:val="24"/>
          <w:szCs w:val="24"/>
          <w:u w:val="single"/>
        </w:rPr>
      </w:pPr>
    </w:p>
    <w:p w:rsidR="00E1026C" w:rsidRPr="005F1933" w:rsidRDefault="00E1026C" w:rsidP="00E1026C">
      <w:pPr>
        <w:ind w:left="851"/>
        <w:rPr>
          <w:sz w:val="24"/>
          <w:szCs w:val="24"/>
          <w:u w:val="single"/>
        </w:rPr>
      </w:pPr>
      <w:proofErr w:type="spellStart"/>
      <w:r w:rsidRPr="005F1933">
        <w:rPr>
          <w:sz w:val="24"/>
          <w:szCs w:val="24"/>
          <w:u w:val="single"/>
        </w:rPr>
        <w:t>Serumchlorid</w:t>
      </w:r>
      <w:proofErr w:type="spellEnd"/>
    </w:p>
    <w:p w:rsidR="00E1026C" w:rsidRPr="005F1933" w:rsidRDefault="00E1026C" w:rsidP="00E1026C">
      <w:pPr>
        <w:ind w:left="851"/>
        <w:rPr>
          <w:sz w:val="24"/>
          <w:szCs w:val="24"/>
        </w:rPr>
      </w:pPr>
      <w:proofErr w:type="spellStart"/>
      <w:r w:rsidRPr="005F1933">
        <w:rPr>
          <w:sz w:val="24"/>
          <w:szCs w:val="24"/>
        </w:rPr>
        <w:t>Serumchlorid</w:t>
      </w:r>
      <w:proofErr w:type="spellEnd"/>
      <w:r w:rsidRPr="005F1933">
        <w:rPr>
          <w:sz w:val="24"/>
          <w:szCs w:val="24"/>
        </w:rPr>
        <w:t xml:space="preserve"> kan blive forøget under behandling med </w:t>
      </w:r>
      <w:proofErr w:type="spellStart"/>
      <w:r>
        <w:rPr>
          <w:sz w:val="24"/>
          <w:szCs w:val="24"/>
        </w:rPr>
        <w:t>s</w:t>
      </w:r>
      <w:r w:rsidRPr="005F1933">
        <w:rPr>
          <w:sz w:val="24"/>
          <w:szCs w:val="24"/>
        </w:rPr>
        <w:t>evelamerhydrochlorid</w:t>
      </w:r>
      <w:proofErr w:type="spellEnd"/>
      <w:r w:rsidRPr="005F1933">
        <w:rPr>
          <w:sz w:val="24"/>
          <w:szCs w:val="24"/>
        </w:rPr>
        <w:t xml:space="preserve">, idet </w:t>
      </w:r>
      <w:proofErr w:type="spellStart"/>
      <w:r w:rsidRPr="005F1933">
        <w:rPr>
          <w:sz w:val="24"/>
          <w:szCs w:val="24"/>
        </w:rPr>
        <w:t>chlorid</w:t>
      </w:r>
      <w:proofErr w:type="spellEnd"/>
      <w:r w:rsidRPr="005F1933">
        <w:rPr>
          <w:sz w:val="24"/>
          <w:szCs w:val="24"/>
        </w:rPr>
        <w:t xml:space="preserve"> kan udveksles med </w:t>
      </w:r>
      <w:proofErr w:type="spellStart"/>
      <w:r w:rsidRPr="005F1933">
        <w:rPr>
          <w:sz w:val="24"/>
          <w:szCs w:val="24"/>
        </w:rPr>
        <w:t>phosphor</w:t>
      </w:r>
      <w:proofErr w:type="spellEnd"/>
      <w:r w:rsidRPr="005F1933">
        <w:rPr>
          <w:sz w:val="24"/>
          <w:szCs w:val="24"/>
        </w:rPr>
        <w:t xml:space="preserve"> i det </w:t>
      </w:r>
      <w:proofErr w:type="spellStart"/>
      <w:r w:rsidRPr="005F1933">
        <w:rPr>
          <w:sz w:val="24"/>
          <w:szCs w:val="24"/>
        </w:rPr>
        <w:t>intestinale</w:t>
      </w:r>
      <w:proofErr w:type="spellEnd"/>
      <w:r w:rsidRPr="005F1933">
        <w:rPr>
          <w:sz w:val="24"/>
          <w:szCs w:val="24"/>
        </w:rPr>
        <w:t xml:space="preserve"> lumen. Selv om der ikke er observeret nogen klinisk signifikant forøgelse af </w:t>
      </w:r>
      <w:proofErr w:type="spellStart"/>
      <w:r w:rsidRPr="005F1933">
        <w:rPr>
          <w:sz w:val="24"/>
          <w:szCs w:val="24"/>
        </w:rPr>
        <w:t>serumchlorid</w:t>
      </w:r>
      <w:proofErr w:type="spellEnd"/>
      <w:r w:rsidRPr="005F1933">
        <w:rPr>
          <w:sz w:val="24"/>
          <w:szCs w:val="24"/>
        </w:rPr>
        <w:t xml:space="preserve"> i de kliniske studier, bør </w:t>
      </w:r>
      <w:proofErr w:type="spellStart"/>
      <w:r w:rsidRPr="005F1933">
        <w:rPr>
          <w:sz w:val="24"/>
          <w:szCs w:val="24"/>
        </w:rPr>
        <w:t>serumchlorid</w:t>
      </w:r>
      <w:proofErr w:type="spellEnd"/>
      <w:r w:rsidRPr="005F1933">
        <w:rPr>
          <w:sz w:val="24"/>
          <w:szCs w:val="24"/>
        </w:rPr>
        <w:t xml:space="preserve"> monitoreres, som det sker ved rutinemæssig opfølgning hos en dialysepatient. Et gram </w:t>
      </w:r>
      <w:proofErr w:type="spellStart"/>
      <w:r>
        <w:rPr>
          <w:sz w:val="24"/>
          <w:szCs w:val="24"/>
        </w:rPr>
        <w:t>s</w:t>
      </w:r>
      <w:r w:rsidRPr="005F1933">
        <w:rPr>
          <w:sz w:val="24"/>
          <w:szCs w:val="24"/>
        </w:rPr>
        <w:t>evelamerhydrochlorid</w:t>
      </w:r>
      <w:proofErr w:type="spellEnd"/>
      <w:r w:rsidRPr="005F1933">
        <w:rPr>
          <w:sz w:val="24"/>
          <w:szCs w:val="24"/>
        </w:rPr>
        <w:t xml:space="preserve"> indeholder cirka 180 mg (5,1 </w:t>
      </w:r>
      <w:proofErr w:type="spellStart"/>
      <w:r w:rsidRPr="005F1933">
        <w:rPr>
          <w:sz w:val="24"/>
          <w:szCs w:val="24"/>
        </w:rPr>
        <w:t>mEq</w:t>
      </w:r>
      <w:proofErr w:type="spellEnd"/>
      <w:r w:rsidRPr="005F1933">
        <w:rPr>
          <w:sz w:val="24"/>
          <w:szCs w:val="24"/>
        </w:rPr>
        <w:t xml:space="preserve">) </w:t>
      </w:r>
      <w:proofErr w:type="spellStart"/>
      <w:r w:rsidRPr="005F1933">
        <w:rPr>
          <w:sz w:val="24"/>
          <w:szCs w:val="24"/>
        </w:rPr>
        <w:t>chlorid</w:t>
      </w:r>
      <w:proofErr w:type="spellEnd"/>
      <w:r w:rsidRPr="005F1933">
        <w:rPr>
          <w:sz w:val="24"/>
          <w:szCs w:val="24"/>
        </w:rPr>
        <w:t>.</w:t>
      </w:r>
    </w:p>
    <w:p w:rsidR="00E1026C" w:rsidRPr="005F1933" w:rsidRDefault="00E1026C" w:rsidP="00E1026C">
      <w:pPr>
        <w:ind w:left="851"/>
        <w:rPr>
          <w:sz w:val="24"/>
          <w:szCs w:val="24"/>
        </w:rPr>
      </w:pPr>
    </w:p>
    <w:p w:rsidR="005A6123" w:rsidRPr="00264BAA" w:rsidRDefault="005A6123" w:rsidP="00912A59">
      <w:pPr>
        <w:ind w:left="851"/>
        <w:rPr>
          <w:sz w:val="24"/>
          <w:szCs w:val="24"/>
          <w:u w:val="single"/>
        </w:rPr>
      </w:pPr>
      <w:r w:rsidRPr="00264BAA">
        <w:rPr>
          <w:sz w:val="24"/>
          <w:szCs w:val="24"/>
          <w:u w:val="single"/>
        </w:rPr>
        <w:t xml:space="preserve">Inflammatoriske </w:t>
      </w:r>
      <w:proofErr w:type="spellStart"/>
      <w:r w:rsidRPr="00264BAA">
        <w:rPr>
          <w:sz w:val="24"/>
          <w:szCs w:val="24"/>
          <w:u w:val="single"/>
        </w:rPr>
        <w:t>gastrointestinale</w:t>
      </w:r>
      <w:proofErr w:type="spellEnd"/>
      <w:r w:rsidRPr="00264BAA">
        <w:rPr>
          <w:sz w:val="24"/>
          <w:szCs w:val="24"/>
          <w:u w:val="single"/>
        </w:rPr>
        <w:t xml:space="preserve"> sygdomme</w:t>
      </w:r>
    </w:p>
    <w:p w:rsidR="005A6123" w:rsidRPr="00524CCC" w:rsidRDefault="005A6123" w:rsidP="00912A59">
      <w:pPr>
        <w:ind w:left="851"/>
        <w:rPr>
          <w:sz w:val="24"/>
          <w:szCs w:val="24"/>
        </w:rPr>
      </w:pPr>
      <w:r w:rsidRPr="00264BAA">
        <w:rPr>
          <w:sz w:val="24"/>
          <w:szCs w:val="24"/>
        </w:rPr>
        <w:t>Tilfælde af alvorlige inflammatoriske sygdomme i forskellige dele af mave-tarm</w:t>
      </w:r>
      <w:r w:rsidR="002A7465">
        <w:rPr>
          <w:sz w:val="24"/>
          <w:szCs w:val="24"/>
        </w:rPr>
        <w:t>-</w:t>
      </w:r>
      <w:r w:rsidRPr="00264BAA">
        <w:rPr>
          <w:sz w:val="24"/>
          <w:szCs w:val="24"/>
        </w:rPr>
        <w:t xml:space="preserve">kanalen (herunder alvorlige komplikationer såsom blødning, perforation, </w:t>
      </w:r>
      <w:proofErr w:type="spellStart"/>
      <w:r w:rsidRPr="00264BAA">
        <w:rPr>
          <w:sz w:val="24"/>
          <w:szCs w:val="24"/>
        </w:rPr>
        <w:t>ulceration</w:t>
      </w:r>
      <w:proofErr w:type="spellEnd"/>
      <w:r w:rsidRPr="00264BAA">
        <w:rPr>
          <w:sz w:val="24"/>
          <w:szCs w:val="24"/>
        </w:rPr>
        <w:t>, nekrose, colitis</w:t>
      </w:r>
      <w:r w:rsidRPr="00153639">
        <w:t xml:space="preserve"> </w:t>
      </w:r>
      <w:r w:rsidRPr="00153639">
        <w:rPr>
          <w:sz w:val="24"/>
          <w:szCs w:val="24"/>
        </w:rPr>
        <w:t xml:space="preserve">og svulst i </w:t>
      </w:r>
      <w:proofErr w:type="spellStart"/>
      <w:r w:rsidRPr="00153639">
        <w:rPr>
          <w:sz w:val="24"/>
          <w:szCs w:val="24"/>
        </w:rPr>
        <w:t>colon</w:t>
      </w:r>
      <w:proofErr w:type="spellEnd"/>
      <w:r w:rsidRPr="00153639">
        <w:rPr>
          <w:sz w:val="24"/>
          <w:szCs w:val="24"/>
        </w:rPr>
        <w:t>/</w:t>
      </w:r>
      <w:proofErr w:type="spellStart"/>
      <w:r w:rsidRPr="00153639">
        <w:rPr>
          <w:sz w:val="24"/>
          <w:szCs w:val="24"/>
        </w:rPr>
        <w:t>coecum</w:t>
      </w:r>
      <w:proofErr w:type="spellEnd"/>
      <w:r w:rsidRPr="00264BAA">
        <w:rPr>
          <w:sz w:val="24"/>
          <w:szCs w:val="24"/>
        </w:rPr>
        <w:t xml:space="preserve">) forbundet med tilstedeværelsen af </w:t>
      </w:r>
      <w:proofErr w:type="spellStart"/>
      <w:r w:rsidRPr="00264BAA">
        <w:rPr>
          <w:sz w:val="24"/>
          <w:szCs w:val="24"/>
        </w:rPr>
        <w:t>sevelamer</w:t>
      </w:r>
      <w:proofErr w:type="spellEnd"/>
      <w:r w:rsidRPr="00264BAA">
        <w:rPr>
          <w:sz w:val="24"/>
          <w:szCs w:val="24"/>
        </w:rPr>
        <w:t xml:space="preserve"> krystaller er blevet rapporteret </w:t>
      </w:r>
      <w:r w:rsidRPr="00F1562E">
        <w:rPr>
          <w:sz w:val="24"/>
          <w:szCs w:val="24"/>
        </w:rPr>
        <w:t>(se pkt. 4.8)</w:t>
      </w:r>
      <w:r w:rsidRPr="00264BAA">
        <w:rPr>
          <w:sz w:val="24"/>
          <w:szCs w:val="24"/>
        </w:rPr>
        <w:t xml:space="preserve">. </w:t>
      </w:r>
      <w:r w:rsidRPr="008A37A6">
        <w:rPr>
          <w:sz w:val="24"/>
          <w:szCs w:val="24"/>
        </w:rPr>
        <w:t xml:space="preserve">Inflammatoriske sygdomme kan forsvinde efter </w:t>
      </w:r>
      <w:proofErr w:type="spellStart"/>
      <w:r w:rsidRPr="008A37A6">
        <w:rPr>
          <w:sz w:val="24"/>
          <w:szCs w:val="24"/>
        </w:rPr>
        <w:t>seponering</w:t>
      </w:r>
      <w:proofErr w:type="spellEnd"/>
      <w:r w:rsidRPr="008A37A6">
        <w:rPr>
          <w:sz w:val="24"/>
          <w:szCs w:val="24"/>
        </w:rPr>
        <w:t xml:space="preserve"> af </w:t>
      </w:r>
      <w:proofErr w:type="spellStart"/>
      <w:r w:rsidRPr="008A37A6">
        <w:rPr>
          <w:sz w:val="24"/>
          <w:szCs w:val="24"/>
        </w:rPr>
        <w:t>sevelamer</w:t>
      </w:r>
      <w:proofErr w:type="spellEnd"/>
      <w:r w:rsidRPr="008A37A6">
        <w:rPr>
          <w:sz w:val="24"/>
          <w:szCs w:val="24"/>
        </w:rPr>
        <w:t>.</w:t>
      </w:r>
      <w:r w:rsidRPr="00264BAA">
        <w:rPr>
          <w:sz w:val="24"/>
          <w:szCs w:val="24"/>
        </w:rPr>
        <w:t xml:space="preserve"> </w:t>
      </w:r>
      <w:proofErr w:type="spellStart"/>
      <w:r w:rsidRPr="00264BAA">
        <w:rPr>
          <w:sz w:val="24"/>
          <w:szCs w:val="24"/>
        </w:rPr>
        <w:t>Sevelamerhydrochlorid</w:t>
      </w:r>
      <w:proofErr w:type="spellEnd"/>
      <w:r w:rsidRPr="00264BAA">
        <w:rPr>
          <w:sz w:val="24"/>
          <w:szCs w:val="24"/>
        </w:rPr>
        <w:t xml:space="preserve"> behandling skal reevalueres hos patienter, som udvikler svære </w:t>
      </w:r>
      <w:proofErr w:type="spellStart"/>
      <w:r w:rsidRPr="00264BAA">
        <w:rPr>
          <w:sz w:val="24"/>
          <w:szCs w:val="24"/>
        </w:rPr>
        <w:t>gastrointestinale</w:t>
      </w:r>
      <w:proofErr w:type="spellEnd"/>
      <w:r w:rsidRPr="00264BAA">
        <w:rPr>
          <w:sz w:val="24"/>
          <w:szCs w:val="24"/>
        </w:rPr>
        <w:t xml:space="preserve"> symptomer.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Advarsel om hjælpestoffer i lægemiddelformulering</w:t>
      </w:r>
    </w:p>
    <w:p w:rsidR="00E1026C" w:rsidRPr="005F1933" w:rsidRDefault="00E1026C" w:rsidP="00E1026C">
      <w:pPr>
        <w:ind w:left="851"/>
        <w:rPr>
          <w:sz w:val="24"/>
          <w:szCs w:val="24"/>
        </w:rPr>
      </w:pPr>
      <w:proofErr w:type="spellStart"/>
      <w:r w:rsidRPr="005F1933">
        <w:rPr>
          <w:sz w:val="24"/>
          <w:szCs w:val="24"/>
        </w:rPr>
        <w:t>Sevelamerhydrochlorid</w:t>
      </w:r>
      <w:proofErr w:type="spellEnd"/>
      <w:r w:rsidRPr="005F1933">
        <w:rPr>
          <w:sz w:val="24"/>
          <w:szCs w:val="24"/>
        </w:rPr>
        <w:t xml:space="preserve">-tabletter indeholder sorbitol. Patienter med arvelig </w:t>
      </w:r>
      <w:proofErr w:type="spellStart"/>
      <w:r w:rsidRPr="005F1933">
        <w:rPr>
          <w:sz w:val="24"/>
          <w:szCs w:val="24"/>
        </w:rPr>
        <w:t>fru</w:t>
      </w:r>
      <w:r>
        <w:rPr>
          <w:sz w:val="24"/>
          <w:szCs w:val="24"/>
        </w:rPr>
        <w:t>c</w:t>
      </w:r>
      <w:r w:rsidRPr="005F1933">
        <w:rPr>
          <w:sz w:val="24"/>
          <w:szCs w:val="24"/>
        </w:rPr>
        <w:t>tose</w:t>
      </w:r>
      <w:r w:rsidR="002A7465">
        <w:rPr>
          <w:sz w:val="24"/>
          <w:szCs w:val="24"/>
        </w:rPr>
        <w:softHyphen/>
      </w:r>
      <w:r w:rsidRPr="005F1933">
        <w:rPr>
          <w:sz w:val="24"/>
          <w:szCs w:val="24"/>
        </w:rPr>
        <w:t>intoleran</w:t>
      </w:r>
      <w:r>
        <w:rPr>
          <w:sz w:val="24"/>
          <w:szCs w:val="24"/>
        </w:rPr>
        <w:t>s</w:t>
      </w:r>
      <w:proofErr w:type="spellEnd"/>
      <w:r w:rsidRPr="005F1933">
        <w:rPr>
          <w:sz w:val="24"/>
          <w:szCs w:val="24"/>
        </w:rPr>
        <w:t xml:space="preserve"> (HFI) bør ikke tage dette lægemiddel.</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4.5</w:t>
      </w:r>
      <w:r w:rsidRPr="005F1933">
        <w:rPr>
          <w:b/>
          <w:sz w:val="24"/>
          <w:szCs w:val="24"/>
        </w:rPr>
        <w:tab/>
        <w:t>Interaktion med andre lægemidler og andre former for interaktion</w:t>
      </w:r>
    </w:p>
    <w:p w:rsidR="00E1026C"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Dialyse</w:t>
      </w:r>
    </w:p>
    <w:p w:rsidR="00E1026C" w:rsidRPr="005F1933" w:rsidRDefault="00E1026C" w:rsidP="00E1026C">
      <w:pPr>
        <w:ind w:left="851"/>
        <w:rPr>
          <w:sz w:val="24"/>
          <w:szCs w:val="24"/>
        </w:rPr>
      </w:pPr>
      <w:r w:rsidRPr="005F1933">
        <w:rPr>
          <w:sz w:val="24"/>
          <w:szCs w:val="24"/>
        </w:rPr>
        <w:t>Der er ikke gennemført interaktionsstudier hos patienter i dialyse.</w:t>
      </w:r>
    </w:p>
    <w:p w:rsidR="00E1026C" w:rsidRDefault="00E1026C" w:rsidP="00E1026C">
      <w:pPr>
        <w:rPr>
          <w:sz w:val="24"/>
          <w:szCs w:val="24"/>
        </w:rPr>
      </w:pPr>
      <w:r>
        <w:rPr>
          <w:sz w:val="24"/>
          <w:szCs w:val="24"/>
        </w:rPr>
        <w:br w:type="page"/>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Ciprofloxacin</w:t>
      </w:r>
      <w:proofErr w:type="spellEnd"/>
    </w:p>
    <w:p w:rsidR="00E1026C" w:rsidRPr="005F1933" w:rsidRDefault="00E1026C" w:rsidP="00E1026C">
      <w:pPr>
        <w:ind w:left="851"/>
        <w:rPr>
          <w:sz w:val="24"/>
          <w:szCs w:val="24"/>
        </w:rPr>
      </w:pPr>
      <w:r w:rsidRPr="005F1933">
        <w:rPr>
          <w:sz w:val="24"/>
          <w:szCs w:val="24"/>
        </w:rPr>
        <w:t xml:space="preserve">Ved interaktionsstudier på raske frivillige reducerede </w:t>
      </w:r>
      <w:proofErr w:type="spellStart"/>
      <w:r w:rsidRPr="005F1933">
        <w:rPr>
          <w:sz w:val="24"/>
          <w:szCs w:val="24"/>
        </w:rPr>
        <w:t>sevelamerhydrochlorid</w:t>
      </w:r>
      <w:proofErr w:type="spellEnd"/>
      <w:r w:rsidRPr="005F1933">
        <w:rPr>
          <w:sz w:val="24"/>
          <w:szCs w:val="24"/>
        </w:rPr>
        <w:t xml:space="preserve"> </w:t>
      </w:r>
      <w:proofErr w:type="spellStart"/>
      <w:r w:rsidRPr="005F1933">
        <w:rPr>
          <w:sz w:val="24"/>
          <w:szCs w:val="24"/>
        </w:rPr>
        <w:t>ciprofloxacins</w:t>
      </w:r>
      <w:proofErr w:type="spellEnd"/>
      <w:r w:rsidRPr="005F1933">
        <w:rPr>
          <w:sz w:val="24"/>
          <w:szCs w:val="24"/>
        </w:rPr>
        <w:t xml:space="preserve"> biotilgængelighed med cirka 50</w:t>
      </w:r>
      <w:r w:rsidR="002A7465">
        <w:rPr>
          <w:sz w:val="24"/>
          <w:szCs w:val="24"/>
        </w:rPr>
        <w:t xml:space="preserve"> </w:t>
      </w:r>
      <w:r w:rsidRPr="005F1933">
        <w:rPr>
          <w:sz w:val="24"/>
          <w:szCs w:val="24"/>
        </w:rPr>
        <w:t xml:space="preserve">% ved samtidig indgivelse af </w:t>
      </w:r>
      <w:proofErr w:type="spellStart"/>
      <w:r>
        <w:rPr>
          <w:sz w:val="24"/>
          <w:szCs w:val="24"/>
        </w:rPr>
        <w:t>s</w:t>
      </w:r>
      <w:r w:rsidRPr="005F1933">
        <w:rPr>
          <w:sz w:val="24"/>
          <w:szCs w:val="24"/>
        </w:rPr>
        <w:t>evelamerhydrochlorid</w:t>
      </w:r>
      <w:proofErr w:type="spellEnd"/>
      <w:r w:rsidRPr="005F1933">
        <w:rPr>
          <w:sz w:val="24"/>
          <w:szCs w:val="24"/>
        </w:rPr>
        <w:t xml:space="preserve"> i et</w:t>
      </w:r>
      <w:r>
        <w:rPr>
          <w:sz w:val="24"/>
          <w:szCs w:val="24"/>
        </w:rPr>
        <w:t xml:space="preserve"> enkeltdosisstudie. Derfor bør </w:t>
      </w:r>
      <w:proofErr w:type="spellStart"/>
      <w:r>
        <w:rPr>
          <w:sz w:val="24"/>
          <w:szCs w:val="24"/>
        </w:rPr>
        <w:t>s</w:t>
      </w:r>
      <w:r w:rsidRPr="005F1933">
        <w:rPr>
          <w:sz w:val="24"/>
          <w:szCs w:val="24"/>
        </w:rPr>
        <w:t>evelamerhydrochlorid</w:t>
      </w:r>
      <w:proofErr w:type="spellEnd"/>
      <w:r w:rsidRPr="005F1933">
        <w:rPr>
          <w:sz w:val="24"/>
          <w:szCs w:val="24"/>
        </w:rPr>
        <w:t xml:space="preserve"> ikke tages samtidig med </w:t>
      </w:r>
      <w:proofErr w:type="spellStart"/>
      <w:r w:rsidRPr="005F1933">
        <w:rPr>
          <w:sz w:val="24"/>
          <w:szCs w:val="24"/>
        </w:rPr>
        <w:t>ciprofloxacin</w:t>
      </w:r>
      <w:proofErr w:type="spellEnd"/>
      <w:r w:rsidRPr="005F1933">
        <w:rPr>
          <w:sz w:val="24"/>
          <w:szCs w:val="24"/>
        </w:rPr>
        <w: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 xml:space="preserve">Medicin mod </w:t>
      </w:r>
      <w:proofErr w:type="spellStart"/>
      <w:r w:rsidRPr="005F1933">
        <w:rPr>
          <w:sz w:val="24"/>
          <w:szCs w:val="24"/>
          <w:u w:val="single"/>
        </w:rPr>
        <w:t>arytmier</w:t>
      </w:r>
      <w:proofErr w:type="spellEnd"/>
      <w:r w:rsidRPr="005F1933">
        <w:rPr>
          <w:sz w:val="24"/>
          <w:szCs w:val="24"/>
          <w:u w:val="single"/>
        </w:rPr>
        <w:t xml:space="preserve"> og kramper</w:t>
      </w:r>
    </w:p>
    <w:p w:rsidR="00E1026C" w:rsidRPr="005F1933" w:rsidRDefault="00E1026C" w:rsidP="00E1026C">
      <w:pPr>
        <w:ind w:left="851"/>
        <w:rPr>
          <w:sz w:val="24"/>
          <w:szCs w:val="24"/>
        </w:rPr>
      </w:pPr>
      <w:r w:rsidRPr="005F1933">
        <w:rPr>
          <w:sz w:val="24"/>
          <w:szCs w:val="24"/>
        </w:rPr>
        <w:t xml:space="preserve">Patienter i behandling med </w:t>
      </w:r>
      <w:proofErr w:type="spellStart"/>
      <w:r w:rsidRPr="005F1933">
        <w:rPr>
          <w:sz w:val="24"/>
          <w:szCs w:val="24"/>
        </w:rPr>
        <w:t>anti</w:t>
      </w:r>
      <w:proofErr w:type="spellEnd"/>
      <w:r w:rsidRPr="005F1933">
        <w:rPr>
          <w:sz w:val="24"/>
          <w:szCs w:val="24"/>
        </w:rPr>
        <w:t>-</w:t>
      </w:r>
      <w:proofErr w:type="spellStart"/>
      <w:r w:rsidRPr="005F1933">
        <w:rPr>
          <w:sz w:val="24"/>
          <w:szCs w:val="24"/>
        </w:rPr>
        <w:t>arytmi</w:t>
      </w:r>
      <w:proofErr w:type="spellEnd"/>
      <w:r w:rsidRPr="005F1933">
        <w:rPr>
          <w:sz w:val="24"/>
          <w:szCs w:val="24"/>
        </w:rPr>
        <w:t xml:space="preserve">-lægemidler til kontrol af </w:t>
      </w:r>
      <w:proofErr w:type="spellStart"/>
      <w:r w:rsidRPr="005F1933">
        <w:rPr>
          <w:sz w:val="24"/>
          <w:szCs w:val="24"/>
        </w:rPr>
        <w:t>arytmier</w:t>
      </w:r>
      <w:proofErr w:type="spellEnd"/>
      <w:r w:rsidRPr="005F1933">
        <w:rPr>
          <w:sz w:val="24"/>
          <w:szCs w:val="24"/>
        </w:rPr>
        <w:t xml:space="preserve"> og lægemidler mod krampeanfald til kontrol af krampelidelser blev ekskluderet fra de kliniske studier. Der skal udvises forsigtighed ved ordination af </w:t>
      </w:r>
      <w:proofErr w:type="spellStart"/>
      <w:r w:rsidRPr="005F1933">
        <w:rPr>
          <w:sz w:val="24"/>
          <w:szCs w:val="24"/>
        </w:rPr>
        <w:t>sevelamerhydrochlorid</w:t>
      </w:r>
      <w:proofErr w:type="spellEnd"/>
      <w:r w:rsidRPr="005F1933">
        <w:rPr>
          <w:sz w:val="24"/>
          <w:szCs w:val="24"/>
        </w:rPr>
        <w:t xml:space="preserve"> til patienter, der også tager sådanne lægemidler.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Levothyroxin</w:t>
      </w:r>
      <w:proofErr w:type="spellEnd"/>
    </w:p>
    <w:p w:rsidR="00E1026C" w:rsidRPr="005F1933" w:rsidRDefault="00E1026C" w:rsidP="00E1026C">
      <w:pPr>
        <w:ind w:left="851"/>
        <w:rPr>
          <w:sz w:val="24"/>
          <w:szCs w:val="24"/>
        </w:rPr>
      </w:pPr>
      <w:r w:rsidRPr="005F1933">
        <w:rPr>
          <w:sz w:val="24"/>
          <w:szCs w:val="24"/>
        </w:rPr>
        <w:t xml:space="preserve">Der er efter markedsføring rapporteret meget sjældne tilfælde af øget </w:t>
      </w:r>
      <w:proofErr w:type="spellStart"/>
      <w:r w:rsidRPr="005F1933">
        <w:rPr>
          <w:sz w:val="24"/>
          <w:szCs w:val="24"/>
        </w:rPr>
        <w:t>thyreoidea</w:t>
      </w:r>
      <w:proofErr w:type="spellEnd"/>
      <w:r w:rsidRPr="005F1933">
        <w:rPr>
          <w:sz w:val="24"/>
          <w:szCs w:val="24"/>
        </w:rPr>
        <w:t xml:space="preserve">-stimulerende hormon (TSH)-niveau hos patienter, som har fået </w:t>
      </w:r>
      <w:proofErr w:type="spellStart"/>
      <w:r w:rsidRPr="005F1933">
        <w:rPr>
          <w:sz w:val="24"/>
          <w:szCs w:val="24"/>
        </w:rPr>
        <w:t>sevelamerhydrochlorid</w:t>
      </w:r>
      <w:proofErr w:type="spellEnd"/>
      <w:r w:rsidRPr="005F1933">
        <w:rPr>
          <w:sz w:val="24"/>
          <w:szCs w:val="24"/>
        </w:rPr>
        <w:t xml:space="preserve"> og </w:t>
      </w:r>
      <w:proofErr w:type="spellStart"/>
      <w:r w:rsidRPr="005F1933">
        <w:rPr>
          <w:sz w:val="24"/>
          <w:szCs w:val="24"/>
        </w:rPr>
        <w:t>levothyroxin</w:t>
      </w:r>
      <w:proofErr w:type="spellEnd"/>
      <w:r w:rsidRPr="005F1933">
        <w:rPr>
          <w:sz w:val="24"/>
          <w:szCs w:val="24"/>
        </w:rPr>
        <w:t xml:space="preserve"> samtidigt. Tættere monitorering af TSH-niveauer anbefales derfor hos patienter, der får begge lægemidler.</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Ciclosporin</w:t>
      </w:r>
      <w:proofErr w:type="spellEnd"/>
      <w:r w:rsidRPr="005F1933">
        <w:rPr>
          <w:sz w:val="24"/>
          <w:szCs w:val="24"/>
          <w:u w:val="single"/>
        </w:rPr>
        <w:t xml:space="preserve">, </w:t>
      </w:r>
      <w:proofErr w:type="spellStart"/>
      <w:r w:rsidRPr="005F1933">
        <w:rPr>
          <w:sz w:val="24"/>
          <w:szCs w:val="24"/>
          <w:u w:val="single"/>
        </w:rPr>
        <w:t>mycophenolatmofetil</w:t>
      </w:r>
      <w:proofErr w:type="spellEnd"/>
      <w:r w:rsidRPr="005F1933">
        <w:rPr>
          <w:sz w:val="24"/>
          <w:szCs w:val="24"/>
          <w:u w:val="single"/>
        </w:rPr>
        <w:t xml:space="preserve"> og </w:t>
      </w:r>
      <w:proofErr w:type="spellStart"/>
      <w:r w:rsidRPr="005F1933">
        <w:rPr>
          <w:sz w:val="24"/>
          <w:szCs w:val="24"/>
          <w:u w:val="single"/>
        </w:rPr>
        <w:t>tacrolimus</w:t>
      </w:r>
      <w:proofErr w:type="spellEnd"/>
      <w:r w:rsidRPr="005F1933">
        <w:rPr>
          <w:sz w:val="24"/>
          <w:szCs w:val="24"/>
          <w:u w:val="single"/>
        </w:rPr>
        <w:t xml:space="preserve"> hos transplantationspatienter</w:t>
      </w:r>
    </w:p>
    <w:p w:rsidR="00E1026C" w:rsidRPr="005F1933" w:rsidRDefault="00E1026C" w:rsidP="00E1026C">
      <w:pPr>
        <w:ind w:left="851"/>
        <w:rPr>
          <w:sz w:val="24"/>
          <w:szCs w:val="24"/>
        </w:rPr>
      </w:pPr>
      <w:r w:rsidRPr="005F1933">
        <w:rPr>
          <w:sz w:val="24"/>
          <w:szCs w:val="24"/>
        </w:rPr>
        <w:t xml:space="preserve">Reducerede </w:t>
      </w:r>
      <w:proofErr w:type="spellStart"/>
      <w:r w:rsidRPr="005F1933">
        <w:rPr>
          <w:sz w:val="24"/>
          <w:szCs w:val="24"/>
        </w:rPr>
        <w:t>ciclosporin</w:t>
      </w:r>
      <w:proofErr w:type="spellEnd"/>
      <w:r w:rsidRPr="005F1933">
        <w:rPr>
          <w:sz w:val="24"/>
          <w:szCs w:val="24"/>
        </w:rPr>
        <w:t xml:space="preserve">-, </w:t>
      </w:r>
      <w:proofErr w:type="spellStart"/>
      <w:r w:rsidRPr="005F1933">
        <w:rPr>
          <w:sz w:val="24"/>
          <w:szCs w:val="24"/>
        </w:rPr>
        <w:t>mycophenolatmofetil</w:t>
      </w:r>
      <w:proofErr w:type="spellEnd"/>
      <w:r w:rsidRPr="005F1933">
        <w:rPr>
          <w:sz w:val="24"/>
          <w:szCs w:val="24"/>
        </w:rPr>
        <w:t xml:space="preserve">- og </w:t>
      </w:r>
      <w:proofErr w:type="spellStart"/>
      <w:r w:rsidRPr="005F1933">
        <w:rPr>
          <w:sz w:val="24"/>
          <w:szCs w:val="24"/>
        </w:rPr>
        <w:t>tacrolimus</w:t>
      </w:r>
      <w:proofErr w:type="spellEnd"/>
      <w:r w:rsidRPr="005F1933">
        <w:rPr>
          <w:sz w:val="24"/>
          <w:szCs w:val="24"/>
        </w:rPr>
        <w:t xml:space="preserve">-niveauer er blevet rapporteret hos transplantationspatienter </w:t>
      </w:r>
      <w:proofErr w:type="spellStart"/>
      <w:r w:rsidRPr="005F1933">
        <w:rPr>
          <w:sz w:val="24"/>
          <w:szCs w:val="24"/>
        </w:rPr>
        <w:t>co</w:t>
      </w:r>
      <w:proofErr w:type="spellEnd"/>
      <w:r w:rsidRPr="005F1933">
        <w:rPr>
          <w:sz w:val="24"/>
          <w:szCs w:val="24"/>
        </w:rPr>
        <w:t xml:space="preserve">-administreret </w:t>
      </w:r>
      <w:proofErr w:type="spellStart"/>
      <w:r w:rsidRPr="005F1933">
        <w:rPr>
          <w:sz w:val="24"/>
          <w:szCs w:val="24"/>
        </w:rPr>
        <w:t>sevelamerhydrochlorid</w:t>
      </w:r>
      <w:proofErr w:type="spellEnd"/>
      <w:r w:rsidRPr="005F1933">
        <w:rPr>
          <w:sz w:val="24"/>
          <w:szCs w:val="24"/>
        </w:rPr>
        <w:t xml:space="preserve"> uden kliniske konsekvenser (dvs. organafstødning). Muligheden for en interaktion kan ikke udelukkes og nøje monitorering af blodkoncentrationerne af </w:t>
      </w:r>
      <w:proofErr w:type="spellStart"/>
      <w:r w:rsidRPr="005F1933">
        <w:rPr>
          <w:sz w:val="24"/>
          <w:szCs w:val="24"/>
        </w:rPr>
        <w:t>mycophenolatmofetil</w:t>
      </w:r>
      <w:proofErr w:type="spellEnd"/>
      <w:r w:rsidRPr="005F1933">
        <w:rPr>
          <w:sz w:val="24"/>
          <w:szCs w:val="24"/>
        </w:rPr>
        <w:t xml:space="preserve">, </w:t>
      </w:r>
      <w:proofErr w:type="spellStart"/>
      <w:r w:rsidRPr="005F1933">
        <w:rPr>
          <w:sz w:val="24"/>
          <w:szCs w:val="24"/>
        </w:rPr>
        <w:t>ciclosporin</w:t>
      </w:r>
      <w:proofErr w:type="spellEnd"/>
      <w:r w:rsidRPr="005F1933">
        <w:rPr>
          <w:sz w:val="24"/>
          <w:szCs w:val="24"/>
        </w:rPr>
        <w:t xml:space="preserve"> og </w:t>
      </w:r>
      <w:proofErr w:type="spellStart"/>
      <w:r w:rsidRPr="005F1933">
        <w:rPr>
          <w:sz w:val="24"/>
          <w:szCs w:val="24"/>
        </w:rPr>
        <w:t>tacrolimus</w:t>
      </w:r>
      <w:proofErr w:type="spellEnd"/>
      <w:r w:rsidRPr="005F1933">
        <w:rPr>
          <w:sz w:val="24"/>
          <w:szCs w:val="24"/>
        </w:rPr>
        <w:t xml:space="preserve"> bør overvejes ved kombinationsbehandling, og efter behandlingen er afsluttet.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Digoxin</w:t>
      </w:r>
      <w:proofErr w:type="spellEnd"/>
      <w:r w:rsidRPr="005F1933">
        <w:rPr>
          <w:sz w:val="24"/>
          <w:szCs w:val="24"/>
          <w:u w:val="single"/>
        </w:rPr>
        <w:t xml:space="preserve">, </w:t>
      </w:r>
      <w:proofErr w:type="spellStart"/>
      <w:r w:rsidRPr="005F1933">
        <w:rPr>
          <w:sz w:val="24"/>
          <w:szCs w:val="24"/>
          <w:u w:val="single"/>
        </w:rPr>
        <w:t>warfarin</w:t>
      </w:r>
      <w:proofErr w:type="spellEnd"/>
      <w:r w:rsidRPr="005F1933">
        <w:rPr>
          <w:sz w:val="24"/>
          <w:szCs w:val="24"/>
          <w:u w:val="single"/>
        </w:rPr>
        <w:t xml:space="preserve">, </w:t>
      </w:r>
      <w:proofErr w:type="spellStart"/>
      <w:r w:rsidRPr="005F1933">
        <w:rPr>
          <w:sz w:val="24"/>
          <w:szCs w:val="24"/>
          <w:u w:val="single"/>
        </w:rPr>
        <w:t>enalapril</w:t>
      </w:r>
      <w:proofErr w:type="spellEnd"/>
      <w:r w:rsidRPr="005F1933">
        <w:rPr>
          <w:sz w:val="24"/>
          <w:szCs w:val="24"/>
          <w:u w:val="single"/>
        </w:rPr>
        <w:t xml:space="preserve"> eller </w:t>
      </w:r>
      <w:proofErr w:type="spellStart"/>
      <w:r w:rsidRPr="005F1933">
        <w:rPr>
          <w:sz w:val="24"/>
          <w:szCs w:val="24"/>
          <w:u w:val="single"/>
        </w:rPr>
        <w:t>metoprolol</w:t>
      </w:r>
      <w:proofErr w:type="spellEnd"/>
    </w:p>
    <w:p w:rsidR="00E1026C" w:rsidRPr="005F1933" w:rsidRDefault="00E1026C" w:rsidP="00E1026C">
      <w:pPr>
        <w:ind w:left="851"/>
        <w:rPr>
          <w:sz w:val="24"/>
          <w:szCs w:val="24"/>
        </w:rPr>
      </w:pPr>
      <w:r w:rsidRPr="005F1933">
        <w:rPr>
          <w:sz w:val="24"/>
          <w:szCs w:val="24"/>
        </w:rPr>
        <w:t xml:space="preserve">Ved interaktionsstudier med raske frivillige havde </w:t>
      </w:r>
      <w:proofErr w:type="spellStart"/>
      <w:r>
        <w:rPr>
          <w:sz w:val="24"/>
          <w:szCs w:val="24"/>
        </w:rPr>
        <w:t>s</w:t>
      </w:r>
      <w:r w:rsidRPr="005F1933">
        <w:rPr>
          <w:sz w:val="24"/>
          <w:szCs w:val="24"/>
        </w:rPr>
        <w:t>evelamerhydrochlorid</w:t>
      </w:r>
      <w:proofErr w:type="spellEnd"/>
      <w:r w:rsidRPr="005F1933">
        <w:rPr>
          <w:sz w:val="24"/>
          <w:szCs w:val="24"/>
        </w:rPr>
        <w:t xml:space="preserve"> ingen virkning på biotilgængeligheden af </w:t>
      </w:r>
      <w:proofErr w:type="spellStart"/>
      <w:r w:rsidRPr="005F1933">
        <w:rPr>
          <w:sz w:val="24"/>
          <w:szCs w:val="24"/>
        </w:rPr>
        <w:t>digoxin</w:t>
      </w:r>
      <w:proofErr w:type="spellEnd"/>
      <w:r w:rsidRPr="005F1933">
        <w:rPr>
          <w:sz w:val="24"/>
          <w:szCs w:val="24"/>
        </w:rPr>
        <w:t xml:space="preserve">, </w:t>
      </w:r>
      <w:proofErr w:type="spellStart"/>
      <w:r w:rsidRPr="005F1933">
        <w:rPr>
          <w:sz w:val="24"/>
          <w:szCs w:val="24"/>
        </w:rPr>
        <w:t>warfarin</w:t>
      </w:r>
      <w:proofErr w:type="spellEnd"/>
      <w:r w:rsidRPr="005F1933">
        <w:rPr>
          <w:sz w:val="24"/>
          <w:szCs w:val="24"/>
        </w:rPr>
        <w:t xml:space="preserve">, </w:t>
      </w:r>
      <w:proofErr w:type="spellStart"/>
      <w:r w:rsidRPr="005F1933">
        <w:rPr>
          <w:sz w:val="24"/>
          <w:szCs w:val="24"/>
        </w:rPr>
        <w:t>enalapril</w:t>
      </w:r>
      <w:proofErr w:type="spellEnd"/>
      <w:r w:rsidRPr="005F1933">
        <w:rPr>
          <w:sz w:val="24"/>
          <w:szCs w:val="24"/>
        </w:rPr>
        <w:t xml:space="preserve"> eller </w:t>
      </w:r>
      <w:proofErr w:type="spellStart"/>
      <w:r w:rsidRPr="005F1933">
        <w:rPr>
          <w:sz w:val="24"/>
          <w:szCs w:val="24"/>
        </w:rPr>
        <w:t>metoprolol</w:t>
      </w:r>
      <w:proofErr w:type="spellEnd"/>
      <w:r w:rsidRPr="005F1933">
        <w:rPr>
          <w:sz w:val="24"/>
          <w:szCs w:val="24"/>
        </w:rPr>
        <w:t>.</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proofErr w:type="spellStart"/>
      <w:r w:rsidRPr="005F1933">
        <w:rPr>
          <w:sz w:val="24"/>
          <w:szCs w:val="24"/>
          <w:u w:val="single"/>
        </w:rPr>
        <w:t>Protonpumpehæmmere</w:t>
      </w:r>
      <w:proofErr w:type="spellEnd"/>
    </w:p>
    <w:p w:rsidR="00E1026C" w:rsidRPr="005F1933" w:rsidRDefault="00E1026C" w:rsidP="00E1026C">
      <w:pPr>
        <w:ind w:left="851"/>
        <w:rPr>
          <w:sz w:val="24"/>
          <w:szCs w:val="24"/>
        </w:rPr>
      </w:pPr>
      <w:r w:rsidRPr="005F1933">
        <w:rPr>
          <w:sz w:val="24"/>
          <w:szCs w:val="24"/>
        </w:rPr>
        <w:t xml:space="preserve">Efter markedsføring er der rapporteret om meget sjældne tilfælde af forhøjede </w:t>
      </w:r>
      <w:proofErr w:type="spellStart"/>
      <w:r>
        <w:rPr>
          <w:sz w:val="24"/>
          <w:szCs w:val="24"/>
        </w:rPr>
        <w:t>ph</w:t>
      </w:r>
      <w:r w:rsidRPr="005F1933">
        <w:rPr>
          <w:sz w:val="24"/>
          <w:szCs w:val="24"/>
        </w:rPr>
        <w:t>os</w:t>
      </w:r>
      <w:r>
        <w:rPr>
          <w:sz w:val="24"/>
          <w:szCs w:val="24"/>
        </w:rPr>
        <w:t>ph</w:t>
      </w:r>
      <w:r w:rsidRPr="005F1933">
        <w:rPr>
          <w:sz w:val="24"/>
          <w:szCs w:val="24"/>
        </w:rPr>
        <w:t>atniveauer</w:t>
      </w:r>
      <w:proofErr w:type="spellEnd"/>
      <w:r w:rsidRPr="005F1933">
        <w:rPr>
          <w:sz w:val="24"/>
          <w:szCs w:val="24"/>
        </w:rPr>
        <w:t xml:space="preserve"> hos patienter hvor </w:t>
      </w:r>
      <w:proofErr w:type="spellStart"/>
      <w:r w:rsidRPr="005F1933">
        <w:rPr>
          <w:sz w:val="24"/>
          <w:szCs w:val="24"/>
        </w:rPr>
        <w:t>protonpumpehæmmere</w:t>
      </w:r>
      <w:proofErr w:type="spellEnd"/>
      <w:r w:rsidRPr="005F1933">
        <w:rPr>
          <w:sz w:val="24"/>
          <w:szCs w:val="24"/>
        </w:rPr>
        <w:t xml:space="preserve"> og </w:t>
      </w:r>
      <w:proofErr w:type="spellStart"/>
      <w:r w:rsidRPr="005F1933">
        <w:rPr>
          <w:sz w:val="24"/>
          <w:szCs w:val="24"/>
        </w:rPr>
        <w:t>sevelamerhydrochlorid</w:t>
      </w:r>
      <w:proofErr w:type="spellEnd"/>
      <w:r w:rsidRPr="005F1933">
        <w:rPr>
          <w:sz w:val="24"/>
          <w:szCs w:val="24"/>
        </w:rPr>
        <w:t xml:space="preserve"> er administreret samtidig.</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Biotilgængelighed</w:t>
      </w:r>
    </w:p>
    <w:p w:rsidR="00E1026C" w:rsidRPr="005F1933" w:rsidRDefault="00E1026C" w:rsidP="00E1026C">
      <w:pPr>
        <w:ind w:left="851"/>
        <w:rPr>
          <w:sz w:val="24"/>
          <w:szCs w:val="24"/>
        </w:rPr>
      </w:pPr>
      <w:proofErr w:type="spellStart"/>
      <w:r w:rsidRPr="005F1933">
        <w:rPr>
          <w:sz w:val="24"/>
          <w:szCs w:val="24"/>
        </w:rPr>
        <w:t>Sevelamerhydrochlorid</w:t>
      </w:r>
      <w:proofErr w:type="spellEnd"/>
      <w:r w:rsidRPr="005F1933">
        <w:rPr>
          <w:sz w:val="24"/>
          <w:szCs w:val="24"/>
        </w:rPr>
        <w:t xml:space="preserve"> absorberes ikke, men kan påvirke biotilgængeligheden af andre lægemidler. Ved indgivelse af et lægemiddel, hvor en reduktion af biotilgængeligheden kan have en klinisk signifikant effekt på sikkerheden og virkningen, skal det pågældende lægemiddel indgives mindst en time inden eller tre timer efter </w:t>
      </w:r>
      <w:proofErr w:type="spellStart"/>
      <w:r>
        <w:rPr>
          <w:sz w:val="24"/>
          <w:szCs w:val="24"/>
        </w:rPr>
        <w:t>s</w:t>
      </w:r>
      <w:r w:rsidRPr="005F1933">
        <w:rPr>
          <w:sz w:val="24"/>
          <w:szCs w:val="24"/>
        </w:rPr>
        <w:t>evelamerhydrochlorid</w:t>
      </w:r>
      <w:proofErr w:type="spellEnd"/>
      <w:r w:rsidRPr="005F1933">
        <w:rPr>
          <w:sz w:val="24"/>
          <w:szCs w:val="24"/>
        </w:rPr>
        <w:t>, eller lægen bør overveje at måle blodkoncentrationerne.</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4.6</w:t>
      </w:r>
      <w:r w:rsidRPr="005F1933">
        <w:rPr>
          <w:b/>
          <w:sz w:val="24"/>
          <w:szCs w:val="24"/>
        </w:rPr>
        <w:tab/>
        <w:t>Graviditet og amning</w:t>
      </w:r>
    </w:p>
    <w:p w:rsidR="00E1026C"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Graviditet</w:t>
      </w:r>
    </w:p>
    <w:p w:rsidR="00E1026C" w:rsidRPr="005F1933" w:rsidRDefault="00E1026C" w:rsidP="00E1026C">
      <w:pPr>
        <w:ind w:left="851"/>
        <w:rPr>
          <w:sz w:val="24"/>
          <w:szCs w:val="24"/>
        </w:rPr>
      </w:pPr>
      <w:r w:rsidRPr="005F1933">
        <w:rPr>
          <w:sz w:val="24"/>
          <w:szCs w:val="24"/>
        </w:rPr>
        <w:t xml:space="preserve">Sikkerheden ved anvendelse af </w:t>
      </w:r>
      <w:proofErr w:type="spellStart"/>
      <w:r w:rsidRPr="005F1933">
        <w:rPr>
          <w:sz w:val="24"/>
          <w:szCs w:val="24"/>
        </w:rPr>
        <w:t>sevelamerhydrochlorid</w:t>
      </w:r>
      <w:proofErr w:type="spellEnd"/>
      <w:r w:rsidRPr="005F1933">
        <w:rPr>
          <w:sz w:val="24"/>
          <w:szCs w:val="24"/>
        </w:rPr>
        <w:t xml:space="preserve"> til gravide kvinder er ikke fastlagt. Ved dyrestudier var der ingen tegn på, at </w:t>
      </w:r>
      <w:proofErr w:type="spellStart"/>
      <w:r w:rsidRPr="005F1933">
        <w:rPr>
          <w:sz w:val="24"/>
          <w:szCs w:val="24"/>
        </w:rPr>
        <w:t>sevelamer</w:t>
      </w:r>
      <w:proofErr w:type="spellEnd"/>
      <w:r w:rsidRPr="005F1933">
        <w:rPr>
          <w:sz w:val="24"/>
          <w:szCs w:val="24"/>
        </w:rPr>
        <w:t xml:space="preserve"> medførte </w:t>
      </w:r>
      <w:proofErr w:type="spellStart"/>
      <w:r w:rsidRPr="005F1933">
        <w:rPr>
          <w:sz w:val="24"/>
          <w:szCs w:val="24"/>
        </w:rPr>
        <w:t>embryoføtal</w:t>
      </w:r>
      <w:proofErr w:type="spellEnd"/>
      <w:r w:rsidRPr="005F1933">
        <w:rPr>
          <w:sz w:val="24"/>
          <w:szCs w:val="24"/>
        </w:rPr>
        <w:t xml:space="preserve"> toksicitet. </w:t>
      </w:r>
      <w:proofErr w:type="spellStart"/>
      <w:r w:rsidRPr="005F1933">
        <w:rPr>
          <w:sz w:val="24"/>
          <w:szCs w:val="24"/>
        </w:rPr>
        <w:t>Sevelamerhydrochlorid</w:t>
      </w:r>
      <w:proofErr w:type="spellEnd"/>
      <w:r w:rsidRPr="005F1933">
        <w:rPr>
          <w:sz w:val="24"/>
          <w:szCs w:val="24"/>
        </w:rPr>
        <w:t xml:space="preserve"> bør kun gives til gravide kvinder, hvis det er strengt nødvendigt, og først efter at der er blevet gennemført en omhyggelig afvejning af risici og fordele for såvel mor som foster (se pkt. 5.3).</w:t>
      </w:r>
    </w:p>
    <w:p w:rsidR="00E1026C" w:rsidRPr="005F1933"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Amning</w:t>
      </w:r>
    </w:p>
    <w:p w:rsidR="00E1026C" w:rsidRPr="005F1933" w:rsidRDefault="00E1026C" w:rsidP="00E1026C">
      <w:pPr>
        <w:ind w:left="851"/>
        <w:rPr>
          <w:sz w:val="24"/>
          <w:szCs w:val="24"/>
        </w:rPr>
      </w:pPr>
      <w:r w:rsidRPr="005F1933">
        <w:rPr>
          <w:sz w:val="24"/>
          <w:szCs w:val="24"/>
        </w:rPr>
        <w:t xml:space="preserve">Sikkerheden ved anvendelse af </w:t>
      </w:r>
      <w:proofErr w:type="spellStart"/>
      <w:r w:rsidRPr="005F1933">
        <w:rPr>
          <w:sz w:val="24"/>
          <w:szCs w:val="24"/>
        </w:rPr>
        <w:t>sevelamerhydrochlorid</w:t>
      </w:r>
      <w:proofErr w:type="spellEnd"/>
      <w:r w:rsidRPr="005F1933">
        <w:rPr>
          <w:sz w:val="24"/>
          <w:szCs w:val="24"/>
        </w:rPr>
        <w:t xml:space="preserve"> til ammende kvinder er ikke fastlagt. </w:t>
      </w:r>
      <w:proofErr w:type="spellStart"/>
      <w:r w:rsidRPr="005F1933">
        <w:rPr>
          <w:sz w:val="24"/>
          <w:szCs w:val="24"/>
        </w:rPr>
        <w:t>Sevelamerhydrochlorid</w:t>
      </w:r>
      <w:proofErr w:type="spellEnd"/>
      <w:r w:rsidRPr="005F1933">
        <w:rPr>
          <w:sz w:val="24"/>
          <w:szCs w:val="24"/>
        </w:rPr>
        <w:t xml:space="preserve"> bør kun gives til ammende kvinder, hvis det er strengt nødvendigt, og først efter at der er blevet gennemført en omhyggelig analyse af risici og fordele for såvel mor som barn (se pkt. 5.3).</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Fertilitet</w:t>
      </w:r>
    </w:p>
    <w:p w:rsidR="00E1026C" w:rsidRPr="005F1933" w:rsidRDefault="00E1026C" w:rsidP="00E1026C">
      <w:pPr>
        <w:ind w:left="851"/>
        <w:rPr>
          <w:sz w:val="24"/>
          <w:szCs w:val="24"/>
        </w:rPr>
      </w:pPr>
      <w:r w:rsidRPr="005F1933">
        <w:rPr>
          <w:sz w:val="24"/>
          <w:szCs w:val="24"/>
        </w:rPr>
        <w:t xml:space="preserve">Der er ingen data for </w:t>
      </w:r>
      <w:proofErr w:type="spellStart"/>
      <w:r w:rsidRPr="005F1933">
        <w:rPr>
          <w:sz w:val="24"/>
          <w:szCs w:val="24"/>
        </w:rPr>
        <w:t>sevelamers</w:t>
      </w:r>
      <w:proofErr w:type="spellEnd"/>
      <w:r w:rsidRPr="005F1933">
        <w:rPr>
          <w:sz w:val="24"/>
          <w:szCs w:val="24"/>
        </w:rPr>
        <w:t xml:space="preserve"> påvirkning af fertiliteten hos mennesker. Dyrestudier har vist, at </w:t>
      </w:r>
      <w:proofErr w:type="spellStart"/>
      <w:r w:rsidRPr="005F1933">
        <w:rPr>
          <w:sz w:val="24"/>
          <w:szCs w:val="24"/>
        </w:rPr>
        <w:t>sevelamer</w:t>
      </w:r>
      <w:proofErr w:type="spellEnd"/>
      <w:r w:rsidRPr="005F1933">
        <w:rPr>
          <w:sz w:val="24"/>
          <w:szCs w:val="24"/>
        </w:rPr>
        <w:t xml:space="preserve"> ikke nedsætter fertiliteten hos hun- eller hanrotter ved udsættelse for en human dosis svarende til 2 gange den maksimale dosis i kliniske studier med 13 g/dag, baseret på en sammenligning af det relative legemsoverfladeareal.</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4.7</w:t>
      </w:r>
      <w:r w:rsidRPr="005F1933">
        <w:rPr>
          <w:b/>
          <w:sz w:val="24"/>
          <w:szCs w:val="24"/>
        </w:rPr>
        <w:tab/>
        <w:t>Virkninger på evnen til at føre motorkøretøj eller betjene maskiner</w:t>
      </w:r>
    </w:p>
    <w:p w:rsidR="00E1026C" w:rsidRDefault="00E1026C" w:rsidP="00E1026C">
      <w:pPr>
        <w:ind w:left="851"/>
        <w:rPr>
          <w:sz w:val="24"/>
          <w:szCs w:val="24"/>
        </w:rPr>
      </w:pPr>
      <w:r>
        <w:rPr>
          <w:sz w:val="24"/>
          <w:szCs w:val="24"/>
        </w:rPr>
        <w:t>Ikke mærkning.</w:t>
      </w:r>
    </w:p>
    <w:p w:rsidR="00E1026C" w:rsidRPr="005F1933" w:rsidRDefault="00E1026C" w:rsidP="00E1026C">
      <w:pPr>
        <w:ind w:left="851"/>
        <w:rPr>
          <w:sz w:val="24"/>
          <w:szCs w:val="24"/>
        </w:rPr>
      </w:pPr>
      <w:proofErr w:type="spellStart"/>
      <w:r w:rsidRPr="005F1933">
        <w:rPr>
          <w:sz w:val="24"/>
          <w:szCs w:val="24"/>
        </w:rPr>
        <w:t>Sevelamer</w:t>
      </w:r>
      <w:proofErr w:type="spellEnd"/>
      <w:r w:rsidRPr="005F1933">
        <w:rPr>
          <w:sz w:val="24"/>
          <w:szCs w:val="24"/>
        </w:rPr>
        <w:t xml:space="preserve"> har ingen eller ubetydelig indflydelse på evnen til at føre motorkøretøj og betjene maskiner.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4.8</w:t>
      </w:r>
      <w:r w:rsidRPr="005F1933">
        <w:rPr>
          <w:b/>
          <w:sz w:val="24"/>
          <w:szCs w:val="24"/>
        </w:rPr>
        <w:tab/>
        <w:t>Bivirkninger</w:t>
      </w:r>
    </w:p>
    <w:p w:rsidR="00E1026C"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Oversigt over sikkerhedsprofilen</w:t>
      </w:r>
    </w:p>
    <w:p w:rsidR="00E1026C" w:rsidRPr="005F1933" w:rsidRDefault="00E1026C" w:rsidP="00E1026C">
      <w:pPr>
        <w:ind w:left="851"/>
        <w:rPr>
          <w:sz w:val="24"/>
          <w:szCs w:val="24"/>
        </w:rPr>
      </w:pPr>
      <w:r w:rsidRPr="005F1933">
        <w:rPr>
          <w:sz w:val="24"/>
          <w:szCs w:val="24"/>
        </w:rPr>
        <w:t>De hyppigst forekommende</w:t>
      </w:r>
      <w:r>
        <w:rPr>
          <w:sz w:val="24"/>
          <w:szCs w:val="24"/>
        </w:rPr>
        <w:t xml:space="preserve"> </w:t>
      </w:r>
      <w:r w:rsidRPr="005F1933">
        <w:rPr>
          <w:sz w:val="24"/>
          <w:szCs w:val="24"/>
        </w:rPr>
        <w:t>bivirkninger (≥ 5 % af patienterne) var alle i systemorganklassen mave-tarm-kanalen.</w:t>
      </w:r>
    </w:p>
    <w:p w:rsidR="00E1026C" w:rsidRPr="005F1933"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Tabel over bivirkninger</w:t>
      </w:r>
    </w:p>
    <w:p w:rsidR="00E1026C" w:rsidRPr="005F1933" w:rsidRDefault="00E1026C" w:rsidP="00E1026C">
      <w:pPr>
        <w:ind w:left="851"/>
        <w:rPr>
          <w:sz w:val="24"/>
          <w:szCs w:val="24"/>
        </w:rPr>
      </w:pPr>
      <w:r w:rsidRPr="005F1933">
        <w:rPr>
          <w:sz w:val="24"/>
          <w:szCs w:val="24"/>
        </w:rPr>
        <w:t xml:space="preserve">Parallel designede kliniske studier, der omfattede 244 patienter i hæmodialyse, som var i behandling i op til 54 uger samt 97 patienter i </w:t>
      </w:r>
      <w:proofErr w:type="spellStart"/>
      <w:r w:rsidRPr="005F1933">
        <w:rPr>
          <w:sz w:val="24"/>
          <w:szCs w:val="24"/>
        </w:rPr>
        <w:t>peritonealdialyse</w:t>
      </w:r>
      <w:proofErr w:type="spellEnd"/>
      <w:r w:rsidRPr="005F1933">
        <w:rPr>
          <w:sz w:val="24"/>
          <w:szCs w:val="24"/>
        </w:rPr>
        <w:t xml:space="preserve"> med en 12 ugers lang behandlingstid blev udført.</w:t>
      </w:r>
    </w:p>
    <w:p w:rsidR="00E1026C" w:rsidRPr="005F1933" w:rsidRDefault="00E1026C" w:rsidP="00E1026C">
      <w:pPr>
        <w:ind w:left="851"/>
        <w:rPr>
          <w:sz w:val="24"/>
          <w:szCs w:val="24"/>
        </w:rPr>
      </w:pPr>
      <w:r w:rsidRPr="005F1933">
        <w:rPr>
          <w:sz w:val="24"/>
          <w:szCs w:val="24"/>
        </w:rPr>
        <w:t>Bivirkninger fra disse studier (299 patienter), fra ukontrollerede kliniske studier (384 patienter) og fra spontane indberetninger post-marketing, er anført efter hyppighed i nedenstående tabel. Indberetningsfrekvensen klassificeres som meget almindelig (≥ 1/10), almindelig (≥1/100 til &lt;1/10), ikke almindelig (≥1/1.000 til &lt;1/100), sjælden (≥1/10.000 til &lt;1/1.000), meget sjælden (&lt;1/10.000), ikke kendt (kan ikke estimeres ud fra forhåndenværende data).</w:t>
      </w:r>
    </w:p>
    <w:p w:rsidR="00842087" w:rsidRPr="00524CCC" w:rsidRDefault="00842087" w:rsidP="00842087">
      <w:pPr>
        <w:jc w:val="both"/>
        <w:rPr>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31"/>
        <w:gridCol w:w="1334"/>
        <w:gridCol w:w="2097"/>
        <w:gridCol w:w="1716"/>
        <w:gridCol w:w="1144"/>
        <w:gridCol w:w="1906"/>
      </w:tblGrid>
      <w:tr w:rsidR="00842087" w:rsidRPr="0021402D" w:rsidTr="002A7465">
        <w:trPr>
          <w:trHeight w:val="517"/>
        </w:trPr>
        <w:tc>
          <w:tcPr>
            <w:tcW w:w="743" w:type="pct"/>
          </w:tcPr>
          <w:p w:rsidR="00842087" w:rsidRPr="0021402D" w:rsidRDefault="00842087" w:rsidP="00C1323D">
            <w:pPr>
              <w:pStyle w:val="TableParagraph"/>
              <w:spacing w:before="1"/>
              <w:ind w:left="107"/>
              <w:rPr>
                <w:b/>
                <w:lang w:val="da-DK"/>
              </w:rPr>
            </w:pPr>
            <w:proofErr w:type="spellStart"/>
            <w:r w:rsidRPr="0021402D">
              <w:rPr>
                <w:b/>
                <w:lang w:val="da-DK"/>
              </w:rPr>
              <w:t>MedDRA</w:t>
            </w:r>
            <w:proofErr w:type="spellEnd"/>
          </w:p>
          <w:p w:rsidR="00842087" w:rsidRPr="0021402D" w:rsidRDefault="00842087" w:rsidP="00C1323D">
            <w:pPr>
              <w:pStyle w:val="TableParagraph"/>
              <w:spacing w:before="6" w:line="238" w:lineRule="exact"/>
              <w:ind w:left="107"/>
              <w:rPr>
                <w:b/>
                <w:lang w:val="da-DK"/>
              </w:rPr>
            </w:pPr>
            <w:r w:rsidRPr="0021402D">
              <w:rPr>
                <w:b/>
                <w:lang w:val="da-DK"/>
              </w:rPr>
              <w:t>Systemorganklasser</w:t>
            </w:r>
          </w:p>
        </w:tc>
        <w:tc>
          <w:tcPr>
            <w:tcW w:w="693" w:type="pct"/>
          </w:tcPr>
          <w:p w:rsidR="00842087" w:rsidRPr="0021402D" w:rsidRDefault="00842087" w:rsidP="00C1323D">
            <w:pPr>
              <w:pStyle w:val="TableParagraph"/>
              <w:spacing w:before="1"/>
              <w:ind w:left="107"/>
              <w:rPr>
                <w:b/>
                <w:lang w:val="da-DK"/>
              </w:rPr>
            </w:pPr>
            <w:r w:rsidRPr="0021402D">
              <w:rPr>
                <w:b/>
                <w:lang w:val="da-DK"/>
              </w:rPr>
              <w:t>Meget</w:t>
            </w:r>
          </w:p>
          <w:p w:rsidR="00842087" w:rsidRPr="0021402D" w:rsidRDefault="00842087" w:rsidP="00C1323D">
            <w:pPr>
              <w:pStyle w:val="TableParagraph"/>
              <w:spacing w:before="6" w:line="238" w:lineRule="exact"/>
              <w:ind w:left="107"/>
              <w:rPr>
                <w:b/>
                <w:lang w:val="da-DK"/>
              </w:rPr>
            </w:pPr>
            <w:r w:rsidRPr="0021402D">
              <w:rPr>
                <w:b/>
                <w:lang w:val="da-DK"/>
              </w:rPr>
              <w:t>almindelig</w:t>
            </w:r>
          </w:p>
        </w:tc>
        <w:tc>
          <w:tcPr>
            <w:tcW w:w="1089" w:type="pct"/>
          </w:tcPr>
          <w:p w:rsidR="00842087" w:rsidRPr="0021402D" w:rsidRDefault="00842087" w:rsidP="00C1323D">
            <w:pPr>
              <w:pStyle w:val="TableParagraph"/>
              <w:spacing w:before="1"/>
              <w:ind w:left="108"/>
              <w:rPr>
                <w:b/>
                <w:lang w:val="da-DK"/>
              </w:rPr>
            </w:pPr>
            <w:r w:rsidRPr="0021402D">
              <w:rPr>
                <w:b/>
                <w:lang w:val="da-DK"/>
              </w:rPr>
              <w:t>Almindelig</w:t>
            </w:r>
          </w:p>
        </w:tc>
        <w:tc>
          <w:tcPr>
            <w:tcW w:w="891" w:type="pct"/>
          </w:tcPr>
          <w:p w:rsidR="00842087" w:rsidRPr="0021402D" w:rsidRDefault="00842087" w:rsidP="00C1323D">
            <w:pPr>
              <w:pStyle w:val="TableParagraph"/>
              <w:spacing w:before="1"/>
              <w:ind w:left="107"/>
              <w:rPr>
                <w:b/>
                <w:lang w:val="da-DK"/>
              </w:rPr>
            </w:pPr>
            <w:r w:rsidRPr="0021402D">
              <w:rPr>
                <w:b/>
                <w:lang w:val="da-DK"/>
              </w:rPr>
              <w:t>Ikke almindelig</w:t>
            </w:r>
          </w:p>
        </w:tc>
        <w:tc>
          <w:tcPr>
            <w:tcW w:w="594" w:type="pct"/>
          </w:tcPr>
          <w:p w:rsidR="00842087" w:rsidRPr="0021402D" w:rsidRDefault="00842087" w:rsidP="00C1323D">
            <w:pPr>
              <w:pStyle w:val="TableParagraph"/>
              <w:spacing w:before="1"/>
              <w:ind w:left="107"/>
              <w:rPr>
                <w:b/>
                <w:lang w:val="da-DK"/>
              </w:rPr>
            </w:pPr>
            <w:r w:rsidRPr="0021402D">
              <w:rPr>
                <w:b/>
                <w:lang w:val="da-DK"/>
              </w:rPr>
              <w:t>Meget sjælden</w:t>
            </w:r>
          </w:p>
        </w:tc>
        <w:tc>
          <w:tcPr>
            <w:tcW w:w="990" w:type="pct"/>
          </w:tcPr>
          <w:p w:rsidR="00842087" w:rsidRPr="0021402D" w:rsidRDefault="00842087" w:rsidP="00C1323D">
            <w:pPr>
              <w:pStyle w:val="TableParagraph"/>
              <w:spacing w:before="1"/>
              <w:ind w:left="106"/>
              <w:rPr>
                <w:b/>
                <w:lang w:val="da-DK"/>
              </w:rPr>
            </w:pPr>
            <w:r w:rsidRPr="0021402D">
              <w:rPr>
                <w:b/>
                <w:lang w:val="da-DK"/>
              </w:rPr>
              <w:t>Ikke kendt</w:t>
            </w:r>
          </w:p>
        </w:tc>
      </w:tr>
      <w:tr w:rsidR="00842087" w:rsidRPr="002A7465" w:rsidTr="002A7465">
        <w:trPr>
          <w:trHeight w:val="258"/>
        </w:trPr>
        <w:tc>
          <w:tcPr>
            <w:tcW w:w="743" w:type="pct"/>
          </w:tcPr>
          <w:p w:rsidR="00842087" w:rsidRPr="002A7465" w:rsidRDefault="00842087" w:rsidP="00C1323D">
            <w:pPr>
              <w:pStyle w:val="TableParagraph"/>
              <w:spacing w:before="1" w:line="238" w:lineRule="exact"/>
              <w:ind w:left="107"/>
              <w:rPr>
                <w:lang w:val="da-DK"/>
              </w:rPr>
            </w:pPr>
            <w:r w:rsidRPr="002A7465">
              <w:rPr>
                <w:lang w:val="da-DK"/>
              </w:rPr>
              <w:t>Immunsystemet</w:t>
            </w:r>
          </w:p>
        </w:tc>
        <w:tc>
          <w:tcPr>
            <w:tcW w:w="693" w:type="pct"/>
          </w:tcPr>
          <w:p w:rsidR="00842087" w:rsidRPr="002A7465" w:rsidRDefault="00842087" w:rsidP="00C1323D">
            <w:pPr>
              <w:pStyle w:val="TableParagraph"/>
              <w:ind w:left="0"/>
              <w:rPr>
                <w:lang w:val="da-DK"/>
              </w:rPr>
            </w:pPr>
          </w:p>
        </w:tc>
        <w:tc>
          <w:tcPr>
            <w:tcW w:w="1089" w:type="pct"/>
          </w:tcPr>
          <w:p w:rsidR="00842087" w:rsidRPr="002A7465" w:rsidRDefault="00842087" w:rsidP="00C1323D">
            <w:pPr>
              <w:pStyle w:val="TableParagraph"/>
              <w:ind w:left="0"/>
              <w:rPr>
                <w:lang w:val="da-DK"/>
              </w:rPr>
            </w:pPr>
          </w:p>
        </w:tc>
        <w:tc>
          <w:tcPr>
            <w:tcW w:w="891" w:type="pct"/>
          </w:tcPr>
          <w:p w:rsidR="00842087" w:rsidRPr="002A7465" w:rsidRDefault="00842087" w:rsidP="00C1323D">
            <w:pPr>
              <w:pStyle w:val="TableParagraph"/>
              <w:ind w:left="0"/>
              <w:rPr>
                <w:lang w:val="da-DK"/>
              </w:rPr>
            </w:pPr>
          </w:p>
        </w:tc>
        <w:tc>
          <w:tcPr>
            <w:tcW w:w="594" w:type="pct"/>
          </w:tcPr>
          <w:p w:rsidR="00842087" w:rsidRPr="002A7465" w:rsidRDefault="00842087" w:rsidP="00C1323D">
            <w:pPr>
              <w:pStyle w:val="TableParagraph"/>
              <w:spacing w:before="1" w:line="238" w:lineRule="exact"/>
              <w:ind w:left="107" w:right="90"/>
              <w:rPr>
                <w:lang w:val="da-DK"/>
              </w:rPr>
            </w:pPr>
            <w:r w:rsidRPr="002A7465">
              <w:rPr>
                <w:lang w:val="da-DK"/>
              </w:rPr>
              <w:t>Overfølsomhed*</w:t>
            </w:r>
          </w:p>
        </w:tc>
        <w:tc>
          <w:tcPr>
            <w:tcW w:w="990" w:type="pct"/>
          </w:tcPr>
          <w:p w:rsidR="00842087" w:rsidRPr="002A7465" w:rsidRDefault="00842087" w:rsidP="00C1323D">
            <w:pPr>
              <w:pStyle w:val="TableParagraph"/>
              <w:ind w:left="0"/>
              <w:rPr>
                <w:lang w:val="da-DK"/>
              </w:rPr>
            </w:pPr>
          </w:p>
        </w:tc>
      </w:tr>
      <w:tr w:rsidR="00842087" w:rsidRPr="002A7465" w:rsidTr="002A7465">
        <w:trPr>
          <w:trHeight w:val="1036"/>
        </w:trPr>
        <w:tc>
          <w:tcPr>
            <w:tcW w:w="743" w:type="pct"/>
          </w:tcPr>
          <w:p w:rsidR="00842087" w:rsidRPr="002A7465" w:rsidRDefault="00842087" w:rsidP="00C1323D">
            <w:pPr>
              <w:pStyle w:val="TableParagraph"/>
              <w:tabs>
                <w:tab w:val="left" w:pos="1713"/>
              </w:tabs>
              <w:spacing w:before="1" w:line="244" w:lineRule="auto"/>
              <w:ind w:left="107" w:right="93"/>
              <w:rPr>
                <w:lang w:val="da-DK"/>
              </w:rPr>
            </w:pPr>
            <w:r w:rsidRPr="002A7465">
              <w:rPr>
                <w:lang w:val="da-DK"/>
              </w:rPr>
              <w:t>Metabolisme</w:t>
            </w:r>
            <w:r w:rsidR="0021402D">
              <w:rPr>
                <w:lang w:val="da-DK"/>
              </w:rPr>
              <w:t xml:space="preserve"> </w:t>
            </w:r>
            <w:r w:rsidRPr="002A7465">
              <w:rPr>
                <w:lang w:val="da-DK"/>
              </w:rPr>
              <w:t>og ernæring</w:t>
            </w:r>
          </w:p>
        </w:tc>
        <w:tc>
          <w:tcPr>
            <w:tcW w:w="693" w:type="pct"/>
          </w:tcPr>
          <w:p w:rsidR="00842087" w:rsidRPr="002A7465" w:rsidRDefault="00842087" w:rsidP="00C1323D">
            <w:pPr>
              <w:pStyle w:val="TableParagraph"/>
              <w:ind w:left="0"/>
              <w:rPr>
                <w:lang w:val="da-DK"/>
              </w:rPr>
            </w:pPr>
          </w:p>
        </w:tc>
        <w:tc>
          <w:tcPr>
            <w:tcW w:w="1089" w:type="pct"/>
          </w:tcPr>
          <w:p w:rsidR="00842087" w:rsidRPr="002A7465" w:rsidRDefault="00842087" w:rsidP="00C1323D">
            <w:pPr>
              <w:pStyle w:val="TableParagraph"/>
              <w:ind w:left="0"/>
              <w:rPr>
                <w:lang w:val="da-DK"/>
              </w:rPr>
            </w:pPr>
          </w:p>
        </w:tc>
        <w:tc>
          <w:tcPr>
            <w:tcW w:w="891" w:type="pct"/>
          </w:tcPr>
          <w:p w:rsidR="00842087" w:rsidRPr="002A7465" w:rsidRDefault="00842087" w:rsidP="0021402D">
            <w:pPr>
              <w:pStyle w:val="TableParagraph"/>
              <w:spacing w:before="1" w:line="244" w:lineRule="auto"/>
              <w:ind w:left="107"/>
              <w:rPr>
                <w:lang w:val="da-DK"/>
              </w:rPr>
            </w:pPr>
            <w:proofErr w:type="spellStart"/>
            <w:r w:rsidRPr="002A7465">
              <w:rPr>
                <w:lang w:val="da-DK"/>
              </w:rPr>
              <w:t>Acidose</w:t>
            </w:r>
            <w:proofErr w:type="spellEnd"/>
            <w:r w:rsidRPr="002A7465">
              <w:rPr>
                <w:lang w:val="da-DK"/>
              </w:rPr>
              <w:t>, forhøjede</w:t>
            </w:r>
            <w:r w:rsidR="0021402D">
              <w:rPr>
                <w:lang w:val="da-DK"/>
              </w:rPr>
              <w:t xml:space="preserve"> </w:t>
            </w:r>
            <w:proofErr w:type="spellStart"/>
            <w:r w:rsidR="0021402D">
              <w:rPr>
                <w:lang w:val="da-DK"/>
              </w:rPr>
              <w:t>c</w:t>
            </w:r>
            <w:r w:rsidRPr="002A7465">
              <w:rPr>
                <w:lang w:val="da-DK"/>
              </w:rPr>
              <w:t>hlorid</w:t>
            </w:r>
            <w:r w:rsidR="0021402D">
              <w:rPr>
                <w:lang w:val="da-DK"/>
              </w:rPr>
              <w:softHyphen/>
            </w:r>
            <w:r w:rsidRPr="002A7465">
              <w:rPr>
                <w:lang w:val="da-DK"/>
              </w:rPr>
              <w:t>niveauer</w:t>
            </w:r>
            <w:proofErr w:type="spellEnd"/>
            <w:r w:rsidRPr="002A7465">
              <w:rPr>
                <w:lang w:val="da-DK"/>
              </w:rPr>
              <w:t xml:space="preserve"> i serum</w:t>
            </w:r>
          </w:p>
        </w:tc>
        <w:tc>
          <w:tcPr>
            <w:tcW w:w="594" w:type="pct"/>
          </w:tcPr>
          <w:p w:rsidR="00842087" w:rsidRPr="002A7465" w:rsidRDefault="00842087" w:rsidP="00C1323D">
            <w:pPr>
              <w:pStyle w:val="TableParagraph"/>
              <w:ind w:left="0"/>
              <w:rPr>
                <w:lang w:val="da-DK"/>
              </w:rPr>
            </w:pPr>
          </w:p>
        </w:tc>
        <w:tc>
          <w:tcPr>
            <w:tcW w:w="990" w:type="pct"/>
          </w:tcPr>
          <w:p w:rsidR="00842087" w:rsidRPr="002A7465" w:rsidRDefault="00842087" w:rsidP="00C1323D">
            <w:pPr>
              <w:pStyle w:val="TableParagraph"/>
              <w:ind w:left="0"/>
              <w:rPr>
                <w:lang w:val="da-DK"/>
              </w:rPr>
            </w:pPr>
          </w:p>
        </w:tc>
      </w:tr>
      <w:tr w:rsidR="00842087" w:rsidRPr="002A7465" w:rsidTr="002A7465">
        <w:trPr>
          <w:trHeight w:val="1294"/>
        </w:trPr>
        <w:tc>
          <w:tcPr>
            <w:tcW w:w="743" w:type="pct"/>
          </w:tcPr>
          <w:p w:rsidR="00842087" w:rsidRPr="002A7465" w:rsidRDefault="00842087" w:rsidP="00C1323D">
            <w:pPr>
              <w:pStyle w:val="TableParagraph"/>
              <w:ind w:left="107"/>
              <w:rPr>
                <w:lang w:val="da-DK"/>
              </w:rPr>
            </w:pPr>
            <w:r w:rsidRPr="002A7465">
              <w:rPr>
                <w:lang w:val="da-DK"/>
              </w:rPr>
              <w:t>Mave-tarm-kanalen</w:t>
            </w:r>
          </w:p>
        </w:tc>
        <w:tc>
          <w:tcPr>
            <w:tcW w:w="693" w:type="pct"/>
          </w:tcPr>
          <w:p w:rsidR="00842087" w:rsidRPr="002A7465" w:rsidRDefault="00842087" w:rsidP="00C1323D">
            <w:pPr>
              <w:pStyle w:val="TableParagraph"/>
              <w:spacing w:line="244" w:lineRule="auto"/>
              <w:ind w:left="107" w:right="116"/>
              <w:rPr>
                <w:lang w:val="da-DK"/>
              </w:rPr>
            </w:pPr>
            <w:r w:rsidRPr="002A7465">
              <w:rPr>
                <w:lang w:val="da-DK"/>
              </w:rPr>
              <w:t>Kvalme, opkastning</w:t>
            </w:r>
          </w:p>
        </w:tc>
        <w:tc>
          <w:tcPr>
            <w:tcW w:w="1089" w:type="pct"/>
          </w:tcPr>
          <w:p w:rsidR="00842087" w:rsidRPr="002A7465" w:rsidRDefault="00842087" w:rsidP="00C1323D">
            <w:pPr>
              <w:pStyle w:val="TableParagraph"/>
              <w:tabs>
                <w:tab w:val="left" w:pos="928"/>
              </w:tabs>
              <w:spacing w:line="244" w:lineRule="auto"/>
              <w:ind w:left="108" w:right="96"/>
              <w:rPr>
                <w:lang w:val="da-DK"/>
              </w:rPr>
            </w:pPr>
            <w:proofErr w:type="spellStart"/>
            <w:r w:rsidRPr="002A7465">
              <w:rPr>
                <w:lang w:val="da-DK"/>
              </w:rPr>
              <w:t>Diaré</w:t>
            </w:r>
            <w:proofErr w:type="spellEnd"/>
            <w:r w:rsidRPr="002A7465">
              <w:rPr>
                <w:lang w:val="da-DK"/>
              </w:rPr>
              <w:t>,</w:t>
            </w:r>
            <w:r w:rsidR="0021402D">
              <w:rPr>
                <w:lang w:val="da-DK"/>
              </w:rPr>
              <w:t xml:space="preserve"> </w:t>
            </w:r>
            <w:r w:rsidRPr="002A7465">
              <w:rPr>
                <w:lang w:val="da-DK"/>
              </w:rPr>
              <w:t xml:space="preserve">dyspepsi, </w:t>
            </w:r>
            <w:proofErr w:type="spellStart"/>
            <w:r w:rsidRPr="002A7465">
              <w:rPr>
                <w:lang w:val="da-DK"/>
              </w:rPr>
              <w:t>flatulens</w:t>
            </w:r>
            <w:proofErr w:type="spellEnd"/>
            <w:r w:rsidRPr="002A7465">
              <w:rPr>
                <w:lang w:val="da-DK"/>
              </w:rPr>
              <w:t xml:space="preserve">, </w:t>
            </w:r>
            <w:proofErr w:type="spellStart"/>
            <w:r w:rsidRPr="002A7465">
              <w:rPr>
                <w:spacing w:val="-1"/>
                <w:lang w:val="da-DK"/>
              </w:rPr>
              <w:t>abdominalsmerter</w:t>
            </w:r>
            <w:proofErr w:type="spellEnd"/>
            <w:r w:rsidRPr="002A7465">
              <w:rPr>
                <w:spacing w:val="-1"/>
                <w:lang w:val="da-DK"/>
              </w:rPr>
              <w:t xml:space="preserve">, </w:t>
            </w:r>
            <w:r w:rsidRPr="002A7465">
              <w:rPr>
                <w:lang w:val="da-DK"/>
              </w:rPr>
              <w:t>obstipation</w:t>
            </w:r>
          </w:p>
        </w:tc>
        <w:tc>
          <w:tcPr>
            <w:tcW w:w="891" w:type="pct"/>
          </w:tcPr>
          <w:p w:rsidR="00842087" w:rsidRPr="002A7465" w:rsidRDefault="00842087" w:rsidP="00C1323D">
            <w:pPr>
              <w:pStyle w:val="TableParagraph"/>
              <w:ind w:left="0"/>
              <w:rPr>
                <w:lang w:val="da-DK"/>
              </w:rPr>
            </w:pPr>
          </w:p>
        </w:tc>
        <w:tc>
          <w:tcPr>
            <w:tcW w:w="594" w:type="pct"/>
          </w:tcPr>
          <w:p w:rsidR="00842087" w:rsidRPr="002A7465" w:rsidRDefault="00842087" w:rsidP="00C1323D">
            <w:pPr>
              <w:pStyle w:val="TableParagraph"/>
              <w:ind w:left="0"/>
              <w:rPr>
                <w:lang w:val="da-DK"/>
              </w:rPr>
            </w:pPr>
          </w:p>
        </w:tc>
        <w:tc>
          <w:tcPr>
            <w:tcW w:w="990" w:type="pct"/>
          </w:tcPr>
          <w:p w:rsidR="00842087" w:rsidRPr="002A7465" w:rsidRDefault="00842087" w:rsidP="00C1323D">
            <w:pPr>
              <w:pStyle w:val="TableParagraph"/>
              <w:spacing w:line="244" w:lineRule="auto"/>
              <w:ind w:left="106"/>
              <w:rPr>
                <w:lang w:val="da-DK"/>
              </w:rPr>
            </w:pPr>
            <w:r w:rsidRPr="002A7465">
              <w:rPr>
                <w:lang w:val="da-DK"/>
              </w:rPr>
              <w:t xml:space="preserve">Mavesmerter, tarmobstruktion, </w:t>
            </w:r>
            <w:proofErr w:type="spellStart"/>
            <w:r w:rsidRPr="002A7465">
              <w:rPr>
                <w:lang w:val="da-DK"/>
              </w:rPr>
              <w:t>ileus</w:t>
            </w:r>
            <w:proofErr w:type="spellEnd"/>
            <w:r w:rsidRPr="002A7465">
              <w:rPr>
                <w:lang w:val="da-DK"/>
              </w:rPr>
              <w:t>/</w:t>
            </w:r>
            <w:proofErr w:type="spellStart"/>
            <w:r w:rsidRPr="002A7465">
              <w:rPr>
                <w:lang w:val="da-DK"/>
              </w:rPr>
              <w:t>subileus</w:t>
            </w:r>
            <w:proofErr w:type="spellEnd"/>
            <w:r w:rsidRPr="002A7465">
              <w:rPr>
                <w:lang w:val="da-DK"/>
              </w:rPr>
              <w:t xml:space="preserve">, </w:t>
            </w:r>
            <w:proofErr w:type="spellStart"/>
            <w:r w:rsidRPr="002A7465">
              <w:rPr>
                <w:lang w:val="da-DK"/>
              </w:rPr>
              <w:t>divertikulitis</w:t>
            </w:r>
            <w:proofErr w:type="spellEnd"/>
            <w:r w:rsidRPr="002A7465">
              <w:rPr>
                <w:spacing w:val="51"/>
                <w:lang w:val="da-DK"/>
              </w:rPr>
              <w:t xml:space="preserve"> </w:t>
            </w:r>
            <w:r w:rsidRPr="002A7465">
              <w:rPr>
                <w:lang w:val="da-DK"/>
              </w:rPr>
              <w:t>og</w:t>
            </w:r>
          </w:p>
          <w:p w:rsidR="00842087" w:rsidRPr="002A7465" w:rsidRDefault="00842087" w:rsidP="00C1323D">
            <w:pPr>
              <w:pStyle w:val="TableParagraph"/>
              <w:spacing w:before="4" w:line="238" w:lineRule="exact"/>
              <w:ind w:left="106"/>
              <w:rPr>
                <w:lang w:val="da-DK"/>
              </w:rPr>
            </w:pPr>
            <w:r w:rsidRPr="002A7465">
              <w:rPr>
                <w:lang w:val="da-DK"/>
              </w:rPr>
              <w:t>tarmperforation</w:t>
            </w:r>
            <w:r w:rsidRPr="002A7465">
              <w:rPr>
                <w:vertAlign w:val="superscript"/>
                <w:lang w:val="da-DK"/>
              </w:rPr>
              <w:t>1</w:t>
            </w:r>
            <w:r w:rsidRPr="002A7465">
              <w:rPr>
                <w:lang w:val="da-DK"/>
              </w:rPr>
              <w:t>,</w:t>
            </w:r>
          </w:p>
          <w:p w:rsidR="00842087" w:rsidRPr="002A7465" w:rsidRDefault="00842087" w:rsidP="00C1323D">
            <w:pPr>
              <w:pStyle w:val="TableParagraph"/>
              <w:spacing w:before="4" w:line="238" w:lineRule="exact"/>
              <w:ind w:left="106"/>
              <w:rPr>
                <w:lang w:val="da-DK"/>
              </w:rPr>
            </w:pPr>
            <w:proofErr w:type="spellStart"/>
            <w:r w:rsidRPr="002A7465">
              <w:rPr>
                <w:lang w:val="da-DK"/>
              </w:rPr>
              <w:t>gastrointestinal</w:t>
            </w:r>
            <w:proofErr w:type="spellEnd"/>
          </w:p>
          <w:p w:rsidR="00842087" w:rsidRPr="002A7465" w:rsidRDefault="00842087" w:rsidP="00C1323D">
            <w:pPr>
              <w:pStyle w:val="TableParagraph"/>
              <w:spacing w:before="4" w:line="238" w:lineRule="exact"/>
              <w:ind w:left="106"/>
              <w:rPr>
                <w:lang w:val="da-DK"/>
              </w:rPr>
            </w:pPr>
            <w:proofErr w:type="spellStart"/>
            <w:r w:rsidRPr="002A7465">
              <w:rPr>
                <w:lang w:val="da-DK"/>
              </w:rPr>
              <w:t>hæmoragi</w:t>
            </w:r>
            <w:proofErr w:type="spellEnd"/>
            <w:r w:rsidRPr="002A7465">
              <w:rPr>
                <w:lang w:val="da-DK"/>
              </w:rPr>
              <w:t>*</w:t>
            </w:r>
            <w:r w:rsidRPr="002A7465">
              <w:rPr>
                <w:vertAlign w:val="superscript"/>
                <w:lang w:val="da-DK"/>
              </w:rPr>
              <w:t>1</w:t>
            </w:r>
            <w:r w:rsidRPr="002A7465">
              <w:rPr>
                <w:lang w:val="da-DK"/>
              </w:rPr>
              <w:t>,</w:t>
            </w:r>
          </w:p>
          <w:p w:rsidR="00842087" w:rsidRPr="002A7465" w:rsidRDefault="00842087" w:rsidP="00C1323D">
            <w:pPr>
              <w:pStyle w:val="TableParagraph"/>
              <w:spacing w:before="4" w:line="238" w:lineRule="exact"/>
              <w:ind w:left="106"/>
              <w:rPr>
                <w:lang w:val="da-DK"/>
              </w:rPr>
            </w:pPr>
            <w:proofErr w:type="spellStart"/>
            <w:r w:rsidRPr="002A7465">
              <w:rPr>
                <w:lang w:val="da-DK"/>
              </w:rPr>
              <w:t>intestinal</w:t>
            </w:r>
            <w:proofErr w:type="spellEnd"/>
          </w:p>
          <w:p w:rsidR="00842087" w:rsidRPr="002A7465" w:rsidRDefault="00842087" w:rsidP="00C1323D">
            <w:pPr>
              <w:pStyle w:val="TableParagraph"/>
              <w:spacing w:before="4" w:line="238" w:lineRule="exact"/>
              <w:ind w:left="106"/>
              <w:rPr>
                <w:lang w:val="da-DK"/>
              </w:rPr>
            </w:pPr>
            <w:proofErr w:type="spellStart"/>
            <w:r w:rsidRPr="002A7465">
              <w:rPr>
                <w:lang w:val="da-DK"/>
              </w:rPr>
              <w:t>ulceration</w:t>
            </w:r>
            <w:proofErr w:type="spellEnd"/>
            <w:r w:rsidRPr="002A7465">
              <w:rPr>
                <w:lang w:val="da-DK"/>
              </w:rPr>
              <w:t>*</w:t>
            </w:r>
            <w:r w:rsidRPr="002A7465">
              <w:rPr>
                <w:vertAlign w:val="superscript"/>
                <w:lang w:val="da-DK"/>
              </w:rPr>
              <w:t>1</w:t>
            </w:r>
            <w:r w:rsidRPr="002A7465">
              <w:rPr>
                <w:lang w:val="da-DK"/>
              </w:rPr>
              <w:t>,</w:t>
            </w:r>
          </w:p>
          <w:p w:rsidR="00842087" w:rsidRPr="002A7465" w:rsidRDefault="00842087" w:rsidP="00C1323D">
            <w:pPr>
              <w:pStyle w:val="TableParagraph"/>
              <w:spacing w:before="4" w:line="238" w:lineRule="exact"/>
              <w:ind w:left="106"/>
              <w:rPr>
                <w:lang w:val="da-DK"/>
              </w:rPr>
            </w:pPr>
            <w:proofErr w:type="spellStart"/>
            <w:r w:rsidRPr="002A7465">
              <w:rPr>
                <w:lang w:val="da-DK"/>
              </w:rPr>
              <w:t>gastrointestinal</w:t>
            </w:r>
            <w:proofErr w:type="spellEnd"/>
          </w:p>
          <w:p w:rsidR="00842087" w:rsidRPr="002A7465" w:rsidRDefault="00842087" w:rsidP="00C1323D">
            <w:pPr>
              <w:pStyle w:val="TableParagraph"/>
              <w:spacing w:before="4" w:line="238" w:lineRule="exact"/>
              <w:ind w:left="106"/>
              <w:rPr>
                <w:lang w:val="da-DK"/>
              </w:rPr>
            </w:pPr>
            <w:r w:rsidRPr="002A7465">
              <w:rPr>
                <w:lang w:val="da-DK"/>
              </w:rPr>
              <w:t>nekrose*</w:t>
            </w:r>
            <w:r w:rsidRPr="002A7465">
              <w:rPr>
                <w:vertAlign w:val="superscript"/>
                <w:lang w:val="da-DK"/>
              </w:rPr>
              <w:t>1</w:t>
            </w:r>
            <w:r w:rsidRPr="002A7465">
              <w:rPr>
                <w:lang w:val="da-DK"/>
              </w:rPr>
              <w:t>,</w:t>
            </w:r>
          </w:p>
          <w:p w:rsidR="00842087" w:rsidRPr="002A7465" w:rsidRDefault="00842087" w:rsidP="00C1323D">
            <w:pPr>
              <w:pStyle w:val="TableParagraph"/>
              <w:spacing w:before="4" w:line="238" w:lineRule="exact"/>
              <w:ind w:left="106"/>
              <w:rPr>
                <w:lang w:val="da-DK"/>
              </w:rPr>
            </w:pPr>
            <w:r w:rsidRPr="002A7465">
              <w:rPr>
                <w:lang w:val="da-DK"/>
              </w:rPr>
              <w:t>colitis*</w:t>
            </w:r>
            <w:r w:rsidRPr="002A7465">
              <w:rPr>
                <w:vertAlign w:val="superscript"/>
                <w:lang w:val="da-DK"/>
              </w:rPr>
              <w:t>1</w:t>
            </w:r>
            <w:r w:rsidRPr="002A7465">
              <w:rPr>
                <w:lang w:val="da-DK"/>
              </w:rPr>
              <w:t>,</w:t>
            </w:r>
          </w:p>
          <w:p w:rsidR="00842087" w:rsidRPr="002A7465" w:rsidRDefault="00842087" w:rsidP="00C1323D">
            <w:pPr>
              <w:pStyle w:val="TableParagraph"/>
              <w:spacing w:before="4" w:line="238" w:lineRule="exact"/>
              <w:ind w:left="106"/>
              <w:rPr>
                <w:lang w:val="da-DK"/>
              </w:rPr>
            </w:pPr>
            <w:proofErr w:type="spellStart"/>
            <w:r w:rsidRPr="002A7465">
              <w:rPr>
                <w:lang w:val="da-DK"/>
              </w:rPr>
              <w:t>intestinal</w:t>
            </w:r>
            <w:proofErr w:type="spellEnd"/>
            <w:r w:rsidRPr="002A7465">
              <w:rPr>
                <w:lang w:val="da-DK"/>
              </w:rPr>
              <w:t xml:space="preserve"> </w:t>
            </w:r>
          </w:p>
          <w:p w:rsidR="00842087" w:rsidRPr="002A7465" w:rsidRDefault="00842087" w:rsidP="00C1323D">
            <w:pPr>
              <w:pStyle w:val="TableParagraph"/>
              <w:spacing w:before="4" w:line="238" w:lineRule="exact"/>
              <w:ind w:left="106"/>
              <w:rPr>
                <w:lang w:val="da-DK"/>
              </w:rPr>
            </w:pPr>
            <w:r w:rsidRPr="002A7465">
              <w:rPr>
                <w:lang w:val="da-DK"/>
              </w:rPr>
              <w:t>svulst*</w:t>
            </w:r>
            <w:r w:rsidRPr="002A7465">
              <w:rPr>
                <w:vertAlign w:val="superscript"/>
                <w:lang w:val="da-DK"/>
              </w:rPr>
              <w:t>1</w:t>
            </w:r>
          </w:p>
        </w:tc>
      </w:tr>
      <w:tr w:rsidR="00842087" w:rsidRPr="002A7465" w:rsidTr="002A7465">
        <w:trPr>
          <w:trHeight w:val="517"/>
        </w:trPr>
        <w:tc>
          <w:tcPr>
            <w:tcW w:w="743" w:type="pct"/>
          </w:tcPr>
          <w:p w:rsidR="00842087" w:rsidRPr="002A7465" w:rsidRDefault="00842087" w:rsidP="00C1323D">
            <w:pPr>
              <w:pStyle w:val="TableParagraph"/>
              <w:spacing w:before="1"/>
              <w:ind w:left="107"/>
              <w:rPr>
                <w:lang w:val="da-DK"/>
              </w:rPr>
            </w:pPr>
            <w:r w:rsidRPr="002A7465">
              <w:rPr>
                <w:lang w:val="da-DK"/>
              </w:rPr>
              <w:t>Hud og</w:t>
            </w:r>
            <w:r w:rsidRPr="002A7465">
              <w:rPr>
                <w:spacing w:val="54"/>
                <w:lang w:val="da-DK"/>
              </w:rPr>
              <w:t xml:space="preserve"> </w:t>
            </w:r>
            <w:r w:rsidRPr="002A7465">
              <w:rPr>
                <w:lang w:val="da-DK"/>
              </w:rPr>
              <w:t>subkutane</w:t>
            </w:r>
          </w:p>
          <w:p w:rsidR="00842087" w:rsidRPr="002A7465" w:rsidRDefault="00842087" w:rsidP="00C1323D">
            <w:pPr>
              <w:pStyle w:val="TableParagraph"/>
              <w:spacing w:before="6" w:line="238" w:lineRule="exact"/>
              <w:ind w:left="107"/>
              <w:rPr>
                <w:lang w:val="da-DK"/>
              </w:rPr>
            </w:pPr>
            <w:r w:rsidRPr="002A7465">
              <w:rPr>
                <w:lang w:val="da-DK"/>
              </w:rPr>
              <w:t>væv</w:t>
            </w:r>
          </w:p>
        </w:tc>
        <w:tc>
          <w:tcPr>
            <w:tcW w:w="693" w:type="pct"/>
          </w:tcPr>
          <w:p w:rsidR="00842087" w:rsidRPr="002A7465" w:rsidRDefault="00842087" w:rsidP="00C1323D">
            <w:pPr>
              <w:pStyle w:val="TableParagraph"/>
              <w:ind w:left="0"/>
              <w:rPr>
                <w:lang w:val="da-DK"/>
              </w:rPr>
            </w:pPr>
          </w:p>
        </w:tc>
        <w:tc>
          <w:tcPr>
            <w:tcW w:w="1089" w:type="pct"/>
          </w:tcPr>
          <w:p w:rsidR="00842087" w:rsidRPr="002A7465" w:rsidRDefault="00842087" w:rsidP="00C1323D">
            <w:pPr>
              <w:pStyle w:val="TableParagraph"/>
              <w:ind w:left="0"/>
              <w:rPr>
                <w:lang w:val="da-DK"/>
              </w:rPr>
            </w:pPr>
          </w:p>
        </w:tc>
        <w:tc>
          <w:tcPr>
            <w:tcW w:w="891" w:type="pct"/>
          </w:tcPr>
          <w:p w:rsidR="00842087" w:rsidRPr="002A7465" w:rsidRDefault="00842087" w:rsidP="00C1323D">
            <w:pPr>
              <w:pStyle w:val="TableParagraph"/>
              <w:ind w:left="0"/>
              <w:rPr>
                <w:lang w:val="da-DK"/>
              </w:rPr>
            </w:pPr>
          </w:p>
        </w:tc>
        <w:tc>
          <w:tcPr>
            <w:tcW w:w="594" w:type="pct"/>
          </w:tcPr>
          <w:p w:rsidR="00842087" w:rsidRPr="002A7465" w:rsidRDefault="00842087" w:rsidP="00C1323D">
            <w:pPr>
              <w:pStyle w:val="TableParagraph"/>
              <w:ind w:left="0"/>
              <w:rPr>
                <w:lang w:val="da-DK"/>
              </w:rPr>
            </w:pPr>
          </w:p>
        </w:tc>
        <w:tc>
          <w:tcPr>
            <w:tcW w:w="990" w:type="pct"/>
          </w:tcPr>
          <w:p w:rsidR="00842087" w:rsidRPr="002A7465" w:rsidRDefault="00842087" w:rsidP="00C1323D">
            <w:pPr>
              <w:pStyle w:val="TableParagraph"/>
              <w:spacing w:before="1"/>
              <w:ind w:left="106"/>
              <w:rPr>
                <w:lang w:val="da-DK"/>
              </w:rPr>
            </w:pPr>
            <w:proofErr w:type="spellStart"/>
            <w:r w:rsidRPr="002A7465">
              <w:rPr>
                <w:lang w:val="da-DK"/>
              </w:rPr>
              <w:t>Pruritus</w:t>
            </w:r>
            <w:proofErr w:type="spellEnd"/>
            <w:r w:rsidRPr="002A7465">
              <w:rPr>
                <w:lang w:val="da-DK"/>
              </w:rPr>
              <w:t>, udslæt</w:t>
            </w:r>
          </w:p>
        </w:tc>
      </w:tr>
      <w:tr w:rsidR="00842087" w:rsidRPr="002A7465" w:rsidTr="002A7465">
        <w:trPr>
          <w:trHeight w:val="517"/>
        </w:trPr>
        <w:tc>
          <w:tcPr>
            <w:tcW w:w="743" w:type="pct"/>
          </w:tcPr>
          <w:p w:rsidR="00842087" w:rsidRPr="002A7465" w:rsidRDefault="00842087" w:rsidP="00C1323D">
            <w:pPr>
              <w:pStyle w:val="TableParagraph"/>
              <w:spacing w:before="1"/>
              <w:ind w:left="107"/>
              <w:rPr>
                <w:lang w:val="da-DK"/>
              </w:rPr>
            </w:pPr>
            <w:r w:rsidRPr="002A7465">
              <w:rPr>
                <w:lang w:val="da-DK"/>
              </w:rPr>
              <w:t>Undersøgelser</w:t>
            </w:r>
          </w:p>
        </w:tc>
        <w:tc>
          <w:tcPr>
            <w:tcW w:w="693" w:type="pct"/>
          </w:tcPr>
          <w:p w:rsidR="00842087" w:rsidRPr="002A7465" w:rsidRDefault="00842087" w:rsidP="00C1323D">
            <w:pPr>
              <w:pStyle w:val="TableParagraph"/>
              <w:ind w:left="0"/>
              <w:rPr>
                <w:lang w:val="da-DK"/>
              </w:rPr>
            </w:pPr>
          </w:p>
        </w:tc>
        <w:tc>
          <w:tcPr>
            <w:tcW w:w="1089" w:type="pct"/>
          </w:tcPr>
          <w:p w:rsidR="00842087" w:rsidRPr="002A7465" w:rsidRDefault="00842087" w:rsidP="00C1323D">
            <w:pPr>
              <w:pStyle w:val="TableParagraph"/>
              <w:ind w:left="0"/>
              <w:rPr>
                <w:lang w:val="da-DK"/>
              </w:rPr>
            </w:pPr>
          </w:p>
        </w:tc>
        <w:tc>
          <w:tcPr>
            <w:tcW w:w="891" w:type="pct"/>
          </w:tcPr>
          <w:p w:rsidR="00842087" w:rsidRPr="002A7465" w:rsidRDefault="00842087" w:rsidP="00C1323D">
            <w:pPr>
              <w:pStyle w:val="TableParagraph"/>
              <w:ind w:left="0"/>
              <w:rPr>
                <w:lang w:val="da-DK"/>
              </w:rPr>
            </w:pPr>
          </w:p>
        </w:tc>
        <w:tc>
          <w:tcPr>
            <w:tcW w:w="594" w:type="pct"/>
          </w:tcPr>
          <w:p w:rsidR="00842087" w:rsidRPr="002A7465" w:rsidRDefault="00842087" w:rsidP="00C1323D">
            <w:pPr>
              <w:pStyle w:val="TableParagraph"/>
              <w:ind w:left="0"/>
              <w:rPr>
                <w:lang w:val="da-DK"/>
              </w:rPr>
            </w:pPr>
          </w:p>
        </w:tc>
        <w:tc>
          <w:tcPr>
            <w:tcW w:w="990" w:type="pct"/>
          </w:tcPr>
          <w:p w:rsidR="00842087" w:rsidRPr="002A7465" w:rsidRDefault="00842087" w:rsidP="00C1323D">
            <w:pPr>
              <w:pStyle w:val="TableParagraph"/>
              <w:spacing w:before="1"/>
              <w:ind w:left="106"/>
              <w:rPr>
                <w:lang w:val="da-DK"/>
              </w:rPr>
            </w:pPr>
            <w:r w:rsidRPr="002A7465">
              <w:rPr>
                <w:lang w:val="da-DK"/>
              </w:rPr>
              <w:t>Krystalaflejring i</w:t>
            </w:r>
          </w:p>
          <w:p w:rsidR="00842087" w:rsidRPr="002A7465" w:rsidRDefault="00842087" w:rsidP="00C1323D">
            <w:pPr>
              <w:pStyle w:val="TableParagraph"/>
              <w:spacing w:before="1"/>
              <w:ind w:left="106"/>
              <w:rPr>
                <w:lang w:val="da-DK"/>
              </w:rPr>
            </w:pPr>
            <w:r w:rsidRPr="002A7465">
              <w:rPr>
                <w:lang w:val="da-DK"/>
              </w:rPr>
              <w:t>tarmene*</w:t>
            </w:r>
            <w:r w:rsidRPr="002A7465">
              <w:rPr>
                <w:vertAlign w:val="superscript"/>
                <w:lang w:val="da-DK"/>
              </w:rPr>
              <w:t>1</w:t>
            </w:r>
          </w:p>
        </w:tc>
      </w:tr>
    </w:tbl>
    <w:p w:rsidR="00842087" w:rsidRDefault="00842087" w:rsidP="000F7851">
      <w:pPr>
        <w:ind w:left="284" w:hanging="284"/>
        <w:jc w:val="both"/>
        <w:rPr>
          <w:i/>
          <w:sz w:val="24"/>
          <w:szCs w:val="24"/>
        </w:rPr>
      </w:pPr>
      <w:r w:rsidRPr="00524CCC">
        <w:rPr>
          <w:i/>
          <w:sz w:val="24"/>
          <w:szCs w:val="24"/>
        </w:rPr>
        <w:t>*</w:t>
      </w:r>
      <w:r w:rsidR="000F7851">
        <w:rPr>
          <w:i/>
          <w:sz w:val="24"/>
          <w:szCs w:val="24"/>
        </w:rPr>
        <w:tab/>
      </w:r>
      <w:r w:rsidRPr="00524CCC">
        <w:rPr>
          <w:i/>
          <w:sz w:val="24"/>
          <w:szCs w:val="24"/>
        </w:rPr>
        <w:t>post-marketing erfaring</w:t>
      </w:r>
    </w:p>
    <w:p w:rsidR="00842087" w:rsidRPr="004A6EDC" w:rsidRDefault="00842087" w:rsidP="000F7851">
      <w:pPr>
        <w:ind w:left="284" w:hanging="284"/>
        <w:jc w:val="both"/>
        <w:rPr>
          <w:i/>
          <w:sz w:val="24"/>
          <w:szCs w:val="24"/>
        </w:rPr>
      </w:pPr>
      <w:r w:rsidRPr="001E3DF0">
        <w:rPr>
          <w:i/>
          <w:sz w:val="22"/>
          <w:szCs w:val="24"/>
          <w:vertAlign w:val="superscript"/>
        </w:rPr>
        <w:t>1</w:t>
      </w:r>
      <w:r w:rsidRPr="001E3DF0">
        <w:rPr>
          <w:i/>
          <w:sz w:val="24"/>
          <w:szCs w:val="24"/>
        </w:rPr>
        <w:t xml:space="preserve"> </w:t>
      </w:r>
      <w:r w:rsidR="000F7851">
        <w:rPr>
          <w:i/>
          <w:sz w:val="24"/>
          <w:szCs w:val="24"/>
        </w:rPr>
        <w:tab/>
      </w:r>
      <w:r w:rsidRPr="001E3DF0">
        <w:rPr>
          <w:i/>
          <w:sz w:val="24"/>
          <w:szCs w:val="24"/>
        </w:rPr>
        <w:t xml:space="preserve">Se advarsel vedr. inflammatoriske </w:t>
      </w:r>
      <w:proofErr w:type="spellStart"/>
      <w:r w:rsidRPr="001E3DF0">
        <w:rPr>
          <w:i/>
          <w:sz w:val="24"/>
          <w:szCs w:val="24"/>
        </w:rPr>
        <w:t>gastrointestinale</w:t>
      </w:r>
      <w:proofErr w:type="spellEnd"/>
      <w:r w:rsidRPr="001E3DF0">
        <w:rPr>
          <w:i/>
          <w:sz w:val="24"/>
          <w:szCs w:val="24"/>
        </w:rPr>
        <w:t xml:space="preserve"> sygdomme i pkt. 4.4</w:t>
      </w:r>
    </w:p>
    <w:p w:rsidR="00842087" w:rsidRPr="000F7851" w:rsidRDefault="00842087" w:rsidP="000F7851">
      <w:pPr>
        <w:rPr>
          <w:sz w:val="24"/>
          <w:szCs w:val="24"/>
        </w:rPr>
      </w:pPr>
    </w:p>
    <w:p w:rsidR="00E1026C" w:rsidRPr="005F1933" w:rsidRDefault="00E1026C" w:rsidP="00E1026C">
      <w:pPr>
        <w:autoSpaceDE w:val="0"/>
        <w:autoSpaceDN w:val="0"/>
        <w:adjustRightInd w:val="0"/>
        <w:ind w:left="851"/>
        <w:rPr>
          <w:sz w:val="24"/>
          <w:szCs w:val="24"/>
          <w:u w:val="single"/>
        </w:rPr>
      </w:pPr>
      <w:r w:rsidRPr="005F1933">
        <w:rPr>
          <w:noProof/>
          <w:sz w:val="24"/>
          <w:szCs w:val="24"/>
          <w:u w:val="single"/>
        </w:rPr>
        <w:t>Indberetning af formodede bivirkninger</w:t>
      </w:r>
    </w:p>
    <w:p w:rsidR="000F7851" w:rsidRDefault="00E1026C" w:rsidP="00E1026C">
      <w:pPr>
        <w:tabs>
          <w:tab w:val="left" w:pos="567"/>
        </w:tabs>
        <w:autoSpaceDE w:val="0"/>
        <w:autoSpaceDN w:val="0"/>
        <w:adjustRightInd w:val="0"/>
        <w:ind w:left="851"/>
        <w:rPr>
          <w:noProof/>
          <w:sz w:val="24"/>
          <w:szCs w:val="24"/>
        </w:rPr>
      </w:pPr>
      <w:r w:rsidRPr="005F1933">
        <w:rPr>
          <w:noProof/>
          <w:sz w:val="24"/>
          <w:szCs w:val="24"/>
        </w:rPr>
        <w:t>Når lægemidlet er godkendt, er indberetning af formodede bivirkninger vigtig.</w:t>
      </w:r>
      <w:r w:rsidRPr="005F1933">
        <w:rPr>
          <w:sz w:val="24"/>
          <w:szCs w:val="24"/>
        </w:rPr>
        <w:t xml:space="preserve"> </w:t>
      </w:r>
      <w:r w:rsidRPr="005F1933">
        <w:rPr>
          <w:noProof/>
          <w:sz w:val="24"/>
          <w:szCs w:val="24"/>
        </w:rPr>
        <w:t>Det muliggør løbende overvågning af benefit/risk-forholdet for lægemidlet.</w:t>
      </w:r>
      <w:r w:rsidRPr="005F1933">
        <w:rPr>
          <w:sz w:val="24"/>
          <w:szCs w:val="24"/>
        </w:rPr>
        <w:t xml:space="preserve"> </w:t>
      </w:r>
      <w:r w:rsidR="000F7851">
        <w:rPr>
          <w:sz w:val="24"/>
          <w:szCs w:val="24"/>
        </w:rPr>
        <w:t>S</w:t>
      </w:r>
      <w:r w:rsidRPr="005F1933">
        <w:rPr>
          <w:noProof/>
          <w:sz w:val="24"/>
          <w:szCs w:val="24"/>
        </w:rPr>
        <w:t>undhedsperson</w:t>
      </w:r>
      <w:r w:rsidR="000F7851">
        <w:rPr>
          <w:noProof/>
          <w:sz w:val="24"/>
          <w:szCs w:val="24"/>
        </w:rPr>
        <w:t>er</w:t>
      </w:r>
      <w:r w:rsidRPr="005F1933">
        <w:rPr>
          <w:noProof/>
          <w:sz w:val="24"/>
          <w:szCs w:val="24"/>
        </w:rPr>
        <w:t xml:space="preserve"> anmodes om at indberette alle formodede bivirkninger via</w:t>
      </w:r>
    </w:p>
    <w:p w:rsidR="00E1026C" w:rsidRPr="005F1933" w:rsidRDefault="00E1026C" w:rsidP="00E1026C">
      <w:pPr>
        <w:tabs>
          <w:tab w:val="left" w:pos="567"/>
        </w:tabs>
        <w:autoSpaceDE w:val="0"/>
        <w:autoSpaceDN w:val="0"/>
        <w:adjustRightInd w:val="0"/>
        <w:ind w:left="851"/>
        <w:rPr>
          <w:sz w:val="24"/>
          <w:szCs w:val="24"/>
        </w:rPr>
      </w:pPr>
      <w:r w:rsidRPr="005F1933">
        <w:rPr>
          <w:sz w:val="24"/>
          <w:szCs w:val="24"/>
        </w:rPr>
        <w:t xml:space="preserve"> </w:t>
      </w:r>
    </w:p>
    <w:p w:rsidR="00E1026C" w:rsidRPr="005F1933" w:rsidRDefault="00E1026C" w:rsidP="00E1026C">
      <w:pPr>
        <w:tabs>
          <w:tab w:val="left" w:pos="567"/>
        </w:tabs>
        <w:autoSpaceDE w:val="0"/>
        <w:autoSpaceDN w:val="0"/>
        <w:adjustRightInd w:val="0"/>
        <w:ind w:left="851"/>
        <w:rPr>
          <w:noProof/>
          <w:sz w:val="24"/>
          <w:szCs w:val="24"/>
        </w:rPr>
      </w:pPr>
      <w:r w:rsidRPr="005F1933">
        <w:rPr>
          <w:noProof/>
          <w:sz w:val="24"/>
          <w:szCs w:val="24"/>
        </w:rPr>
        <w:t>Lægemiddelstyrelsen</w:t>
      </w:r>
    </w:p>
    <w:p w:rsidR="00E1026C" w:rsidRPr="005F1933" w:rsidRDefault="00E1026C" w:rsidP="00E1026C">
      <w:pPr>
        <w:tabs>
          <w:tab w:val="left" w:pos="567"/>
        </w:tabs>
        <w:autoSpaceDE w:val="0"/>
        <w:autoSpaceDN w:val="0"/>
        <w:adjustRightInd w:val="0"/>
        <w:ind w:left="851"/>
        <w:rPr>
          <w:noProof/>
          <w:sz w:val="24"/>
          <w:szCs w:val="24"/>
        </w:rPr>
      </w:pPr>
      <w:r w:rsidRPr="005F1933">
        <w:rPr>
          <w:noProof/>
          <w:sz w:val="24"/>
          <w:szCs w:val="24"/>
        </w:rPr>
        <w:t>Axel Heides Gade 1</w:t>
      </w:r>
    </w:p>
    <w:p w:rsidR="00E1026C" w:rsidRPr="005F1933" w:rsidRDefault="00E1026C" w:rsidP="00E1026C">
      <w:pPr>
        <w:tabs>
          <w:tab w:val="left" w:pos="567"/>
        </w:tabs>
        <w:autoSpaceDE w:val="0"/>
        <w:autoSpaceDN w:val="0"/>
        <w:adjustRightInd w:val="0"/>
        <w:ind w:left="851"/>
        <w:rPr>
          <w:noProof/>
          <w:sz w:val="24"/>
          <w:szCs w:val="24"/>
        </w:rPr>
      </w:pPr>
      <w:r w:rsidRPr="005F1933">
        <w:rPr>
          <w:noProof/>
          <w:sz w:val="24"/>
          <w:szCs w:val="24"/>
        </w:rPr>
        <w:t>DK-2300 København S</w:t>
      </w:r>
    </w:p>
    <w:p w:rsidR="00E1026C" w:rsidRPr="005F1933" w:rsidRDefault="00E1026C" w:rsidP="00E1026C">
      <w:pPr>
        <w:tabs>
          <w:tab w:val="left" w:pos="567"/>
        </w:tabs>
        <w:autoSpaceDE w:val="0"/>
        <w:autoSpaceDN w:val="0"/>
        <w:adjustRightInd w:val="0"/>
        <w:ind w:left="851"/>
        <w:rPr>
          <w:sz w:val="24"/>
          <w:szCs w:val="24"/>
        </w:rPr>
      </w:pPr>
      <w:r w:rsidRPr="005F1933">
        <w:rPr>
          <w:noProof/>
          <w:sz w:val="24"/>
          <w:szCs w:val="24"/>
        </w:rPr>
        <w:t xml:space="preserve">Websted: </w:t>
      </w:r>
      <w:hyperlink r:id="rId8" w:history="1">
        <w:r w:rsidRPr="005F1933">
          <w:rPr>
            <w:rStyle w:val="Hyperlink"/>
            <w:noProof/>
            <w:sz w:val="24"/>
            <w:szCs w:val="24"/>
          </w:rPr>
          <w:t>www.meldenbivirkning.dk</w:t>
        </w:r>
      </w:hyperlink>
      <w:r w:rsidRPr="005F1933">
        <w:rPr>
          <w:noProof/>
          <w:color w:val="008000"/>
          <w:sz w:val="24"/>
          <w:szCs w:val="24"/>
        </w:rPr>
        <w:t>.</w:t>
      </w:r>
    </w:p>
    <w:p w:rsidR="00E1026C" w:rsidRPr="005F1933" w:rsidRDefault="00E1026C" w:rsidP="00E1026C">
      <w:pPr>
        <w:pStyle w:val="Sidehoved"/>
        <w:tabs>
          <w:tab w:val="left" w:pos="851"/>
        </w:tabs>
        <w:ind w:left="851" w:hanging="851"/>
        <w:rPr>
          <w:szCs w:val="24"/>
        </w:rPr>
      </w:pPr>
    </w:p>
    <w:p w:rsidR="00E1026C" w:rsidRPr="005F1933" w:rsidRDefault="00E1026C" w:rsidP="00E1026C">
      <w:pPr>
        <w:tabs>
          <w:tab w:val="left" w:pos="851"/>
        </w:tabs>
        <w:ind w:left="851" w:hanging="851"/>
        <w:rPr>
          <w:b/>
          <w:sz w:val="24"/>
          <w:szCs w:val="24"/>
        </w:rPr>
      </w:pPr>
      <w:r w:rsidRPr="005F1933">
        <w:rPr>
          <w:b/>
          <w:sz w:val="24"/>
          <w:szCs w:val="24"/>
        </w:rPr>
        <w:t>4.9</w:t>
      </w:r>
      <w:r w:rsidRPr="005F1933">
        <w:rPr>
          <w:b/>
          <w:sz w:val="24"/>
          <w:szCs w:val="24"/>
        </w:rPr>
        <w:tab/>
        <w:t>Overdosering</w:t>
      </w:r>
    </w:p>
    <w:p w:rsidR="00E1026C" w:rsidRPr="005F1933" w:rsidRDefault="00E1026C" w:rsidP="00E1026C">
      <w:pPr>
        <w:ind w:left="851"/>
        <w:rPr>
          <w:sz w:val="24"/>
          <w:szCs w:val="24"/>
        </w:rPr>
      </w:pPr>
      <w:proofErr w:type="spellStart"/>
      <w:r w:rsidRPr="005F1933">
        <w:rPr>
          <w:sz w:val="24"/>
          <w:szCs w:val="24"/>
        </w:rPr>
        <w:t>Sevelamerhydrochlorid</w:t>
      </w:r>
      <w:proofErr w:type="spellEnd"/>
      <w:r w:rsidRPr="005F1933">
        <w:rPr>
          <w:sz w:val="24"/>
          <w:szCs w:val="24"/>
        </w:rPr>
        <w:t xml:space="preserve"> er blevet givet til almindelige, raske frivillige i doser på op til 14 gram, hvilket svarer til sytten tabletter af 800 mg pr. dag i otte dage uden bivirkninger.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4.10</w:t>
      </w:r>
      <w:r w:rsidRPr="005F1933">
        <w:rPr>
          <w:b/>
          <w:sz w:val="24"/>
          <w:szCs w:val="24"/>
        </w:rPr>
        <w:tab/>
        <w:t>Udlevering</w:t>
      </w:r>
    </w:p>
    <w:p w:rsidR="00E1026C" w:rsidRPr="005F1933" w:rsidRDefault="00E1026C" w:rsidP="00E1026C">
      <w:pPr>
        <w:tabs>
          <w:tab w:val="left" w:pos="851"/>
        </w:tabs>
        <w:ind w:left="851" w:hanging="851"/>
        <w:rPr>
          <w:sz w:val="24"/>
          <w:szCs w:val="24"/>
        </w:rPr>
      </w:pPr>
      <w:r>
        <w:rPr>
          <w:sz w:val="24"/>
          <w:szCs w:val="24"/>
        </w:rPr>
        <w:tab/>
      </w:r>
      <w:r w:rsidRPr="005F1933">
        <w:rPr>
          <w:sz w:val="24"/>
          <w:szCs w:val="24"/>
        </w:rPr>
        <w:t>B</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5.</w:t>
      </w:r>
      <w:r w:rsidRPr="005F1933">
        <w:rPr>
          <w:b/>
          <w:sz w:val="24"/>
          <w:szCs w:val="24"/>
        </w:rPr>
        <w:tab/>
        <w:t>FARMAKOLOGISKE EGENSKABER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5.0</w:t>
      </w:r>
      <w:r w:rsidRPr="005F1933">
        <w:rPr>
          <w:b/>
          <w:sz w:val="24"/>
          <w:szCs w:val="24"/>
        </w:rPr>
        <w:tab/>
        <w:t>Terapeutisk klassifikation</w:t>
      </w:r>
    </w:p>
    <w:p w:rsidR="00E1026C" w:rsidRPr="005F1933" w:rsidRDefault="00E1026C" w:rsidP="00E1026C">
      <w:pPr>
        <w:suppressAutoHyphens/>
        <w:ind w:left="851"/>
        <w:rPr>
          <w:sz w:val="24"/>
          <w:szCs w:val="24"/>
        </w:rPr>
      </w:pPr>
      <w:r w:rsidRPr="005F1933">
        <w:rPr>
          <w:sz w:val="24"/>
          <w:szCs w:val="24"/>
        </w:rPr>
        <w:t>ATC-kode: V</w:t>
      </w:r>
      <w:r>
        <w:rPr>
          <w:sz w:val="24"/>
          <w:szCs w:val="24"/>
        </w:rPr>
        <w:t xml:space="preserve"> </w:t>
      </w:r>
      <w:r w:rsidRPr="005F1933">
        <w:rPr>
          <w:sz w:val="24"/>
          <w:szCs w:val="24"/>
        </w:rPr>
        <w:t>03</w:t>
      </w:r>
      <w:r>
        <w:rPr>
          <w:sz w:val="24"/>
          <w:szCs w:val="24"/>
        </w:rPr>
        <w:t xml:space="preserve"> </w:t>
      </w:r>
      <w:r w:rsidRPr="005F1933">
        <w:rPr>
          <w:sz w:val="24"/>
          <w:szCs w:val="24"/>
        </w:rPr>
        <w:t>AE</w:t>
      </w:r>
      <w:r>
        <w:rPr>
          <w:sz w:val="24"/>
          <w:szCs w:val="24"/>
        </w:rPr>
        <w:t xml:space="preserve"> </w:t>
      </w:r>
      <w:r w:rsidRPr="005F1933">
        <w:rPr>
          <w:sz w:val="24"/>
          <w:szCs w:val="24"/>
        </w:rPr>
        <w:t xml:space="preserve">02. Behandling af </w:t>
      </w:r>
      <w:proofErr w:type="spellStart"/>
      <w:r w:rsidRPr="005F1933">
        <w:rPr>
          <w:sz w:val="24"/>
          <w:szCs w:val="24"/>
        </w:rPr>
        <w:t>hyperphosphatæmi</w:t>
      </w:r>
      <w:proofErr w:type="spellEnd"/>
      <w:r w:rsidRPr="005F1933">
        <w:rPr>
          <w:sz w:val="24"/>
          <w:szCs w:val="24"/>
        </w:rPr>
        <w:t xml:space="preserve">. </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num" w:pos="851"/>
        </w:tabs>
        <w:ind w:left="851" w:hanging="851"/>
        <w:rPr>
          <w:b/>
          <w:sz w:val="24"/>
          <w:szCs w:val="24"/>
        </w:rPr>
      </w:pPr>
      <w:r w:rsidRPr="005F1933">
        <w:rPr>
          <w:b/>
          <w:sz w:val="24"/>
          <w:szCs w:val="24"/>
        </w:rPr>
        <w:t>5.1</w:t>
      </w:r>
      <w:r w:rsidRPr="005F1933">
        <w:rPr>
          <w:b/>
          <w:sz w:val="24"/>
          <w:szCs w:val="24"/>
        </w:rPr>
        <w:tab/>
      </w:r>
      <w:proofErr w:type="spellStart"/>
      <w:r w:rsidRPr="005F1933">
        <w:rPr>
          <w:b/>
          <w:sz w:val="24"/>
          <w:szCs w:val="24"/>
        </w:rPr>
        <w:t>Farmakodynamiske</w:t>
      </w:r>
      <w:proofErr w:type="spellEnd"/>
      <w:r w:rsidRPr="005F1933">
        <w:rPr>
          <w:b/>
          <w:sz w:val="24"/>
          <w:szCs w:val="24"/>
        </w:rPr>
        <w:t xml:space="preserve"> egenskaber</w:t>
      </w:r>
    </w:p>
    <w:p w:rsidR="00E1026C" w:rsidRPr="005F1933" w:rsidRDefault="00E1026C" w:rsidP="00E1026C">
      <w:pPr>
        <w:suppressAutoHyphens/>
        <w:ind w:left="851"/>
        <w:rPr>
          <w:sz w:val="24"/>
          <w:szCs w:val="24"/>
        </w:rPr>
      </w:pPr>
      <w:proofErr w:type="spellStart"/>
      <w:r w:rsidRPr="005F1933">
        <w:rPr>
          <w:sz w:val="24"/>
          <w:szCs w:val="24"/>
        </w:rPr>
        <w:t>Sevelamerhydrochlorid</w:t>
      </w:r>
      <w:proofErr w:type="spellEnd"/>
      <w:r w:rsidRPr="005F1933">
        <w:rPr>
          <w:sz w:val="24"/>
          <w:szCs w:val="24"/>
        </w:rPr>
        <w:t xml:space="preserve"> indeholder </w:t>
      </w:r>
      <w:proofErr w:type="spellStart"/>
      <w:r w:rsidRPr="005F1933">
        <w:rPr>
          <w:sz w:val="24"/>
          <w:szCs w:val="24"/>
        </w:rPr>
        <w:t>sevelamer</w:t>
      </w:r>
      <w:proofErr w:type="spellEnd"/>
      <w:r w:rsidRPr="005F1933">
        <w:rPr>
          <w:sz w:val="24"/>
          <w:szCs w:val="24"/>
        </w:rPr>
        <w:t xml:space="preserve">, en ikke-absorberet </w:t>
      </w:r>
      <w:proofErr w:type="spellStart"/>
      <w:r w:rsidRPr="005F1933">
        <w:rPr>
          <w:sz w:val="24"/>
          <w:szCs w:val="24"/>
        </w:rPr>
        <w:t>phosphatbindende</w:t>
      </w:r>
      <w:proofErr w:type="spellEnd"/>
      <w:r w:rsidRPr="005F1933">
        <w:rPr>
          <w:sz w:val="24"/>
          <w:szCs w:val="24"/>
        </w:rPr>
        <w:t xml:space="preserve"> </w:t>
      </w:r>
      <w:proofErr w:type="spellStart"/>
      <w:r w:rsidRPr="005F1933">
        <w:rPr>
          <w:sz w:val="24"/>
          <w:szCs w:val="24"/>
        </w:rPr>
        <w:t>poly</w:t>
      </w:r>
      <w:proofErr w:type="spellEnd"/>
      <w:r w:rsidRPr="005F1933">
        <w:rPr>
          <w:sz w:val="24"/>
          <w:szCs w:val="24"/>
        </w:rPr>
        <w:t xml:space="preserve"> (</w:t>
      </w:r>
      <w:proofErr w:type="spellStart"/>
      <w:r w:rsidRPr="005F1933">
        <w:rPr>
          <w:sz w:val="24"/>
          <w:szCs w:val="24"/>
        </w:rPr>
        <w:t>allylaminhydrochlorid</w:t>
      </w:r>
      <w:proofErr w:type="spellEnd"/>
      <w:r w:rsidRPr="005F1933">
        <w:rPr>
          <w:sz w:val="24"/>
          <w:szCs w:val="24"/>
        </w:rPr>
        <w:t xml:space="preserve">) polymer, der er fri for metal og calcium. Den indeholder adskillige </w:t>
      </w:r>
      <w:proofErr w:type="spellStart"/>
      <w:r w:rsidRPr="005F1933">
        <w:rPr>
          <w:sz w:val="24"/>
          <w:szCs w:val="24"/>
        </w:rPr>
        <w:t>aminer</w:t>
      </w:r>
      <w:proofErr w:type="spellEnd"/>
      <w:r w:rsidRPr="005F1933">
        <w:rPr>
          <w:sz w:val="24"/>
          <w:szCs w:val="24"/>
        </w:rPr>
        <w:t xml:space="preserve"> adskilt af e</w:t>
      </w:r>
      <w:r>
        <w:rPr>
          <w:sz w:val="24"/>
          <w:szCs w:val="24"/>
        </w:rPr>
        <w:t>t</w:t>
      </w:r>
      <w:r w:rsidRPr="005F1933">
        <w:rPr>
          <w:sz w:val="24"/>
          <w:szCs w:val="24"/>
        </w:rPr>
        <w:t xml:space="preserve"> kulstof</w:t>
      </w:r>
      <w:r>
        <w:rPr>
          <w:sz w:val="24"/>
          <w:szCs w:val="24"/>
        </w:rPr>
        <w:t xml:space="preserve"> fra</w:t>
      </w:r>
      <w:r w:rsidRPr="005F1933">
        <w:rPr>
          <w:sz w:val="24"/>
          <w:szCs w:val="24"/>
        </w:rPr>
        <w:t xml:space="preserve"> polymerstammen. Disse </w:t>
      </w:r>
      <w:proofErr w:type="spellStart"/>
      <w:r w:rsidRPr="005F1933">
        <w:rPr>
          <w:sz w:val="24"/>
          <w:szCs w:val="24"/>
        </w:rPr>
        <w:t>aminer</w:t>
      </w:r>
      <w:proofErr w:type="spellEnd"/>
      <w:r w:rsidRPr="005F1933">
        <w:rPr>
          <w:sz w:val="24"/>
          <w:szCs w:val="24"/>
        </w:rPr>
        <w:t xml:space="preserve"> bliver delvist </w:t>
      </w:r>
      <w:proofErr w:type="spellStart"/>
      <w:r w:rsidRPr="005F1933">
        <w:rPr>
          <w:sz w:val="24"/>
          <w:szCs w:val="24"/>
        </w:rPr>
        <w:t>protoneret</w:t>
      </w:r>
      <w:proofErr w:type="spellEnd"/>
      <w:r w:rsidRPr="005F1933">
        <w:rPr>
          <w:sz w:val="24"/>
          <w:szCs w:val="24"/>
        </w:rPr>
        <w:t xml:space="preserve"> i tarmen og reagerer med </w:t>
      </w:r>
      <w:proofErr w:type="spellStart"/>
      <w:r w:rsidRPr="005F1933">
        <w:rPr>
          <w:sz w:val="24"/>
          <w:szCs w:val="24"/>
        </w:rPr>
        <w:t>phosphatmolekyler</w:t>
      </w:r>
      <w:proofErr w:type="spellEnd"/>
      <w:r w:rsidRPr="005F1933">
        <w:rPr>
          <w:sz w:val="24"/>
          <w:szCs w:val="24"/>
        </w:rPr>
        <w:t xml:space="preserve"> gennem ion- og hydrogenbinding. Ved at binde </w:t>
      </w:r>
      <w:proofErr w:type="spellStart"/>
      <w:r w:rsidRPr="005F1933">
        <w:rPr>
          <w:sz w:val="24"/>
          <w:szCs w:val="24"/>
        </w:rPr>
        <w:t>phosphat</w:t>
      </w:r>
      <w:proofErr w:type="spellEnd"/>
      <w:r w:rsidRPr="005F1933">
        <w:rPr>
          <w:sz w:val="24"/>
          <w:szCs w:val="24"/>
        </w:rPr>
        <w:t xml:space="preserve"> i den </w:t>
      </w:r>
      <w:proofErr w:type="spellStart"/>
      <w:r w:rsidRPr="005F1933">
        <w:rPr>
          <w:sz w:val="24"/>
          <w:szCs w:val="24"/>
        </w:rPr>
        <w:t>gastrointestinale</w:t>
      </w:r>
      <w:proofErr w:type="spellEnd"/>
      <w:r w:rsidRPr="005F1933">
        <w:rPr>
          <w:sz w:val="24"/>
          <w:szCs w:val="24"/>
        </w:rPr>
        <w:t xml:space="preserve"> kanal nedsætter </w:t>
      </w:r>
      <w:proofErr w:type="spellStart"/>
      <w:r w:rsidRPr="005F1933">
        <w:rPr>
          <w:sz w:val="24"/>
          <w:szCs w:val="24"/>
        </w:rPr>
        <w:t>sevelamer</w:t>
      </w:r>
      <w:proofErr w:type="spellEnd"/>
      <w:r w:rsidRPr="005F1933">
        <w:rPr>
          <w:sz w:val="24"/>
          <w:szCs w:val="24"/>
        </w:rPr>
        <w:t xml:space="preserve"> </w:t>
      </w:r>
      <w:proofErr w:type="spellStart"/>
      <w:r w:rsidRPr="005F1933">
        <w:rPr>
          <w:sz w:val="24"/>
          <w:szCs w:val="24"/>
        </w:rPr>
        <w:t>phosphatkoncentrationen</w:t>
      </w:r>
      <w:proofErr w:type="spellEnd"/>
      <w:r w:rsidRPr="005F1933">
        <w:rPr>
          <w:sz w:val="24"/>
          <w:szCs w:val="24"/>
        </w:rPr>
        <w:t xml:space="preserve"> i serum.</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r w:rsidRPr="005F1933">
        <w:rPr>
          <w:sz w:val="24"/>
          <w:szCs w:val="24"/>
        </w:rPr>
        <w:t xml:space="preserve">I kliniske studier har </w:t>
      </w:r>
      <w:proofErr w:type="spellStart"/>
      <w:r w:rsidRPr="005F1933">
        <w:rPr>
          <w:sz w:val="24"/>
          <w:szCs w:val="24"/>
        </w:rPr>
        <w:t>sevelamer</w:t>
      </w:r>
      <w:proofErr w:type="spellEnd"/>
      <w:r w:rsidRPr="005F1933">
        <w:rPr>
          <w:sz w:val="24"/>
          <w:szCs w:val="24"/>
        </w:rPr>
        <w:t xml:space="preserve"> vist sig at være effektiv i reduceringen af </w:t>
      </w:r>
      <w:proofErr w:type="spellStart"/>
      <w:r w:rsidRPr="005F1933">
        <w:rPr>
          <w:sz w:val="24"/>
          <w:szCs w:val="24"/>
        </w:rPr>
        <w:t>phosphor</w:t>
      </w:r>
      <w:proofErr w:type="spellEnd"/>
      <w:r w:rsidRPr="005F1933">
        <w:rPr>
          <w:sz w:val="24"/>
          <w:szCs w:val="24"/>
        </w:rPr>
        <w:t xml:space="preserve"> hos patienter, som var i hæmodialyse eller </w:t>
      </w:r>
      <w:proofErr w:type="spellStart"/>
      <w:r w:rsidRPr="005F1933">
        <w:rPr>
          <w:sz w:val="24"/>
          <w:szCs w:val="24"/>
        </w:rPr>
        <w:t>peritonealdialyse</w:t>
      </w:r>
      <w:proofErr w:type="spellEnd"/>
      <w:r w:rsidRPr="005F1933">
        <w:rPr>
          <w:sz w:val="24"/>
          <w:szCs w:val="24"/>
        </w:rPr>
        <w:t>.</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proofErr w:type="spellStart"/>
      <w:r w:rsidRPr="005F1933">
        <w:rPr>
          <w:sz w:val="24"/>
          <w:szCs w:val="24"/>
        </w:rPr>
        <w:t>Sevelamer</w:t>
      </w:r>
      <w:proofErr w:type="spellEnd"/>
      <w:r w:rsidRPr="005F1933">
        <w:rPr>
          <w:sz w:val="24"/>
          <w:szCs w:val="24"/>
        </w:rPr>
        <w:t xml:space="preserve"> nedsætter forekomsten af </w:t>
      </w:r>
      <w:proofErr w:type="spellStart"/>
      <w:r w:rsidRPr="005F1933">
        <w:rPr>
          <w:sz w:val="24"/>
          <w:szCs w:val="24"/>
        </w:rPr>
        <w:t>hyperkalcæmi</w:t>
      </w:r>
      <w:proofErr w:type="spellEnd"/>
      <w:r w:rsidRPr="005F1933">
        <w:rPr>
          <w:sz w:val="24"/>
          <w:szCs w:val="24"/>
        </w:rPr>
        <w:t xml:space="preserve">-tilfælde sammenlignet med patienter, der alene indtager calcium-baserede </w:t>
      </w:r>
      <w:proofErr w:type="spellStart"/>
      <w:r w:rsidRPr="005F1933">
        <w:rPr>
          <w:sz w:val="24"/>
          <w:szCs w:val="24"/>
        </w:rPr>
        <w:t>phosphatbindemidler</w:t>
      </w:r>
      <w:proofErr w:type="spellEnd"/>
      <w:r w:rsidRPr="005F1933">
        <w:rPr>
          <w:sz w:val="24"/>
          <w:szCs w:val="24"/>
        </w:rPr>
        <w:t xml:space="preserve">, formentlig fordi selve præparatet ikke indeholder calcium. Det blev i et studie med opfølgning efter et år påvist, at virkningen på </w:t>
      </w:r>
      <w:proofErr w:type="spellStart"/>
      <w:r w:rsidRPr="005F1933">
        <w:rPr>
          <w:sz w:val="24"/>
          <w:szCs w:val="24"/>
        </w:rPr>
        <w:t>phosphat</w:t>
      </w:r>
      <w:proofErr w:type="spellEnd"/>
      <w:r w:rsidRPr="005F1933">
        <w:rPr>
          <w:sz w:val="24"/>
          <w:szCs w:val="24"/>
        </w:rPr>
        <w:t xml:space="preserve"> og kalium blev opretholdt.</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proofErr w:type="spellStart"/>
      <w:r w:rsidRPr="005F1933">
        <w:rPr>
          <w:sz w:val="24"/>
          <w:szCs w:val="24"/>
        </w:rPr>
        <w:t>Sevelamer</w:t>
      </w:r>
      <w:proofErr w:type="spellEnd"/>
      <w:r w:rsidRPr="005F1933">
        <w:rPr>
          <w:sz w:val="24"/>
          <w:szCs w:val="24"/>
        </w:rPr>
        <w:t xml:space="preserve"> har vist sig at binde galdesyrer in </w:t>
      </w:r>
      <w:proofErr w:type="spellStart"/>
      <w:r w:rsidRPr="005F1933">
        <w:rPr>
          <w:sz w:val="24"/>
          <w:szCs w:val="24"/>
        </w:rPr>
        <w:t>vitro</w:t>
      </w:r>
      <w:proofErr w:type="spellEnd"/>
      <w:r w:rsidRPr="005F1933">
        <w:rPr>
          <w:sz w:val="24"/>
          <w:szCs w:val="24"/>
        </w:rPr>
        <w:t xml:space="preserve"> og in </w:t>
      </w:r>
      <w:proofErr w:type="spellStart"/>
      <w:r w:rsidRPr="005F1933">
        <w:rPr>
          <w:sz w:val="24"/>
          <w:szCs w:val="24"/>
        </w:rPr>
        <w:t>vivo</w:t>
      </w:r>
      <w:proofErr w:type="spellEnd"/>
      <w:r w:rsidRPr="005F1933">
        <w:rPr>
          <w:sz w:val="24"/>
          <w:szCs w:val="24"/>
        </w:rPr>
        <w:t xml:space="preserve"> ved dyreforsøgsmodeller. Galdesyrebinding ved ionbytter-</w:t>
      </w:r>
      <w:proofErr w:type="spellStart"/>
      <w:r w:rsidRPr="005F1933">
        <w:rPr>
          <w:sz w:val="24"/>
          <w:szCs w:val="24"/>
        </w:rPr>
        <w:t>resiner</w:t>
      </w:r>
      <w:proofErr w:type="spellEnd"/>
      <w:r w:rsidRPr="005F1933">
        <w:rPr>
          <w:sz w:val="24"/>
          <w:szCs w:val="24"/>
        </w:rPr>
        <w:t xml:space="preserve"> er en anerkendt måde at sænke blodets kolesteroltal på. Ved kliniske studier blev middel total</w:t>
      </w:r>
      <w:r>
        <w:rPr>
          <w:sz w:val="24"/>
          <w:szCs w:val="24"/>
        </w:rPr>
        <w:t>-</w:t>
      </w:r>
      <w:r w:rsidRPr="005F1933">
        <w:rPr>
          <w:sz w:val="24"/>
          <w:szCs w:val="24"/>
        </w:rPr>
        <w:t xml:space="preserve"> og LDL</w:t>
      </w:r>
      <w:r>
        <w:rPr>
          <w:sz w:val="24"/>
          <w:szCs w:val="24"/>
        </w:rPr>
        <w:t>-</w:t>
      </w:r>
      <w:r w:rsidRPr="005F1933">
        <w:rPr>
          <w:sz w:val="24"/>
          <w:szCs w:val="24"/>
        </w:rPr>
        <w:t>kolesterol reduceret med 15-31%. Denne virkning blev observeret efter 2 uger og opretholdt ved langtidsbehandling. Triglycerider, HDL-kolesterol og albumin forandredes ikke.</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r>
        <w:rPr>
          <w:sz w:val="24"/>
          <w:szCs w:val="24"/>
        </w:rPr>
        <w:t xml:space="preserve">I </w:t>
      </w:r>
      <w:r w:rsidRPr="005F1933">
        <w:rPr>
          <w:sz w:val="24"/>
          <w:szCs w:val="24"/>
        </w:rPr>
        <w:t xml:space="preserve">kliniske studier med hæmodialysepatienter havde </w:t>
      </w:r>
      <w:proofErr w:type="spellStart"/>
      <w:r w:rsidRPr="005F1933">
        <w:rPr>
          <w:sz w:val="24"/>
          <w:szCs w:val="24"/>
        </w:rPr>
        <w:t>sevelamer</w:t>
      </w:r>
      <w:proofErr w:type="spellEnd"/>
      <w:r w:rsidRPr="005F1933">
        <w:rPr>
          <w:sz w:val="24"/>
          <w:szCs w:val="24"/>
        </w:rPr>
        <w:t xml:space="preserve"> givet alene ikke nogen vedvarende og klinisk signifikant virkning på serumintakt </w:t>
      </w:r>
      <w:proofErr w:type="spellStart"/>
      <w:r w:rsidRPr="005F1933">
        <w:rPr>
          <w:sz w:val="24"/>
          <w:szCs w:val="24"/>
        </w:rPr>
        <w:t>parathyroideahormon</w:t>
      </w:r>
      <w:proofErr w:type="spellEnd"/>
      <w:r w:rsidRPr="005F1933">
        <w:rPr>
          <w:sz w:val="24"/>
          <w:szCs w:val="24"/>
        </w:rPr>
        <w:t xml:space="preserve"> (</w:t>
      </w:r>
      <w:proofErr w:type="spellStart"/>
      <w:r w:rsidRPr="005F1933">
        <w:rPr>
          <w:sz w:val="24"/>
          <w:szCs w:val="24"/>
        </w:rPr>
        <w:t>iPTH</w:t>
      </w:r>
      <w:proofErr w:type="spellEnd"/>
      <w:r w:rsidRPr="005F1933">
        <w:rPr>
          <w:sz w:val="24"/>
          <w:szCs w:val="24"/>
        </w:rPr>
        <w:t xml:space="preserve">). I det 12 ugers lange studie, som omfatter patienter i </w:t>
      </w:r>
      <w:proofErr w:type="spellStart"/>
      <w:r w:rsidRPr="005F1933">
        <w:rPr>
          <w:sz w:val="24"/>
          <w:szCs w:val="24"/>
        </w:rPr>
        <w:t>peritonealdialyse</w:t>
      </w:r>
      <w:proofErr w:type="spellEnd"/>
      <w:r w:rsidRPr="005F1933">
        <w:rPr>
          <w:sz w:val="24"/>
          <w:szCs w:val="24"/>
        </w:rPr>
        <w:t xml:space="preserve">, blev der dog set lignende </w:t>
      </w:r>
      <w:proofErr w:type="spellStart"/>
      <w:r w:rsidRPr="005F1933">
        <w:rPr>
          <w:sz w:val="24"/>
          <w:szCs w:val="24"/>
        </w:rPr>
        <w:t>iPTH</w:t>
      </w:r>
      <w:proofErr w:type="spellEnd"/>
      <w:r w:rsidRPr="005F1933">
        <w:rPr>
          <w:sz w:val="24"/>
          <w:szCs w:val="24"/>
        </w:rPr>
        <w:t xml:space="preserve">-reduktioner sammenlignet med patienter, som modtog calciumacetat. Hos patienter med </w:t>
      </w:r>
      <w:r>
        <w:rPr>
          <w:sz w:val="24"/>
          <w:szCs w:val="24"/>
        </w:rPr>
        <w:t xml:space="preserve">sekundær </w:t>
      </w:r>
      <w:proofErr w:type="spellStart"/>
      <w:r>
        <w:rPr>
          <w:sz w:val="24"/>
          <w:szCs w:val="24"/>
        </w:rPr>
        <w:t>hyperparathyreose</w:t>
      </w:r>
      <w:proofErr w:type="spellEnd"/>
      <w:r>
        <w:rPr>
          <w:sz w:val="24"/>
          <w:szCs w:val="24"/>
        </w:rPr>
        <w:t xml:space="preserve"> bør </w:t>
      </w:r>
      <w:proofErr w:type="spellStart"/>
      <w:r>
        <w:rPr>
          <w:sz w:val="24"/>
          <w:szCs w:val="24"/>
        </w:rPr>
        <w:t>s</w:t>
      </w:r>
      <w:r w:rsidRPr="005F1933">
        <w:rPr>
          <w:sz w:val="24"/>
          <w:szCs w:val="24"/>
        </w:rPr>
        <w:t>evelamerhydrochlorid</w:t>
      </w:r>
      <w:proofErr w:type="spellEnd"/>
      <w:r w:rsidRPr="005F1933">
        <w:rPr>
          <w:sz w:val="24"/>
          <w:szCs w:val="24"/>
        </w:rPr>
        <w:t xml:space="preserve"> anvendes i forbindelse med flere andre behandlinger, der kan omfatte calciumtilskud, 1,25-dihydroxy-vitamin D3 eller et af dettes analoge stoffer for at sænke niveauerne af </w:t>
      </w:r>
      <w:proofErr w:type="spellStart"/>
      <w:r w:rsidRPr="005F1933">
        <w:rPr>
          <w:sz w:val="24"/>
          <w:szCs w:val="24"/>
        </w:rPr>
        <w:t>iPTH</w:t>
      </w:r>
      <w:proofErr w:type="spellEnd"/>
      <w:r w:rsidRPr="005F1933">
        <w:rPr>
          <w:sz w:val="24"/>
          <w:szCs w:val="24"/>
        </w:rPr>
        <w:t>.</w:t>
      </w:r>
    </w:p>
    <w:p w:rsidR="00E1026C" w:rsidRPr="005F1933" w:rsidRDefault="00E1026C" w:rsidP="00E1026C">
      <w:pPr>
        <w:suppressAutoHyphens/>
        <w:ind w:left="851"/>
        <w:rPr>
          <w:sz w:val="24"/>
          <w:szCs w:val="24"/>
        </w:rPr>
      </w:pPr>
    </w:p>
    <w:p w:rsidR="00E1026C" w:rsidRPr="005F1933" w:rsidRDefault="00E1026C" w:rsidP="00E1026C">
      <w:pPr>
        <w:suppressAutoHyphens/>
        <w:ind w:left="851"/>
        <w:rPr>
          <w:sz w:val="24"/>
          <w:szCs w:val="24"/>
        </w:rPr>
      </w:pPr>
      <w:r w:rsidRPr="005F1933">
        <w:rPr>
          <w:sz w:val="24"/>
          <w:szCs w:val="24"/>
        </w:rPr>
        <w:t>I et klinisk s</w:t>
      </w:r>
      <w:r>
        <w:rPr>
          <w:sz w:val="24"/>
          <w:szCs w:val="24"/>
        </w:rPr>
        <w:t xml:space="preserve">tudie af et års varighed viste </w:t>
      </w:r>
      <w:proofErr w:type="spellStart"/>
      <w:r>
        <w:rPr>
          <w:sz w:val="24"/>
          <w:szCs w:val="24"/>
        </w:rPr>
        <w:t>s</w:t>
      </w:r>
      <w:r w:rsidRPr="005F1933">
        <w:rPr>
          <w:sz w:val="24"/>
          <w:szCs w:val="24"/>
        </w:rPr>
        <w:t>evelamerhydrochlorid</w:t>
      </w:r>
      <w:proofErr w:type="spellEnd"/>
      <w:r w:rsidRPr="005F1933">
        <w:rPr>
          <w:sz w:val="24"/>
          <w:szCs w:val="24"/>
        </w:rPr>
        <w:t xml:space="preserve"> ingen negativ påvirkning af knogleomsætning eller </w:t>
      </w:r>
      <w:proofErr w:type="spellStart"/>
      <w:r w:rsidRPr="005F1933">
        <w:rPr>
          <w:sz w:val="24"/>
          <w:szCs w:val="24"/>
        </w:rPr>
        <w:t>mineralisering</w:t>
      </w:r>
      <w:proofErr w:type="spellEnd"/>
      <w:r w:rsidRPr="005F1933">
        <w:rPr>
          <w:sz w:val="24"/>
          <w:szCs w:val="24"/>
        </w:rPr>
        <w:t xml:space="preserve"> sammenlignet med </w:t>
      </w:r>
      <w:proofErr w:type="spellStart"/>
      <w:r w:rsidRPr="005F1933">
        <w:rPr>
          <w:sz w:val="24"/>
          <w:szCs w:val="24"/>
        </w:rPr>
        <w:t>calciumcarbonat</w:t>
      </w:r>
      <w:proofErr w:type="spellEnd"/>
      <w:r w:rsidRPr="005F1933">
        <w:rPr>
          <w:sz w:val="24"/>
          <w:szCs w:val="24"/>
        </w:rPr>
        <w:t>.</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5.2</w:t>
      </w:r>
      <w:r w:rsidRPr="005F1933">
        <w:rPr>
          <w:b/>
          <w:sz w:val="24"/>
          <w:szCs w:val="24"/>
        </w:rPr>
        <w:tab/>
      </w:r>
      <w:proofErr w:type="spellStart"/>
      <w:r w:rsidRPr="005F1933">
        <w:rPr>
          <w:b/>
          <w:sz w:val="24"/>
          <w:szCs w:val="24"/>
        </w:rPr>
        <w:t>Farmakokinetiske</w:t>
      </w:r>
      <w:proofErr w:type="spellEnd"/>
      <w:r w:rsidRPr="005F1933">
        <w:rPr>
          <w:b/>
          <w:sz w:val="24"/>
          <w:szCs w:val="24"/>
        </w:rPr>
        <w:t xml:space="preserve"> egenskaber</w:t>
      </w:r>
    </w:p>
    <w:p w:rsidR="00E1026C" w:rsidRPr="005F1933" w:rsidRDefault="00E1026C" w:rsidP="00E1026C">
      <w:pPr>
        <w:ind w:left="851"/>
        <w:rPr>
          <w:sz w:val="24"/>
          <w:szCs w:val="24"/>
        </w:rPr>
      </w:pPr>
      <w:r w:rsidRPr="005F1933">
        <w:rPr>
          <w:sz w:val="24"/>
          <w:szCs w:val="24"/>
        </w:rPr>
        <w:t xml:space="preserve">I henhold til et </w:t>
      </w:r>
      <w:proofErr w:type="spellStart"/>
      <w:r w:rsidRPr="005F1933">
        <w:rPr>
          <w:sz w:val="24"/>
          <w:szCs w:val="24"/>
        </w:rPr>
        <w:t>farmakokinetisk</w:t>
      </w:r>
      <w:proofErr w:type="spellEnd"/>
      <w:r w:rsidRPr="005F1933">
        <w:rPr>
          <w:sz w:val="24"/>
          <w:szCs w:val="24"/>
        </w:rPr>
        <w:t xml:space="preserve"> studie med indgivelse af en enkelt dosis til raske frivillige bliver </w:t>
      </w:r>
      <w:proofErr w:type="spellStart"/>
      <w:r>
        <w:rPr>
          <w:sz w:val="24"/>
          <w:szCs w:val="24"/>
        </w:rPr>
        <w:t>s</w:t>
      </w:r>
      <w:r w:rsidRPr="005F1933">
        <w:rPr>
          <w:sz w:val="24"/>
          <w:szCs w:val="24"/>
        </w:rPr>
        <w:t>evelamerhydrochlorid</w:t>
      </w:r>
      <w:proofErr w:type="spellEnd"/>
      <w:r w:rsidRPr="005F1933">
        <w:rPr>
          <w:sz w:val="24"/>
          <w:szCs w:val="24"/>
        </w:rPr>
        <w:t xml:space="preserve"> ikke absorberet fra </w:t>
      </w:r>
      <w:proofErr w:type="spellStart"/>
      <w:r w:rsidRPr="005F1933">
        <w:rPr>
          <w:sz w:val="24"/>
          <w:szCs w:val="24"/>
        </w:rPr>
        <w:t>gastrointestinalkanalen</w:t>
      </w:r>
      <w:proofErr w:type="spellEnd"/>
      <w:r w:rsidRPr="005F1933">
        <w:rPr>
          <w:sz w:val="24"/>
          <w:szCs w:val="24"/>
        </w:rPr>
        <w:t xml:space="preserve">. Der er ikke gennemført </w:t>
      </w:r>
      <w:proofErr w:type="spellStart"/>
      <w:r w:rsidRPr="005F1933">
        <w:rPr>
          <w:sz w:val="24"/>
          <w:szCs w:val="24"/>
        </w:rPr>
        <w:t>farmakokinetiske</w:t>
      </w:r>
      <w:proofErr w:type="spellEnd"/>
      <w:r w:rsidRPr="005F1933">
        <w:rPr>
          <w:sz w:val="24"/>
          <w:szCs w:val="24"/>
        </w:rPr>
        <w:t xml:space="preserve"> studier hos patienter med nyresvigt (se pkt. 4.4).</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5.3</w:t>
      </w:r>
      <w:r w:rsidRPr="005F1933">
        <w:rPr>
          <w:b/>
          <w:sz w:val="24"/>
          <w:szCs w:val="24"/>
        </w:rPr>
        <w:tab/>
        <w:t>Prækliniske sikkerhedsdata</w:t>
      </w:r>
    </w:p>
    <w:p w:rsidR="00E1026C" w:rsidRPr="005F1933" w:rsidRDefault="00E1026C" w:rsidP="00E1026C">
      <w:pPr>
        <w:numPr>
          <w:ilvl w:val="12"/>
          <w:numId w:val="0"/>
        </w:numPr>
        <w:ind w:left="851" w:right="11"/>
        <w:rPr>
          <w:sz w:val="24"/>
          <w:szCs w:val="24"/>
        </w:rPr>
      </w:pPr>
      <w:r>
        <w:rPr>
          <w:sz w:val="24"/>
          <w:szCs w:val="24"/>
        </w:rPr>
        <w:t>I</w:t>
      </w:r>
      <w:r w:rsidRPr="005F1933">
        <w:rPr>
          <w:sz w:val="24"/>
          <w:szCs w:val="24"/>
        </w:rPr>
        <w:t xml:space="preserve"> prækliniske studier på rotter og hunde nedsatte </w:t>
      </w:r>
      <w:proofErr w:type="spellStart"/>
      <w:r>
        <w:rPr>
          <w:sz w:val="24"/>
          <w:szCs w:val="24"/>
        </w:rPr>
        <w:t>s</w:t>
      </w:r>
      <w:r w:rsidRPr="005F1933">
        <w:rPr>
          <w:sz w:val="24"/>
          <w:szCs w:val="24"/>
        </w:rPr>
        <w:t>evelamerhydrochlorid</w:t>
      </w:r>
      <w:proofErr w:type="spellEnd"/>
      <w:r w:rsidRPr="005F1933">
        <w:rPr>
          <w:sz w:val="24"/>
          <w:szCs w:val="24"/>
        </w:rPr>
        <w:t xml:space="preserve"> optagelsen af de fedtopløselige vitaminer, D, E og K og </w:t>
      </w:r>
      <w:proofErr w:type="spellStart"/>
      <w:r w:rsidRPr="005F1933">
        <w:rPr>
          <w:sz w:val="24"/>
          <w:szCs w:val="24"/>
        </w:rPr>
        <w:t>folinsyre</w:t>
      </w:r>
      <w:proofErr w:type="spellEnd"/>
      <w:r w:rsidRPr="005F1933">
        <w:rPr>
          <w:sz w:val="24"/>
          <w:szCs w:val="24"/>
        </w:rPr>
        <w:t xml:space="preserve"> i en dosis på 10 gange de maksimale humane doser.</w:t>
      </w:r>
    </w:p>
    <w:p w:rsidR="00E1026C" w:rsidRPr="005F1933" w:rsidRDefault="00E1026C" w:rsidP="00E1026C">
      <w:pPr>
        <w:numPr>
          <w:ilvl w:val="12"/>
          <w:numId w:val="0"/>
        </w:numPr>
        <w:ind w:left="851" w:right="11"/>
        <w:rPr>
          <w:sz w:val="24"/>
          <w:szCs w:val="24"/>
        </w:rPr>
      </w:pPr>
    </w:p>
    <w:p w:rsidR="00E1026C" w:rsidRPr="005F1933" w:rsidRDefault="00E1026C" w:rsidP="00E1026C">
      <w:pPr>
        <w:numPr>
          <w:ilvl w:val="12"/>
          <w:numId w:val="0"/>
        </w:numPr>
        <w:ind w:left="851" w:right="11"/>
        <w:rPr>
          <w:sz w:val="24"/>
          <w:szCs w:val="24"/>
        </w:rPr>
      </w:pPr>
      <w:r>
        <w:rPr>
          <w:sz w:val="24"/>
          <w:szCs w:val="24"/>
        </w:rPr>
        <w:t>I</w:t>
      </w:r>
      <w:r w:rsidRPr="005F1933">
        <w:rPr>
          <w:sz w:val="24"/>
          <w:szCs w:val="24"/>
        </w:rPr>
        <w:t xml:space="preserve"> et studie på rotter, hvor </w:t>
      </w:r>
      <w:proofErr w:type="spellStart"/>
      <w:r w:rsidRPr="005F1933">
        <w:rPr>
          <w:sz w:val="24"/>
          <w:szCs w:val="24"/>
        </w:rPr>
        <w:t>sevelamer</w:t>
      </w:r>
      <w:proofErr w:type="spellEnd"/>
      <w:r w:rsidRPr="005F1933">
        <w:rPr>
          <w:sz w:val="24"/>
          <w:szCs w:val="24"/>
        </w:rPr>
        <w:t xml:space="preserve"> blev indgivet i 15-30 gange den humane dosis, blev der fundet en forøgelse af serumkobber. Dette blev ikke bekræftet ved studie på hunde eller ved kliniske studier. Der findes ikke for øjeblikket nogen tilgængelige formelle </w:t>
      </w:r>
      <w:proofErr w:type="spellStart"/>
      <w:r w:rsidRPr="005F1933">
        <w:rPr>
          <w:sz w:val="24"/>
          <w:szCs w:val="24"/>
        </w:rPr>
        <w:t>carcinogenitetsdata</w:t>
      </w:r>
      <w:proofErr w:type="spellEnd"/>
      <w:r w:rsidRPr="005F1933">
        <w:rPr>
          <w:sz w:val="24"/>
          <w:szCs w:val="24"/>
        </w:rPr>
        <w:t xml:space="preserve">. Dog har in </w:t>
      </w:r>
      <w:proofErr w:type="spellStart"/>
      <w:r w:rsidRPr="005F1933">
        <w:rPr>
          <w:sz w:val="24"/>
          <w:szCs w:val="24"/>
        </w:rPr>
        <w:t>vitro</w:t>
      </w:r>
      <w:proofErr w:type="spellEnd"/>
      <w:r w:rsidRPr="005F1933">
        <w:rPr>
          <w:sz w:val="24"/>
          <w:szCs w:val="24"/>
        </w:rPr>
        <w:t xml:space="preserve"> og in </w:t>
      </w:r>
      <w:proofErr w:type="spellStart"/>
      <w:r w:rsidRPr="005F1933">
        <w:rPr>
          <w:sz w:val="24"/>
          <w:szCs w:val="24"/>
        </w:rPr>
        <w:t>vivo</w:t>
      </w:r>
      <w:proofErr w:type="spellEnd"/>
      <w:r w:rsidRPr="005F1933">
        <w:rPr>
          <w:sz w:val="24"/>
          <w:szCs w:val="24"/>
        </w:rPr>
        <w:t xml:space="preserve"> studier antydet, at </w:t>
      </w:r>
      <w:proofErr w:type="spellStart"/>
      <w:r>
        <w:rPr>
          <w:sz w:val="24"/>
          <w:szCs w:val="24"/>
        </w:rPr>
        <w:t>s</w:t>
      </w:r>
      <w:r w:rsidRPr="005F1933">
        <w:rPr>
          <w:sz w:val="24"/>
          <w:szCs w:val="24"/>
        </w:rPr>
        <w:t>evelamerhydrochlorid</w:t>
      </w:r>
      <w:proofErr w:type="spellEnd"/>
      <w:r w:rsidRPr="005F1933">
        <w:rPr>
          <w:sz w:val="24"/>
          <w:szCs w:val="24"/>
        </w:rPr>
        <w:t xml:space="preserve"> ikke har noget genotoksisk potentiale. Desuden absorberes lægemidlet ikke i fordøjelseskanalen.</w:t>
      </w:r>
    </w:p>
    <w:p w:rsidR="00E1026C" w:rsidRPr="005F1933" w:rsidRDefault="00E1026C" w:rsidP="00E1026C">
      <w:pPr>
        <w:numPr>
          <w:ilvl w:val="12"/>
          <w:numId w:val="0"/>
        </w:numPr>
        <w:ind w:left="851" w:right="11"/>
        <w:rPr>
          <w:sz w:val="24"/>
          <w:szCs w:val="24"/>
        </w:rPr>
      </w:pPr>
    </w:p>
    <w:p w:rsidR="00E1026C" w:rsidRPr="005F1933" w:rsidRDefault="00E1026C" w:rsidP="00E1026C">
      <w:pPr>
        <w:numPr>
          <w:ilvl w:val="12"/>
          <w:numId w:val="0"/>
        </w:numPr>
        <w:ind w:left="851" w:right="11"/>
        <w:rPr>
          <w:sz w:val="24"/>
          <w:szCs w:val="24"/>
        </w:rPr>
      </w:pPr>
      <w:r>
        <w:rPr>
          <w:sz w:val="24"/>
          <w:szCs w:val="24"/>
        </w:rPr>
        <w:t>I</w:t>
      </w:r>
      <w:r w:rsidRPr="005F1933">
        <w:rPr>
          <w:sz w:val="24"/>
          <w:szCs w:val="24"/>
        </w:rPr>
        <w:t xml:space="preserve"> reproduktionsstudier var der intet tegn på, at </w:t>
      </w:r>
      <w:proofErr w:type="spellStart"/>
      <w:r w:rsidRPr="005F1933">
        <w:rPr>
          <w:sz w:val="24"/>
          <w:szCs w:val="24"/>
        </w:rPr>
        <w:t>sevelamer</w:t>
      </w:r>
      <w:proofErr w:type="spellEnd"/>
      <w:r w:rsidRPr="005F1933">
        <w:rPr>
          <w:sz w:val="24"/>
          <w:szCs w:val="24"/>
        </w:rPr>
        <w:t xml:space="preserve"> medførte fosterdødelighed, foster- toksicitet eller </w:t>
      </w:r>
      <w:proofErr w:type="spellStart"/>
      <w:r w:rsidRPr="005F1933">
        <w:rPr>
          <w:sz w:val="24"/>
          <w:szCs w:val="24"/>
        </w:rPr>
        <w:t>teratogenitet</w:t>
      </w:r>
      <w:proofErr w:type="spellEnd"/>
      <w:r w:rsidRPr="005F1933">
        <w:rPr>
          <w:sz w:val="24"/>
          <w:szCs w:val="24"/>
        </w:rPr>
        <w:t xml:space="preserve"> ved de testede doser (op til 1 g/kg/dag hos kaniner og op til 4,5 g/kg/dag hos rotter). Manglende skeletal </w:t>
      </w:r>
      <w:proofErr w:type="spellStart"/>
      <w:r w:rsidRPr="005F1933">
        <w:rPr>
          <w:sz w:val="24"/>
          <w:szCs w:val="24"/>
        </w:rPr>
        <w:t>ossifikation</w:t>
      </w:r>
      <w:proofErr w:type="spellEnd"/>
      <w:r w:rsidRPr="005F1933">
        <w:rPr>
          <w:sz w:val="24"/>
          <w:szCs w:val="24"/>
        </w:rPr>
        <w:t xml:space="preserve"> blev observeret flere steder på fostre hos hunrotter, der havde modtaget doser af </w:t>
      </w:r>
      <w:proofErr w:type="spellStart"/>
      <w:r w:rsidRPr="005F1933">
        <w:rPr>
          <w:sz w:val="24"/>
          <w:szCs w:val="24"/>
        </w:rPr>
        <w:t>sevelamer</w:t>
      </w:r>
      <w:proofErr w:type="spellEnd"/>
      <w:r w:rsidRPr="005F1933">
        <w:rPr>
          <w:sz w:val="24"/>
          <w:szCs w:val="24"/>
        </w:rPr>
        <w:t xml:space="preserve"> på 8-20 gange den maksimale humane dosis på 200 mg/kg. Virkningerne kan være en følge af mangel på D-vitamin og/eller K-vitamin ved disse høje doser.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w:t>
      </w:r>
      <w:r w:rsidRPr="005F1933">
        <w:rPr>
          <w:b/>
          <w:sz w:val="24"/>
          <w:szCs w:val="24"/>
        </w:rPr>
        <w:tab/>
        <w:t>FARMACEUTISKE OPLYSNINGER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6.1</w:t>
      </w:r>
      <w:r w:rsidRPr="005F1933">
        <w:rPr>
          <w:b/>
          <w:sz w:val="24"/>
          <w:szCs w:val="24"/>
        </w:rPr>
        <w:tab/>
        <w:t>Hjælpestoffer</w:t>
      </w:r>
    </w:p>
    <w:p w:rsidR="00E1026C" w:rsidRDefault="00E1026C" w:rsidP="00E1026C">
      <w:pPr>
        <w:ind w:left="851"/>
        <w:rPr>
          <w:sz w:val="24"/>
          <w:szCs w:val="24"/>
          <w:u w:val="single"/>
        </w:rPr>
      </w:pPr>
    </w:p>
    <w:p w:rsidR="00E1026C" w:rsidRPr="005F1933" w:rsidRDefault="00E1026C" w:rsidP="00E1026C">
      <w:pPr>
        <w:ind w:left="851"/>
        <w:rPr>
          <w:sz w:val="24"/>
          <w:szCs w:val="24"/>
          <w:u w:val="single"/>
        </w:rPr>
      </w:pPr>
      <w:r w:rsidRPr="005F1933">
        <w:rPr>
          <w:sz w:val="24"/>
          <w:szCs w:val="24"/>
          <w:u w:val="single"/>
        </w:rPr>
        <w:t>Tabletkerne:</w:t>
      </w:r>
    </w:p>
    <w:p w:rsidR="00E1026C" w:rsidRPr="00A730E8" w:rsidRDefault="00E1026C" w:rsidP="00E1026C">
      <w:pPr>
        <w:ind w:left="851"/>
        <w:rPr>
          <w:sz w:val="24"/>
          <w:szCs w:val="24"/>
        </w:rPr>
      </w:pPr>
      <w:r w:rsidRPr="00A730E8">
        <w:rPr>
          <w:sz w:val="24"/>
          <w:szCs w:val="24"/>
        </w:rPr>
        <w:t>Sorbitol (E 420)</w:t>
      </w:r>
    </w:p>
    <w:p w:rsidR="00E1026C" w:rsidRPr="005F1933" w:rsidRDefault="00E1026C" w:rsidP="00E1026C">
      <w:pPr>
        <w:ind w:left="851"/>
        <w:rPr>
          <w:sz w:val="24"/>
          <w:szCs w:val="24"/>
          <w:lang w:val="en-US"/>
        </w:rPr>
      </w:pPr>
      <w:r w:rsidRPr="005F1933">
        <w:rPr>
          <w:sz w:val="24"/>
          <w:szCs w:val="24"/>
          <w:lang w:val="en-US"/>
        </w:rPr>
        <w:t>Hypromellose (E 464)</w:t>
      </w:r>
    </w:p>
    <w:p w:rsidR="00E1026C" w:rsidRPr="005F1933" w:rsidRDefault="00E1026C" w:rsidP="00E1026C">
      <w:pPr>
        <w:ind w:left="851"/>
        <w:rPr>
          <w:sz w:val="24"/>
          <w:szCs w:val="24"/>
          <w:lang w:val="en-US"/>
        </w:rPr>
      </w:pPr>
      <w:proofErr w:type="spellStart"/>
      <w:r w:rsidRPr="005F1933">
        <w:rPr>
          <w:sz w:val="24"/>
          <w:szCs w:val="24"/>
          <w:lang w:val="en-US"/>
        </w:rPr>
        <w:t>Crosspovidon</w:t>
      </w:r>
      <w:proofErr w:type="spellEnd"/>
      <w:r w:rsidRPr="005F1933">
        <w:rPr>
          <w:sz w:val="24"/>
          <w:szCs w:val="24"/>
          <w:lang w:val="en-US"/>
        </w:rPr>
        <w:t xml:space="preserve"> type B</w:t>
      </w:r>
    </w:p>
    <w:p w:rsidR="00E1026C" w:rsidRPr="005F1933" w:rsidRDefault="00E1026C" w:rsidP="00E1026C">
      <w:pPr>
        <w:ind w:left="851"/>
        <w:rPr>
          <w:sz w:val="24"/>
          <w:szCs w:val="24"/>
          <w:lang w:val="en-US"/>
        </w:rPr>
      </w:pPr>
      <w:proofErr w:type="spellStart"/>
      <w:r w:rsidRPr="005F1933">
        <w:rPr>
          <w:sz w:val="24"/>
          <w:szCs w:val="24"/>
          <w:lang w:val="en-US"/>
        </w:rPr>
        <w:t>Kolloid</w:t>
      </w:r>
      <w:proofErr w:type="spellEnd"/>
      <w:r w:rsidRPr="005F1933">
        <w:rPr>
          <w:sz w:val="24"/>
          <w:szCs w:val="24"/>
          <w:lang w:val="en-US"/>
        </w:rPr>
        <w:t xml:space="preserve"> </w:t>
      </w:r>
      <w:proofErr w:type="spellStart"/>
      <w:r w:rsidRPr="005F1933">
        <w:rPr>
          <w:sz w:val="24"/>
          <w:szCs w:val="24"/>
          <w:lang w:val="en-US"/>
        </w:rPr>
        <w:t>vandfri</w:t>
      </w:r>
      <w:proofErr w:type="spellEnd"/>
      <w:r w:rsidRPr="005F1933">
        <w:rPr>
          <w:sz w:val="24"/>
          <w:szCs w:val="24"/>
          <w:lang w:val="en-US"/>
        </w:rPr>
        <w:t xml:space="preserve"> silica</w:t>
      </w:r>
    </w:p>
    <w:p w:rsidR="00E1026C" w:rsidRPr="003B7B05" w:rsidRDefault="00E1026C" w:rsidP="00E1026C">
      <w:pPr>
        <w:ind w:left="851"/>
        <w:rPr>
          <w:sz w:val="24"/>
          <w:szCs w:val="24"/>
        </w:rPr>
      </w:pPr>
      <w:proofErr w:type="spellStart"/>
      <w:r w:rsidRPr="003B7B05">
        <w:rPr>
          <w:sz w:val="24"/>
          <w:szCs w:val="24"/>
        </w:rPr>
        <w:t>Magnesiumstearat</w:t>
      </w:r>
      <w:proofErr w:type="spellEnd"/>
    </w:p>
    <w:p w:rsidR="00E1026C" w:rsidRPr="003B7B05" w:rsidRDefault="00E1026C" w:rsidP="00E1026C">
      <w:pPr>
        <w:ind w:left="851"/>
        <w:rPr>
          <w:sz w:val="24"/>
          <w:szCs w:val="24"/>
        </w:rPr>
      </w:pPr>
    </w:p>
    <w:p w:rsidR="00E1026C" w:rsidRPr="005F1933" w:rsidRDefault="00E1026C" w:rsidP="00E1026C">
      <w:pPr>
        <w:ind w:left="851"/>
        <w:rPr>
          <w:sz w:val="24"/>
          <w:szCs w:val="24"/>
          <w:u w:val="single"/>
        </w:rPr>
      </w:pPr>
      <w:r w:rsidRPr="005F1933">
        <w:rPr>
          <w:sz w:val="24"/>
          <w:szCs w:val="24"/>
          <w:u w:val="single"/>
        </w:rPr>
        <w:t xml:space="preserve">Filmovertræk: </w:t>
      </w:r>
    </w:p>
    <w:p w:rsidR="00E1026C" w:rsidRPr="005F1933" w:rsidRDefault="00E1026C" w:rsidP="00E1026C">
      <w:pPr>
        <w:ind w:left="851"/>
        <w:rPr>
          <w:sz w:val="24"/>
          <w:szCs w:val="24"/>
        </w:rPr>
      </w:pPr>
      <w:proofErr w:type="spellStart"/>
      <w:r w:rsidRPr="005F1933">
        <w:rPr>
          <w:sz w:val="24"/>
          <w:szCs w:val="24"/>
        </w:rPr>
        <w:t>Opadry</w:t>
      </w:r>
      <w:proofErr w:type="spellEnd"/>
      <w:r w:rsidRPr="005F1933">
        <w:rPr>
          <w:sz w:val="24"/>
          <w:szCs w:val="24"/>
        </w:rPr>
        <w:t xml:space="preserve"> hvid 20F580006 indeholder;</w:t>
      </w:r>
    </w:p>
    <w:p w:rsidR="00E1026C" w:rsidRPr="005F1933" w:rsidRDefault="00E1026C" w:rsidP="00E1026C">
      <w:pPr>
        <w:ind w:left="851"/>
        <w:rPr>
          <w:sz w:val="24"/>
          <w:szCs w:val="24"/>
          <w:lang w:val="en-US"/>
        </w:rPr>
      </w:pPr>
      <w:r w:rsidRPr="005F1933">
        <w:rPr>
          <w:sz w:val="24"/>
          <w:szCs w:val="24"/>
          <w:lang w:val="en-US"/>
        </w:rPr>
        <w:t>Hypromellose (E 464)</w:t>
      </w:r>
    </w:p>
    <w:p w:rsidR="00E1026C" w:rsidRPr="005F1933" w:rsidRDefault="00E1026C" w:rsidP="00E1026C">
      <w:pPr>
        <w:ind w:left="851"/>
        <w:rPr>
          <w:sz w:val="24"/>
          <w:szCs w:val="24"/>
          <w:lang w:val="en-US"/>
        </w:rPr>
      </w:pPr>
      <w:proofErr w:type="spellStart"/>
      <w:r w:rsidRPr="005F1933">
        <w:rPr>
          <w:sz w:val="24"/>
          <w:szCs w:val="24"/>
          <w:lang w:val="en-US"/>
        </w:rPr>
        <w:t>Hydroxypropylcellulose</w:t>
      </w:r>
      <w:proofErr w:type="spellEnd"/>
      <w:r w:rsidRPr="005F1933">
        <w:rPr>
          <w:sz w:val="24"/>
          <w:szCs w:val="24"/>
          <w:lang w:val="en-US"/>
        </w:rPr>
        <w:t xml:space="preserve"> (E 463)</w:t>
      </w:r>
    </w:p>
    <w:p w:rsidR="00E1026C" w:rsidRPr="005F1933" w:rsidRDefault="00E1026C" w:rsidP="00E1026C">
      <w:pPr>
        <w:ind w:left="851"/>
        <w:rPr>
          <w:sz w:val="24"/>
          <w:szCs w:val="24"/>
          <w:lang w:val="en-US"/>
        </w:rPr>
      </w:pPr>
      <w:r w:rsidRPr="005F1933">
        <w:rPr>
          <w:sz w:val="24"/>
          <w:szCs w:val="24"/>
          <w:lang w:val="en-US"/>
        </w:rPr>
        <w:t>Macrogol 6000 (E 1521)</w:t>
      </w:r>
    </w:p>
    <w:p w:rsidR="00E1026C" w:rsidRPr="005F1933" w:rsidRDefault="00E1026C" w:rsidP="00E1026C">
      <w:pPr>
        <w:ind w:left="851"/>
        <w:rPr>
          <w:sz w:val="24"/>
          <w:szCs w:val="24"/>
        </w:rPr>
      </w:pPr>
      <w:r w:rsidRPr="005F1933">
        <w:rPr>
          <w:sz w:val="24"/>
          <w:szCs w:val="24"/>
        </w:rPr>
        <w:t>Titaniumdioxid (E171)</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6.2</w:t>
      </w:r>
      <w:r w:rsidRPr="005F1933">
        <w:rPr>
          <w:b/>
          <w:sz w:val="24"/>
          <w:szCs w:val="24"/>
        </w:rPr>
        <w:tab/>
        <w:t>Uforligeligheder</w:t>
      </w:r>
    </w:p>
    <w:p w:rsidR="00E1026C" w:rsidRPr="005F1933" w:rsidRDefault="00E1026C" w:rsidP="00E1026C">
      <w:pPr>
        <w:ind w:left="851"/>
        <w:rPr>
          <w:sz w:val="24"/>
          <w:szCs w:val="24"/>
        </w:rPr>
      </w:pPr>
      <w:r w:rsidRPr="005F1933">
        <w:rPr>
          <w:sz w:val="24"/>
          <w:szCs w:val="24"/>
        </w:rPr>
        <w:t>Ikke relevant.</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6.3</w:t>
      </w:r>
      <w:r w:rsidRPr="005F1933">
        <w:rPr>
          <w:b/>
          <w:sz w:val="24"/>
          <w:szCs w:val="24"/>
        </w:rPr>
        <w:tab/>
        <w:t>Opbevaringstid</w:t>
      </w:r>
    </w:p>
    <w:p w:rsidR="00E1026C" w:rsidRPr="005F1933" w:rsidRDefault="00E1026C" w:rsidP="00E1026C">
      <w:pPr>
        <w:ind w:left="851" w:hanging="851"/>
        <w:rPr>
          <w:sz w:val="24"/>
          <w:szCs w:val="24"/>
        </w:rPr>
      </w:pPr>
      <w:r w:rsidRPr="005F1933">
        <w:rPr>
          <w:sz w:val="24"/>
          <w:szCs w:val="24"/>
        </w:rPr>
        <w:tab/>
        <w:t>4 år.</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6.4</w:t>
      </w:r>
      <w:r w:rsidRPr="005F1933">
        <w:rPr>
          <w:b/>
          <w:sz w:val="24"/>
          <w:szCs w:val="24"/>
        </w:rPr>
        <w:tab/>
        <w:t>Særlige opbevaringsforhold</w:t>
      </w:r>
    </w:p>
    <w:p w:rsidR="00842087" w:rsidRDefault="00842087" w:rsidP="00E1026C">
      <w:pPr>
        <w:ind w:left="851"/>
        <w:rPr>
          <w:sz w:val="24"/>
          <w:szCs w:val="24"/>
        </w:rPr>
      </w:pPr>
      <w:r w:rsidRPr="000D12C4">
        <w:rPr>
          <w:sz w:val="24"/>
          <w:szCs w:val="24"/>
        </w:rPr>
        <w:t>Der er ingen særlige krav vedrørende opbevaringstemperaturer for dette lægemiddel.</w:t>
      </w:r>
      <w:r w:rsidRPr="005F1933">
        <w:rPr>
          <w:sz w:val="24"/>
          <w:szCs w:val="24"/>
        </w:rPr>
        <w:t xml:space="preserve"> </w:t>
      </w:r>
    </w:p>
    <w:p w:rsidR="00E1026C" w:rsidRPr="005F1933" w:rsidRDefault="00E1026C" w:rsidP="00E1026C">
      <w:pPr>
        <w:ind w:left="851"/>
        <w:rPr>
          <w:sz w:val="24"/>
          <w:szCs w:val="24"/>
        </w:rPr>
      </w:pPr>
      <w:r w:rsidRPr="005F1933">
        <w:rPr>
          <w:sz w:val="24"/>
          <w:szCs w:val="24"/>
        </w:rPr>
        <w:t xml:space="preserve">Hold </w:t>
      </w:r>
      <w:r>
        <w:rPr>
          <w:sz w:val="24"/>
          <w:szCs w:val="24"/>
        </w:rPr>
        <w:t>beholderen</w:t>
      </w:r>
      <w:r w:rsidRPr="005F1933">
        <w:rPr>
          <w:sz w:val="24"/>
          <w:szCs w:val="24"/>
        </w:rPr>
        <w:t xml:space="preserve"> tæt tillukket for at beskytte mod fugt.</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6.5</w:t>
      </w:r>
      <w:r w:rsidRPr="005F1933">
        <w:rPr>
          <w:b/>
          <w:sz w:val="24"/>
          <w:szCs w:val="24"/>
        </w:rPr>
        <w:tab/>
        <w:t>Emballagetyper og pakningsstørrelser</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HDPE</w:t>
      </w:r>
      <w:r>
        <w:rPr>
          <w:color w:val="000000"/>
          <w:sz w:val="24"/>
          <w:szCs w:val="24"/>
          <w:shd w:val="clear" w:color="auto" w:fill="FFFFFF"/>
          <w:lang w:val="da-DK"/>
        </w:rPr>
        <w:t>-beholder</w:t>
      </w:r>
      <w:r w:rsidRPr="005F1933">
        <w:rPr>
          <w:color w:val="000000"/>
          <w:sz w:val="24"/>
          <w:szCs w:val="24"/>
          <w:shd w:val="clear" w:color="auto" w:fill="FFFFFF"/>
          <w:lang w:val="da-DK"/>
        </w:rPr>
        <w:t xml:space="preserve"> med </w:t>
      </w:r>
      <w:proofErr w:type="spellStart"/>
      <w:r w:rsidRPr="005F1933">
        <w:rPr>
          <w:color w:val="000000"/>
          <w:sz w:val="24"/>
          <w:szCs w:val="24"/>
          <w:shd w:val="clear" w:color="auto" w:fill="FFFFFF"/>
          <w:lang w:val="da-DK"/>
        </w:rPr>
        <w:t>silicagel</w:t>
      </w:r>
      <w:proofErr w:type="spellEnd"/>
      <w:r w:rsidR="002C0DDD">
        <w:rPr>
          <w:color w:val="000000"/>
          <w:sz w:val="24"/>
          <w:szCs w:val="24"/>
          <w:shd w:val="clear" w:color="auto" w:fill="FFFFFF"/>
          <w:lang w:val="da-DK"/>
        </w:rPr>
        <w:t xml:space="preserve"> </w:t>
      </w:r>
      <w:r w:rsidR="002C0DDD" w:rsidRPr="00D8785A">
        <w:rPr>
          <w:color w:val="000000"/>
          <w:sz w:val="24"/>
          <w:szCs w:val="24"/>
          <w:shd w:val="clear" w:color="auto" w:fill="FFFFFF"/>
          <w:lang w:val="da-DK"/>
        </w:rPr>
        <w:t>tørremiddel</w:t>
      </w:r>
      <w:r w:rsidRPr="005F1933">
        <w:rPr>
          <w:color w:val="000000"/>
          <w:sz w:val="24"/>
          <w:szCs w:val="24"/>
          <w:shd w:val="clear" w:color="auto" w:fill="FFFFFF"/>
          <w:lang w:val="da-DK"/>
        </w:rPr>
        <w:t xml:space="preserve">, påsat børnesikret </w:t>
      </w:r>
      <w:proofErr w:type="spellStart"/>
      <w:r w:rsidRPr="005F1933">
        <w:rPr>
          <w:color w:val="000000"/>
          <w:sz w:val="24"/>
          <w:szCs w:val="24"/>
          <w:shd w:val="clear" w:color="auto" w:fill="FFFFFF"/>
          <w:lang w:val="da-DK"/>
        </w:rPr>
        <w:t>polypropylene</w:t>
      </w:r>
      <w:proofErr w:type="spellEnd"/>
      <w:r w:rsidRPr="005F1933">
        <w:rPr>
          <w:color w:val="000000"/>
          <w:sz w:val="24"/>
          <w:szCs w:val="24"/>
          <w:shd w:val="clear" w:color="auto" w:fill="FFFFFF"/>
          <w:lang w:val="da-DK"/>
        </w:rPr>
        <w:t xml:space="preserve">-låg og induktionsforsegling.  </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Pr>
          <w:color w:val="000000"/>
          <w:sz w:val="24"/>
          <w:szCs w:val="24"/>
          <w:shd w:val="clear" w:color="auto" w:fill="FFFFFF"/>
          <w:lang w:val="da-DK"/>
        </w:rPr>
        <w:t>P</w:t>
      </w:r>
      <w:r w:rsidRPr="005F1933">
        <w:rPr>
          <w:color w:val="000000"/>
          <w:sz w:val="24"/>
          <w:szCs w:val="24"/>
          <w:shd w:val="clear" w:color="auto" w:fill="FFFFFF"/>
          <w:lang w:val="da-DK"/>
        </w:rPr>
        <w:t>akningsstørrelser:</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1 </w:t>
      </w:r>
      <w:r>
        <w:rPr>
          <w:color w:val="000000"/>
          <w:sz w:val="24"/>
          <w:szCs w:val="24"/>
          <w:shd w:val="clear" w:color="auto" w:fill="FFFFFF"/>
          <w:lang w:val="da-DK"/>
        </w:rPr>
        <w:t>beholder</w:t>
      </w:r>
      <w:r w:rsidRPr="005F1933">
        <w:rPr>
          <w:color w:val="000000"/>
          <w:sz w:val="24"/>
          <w:szCs w:val="24"/>
          <w:shd w:val="clear" w:color="auto" w:fill="FFFFFF"/>
          <w:lang w:val="da-DK"/>
        </w:rPr>
        <w:t xml:space="preserve"> med 30 filmovertrukne tabletter</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1 </w:t>
      </w:r>
      <w:r>
        <w:rPr>
          <w:color w:val="000000"/>
          <w:sz w:val="24"/>
          <w:szCs w:val="24"/>
          <w:shd w:val="clear" w:color="auto" w:fill="FFFFFF"/>
          <w:lang w:val="da-DK"/>
        </w:rPr>
        <w:t>beholder</w:t>
      </w:r>
      <w:r w:rsidRPr="005F1933">
        <w:rPr>
          <w:color w:val="000000"/>
          <w:sz w:val="24"/>
          <w:szCs w:val="24"/>
          <w:shd w:val="clear" w:color="auto" w:fill="FFFFFF"/>
          <w:lang w:val="da-DK"/>
        </w:rPr>
        <w:t xml:space="preserve"> med 100 filmovertrukne tabletter</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1 </w:t>
      </w:r>
      <w:r>
        <w:rPr>
          <w:color w:val="000000"/>
          <w:sz w:val="24"/>
          <w:szCs w:val="24"/>
          <w:shd w:val="clear" w:color="auto" w:fill="FFFFFF"/>
          <w:lang w:val="da-DK"/>
        </w:rPr>
        <w:t>beholder</w:t>
      </w:r>
      <w:r w:rsidRPr="005F1933">
        <w:rPr>
          <w:color w:val="000000"/>
          <w:sz w:val="24"/>
          <w:szCs w:val="24"/>
          <w:shd w:val="clear" w:color="auto" w:fill="FFFFFF"/>
          <w:lang w:val="da-DK"/>
        </w:rPr>
        <w:t xml:space="preserve"> med 180 filmovertrukne tabletter</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Multipakninger med 180 filmovertrukne tabletter (6 </w:t>
      </w:r>
      <w:r>
        <w:rPr>
          <w:color w:val="000000"/>
          <w:sz w:val="24"/>
          <w:szCs w:val="24"/>
          <w:shd w:val="clear" w:color="auto" w:fill="FFFFFF"/>
          <w:lang w:val="da-DK"/>
        </w:rPr>
        <w:t>beholdere</w:t>
      </w:r>
      <w:r w:rsidRPr="005F1933">
        <w:rPr>
          <w:color w:val="000000"/>
          <w:sz w:val="24"/>
          <w:szCs w:val="24"/>
          <w:shd w:val="clear" w:color="auto" w:fill="FFFFFF"/>
          <w:lang w:val="da-DK"/>
        </w:rPr>
        <w:t xml:space="preserve"> med 30 tabletter) </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Multipakninger med 360 filmovertrukne tabletter (2 </w:t>
      </w:r>
      <w:r>
        <w:rPr>
          <w:color w:val="000000"/>
          <w:sz w:val="24"/>
          <w:szCs w:val="24"/>
          <w:shd w:val="clear" w:color="auto" w:fill="FFFFFF"/>
          <w:lang w:val="da-DK"/>
        </w:rPr>
        <w:t>beholdere</w:t>
      </w:r>
      <w:r w:rsidRPr="005F1933">
        <w:rPr>
          <w:color w:val="000000"/>
          <w:sz w:val="24"/>
          <w:szCs w:val="24"/>
          <w:shd w:val="clear" w:color="auto" w:fill="FFFFFF"/>
          <w:lang w:val="da-DK"/>
        </w:rPr>
        <w:t xml:space="preserve"> med 180 tabletter) </w:t>
      </w:r>
    </w:p>
    <w:p w:rsidR="00E1026C" w:rsidRPr="005F1933" w:rsidRDefault="00E1026C" w:rsidP="00E1026C">
      <w:pPr>
        <w:pStyle w:val="Brdtekst"/>
        <w:tabs>
          <w:tab w:val="left" w:pos="9071"/>
        </w:tabs>
        <w:spacing w:before="7" w:line="244" w:lineRule="auto"/>
        <w:ind w:left="851" w:right="-19"/>
        <w:rPr>
          <w:color w:val="000000"/>
          <w:sz w:val="24"/>
          <w:szCs w:val="24"/>
          <w:shd w:val="clear" w:color="auto" w:fill="FFFFFF"/>
          <w:lang w:val="da-DK"/>
        </w:rPr>
      </w:pPr>
      <w:r w:rsidRPr="005F1933">
        <w:rPr>
          <w:color w:val="000000"/>
          <w:sz w:val="24"/>
          <w:szCs w:val="24"/>
          <w:shd w:val="clear" w:color="auto" w:fill="FFFFFF"/>
          <w:lang w:val="da-DK"/>
        </w:rPr>
        <w:t xml:space="preserve">Multipakninger med 540 filmovertrukne tabletter (3 </w:t>
      </w:r>
      <w:r>
        <w:rPr>
          <w:color w:val="000000"/>
          <w:sz w:val="24"/>
          <w:szCs w:val="24"/>
          <w:shd w:val="clear" w:color="auto" w:fill="FFFFFF"/>
          <w:lang w:val="da-DK"/>
        </w:rPr>
        <w:t>beholdere</w:t>
      </w:r>
      <w:r w:rsidRPr="005F1933">
        <w:rPr>
          <w:color w:val="000000"/>
          <w:sz w:val="24"/>
          <w:szCs w:val="24"/>
          <w:shd w:val="clear" w:color="auto" w:fill="FFFFFF"/>
          <w:lang w:val="da-DK"/>
        </w:rPr>
        <w:t xml:space="preserve"> med 180 tabletter)</w:t>
      </w:r>
    </w:p>
    <w:p w:rsidR="00E1026C" w:rsidRPr="005F1933" w:rsidRDefault="00E1026C" w:rsidP="00E1026C">
      <w:pPr>
        <w:pStyle w:val="Brdtekst"/>
        <w:tabs>
          <w:tab w:val="left" w:pos="9071"/>
        </w:tabs>
        <w:spacing w:before="7" w:line="244" w:lineRule="auto"/>
        <w:ind w:left="851" w:right="-19"/>
        <w:rPr>
          <w:sz w:val="24"/>
          <w:szCs w:val="24"/>
          <w:lang w:val="da-DK"/>
        </w:rPr>
      </w:pPr>
    </w:p>
    <w:p w:rsidR="00E1026C" w:rsidRPr="005F1933" w:rsidRDefault="00E1026C" w:rsidP="00E1026C">
      <w:pPr>
        <w:ind w:left="851"/>
        <w:rPr>
          <w:sz w:val="24"/>
          <w:szCs w:val="24"/>
        </w:rPr>
      </w:pPr>
      <w:r w:rsidRPr="005F1933">
        <w:rPr>
          <w:sz w:val="24"/>
          <w:szCs w:val="24"/>
        </w:rPr>
        <w:t>Ikke alle pakningsstørrelser er nødvendigvis markedsført.</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6.6</w:t>
      </w:r>
      <w:r w:rsidRPr="005F1933">
        <w:rPr>
          <w:b/>
          <w:sz w:val="24"/>
          <w:szCs w:val="24"/>
        </w:rPr>
        <w:tab/>
        <w:t>Regler for destruktion og anden håndtering</w:t>
      </w:r>
    </w:p>
    <w:p w:rsidR="00E1026C" w:rsidRPr="005F1933" w:rsidRDefault="00E1026C" w:rsidP="00E1026C">
      <w:pPr>
        <w:ind w:left="851"/>
        <w:rPr>
          <w:sz w:val="24"/>
          <w:szCs w:val="24"/>
        </w:rPr>
      </w:pPr>
      <w:r w:rsidRPr="005F1933">
        <w:rPr>
          <w:sz w:val="24"/>
          <w:szCs w:val="24"/>
        </w:rPr>
        <w:t>Ikke anvendt lægemiddel samt affald heraf skal bortskaffes i henhold til lokale retningslinjer.</w:t>
      </w:r>
    </w:p>
    <w:p w:rsidR="00E1026C" w:rsidRPr="005F1933" w:rsidRDefault="00E1026C" w:rsidP="00E1026C">
      <w:pPr>
        <w:tabs>
          <w:tab w:val="left" w:pos="851"/>
        </w:tabs>
        <w:ind w:left="851" w:hanging="851"/>
        <w:jc w:val="both"/>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7.</w:t>
      </w:r>
      <w:r w:rsidRPr="005F1933">
        <w:rPr>
          <w:b/>
          <w:sz w:val="24"/>
          <w:szCs w:val="24"/>
        </w:rPr>
        <w:tab/>
        <w:t>INDEHAVER AF MARKEDSFØRINGSTILLADELSEN</w:t>
      </w:r>
    </w:p>
    <w:p w:rsidR="00E1026C" w:rsidRPr="005F1933" w:rsidRDefault="00E1026C" w:rsidP="00E1026C">
      <w:pPr>
        <w:ind w:left="851"/>
        <w:rPr>
          <w:sz w:val="24"/>
          <w:szCs w:val="24"/>
        </w:rPr>
      </w:pPr>
      <w:proofErr w:type="spellStart"/>
      <w:r w:rsidRPr="005F1933">
        <w:rPr>
          <w:sz w:val="24"/>
          <w:szCs w:val="24"/>
        </w:rPr>
        <w:t>Waymade</w:t>
      </w:r>
      <w:proofErr w:type="spellEnd"/>
      <w:r w:rsidRPr="005F1933">
        <w:rPr>
          <w:sz w:val="24"/>
          <w:szCs w:val="24"/>
        </w:rPr>
        <w:t xml:space="preserve"> B.V.</w:t>
      </w:r>
    </w:p>
    <w:p w:rsidR="005B0104" w:rsidRDefault="005B0104" w:rsidP="005B0104">
      <w:pPr>
        <w:ind w:left="851"/>
        <w:rPr>
          <w:sz w:val="24"/>
          <w:szCs w:val="24"/>
        </w:rPr>
      </w:pPr>
      <w:proofErr w:type="spellStart"/>
      <w:r>
        <w:rPr>
          <w:sz w:val="24"/>
          <w:szCs w:val="24"/>
        </w:rPr>
        <w:t>Herikerbergweg</w:t>
      </w:r>
      <w:proofErr w:type="spellEnd"/>
      <w:r>
        <w:rPr>
          <w:sz w:val="24"/>
          <w:szCs w:val="24"/>
        </w:rPr>
        <w:t xml:space="preserve"> 88</w:t>
      </w:r>
    </w:p>
    <w:p w:rsidR="005B0104" w:rsidRPr="005F1933" w:rsidRDefault="005B0104" w:rsidP="005B0104">
      <w:pPr>
        <w:ind w:left="851"/>
        <w:rPr>
          <w:sz w:val="24"/>
          <w:szCs w:val="24"/>
        </w:rPr>
      </w:pPr>
      <w:r w:rsidRPr="005F1933">
        <w:rPr>
          <w:sz w:val="24"/>
          <w:szCs w:val="24"/>
        </w:rPr>
        <w:t>Amsterdam,</w:t>
      </w:r>
      <w:r>
        <w:rPr>
          <w:sz w:val="24"/>
          <w:szCs w:val="24"/>
        </w:rPr>
        <w:t xml:space="preserve"> 1101CM</w:t>
      </w:r>
    </w:p>
    <w:p w:rsidR="00E1026C" w:rsidRPr="005F1933" w:rsidRDefault="00E1026C" w:rsidP="00E1026C">
      <w:pPr>
        <w:ind w:left="851"/>
        <w:rPr>
          <w:sz w:val="24"/>
          <w:szCs w:val="24"/>
        </w:rPr>
      </w:pPr>
      <w:r w:rsidRPr="005F1933">
        <w:rPr>
          <w:sz w:val="24"/>
          <w:szCs w:val="24"/>
        </w:rPr>
        <w:t>Holland</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8.</w:t>
      </w:r>
      <w:r w:rsidRPr="005F1933">
        <w:rPr>
          <w:b/>
          <w:sz w:val="24"/>
          <w:szCs w:val="24"/>
        </w:rPr>
        <w:tab/>
        <w:t>MARKEDSFØRINGSTILLADELSESNUMMER (NUMRE)</w:t>
      </w:r>
    </w:p>
    <w:p w:rsidR="00E1026C" w:rsidRPr="005F1933" w:rsidRDefault="00E1026C" w:rsidP="00E1026C">
      <w:pPr>
        <w:tabs>
          <w:tab w:val="left" w:pos="851"/>
        </w:tabs>
        <w:ind w:left="851" w:hanging="851"/>
        <w:rPr>
          <w:sz w:val="24"/>
          <w:szCs w:val="24"/>
        </w:rPr>
      </w:pPr>
      <w:r>
        <w:rPr>
          <w:sz w:val="24"/>
          <w:szCs w:val="24"/>
        </w:rPr>
        <w:tab/>
      </w:r>
      <w:r w:rsidRPr="005F1933">
        <w:rPr>
          <w:sz w:val="24"/>
          <w:szCs w:val="24"/>
        </w:rPr>
        <w:t>61458</w:t>
      </w:r>
    </w:p>
    <w:p w:rsidR="00E1026C" w:rsidRPr="005F1933" w:rsidRDefault="00E1026C" w:rsidP="00E1026C">
      <w:pPr>
        <w:tabs>
          <w:tab w:val="left" w:pos="851"/>
        </w:tabs>
        <w:ind w:left="851" w:hanging="851"/>
        <w:jc w:val="both"/>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9.</w:t>
      </w:r>
      <w:r w:rsidRPr="005F1933">
        <w:rPr>
          <w:b/>
          <w:sz w:val="24"/>
          <w:szCs w:val="24"/>
        </w:rPr>
        <w:tab/>
        <w:t>DATO FOR FØRSTE MARKEDSFØRINGSTILLADELSE</w:t>
      </w:r>
    </w:p>
    <w:p w:rsidR="00E1026C" w:rsidRPr="005F1933" w:rsidRDefault="00E1026C" w:rsidP="00E1026C">
      <w:pPr>
        <w:tabs>
          <w:tab w:val="left" w:pos="851"/>
        </w:tabs>
        <w:ind w:left="851" w:hanging="851"/>
        <w:rPr>
          <w:sz w:val="24"/>
          <w:szCs w:val="24"/>
        </w:rPr>
      </w:pPr>
      <w:r>
        <w:rPr>
          <w:sz w:val="24"/>
          <w:szCs w:val="24"/>
        </w:rPr>
        <w:tab/>
        <w:t>19. september 2019</w:t>
      </w:r>
    </w:p>
    <w:p w:rsidR="00E1026C" w:rsidRPr="005F1933" w:rsidRDefault="00E1026C" w:rsidP="00E1026C">
      <w:pPr>
        <w:tabs>
          <w:tab w:val="left" w:pos="851"/>
        </w:tabs>
        <w:ind w:left="851" w:hanging="851"/>
        <w:rPr>
          <w:sz w:val="24"/>
          <w:szCs w:val="24"/>
        </w:rPr>
      </w:pPr>
    </w:p>
    <w:p w:rsidR="00E1026C" w:rsidRPr="005F1933" w:rsidRDefault="00E1026C" w:rsidP="00E1026C">
      <w:pPr>
        <w:tabs>
          <w:tab w:val="left" w:pos="851"/>
        </w:tabs>
        <w:ind w:left="851" w:hanging="851"/>
        <w:rPr>
          <w:b/>
          <w:sz w:val="24"/>
          <w:szCs w:val="24"/>
        </w:rPr>
      </w:pPr>
      <w:r w:rsidRPr="005F1933">
        <w:rPr>
          <w:b/>
          <w:sz w:val="24"/>
          <w:szCs w:val="24"/>
        </w:rPr>
        <w:t>10.</w:t>
      </w:r>
      <w:r w:rsidRPr="005F1933">
        <w:rPr>
          <w:b/>
          <w:sz w:val="24"/>
          <w:szCs w:val="24"/>
        </w:rPr>
        <w:tab/>
        <w:t>DATO FOR ÆNDRING AF TEKSTEN</w:t>
      </w:r>
    </w:p>
    <w:p w:rsidR="009260DE" w:rsidRPr="00E1026C" w:rsidRDefault="00E1026C" w:rsidP="00840AC0">
      <w:pPr>
        <w:tabs>
          <w:tab w:val="left" w:pos="851"/>
        </w:tabs>
        <w:ind w:left="851" w:hanging="851"/>
      </w:pPr>
      <w:r>
        <w:rPr>
          <w:sz w:val="24"/>
          <w:szCs w:val="24"/>
        </w:rPr>
        <w:tab/>
      </w:r>
      <w:r w:rsidR="005B0104">
        <w:rPr>
          <w:sz w:val="24"/>
          <w:szCs w:val="24"/>
        </w:rPr>
        <w:t>5. september 2021</w:t>
      </w:r>
    </w:p>
    <w:sectPr w:rsidR="009260DE" w:rsidRPr="00E1026C"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026C" w:rsidRDefault="00E1026C">
      <w:r>
        <w:separator/>
      </w:r>
    </w:p>
  </w:endnote>
  <w:endnote w:type="continuationSeparator" w:id="0">
    <w:p w:rsidR="00E1026C" w:rsidRDefault="00E10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651209">
      <w:rPr>
        <w:i/>
        <w:noProof/>
        <w:sz w:val="18"/>
        <w:szCs w:val="18"/>
      </w:rPr>
      <w:t>Sevelamerhydrochlorid Waymade, filmovertrukne tabletter 800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026C" w:rsidRDefault="00E1026C">
      <w:r>
        <w:separator/>
      </w:r>
    </w:p>
  </w:footnote>
  <w:footnote w:type="continuationSeparator" w:id="0">
    <w:p w:rsidR="00E1026C" w:rsidRDefault="00E10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0F2098F"/>
    <w:multiLevelType w:val="hybridMultilevel"/>
    <w:tmpl w:val="E986495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568730C1"/>
    <w:multiLevelType w:val="hybridMultilevel"/>
    <w:tmpl w:val="52D0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26C"/>
    <w:rsid w:val="000259B9"/>
    <w:rsid w:val="00041491"/>
    <w:rsid w:val="00050D16"/>
    <w:rsid w:val="00074F2A"/>
    <w:rsid w:val="0008537D"/>
    <w:rsid w:val="000A1CA8"/>
    <w:rsid w:val="000A466B"/>
    <w:rsid w:val="000B058C"/>
    <w:rsid w:val="000E4EE6"/>
    <w:rsid w:val="000F7851"/>
    <w:rsid w:val="001454E2"/>
    <w:rsid w:val="00206CE8"/>
    <w:rsid w:val="0021402D"/>
    <w:rsid w:val="0021526C"/>
    <w:rsid w:val="00230045"/>
    <w:rsid w:val="00283A2B"/>
    <w:rsid w:val="002A7465"/>
    <w:rsid w:val="002B30AD"/>
    <w:rsid w:val="002C0DDD"/>
    <w:rsid w:val="002C2C01"/>
    <w:rsid w:val="003A29AE"/>
    <w:rsid w:val="003A32D7"/>
    <w:rsid w:val="003B4074"/>
    <w:rsid w:val="003B7B05"/>
    <w:rsid w:val="003C769A"/>
    <w:rsid w:val="003F1838"/>
    <w:rsid w:val="0045746C"/>
    <w:rsid w:val="0049104B"/>
    <w:rsid w:val="004E3B12"/>
    <w:rsid w:val="00501067"/>
    <w:rsid w:val="00532310"/>
    <w:rsid w:val="00560ECC"/>
    <w:rsid w:val="00565F0F"/>
    <w:rsid w:val="00594A86"/>
    <w:rsid w:val="00596D86"/>
    <w:rsid w:val="005A6123"/>
    <w:rsid w:val="005B0104"/>
    <w:rsid w:val="00637F5A"/>
    <w:rsid w:val="00651209"/>
    <w:rsid w:val="006560B1"/>
    <w:rsid w:val="006756DD"/>
    <w:rsid w:val="00686666"/>
    <w:rsid w:val="00737275"/>
    <w:rsid w:val="00740EEC"/>
    <w:rsid w:val="007512AC"/>
    <w:rsid w:val="0078011A"/>
    <w:rsid w:val="00782AF4"/>
    <w:rsid w:val="00790EE7"/>
    <w:rsid w:val="007B6649"/>
    <w:rsid w:val="0081546F"/>
    <w:rsid w:val="008230AE"/>
    <w:rsid w:val="0082576E"/>
    <w:rsid w:val="00840AC0"/>
    <w:rsid w:val="00842087"/>
    <w:rsid w:val="00907F75"/>
    <w:rsid w:val="00912A59"/>
    <w:rsid w:val="009260DE"/>
    <w:rsid w:val="0093258A"/>
    <w:rsid w:val="009C7BA3"/>
    <w:rsid w:val="009D1F5A"/>
    <w:rsid w:val="00B003BF"/>
    <w:rsid w:val="00B373D7"/>
    <w:rsid w:val="00C36276"/>
    <w:rsid w:val="00C42586"/>
    <w:rsid w:val="00C60CCD"/>
    <w:rsid w:val="00C669C4"/>
    <w:rsid w:val="00C84483"/>
    <w:rsid w:val="00C95551"/>
    <w:rsid w:val="00CB20D7"/>
    <w:rsid w:val="00D020B0"/>
    <w:rsid w:val="00D11748"/>
    <w:rsid w:val="00D366CF"/>
    <w:rsid w:val="00D65F3A"/>
    <w:rsid w:val="00E1026C"/>
    <w:rsid w:val="00E108AA"/>
    <w:rsid w:val="00E31812"/>
    <w:rsid w:val="00E3749A"/>
    <w:rsid w:val="00E7437F"/>
    <w:rsid w:val="00E865B8"/>
    <w:rsid w:val="00EC0B9B"/>
    <w:rsid w:val="00ED5E9F"/>
    <w:rsid w:val="00F66D4F"/>
    <w:rsid w:val="00FB6D01"/>
    <w:rsid w:val="00FE06E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5ACD2"/>
  <w15:chartTrackingRefBased/>
  <w15:docId w15:val="{FD55CC47-5E04-484C-9514-79CB84B9B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rsid w:val="00E1026C"/>
    <w:rPr>
      <w:rFonts w:cs="Times New Roman"/>
      <w:color w:val="0000FF"/>
      <w:u w:val="single"/>
    </w:rPr>
  </w:style>
  <w:style w:type="paragraph" w:styleId="Brdtekst">
    <w:name w:val="Body Text"/>
    <w:basedOn w:val="Normal"/>
    <w:link w:val="BrdtekstTegn"/>
    <w:uiPriority w:val="1"/>
    <w:qFormat/>
    <w:rsid w:val="00E1026C"/>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E1026C"/>
    <w:rPr>
      <w:sz w:val="22"/>
      <w:szCs w:val="22"/>
      <w:lang w:val="en-US" w:eastAsia="en-US"/>
    </w:rPr>
  </w:style>
  <w:style w:type="paragraph" w:customStyle="1" w:styleId="TableParagraph">
    <w:name w:val="Table Paragraph"/>
    <w:basedOn w:val="Normal"/>
    <w:uiPriority w:val="1"/>
    <w:qFormat/>
    <w:rsid w:val="00842087"/>
    <w:pPr>
      <w:widowControl w:val="0"/>
      <w:autoSpaceDE w:val="0"/>
      <w:autoSpaceDN w:val="0"/>
      <w:ind w:left="200"/>
    </w:pPr>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9</Pages>
  <Words>2448</Words>
  <Characters>17012</Characters>
  <Application>Microsoft Office Word</Application>
  <DocSecurity>0</DocSecurity>
  <Lines>141</Lines>
  <Paragraphs>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Pia Lynge</dc:creator>
  <cp:keywords/>
  <dc:description>2021080801, var. 5 _x000d_
Ændring af MAH adresse fra:_x000d_
Waymade B.V._x000d_
Strawinskylaan 3127, Amsterdam_x000d_
1077 ZX, Netherlands</dc:description>
  <cp:lastModifiedBy>Pia Lynge</cp:lastModifiedBy>
  <cp:revision>4</cp:revision>
  <cp:lastPrinted>2020-10-02T09:10:00Z</cp:lastPrinted>
  <dcterms:created xsi:type="dcterms:W3CDTF">2021-09-06T13:19:00Z</dcterms:created>
  <dcterms:modified xsi:type="dcterms:W3CDTF">2021-09-06T13:21:00Z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