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EE" w:rsidRPr="00C84483" w:rsidRDefault="006C2BEE" w:rsidP="006C2BEE">
      <w:pPr>
        <w:rPr>
          <w:sz w:val="24"/>
          <w:szCs w:val="24"/>
        </w:rPr>
      </w:pPr>
      <w:r>
        <w:rPr>
          <w:noProof/>
          <w:sz w:val="24"/>
          <w:szCs w:val="24"/>
          <w:lang w:eastAsia="da-DK"/>
        </w:rPr>
        <w:drawing>
          <wp:inline distT="0" distB="0" distL="0" distR="0" wp14:anchorId="37994FDD" wp14:editId="0F99B08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C2BEE" w:rsidRPr="00C84483" w:rsidRDefault="006C2BEE" w:rsidP="006C2BEE">
      <w:pPr>
        <w:pStyle w:val="Titel"/>
        <w:tabs>
          <w:tab w:val="right" w:pos="9356"/>
        </w:tabs>
        <w:jc w:val="left"/>
        <w:rPr>
          <w:b w:val="0"/>
          <w:szCs w:val="24"/>
          <w:lang w:eastAsia="en-US"/>
        </w:rPr>
      </w:pPr>
    </w:p>
    <w:p w:rsidR="006C2BEE" w:rsidRPr="00C84483" w:rsidRDefault="006C2BEE" w:rsidP="006C2BEE">
      <w:pPr>
        <w:pStyle w:val="Titel"/>
        <w:tabs>
          <w:tab w:val="right" w:pos="9356"/>
        </w:tabs>
        <w:jc w:val="left"/>
        <w:rPr>
          <w:b w:val="0"/>
          <w:szCs w:val="24"/>
          <w:lang w:eastAsia="en-US"/>
        </w:rPr>
      </w:pPr>
      <w:r w:rsidRPr="00C84483">
        <w:rPr>
          <w:b w:val="0"/>
          <w:szCs w:val="24"/>
          <w:lang w:eastAsia="en-US"/>
        </w:rPr>
        <w:tab/>
      </w:r>
      <w:r w:rsidR="009F3408">
        <w:rPr>
          <w:szCs w:val="24"/>
        </w:rPr>
        <w:t>28</w:t>
      </w:r>
      <w:r>
        <w:rPr>
          <w:szCs w:val="24"/>
        </w:rPr>
        <w:t xml:space="preserve">. </w:t>
      </w:r>
      <w:r w:rsidR="009F3408">
        <w:rPr>
          <w:szCs w:val="24"/>
        </w:rPr>
        <w:t>november</w:t>
      </w:r>
      <w:r>
        <w:rPr>
          <w:szCs w:val="24"/>
        </w:rPr>
        <w:t xml:space="preserve"> 20</w:t>
      </w:r>
      <w:r w:rsidR="00B6763C">
        <w:rPr>
          <w:szCs w:val="24"/>
        </w:rPr>
        <w:t>2</w:t>
      </w:r>
      <w:r w:rsidR="009F3408">
        <w:rPr>
          <w:szCs w:val="24"/>
        </w:rPr>
        <w:t>3</w:t>
      </w:r>
    </w:p>
    <w:p w:rsidR="006C2BEE" w:rsidRPr="00C84483" w:rsidRDefault="006C2BEE" w:rsidP="006C2BEE">
      <w:pPr>
        <w:pStyle w:val="Titel"/>
        <w:tabs>
          <w:tab w:val="left" w:pos="8222"/>
        </w:tabs>
        <w:jc w:val="left"/>
        <w:rPr>
          <w:b w:val="0"/>
          <w:szCs w:val="24"/>
        </w:rPr>
      </w:pPr>
    </w:p>
    <w:p w:rsidR="006C2BEE" w:rsidRPr="00C84483" w:rsidRDefault="006C2BEE" w:rsidP="006C2BEE">
      <w:pPr>
        <w:pStyle w:val="Titel"/>
        <w:jc w:val="left"/>
        <w:rPr>
          <w:b w:val="0"/>
          <w:szCs w:val="24"/>
        </w:rPr>
      </w:pPr>
    </w:p>
    <w:p w:rsidR="006C2BEE" w:rsidRPr="00C84483" w:rsidRDefault="006C2BEE" w:rsidP="006C2BEE">
      <w:pPr>
        <w:pStyle w:val="Titel"/>
        <w:jc w:val="left"/>
        <w:rPr>
          <w:b w:val="0"/>
          <w:szCs w:val="24"/>
        </w:rPr>
      </w:pPr>
    </w:p>
    <w:p w:rsidR="006C2BEE" w:rsidRPr="00C84483" w:rsidRDefault="006C2BEE" w:rsidP="006C2BEE">
      <w:pPr>
        <w:jc w:val="center"/>
        <w:rPr>
          <w:b/>
          <w:sz w:val="24"/>
          <w:szCs w:val="24"/>
        </w:rPr>
      </w:pPr>
      <w:r w:rsidRPr="00C84483">
        <w:rPr>
          <w:b/>
          <w:sz w:val="24"/>
          <w:szCs w:val="24"/>
        </w:rPr>
        <w:t>PRODUKTRESUMÉ</w:t>
      </w:r>
    </w:p>
    <w:p w:rsidR="006C2BEE" w:rsidRPr="00C84483" w:rsidRDefault="006C2BEE" w:rsidP="006C2BEE">
      <w:pPr>
        <w:jc w:val="center"/>
        <w:rPr>
          <w:b/>
          <w:sz w:val="24"/>
          <w:szCs w:val="24"/>
        </w:rPr>
      </w:pPr>
    </w:p>
    <w:p w:rsidR="006C2BEE" w:rsidRPr="00C84483" w:rsidRDefault="006C2BEE" w:rsidP="006C2BEE">
      <w:pPr>
        <w:jc w:val="center"/>
        <w:rPr>
          <w:b/>
          <w:sz w:val="24"/>
          <w:szCs w:val="24"/>
        </w:rPr>
      </w:pPr>
      <w:r w:rsidRPr="00C84483">
        <w:rPr>
          <w:b/>
          <w:sz w:val="24"/>
          <w:szCs w:val="24"/>
        </w:rPr>
        <w:t>for</w:t>
      </w:r>
    </w:p>
    <w:p w:rsidR="006C2BEE" w:rsidRPr="00C84483" w:rsidRDefault="006C2BEE" w:rsidP="006C2BEE">
      <w:pPr>
        <w:jc w:val="center"/>
        <w:rPr>
          <w:b/>
          <w:sz w:val="24"/>
          <w:szCs w:val="24"/>
        </w:rPr>
      </w:pPr>
    </w:p>
    <w:p w:rsidR="006C2BEE" w:rsidRPr="00C84483" w:rsidRDefault="006C2BEE" w:rsidP="006C2BEE">
      <w:pPr>
        <w:jc w:val="center"/>
        <w:rPr>
          <w:b/>
          <w:sz w:val="24"/>
          <w:szCs w:val="24"/>
        </w:rPr>
      </w:pPr>
      <w:proofErr w:type="spellStart"/>
      <w:r>
        <w:rPr>
          <w:b/>
          <w:sz w:val="24"/>
          <w:szCs w:val="24"/>
        </w:rPr>
        <w:t>Simdax</w:t>
      </w:r>
      <w:proofErr w:type="spellEnd"/>
      <w:r>
        <w:rPr>
          <w:b/>
          <w:sz w:val="24"/>
          <w:szCs w:val="24"/>
        </w:rPr>
        <w:t>, koncentrat til infusionsvæske, opløsning</w:t>
      </w:r>
    </w:p>
    <w:p w:rsidR="006C2BEE" w:rsidRPr="00C84483" w:rsidRDefault="006C2BEE" w:rsidP="006C2BEE">
      <w:pPr>
        <w:rPr>
          <w:sz w:val="24"/>
          <w:szCs w:val="24"/>
        </w:rPr>
      </w:pP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0.</w:t>
      </w:r>
      <w:r w:rsidRPr="005C6F13">
        <w:rPr>
          <w:b/>
          <w:sz w:val="24"/>
          <w:szCs w:val="24"/>
        </w:rPr>
        <w:tab/>
        <w:t>D.SP.NR.</w:t>
      </w:r>
    </w:p>
    <w:p w:rsidR="006C2BEE" w:rsidRPr="005C6F13" w:rsidRDefault="006C2BEE" w:rsidP="006C2BEE">
      <w:pPr>
        <w:ind w:left="851" w:hanging="851"/>
        <w:rPr>
          <w:sz w:val="24"/>
          <w:szCs w:val="24"/>
        </w:rPr>
      </w:pPr>
      <w:r w:rsidRPr="005C6F13">
        <w:rPr>
          <w:sz w:val="24"/>
          <w:szCs w:val="24"/>
        </w:rPr>
        <w:tab/>
        <w:t>29431</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1.</w:t>
      </w:r>
      <w:r w:rsidRPr="005C6F13">
        <w:rPr>
          <w:b/>
          <w:sz w:val="24"/>
          <w:szCs w:val="24"/>
        </w:rPr>
        <w:tab/>
        <w:t>LÆGEMIDLETS NAVN</w:t>
      </w:r>
    </w:p>
    <w:p w:rsidR="006C2BEE" w:rsidRPr="005C6F13" w:rsidRDefault="006C2BEE" w:rsidP="006C2BEE">
      <w:pPr>
        <w:ind w:left="851" w:hanging="851"/>
        <w:rPr>
          <w:sz w:val="24"/>
          <w:szCs w:val="24"/>
        </w:rPr>
      </w:pPr>
      <w:r w:rsidRPr="005C6F13">
        <w:rPr>
          <w:sz w:val="24"/>
          <w:szCs w:val="24"/>
        </w:rPr>
        <w:tab/>
      </w:r>
      <w:proofErr w:type="spellStart"/>
      <w:r w:rsidRPr="005C6F13">
        <w:rPr>
          <w:sz w:val="24"/>
          <w:szCs w:val="24"/>
        </w:rPr>
        <w:t>Simdax</w:t>
      </w:r>
      <w:proofErr w:type="spellEnd"/>
    </w:p>
    <w:p w:rsidR="006C2BEE" w:rsidRPr="005C6F13" w:rsidRDefault="006C2BEE" w:rsidP="006C2BEE">
      <w:pPr>
        <w:ind w:left="851" w:hanging="851"/>
        <w:rPr>
          <w:sz w:val="24"/>
          <w:szCs w:val="24"/>
        </w:rPr>
      </w:pPr>
      <w:r w:rsidRPr="005C6F13">
        <w:rPr>
          <w:sz w:val="24"/>
          <w:szCs w:val="24"/>
        </w:rPr>
        <w:tab/>
      </w:r>
    </w:p>
    <w:p w:rsidR="006C2BEE" w:rsidRPr="005C6F13" w:rsidRDefault="006C2BEE" w:rsidP="006C2BEE">
      <w:pPr>
        <w:ind w:left="851" w:hanging="851"/>
        <w:rPr>
          <w:b/>
          <w:sz w:val="24"/>
          <w:szCs w:val="24"/>
        </w:rPr>
      </w:pPr>
      <w:r w:rsidRPr="005C6F13">
        <w:rPr>
          <w:b/>
          <w:sz w:val="24"/>
          <w:szCs w:val="24"/>
        </w:rPr>
        <w:t>2.</w:t>
      </w:r>
      <w:r w:rsidRPr="005C6F13">
        <w:rPr>
          <w:b/>
          <w:sz w:val="24"/>
          <w:szCs w:val="24"/>
        </w:rPr>
        <w:tab/>
        <w:t>KVALITATIV OG KVANTITATIV SAMMENSÆTNING</w:t>
      </w:r>
    </w:p>
    <w:p w:rsidR="006C2BEE" w:rsidRPr="005C6F13" w:rsidRDefault="006C2BEE" w:rsidP="006C2BEE">
      <w:pPr>
        <w:ind w:left="851" w:hanging="851"/>
        <w:rPr>
          <w:sz w:val="24"/>
          <w:szCs w:val="24"/>
        </w:rPr>
      </w:pPr>
      <w:r w:rsidRPr="005C6F13">
        <w:rPr>
          <w:sz w:val="24"/>
          <w:szCs w:val="24"/>
        </w:rPr>
        <w:tab/>
        <w:t xml:space="preserve">Én ml koncentrat indeholder 2,5 mg </w:t>
      </w:r>
      <w:proofErr w:type="spellStart"/>
      <w:r w:rsidRPr="005C6F13">
        <w:rPr>
          <w:sz w:val="24"/>
          <w:szCs w:val="24"/>
        </w:rPr>
        <w:t>levosimendan</w:t>
      </w:r>
      <w:proofErr w:type="spellEnd"/>
      <w:r w:rsidRPr="005C6F13">
        <w:rPr>
          <w:sz w:val="24"/>
          <w:szCs w:val="24"/>
        </w:rPr>
        <w:t>.</w:t>
      </w:r>
    </w:p>
    <w:p w:rsidR="006C2BEE" w:rsidRPr="005C6F13" w:rsidRDefault="006C2BEE" w:rsidP="006C2BEE">
      <w:pPr>
        <w:ind w:left="851"/>
        <w:rPr>
          <w:sz w:val="24"/>
          <w:szCs w:val="24"/>
        </w:rPr>
      </w:pPr>
      <w:r w:rsidRPr="005C6F13">
        <w:rPr>
          <w:sz w:val="24"/>
          <w:szCs w:val="24"/>
        </w:rPr>
        <w:t xml:space="preserve">Et hætteglas med 5 ml indeholder 12,5 mg </w:t>
      </w:r>
      <w:proofErr w:type="spellStart"/>
      <w:r w:rsidRPr="005C6F13">
        <w:rPr>
          <w:sz w:val="24"/>
          <w:szCs w:val="24"/>
        </w:rPr>
        <w:t>levosimendan</w:t>
      </w:r>
      <w:proofErr w:type="spellEnd"/>
      <w:r w:rsidRPr="005C6F13">
        <w:rPr>
          <w:sz w:val="24"/>
          <w:szCs w:val="24"/>
        </w:rPr>
        <w:t>.</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sz w:val="24"/>
          <w:szCs w:val="24"/>
        </w:rPr>
        <w:t xml:space="preserve">Hjælpestof, som behandleren skal være opmærksom på: </w:t>
      </w:r>
      <w:proofErr w:type="spellStart"/>
      <w:r w:rsidRPr="005C6F13">
        <w:rPr>
          <w:sz w:val="24"/>
          <w:szCs w:val="24"/>
        </w:rPr>
        <w:t>Ethanol</w:t>
      </w:r>
      <w:proofErr w:type="spellEnd"/>
    </w:p>
    <w:p w:rsidR="006C2BEE" w:rsidRPr="005C6F13" w:rsidRDefault="006C2BEE" w:rsidP="006C2BEE">
      <w:pPr>
        <w:ind w:left="851"/>
        <w:rPr>
          <w:sz w:val="24"/>
          <w:szCs w:val="24"/>
        </w:rPr>
      </w:pPr>
      <w:r w:rsidRPr="005C6F13">
        <w:rPr>
          <w:sz w:val="24"/>
          <w:szCs w:val="24"/>
        </w:rPr>
        <w:t xml:space="preserve">Dette lægemiddel indeholder 785 mg/ml </w:t>
      </w:r>
      <w:proofErr w:type="spellStart"/>
      <w:r w:rsidRPr="005C6F13">
        <w:rPr>
          <w:sz w:val="24"/>
          <w:szCs w:val="24"/>
        </w:rPr>
        <w:t>ethanol</w:t>
      </w:r>
      <w:proofErr w:type="spellEnd"/>
      <w:r w:rsidRPr="005C6F13">
        <w:rPr>
          <w:sz w:val="24"/>
          <w:szCs w:val="24"/>
        </w:rPr>
        <w:t xml:space="preserve"> (alkohol).</w:t>
      </w:r>
    </w:p>
    <w:p w:rsidR="006C2BEE" w:rsidRPr="005C6F13" w:rsidRDefault="006C2BEE" w:rsidP="006C2BEE">
      <w:pPr>
        <w:ind w:left="851" w:hanging="851"/>
        <w:rPr>
          <w:sz w:val="24"/>
          <w:szCs w:val="24"/>
        </w:rPr>
      </w:pPr>
    </w:p>
    <w:p w:rsidR="006C2BEE" w:rsidRPr="005C6F13" w:rsidRDefault="006C2BEE" w:rsidP="006C2BEE">
      <w:pPr>
        <w:spacing w:line="260" w:lineRule="exact"/>
        <w:ind w:left="851"/>
        <w:rPr>
          <w:sz w:val="24"/>
          <w:szCs w:val="24"/>
        </w:rPr>
      </w:pPr>
      <w:r w:rsidRPr="005C6F13">
        <w:rPr>
          <w:sz w:val="24"/>
          <w:szCs w:val="24"/>
        </w:rPr>
        <w:t>Alle hjælpestoffer er anført under pkt. 6.1.</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3.</w:t>
      </w:r>
      <w:r w:rsidRPr="005C6F13">
        <w:rPr>
          <w:b/>
          <w:sz w:val="24"/>
          <w:szCs w:val="24"/>
        </w:rPr>
        <w:tab/>
        <w:t>LÆGEMIDDELFORM</w:t>
      </w:r>
    </w:p>
    <w:p w:rsidR="006C2BEE" w:rsidRPr="005C6F13" w:rsidRDefault="006C2BEE" w:rsidP="006C2BEE">
      <w:pPr>
        <w:suppressAutoHyphens/>
        <w:ind w:left="851" w:hanging="851"/>
        <w:rPr>
          <w:sz w:val="24"/>
          <w:szCs w:val="24"/>
        </w:rPr>
      </w:pPr>
      <w:r w:rsidRPr="005C6F13">
        <w:rPr>
          <w:sz w:val="24"/>
          <w:szCs w:val="24"/>
        </w:rPr>
        <w:tab/>
        <w:t>Koncentrat til infusionsvæske, opløsning.</w:t>
      </w:r>
    </w:p>
    <w:p w:rsidR="006C2BEE" w:rsidRPr="005C6F13" w:rsidRDefault="006C2BEE" w:rsidP="006C2BEE">
      <w:pPr>
        <w:suppressAutoHyphens/>
        <w:ind w:left="851"/>
        <w:rPr>
          <w:sz w:val="24"/>
          <w:szCs w:val="24"/>
        </w:rPr>
      </w:pPr>
      <w:r w:rsidRPr="005C6F13">
        <w:rPr>
          <w:sz w:val="24"/>
          <w:szCs w:val="24"/>
        </w:rPr>
        <w:t>Koncentratet er en klar gul til orange opløsning til fortynding før administration.</w:t>
      </w:r>
    </w:p>
    <w:p w:rsidR="006C2BEE" w:rsidRPr="005C6F13" w:rsidRDefault="006C2BEE" w:rsidP="006C2BEE">
      <w:pPr>
        <w:ind w:left="851" w:hanging="851"/>
        <w:rPr>
          <w:sz w:val="24"/>
          <w:szCs w:val="24"/>
        </w:rPr>
      </w:pP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w:t>
      </w:r>
      <w:r w:rsidRPr="005C6F13">
        <w:rPr>
          <w:b/>
          <w:sz w:val="24"/>
          <w:szCs w:val="24"/>
        </w:rPr>
        <w:tab/>
        <w:t>KLINISKE OPLYSNINGER</w:t>
      </w:r>
    </w:p>
    <w:p w:rsidR="006C2BEE" w:rsidRPr="005C6F13" w:rsidRDefault="006C2BEE" w:rsidP="006C2BEE">
      <w:pPr>
        <w:ind w:left="851" w:hanging="851"/>
        <w:rPr>
          <w:b/>
          <w:sz w:val="24"/>
          <w:szCs w:val="24"/>
        </w:rPr>
      </w:pPr>
    </w:p>
    <w:p w:rsidR="006C2BEE" w:rsidRPr="005C6F13" w:rsidRDefault="006C2BEE" w:rsidP="006C2BEE">
      <w:pPr>
        <w:ind w:left="851" w:hanging="851"/>
        <w:rPr>
          <w:b/>
          <w:sz w:val="24"/>
          <w:szCs w:val="24"/>
          <w:u w:val="single"/>
        </w:rPr>
      </w:pPr>
      <w:r w:rsidRPr="005C6F13">
        <w:rPr>
          <w:b/>
          <w:sz w:val="24"/>
          <w:szCs w:val="24"/>
        </w:rPr>
        <w:t>4.1</w:t>
      </w:r>
      <w:r w:rsidRPr="005C6F13">
        <w:rPr>
          <w:b/>
          <w:sz w:val="24"/>
          <w:szCs w:val="24"/>
        </w:rPr>
        <w:tab/>
        <w:t>Terapeutiske indikationer</w:t>
      </w:r>
    </w:p>
    <w:p w:rsidR="006C2BEE" w:rsidRPr="005C6F13" w:rsidRDefault="006C2BEE" w:rsidP="006C2BEE">
      <w:pPr>
        <w:autoSpaceDE w:val="0"/>
        <w:autoSpaceDN w:val="0"/>
        <w:adjustRightInd w:val="0"/>
        <w:ind w:left="851" w:hanging="851"/>
        <w:rPr>
          <w:sz w:val="24"/>
          <w:szCs w:val="24"/>
          <w:lang w:eastAsia="da-DK"/>
        </w:rPr>
      </w:pPr>
      <w:r w:rsidRPr="005C6F13">
        <w:rPr>
          <w:sz w:val="24"/>
          <w:szCs w:val="24"/>
        </w:rPr>
        <w:tab/>
      </w:r>
      <w:proofErr w:type="spellStart"/>
      <w:r w:rsidRPr="005C6F13">
        <w:rPr>
          <w:sz w:val="24"/>
          <w:szCs w:val="24"/>
          <w:lang w:eastAsia="da-DK"/>
        </w:rPr>
        <w:t>Simdax</w:t>
      </w:r>
      <w:proofErr w:type="spellEnd"/>
      <w:r w:rsidRPr="005C6F13">
        <w:rPr>
          <w:sz w:val="24"/>
          <w:szCs w:val="24"/>
          <w:lang w:eastAsia="da-DK"/>
        </w:rPr>
        <w:t xml:space="preserve"> er indiceret til korttidsbehandling af akut </w:t>
      </w:r>
      <w:proofErr w:type="spellStart"/>
      <w:r w:rsidRPr="005C6F13">
        <w:rPr>
          <w:sz w:val="24"/>
          <w:szCs w:val="24"/>
          <w:lang w:eastAsia="da-DK"/>
        </w:rPr>
        <w:t>dekompenseret</w:t>
      </w:r>
      <w:proofErr w:type="spellEnd"/>
      <w:r w:rsidRPr="005C6F13">
        <w:rPr>
          <w:sz w:val="24"/>
          <w:szCs w:val="24"/>
          <w:lang w:eastAsia="da-DK"/>
        </w:rPr>
        <w:t xml:space="preserve">, </w:t>
      </w:r>
      <w:proofErr w:type="gramStart"/>
      <w:r w:rsidRPr="005C6F13">
        <w:rPr>
          <w:sz w:val="24"/>
          <w:szCs w:val="24"/>
          <w:lang w:eastAsia="da-DK"/>
        </w:rPr>
        <w:t>svær kronisk hjertesvigt</w:t>
      </w:r>
      <w:proofErr w:type="gramEnd"/>
      <w:r w:rsidRPr="005C6F13">
        <w:rPr>
          <w:sz w:val="24"/>
          <w:szCs w:val="24"/>
          <w:lang w:eastAsia="da-DK"/>
        </w:rPr>
        <w:t xml:space="preserve"> (ADHF) i situationer, hvor konventionel terapi ikke er tilstrækkelig, og ved tilfælde hvor </w:t>
      </w:r>
      <w:proofErr w:type="spellStart"/>
      <w:r w:rsidRPr="005C6F13">
        <w:rPr>
          <w:sz w:val="24"/>
          <w:szCs w:val="24"/>
          <w:lang w:eastAsia="da-DK"/>
        </w:rPr>
        <w:t>inotropisk</w:t>
      </w:r>
      <w:proofErr w:type="spellEnd"/>
      <w:r w:rsidRPr="005C6F13">
        <w:rPr>
          <w:sz w:val="24"/>
          <w:szCs w:val="24"/>
          <w:lang w:eastAsia="da-DK"/>
        </w:rPr>
        <w:t xml:space="preserve"> støtte er vurderet at være hensigtsmæssig (se pkt. 5.1).</w:t>
      </w:r>
    </w:p>
    <w:p w:rsidR="006C2BEE" w:rsidRPr="005C6F13" w:rsidRDefault="006C2BEE" w:rsidP="006C2BEE">
      <w:pPr>
        <w:suppressAutoHyphens/>
        <w:ind w:left="851" w:hanging="851"/>
        <w:rPr>
          <w:sz w:val="24"/>
          <w:szCs w:val="24"/>
          <w:lang w:eastAsia="da-DK"/>
        </w:rPr>
      </w:pPr>
    </w:p>
    <w:p w:rsidR="006C2BEE" w:rsidRPr="005C6F13" w:rsidRDefault="006C2BEE" w:rsidP="006C2BEE">
      <w:pPr>
        <w:suppressAutoHyphens/>
        <w:ind w:left="851"/>
        <w:rPr>
          <w:sz w:val="24"/>
          <w:szCs w:val="24"/>
          <w:lang w:eastAsia="da-DK"/>
        </w:rPr>
      </w:pPr>
      <w:proofErr w:type="spellStart"/>
      <w:r w:rsidRPr="005C6F13">
        <w:rPr>
          <w:sz w:val="24"/>
          <w:szCs w:val="24"/>
          <w:lang w:eastAsia="da-DK"/>
        </w:rPr>
        <w:t>Simdax</w:t>
      </w:r>
      <w:proofErr w:type="spellEnd"/>
      <w:r w:rsidRPr="005C6F13">
        <w:rPr>
          <w:sz w:val="24"/>
          <w:szCs w:val="24"/>
          <w:lang w:eastAsia="da-DK"/>
        </w:rPr>
        <w:t xml:space="preserve"> er indiceret til voksne.</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4.2</w:t>
      </w:r>
      <w:r w:rsidRPr="005C6F13">
        <w:rPr>
          <w:b/>
          <w:sz w:val="24"/>
          <w:szCs w:val="24"/>
        </w:rPr>
        <w:tab/>
        <w:t xml:space="preserve">Dosering og </w:t>
      </w:r>
      <w:r w:rsidR="009F3408">
        <w:rPr>
          <w:b/>
          <w:sz w:val="24"/>
          <w:szCs w:val="24"/>
        </w:rPr>
        <w:t>administration</w:t>
      </w:r>
    </w:p>
    <w:p w:rsidR="006C2BEE" w:rsidRPr="005C6F13" w:rsidRDefault="006C2BEE" w:rsidP="006C2BEE">
      <w:pPr>
        <w:autoSpaceDE w:val="0"/>
        <w:autoSpaceDN w:val="0"/>
        <w:adjustRightInd w:val="0"/>
        <w:ind w:left="851" w:hanging="851"/>
        <w:rPr>
          <w:sz w:val="24"/>
          <w:szCs w:val="24"/>
          <w:lang w:eastAsia="da-DK"/>
        </w:rPr>
      </w:pPr>
      <w:r w:rsidRPr="005C6F13">
        <w:rPr>
          <w:sz w:val="24"/>
          <w:szCs w:val="24"/>
        </w:rPr>
        <w:tab/>
      </w:r>
      <w:proofErr w:type="spellStart"/>
      <w:r w:rsidRPr="005C6F13">
        <w:rPr>
          <w:sz w:val="24"/>
          <w:szCs w:val="24"/>
          <w:lang w:eastAsia="da-DK"/>
        </w:rPr>
        <w:t>Simdax</w:t>
      </w:r>
      <w:proofErr w:type="spellEnd"/>
      <w:r w:rsidRPr="005C6F13">
        <w:rPr>
          <w:sz w:val="24"/>
          <w:szCs w:val="24"/>
          <w:lang w:eastAsia="da-DK"/>
        </w:rPr>
        <w:t xml:space="preserve"> er kun til brug på et hospital. Det bør administreres i et sygehusmiljø, hvor egnet overvågningsudstyr og ekspertise i brug af inotrope midler er tilgængelige.</w:t>
      </w:r>
    </w:p>
    <w:p w:rsidR="006C2BEE" w:rsidRPr="005C6F13" w:rsidRDefault="006C2BEE" w:rsidP="006C2BEE">
      <w:pPr>
        <w:autoSpaceDE w:val="0"/>
        <w:autoSpaceDN w:val="0"/>
        <w:adjustRightInd w:val="0"/>
        <w:ind w:left="851" w:hanging="851"/>
        <w:rPr>
          <w:sz w:val="24"/>
          <w:szCs w:val="24"/>
          <w:lang w:eastAsia="da-DK"/>
        </w:rPr>
      </w:pPr>
      <w:r>
        <w:rPr>
          <w:sz w:val="24"/>
          <w:szCs w:val="24"/>
          <w:lang w:eastAsia="da-DK"/>
        </w:rPr>
        <w:br w:type="page"/>
      </w: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lastRenderedPageBreak/>
        <w:t>Dosering</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Dosis og varighed af behandlingen er individuel alt efter patientens kliniske tilstand og respons.</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Behandlingen med </w:t>
      </w:r>
      <w:proofErr w:type="spellStart"/>
      <w:r w:rsidRPr="005C6F13">
        <w:rPr>
          <w:sz w:val="24"/>
          <w:szCs w:val="24"/>
          <w:lang w:eastAsia="da-DK"/>
        </w:rPr>
        <w:t>Simdax</w:t>
      </w:r>
      <w:proofErr w:type="spellEnd"/>
      <w:r w:rsidRPr="005C6F13">
        <w:rPr>
          <w:sz w:val="24"/>
          <w:szCs w:val="24"/>
          <w:lang w:eastAsia="da-DK"/>
        </w:rPr>
        <w:t xml:space="preserve"> bør initieres med en </w:t>
      </w:r>
      <w:r>
        <w:rPr>
          <w:sz w:val="24"/>
          <w:szCs w:val="24"/>
          <w:lang w:eastAsia="da-DK"/>
        </w:rPr>
        <w:t xml:space="preserve">støddosis </w:t>
      </w:r>
      <w:r w:rsidRPr="005C6F13">
        <w:rPr>
          <w:sz w:val="24"/>
          <w:szCs w:val="24"/>
          <w:lang w:eastAsia="da-DK"/>
        </w:rPr>
        <w:t xml:space="preserve">på 6-12 mikrogram/kg over 10 minutter efterfulgt af en kontinuerlig infusion på 0,1 mikrogram/kg/minut (se pkt. 5.1).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Den laveste </w:t>
      </w:r>
      <w:r>
        <w:rPr>
          <w:sz w:val="24"/>
          <w:szCs w:val="24"/>
          <w:lang w:eastAsia="da-DK"/>
        </w:rPr>
        <w:t xml:space="preserve">støddosis </w:t>
      </w:r>
      <w:r w:rsidRPr="005C6F13">
        <w:rPr>
          <w:sz w:val="24"/>
          <w:szCs w:val="24"/>
          <w:lang w:eastAsia="da-DK"/>
        </w:rPr>
        <w:t xml:space="preserve">på 6 mikrogram/kg anbefales til patienter, som samtidig får </w:t>
      </w:r>
      <w:proofErr w:type="spellStart"/>
      <w:r w:rsidRPr="005C6F13">
        <w:rPr>
          <w:sz w:val="24"/>
          <w:szCs w:val="24"/>
          <w:lang w:eastAsia="da-DK"/>
        </w:rPr>
        <w:t>vasodilatorer</w:t>
      </w:r>
      <w:proofErr w:type="spellEnd"/>
      <w:r w:rsidRPr="005C6F13">
        <w:rPr>
          <w:sz w:val="24"/>
          <w:szCs w:val="24"/>
          <w:lang w:eastAsia="da-DK"/>
        </w:rPr>
        <w:t xml:space="preserve"> eller inotrope lægemidler intravenøst eller begge dele i starten af infusionen.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Højere støddoser inden for dette område vil producere et stærkere </w:t>
      </w:r>
      <w:proofErr w:type="spellStart"/>
      <w:r w:rsidRPr="005C6F13">
        <w:rPr>
          <w:sz w:val="24"/>
          <w:szCs w:val="24"/>
          <w:lang w:eastAsia="da-DK"/>
        </w:rPr>
        <w:t>hæmodynamisk</w:t>
      </w:r>
      <w:proofErr w:type="spellEnd"/>
      <w:r w:rsidRPr="005C6F13">
        <w:rPr>
          <w:sz w:val="24"/>
          <w:szCs w:val="24"/>
          <w:lang w:eastAsia="da-DK"/>
        </w:rPr>
        <w:t xml:space="preserve"> respons, men kan være forbundet med en forbigående forhøjet forekomst af bivirkninger.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Patientens respons bør vurderes med </w:t>
      </w:r>
      <w:r>
        <w:rPr>
          <w:sz w:val="24"/>
          <w:szCs w:val="24"/>
          <w:lang w:eastAsia="da-DK"/>
        </w:rPr>
        <w:t xml:space="preserve">støddosis </w:t>
      </w:r>
      <w:r w:rsidRPr="005C6F13">
        <w:rPr>
          <w:sz w:val="24"/>
          <w:szCs w:val="24"/>
          <w:lang w:eastAsia="da-DK"/>
        </w:rPr>
        <w:t xml:space="preserve">eller inden for 30 til 60 minutter efter dosisjustering og som klinisk indiceret.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Hvis responset synes for kraftigt (hypotension, </w:t>
      </w:r>
      <w:proofErr w:type="spellStart"/>
      <w:r w:rsidRPr="005C6F13">
        <w:rPr>
          <w:sz w:val="24"/>
          <w:szCs w:val="24"/>
          <w:lang w:eastAsia="da-DK"/>
        </w:rPr>
        <w:t>takykardi</w:t>
      </w:r>
      <w:proofErr w:type="spellEnd"/>
      <w:r w:rsidRPr="005C6F13">
        <w:rPr>
          <w:sz w:val="24"/>
          <w:szCs w:val="24"/>
          <w:lang w:eastAsia="da-DK"/>
        </w:rPr>
        <w:t xml:space="preserve">), kan infusionshastigheden sættes ned til 0,05 mikrogram/kg/minut eller afbrydes (se pkt. 4.4). </w:t>
      </w:r>
    </w:p>
    <w:p w:rsidR="006C2BEE"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Hvis den initiale dosis tolereres og en øget </w:t>
      </w:r>
      <w:proofErr w:type="spellStart"/>
      <w:r w:rsidRPr="005C6F13">
        <w:rPr>
          <w:sz w:val="24"/>
          <w:szCs w:val="24"/>
          <w:lang w:eastAsia="da-DK"/>
        </w:rPr>
        <w:t>hæmodynamisk</w:t>
      </w:r>
      <w:proofErr w:type="spellEnd"/>
      <w:r w:rsidRPr="005C6F13">
        <w:rPr>
          <w:sz w:val="24"/>
          <w:szCs w:val="24"/>
          <w:lang w:eastAsia="da-DK"/>
        </w:rPr>
        <w:t xml:space="preserve"> virkning er ønsket, kan infusionshastigheden øges til 0,2</w:t>
      </w:r>
      <w:r w:rsidRPr="005C6F13">
        <w:rPr>
          <w:sz w:val="24"/>
          <w:szCs w:val="24"/>
        </w:rPr>
        <w:t> </w:t>
      </w:r>
      <w:r w:rsidRPr="005C6F13">
        <w:rPr>
          <w:sz w:val="24"/>
          <w:szCs w:val="24"/>
          <w:lang w:eastAsia="da-DK"/>
        </w:rPr>
        <w:t>mikrogram/kg/minut.</w:t>
      </w:r>
    </w:p>
    <w:p w:rsidR="006C2BEE" w:rsidRPr="005C6F13" w:rsidRDefault="006C2BEE" w:rsidP="006C2BEE">
      <w:pPr>
        <w:autoSpaceDE w:val="0"/>
        <w:autoSpaceDN w:val="0"/>
        <w:adjustRightInd w:val="0"/>
        <w:ind w:left="851" w:hanging="851"/>
        <w:rPr>
          <w:sz w:val="24"/>
          <w:szCs w:val="24"/>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Til patienter med akut </w:t>
      </w:r>
      <w:proofErr w:type="spellStart"/>
      <w:r w:rsidRPr="005C6F13">
        <w:rPr>
          <w:sz w:val="24"/>
          <w:szCs w:val="24"/>
          <w:lang w:eastAsia="da-DK"/>
        </w:rPr>
        <w:t>dekompensering</w:t>
      </w:r>
      <w:proofErr w:type="spellEnd"/>
      <w:r w:rsidRPr="005C6F13">
        <w:rPr>
          <w:sz w:val="24"/>
          <w:szCs w:val="24"/>
          <w:lang w:eastAsia="da-DK"/>
        </w:rPr>
        <w:t xml:space="preserve"> af </w:t>
      </w:r>
      <w:proofErr w:type="gramStart"/>
      <w:r w:rsidRPr="005C6F13">
        <w:rPr>
          <w:sz w:val="24"/>
          <w:szCs w:val="24"/>
          <w:lang w:eastAsia="da-DK"/>
        </w:rPr>
        <w:t>svær kronisk hjertesvigt</w:t>
      </w:r>
      <w:proofErr w:type="gramEnd"/>
      <w:r w:rsidRPr="005C6F13">
        <w:rPr>
          <w:sz w:val="24"/>
          <w:szCs w:val="24"/>
          <w:lang w:eastAsia="da-DK"/>
        </w:rPr>
        <w:t xml:space="preserve"> anbefales det, at infusionen varer i 24 timer.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Der er ikke observeret tegn på udvikling af tolerans eller </w:t>
      </w:r>
      <w:proofErr w:type="spellStart"/>
      <w:r w:rsidRPr="005C6F13">
        <w:rPr>
          <w:sz w:val="24"/>
          <w:szCs w:val="24"/>
          <w:lang w:eastAsia="da-DK"/>
        </w:rPr>
        <w:t>reboundvirkning</w:t>
      </w:r>
      <w:proofErr w:type="spellEnd"/>
      <w:r w:rsidRPr="005C6F13">
        <w:rPr>
          <w:sz w:val="24"/>
          <w:szCs w:val="24"/>
          <w:lang w:eastAsia="da-DK"/>
        </w:rPr>
        <w:t xml:space="preserve"> efter afbrydelse af </w:t>
      </w:r>
      <w:proofErr w:type="spellStart"/>
      <w:r w:rsidRPr="005C6F13">
        <w:rPr>
          <w:sz w:val="24"/>
          <w:szCs w:val="24"/>
          <w:lang w:eastAsia="da-DK"/>
        </w:rPr>
        <w:t>levosimendaninfusion</w:t>
      </w:r>
      <w:proofErr w:type="spellEnd"/>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Den </w:t>
      </w:r>
      <w:proofErr w:type="spellStart"/>
      <w:r w:rsidRPr="005C6F13">
        <w:rPr>
          <w:sz w:val="24"/>
          <w:szCs w:val="24"/>
          <w:lang w:eastAsia="da-DK"/>
        </w:rPr>
        <w:t>hæmodynamiske</w:t>
      </w:r>
      <w:proofErr w:type="spellEnd"/>
      <w:r w:rsidRPr="005C6F13">
        <w:rPr>
          <w:sz w:val="24"/>
          <w:szCs w:val="24"/>
          <w:lang w:eastAsia="da-DK"/>
        </w:rPr>
        <w:t xml:space="preserve"> virkning varer i mindst 24 timer og kan ses i op til 9 dage efter en afsluttet 24-timers infusion (se pkt. 4.4).</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Erfaring med gentagen administration af </w:t>
      </w:r>
      <w:proofErr w:type="spellStart"/>
      <w:r w:rsidRPr="005C6F13">
        <w:rPr>
          <w:sz w:val="24"/>
          <w:szCs w:val="24"/>
          <w:lang w:eastAsia="da-DK"/>
        </w:rPr>
        <w:t>levosimendan</w:t>
      </w:r>
      <w:proofErr w:type="spellEnd"/>
      <w:r w:rsidRPr="005C6F13">
        <w:rPr>
          <w:sz w:val="24"/>
          <w:szCs w:val="24"/>
          <w:lang w:eastAsia="da-DK"/>
        </w:rPr>
        <w:t xml:space="preserve"> er begrænset. Erfaring med samtidig brug af </w:t>
      </w:r>
      <w:proofErr w:type="spellStart"/>
      <w:r w:rsidRPr="005C6F13">
        <w:rPr>
          <w:sz w:val="24"/>
          <w:szCs w:val="24"/>
          <w:lang w:eastAsia="da-DK"/>
        </w:rPr>
        <w:t>vasoaktive</w:t>
      </w:r>
      <w:proofErr w:type="spellEnd"/>
      <w:r w:rsidRPr="005C6F13">
        <w:rPr>
          <w:sz w:val="24"/>
          <w:szCs w:val="24"/>
          <w:lang w:eastAsia="da-DK"/>
        </w:rPr>
        <w:t xml:space="preserve"> lægemidler, herunder inotrope lægemidler (undtagen </w:t>
      </w:r>
      <w:proofErr w:type="spellStart"/>
      <w:r w:rsidRPr="005C6F13">
        <w:rPr>
          <w:sz w:val="24"/>
          <w:szCs w:val="24"/>
          <w:lang w:eastAsia="da-DK"/>
        </w:rPr>
        <w:t>digoxin</w:t>
      </w:r>
      <w:proofErr w:type="spellEnd"/>
      <w:r w:rsidRPr="005C6F13">
        <w:rPr>
          <w:sz w:val="24"/>
          <w:szCs w:val="24"/>
          <w:lang w:eastAsia="da-DK"/>
        </w:rPr>
        <w:t>), er begrænset. I REVIVE (</w:t>
      </w:r>
      <w:proofErr w:type="spellStart"/>
      <w:r w:rsidRPr="005C6F13">
        <w:rPr>
          <w:sz w:val="24"/>
          <w:szCs w:val="24"/>
          <w:lang w:eastAsia="da-DK"/>
        </w:rPr>
        <w:t>Randomized</w:t>
      </w:r>
      <w:proofErr w:type="spellEnd"/>
      <w:r w:rsidRPr="005C6F13">
        <w:rPr>
          <w:sz w:val="24"/>
          <w:szCs w:val="24"/>
          <w:lang w:eastAsia="da-DK"/>
        </w:rPr>
        <w:t xml:space="preserve"> Multicenter Evaluation of </w:t>
      </w:r>
      <w:proofErr w:type="spellStart"/>
      <w:r w:rsidRPr="005C6F13">
        <w:rPr>
          <w:sz w:val="24"/>
          <w:szCs w:val="24"/>
          <w:lang w:eastAsia="da-DK"/>
        </w:rPr>
        <w:t>Intravenous</w:t>
      </w:r>
      <w:proofErr w:type="spellEnd"/>
      <w:r w:rsidRPr="005C6F13">
        <w:rPr>
          <w:sz w:val="24"/>
          <w:szCs w:val="24"/>
          <w:lang w:eastAsia="da-DK"/>
        </w:rPr>
        <w:t xml:space="preserve"> </w:t>
      </w:r>
      <w:proofErr w:type="spellStart"/>
      <w:r w:rsidRPr="005C6F13">
        <w:rPr>
          <w:sz w:val="24"/>
          <w:szCs w:val="24"/>
          <w:lang w:eastAsia="da-DK"/>
        </w:rPr>
        <w:t>Levosimendan</w:t>
      </w:r>
      <w:proofErr w:type="spellEnd"/>
      <w:r w:rsidRPr="005C6F13">
        <w:rPr>
          <w:sz w:val="24"/>
          <w:szCs w:val="24"/>
          <w:lang w:eastAsia="da-DK"/>
        </w:rPr>
        <w:t xml:space="preserve"> </w:t>
      </w:r>
      <w:proofErr w:type="spellStart"/>
      <w:r w:rsidRPr="005C6F13">
        <w:rPr>
          <w:sz w:val="24"/>
          <w:szCs w:val="24"/>
          <w:lang w:eastAsia="da-DK"/>
        </w:rPr>
        <w:t>Efficacy</w:t>
      </w:r>
      <w:proofErr w:type="spellEnd"/>
      <w:r w:rsidRPr="005C6F13">
        <w:rPr>
          <w:sz w:val="24"/>
          <w:szCs w:val="24"/>
          <w:lang w:eastAsia="da-DK"/>
        </w:rPr>
        <w:t xml:space="preserve">) programmet blev en lavere </w:t>
      </w:r>
      <w:r>
        <w:rPr>
          <w:sz w:val="24"/>
          <w:szCs w:val="24"/>
          <w:lang w:eastAsia="da-DK"/>
        </w:rPr>
        <w:t xml:space="preserve">støddosis </w:t>
      </w:r>
      <w:r w:rsidRPr="005C6F13">
        <w:rPr>
          <w:sz w:val="24"/>
          <w:szCs w:val="24"/>
          <w:lang w:eastAsia="da-DK"/>
        </w:rPr>
        <w:t xml:space="preserve">(6 mikrogram/kg) administreret samtidig med </w:t>
      </w:r>
      <w:proofErr w:type="spellStart"/>
      <w:r w:rsidRPr="005C6F13">
        <w:rPr>
          <w:sz w:val="24"/>
          <w:szCs w:val="24"/>
          <w:lang w:eastAsia="da-DK"/>
        </w:rPr>
        <w:t>vasoaktive</w:t>
      </w:r>
      <w:proofErr w:type="spellEnd"/>
      <w:r w:rsidRPr="005C6F13">
        <w:rPr>
          <w:sz w:val="24"/>
          <w:szCs w:val="24"/>
          <w:lang w:eastAsia="da-DK"/>
        </w:rPr>
        <w:t xml:space="preserve"> lægemidler ved baseline (se pkt. 4.4, 4.5 og 5.1).</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i/>
          <w:sz w:val="24"/>
          <w:szCs w:val="24"/>
          <w:lang w:eastAsia="da-DK"/>
        </w:rPr>
        <w:t>Monitorering af behandling</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I henhold til gældende medicinsk praksis skal ekg, blodtryk og hjertefrekvens overvåges i løbet af behandlingen og diuresen skal måles. Det anbefales at overvåge disse parametre i mindst 3 dage efter afsluttet infusion, eller indtil patienten er klinisk stabil (se pkt. 4.4). For patienter med let til moderat nedsat nyre- eller leverfunktion anbefales overvågning i mindst 5 dage.</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i/>
          <w:sz w:val="24"/>
          <w:szCs w:val="24"/>
          <w:u w:val="single"/>
          <w:lang w:eastAsia="da-DK"/>
        </w:rPr>
      </w:pPr>
      <w:r w:rsidRPr="005C6F13">
        <w:rPr>
          <w:i/>
          <w:sz w:val="24"/>
          <w:szCs w:val="24"/>
          <w:u w:val="single"/>
          <w:lang w:eastAsia="da-DK"/>
        </w:rPr>
        <w:t>Særlig populationer</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t>Ældre patienter</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Dosisjustering er ikke nødvendig hos ældre patienter.</w:t>
      </w:r>
    </w:p>
    <w:p w:rsidR="006C2BEE" w:rsidRPr="005C6F13" w:rsidRDefault="006C2BEE" w:rsidP="006C2BEE">
      <w:pPr>
        <w:autoSpaceDE w:val="0"/>
        <w:autoSpaceDN w:val="0"/>
        <w:adjustRightInd w:val="0"/>
        <w:ind w:left="851" w:hanging="851"/>
        <w:rPr>
          <w:sz w:val="24"/>
          <w:szCs w:val="24"/>
          <w:lang w:eastAsia="da-DK"/>
        </w:rPr>
      </w:pPr>
      <w:r>
        <w:rPr>
          <w:sz w:val="24"/>
          <w:szCs w:val="24"/>
          <w:lang w:eastAsia="da-DK"/>
        </w:rPr>
        <w:br w:type="page"/>
      </w: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lastRenderedPageBreak/>
        <w:t>Nedsat nyrefunktion</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Simdax</w:t>
      </w:r>
      <w:proofErr w:type="spellEnd"/>
      <w:r w:rsidRPr="005C6F13">
        <w:rPr>
          <w:sz w:val="24"/>
          <w:szCs w:val="24"/>
          <w:lang w:eastAsia="da-DK"/>
        </w:rPr>
        <w:t xml:space="preserve"> skal anvendes med forsigtighed til patienter med let til moderat nedsat nyrefunktion.</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Simdax</w:t>
      </w:r>
      <w:proofErr w:type="spellEnd"/>
      <w:r w:rsidRPr="005C6F13">
        <w:rPr>
          <w:sz w:val="24"/>
          <w:szCs w:val="24"/>
          <w:lang w:eastAsia="da-DK"/>
        </w:rPr>
        <w:t xml:space="preserve"> bør ikke bruges til patienter med </w:t>
      </w:r>
      <w:proofErr w:type="gramStart"/>
      <w:r w:rsidRPr="005C6F13">
        <w:rPr>
          <w:sz w:val="24"/>
          <w:szCs w:val="24"/>
          <w:lang w:eastAsia="da-DK"/>
        </w:rPr>
        <w:t>svær nyresvigt</w:t>
      </w:r>
      <w:proofErr w:type="gramEnd"/>
      <w:r w:rsidRPr="005C6F13">
        <w:rPr>
          <w:sz w:val="24"/>
          <w:szCs w:val="24"/>
          <w:lang w:eastAsia="da-DK"/>
        </w:rPr>
        <w:t xml:space="preserve"> (</w:t>
      </w:r>
      <w:proofErr w:type="spellStart"/>
      <w:r w:rsidRPr="005C6F13">
        <w:rPr>
          <w:sz w:val="24"/>
          <w:szCs w:val="24"/>
          <w:lang w:eastAsia="da-DK"/>
        </w:rPr>
        <w:t>kreatininclearance</w:t>
      </w:r>
      <w:proofErr w:type="spellEnd"/>
      <w:r w:rsidRPr="005C6F13">
        <w:rPr>
          <w:sz w:val="24"/>
          <w:szCs w:val="24"/>
          <w:lang w:eastAsia="da-DK"/>
        </w:rPr>
        <w:t xml:space="preserve"> &lt;30 ml/min) (se pkt. 4.3, 4.4 og 5.2).</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t>Nedsat leverfunktion</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Simdax</w:t>
      </w:r>
      <w:proofErr w:type="spellEnd"/>
      <w:r w:rsidRPr="005C6F13">
        <w:rPr>
          <w:sz w:val="24"/>
          <w:szCs w:val="24"/>
          <w:lang w:eastAsia="da-DK"/>
        </w:rPr>
        <w:t xml:space="preserve"> skal anvendes med forsigtighed til patienter med let til moderat nedsat leverfunktion, selvom dosisjustering ikke synes at være nødvendig hos disse patienter. </w:t>
      </w:r>
      <w:proofErr w:type="spellStart"/>
      <w:r w:rsidRPr="005C6F13">
        <w:rPr>
          <w:sz w:val="24"/>
          <w:szCs w:val="24"/>
          <w:lang w:eastAsia="da-DK"/>
        </w:rPr>
        <w:t>Simdax</w:t>
      </w:r>
      <w:proofErr w:type="spellEnd"/>
      <w:r w:rsidRPr="005C6F13">
        <w:rPr>
          <w:sz w:val="24"/>
          <w:szCs w:val="24"/>
          <w:lang w:eastAsia="da-DK"/>
        </w:rPr>
        <w:t xml:space="preserve"> bør ikke bruges til patienter med </w:t>
      </w:r>
      <w:proofErr w:type="gramStart"/>
      <w:r w:rsidRPr="005C6F13">
        <w:rPr>
          <w:sz w:val="24"/>
          <w:szCs w:val="24"/>
          <w:lang w:eastAsia="da-DK"/>
        </w:rPr>
        <w:t>svær leversvigt</w:t>
      </w:r>
      <w:proofErr w:type="gramEnd"/>
      <w:r w:rsidRPr="005C6F13">
        <w:rPr>
          <w:sz w:val="24"/>
          <w:szCs w:val="24"/>
          <w:lang w:eastAsia="da-DK"/>
        </w:rPr>
        <w:t xml:space="preserve"> (se pkt. 4.3, 4.4 og 5.2).</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t>Pædiatrisk population</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Sikkerheden og virkning af </w:t>
      </w:r>
      <w:proofErr w:type="spellStart"/>
      <w:r w:rsidRPr="005C6F13">
        <w:rPr>
          <w:sz w:val="24"/>
          <w:szCs w:val="24"/>
          <w:lang w:eastAsia="da-DK"/>
        </w:rPr>
        <w:t>Simdax</w:t>
      </w:r>
      <w:proofErr w:type="spellEnd"/>
      <w:r w:rsidRPr="005C6F13">
        <w:rPr>
          <w:sz w:val="24"/>
          <w:szCs w:val="24"/>
          <w:lang w:eastAsia="da-DK"/>
        </w:rPr>
        <w:t xml:space="preserve"> hos børn og unge under 18 år er ikke klarlagt. De foreliggende data er beskrevet i pkt. 5.2, men der kan ikke gives nogen anbefalinger vedrørende dosering.</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t>Administration</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Simdax</w:t>
      </w:r>
      <w:proofErr w:type="spellEnd"/>
      <w:r w:rsidRPr="005C6F13">
        <w:rPr>
          <w:sz w:val="24"/>
          <w:szCs w:val="24"/>
          <w:lang w:eastAsia="da-DK"/>
        </w:rPr>
        <w:t xml:space="preserve"> skal fortyndes før administration (se pkt. 6.6).</w:t>
      </w:r>
    </w:p>
    <w:p w:rsidR="006C2BEE" w:rsidRPr="005C6F13" w:rsidRDefault="006C2BEE" w:rsidP="006C2BEE">
      <w:pPr>
        <w:suppressAutoHyphens/>
        <w:ind w:left="851" w:hanging="851"/>
        <w:rPr>
          <w:sz w:val="24"/>
          <w:szCs w:val="24"/>
          <w:lang w:eastAsia="da-DK"/>
        </w:rPr>
      </w:pPr>
    </w:p>
    <w:p w:rsidR="006C2BEE" w:rsidRPr="005C6F13" w:rsidRDefault="006C2BEE" w:rsidP="006C2BEE">
      <w:pPr>
        <w:suppressAutoHyphens/>
        <w:ind w:left="851"/>
        <w:rPr>
          <w:b/>
          <w:sz w:val="24"/>
          <w:szCs w:val="24"/>
        </w:rPr>
      </w:pPr>
      <w:r w:rsidRPr="005C6F13">
        <w:rPr>
          <w:sz w:val="24"/>
          <w:szCs w:val="24"/>
          <w:lang w:eastAsia="da-DK"/>
        </w:rPr>
        <w:t>Infusionen er kun til intravenøs brug og kan administreres som en perifer eller central infusion.</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Den følgende tabel giver detaljer om infusionshastigheder både for </w:t>
      </w:r>
      <w:r>
        <w:rPr>
          <w:sz w:val="24"/>
          <w:szCs w:val="24"/>
          <w:lang w:eastAsia="da-DK"/>
        </w:rPr>
        <w:t>støddosis</w:t>
      </w:r>
      <w:r w:rsidRPr="005C6F13">
        <w:rPr>
          <w:sz w:val="24"/>
          <w:szCs w:val="24"/>
          <w:lang w:eastAsia="da-DK"/>
        </w:rPr>
        <w:t xml:space="preserve"> og kontinuerlig infusion af en </w:t>
      </w:r>
      <w:r w:rsidRPr="005C6F13">
        <w:rPr>
          <w:b/>
          <w:sz w:val="24"/>
          <w:szCs w:val="24"/>
          <w:lang w:eastAsia="da-DK"/>
        </w:rPr>
        <w:t xml:space="preserve">0,05 mg/ml </w:t>
      </w:r>
      <w:proofErr w:type="spellStart"/>
      <w:r w:rsidRPr="005C6F13">
        <w:rPr>
          <w:sz w:val="24"/>
          <w:szCs w:val="24"/>
          <w:lang w:eastAsia="da-DK"/>
        </w:rPr>
        <w:t>Simdax</w:t>
      </w:r>
      <w:proofErr w:type="spellEnd"/>
      <w:r w:rsidRPr="005C6F13">
        <w:rPr>
          <w:sz w:val="24"/>
          <w:szCs w:val="24"/>
          <w:lang w:eastAsia="da-DK"/>
        </w:rPr>
        <w:t xml:space="preserve"> infusions</w:t>
      </w:r>
      <w:r>
        <w:rPr>
          <w:sz w:val="24"/>
          <w:szCs w:val="24"/>
          <w:lang w:eastAsia="da-DK"/>
        </w:rPr>
        <w:t>væske</w:t>
      </w:r>
      <w:r w:rsidRPr="005C6F13">
        <w:rPr>
          <w:sz w:val="24"/>
          <w:szCs w:val="24"/>
          <w:lang w:eastAsia="da-DK"/>
        </w:rPr>
        <w:t>:</w:t>
      </w:r>
    </w:p>
    <w:p w:rsidR="006C2BEE" w:rsidRPr="005C6F13" w:rsidRDefault="006C2BEE" w:rsidP="006C2BEE">
      <w:pPr>
        <w:autoSpaceDE w:val="0"/>
        <w:autoSpaceDN w:val="0"/>
        <w:adjustRightInd w:val="0"/>
        <w:ind w:left="851" w:hanging="851"/>
        <w:rPr>
          <w:sz w:val="24"/>
          <w:szCs w:val="24"/>
          <w:lang w:eastAsia="da-DK"/>
        </w:rPr>
      </w:pPr>
    </w:p>
    <w:tbl>
      <w:tblPr>
        <w:tblW w:w="5000" w:type="pct"/>
        <w:tblCellSpacing w:w="0" w:type="dxa"/>
        <w:tblBorders>
          <w:top w:val="single" w:sz="12" w:space="0" w:color="000000"/>
          <w:bottom w:val="single" w:sz="12" w:space="0" w:color="000000"/>
        </w:tblBorders>
        <w:tblCellMar>
          <w:left w:w="0" w:type="dxa"/>
          <w:right w:w="0" w:type="dxa"/>
        </w:tblCellMar>
        <w:tblLook w:val="00A0" w:firstRow="1" w:lastRow="0" w:firstColumn="1" w:lastColumn="0" w:noHBand="0" w:noVBand="0"/>
      </w:tblPr>
      <w:tblGrid>
        <w:gridCol w:w="1593"/>
        <w:gridCol w:w="2686"/>
        <w:gridCol w:w="1597"/>
        <w:gridCol w:w="1338"/>
        <w:gridCol w:w="1212"/>
        <w:gridCol w:w="1212"/>
      </w:tblGrid>
      <w:tr w:rsidR="006C2BEE" w:rsidRPr="005C6F13" w:rsidTr="009F3408">
        <w:trPr>
          <w:tblCellSpacing w:w="0" w:type="dxa"/>
        </w:trPr>
        <w:tc>
          <w:tcPr>
            <w:tcW w:w="826" w:type="pct"/>
            <w:tcBorders>
              <w:top w:val="single" w:sz="12" w:space="0" w:color="000000"/>
              <w:left w:val="nil"/>
              <w:bottom w:val="nil"/>
              <w:right w:val="nil"/>
            </w:tcBorders>
            <w:hideMark/>
          </w:tcPr>
          <w:p w:rsidR="006C2BEE" w:rsidRPr="005C6F13" w:rsidRDefault="006C2BEE" w:rsidP="009F3408">
            <w:pPr>
              <w:pStyle w:val="fkpreparattabellweb"/>
              <w:ind w:left="142"/>
              <w:rPr>
                <w:sz w:val="24"/>
                <w:szCs w:val="24"/>
                <w:lang w:val="de-DE" w:eastAsia="de-DE"/>
              </w:rPr>
            </w:pPr>
            <w:proofErr w:type="spellStart"/>
            <w:r w:rsidRPr="005C6F13">
              <w:rPr>
                <w:sz w:val="24"/>
                <w:szCs w:val="24"/>
                <w:lang w:val="de-DE" w:eastAsia="de-DE"/>
              </w:rPr>
              <w:t>Patientens</w:t>
            </w:r>
            <w:proofErr w:type="spellEnd"/>
            <w:r w:rsidRPr="005C6F13">
              <w:rPr>
                <w:sz w:val="24"/>
                <w:szCs w:val="24"/>
                <w:lang w:val="de-DE" w:eastAsia="de-DE"/>
              </w:rPr>
              <w:t xml:space="preserve"> </w:t>
            </w:r>
            <w:proofErr w:type="spellStart"/>
            <w:r w:rsidRPr="005C6F13">
              <w:rPr>
                <w:sz w:val="24"/>
                <w:szCs w:val="24"/>
                <w:lang w:val="de-DE" w:eastAsia="de-DE"/>
              </w:rPr>
              <w:t>vægt</w:t>
            </w:r>
            <w:proofErr w:type="spellEnd"/>
            <w:r w:rsidRPr="005C6F13">
              <w:rPr>
                <w:sz w:val="24"/>
                <w:szCs w:val="24"/>
                <w:lang w:val="de-DE" w:eastAsia="de-DE"/>
              </w:rPr>
              <w:t xml:space="preserve"> </w:t>
            </w:r>
            <w:r w:rsidRPr="005C6F13">
              <w:rPr>
                <w:sz w:val="24"/>
                <w:szCs w:val="24"/>
                <w:lang w:val="de-DE" w:eastAsia="de-DE"/>
              </w:rPr>
              <w:br w:type="textWrapping" w:clear="all"/>
              <w:t>(kg)</w:t>
            </w:r>
          </w:p>
        </w:tc>
        <w:tc>
          <w:tcPr>
            <w:tcW w:w="2221" w:type="pct"/>
            <w:gridSpan w:val="2"/>
            <w:tcBorders>
              <w:top w:val="single" w:sz="12" w:space="0" w:color="000000"/>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sidRPr="005C6F13">
              <w:rPr>
                <w:sz w:val="24"/>
                <w:szCs w:val="24"/>
                <w:lang w:val="de-DE" w:eastAsia="de-DE"/>
              </w:rPr>
              <w:t xml:space="preserve"> </w:t>
            </w:r>
            <w:proofErr w:type="spellStart"/>
            <w:r w:rsidRPr="005C6F13">
              <w:rPr>
                <w:sz w:val="24"/>
                <w:szCs w:val="24"/>
                <w:lang w:val="de-DE" w:eastAsia="de-DE"/>
              </w:rPr>
              <w:t>administreret</w:t>
            </w:r>
            <w:proofErr w:type="spellEnd"/>
            <w:r w:rsidRPr="005C6F13">
              <w:rPr>
                <w:sz w:val="24"/>
                <w:szCs w:val="24"/>
                <w:lang w:val="de-DE" w:eastAsia="de-DE"/>
              </w:rPr>
              <w:t xml:space="preserve"> </w:t>
            </w:r>
            <w:proofErr w:type="spellStart"/>
            <w:r w:rsidRPr="005C6F13">
              <w:rPr>
                <w:sz w:val="24"/>
                <w:szCs w:val="24"/>
                <w:lang w:val="de-DE" w:eastAsia="de-DE"/>
              </w:rPr>
              <w:t>som</w:t>
            </w:r>
            <w:proofErr w:type="spellEnd"/>
            <w:r w:rsidRPr="005C6F13">
              <w:rPr>
                <w:sz w:val="24"/>
                <w:szCs w:val="24"/>
                <w:lang w:val="de-DE" w:eastAsia="de-DE"/>
              </w:rPr>
              <w:t xml:space="preserve"> </w:t>
            </w:r>
            <w:r w:rsidRPr="005C6F13">
              <w:rPr>
                <w:sz w:val="24"/>
                <w:szCs w:val="24"/>
                <w:lang w:val="de-DE" w:eastAsia="de-DE"/>
              </w:rPr>
              <w:br w:type="textWrapping" w:clear="all"/>
            </w:r>
            <w:proofErr w:type="spellStart"/>
            <w:r w:rsidRPr="005C6F13">
              <w:rPr>
                <w:sz w:val="24"/>
                <w:szCs w:val="24"/>
                <w:lang w:val="de-DE" w:eastAsia="de-DE"/>
              </w:rPr>
              <w:t>infusion</w:t>
            </w:r>
            <w:proofErr w:type="spellEnd"/>
            <w:r w:rsidRPr="005C6F13">
              <w:rPr>
                <w:sz w:val="24"/>
                <w:szCs w:val="24"/>
                <w:lang w:val="de-DE" w:eastAsia="de-DE"/>
              </w:rPr>
              <w:t xml:space="preserve"> i </w:t>
            </w:r>
            <w:proofErr w:type="spellStart"/>
            <w:r w:rsidRPr="005C6F13">
              <w:rPr>
                <w:sz w:val="24"/>
                <w:szCs w:val="24"/>
                <w:lang w:val="de-DE" w:eastAsia="de-DE"/>
              </w:rPr>
              <w:t>løbet</w:t>
            </w:r>
            <w:proofErr w:type="spellEnd"/>
            <w:r w:rsidRPr="005C6F13">
              <w:rPr>
                <w:sz w:val="24"/>
                <w:szCs w:val="24"/>
                <w:lang w:val="de-DE" w:eastAsia="de-DE"/>
              </w:rPr>
              <w:t xml:space="preserve"> </w:t>
            </w:r>
            <w:proofErr w:type="spellStart"/>
            <w:r w:rsidRPr="005C6F13">
              <w:rPr>
                <w:sz w:val="24"/>
                <w:szCs w:val="24"/>
                <w:lang w:val="de-DE" w:eastAsia="de-DE"/>
              </w:rPr>
              <w:t>af</w:t>
            </w:r>
            <w:proofErr w:type="spellEnd"/>
            <w:r w:rsidRPr="005C6F13">
              <w:rPr>
                <w:sz w:val="24"/>
                <w:szCs w:val="24"/>
                <w:lang w:val="de-DE" w:eastAsia="de-DE"/>
              </w:rPr>
              <w:t xml:space="preserve"> </w:t>
            </w:r>
            <w:r w:rsidRPr="005C6F13">
              <w:rPr>
                <w:sz w:val="24"/>
                <w:szCs w:val="24"/>
                <w:lang w:val="de-DE" w:eastAsia="de-DE"/>
              </w:rPr>
              <w:br w:type="textWrapping" w:clear="all"/>
              <w:t xml:space="preserve">10 </w:t>
            </w:r>
            <w:proofErr w:type="spellStart"/>
            <w:r w:rsidRPr="005C6F13">
              <w:rPr>
                <w:sz w:val="24"/>
                <w:szCs w:val="24"/>
                <w:lang w:val="de-DE" w:eastAsia="de-DE"/>
              </w:rPr>
              <w:t>minutter</w:t>
            </w:r>
            <w:proofErr w:type="spellEnd"/>
            <w:r w:rsidRPr="005C6F13">
              <w:rPr>
                <w:sz w:val="24"/>
                <w:szCs w:val="24"/>
                <w:lang w:val="de-DE" w:eastAsia="de-DE"/>
              </w:rPr>
              <w:t xml:space="preserve"> </w:t>
            </w:r>
            <w:proofErr w:type="spellStart"/>
            <w:r w:rsidRPr="005C6F13">
              <w:rPr>
                <w:sz w:val="24"/>
                <w:szCs w:val="24"/>
                <w:lang w:val="de-DE" w:eastAsia="de-DE"/>
              </w:rPr>
              <w:t>med</w:t>
            </w:r>
            <w:proofErr w:type="spellEnd"/>
            <w:r w:rsidRPr="005C6F13">
              <w:rPr>
                <w:sz w:val="24"/>
                <w:szCs w:val="24"/>
                <w:lang w:val="de-DE" w:eastAsia="de-DE"/>
              </w:rPr>
              <w:t xml:space="preserve"> </w:t>
            </w:r>
            <w:r w:rsidRPr="005C6F13">
              <w:rPr>
                <w:sz w:val="24"/>
                <w:szCs w:val="24"/>
                <w:lang w:val="de-DE" w:eastAsia="de-DE"/>
              </w:rPr>
              <w:br w:type="textWrapping" w:clear="all"/>
            </w:r>
            <w:proofErr w:type="spellStart"/>
            <w:r w:rsidRPr="005C6F13">
              <w:rPr>
                <w:sz w:val="24"/>
                <w:szCs w:val="24"/>
                <w:lang w:val="de-DE" w:eastAsia="de-DE"/>
              </w:rPr>
              <w:t>følgende</w:t>
            </w:r>
            <w:proofErr w:type="spellEnd"/>
            <w:r w:rsidRPr="005C6F13">
              <w:rPr>
                <w:sz w:val="24"/>
                <w:szCs w:val="24"/>
                <w:lang w:val="de-DE" w:eastAsia="de-DE"/>
              </w:rPr>
              <w:t xml:space="preserve"> </w:t>
            </w:r>
            <w:proofErr w:type="spellStart"/>
            <w:r w:rsidRPr="005C6F13">
              <w:rPr>
                <w:sz w:val="24"/>
                <w:szCs w:val="24"/>
                <w:lang w:val="de-DE" w:eastAsia="de-DE"/>
              </w:rPr>
              <w:t>infusionshastighed</w:t>
            </w:r>
            <w:proofErr w:type="spellEnd"/>
            <w:r w:rsidRPr="005C6F13">
              <w:rPr>
                <w:sz w:val="24"/>
                <w:szCs w:val="24"/>
                <w:lang w:val="de-DE" w:eastAsia="de-DE"/>
              </w:rPr>
              <w:t xml:space="preserve"> </w:t>
            </w:r>
            <w:r w:rsidRPr="005C6F13">
              <w:rPr>
                <w:sz w:val="24"/>
                <w:szCs w:val="24"/>
                <w:lang w:val="de-DE" w:eastAsia="de-DE"/>
              </w:rPr>
              <w:br w:type="textWrapping" w:clear="all"/>
              <w:t>(ml/time)</w:t>
            </w:r>
          </w:p>
        </w:tc>
        <w:tc>
          <w:tcPr>
            <w:tcW w:w="1952" w:type="pct"/>
            <w:gridSpan w:val="3"/>
            <w:tcBorders>
              <w:top w:val="single" w:sz="12" w:space="0" w:color="000000"/>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sidRPr="005C6F13">
              <w:rPr>
                <w:sz w:val="24"/>
                <w:szCs w:val="24"/>
                <w:lang w:val="de-DE" w:eastAsia="de-DE"/>
              </w:rPr>
              <w:t>Kontinuerlig</w:t>
            </w:r>
            <w:proofErr w:type="spellEnd"/>
            <w:r w:rsidRPr="005C6F13">
              <w:rPr>
                <w:sz w:val="24"/>
                <w:szCs w:val="24"/>
                <w:lang w:val="de-DE" w:eastAsia="de-DE"/>
              </w:rPr>
              <w:t xml:space="preserve"> </w:t>
            </w:r>
            <w:proofErr w:type="spellStart"/>
            <w:r w:rsidRPr="005C6F13">
              <w:rPr>
                <w:sz w:val="24"/>
                <w:szCs w:val="24"/>
                <w:lang w:val="de-DE" w:eastAsia="de-DE"/>
              </w:rPr>
              <w:t>infusionshastighed</w:t>
            </w:r>
            <w:proofErr w:type="spellEnd"/>
            <w:r w:rsidRPr="005C6F13">
              <w:rPr>
                <w:sz w:val="24"/>
                <w:szCs w:val="24"/>
                <w:lang w:val="de-DE" w:eastAsia="de-DE"/>
              </w:rPr>
              <w:br w:type="textWrapping" w:clear="all"/>
              <w:t>(ml/time)</w:t>
            </w:r>
          </w:p>
        </w:tc>
      </w:tr>
      <w:tr w:rsidR="006C2BEE" w:rsidRPr="005C6F13" w:rsidTr="009F3408">
        <w:trPr>
          <w:tblCellSpacing w:w="0" w:type="dxa"/>
        </w:trPr>
        <w:tc>
          <w:tcPr>
            <w:tcW w:w="826"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w:t>
            </w:r>
          </w:p>
        </w:tc>
        <w:tc>
          <w:tcPr>
            <w:tcW w:w="139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sidRPr="005C6F13">
              <w:rPr>
                <w:sz w:val="24"/>
                <w:szCs w:val="24"/>
                <w:lang w:val="de-DE" w:eastAsia="de-DE"/>
              </w:rPr>
              <w:t xml:space="preserve"> 6 </w:t>
            </w:r>
            <w:proofErr w:type="spellStart"/>
            <w:r w:rsidRPr="005C6F13">
              <w:rPr>
                <w:sz w:val="24"/>
                <w:szCs w:val="24"/>
                <w:lang w:val="de-DE" w:eastAsia="de-DE"/>
              </w:rPr>
              <w:t>mikrog</w:t>
            </w:r>
            <w:proofErr w:type="spellEnd"/>
            <w:r w:rsidRPr="005C6F13">
              <w:rPr>
                <w:sz w:val="24"/>
                <w:szCs w:val="24"/>
                <w:lang w:val="de-DE" w:eastAsia="de-DE"/>
              </w:rPr>
              <w:t>/kg</w:t>
            </w:r>
          </w:p>
        </w:tc>
        <w:tc>
          <w:tcPr>
            <w:tcW w:w="828"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sidRPr="005C6F13">
              <w:rPr>
                <w:sz w:val="24"/>
                <w:szCs w:val="24"/>
                <w:lang w:val="de-DE" w:eastAsia="de-DE"/>
              </w:rPr>
              <w:t xml:space="preserve"> </w:t>
            </w:r>
          </w:p>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12 </w:t>
            </w:r>
            <w:proofErr w:type="spellStart"/>
            <w:r w:rsidRPr="005C6F13">
              <w:rPr>
                <w:sz w:val="24"/>
                <w:szCs w:val="24"/>
                <w:lang w:val="de-DE" w:eastAsia="de-DE"/>
              </w:rPr>
              <w:t>mikrog</w:t>
            </w:r>
            <w:proofErr w:type="spellEnd"/>
            <w:r w:rsidRPr="005C6F13">
              <w:rPr>
                <w:sz w:val="24"/>
                <w:szCs w:val="24"/>
                <w:lang w:val="de-DE" w:eastAsia="de-DE"/>
              </w:rPr>
              <w:t>/kg</w:t>
            </w:r>
          </w:p>
        </w:tc>
        <w:tc>
          <w:tcPr>
            <w:tcW w:w="694"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0,05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r w:rsidRPr="005C6F13">
              <w:rPr>
                <w:sz w:val="24"/>
                <w:szCs w:val="24"/>
                <w:lang w:val="de-DE" w:eastAsia="de-DE"/>
              </w:rPr>
              <w:t xml:space="preserve"> </w:t>
            </w:r>
          </w:p>
        </w:tc>
        <w:tc>
          <w:tcPr>
            <w:tcW w:w="629" w:type="pct"/>
            <w:tcBorders>
              <w:top w:val="nil"/>
              <w:left w:val="nil"/>
              <w:bottom w:val="single" w:sz="12" w:space="0" w:color="000000"/>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 xml:space="preserve">0,1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p>
        </w:tc>
        <w:tc>
          <w:tcPr>
            <w:tcW w:w="629" w:type="pct"/>
            <w:tcBorders>
              <w:top w:val="nil"/>
              <w:left w:val="nil"/>
              <w:bottom w:val="single" w:sz="12" w:space="0" w:color="000000"/>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 xml:space="preserve">0,2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r w:rsidRPr="005C6F13">
              <w:rPr>
                <w:sz w:val="24"/>
                <w:szCs w:val="24"/>
                <w:lang w:val="de-DE" w:eastAsia="de-DE"/>
              </w:rPr>
              <w:t xml:space="preserve"> </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29</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58</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5</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10</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36</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72</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6</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12</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60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43</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86</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7</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14</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50</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101</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8</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17</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58</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115</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10</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19</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90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65</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130</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11</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22</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72</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144</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6</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12</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24</w:t>
            </w:r>
          </w:p>
        </w:tc>
      </w:tr>
      <w:tr w:rsidR="006C2BEE" w:rsidRPr="005C6F13" w:rsidTr="009F3408">
        <w:trPr>
          <w:tblCellSpacing w:w="0" w:type="dxa"/>
        </w:trPr>
        <w:tc>
          <w:tcPr>
            <w:tcW w:w="82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110</w:t>
            </w:r>
          </w:p>
        </w:tc>
        <w:tc>
          <w:tcPr>
            <w:tcW w:w="139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79</w:t>
            </w:r>
          </w:p>
        </w:tc>
        <w:tc>
          <w:tcPr>
            <w:tcW w:w="828"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158</w:t>
            </w:r>
          </w:p>
        </w:tc>
        <w:tc>
          <w:tcPr>
            <w:tcW w:w="694"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13</w:t>
            </w:r>
          </w:p>
        </w:tc>
        <w:tc>
          <w:tcPr>
            <w:tcW w:w="629" w:type="pct"/>
            <w:tcBorders>
              <w:top w:val="nil"/>
              <w:left w:val="nil"/>
              <w:bottom w:val="nil"/>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26</w:t>
            </w:r>
          </w:p>
        </w:tc>
      </w:tr>
      <w:tr w:rsidR="006C2BEE" w:rsidRPr="005C6F13" w:rsidTr="009F3408">
        <w:trPr>
          <w:tblCellSpacing w:w="0" w:type="dxa"/>
        </w:trPr>
        <w:tc>
          <w:tcPr>
            <w:tcW w:w="826"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120</w:t>
            </w:r>
          </w:p>
        </w:tc>
        <w:tc>
          <w:tcPr>
            <w:tcW w:w="139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86</w:t>
            </w:r>
          </w:p>
        </w:tc>
        <w:tc>
          <w:tcPr>
            <w:tcW w:w="828"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173</w:t>
            </w:r>
          </w:p>
        </w:tc>
        <w:tc>
          <w:tcPr>
            <w:tcW w:w="694"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w:t>
            </w:r>
          </w:p>
        </w:tc>
        <w:tc>
          <w:tcPr>
            <w:tcW w:w="629" w:type="pct"/>
            <w:tcBorders>
              <w:top w:val="nil"/>
              <w:left w:val="nil"/>
              <w:bottom w:val="single" w:sz="12" w:space="0" w:color="000000"/>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14</w:t>
            </w:r>
          </w:p>
        </w:tc>
        <w:tc>
          <w:tcPr>
            <w:tcW w:w="629" w:type="pct"/>
            <w:tcBorders>
              <w:top w:val="nil"/>
              <w:left w:val="nil"/>
              <w:bottom w:val="single" w:sz="12" w:space="0" w:color="000000"/>
              <w:right w:val="nil"/>
            </w:tcBorders>
            <w:hideMark/>
          </w:tcPr>
          <w:p w:rsidR="006C2BEE" w:rsidRPr="005C6F13" w:rsidRDefault="006C2BEE" w:rsidP="009F3408">
            <w:pPr>
              <w:pStyle w:val="fkpreparattabellweb"/>
              <w:ind w:left="124"/>
              <w:rPr>
                <w:sz w:val="24"/>
                <w:szCs w:val="24"/>
                <w:lang w:val="de-DE" w:eastAsia="de-DE"/>
              </w:rPr>
            </w:pPr>
            <w:r w:rsidRPr="005C6F13">
              <w:rPr>
                <w:sz w:val="24"/>
                <w:szCs w:val="24"/>
                <w:lang w:val="de-DE" w:eastAsia="de-DE"/>
              </w:rPr>
              <w:t>29</w:t>
            </w:r>
          </w:p>
        </w:tc>
      </w:tr>
    </w:tbl>
    <w:p w:rsidR="006C2BEE" w:rsidRPr="005C6F13" w:rsidRDefault="006C2BEE" w:rsidP="006C2BEE">
      <w:pPr>
        <w:shd w:val="clear" w:color="auto" w:fill="FFFFFF"/>
        <w:spacing w:line="336" w:lineRule="atLeast"/>
        <w:ind w:left="851" w:hanging="851"/>
        <w:rPr>
          <w:i/>
          <w:iCs/>
          <w:sz w:val="24"/>
          <w:szCs w:val="24"/>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Den følgende tabel giver detaljer om infusionshastigheder både for </w:t>
      </w:r>
      <w:r>
        <w:rPr>
          <w:sz w:val="24"/>
          <w:szCs w:val="24"/>
          <w:lang w:eastAsia="da-DK"/>
        </w:rPr>
        <w:t>støddosis</w:t>
      </w:r>
      <w:r w:rsidRPr="005C6F13">
        <w:rPr>
          <w:sz w:val="24"/>
          <w:szCs w:val="24"/>
          <w:lang w:eastAsia="da-DK"/>
        </w:rPr>
        <w:t xml:space="preserve"> og kontinuerlig infusion af en </w:t>
      </w:r>
      <w:r w:rsidRPr="005C6F13">
        <w:rPr>
          <w:b/>
          <w:sz w:val="24"/>
          <w:szCs w:val="24"/>
          <w:lang w:eastAsia="da-DK"/>
        </w:rPr>
        <w:t xml:space="preserve">0,025 mg/ml </w:t>
      </w:r>
      <w:proofErr w:type="spellStart"/>
      <w:r w:rsidRPr="005C6F13">
        <w:rPr>
          <w:sz w:val="24"/>
          <w:szCs w:val="24"/>
          <w:lang w:eastAsia="da-DK"/>
        </w:rPr>
        <w:t>Simdax</w:t>
      </w:r>
      <w:proofErr w:type="spellEnd"/>
      <w:r w:rsidRPr="005C6F13">
        <w:rPr>
          <w:sz w:val="24"/>
          <w:szCs w:val="24"/>
          <w:lang w:eastAsia="da-DK"/>
        </w:rPr>
        <w:t xml:space="preserve"> infusions</w:t>
      </w:r>
      <w:r>
        <w:rPr>
          <w:sz w:val="24"/>
          <w:szCs w:val="24"/>
          <w:lang w:eastAsia="da-DK"/>
        </w:rPr>
        <w:t>væske</w:t>
      </w:r>
      <w:r w:rsidRPr="005C6F13">
        <w:rPr>
          <w:sz w:val="24"/>
          <w:szCs w:val="24"/>
          <w:lang w:eastAsia="da-DK"/>
        </w:rPr>
        <w:t>:</w:t>
      </w:r>
    </w:p>
    <w:p w:rsidR="006C2BEE" w:rsidRPr="005C6F13" w:rsidRDefault="006C2BEE" w:rsidP="006C2BEE">
      <w:pPr>
        <w:shd w:val="clear" w:color="auto" w:fill="FFFFFF"/>
        <w:spacing w:line="336" w:lineRule="atLeast"/>
        <w:rPr>
          <w:sz w:val="24"/>
          <w:szCs w:val="24"/>
        </w:rPr>
      </w:pPr>
      <w:r>
        <w:rPr>
          <w:sz w:val="24"/>
          <w:szCs w:val="24"/>
        </w:rPr>
        <w:br w:type="page"/>
      </w:r>
    </w:p>
    <w:tbl>
      <w:tblPr>
        <w:tblW w:w="5000" w:type="pct"/>
        <w:tblCellSpacing w:w="0" w:type="dxa"/>
        <w:tblBorders>
          <w:top w:val="single" w:sz="12" w:space="0" w:color="000000"/>
          <w:bottom w:val="single" w:sz="12" w:space="0" w:color="000000"/>
        </w:tblBorders>
        <w:tblCellMar>
          <w:left w:w="0" w:type="dxa"/>
          <w:right w:w="0" w:type="dxa"/>
        </w:tblCellMar>
        <w:tblLook w:val="00A0" w:firstRow="1" w:lastRow="0" w:firstColumn="1" w:lastColumn="0" w:noHBand="0" w:noVBand="0"/>
      </w:tblPr>
      <w:tblGrid>
        <w:gridCol w:w="1276"/>
        <w:gridCol w:w="2126"/>
        <w:gridCol w:w="2126"/>
        <w:gridCol w:w="1417"/>
        <w:gridCol w:w="1274"/>
        <w:gridCol w:w="1419"/>
      </w:tblGrid>
      <w:tr w:rsidR="006C2BEE" w:rsidRPr="005C6F13" w:rsidTr="009F3408">
        <w:trPr>
          <w:tblCellSpacing w:w="0" w:type="dxa"/>
        </w:trPr>
        <w:tc>
          <w:tcPr>
            <w:tcW w:w="662" w:type="pct"/>
            <w:tcBorders>
              <w:top w:val="single" w:sz="12" w:space="0" w:color="000000"/>
              <w:left w:val="nil"/>
              <w:bottom w:val="nil"/>
              <w:right w:val="nil"/>
            </w:tcBorders>
            <w:hideMark/>
          </w:tcPr>
          <w:p w:rsidR="006C2BEE" w:rsidRPr="005C6F13" w:rsidRDefault="006C2BEE" w:rsidP="009F3408">
            <w:pPr>
              <w:pStyle w:val="fkpreparattabellweb"/>
              <w:ind w:left="142"/>
              <w:rPr>
                <w:sz w:val="24"/>
                <w:szCs w:val="24"/>
                <w:lang w:val="de-DE" w:eastAsia="de-DE"/>
              </w:rPr>
            </w:pPr>
            <w:proofErr w:type="spellStart"/>
            <w:r w:rsidRPr="005C6F13">
              <w:rPr>
                <w:sz w:val="24"/>
                <w:szCs w:val="24"/>
                <w:lang w:val="de-DE" w:eastAsia="de-DE"/>
              </w:rPr>
              <w:lastRenderedPageBreak/>
              <w:t>Patientens</w:t>
            </w:r>
            <w:proofErr w:type="spellEnd"/>
            <w:r w:rsidRPr="005C6F13">
              <w:rPr>
                <w:sz w:val="24"/>
                <w:szCs w:val="24"/>
                <w:lang w:val="de-DE" w:eastAsia="de-DE"/>
              </w:rPr>
              <w:t xml:space="preserve"> </w:t>
            </w:r>
            <w:proofErr w:type="spellStart"/>
            <w:r w:rsidRPr="005C6F13">
              <w:rPr>
                <w:sz w:val="24"/>
                <w:szCs w:val="24"/>
                <w:lang w:val="de-DE" w:eastAsia="de-DE"/>
              </w:rPr>
              <w:t>vægt</w:t>
            </w:r>
            <w:proofErr w:type="spellEnd"/>
            <w:r w:rsidRPr="005C6F13">
              <w:rPr>
                <w:sz w:val="24"/>
                <w:szCs w:val="24"/>
                <w:lang w:val="de-DE" w:eastAsia="de-DE"/>
              </w:rPr>
              <w:t xml:space="preserve"> </w:t>
            </w:r>
            <w:r w:rsidRPr="005C6F13">
              <w:rPr>
                <w:sz w:val="24"/>
                <w:szCs w:val="24"/>
                <w:lang w:val="de-DE" w:eastAsia="de-DE"/>
              </w:rPr>
              <w:br w:type="textWrapping" w:clear="all"/>
              <w:t>(kg)</w:t>
            </w:r>
          </w:p>
        </w:tc>
        <w:tc>
          <w:tcPr>
            <w:tcW w:w="2206" w:type="pct"/>
            <w:gridSpan w:val="2"/>
            <w:tcBorders>
              <w:top w:val="single" w:sz="12" w:space="0" w:color="000000"/>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sidRPr="005C6F13">
              <w:rPr>
                <w:sz w:val="24"/>
                <w:szCs w:val="24"/>
                <w:lang w:val="de-DE" w:eastAsia="de-DE"/>
              </w:rPr>
              <w:t xml:space="preserve"> </w:t>
            </w:r>
            <w:proofErr w:type="spellStart"/>
            <w:r w:rsidRPr="005C6F13">
              <w:rPr>
                <w:sz w:val="24"/>
                <w:szCs w:val="24"/>
                <w:lang w:val="de-DE" w:eastAsia="de-DE"/>
              </w:rPr>
              <w:t>administreret</w:t>
            </w:r>
            <w:proofErr w:type="spellEnd"/>
            <w:r w:rsidRPr="005C6F13">
              <w:rPr>
                <w:sz w:val="24"/>
                <w:szCs w:val="24"/>
                <w:lang w:val="de-DE" w:eastAsia="de-DE"/>
              </w:rPr>
              <w:t xml:space="preserve"> </w:t>
            </w:r>
            <w:proofErr w:type="spellStart"/>
            <w:r w:rsidRPr="005C6F13">
              <w:rPr>
                <w:sz w:val="24"/>
                <w:szCs w:val="24"/>
                <w:lang w:val="de-DE" w:eastAsia="de-DE"/>
              </w:rPr>
              <w:t>som</w:t>
            </w:r>
            <w:proofErr w:type="spellEnd"/>
            <w:r w:rsidRPr="005C6F13">
              <w:rPr>
                <w:sz w:val="24"/>
                <w:szCs w:val="24"/>
                <w:lang w:val="de-DE" w:eastAsia="de-DE"/>
              </w:rPr>
              <w:t xml:space="preserve"> </w:t>
            </w:r>
            <w:r w:rsidRPr="005C6F13">
              <w:rPr>
                <w:sz w:val="24"/>
                <w:szCs w:val="24"/>
                <w:lang w:val="de-DE" w:eastAsia="de-DE"/>
              </w:rPr>
              <w:br w:type="textWrapping" w:clear="all"/>
            </w:r>
            <w:proofErr w:type="spellStart"/>
            <w:r w:rsidRPr="005C6F13">
              <w:rPr>
                <w:sz w:val="24"/>
                <w:szCs w:val="24"/>
                <w:lang w:val="de-DE" w:eastAsia="de-DE"/>
              </w:rPr>
              <w:t>infusion</w:t>
            </w:r>
            <w:proofErr w:type="spellEnd"/>
            <w:r w:rsidRPr="005C6F13">
              <w:rPr>
                <w:sz w:val="24"/>
                <w:szCs w:val="24"/>
                <w:lang w:val="de-DE" w:eastAsia="de-DE"/>
              </w:rPr>
              <w:t xml:space="preserve"> i </w:t>
            </w:r>
            <w:proofErr w:type="spellStart"/>
            <w:r w:rsidRPr="005C6F13">
              <w:rPr>
                <w:sz w:val="24"/>
                <w:szCs w:val="24"/>
                <w:lang w:val="de-DE" w:eastAsia="de-DE"/>
              </w:rPr>
              <w:t>løbet</w:t>
            </w:r>
            <w:proofErr w:type="spellEnd"/>
            <w:r w:rsidRPr="005C6F13">
              <w:rPr>
                <w:sz w:val="24"/>
                <w:szCs w:val="24"/>
                <w:lang w:val="de-DE" w:eastAsia="de-DE"/>
              </w:rPr>
              <w:t xml:space="preserve"> </w:t>
            </w:r>
            <w:proofErr w:type="spellStart"/>
            <w:r w:rsidRPr="005C6F13">
              <w:rPr>
                <w:sz w:val="24"/>
                <w:szCs w:val="24"/>
                <w:lang w:val="de-DE" w:eastAsia="de-DE"/>
              </w:rPr>
              <w:t>af</w:t>
            </w:r>
            <w:proofErr w:type="spellEnd"/>
            <w:r w:rsidRPr="005C6F13">
              <w:rPr>
                <w:sz w:val="24"/>
                <w:szCs w:val="24"/>
                <w:lang w:val="de-DE" w:eastAsia="de-DE"/>
              </w:rPr>
              <w:t xml:space="preserve"> </w:t>
            </w:r>
            <w:r w:rsidRPr="005C6F13">
              <w:rPr>
                <w:sz w:val="24"/>
                <w:szCs w:val="24"/>
                <w:lang w:val="de-DE" w:eastAsia="de-DE"/>
              </w:rPr>
              <w:br w:type="textWrapping" w:clear="all"/>
              <w:t xml:space="preserve">10 </w:t>
            </w:r>
            <w:proofErr w:type="spellStart"/>
            <w:r w:rsidRPr="005C6F13">
              <w:rPr>
                <w:sz w:val="24"/>
                <w:szCs w:val="24"/>
                <w:lang w:val="de-DE" w:eastAsia="de-DE"/>
              </w:rPr>
              <w:t>minutter</w:t>
            </w:r>
            <w:proofErr w:type="spellEnd"/>
            <w:r w:rsidRPr="005C6F13">
              <w:rPr>
                <w:sz w:val="24"/>
                <w:szCs w:val="24"/>
                <w:lang w:val="de-DE" w:eastAsia="de-DE"/>
              </w:rPr>
              <w:t xml:space="preserve"> </w:t>
            </w:r>
            <w:proofErr w:type="spellStart"/>
            <w:r w:rsidRPr="005C6F13">
              <w:rPr>
                <w:sz w:val="24"/>
                <w:szCs w:val="24"/>
                <w:lang w:val="de-DE" w:eastAsia="de-DE"/>
              </w:rPr>
              <w:t>med</w:t>
            </w:r>
            <w:proofErr w:type="spellEnd"/>
            <w:r w:rsidRPr="005C6F13">
              <w:rPr>
                <w:sz w:val="24"/>
                <w:szCs w:val="24"/>
                <w:lang w:val="de-DE" w:eastAsia="de-DE"/>
              </w:rPr>
              <w:t xml:space="preserve"> </w:t>
            </w:r>
            <w:r w:rsidRPr="005C6F13">
              <w:rPr>
                <w:sz w:val="24"/>
                <w:szCs w:val="24"/>
                <w:lang w:val="de-DE" w:eastAsia="de-DE"/>
              </w:rPr>
              <w:br w:type="textWrapping" w:clear="all"/>
            </w:r>
            <w:proofErr w:type="spellStart"/>
            <w:r w:rsidRPr="005C6F13">
              <w:rPr>
                <w:sz w:val="24"/>
                <w:szCs w:val="24"/>
                <w:lang w:val="de-DE" w:eastAsia="de-DE"/>
              </w:rPr>
              <w:t>følgende</w:t>
            </w:r>
            <w:proofErr w:type="spellEnd"/>
            <w:r w:rsidRPr="005C6F13">
              <w:rPr>
                <w:sz w:val="24"/>
                <w:szCs w:val="24"/>
                <w:lang w:val="de-DE" w:eastAsia="de-DE"/>
              </w:rPr>
              <w:t xml:space="preserve"> </w:t>
            </w:r>
            <w:proofErr w:type="spellStart"/>
            <w:r w:rsidRPr="005C6F13">
              <w:rPr>
                <w:sz w:val="24"/>
                <w:szCs w:val="24"/>
                <w:lang w:val="de-DE" w:eastAsia="de-DE"/>
              </w:rPr>
              <w:t>infusionshastighed</w:t>
            </w:r>
            <w:proofErr w:type="spellEnd"/>
            <w:r w:rsidRPr="005C6F13">
              <w:rPr>
                <w:sz w:val="24"/>
                <w:szCs w:val="24"/>
                <w:lang w:val="de-DE" w:eastAsia="de-DE"/>
              </w:rPr>
              <w:t xml:space="preserve"> </w:t>
            </w:r>
            <w:r w:rsidRPr="005C6F13">
              <w:rPr>
                <w:sz w:val="24"/>
                <w:szCs w:val="24"/>
                <w:lang w:val="de-DE" w:eastAsia="de-DE"/>
              </w:rPr>
              <w:br w:type="textWrapping" w:clear="all"/>
              <w:t>(ml/time)</w:t>
            </w:r>
          </w:p>
        </w:tc>
        <w:tc>
          <w:tcPr>
            <w:tcW w:w="2132" w:type="pct"/>
            <w:gridSpan w:val="3"/>
            <w:tcBorders>
              <w:top w:val="single" w:sz="12" w:space="0" w:color="000000"/>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sidRPr="005C6F13">
              <w:rPr>
                <w:sz w:val="24"/>
                <w:szCs w:val="24"/>
                <w:lang w:val="de-DE" w:eastAsia="de-DE"/>
              </w:rPr>
              <w:t>Kontinuerlig</w:t>
            </w:r>
            <w:proofErr w:type="spellEnd"/>
            <w:r w:rsidRPr="005C6F13">
              <w:rPr>
                <w:sz w:val="24"/>
                <w:szCs w:val="24"/>
                <w:lang w:val="de-DE" w:eastAsia="de-DE"/>
              </w:rPr>
              <w:t xml:space="preserve"> </w:t>
            </w:r>
            <w:proofErr w:type="spellStart"/>
            <w:r w:rsidRPr="005C6F13">
              <w:rPr>
                <w:sz w:val="24"/>
                <w:szCs w:val="24"/>
                <w:lang w:val="de-DE" w:eastAsia="de-DE"/>
              </w:rPr>
              <w:t>infusionshastighed</w:t>
            </w:r>
            <w:proofErr w:type="spellEnd"/>
            <w:r w:rsidRPr="005C6F13">
              <w:rPr>
                <w:sz w:val="24"/>
                <w:szCs w:val="24"/>
                <w:lang w:val="de-DE" w:eastAsia="de-DE"/>
              </w:rPr>
              <w:t xml:space="preserve"> </w:t>
            </w:r>
            <w:r w:rsidRPr="005C6F13">
              <w:rPr>
                <w:sz w:val="24"/>
                <w:szCs w:val="24"/>
                <w:lang w:val="de-DE" w:eastAsia="de-DE"/>
              </w:rPr>
              <w:br w:type="textWrapping" w:clear="all"/>
              <w:t>(ml/time)</w:t>
            </w:r>
          </w:p>
        </w:tc>
      </w:tr>
      <w:tr w:rsidR="006C2BEE" w:rsidRPr="005C6F13" w:rsidTr="009F3408">
        <w:trPr>
          <w:tblCellSpacing w:w="0" w:type="dxa"/>
        </w:trPr>
        <w:tc>
          <w:tcPr>
            <w:tcW w:w="662"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w:t>
            </w:r>
          </w:p>
        </w:tc>
        <w:tc>
          <w:tcPr>
            <w:tcW w:w="110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sidRPr="005C6F13">
              <w:rPr>
                <w:sz w:val="24"/>
                <w:szCs w:val="24"/>
                <w:lang w:val="de-DE" w:eastAsia="de-DE"/>
              </w:rPr>
              <w:t xml:space="preserve"> </w:t>
            </w:r>
          </w:p>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6 </w:t>
            </w:r>
            <w:proofErr w:type="spellStart"/>
            <w:r w:rsidRPr="005C6F13">
              <w:rPr>
                <w:sz w:val="24"/>
                <w:szCs w:val="24"/>
                <w:lang w:val="de-DE" w:eastAsia="de-DE"/>
              </w:rPr>
              <w:t>mikrog</w:t>
            </w:r>
            <w:proofErr w:type="spellEnd"/>
            <w:r w:rsidRPr="005C6F13">
              <w:rPr>
                <w:sz w:val="24"/>
                <w:szCs w:val="24"/>
                <w:lang w:val="de-DE" w:eastAsia="de-DE"/>
              </w:rPr>
              <w:t>/kg</w:t>
            </w:r>
          </w:p>
        </w:tc>
        <w:tc>
          <w:tcPr>
            <w:tcW w:w="110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proofErr w:type="spellStart"/>
            <w:r>
              <w:rPr>
                <w:sz w:val="24"/>
                <w:szCs w:val="24"/>
                <w:lang w:val="de-DE" w:eastAsia="de-DE"/>
              </w:rPr>
              <w:t>Støddosis</w:t>
            </w:r>
            <w:proofErr w:type="spellEnd"/>
            <w:r>
              <w:rPr>
                <w:sz w:val="24"/>
                <w:szCs w:val="24"/>
                <w:lang w:val="de-DE" w:eastAsia="de-DE"/>
              </w:rPr>
              <w:t xml:space="preserve"> </w:t>
            </w:r>
            <w:r w:rsidRPr="005C6F13">
              <w:rPr>
                <w:sz w:val="24"/>
                <w:szCs w:val="24"/>
                <w:lang w:val="de-DE" w:eastAsia="de-DE"/>
              </w:rPr>
              <w:t xml:space="preserve">12 </w:t>
            </w:r>
            <w:proofErr w:type="spellStart"/>
            <w:r w:rsidRPr="005C6F13">
              <w:rPr>
                <w:sz w:val="24"/>
                <w:szCs w:val="24"/>
                <w:lang w:val="de-DE" w:eastAsia="de-DE"/>
              </w:rPr>
              <w:t>mikrog</w:t>
            </w:r>
            <w:proofErr w:type="spellEnd"/>
            <w:r w:rsidRPr="005C6F13">
              <w:rPr>
                <w:sz w:val="24"/>
                <w:szCs w:val="24"/>
                <w:lang w:val="de-DE" w:eastAsia="de-DE"/>
              </w:rPr>
              <w:t>/kg</w:t>
            </w:r>
          </w:p>
        </w:tc>
        <w:tc>
          <w:tcPr>
            <w:tcW w:w="735"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0,05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r w:rsidRPr="005C6F13">
              <w:rPr>
                <w:sz w:val="24"/>
                <w:szCs w:val="24"/>
                <w:lang w:val="de-DE" w:eastAsia="de-DE"/>
              </w:rPr>
              <w:t xml:space="preserve"> </w:t>
            </w:r>
          </w:p>
        </w:tc>
        <w:tc>
          <w:tcPr>
            <w:tcW w:w="661"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0,1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r w:rsidRPr="005C6F13">
              <w:rPr>
                <w:sz w:val="24"/>
                <w:szCs w:val="24"/>
                <w:lang w:val="de-DE" w:eastAsia="de-DE"/>
              </w:rPr>
              <w:t xml:space="preserve"> </w:t>
            </w:r>
          </w:p>
        </w:tc>
        <w:tc>
          <w:tcPr>
            <w:tcW w:w="736"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 xml:space="preserve">0,2 </w:t>
            </w:r>
            <w:proofErr w:type="spellStart"/>
            <w:r w:rsidRPr="005C6F13">
              <w:rPr>
                <w:sz w:val="24"/>
                <w:szCs w:val="24"/>
                <w:lang w:val="de-DE" w:eastAsia="de-DE"/>
              </w:rPr>
              <w:t>mikrog</w:t>
            </w:r>
            <w:proofErr w:type="spellEnd"/>
            <w:r w:rsidRPr="005C6F13">
              <w:rPr>
                <w:sz w:val="24"/>
                <w:szCs w:val="24"/>
                <w:lang w:val="de-DE" w:eastAsia="de-DE"/>
              </w:rPr>
              <w:t>/</w:t>
            </w:r>
            <w:r w:rsidRPr="005C6F13">
              <w:rPr>
                <w:sz w:val="24"/>
                <w:szCs w:val="24"/>
                <w:lang w:val="de-DE" w:eastAsia="de-DE"/>
              </w:rPr>
              <w:br w:type="textWrapping" w:clear="all"/>
              <w:t>kg/</w:t>
            </w:r>
            <w:proofErr w:type="spellStart"/>
            <w:r w:rsidRPr="005C6F13">
              <w:rPr>
                <w:sz w:val="24"/>
                <w:szCs w:val="24"/>
                <w:lang w:val="de-DE" w:eastAsia="de-DE"/>
              </w:rPr>
              <w:t>minut</w:t>
            </w:r>
            <w:proofErr w:type="spellEnd"/>
            <w:r w:rsidRPr="005C6F13">
              <w:rPr>
                <w:sz w:val="24"/>
                <w:szCs w:val="24"/>
                <w:lang w:val="de-DE" w:eastAsia="de-DE"/>
              </w:rPr>
              <w:t xml:space="preserve"> </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58</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115</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19</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72</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144</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6</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12</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24</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60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86</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173</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14</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29</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70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101</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202</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17</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34</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80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115</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230</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19</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38</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90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130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259</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22</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43</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100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144</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288</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12</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24</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48</w:t>
            </w:r>
          </w:p>
        </w:tc>
      </w:tr>
      <w:tr w:rsidR="006C2BEE" w:rsidRPr="005C6F13" w:rsidTr="009F3408">
        <w:trPr>
          <w:tblCellSpacing w:w="0" w:type="dxa"/>
        </w:trPr>
        <w:tc>
          <w:tcPr>
            <w:tcW w:w="662"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110</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158</w:t>
            </w:r>
          </w:p>
        </w:tc>
        <w:tc>
          <w:tcPr>
            <w:tcW w:w="1103"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317</w:t>
            </w:r>
          </w:p>
        </w:tc>
        <w:tc>
          <w:tcPr>
            <w:tcW w:w="735"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13</w:t>
            </w:r>
          </w:p>
        </w:tc>
        <w:tc>
          <w:tcPr>
            <w:tcW w:w="661"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26</w:t>
            </w:r>
          </w:p>
        </w:tc>
        <w:tc>
          <w:tcPr>
            <w:tcW w:w="736" w:type="pct"/>
            <w:tcBorders>
              <w:top w:val="nil"/>
              <w:left w:val="nil"/>
              <w:bottom w:val="nil"/>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53</w:t>
            </w:r>
          </w:p>
        </w:tc>
      </w:tr>
      <w:tr w:rsidR="006C2BEE" w:rsidRPr="005C6F13" w:rsidTr="009F3408">
        <w:trPr>
          <w:tblCellSpacing w:w="0" w:type="dxa"/>
        </w:trPr>
        <w:tc>
          <w:tcPr>
            <w:tcW w:w="662"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120</w:t>
            </w:r>
          </w:p>
        </w:tc>
        <w:tc>
          <w:tcPr>
            <w:tcW w:w="110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173</w:t>
            </w:r>
          </w:p>
        </w:tc>
        <w:tc>
          <w:tcPr>
            <w:tcW w:w="1103"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346</w:t>
            </w:r>
          </w:p>
        </w:tc>
        <w:tc>
          <w:tcPr>
            <w:tcW w:w="735"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14</w:t>
            </w:r>
          </w:p>
        </w:tc>
        <w:tc>
          <w:tcPr>
            <w:tcW w:w="661"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29</w:t>
            </w:r>
          </w:p>
        </w:tc>
        <w:tc>
          <w:tcPr>
            <w:tcW w:w="736" w:type="pct"/>
            <w:tcBorders>
              <w:top w:val="nil"/>
              <w:left w:val="nil"/>
              <w:bottom w:val="single" w:sz="12" w:space="0" w:color="000000"/>
              <w:right w:val="nil"/>
            </w:tcBorders>
            <w:hideMark/>
          </w:tcPr>
          <w:p w:rsidR="006C2BEE" w:rsidRPr="005C6F13" w:rsidRDefault="006C2BEE" w:rsidP="009F3408">
            <w:pPr>
              <w:pStyle w:val="fkpreparattabellweb"/>
              <w:ind w:left="142"/>
              <w:rPr>
                <w:sz w:val="24"/>
                <w:szCs w:val="24"/>
                <w:lang w:val="de-DE" w:eastAsia="de-DE"/>
              </w:rPr>
            </w:pPr>
            <w:r w:rsidRPr="005C6F13">
              <w:rPr>
                <w:sz w:val="24"/>
                <w:szCs w:val="24"/>
                <w:lang w:val="de-DE" w:eastAsia="de-DE"/>
              </w:rPr>
              <w:t>58</w:t>
            </w:r>
          </w:p>
        </w:tc>
      </w:tr>
    </w:tbl>
    <w:p w:rsidR="006C2BEE" w:rsidRPr="005C6F13" w:rsidRDefault="006C2BEE" w:rsidP="006C2BEE">
      <w:pPr>
        <w:autoSpaceDE w:val="0"/>
        <w:autoSpaceDN w:val="0"/>
        <w:adjustRightInd w:val="0"/>
        <w:ind w:left="851" w:hanging="851"/>
        <w:rPr>
          <w:sz w:val="24"/>
          <w:szCs w:val="24"/>
        </w:rPr>
      </w:pPr>
    </w:p>
    <w:p w:rsidR="006C2BEE" w:rsidRPr="005C6F13" w:rsidRDefault="006C2BEE" w:rsidP="006C2BEE">
      <w:pPr>
        <w:ind w:left="851" w:hanging="851"/>
        <w:rPr>
          <w:b/>
          <w:sz w:val="24"/>
          <w:szCs w:val="24"/>
        </w:rPr>
      </w:pPr>
      <w:r w:rsidRPr="005C6F13">
        <w:rPr>
          <w:b/>
          <w:sz w:val="24"/>
          <w:szCs w:val="24"/>
        </w:rPr>
        <w:t>4.3</w:t>
      </w:r>
      <w:r w:rsidRPr="005C6F13">
        <w:rPr>
          <w:b/>
          <w:sz w:val="24"/>
          <w:szCs w:val="24"/>
        </w:rPr>
        <w:tab/>
        <w:t>Kontraindikationer</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Overfølsomhed over for det aktive stof eller over for et eller flere af hjælpestofferne anført i pkt. 6.1.</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 xml:space="preserve">Svær hypotension og </w:t>
      </w:r>
      <w:proofErr w:type="spellStart"/>
      <w:r w:rsidRPr="005C6F13">
        <w:rPr>
          <w:sz w:val="24"/>
          <w:szCs w:val="24"/>
        </w:rPr>
        <w:t>takykardi</w:t>
      </w:r>
      <w:proofErr w:type="spellEnd"/>
      <w:r w:rsidRPr="005C6F13">
        <w:rPr>
          <w:sz w:val="24"/>
          <w:szCs w:val="24"/>
        </w:rPr>
        <w:t xml:space="preserve"> (se pkt. 4.4 og 5.1).</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Udtalt mekanisk obstruktion, som påvirker ventrikelfyldning eller -tømning eller begge dele.</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Svært nedsat nyrefunktion (</w:t>
      </w:r>
      <w:proofErr w:type="spellStart"/>
      <w:r w:rsidRPr="005C6F13">
        <w:rPr>
          <w:sz w:val="24"/>
          <w:szCs w:val="24"/>
        </w:rPr>
        <w:t>kreatininclearance</w:t>
      </w:r>
      <w:proofErr w:type="spellEnd"/>
      <w:r w:rsidRPr="005C6F13">
        <w:rPr>
          <w:sz w:val="24"/>
          <w:szCs w:val="24"/>
        </w:rPr>
        <w:t xml:space="preserve"> &lt;30 ml/min)</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Svært nedsat leverfunktion.</w:t>
      </w:r>
    </w:p>
    <w:p w:rsidR="006C2BEE" w:rsidRPr="005C6F13" w:rsidRDefault="006C2BEE" w:rsidP="006C2BEE">
      <w:pPr>
        <w:numPr>
          <w:ilvl w:val="0"/>
          <w:numId w:val="6"/>
        </w:numPr>
        <w:tabs>
          <w:tab w:val="clear" w:pos="720"/>
        </w:tabs>
        <w:ind w:left="1276" w:hanging="425"/>
        <w:rPr>
          <w:sz w:val="24"/>
          <w:szCs w:val="24"/>
        </w:rPr>
      </w:pPr>
      <w:r w:rsidRPr="005C6F13">
        <w:rPr>
          <w:sz w:val="24"/>
          <w:szCs w:val="24"/>
        </w:rPr>
        <w:t>”</w:t>
      </w:r>
      <w:proofErr w:type="spellStart"/>
      <w:r w:rsidRPr="005C6F13">
        <w:rPr>
          <w:sz w:val="24"/>
          <w:szCs w:val="24"/>
        </w:rPr>
        <w:t>Torsades</w:t>
      </w:r>
      <w:proofErr w:type="spellEnd"/>
      <w:r w:rsidRPr="005C6F13">
        <w:rPr>
          <w:sz w:val="24"/>
          <w:szCs w:val="24"/>
        </w:rPr>
        <w:t xml:space="preserve"> de pointes” i anamnesen.</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4.4</w:t>
      </w:r>
      <w:r w:rsidRPr="005C6F13">
        <w:rPr>
          <w:b/>
          <w:sz w:val="24"/>
          <w:szCs w:val="24"/>
        </w:rPr>
        <w:tab/>
        <w:t>Særlige advarsler og forsigtighedsregler vedrørende brugen</w:t>
      </w:r>
    </w:p>
    <w:p w:rsidR="006C2BEE" w:rsidRPr="005C6F13" w:rsidRDefault="006C2BEE" w:rsidP="006C2BEE">
      <w:pPr>
        <w:autoSpaceDE w:val="0"/>
        <w:autoSpaceDN w:val="0"/>
        <w:adjustRightInd w:val="0"/>
        <w:ind w:left="851" w:hanging="851"/>
        <w:rPr>
          <w:sz w:val="24"/>
          <w:szCs w:val="24"/>
          <w:lang w:eastAsia="da-DK"/>
        </w:rPr>
      </w:pPr>
      <w:r w:rsidRPr="005C6F13">
        <w:rPr>
          <w:sz w:val="24"/>
          <w:szCs w:val="24"/>
        </w:rPr>
        <w:tab/>
      </w:r>
      <w:r w:rsidRPr="005C6F13">
        <w:rPr>
          <w:sz w:val="24"/>
          <w:szCs w:val="24"/>
          <w:lang w:eastAsia="da-DK"/>
        </w:rPr>
        <w:t xml:space="preserve">En initial </w:t>
      </w:r>
      <w:proofErr w:type="spellStart"/>
      <w:r w:rsidRPr="005C6F13">
        <w:rPr>
          <w:sz w:val="24"/>
          <w:szCs w:val="24"/>
          <w:lang w:eastAsia="da-DK"/>
        </w:rPr>
        <w:t>hæmodynamisk</w:t>
      </w:r>
      <w:proofErr w:type="spellEnd"/>
      <w:r w:rsidRPr="005C6F13">
        <w:rPr>
          <w:sz w:val="24"/>
          <w:szCs w:val="24"/>
          <w:lang w:eastAsia="da-DK"/>
        </w:rPr>
        <w:t xml:space="preserve"> virkning af </w:t>
      </w:r>
      <w:proofErr w:type="spellStart"/>
      <w:r w:rsidRPr="005C6F13">
        <w:rPr>
          <w:sz w:val="24"/>
          <w:szCs w:val="24"/>
          <w:lang w:eastAsia="da-DK"/>
        </w:rPr>
        <w:t>levosimendan</w:t>
      </w:r>
      <w:proofErr w:type="spellEnd"/>
      <w:r w:rsidRPr="005C6F13">
        <w:rPr>
          <w:sz w:val="24"/>
          <w:szCs w:val="24"/>
          <w:lang w:eastAsia="da-DK"/>
        </w:rPr>
        <w:t xml:space="preserve"> kan være en reduktion i systolisk og diastolisk</w:t>
      </w:r>
      <w:r>
        <w:rPr>
          <w:sz w:val="24"/>
          <w:szCs w:val="24"/>
          <w:lang w:eastAsia="da-DK"/>
        </w:rPr>
        <w:t xml:space="preserve"> b</w:t>
      </w:r>
      <w:r w:rsidRPr="005C6F13">
        <w:rPr>
          <w:sz w:val="24"/>
          <w:szCs w:val="24"/>
          <w:lang w:eastAsia="da-DK"/>
        </w:rPr>
        <w:t xml:space="preserve">lodtryk. Derfor bør </w:t>
      </w:r>
      <w:proofErr w:type="spellStart"/>
      <w:r w:rsidRPr="005C6F13">
        <w:rPr>
          <w:sz w:val="24"/>
          <w:szCs w:val="24"/>
          <w:lang w:eastAsia="da-DK"/>
        </w:rPr>
        <w:t>levosimendan</w:t>
      </w:r>
      <w:proofErr w:type="spellEnd"/>
      <w:r w:rsidRPr="005C6F13">
        <w:rPr>
          <w:sz w:val="24"/>
          <w:szCs w:val="24"/>
          <w:lang w:eastAsia="da-DK"/>
        </w:rPr>
        <w:t xml:space="preserve"> anvendes med forsigtighed </w:t>
      </w:r>
      <w:r w:rsidRPr="005C6F13">
        <w:rPr>
          <w:sz w:val="24"/>
          <w:szCs w:val="24"/>
          <w:u w:val="single"/>
          <w:lang w:eastAsia="da-DK"/>
        </w:rPr>
        <w:t>hos patienter med lavt systolisk eller diastolisk blodtryk ved baseline</w:t>
      </w:r>
      <w:r w:rsidRPr="005C6F13">
        <w:rPr>
          <w:sz w:val="24"/>
          <w:szCs w:val="24"/>
          <w:lang w:eastAsia="da-DK"/>
        </w:rPr>
        <w:t xml:space="preserve"> eller hos patienter med risiko for </w:t>
      </w:r>
      <w:proofErr w:type="spellStart"/>
      <w:r w:rsidRPr="005C6F13">
        <w:rPr>
          <w:sz w:val="24"/>
          <w:szCs w:val="24"/>
          <w:lang w:eastAsia="da-DK"/>
        </w:rPr>
        <w:t>hypotensive</w:t>
      </w:r>
      <w:proofErr w:type="spellEnd"/>
      <w:r w:rsidRPr="005C6F13">
        <w:rPr>
          <w:sz w:val="24"/>
          <w:szCs w:val="24"/>
          <w:lang w:eastAsia="da-DK"/>
        </w:rPr>
        <w:t xml:space="preserve"> episoder. Et mere konservativt doseringsregime anbefales til disse patienter. Læger skal tilpasse dosis og behandlingsvarighed ud fra patientens tilstand og respons (se pkt. 4.2, 4.5 og 5.1).</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rPr>
        <w:t>Svær</w:t>
      </w:r>
      <w:r w:rsidRPr="005C6F13">
        <w:rPr>
          <w:sz w:val="24"/>
          <w:szCs w:val="24"/>
          <w:lang w:eastAsia="da-DK"/>
        </w:rPr>
        <w:t xml:space="preserve"> </w:t>
      </w:r>
      <w:proofErr w:type="spellStart"/>
      <w:r w:rsidRPr="005C6F13">
        <w:rPr>
          <w:sz w:val="24"/>
          <w:szCs w:val="24"/>
          <w:u w:val="single"/>
          <w:lang w:eastAsia="da-DK"/>
        </w:rPr>
        <w:t>hypovolæmi</w:t>
      </w:r>
      <w:proofErr w:type="spellEnd"/>
      <w:r w:rsidRPr="005C6F13">
        <w:rPr>
          <w:sz w:val="24"/>
          <w:szCs w:val="24"/>
          <w:lang w:eastAsia="da-DK"/>
        </w:rPr>
        <w:t xml:space="preserve"> bør korrigeres før en infusion med </w:t>
      </w:r>
      <w:proofErr w:type="spellStart"/>
      <w:r w:rsidRPr="005C6F13">
        <w:rPr>
          <w:sz w:val="24"/>
          <w:szCs w:val="24"/>
          <w:lang w:eastAsia="da-DK"/>
        </w:rPr>
        <w:t>levosimendan</w:t>
      </w:r>
      <w:proofErr w:type="spellEnd"/>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Hvis der observeres udtalte </w:t>
      </w:r>
      <w:r w:rsidRPr="005C6F13">
        <w:rPr>
          <w:sz w:val="24"/>
          <w:szCs w:val="24"/>
          <w:u w:val="single"/>
          <w:lang w:eastAsia="da-DK"/>
        </w:rPr>
        <w:t>ændringer i blodtrykket eller hjerterytmen,</w:t>
      </w:r>
      <w:r w:rsidRPr="005C6F13">
        <w:rPr>
          <w:sz w:val="24"/>
          <w:szCs w:val="24"/>
          <w:lang w:eastAsia="da-DK"/>
        </w:rPr>
        <w:t xml:space="preserve"> bør infusionshastigheden reduceres eller infusionen afbrydes.</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Den nøjagtige varighed af samtlige </w:t>
      </w:r>
      <w:proofErr w:type="spellStart"/>
      <w:r w:rsidRPr="005C6F13">
        <w:rPr>
          <w:sz w:val="24"/>
          <w:szCs w:val="24"/>
          <w:lang w:eastAsia="da-DK"/>
        </w:rPr>
        <w:t>hæmodynamiske</w:t>
      </w:r>
      <w:proofErr w:type="spellEnd"/>
      <w:r w:rsidRPr="005C6F13">
        <w:rPr>
          <w:sz w:val="24"/>
          <w:szCs w:val="24"/>
          <w:lang w:eastAsia="da-DK"/>
        </w:rPr>
        <w:t xml:space="preserve"> virkninger er ikke klarlagt, men de </w:t>
      </w:r>
      <w:proofErr w:type="spellStart"/>
      <w:r w:rsidRPr="005C6F13">
        <w:rPr>
          <w:sz w:val="24"/>
          <w:szCs w:val="24"/>
          <w:lang w:eastAsia="da-DK"/>
        </w:rPr>
        <w:t>hæmodynamiske</w:t>
      </w:r>
      <w:proofErr w:type="spellEnd"/>
      <w:r w:rsidRPr="005C6F13">
        <w:rPr>
          <w:sz w:val="24"/>
          <w:szCs w:val="24"/>
          <w:lang w:eastAsia="da-DK"/>
        </w:rPr>
        <w:t xml:space="preserve"> virkninger varer sædvanligvis i 7-10 dage. Dette skyldes delvis tilstedeværelsen af aktive metabolitter, der når deres maksimale plasmakoncentrationer omkring 48 timer efter at infusionen er standset. Ikke-invasiv overvågning </w:t>
      </w:r>
      <w:r w:rsidRPr="005C6F13">
        <w:rPr>
          <w:sz w:val="24"/>
          <w:szCs w:val="24"/>
          <w:u w:val="single"/>
          <w:lang w:eastAsia="da-DK"/>
        </w:rPr>
        <w:t>i mindst 4-5 dage efter afsluttet infusion</w:t>
      </w:r>
      <w:r w:rsidRPr="005C6F13">
        <w:rPr>
          <w:sz w:val="24"/>
          <w:szCs w:val="24"/>
          <w:lang w:eastAsia="da-DK"/>
        </w:rPr>
        <w:t xml:space="preserve"> anbefales. Det anbefales at fortsætte med overvågning indtil reduktionen i blodtrykket har nået sit maksimum og begynder at stige på ny. Det kan være nødvendig med overvågning i mere end 5 dage, fordi blodtrykket fortsætter med at falde, men den kan også være kortere, hvis patienten er klinisk stabil. For patienter med let til moderat nedsat nyre- eller leverfunktion kan en udvidet periode med overvågning være nødvendig.</w:t>
      </w:r>
    </w:p>
    <w:p w:rsidR="006C2BEE" w:rsidRPr="005C6F13" w:rsidRDefault="006C2BEE" w:rsidP="006C2BEE">
      <w:pPr>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bør anvendes med forsigtighed til </w:t>
      </w:r>
      <w:r w:rsidRPr="005C6F13">
        <w:rPr>
          <w:sz w:val="24"/>
          <w:szCs w:val="24"/>
          <w:u w:val="single"/>
          <w:lang w:eastAsia="da-DK"/>
        </w:rPr>
        <w:t>patienter med en let til moderat nedsat nyrefunktion</w:t>
      </w:r>
      <w:r w:rsidRPr="005C6F13">
        <w:rPr>
          <w:sz w:val="24"/>
          <w:szCs w:val="24"/>
          <w:lang w:eastAsia="da-DK"/>
        </w:rPr>
        <w:t>. Der er begrænsede data tilgængelige for elimination af de aktive metabolitter hos patienter med nedsat</w:t>
      </w:r>
      <w:r>
        <w:rPr>
          <w:sz w:val="24"/>
          <w:szCs w:val="24"/>
          <w:lang w:eastAsia="da-DK"/>
        </w:rPr>
        <w:t xml:space="preserve"> </w:t>
      </w:r>
      <w:r w:rsidRPr="005C6F13">
        <w:rPr>
          <w:sz w:val="24"/>
          <w:szCs w:val="24"/>
          <w:lang w:eastAsia="da-DK"/>
        </w:rPr>
        <w:t>nyrefunktion. Nedsat nyrefunktion kan føre til en øget koncentration af metabolitterne, som igen kan</w:t>
      </w:r>
      <w:r>
        <w:rPr>
          <w:sz w:val="24"/>
          <w:szCs w:val="24"/>
          <w:lang w:eastAsia="da-DK"/>
        </w:rPr>
        <w:t xml:space="preserve"> </w:t>
      </w:r>
      <w:r w:rsidRPr="005C6F13">
        <w:rPr>
          <w:sz w:val="24"/>
          <w:szCs w:val="24"/>
          <w:lang w:eastAsia="da-DK"/>
        </w:rPr>
        <w:t xml:space="preserve">resultere i en mere udtalt og forlænget </w:t>
      </w:r>
      <w:proofErr w:type="spellStart"/>
      <w:r w:rsidRPr="005C6F13">
        <w:rPr>
          <w:sz w:val="24"/>
          <w:szCs w:val="24"/>
          <w:lang w:eastAsia="da-DK"/>
        </w:rPr>
        <w:t>hæmodynamisk</w:t>
      </w:r>
      <w:proofErr w:type="spellEnd"/>
      <w:r w:rsidRPr="005C6F13">
        <w:rPr>
          <w:sz w:val="24"/>
          <w:szCs w:val="24"/>
          <w:lang w:eastAsia="da-DK"/>
        </w:rPr>
        <w:t xml:space="preserve"> virkning (se pkt. 5.2).</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bør anvendes med forsigtighed </w:t>
      </w:r>
      <w:r w:rsidRPr="005C6F13">
        <w:rPr>
          <w:sz w:val="24"/>
          <w:szCs w:val="24"/>
          <w:u w:val="single"/>
          <w:lang w:eastAsia="da-DK"/>
        </w:rPr>
        <w:t>til patienter med en let til moderat nedsat leverfunktion</w:t>
      </w:r>
      <w:r w:rsidRPr="005C6F13">
        <w:rPr>
          <w:sz w:val="24"/>
          <w:szCs w:val="24"/>
          <w:lang w:eastAsia="da-DK"/>
        </w:rPr>
        <w:t>.</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Nedsat leverfunktion kan medføre forlænget eksponering for metabolitterne, som igen kan resultere i en mere udtalt og forlænget </w:t>
      </w:r>
      <w:proofErr w:type="spellStart"/>
      <w:r w:rsidRPr="005C6F13">
        <w:rPr>
          <w:sz w:val="24"/>
          <w:szCs w:val="24"/>
          <w:lang w:eastAsia="da-DK"/>
        </w:rPr>
        <w:t>hæmodynamisk</w:t>
      </w:r>
      <w:proofErr w:type="spellEnd"/>
      <w:r w:rsidRPr="005C6F13">
        <w:rPr>
          <w:sz w:val="24"/>
          <w:szCs w:val="24"/>
          <w:lang w:eastAsia="da-DK"/>
        </w:rPr>
        <w:t xml:space="preserve"> virkning (se pkt. 5.2).</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Infusion med </w:t>
      </w:r>
      <w:proofErr w:type="spellStart"/>
      <w:r w:rsidRPr="005C6F13">
        <w:rPr>
          <w:sz w:val="24"/>
          <w:szCs w:val="24"/>
          <w:lang w:eastAsia="da-DK"/>
        </w:rPr>
        <w:t>levosimendan</w:t>
      </w:r>
      <w:proofErr w:type="spellEnd"/>
      <w:r w:rsidRPr="005C6F13">
        <w:rPr>
          <w:sz w:val="24"/>
          <w:szCs w:val="24"/>
          <w:lang w:eastAsia="da-DK"/>
        </w:rPr>
        <w:t xml:space="preserve"> kan forårsage et fald i kaliumkoncentrationen i serum. Derfor bør </w:t>
      </w:r>
      <w:r w:rsidRPr="005C6F13">
        <w:rPr>
          <w:sz w:val="24"/>
          <w:szCs w:val="24"/>
          <w:u w:val="single"/>
          <w:lang w:eastAsia="da-DK"/>
        </w:rPr>
        <w:t>lave kaliumkoncentrationer i serum</w:t>
      </w:r>
      <w:r w:rsidRPr="005C6F13">
        <w:rPr>
          <w:sz w:val="24"/>
          <w:szCs w:val="24"/>
          <w:lang w:eastAsia="da-DK"/>
        </w:rPr>
        <w:t xml:space="preserve"> korrigeres før administration af </w:t>
      </w:r>
      <w:proofErr w:type="spellStart"/>
      <w:r w:rsidRPr="005C6F13">
        <w:rPr>
          <w:sz w:val="24"/>
          <w:szCs w:val="24"/>
          <w:lang w:eastAsia="da-DK"/>
        </w:rPr>
        <w:t>levosimendan</w:t>
      </w:r>
      <w:proofErr w:type="spellEnd"/>
      <w:r w:rsidRPr="005C6F13">
        <w:rPr>
          <w:sz w:val="24"/>
          <w:szCs w:val="24"/>
          <w:lang w:eastAsia="da-DK"/>
        </w:rPr>
        <w:t xml:space="preserve">. Koncentrationen af kalium i serum bør også overvåges i løbet af behandlingen.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lang w:eastAsia="da-DK"/>
        </w:rPr>
        <w:t xml:space="preserve">Som for andre præparater til behandling af hjertesvigt, kan infusion af </w:t>
      </w:r>
      <w:proofErr w:type="spellStart"/>
      <w:r w:rsidRPr="005C6F13">
        <w:rPr>
          <w:sz w:val="24"/>
          <w:szCs w:val="24"/>
          <w:lang w:eastAsia="da-DK"/>
        </w:rPr>
        <w:t>levosimendan</w:t>
      </w:r>
      <w:proofErr w:type="spellEnd"/>
      <w:r w:rsidRPr="005C6F13">
        <w:rPr>
          <w:sz w:val="24"/>
          <w:szCs w:val="24"/>
          <w:lang w:eastAsia="da-DK"/>
        </w:rPr>
        <w:t xml:space="preserve"> følges af fald i hæmoglobin- og hæmatokritværdier, og forsigtighed bør udvises hos </w:t>
      </w:r>
      <w:r w:rsidRPr="005C6F13">
        <w:rPr>
          <w:sz w:val="24"/>
          <w:szCs w:val="24"/>
          <w:u w:val="single"/>
          <w:lang w:eastAsia="da-DK"/>
        </w:rPr>
        <w:t xml:space="preserve">patienter med iskæmisk </w:t>
      </w:r>
      <w:proofErr w:type="spellStart"/>
      <w:r w:rsidRPr="005C6F13">
        <w:rPr>
          <w:sz w:val="24"/>
          <w:szCs w:val="24"/>
          <w:u w:val="single"/>
          <w:lang w:eastAsia="da-DK"/>
        </w:rPr>
        <w:t>kardiovaskulær</w:t>
      </w:r>
      <w:proofErr w:type="spellEnd"/>
      <w:r w:rsidRPr="005C6F13">
        <w:rPr>
          <w:sz w:val="24"/>
          <w:szCs w:val="24"/>
          <w:u w:val="single"/>
          <w:lang w:eastAsia="da-DK"/>
        </w:rPr>
        <w:t xml:space="preserve"> sygdom og samtidig anæmi.</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proofErr w:type="spellStart"/>
      <w:r w:rsidRPr="005C6F13">
        <w:rPr>
          <w:sz w:val="24"/>
          <w:szCs w:val="24"/>
          <w:lang w:eastAsia="da-DK"/>
        </w:rPr>
        <w:t>Levosimendan</w:t>
      </w:r>
      <w:proofErr w:type="spellEnd"/>
      <w:r w:rsidRPr="005C6F13">
        <w:rPr>
          <w:sz w:val="24"/>
          <w:szCs w:val="24"/>
          <w:lang w:eastAsia="da-DK"/>
        </w:rPr>
        <w:t xml:space="preserve"> infusion bør anvendes med forsigtighed til </w:t>
      </w:r>
      <w:r w:rsidRPr="005C6F13">
        <w:rPr>
          <w:sz w:val="24"/>
          <w:szCs w:val="24"/>
          <w:u w:val="single"/>
          <w:lang w:eastAsia="da-DK"/>
        </w:rPr>
        <w:t xml:space="preserve">patienter med </w:t>
      </w:r>
      <w:proofErr w:type="spellStart"/>
      <w:r w:rsidRPr="005C6F13">
        <w:rPr>
          <w:sz w:val="24"/>
          <w:szCs w:val="24"/>
          <w:u w:val="single"/>
          <w:lang w:eastAsia="da-DK"/>
        </w:rPr>
        <w:t>takykardi</w:t>
      </w:r>
      <w:proofErr w:type="spellEnd"/>
      <w:r w:rsidRPr="005C6F13">
        <w:rPr>
          <w:sz w:val="24"/>
          <w:szCs w:val="24"/>
          <w:u w:val="single"/>
          <w:lang w:eastAsia="da-DK"/>
        </w:rPr>
        <w:t xml:space="preserve">, atrieflimren med hurtigt </w:t>
      </w:r>
      <w:proofErr w:type="spellStart"/>
      <w:r w:rsidRPr="005C6F13">
        <w:rPr>
          <w:sz w:val="24"/>
          <w:szCs w:val="24"/>
          <w:u w:val="single"/>
          <w:lang w:eastAsia="da-DK"/>
        </w:rPr>
        <w:t>ventrikulært</w:t>
      </w:r>
      <w:proofErr w:type="spellEnd"/>
      <w:r w:rsidRPr="005C6F13">
        <w:rPr>
          <w:sz w:val="24"/>
          <w:szCs w:val="24"/>
          <w:u w:val="single"/>
          <w:lang w:eastAsia="da-DK"/>
        </w:rPr>
        <w:t xml:space="preserve"> respons eller potentielle livstruende </w:t>
      </w:r>
      <w:proofErr w:type="spellStart"/>
      <w:r w:rsidRPr="005C6F13">
        <w:rPr>
          <w:sz w:val="24"/>
          <w:szCs w:val="24"/>
          <w:u w:val="single"/>
          <w:lang w:eastAsia="da-DK"/>
        </w:rPr>
        <w:t>arytmier</w:t>
      </w:r>
      <w:proofErr w:type="spellEnd"/>
      <w:r w:rsidRPr="005C6F13">
        <w:rPr>
          <w:sz w:val="24"/>
          <w:szCs w:val="24"/>
          <w:u w:val="single"/>
          <w:lang w:eastAsia="da-DK"/>
        </w:rPr>
        <w:t>.</w:t>
      </w:r>
    </w:p>
    <w:p w:rsidR="006C2BEE" w:rsidRPr="005C6F13" w:rsidRDefault="006C2BEE" w:rsidP="006C2BEE">
      <w:pPr>
        <w:autoSpaceDE w:val="0"/>
        <w:autoSpaceDN w:val="0"/>
        <w:adjustRightInd w:val="0"/>
        <w:ind w:left="851" w:hanging="851"/>
        <w:rPr>
          <w:sz w:val="24"/>
          <w:szCs w:val="24"/>
          <w:u w:val="single"/>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Der er begrænset erfaring med </w:t>
      </w:r>
      <w:r w:rsidRPr="005C6F13">
        <w:rPr>
          <w:sz w:val="24"/>
          <w:szCs w:val="24"/>
          <w:u w:val="single"/>
          <w:lang w:eastAsia="da-DK"/>
        </w:rPr>
        <w:t>gentagen administration</w:t>
      </w:r>
      <w:r w:rsidRPr="005C6F13">
        <w:rPr>
          <w:sz w:val="24"/>
          <w:szCs w:val="24"/>
          <w:lang w:eastAsia="da-DK"/>
        </w:rPr>
        <w:t xml:space="preserve"> af </w:t>
      </w:r>
      <w:proofErr w:type="spellStart"/>
      <w:r w:rsidRPr="005C6F13">
        <w:rPr>
          <w:sz w:val="24"/>
          <w:szCs w:val="24"/>
          <w:lang w:eastAsia="da-DK"/>
        </w:rPr>
        <w:t>levosimendan</w:t>
      </w:r>
      <w:proofErr w:type="spellEnd"/>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D</w:t>
      </w:r>
      <w:r>
        <w:rPr>
          <w:sz w:val="24"/>
          <w:szCs w:val="24"/>
          <w:lang w:eastAsia="da-DK"/>
        </w:rPr>
        <w:t>e</w:t>
      </w:r>
      <w:r w:rsidRPr="005C6F13">
        <w:rPr>
          <w:sz w:val="24"/>
          <w:szCs w:val="24"/>
          <w:lang w:eastAsia="da-DK"/>
        </w:rPr>
        <w:t xml:space="preserve">r er begrænset erfaring </w:t>
      </w:r>
      <w:r w:rsidRPr="005C6F13">
        <w:rPr>
          <w:sz w:val="24"/>
          <w:szCs w:val="24"/>
          <w:u w:val="single"/>
          <w:lang w:eastAsia="da-DK"/>
        </w:rPr>
        <w:t xml:space="preserve">med samtidig brug af </w:t>
      </w:r>
      <w:proofErr w:type="spellStart"/>
      <w:r w:rsidRPr="005C6F13">
        <w:rPr>
          <w:sz w:val="24"/>
          <w:szCs w:val="24"/>
          <w:u w:val="single"/>
          <w:lang w:eastAsia="da-DK"/>
        </w:rPr>
        <w:t>vasoaktive</w:t>
      </w:r>
      <w:proofErr w:type="spellEnd"/>
      <w:r w:rsidRPr="005C6F13">
        <w:rPr>
          <w:sz w:val="24"/>
          <w:szCs w:val="24"/>
          <w:u w:val="single"/>
          <w:lang w:eastAsia="da-DK"/>
        </w:rPr>
        <w:t xml:space="preserve"> lægemidler</w:t>
      </w:r>
      <w:r w:rsidRPr="005C6F13">
        <w:rPr>
          <w:sz w:val="24"/>
          <w:szCs w:val="24"/>
          <w:lang w:eastAsia="da-DK"/>
        </w:rPr>
        <w:t xml:space="preserve">, inklusive inotrope lægemidler (undtagen </w:t>
      </w:r>
      <w:proofErr w:type="spellStart"/>
      <w:r w:rsidRPr="005C6F13">
        <w:rPr>
          <w:sz w:val="24"/>
          <w:szCs w:val="24"/>
          <w:lang w:eastAsia="da-DK"/>
        </w:rPr>
        <w:t>digoxin</w:t>
      </w:r>
      <w:proofErr w:type="spellEnd"/>
      <w:r w:rsidRPr="005C6F13">
        <w:rPr>
          <w:sz w:val="24"/>
          <w:szCs w:val="24"/>
          <w:lang w:eastAsia="da-DK"/>
        </w:rPr>
        <w:t>). Fordel og risiko bør vurderes for hver enkelt patient.</w:t>
      </w:r>
    </w:p>
    <w:p w:rsidR="006C2BEE" w:rsidRPr="005C6F13" w:rsidRDefault="006C2BEE" w:rsidP="006C2BEE">
      <w:pPr>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bør bruges med forsigtighed og under nøje overvågning af ekg til patienter med eksisterende</w:t>
      </w:r>
      <w:r w:rsidRPr="005C6F13">
        <w:rPr>
          <w:sz w:val="24"/>
          <w:szCs w:val="24"/>
          <w:u w:val="single"/>
          <w:lang w:eastAsia="da-DK"/>
        </w:rPr>
        <w:t xml:space="preserve"> </w:t>
      </w:r>
      <w:proofErr w:type="spellStart"/>
      <w:r w:rsidRPr="005C6F13">
        <w:rPr>
          <w:sz w:val="24"/>
          <w:szCs w:val="24"/>
          <w:u w:val="single"/>
          <w:lang w:eastAsia="da-DK"/>
        </w:rPr>
        <w:t>koronar</w:t>
      </w:r>
      <w:proofErr w:type="spellEnd"/>
      <w:r w:rsidRPr="005C6F13">
        <w:rPr>
          <w:sz w:val="24"/>
          <w:szCs w:val="24"/>
          <w:u w:val="single"/>
          <w:lang w:eastAsia="da-DK"/>
        </w:rPr>
        <w:t xml:space="preserve"> iskæmi, langt </w:t>
      </w:r>
      <w:proofErr w:type="spellStart"/>
      <w:r w:rsidRPr="005C6F13">
        <w:rPr>
          <w:sz w:val="24"/>
          <w:szCs w:val="24"/>
          <w:u w:val="single"/>
          <w:lang w:eastAsia="da-DK"/>
        </w:rPr>
        <w:t>QTc</w:t>
      </w:r>
      <w:proofErr w:type="spellEnd"/>
      <w:r w:rsidRPr="005C6F13">
        <w:rPr>
          <w:sz w:val="24"/>
          <w:szCs w:val="24"/>
          <w:u w:val="single"/>
          <w:lang w:eastAsia="da-DK"/>
        </w:rPr>
        <w:t xml:space="preserve">-interval </w:t>
      </w:r>
      <w:r w:rsidRPr="005C6F13">
        <w:rPr>
          <w:sz w:val="24"/>
          <w:szCs w:val="24"/>
          <w:lang w:eastAsia="da-DK"/>
        </w:rPr>
        <w:t xml:space="preserve">uanset ætiologi, eller når det gives samtidigt med lægemidler, som forlænger </w:t>
      </w:r>
      <w:proofErr w:type="spellStart"/>
      <w:r w:rsidRPr="005C6F13">
        <w:rPr>
          <w:sz w:val="24"/>
          <w:szCs w:val="24"/>
          <w:lang w:eastAsia="da-DK"/>
        </w:rPr>
        <w:t>QTc</w:t>
      </w:r>
      <w:proofErr w:type="spellEnd"/>
      <w:r w:rsidRPr="005C6F13">
        <w:rPr>
          <w:sz w:val="24"/>
          <w:szCs w:val="24"/>
          <w:lang w:eastAsia="da-DK"/>
        </w:rPr>
        <w:t>-intervallet (se pkt. 4.9) (</w:t>
      </w:r>
      <w:proofErr w:type="spellStart"/>
      <w:r w:rsidRPr="005C6F13">
        <w:rPr>
          <w:sz w:val="24"/>
          <w:szCs w:val="24"/>
          <w:lang w:eastAsia="da-DK"/>
        </w:rPr>
        <w:t>QTc</w:t>
      </w:r>
      <w:proofErr w:type="spellEnd"/>
      <w:r w:rsidRPr="005C6F13">
        <w:rPr>
          <w:sz w:val="24"/>
          <w:szCs w:val="24"/>
          <w:lang w:eastAsia="da-DK"/>
        </w:rPr>
        <w:t xml:space="preserve"> interval= korrigeret </w:t>
      </w:r>
      <w:r w:rsidR="009F3408" w:rsidRPr="005C6F13">
        <w:rPr>
          <w:sz w:val="24"/>
          <w:szCs w:val="24"/>
          <w:lang w:eastAsia="da-DK"/>
        </w:rPr>
        <w:t>QT-interval</w:t>
      </w:r>
      <w:r w:rsidRPr="005C6F13">
        <w:rPr>
          <w:sz w:val="24"/>
          <w:szCs w:val="24"/>
          <w:lang w:eastAsia="da-DK"/>
        </w:rPr>
        <w:t>).</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Brug af </w:t>
      </w:r>
      <w:proofErr w:type="spellStart"/>
      <w:r w:rsidRPr="005C6F13">
        <w:rPr>
          <w:sz w:val="24"/>
          <w:szCs w:val="24"/>
          <w:lang w:eastAsia="da-DK"/>
        </w:rPr>
        <w:t>levosimendan</w:t>
      </w:r>
      <w:proofErr w:type="spellEnd"/>
      <w:r w:rsidRPr="005C6F13">
        <w:rPr>
          <w:sz w:val="24"/>
          <w:szCs w:val="24"/>
          <w:lang w:eastAsia="da-DK"/>
        </w:rPr>
        <w:t xml:space="preserve"> er ikke undersøgt ved </w:t>
      </w:r>
      <w:proofErr w:type="spellStart"/>
      <w:r w:rsidRPr="005C6F13">
        <w:rPr>
          <w:sz w:val="24"/>
          <w:szCs w:val="24"/>
          <w:u w:val="single"/>
          <w:lang w:eastAsia="da-DK"/>
        </w:rPr>
        <w:t>kardiogent</w:t>
      </w:r>
      <w:proofErr w:type="spellEnd"/>
      <w:r w:rsidRPr="005C6F13">
        <w:rPr>
          <w:sz w:val="24"/>
          <w:szCs w:val="24"/>
          <w:u w:val="single"/>
          <w:lang w:eastAsia="da-DK"/>
        </w:rPr>
        <w:t xml:space="preserve"> </w:t>
      </w:r>
      <w:proofErr w:type="spellStart"/>
      <w:r w:rsidRPr="005C6F13">
        <w:rPr>
          <w:sz w:val="24"/>
          <w:szCs w:val="24"/>
          <w:u w:val="single"/>
          <w:lang w:eastAsia="da-DK"/>
        </w:rPr>
        <w:t>shock</w:t>
      </w:r>
      <w:proofErr w:type="spellEnd"/>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lang w:eastAsia="da-DK"/>
        </w:rPr>
        <w:t xml:space="preserve">Der er ingen tilgængelig information om brug af </w:t>
      </w:r>
      <w:proofErr w:type="spellStart"/>
      <w:r w:rsidRPr="005C6F13">
        <w:rPr>
          <w:sz w:val="24"/>
          <w:szCs w:val="24"/>
          <w:lang w:eastAsia="da-DK"/>
        </w:rPr>
        <w:t>levosimendan</w:t>
      </w:r>
      <w:proofErr w:type="spellEnd"/>
      <w:r w:rsidRPr="005C6F13">
        <w:rPr>
          <w:sz w:val="24"/>
          <w:szCs w:val="24"/>
          <w:lang w:eastAsia="da-DK"/>
        </w:rPr>
        <w:t xml:space="preserve"> til følgende sygdomme: </w:t>
      </w:r>
      <w:r w:rsidRPr="005C6F13">
        <w:rPr>
          <w:sz w:val="24"/>
          <w:szCs w:val="24"/>
          <w:u w:val="single"/>
          <w:lang w:eastAsia="da-DK"/>
        </w:rPr>
        <w:t xml:space="preserve">restriktiv </w:t>
      </w:r>
      <w:proofErr w:type="spellStart"/>
      <w:r w:rsidRPr="005C6F13">
        <w:rPr>
          <w:sz w:val="24"/>
          <w:szCs w:val="24"/>
          <w:u w:val="single"/>
          <w:lang w:eastAsia="da-DK"/>
        </w:rPr>
        <w:t>kardiomyopati</w:t>
      </w:r>
      <w:proofErr w:type="spellEnd"/>
      <w:r w:rsidRPr="005C6F13">
        <w:rPr>
          <w:sz w:val="24"/>
          <w:szCs w:val="24"/>
          <w:u w:val="single"/>
          <w:lang w:eastAsia="da-DK"/>
        </w:rPr>
        <w:t xml:space="preserve">, </w:t>
      </w:r>
      <w:proofErr w:type="spellStart"/>
      <w:r w:rsidRPr="005C6F13">
        <w:rPr>
          <w:sz w:val="24"/>
          <w:szCs w:val="24"/>
          <w:u w:val="single"/>
          <w:lang w:eastAsia="da-DK"/>
        </w:rPr>
        <w:t>hypertrofisk</w:t>
      </w:r>
      <w:proofErr w:type="spellEnd"/>
      <w:r w:rsidRPr="005C6F13">
        <w:rPr>
          <w:sz w:val="24"/>
          <w:szCs w:val="24"/>
          <w:u w:val="single"/>
          <w:lang w:eastAsia="da-DK"/>
        </w:rPr>
        <w:t xml:space="preserve"> </w:t>
      </w:r>
      <w:proofErr w:type="spellStart"/>
      <w:r w:rsidRPr="005C6F13">
        <w:rPr>
          <w:sz w:val="24"/>
          <w:szCs w:val="24"/>
          <w:u w:val="single"/>
          <w:lang w:eastAsia="da-DK"/>
        </w:rPr>
        <w:t>kardiomyopati</w:t>
      </w:r>
      <w:proofErr w:type="spellEnd"/>
      <w:r w:rsidRPr="005C6F13">
        <w:rPr>
          <w:sz w:val="24"/>
          <w:szCs w:val="24"/>
          <w:u w:val="single"/>
          <w:lang w:eastAsia="da-DK"/>
        </w:rPr>
        <w:t xml:space="preserve">, alvorlig </w:t>
      </w:r>
      <w:proofErr w:type="spellStart"/>
      <w:r w:rsidRPr="005C6F13">
        <w:rPr>
          <w:sz w:val="24"/>
          <w:szCs w:val="24"/>
          <w:u w:val="single"/>
          <w:lang w:eastAsia="da-DK"/>
        </w:rPr>
        <w:t>mitralklapinsufficiens</w:t>
      </w:r>
      <w:proofErr w:type="spellEnd"/>
      <w:r w:rsidRPr="005C6F13">
        <w:rPr>
          <w:sz w:val="24"/>
          <w:szCs w:val="24"/>
          <w:u w:val="single"/>
          <w:lang w:eastAsia="da-DK"/>
        </w:rPr>
        <w:t xml:space="preserve">, </w:t>
      </w:r>
      <w:proofErr w:type="spellStart"/>
      <w:r w:rsidRPr="005C6F13">
        <w:rPr>
          <w:sz w:val="24"/>
          <w:szCs w:val="24"/>
          <w:u w:val="single"/>
          <w:lang w:eastAsia="da-DK"/>
        </w:rPr>
        <w:t>myokardieruptur</w:t>
      </w:r>
      <w:proofErr w:type="spellEnd"/>
      <w:r w:rsidRPr="005C6F13">
        <w:rPr>
          <w:sz w:val="24"/>
          <w:szCs w:val="24"/>
          <w:u w:val="single"/>
          <w:lang w:eastAsia="da-DK"/>
        </w:rPr>
        <w:t>, hjertetamponade og infarkt i højre hjertekammer.</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bør ikke administreres til børn, fordi der kun findes begrænsede erfaringer med brug til børn og unge under 18 år (se pkt. 5.2).</w:t>
      </w:r>
    </w:p>
    <w:p w:rsidR="006C2BEE" w:rsidRPr="005C6F13" w:rsidRDefault="006C2BEE" w:rsidP="006C2BEE">
      <w:pPr>
        <w:ind w:left="851" w:hanging="851"/>
        <w:rPr>
          <w:sz w:val="24"/>
          <w:szCs w:val="24"/>
          <w:lang w:eastAsia="da-DK"/>
        </w:rPr>
      </w:pPr>
    </w:p>
    <w:p w:rsidR="009F3408" w:rsidRDefault="009F3408" w:rsidP="009F3408">
      <w:pPr>
        <w:ind w:left="851"/>
        <w:rPr>
          <w:sz w:val="24"/>
          <w:szCs w:val="24"/>
          <w:u w:val="single"/>
          <w:lang w:eastAsia="da-DK"/>
        </w:rPr>
      </w:pPr>
      <w:r>
        <w:rPr>
          <w:sz w:val="24"/>
          <w:szCs w:val="24"/>
          <w:lang w:eastAsia="da-DK"/>
        </w:rPr>
        <w:t xml:space="preserve">Der er begrænset erfaring tilgængelig ved administration af </w:t>
      </w:r>
      <w:proofErr w:type="spellStart"/>
      <w:r>
        <w:rPr>
          <w:sz w:val="24"/>
          <w:szCs w:val="24"/>
          <w:lang w:eastAsia="da-DK"/>
        </w:rPr>
        <w:t>levosimendan</w:t>
      </w:r>
      <w:proofErr w:type="spellEnd"/>
      <w:r>
        <w:rPr>
          <w:sz w:val="24"/>
          <w:szCs w:val="24"/>
          <w:lang w:eastAsia="da-DK"/>
        </w:rPr>
        <w:t xml:space="preserve"> til </w:t>
      </w:r>
      <w:r>
        <w:rPr>
          <w:sz w:val="24"/>
          <w:szCs w:val="24"/>
          <w:u w:val="single"/>
          <w:lang w:eastAsia="da-DK"/>
        </w:rPr>
        <w:t>patienter</w:t>
      </w:r>
      <w:r>
        <w:rPr>
          <w:sz w:val="24"/>
          <w:szCs w:val="24"/>
          <w:lang w:eastAsia="da-DK"/>
        </w:rPr>
        <w:t xml:space="preserve"> med svært hjertesvigt, som </w:t>
      </w:r>
      <w:r>
        <w:rPr>
          <w:sz w:val="24"/>
          <w:szCs w:val="24"/>
          <w:u w:val="single"/>
          <w:lang w:eastAsia="da-DK"/>
        </w:rPr>
        <w:t>venter på en hjertetransplantation.</w:t>
      </w:r>
    </w:p>
    <w:p w:rsidR="009F3408" w:rsidRDefault="009F3408" w:rsidP="009F3408">
      <w:pPr>
        <w:ind w:left="851" w:hanging="851"/>
        <w:rPr>
          <w:sz w:val="24"/>
          <w:szCs w:val="24"/>
          <w:lang w:eastAsia="da-DK"/>
        </w:rPr>
      </w:pPr>
    </w:p>
    <w:p w:rsidR="009F3408" w:rsidRDefault="009F3408" w:rsidP="009F3408">
      <w:pPr>
        <w:ind w:left="851"/>
        <w:rPr>
          <w:sz w:val="24"/>
          <w:szCs w:val="24"/>
          <w:lang w:eastAsia="da-DK"/>
        </w:rPr>
      </w:pPr>
      <w:r>
        <w:rPr>
          <w:sz w:val="24"/>
          <w:szCs w:val="24"/>
          <w:lang w:eastAsia="da-DK"/>
        </w:rPr>
        <w:t xml:space="preserve">Dette lægemiddel indeholder 3925 mg alkohol (vandfri </w:t>
      </w:r>
      <w:proofErr w:type="spellStart"/>
      <w:r>
        <w:rPr>
          <w:sz w:val="24"/>
          <w:szCs w:val="24"/>
          <w:lang w:eastAsia="da-DK"/>
        </w:rPr>
        <w:t>ethanol</w:t>
      </w:r>
      <w:proofErr w:type="spellEnd"/>
      <w:r>
        <w:rPr>
          <w:sz w:val="24"/>
          <w:szCs w:val="24"/>
          <w:lang w:eastAsia="da-DK"/>
        </w:rPr>
        <w:t>) pr. 5 ml hætteglas, svarende til ca. 98 </w:t>
      </w:r>
      <w:proofErr w:type="spellStart"/>
      <w:r>
        <w:rPr>
          <w:sz w:val="24"/>
          <w:szCs w:val="24"/>
          <w:lang w:eastAsia="da-DK"/>
        </w:rPr>
        <w:t>vol</w:t>
      </w:r>
      <w:proofErr w:type="spellEnd"/>
      <w:r>
        <w:rPr>
          <w:sz w:val="24"/>
          <w:szCs w:val="24"/>
          <w:lang w:eastAsia="da-DK"/>
        </w:rPr>
        <w:t>%. Mængden svarer til 99,2 ml øl, 41,3 ml vin.</w:t>
      </w:r>
    </w:p>
    <w:p w:rsidR="009F3408" w:rsidRDefault="009F3408" w:rsidP="009F3408">
      <w:pPr>
        <w:ind w:left="851"/>
        <w:rPr>
          <w:sz w:val="24"/>
          <w:szCs w:val="24"/>
          <w:lang w:eastAsia="da-DK"/>
        </w:rPr>
      </w:pPr>
      <w:r>
        <w:rPr>
          <w:sz w:val="24"/>
          <w:szCs w:val="24"/>
          <w:lang w:eastAsia="da-DK"/>
        </w:rPr>
        <w:t>Skadeligt for alkoholikere.</w:t>
      </w:r>
    </w:p>
    <w:p w:rsidR="009F3408" w:rsidRDefault="009F3408" w:rsidP="009F3408">
      <w:pPr>
        <w:ind w:left="851"/>
        <w:rPr>
          <w:sz w:val="24"/>
          <w:szCs w:val="24"/>
        </w:rPr>
      </w:pPr>
      <w:r>
        <w:rPr>
          <w:sz w:val="24"/>
          <w:szCs w:val="24"/>
        </w:rPr>
        <w:t>Der skal tages højde for dette hos gravide eller ammende kvinder, børn samt patienter i højrisikogruppe såsom patienter med leversygdomme eller epilepsi. Mængden af alkohol i dette lægemiddel kan ændre virkningen af andre lægemidler.</w:t>
      </w:r>
    </w:p>
    <w:p w:rsidR="009F3408" w:rsidRDefault="009F3408" w:rsidP="009F3408">
      <w:pPr>
        <w:ind w:left="851"/>
        <w:rPr>
          <w:sz w:val="24"/>
          <w:szCs w:val="24"/>
        </w:rPr>
      </w:pPr>
      <w:r>
        <w:rPr>
          <w:sz w:val="24"/>
          <w:szCs w:val="24"/>
        </w:rPr>
        <w:lastRenderedPageBreak/>
        <w:t>Da dette lægemiddel normalt gives langsomt i løbet af 24 timer, kan virkningen af alkohol være reduceret.</w:t>
      </w:r>
    </w:p>
    <w:p w:rsidR="009F3408" w:rsidRDefault="009F3408" w:rsidP="009F3408">
      <w:pPr>
        <w:ind w:left="851"/>
        <w:rPr>
          <w:sz w:val="24"/>
          <w:szCs w:val="24"/>
        </w:rPr>
      </w:pPr>
    </w:p>
    <w:p w:rsidR="006C2BEE" w:rsidRPr="005C6F13" w:rsidRDefault="006C2BEE" w:rsidP="006C2BEE">
      <w:pPr>
        <w:ind w:left="851" w:hanging="851"/>
        <w:rPr>
          <w:b/>
          <w:sz w:val="24"/>
          <w:szCs w:val="24"/>
        </w:rPr>
      </w:pPr>
      <w:r w:rsidRPr="005C6F13">
        <w:rPr>
          <w:b/>
          <w:sz w:val="24"/>
          <w:szCs w:val="24"/>
        </w:rPr>
        <w:t>4.5</w:t>
      </w:r>
      <w:r w:rsidRPr="005C6F13">
        <w:rPr>
          <w:b/>
          <w:sz w:val="24"/>
          <w:szCs w:val="24"/>
        </w:rPr>
        <w:tab/>
        <w:t>Interaktion med andre lægemidler og andre former for interaktion</w:t>
      </w:r>
    </w:p>
    <w:p w:rsidR="006C2BEE" w:rsidRPr="005C6F13" w:rsidRDefault="006C2BEE" w:rsidP="006C2BEE">
      <w:pPr>
        <w:autoSpaceDE w:val="0"/>
        <w:autoSpaceDN w:val="0"/>
        <w:adjustRightInd w:val="0"/>
        <w:ind w:left="851" w:hanging="851"/>
        <w:rPr>
          <w:sz w:val="24"/>
          <w:szCs w:val="24"/>
          <w:lang w:eastAsia="da-DK"/>
        </w:rPr>
      </w:pPr>
      <w:r w:rsidRPr="005C6F13">
        <w:rPr>
          <w:sz w:val="24"/>
          <w:szCs w:val="24"/>
        </w:rPr>
        <w:tab/>
      </w:r>
      <w:r w:rsidRPr="005C6F13">
        <w:rPr>
          <w:sz w:val="24"/>
          <w:szCs w:val="24"/>
          <w:lang w:eastAsia="da-DK"/>
        </w:rPr>
        <w:t xml:space="preserve">I overensstemmelse med gældende medicinsk praksis bør </w:t>
      </w:r>
      <w:proofErr w:type="spellStart"/>
      <w:r w:rsidRPr="005C6F13">
        <w:rPr>
          <w:sz w:val="24"/>
          <w:szCs w:val="24"/>
          <w:lang w:eastAsia="da-DK"/>
        </w:rPr>
        <w:t>levosimendan</w:t>
      </w:r>
      <w:proofErr w:type="spellEnd"/>
      <w:r w:rsidRPr="005C6F13">
        <w:rPr>
          <w:sz w:val="24"/>
          <w:szCs w:val="24"/>
          <w:lang w:eastAsia="da-DK"/>
        </w:rPr>
        <w:t xml:space="preserve"> anvendes med forsigtighed, når det administreres sammen med </w:t>
      </w:r>
      <w:r w:rsidRPr="005C6F13">
        <w:rPr>
          <w:sz w:val="24"/>
          <w:szCs w:val="24"/>
          <w:u w:val="single"/>
          <w:lang w:eastAsia="da-DK"/>
        </w:rPr>
        <w:t xml:space="preserve">andre intravenøse </w:t>
      </w:r>
      <w:proofErr w:type="spellStart"/>
      <w:r w:rsidRPr="005C6F13">
        <w:rPr>
          <w:sz w:val="24"/>
          <w:szCs w:val="24"/>
          <w:u w:val="single"/>
          <w:lang w:eastAsia="da-DK"/>
        </w:rPr>
        <w:t>vasoaktive</w:t>
      </w:r>
      <w:proofErr w:type="spellEnd"/>
      <w:r w:rsidRPr="005C6F13">
        <w:rPr>
          <w:sz w:val="24"/>
          <w:szCs w:val="24"/>
          <w:u w:val="single"/>
          <w:lang w:eastAsia="da-DK"/>
        </w:rPr>
        <w:t xml:space="preserve"> lægemidler</w:t>
      </w:r>
      <w:r w:rsidRPr="005C6F13">
        <w:rPr>
          <w:sz w:val="24"/>
          <w:szCs w:val="24"/>
          <w:lang w:eastAsia="da-DK"/>
        </w:rPr>
        <w:t xml:space="preserve"> på grund af en potentielt øget risiko for hypotension (se pkt. 4.4).</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Samtidig administration af </w:t>
      </w:r>
      <w:proofErr w:type="spellStart"/>
      <w:r w:rsidRPr="005C6F13">
        <w:rPr>
          <w:sz w:val="24"/>
          <w:szCs w:val="24"/>
          <w:u w:val="single"/>
          <w:lang w:eastAsia="da-DK"/>
        </w:rPr>
        <w:t>isosorbidmononitrat</w:t>
      </w:r>
      <w:proofErr w:type="spellEnd"/>
      <w:r w:rsidRPr="005C6F13">
        <w:rPr>
          <w:sz w:val="24"/>
          <w:szCs w:val="24"/>
          <w:lang w:eastAsia="da-DK"/>
        </w:rPr>
        <w:t xml:space="preserve"> og </w:t>
      </w:r>
      <w:proofErr w:type="spellStart"/>
      <w:r w:rsidRPr="005C6F13">
        <w:rPr>
          <w:sz w:val="24"/>
          <w:szCs w:val="24"/>
          <w:lang w:eastAsia="da-DK"/>
        </w:rPr>
        <w:t>levosimendan</w:t>
      </w:r>
      <w:proofErr w:type="spellEnd"/>
      <w:r w:rsidRPr="005C6F13">
        <w:rPr>
          <w:sz w:val="24"/>
          <w:szCs w:val="24"/>
          <w:lang w:eastAsia="da-DK"/>
        </w:rPr>
        <w:t xml:space="preserve"> til raske frivillige førte til en kraftig forstærkning af det </w:t>
      </w:r>
      <w:proofErr w:type="spellStart"/>
      <w:r w:rsidRPr="005C6F13">
        <w:rPr>
          <w:sz w:val="24"/>
          <w:szCs w:val="24"/>
          <w:lang w:eastAsia="da-DK"/>
        </w:rPr>
        <w:t>ortostatiske</w:t>
      </w:r>
      <w:proofErr w:type="spellEnd"/>
      <w:r w:rsidRPr="005C6F13">
        <w:rPr>
          <w:sz w:val="24"/>
          <w:szCs w:val="24"/>
          <w:lang w:eastAsia="da-DK"/>
        </w:rPr>
        <w:t xml:space="preserve"> </w:t>
      </w:r>
      <w:proofErr w:type="spellStart"/>
      <w:r w:rsidRPr="005C6F13">
        <w:rPr>
          <w:sz w:val="24"/>
          <w:szCs w:val="24"/>
          <w:lang w:eastAsia="da-DK"/>
        </w:rPr>
        <w:t>hypotensive</w:t>
      </w:r>
      <w:proofErr w:type="spellEnd"/>
      <w:r w:rsidRPr="005C6F13">
        <w:rPr>
          <w:sz w:val="24"/>
          <w:szCs w:val="24"/>
          <w:lang w:eastAsia="da-DK"/>
        </w:rPr>
        <w:t xml:space="preserve"> respons.</w:t>
      </w:r>
    </w:p>
    <w:p w:rsidR="006C2BEE" w:rsidRPr="005C6F13" w:rsidRDefault="006C2BEE" w:rsidP="006C2BEE">
      <w:pPr>
        <w:autoSpaceDE w:val="0"/>
        <w:autoSpaceDN w:val="0"/>
        <w:adjustRightInd w:val="0"/>
        <w:ind w:left="851" w:hanging="851"/>
        <w:rPr>
          <w:sz w:val="24"/>
          <w:szCs w:val="24"/>
          <w:lang w:eastAsia="da-DK"/>
        </w:rPr>
      </w:pPr>
    </w:p>
    <w:p w:rsidR="006C2BEE" w:rsidRDefault="006C2BEE" w:rsidP="006C2BEE">
      <w:pPr>
        <w:autoSpaceDE w:val="0"/>
        <w:autoSpaceDN w:val="0"/>
        <w:adjustRightInd w:val="0"/>
        <w:ind w:left="851"/>
        <w:rPr>
          <w:sz w:val="24"/>
          <w:szCs w:val="24"/>
          <w:lang w:eastAsia="da-DK"/>
        </w:rPr>
      </w:pPr>
      <w:r w:rsidRPr="005C6F13">
        <w:rPr>
          <w:sz w:val="24"/>
          <w:szCs w:val="24"/>
          <w:lang w:eastAsia="da-DK"/>
        </w:rPr>
        <w:t xml:space="preserve">Der er ikke observeret </w:t>
      </w:r>
      <w:proofErr w:type="spellStart"/>
      <w:r w:rsidRPr="005C6F13">
        <w:rPr>
          <w:sz w:val="24"/>
          <w:szCs w:val="24"/>
          <w:lang w:eastAsia="da-DK"/>
        </w:rPr>
        <w:t>farmakokinetiske</w:t>
      </w:r>
      <w:proofErr w:type="spellEnd"/>
      <w:r w:rsidRPr="005C6F13">
        <w:rPr>
          <w:sz w:val="24"/>
          <w:szCs w:val="24"/>
          <w:lang w:eastAsia="da-DK"/>
        </w:rPr>
        <w:t xml:space="preserve"> interaktioner i en populationsanalyse af patienter, som fik </w:t>
      </w:r>
      <w:proofErr w:type="spellStart"/>
      <w:r w:rsidRPr="005C6F13">
        <w:rPr>
          <w:sz w:val="24"/>
          <w:szCs w:val="24"/>
          <w:u w:val="single"/>
          <w:lang w:eastAsia="da-DK"/>
        </w:rPr>
        <w:t>digoxin</w:t>
      </w:r>
      <w:proofErr w:type="spellEnd"/>
      <w:r w:rsidRPr="005C6F13">
        <w:rPr>
          <w:sz w:val="24"/>
          <w:szCs w:val="24"/>
          <w:lang w:eastAsia="da-DK"/>
        </w:rPr>
        <w:t xml:space="preserve"> og </w:t>
      </w:r>
      <w:proofErr w:type="spellStart"/>
      <w:r w:rsidRPr="005C6F13">
        <w:rPr>
          <w:sz w:val="24"/>
          <w:szCs w:val="24"/>
          <w:lang w:eastAsia="da-DK"/>
        </w:rPr>
        <w:t>levosimendan</w:t>
      </w:r>
      <w:proofErr w:type="spellEnd"/>
      <w:r w:rsidRPr="005C6F13">
        <w:rPr>
          <w:sz w:val="24"/>
          <w:szCs w:val="24"/>
          <w:lang w:eastAsia="da-DK"/>
        </w:rPr>
        <w:t xml:space="preserve"> infusion. Infusion med </w:t>
      </w:r>
      <w:proofErr w:type="spellStart"/>
      <w:r w:rsidRPr="005C6F13">
        <w:rPr>
          <w:sz w:val="24"/>
          <w:szCs w:val="24"/>
          <w:lang w:eastAsia="da-DK"/>
        </w:rPr>
        <w:t>levosimendan</w:t>
      </w:r>
      <w:proofErr w:type="spellEnd"/>
      <w:r w:rsidRPr="005C6F13">
        <w:rPr>
          <w:sz w:val="24"/>
          <w:szCs w:val="24"/>
          <w:lang w:eastAsia="da-DK"/>
        </w:rPr>
        <w:t xml:space="preserve"> kan administreres til patienter, som får </w:t>
      </w:r>
      <w:r w:rsidRPr="005C6F13">
        <w:rPr>
          <w:sz w:val="24"/>
          <w:szCs w:val="24"/>
          <w:u w:val="single"/>
          <w:lang w:eastAsia="da-DK"/>
        </w:rPr>
        <w:t>betablokkere,</w:t>
      </w:r>
      <w:r w:rsidRPr="005C6F13">
        <w:rPr>
          <w:sz w:val="24"/>
          <w:szCs w:val="24"/>
          <w:lang w:eastAsia="da-DK"/>
        </w:rPr>
        <w:t xml:space="preserve"> uden virkningstab.</w:t>
      </w:r>
    </w:p>
    <w:p w:rsidR="009F3408" w:rsidRDefault="009F3408" w:rsidP="006C2BEE">
      <w:pPr>
        <w:autoSpaceDE w:val="0"/>
        <w:autoSpaceDN w:val="0"/>
        <w:adjustRightInd w:val="0"/>
        <w:ind w:left="851"/>
        <w:rPr>
          <w:sz w:val="24"/>
          <w:szCs w:val="24"/>
          <w:lang w:eastAsia="da-DK"/>
        </w:rPr>
      </w:pPr>
    </w:p>
    <w:p w:rsidR="009F3408" w:rsidRPr="005C6F13" w:rsidRDefault="009F3408" w:rsidP="009F3408">
      <w:pPr>
        <w:autoSpaceDE w:val="0"/>
        <w:autoSpaceDN w:val="0"/>
        <w:adjustRightInd w:val="0"/>
        <w:ind w:left="851"/>
        <w:rPr>
          <w:sz w:val="24"/>
          <w:szCs w:val="24"/>
          <w:lang w:eastAsia="da-DK"/>
        </w:rPr>
      </w:pPr>
      <w:proofErr w:type="spellStart"/>
      <w:r>
        <w:rPr>
          <w:sz w:val="24"/>
          <w:szCs w:val="24"/>
          <w:lang w:eastAsia="da-DK"/>
        </w:rPr>
        <w:t>Levosimendan</w:t>
      </w:r>
      <w:proofErr w:type="spellEnd"/>
      <w:r>
        <w:rPr>
          <w:sz w:val="24"/>
          <w:szCs w:val="24"/>
          <w:lang w:eastAsia="da-DK"/>
        </w:rPr>
        <w:t xml:space="preserve"> har vist sig at være en hæmmer af CYP2C8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 og det kan derfor ikke udelukkes, at </w:t>
      </w:r>
      <w:proofErr w:type="spellStart"/>
      <w:r>
        <w:rPr>
          <w:sz w:val="24"/>
          <w:szCs w:val="24"/>
          <w:lang w:eastAsia="da-DK"/>
        </w:rPr>
        <w:t>levosimendan</w:t>
      </w:r>
      <w:proofErr w:type="spellEnd"/>
      <w:r>
        <w:rPr>
          <w:sz w:val="24"/>
          <w:szCs w:val="24"/>
          <w:lang w:eastAsia="da-DK"/>
        </w:rPr>
        <w:t xml:space="preserve"> kan øge eksponeringen af samtidig administrerede lægemidler, som primært </w:t>
      </w:r>
      <w:proofErr w:type="spellStart"/>
      <w:r>
        <w:rPr>
          <w:sz w:val="24"/>
          <w:szCs w:val="24"/>
          <w:lang w:eastAsia="da-DK"/>
        </w:rPr>
        <w:t>metaboliseres</w:t>
      </w:r>
      <w:proofErr w:type="spellEnd"/>
      <w:r>
        <w:rPr>
          <w:sz w:val="24"/>
          <w:szCs w:val="24"/>
          <w:lang w:eastAsia="da-DK"/>
        </w:rPr>
        <w:t xml:space="preserve"> af CYP2C8. Derfor bør samtidig administration af </w:t>
      </w:r>
      <w:proofErr w:type="spellStart"/>
      <w:r>
        <w:rPr>
          <w:sz w:val="24"/>
          <w:szCs w:val="24"/>
          <w:lang w:eastAsia="da-DK"/>
        </w:rPr>
        <w:t>levosimendan</w:t>
      </w:r>
      <w:proofErr w:type="spellEnd"/>
      <w:r>
        <w:rPr>
          <w:sz w:val="24"/>
          <w:szCs w:val="24"/>
          <w:lang w:eastAsia="da-DK"/>
        </w:rPr>
        <w:t xml:space="preserve"> med sensitive CYP2C8-substrater, såsom </w:t>
      </w:r>
      <w:proofErr w:type="spellStart"/>
      <w:r>
        <w:rPr>
          <w:sz w:val="24"/>
          <w:szCs w:val="24"/>
          <w:lang w:eastAsia="da-DK"/>
        </w:rPr>
        <w:t>loperamid</w:t>
      </w:r>
      <w:proofErr w:type="spellEnd"/>
      <w:r>
        <w:rPr>
          <w:sz w:val="24"/>
          <w:szCs w:val="24"/>
          <w:lang w:eastAsia="da-DK"/>
        </w:rPr>
        <w:t xml:space="preserve">, </w:t>
      </w:r>
      <w:proofErr w:type="spellStart"/>
      <w:r>
        <w:rPr>
          <w:sz w:val="24"/>
          <w:szCs w:val="24"/>
          <w:lang w:eastAsia="da-DK"/>
        </w:rPr>
        <w:t>pioglitazon</w:t>
      </w:r>
      <w:proofErr w:type="spellEnd"/>
      <w:r>
        <w:rPr>
          <w:sz w:val="24"/>
          <w:szCs w:val="24"/>
          <w:lang w:eastAsia="da-DK"/>
        </w:rPr>
        <w:t xml:space="preserve">, </w:t>
      </w:r>
      <w:proofErr w:type="spellStart"/>
      <w:r>
        <w:rPr>
          <w:sz w:val="24"/>
          <w:szCs w:val="24"/>
          <w:lang w:eastAsia="da-DK"/>
        </w:rPr>
        <w:t>repaglinid</w:t>
      </w:r>
      <w:proofErr w:type="spellEnd"/>
      <w:r>
        <w:rPr>
          <w:sz w:val="24"/>
          <w:szCs w:val="24"/>
          <w:lang w:eastAsia="da-DK"/>
        </w:rPr>
        <w:t xml:space="preserve"> og </w:t>
      </w:r>
      <w:proofErr w:type="spellStart"/>
      <w:r>
        <w:rPr>
          <w:sz w:val="24"/>
          <w:szCs w:val="24"/>
          <w:lang w:eastAsia="da-DK"/>
        </w:rPr>
        <w:t>enzaluamid</w:t>
      </w:r>
      <w:proofErr w:type="spellEnd"/>
      <w:r>
        <w:rPr>
          <w:sz w:val="24"/>
          <w:szCs w:val="24"/>
          <w:lang w:eastAsia="da-DK"/>
        </w:rPr>
        <w:t xml:space="preserve">, så vidt muligt undgås. </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4.6</w:t>
      </w:r>
      <w:r w:rsidRPr="005C6F13">
        <w:rPr>
          <w:b/>
          <w:sz w:val="24"/>
          <w:szCs w:val="24"/>
        </w:rPr>
        <w:tab/>
      </w:r>
      <w:r w:rsidR="009F3408">
        <w:rPr>
          <w:b/>
          <w:sz w:val="24"/>
          <w:szCs w:val="24"/>
        </w:rPr>
        <w:t>Fertilitet, g</w:t>
      </w:r>
      <w:r w:rsidRPr="005C6F13">
        <w:rPr>
          <w:b/>
          <w:sz w:val="24"/>
          <w:szCs w:val="24"/>
        </w:rPr>
        <w:t>raviditet og amning</w:t>
      </w:r>
    </w:p>
    <w:p w:rsidR="006C2BEE" w:rsidRDefault="006C2BEE" w:rsidP="006C2BEE">
      <w:pPr>
        <w:autoSpaceDE w:val="0"/>
        <w:autoSpaceDN w:val="0"/>
        <w:adjustRightInd w:val="0"/>
        <w:ind w:left="851" w:hanging="851"/>
        <w:rPr>
          <w:sz w:val="24"/>
          <w:szCs w:val="24"/>
        </w:rPr>
      </w:pPr>
    </w:p>
    <w:p w:rsidR="006C2BEE" w:rsidRPr="005C6F13" w:rsidRDefault="006C2BEE" w:rsidP="006C2BEE">
      <w:pPr>
        <w:ind w:left="851"/>
        <w:rPr>
          <w:sz w:val="24"/>
          <w:szCs w:val="24"/>
          <w:u w:val="single"/>
        </w:rPr>
      </w:pPr>
      <w:r w:rsidRPr="005C6F13">
        <w:rPr>
          <w:sz w:val="24"/>
          <w:szCs w:val="24"/>
          <w:u w:val="single"/>
        </w:rPr>
        <w:t>Fertilitet</w:t>
      </w:r>
    </w:p>
    <w:p w:rsidR="006C2BEE" w:rsidRPr="005C6F13" w:rsidRDefault="006C2BEE" w:rsidP="006C2BEE">
      <w:pPr>
        <w:ind w:left="851"/>
        <w:rPr>
          <w:sz w:val="24"/>
          <w:szCs w:val="24"/>
        </w:rPr>
      </w:pPr>
      <w:r w:rsidRPr="005C6F13">
        <w:rPr>
          <w:sz w:val="24"/>
          <w:szCs w:val="24"/>
        </w:rPr>
        <w:t>Dyrestudier har påvist toksiske virkninger på reproduktion (se pkt. 5.3).</w:t>
      </w:r>
    </w:p>
    <w:p w:rsidR="006C2BEE" w:rsidRDefault="006C2BEE" w:rsidP="006C2BEE">
      <w:pPr>
        <w:autoSpaceDE w:val="0"/>
        <w:autoSpaceDN w:val="0"/>
        <w:adjustRightInd w:val="0"/>
        <w:ind w:left="851" w:hanging="851"/>
        <w:rPr>
          <w:sz w:val="24"/>
          <w:szCs w:val="24"/>
        </w:rPr>
      </w:pPr>
    </w:p>
    <w:p w:rsidR="006C2BEE" w:rsidRPr="005C6F13" w:rsidRDefault="006C2BEE" w:rsidP="006C2BEE">
      <w:pPr>
        <w:autoSpaceDE w:val="0"/>
        <w:autoSpaceDN w:val="0"/>
        <w:adjustRightInd w:val="0"/>
        <w:ind w:left="851" w:hanging="851"/>
        <w:rPr>
          <w:sz w:val="24"/>
          <w:szCs w:val="24"/>
          <w:u w:val="single"/>
          <w:lang w:eastAsia="da-DK"/>
        </w:rPr>
      </w:pPr>
      <w:r w:rsidRPr="005C6F13">
        <w:rPr>
          <w:sz w:val="24"/>
          <w:szCs w:val="24"/>
        </w:rPr>
        <w:tab/>
      </w:r>
      <w:r w:rsidRPr="005C6F13">
        <w:rPr>
          <w:sz w:val="24"/>
          <w:szCs w:val="24"/>
          <w:u w:val="single"/>
          <w:lang w:eastAsia="da-DK"/>
        </w:rPr>
        <w:t>Graviditet</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Der er ingen erfaring med anvendelse af </w:t>
      </w:r>
      <w:proofErr w:type="spellStart"/>
      <w:r w:rsidRPr="005C6F13">
        <w:rPr>
          <w:sz w:val="24"/>
          <w:szCs w:val="24"/>
          <w:lang w:eastAsia="da-DK"/>
        </w:rPr>
        <w:t>levosimendan</w:t>
      </w:r>
      <w:proofErr w:type="spellEnd"/>
      <w:r w:rsidRPr="005C6F13">
        <w:rPr>
          <w:sz w:val="24"/>
          <w:szCs w:val="24"/>
          <w:lang w:eastAsia="da-DK"/>
        </w:rPr>
        <w:t xml:space="preserve"> til gravide kvinder. Data fra dyrestudier har påvist reproduktionstoksicitet (se pkt. 5.3). </w:t>
      </w:r>
      <w:proofErr w:type="spellStart"/>
      <w:r w:rsidRPr="005C6F13">
        <w:rPr>
          <w:sz w:val="24"/>
          <w:szCs w:val="24"/>
          <w:lang w:eastAsia="da-DK"/>
        </w:rPr>
        <w:t>Levosimendan</w:t>
      </w:r>
      <w:proofErr w:type="spellEnd"/>
      <w:r w:rsidRPr="005C6F13">
        <w:rPr>
          <w:sz w:val="24"/>
          <w:szCs w:val="24"/>
          <w:lang w:eastAsia="da-DK"/>
        </w:rPr>
        <w:t xml:space="preserve"> bør derfor kun anvendes til gravide kvinder, hvis fordelene for moderen opvejer de mulige risici for fosteret.</w:t>
      </w:r>
    </w:p>
    <w:p w:rsidR="006C2BEE" w:rsidRPr="005C6F13" w:rsidRDefault="006C2BEE" w:rsidP="006C2BEE">
      <w:pPr>
        <w:autoSpaceDE w:val="0"/>
        <w:autoSpaceDN w:val="0"/>
        <w:adjustRightInd w:val="0"/>
        <w:ind w:left="851" w:hanging="851"/>
        <w:rPr>
          <w:sz w:val="24"/>
          <w:szCs w:val="24"/>
          <w:lang w:eastAsia="da-DK"/>
        </w:rPr>
      </w:pPr>
    </w:p>
    <w:p w:rsidR="00B6763C" w:rsidRPr="005C6F13" w:rsidRDefault="00B6763C" w:rsidP="00B6763C">
      <w:pPr>
        <w:autoSpaceDE w:val="0"/>
        <w:autoSpaceDN w:val="0"/>
        <w:adjustRightInd w:val="0"/>
        <w:ind w:left="851"/>
        <w:rPr>
          <w:sz w:val="24"/>
          <w:szCs w:val="24"/>
          <w:u w:val="single"/>
          <w:lang w:eastAsia="da-DK"/>
        </w:rPr>
      </w:pPr>
      <w:r w:rsidRPr="005C6F13">
        <w:rPr>
          <w:sz w:val="24"/>
          <w:szCs w:val="24"/>
          <w:u w:val="single"/>
          <w:lang w:eastAsia="da-DK"/>
        </w:rPr>
        <w:t>Amning</w:t>
      </w:r>
    </w:p>
    <w:p w:rsidR="00B6763C" w:rsidRPr="00B6763C" w:rsidRDefault="00B6763C" w:rsidP="00B6763C">
      <w:pPr>
        <w:autoSpaceDE w:val="0"/>
        <w:autoSpaceDN w:val="0"/>
        <w:adjustRightInd w:val="0"/>
        <w:ind w:left="851"/>
        <w:rPr>
          <w:sz w:val="24"/>
          <w:szCs w:val="24"/>
          <w:lang w:eastAsia="da-DK"/>
        </w:rPr>
      </w:pPr>
      <w:r w:rsidRPr="00B6763C">
        <w:rPr>
          <w:sz w:val="24"/>
          <w:szCs w:val="24"/>
          <w:lang w:eastAsia="da-DK"/>
        </w:rPr>
        <w:t xml:space="preserve">Oplysninger fra anvendelse efter markedsføring hos ammende kvinder viser, at </w:t>
      </w:r>
      <w:proofErr w:type="spellStart"/>
      <w:r w:rsidRPr="00B6763C">
        <w:rPr>
          <w:sz w:val="24"/>
          <w:szCs w:val="24"/>
          <w:lang w:eastAsia="da-DK"/>
        </w:rPr>
        <w:t>levosimendans</w:t>
      </w:r>
      <w:proofErr w:type="spellEnd"/>
      <w:r w:rsidRPr="00B6763C">
        <w:rPr>
          <w:sz w:val="24"/>
          <w:szCs w:val="24"/>
          <w:lang w:eastAsia="da-DK"/>
        </w:rPr>
        <w:t xml:space="preserve"> aktive metabolitter, OR-1896 og OR-1855, udskilles i modermælk og blev påvist i mælk i mindst 14 dage efter påbegyndelsen af 24-timers infusionen med </w:t>
      </w:r>
      <w:proofErr w:type="spellStart"/>
      <w:r w:rsidRPr="00B6763C">
        <w:rPr>
          <w:sz w:val="24"/>
          <w:szCs w:val="24"/>
          <w:lang w:eastAsia="da-DK"/>
        </w:rPr>
        <w:t>levosimendan</w:t>
      </w:r>
      <w:proofErr w:type="spellEnd"/>
      <w:r w:rsidRPr="00B6763C">
        <w:rPr>
          <w:sz w:val="24"/>
          <w:szCs w:val="24"/>
          <w:lang w:eastAsia="da-DK"/>
        </w:rPr>
        <w:t xml:space="preserve">. For at undgå potentielle </w:t>
      </w:r>
      <w:proofErr w:type="spellStart"/>
      <w:r w:rsidRPr="00B6763C">
        <w:rPr>
          <w:sz w:val="24"/>
          <w:szCs w:val="24"/>
          <w:lang w:eastAsia="da-DK"/>
        </w:rPr>
        <w:t>kardiovaskulære</w:t>
      </w:r>
      <w:proofErr w:type="spellEnd"/>
      <w:r w:rsidRPr="00B6763C">
        <w:rPr>
          <w:sz w:val="24"/>
          <w:szCs w:val="24"/>
          <w:lang w:eastAsia="da-DK"/>
        </w:rPr>
        <w:t xml:space="preserve"> bivirkninger hos barnet bør kvinder, der får </w:t>
      </w:r>
      <w:proofErr w:type="spellStart"/>
      <w:r w:rsidRPr="00B6763C">
        <w:rPr>
          <w:sz w:val="24"/>
          <w:szCs w:val="24"/>
          <w:lang w:eastAsia="da-DK"/>
        </w:rPr>
        <w:t>levosimendan</w:t>
      </w:r>
      <w:proofErr w:type="spellEnd"/>
      <w:r w:rsidRPr="00B6763C">
        <w:rPr>
          <w:sz w:val="24"/>
          <w:szCs w:val="24"/>
          <w:lang w:eastAsia="da-DK"/>
        </w:rPr>
        <w:t>, ikke amme.</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4.7</w:t>
      </w:r>
      <w:r w:rsidRPr="005C6F13">
        <w:rPr>
          <w:b/>
          <w:sz w:val="24"/>
          <w:szCs w:val="24"/>
        </w:rPr>
        <w:tab/>
        <w:t xml:space="preserve">Virkning på evnen til at føre motorkøretøj </w:t>
      </w:r>
      <w:r w:rsidR="009F3408">
        <w:rPr>
          <w:b/>
          <w:sz w:val="24"/>
          <w:szCs w:val="24"/>
        </w:rPr>
        <w:t>og</w:t>
      </w:r>
      <w:r w:rsidRPr="005C6F13">
        <w:rPr>
          <w:b/>
          <w:sz w:val="24"/>
          <w:szCs w:val="24"/>
        </w:rPr>
        <w:t xml:space="preserve"> betjene maskiner</w:t>
      </w:r>
    </w:p>
    <w:p w:rsidR="006C2BEE" w:rsidRDefault="006C2BEE" w:rsidP="006C2BEE">
      <w:pPr>
        <w:ind w:left="851" w:hanging="851"/>
        <w:rPr>
          <w:sz w:val="24"/>
          <w:szCs w:val="24"/>
        </w:rPr>
      </w:pPr>
      <w:r w:rsidRPr="005C6F13">
        <w:rPr>
          <w:sz w:val="24"/>
          <w:szCs w:val="24"/>
        </w:rPr>
        <w:tab/>
      </w:r>
      <w:r>
        <w:rPr>
          <w:sz w:val="24"/>
          <w:szCs w:val="24"/>
        </w:rPr>
        <w:t>Ikke mærkning.</w:t>
      </w:r>
    </w:p>
    <w:p w:rsidR="006C2BEE" w:rsidRPr="005C6F13" w:rsidRDefault="006C2BEE" w:rsidP="006C2BEE">
      <w:pPr>
        <w:ind w:left="851"/>
        <w:rPr>
          <w:sz w:val="24"/>
          <w:szCs w:val="24"/>
        </w:rPr>
      </w:pPr>
      <w:r w:rsidRPr="005C6F13">
        <w:rPr>
          <w:sz w:val="24"/>
          <w:szCs w:val="24"/>
        </w:rPr>
        <w:t>Ikke relevant.</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4.8</w:t>
      </w:r>
      <w:r w:rsidRPr="005C6F13">
        <w:rPr>
          <w:b/>
          <w:sz w:val="24"/>
          <w:szCs w:val="24"/>
        </w:rPr>
        <w:tab/>
        <w:t>Bivirkninger</w:t>
      </w:r>
    </w:p>
    <w:p w:rsidR="006C2BEE" w:rsidRDefault="006C2BEE" w:rsidP="006C2BEE">
      <w:pPr>
        <w:ind w:left="851" w:hanging="851"/>
        <w:rPr>
          <w:sz w:val="24"/>
          <w:szCs w:val="24"/>
        </w:rPr>
      </w:pPr>
      <w:r w:rsidRPr="005C6F13">
        <w:rPr>
          <w:sz w:val="24"/>
          <w:szCs w:val="24"/>
        </w:rPr>
        <w:tab/>
        <w:t xml:space="preserve">I placebo-kontrollerede kliniske studier for Akut </w:t>
      </w:r>
      <w:proofErr w:type="spellStart"/>
      <w:r w:rsidRPr="005C6F13">
        <w:rPr>
          <w:sz w:val="24"/>
          <w:szCs w:val="24"/>
          <w:lang w:eastAsia="de-DE"/>
        </w:rPr>
        <w:t>dekompenseret</w:t>
      </w:r>
      <w:proofErr w:type="spellEnd"/>
      <w:r w:rsidRPr="005C6F13">
        <w:rPr>
          <w:sz w:val="24"/>
          <w:szCs w:val="24"/>
        </w:rPr>
        <w:t xml:space="preserve"> hjertesvigt (ADHF) (REVIVE [</w:t>
      </w:r>
      <w:proofErr w:type="spellStart"/>
      <w:r w:rsidRPr="005C6F13">
        <w:rPr>
          <w:sz w:val="24"/>
          <w:szCs w:val="24"/>
        </w:rPr>
        <w:t>Randomized</w:t>
      </w:r>
      <w:proofErr w:type="spellEnd"/>
      <w:r w:rsidRPr="005C6F13">
        <w:rPr>
          <w:sz w:val="24"/>
          <w:szCs w:val="24"/>
        </w:rPr>
        <w:t xml:space="preserve"> Multicenter Evaluation of </w:t>
      </w:r>
      <w:proofErr w:type="spellStart"/>
      <w:r w:rsidRPr="005C6F13">
        <w:rPr>
          <w:sz w:val="24"/>
          <w:szCs w:val="24"/>
        </w:rPr>
        <w:t>Intravenous</w:t>
      </w:r>
      <w:proofErr w:type="spellEnd"/>
      <w:r w:rsidRPr="005C6F13">
        <w:rPr>
          <w:sz w:val="24"/>
          <w:szCs w:val="24"/>
        </w:rPr>
        <w:t xml:space="preserve"> </w:t>
      </w:r>
      <w:proofErr w:type="spellStart"/>
      <w:r w:rsidRPr="005C6F13">
        <w:rPr>
          <w:sz w:val="24"/>
          <w:szCs w:val="24"/>
        </w:rPr>
        <w:t>Levosimendan</w:t>
      </w:r>
      <w:proofErr w:type="spellEnd"/>
      <w:r w:rsidRPr="005C6F13">
        <w:rPr>
          <w:sz w:val="24"/>
          <w:szCs w:val="24"/>
        </w:rPr>
        <w:t xml:space="preserve"> </w:t>
      </w:r>
      <w:proofErr w:type="spellStart"/>
      <w:proofErr w:type="gramStart"/>
      <w:r w:rsidRPr="005C6F13">
        <w:rPr>
          <w:sz w:val="24"/>
          <w:szCs w:val="24"/>
        </w:rPr>
        <w:t>Efficacy</w:t>
      </w:r>
      <w:proofErr w:type="spellEnd"/>
      <w:r w:rsidRPr="005C6F13">
        <w:rPr>
          <w:sz w:val="24"/>
          <w:szCs w:val="24"/>
        </w:rPr>
        <w:t>]-</w:t>
      </w:r>
      <w:proofErr w:type="gramEnd"/>
      <w:r w:rsidRPr="005C6F13">
        <w:rPr>
          <w:sz w:val="24"/>
          <w:szCs w:val="24"/>
        </w:rPr>
        <w:t xml:space="preserve">program) </w:t>
      </w:r>
      <w:r w:rsidRPr="005C6F13">
        <w:rPr>
          <w:sz w:val="24"/>
          <w:szCs w:val="24"/>
          <w:lang w:eastAsia="de-DE"/>
        </w:rPr>
        <w:t>oplevede</w:t>
      </w:r>
      <w:r w:rsidRPr="005C6F13">
        <w:rPr>
          <w:sz w:val="24"/>
          <w:szCs w:val="24"/>
        </w:rPr>
        <w:t xml:space="preserve"> 53 % af patienterne bivirkninger. De hyppigste bivirkninger var </w:t>
      </w:r>
      <w:proofErr w:type="spellStart"/>
      <w:r w:rsidRPr="005C6F13">
        <w:rPr>
          <w:sz w:val="24"/>
          <w:szCs w:val="24"/>
        </w:rPr>
        <w:t>ventrikulær</w:t>
      </w:r>
      <w:proofErr w:type="spellEnd"/>
      <w:r w:rsidRPr="005C6F13">
        <w:rPr>
          <w:sz w:val="24"/>
          <w:szCs w:val="24"/>
        </w:rPr>
        <w:t xml:space="preserve"> </w:t>
      </w:r>
      <w:proofErr w:type="spellStart"/>
      <w:r w:rsidRPr="005C6F13">
        <w:rPr>
          <w:sz w:val="24"/>
          <w:szCs w:val="24"/>
        </w:rPr>
        <w:t>takykardi</w:t>
      </w:r>
      <w:proofErr w:type="spellEnd"/>
      <w:r w:rsidRPr="005C6F13">
        <w:rPr>
          <w:sz w:val="24"/>
          <w:szCs w:val="24"/>
        </w:rPr>
        <w:t>, hypotension og hovedpine.</w:t>
      </w:r>
    </w:p>
    <w:p w:rsidR="006C2BEE" w:rsidRDefault="006C2BEE" w:rsidP="006C2BEE">
      <w:pPr>
        <w:ind w:left="851" w:hanging="851"/>
        <w:rPr>
          <w:sz w:val="24"/>
          <w:szCs w:val="24"/>
        </w:rPr>
      </w:pPr>
    </w:p>
    <w:p w:rsidR="006C2BEE" w:rsidRDefault="006C2BEE" w:rsidP="006C2BEE">
      <w:pPr>
        <w:ind w:left="851"/>
        <w:rPr>
          <w:sz w:val="24"/>
          <w:szCs w:val="24"/>
        </w:rPr>
      </w:pPr>
      <w:r w:rsidRPr="005C6F13">
        <w:rPr>
          <w:sz w:val="24"/>
          <w:szCs w:val="24"/>
        </w:rPr>
        <w:t xml:space="preserve">I et </w:t>
      </w:r>
      <w:proofErr w:type="spellStart"/>
      <w:r w:rsidRPr="005C6F13">
        <w:rPr>
          <w:sz w:val="24"/>
          <w:szCs w:val="24"/>
        </w:rPr>
        <w:t>dobutamin-kontrollert</w:t>
      </w:r>
      <w:proofErr w:type="spellEnd"/>
      <w:r w:rsidRPr="005C6F13">
        <w:rPr>
          <w:sz w:val="24"/>
          <w:szCs w:val="24"/>
        </w:rPr>
        <w:t xml:space="preserve"> klinisk studie for ADHF (SURVIVE [</w:t>
      </w:r>
      <w:proofErr w:type="spellStart"/>
      <w:r w:rsidRPr="005C6F13">
        <w:rPr>
          <w:sz w:val="24"/>
          <w:szCs w:val="24"/>
        </w:rPr>
        <w:t>Survival</w:t>
      </w:r>
      <w:proofErr w:type="spellEnd"/>
      <w:r w:rsidRPr="005C6F13">
        <w:rPr>
          <w:sz w:val="24"/>
          <w:szCs w:val="24"/>
        </w:rPr>
        <w:t xml:space="preserve"> of Patients with </w:t>
      </w:r>
      <w:proofErr w:type="spellStart"/>
      <w:r w:rsidRPr="005C6F13">
        <w:rPr>
          <w:sz w:val="24"/>
          <w:szCs w:val="24"/>
        </w:rPr>
        <w:t>Acute</w:t>
      </w:r>
      <w:proofErr w:type="spellEnd"/>
      <w:r w:rsidRPr="005C6F13">
        <w:rPr>
          <w:sz w:val="24"/>
          <w:szCs w:val="24"/>
        </w:rPr>
        <w:t xml:space="preserve"> Heart </w:t>
      </w:r>
      <w:proofErr w:type="spellStart"/>
      <w:r w:rsidRPr="005C6F13">
        <w:rPr>
          <w:sz w:val="24"/>
          <w:szCs w:val="24"/>
        </w:rPr>
        <w:t>Failure</w:t>
      </w:r>
      <w:proofErr w:type="spellEnd"/>
      <w:r w:rsidRPr="005C6F13">
        <w:rPr>
          <w:sz w:val="24"/>
          <w:szCs w:val="24"/>
        </w:rPr>
        <w:t xml:space="preserve"> in </w:t>
      </w:r>
      <w:proofErr w:type="spellStart"/>
      <w:r w:rsidRPr="005C6F13">
        <w:rPr>
          <w:sz w:val="24"/>
          <w:szCs w:val="24"/>
        </w:rPr>
        <w:t>Need</w:t>
      </w:r>
      <w:proofErr w:type="spellEnd"/>
      <w:r w:rsidRPr="005C6F13">
        <w:rPr>
          <w:sz w:val="24"/>
          <w:szCs w:val="24"/>
        </w:rPr>
        <w:t xml:space="preserve"> of </w:t>
      </w:r>
      <w:proofErr w:type="spellStart"/>
      <w:r w:rsidRPr="005C6F13">
        <w:rPr>
          <w:sz w:val="24"/>
          <w:szCs w:val="24"/>
        </w:rPr>
        <w:t>Intravenous</w:t>
      </w:r>
      <w:proofErr w:type="spellEnd"/>
      <w:r w:rsidRPr="005C6F13">
        <w:rPr>
          <w:sz w:val="24"/>
          <w:szCs w:val="24"/>
        </w:rPr>
        <w:t xml:space="preserve"> </w:t>
      </w:r>
      <w:proofErr w:type="spellStart"/>
      <w:r w:rsidRPr="005C6F13">
        <w:rPr>
          <w:sz w:val="24"/>
          <w:szCs w:val="24"/>
        </w:rPr>
        <w:t>Inotropic</w:t>
      </w:r>
      <w:proofErr w:type="spellEnd"/>
      <w:r w:rsidRPr="005C6F13">
        <w:rPr>
          <w:sz w:val="24"/>
          <w:szCs w:val="24"/>
        </w:rPr>
        <w:t xml:space="preserve"> Support]) oplevede 18 % af </w:t>
      </w:r>
      <w:r w:rsidRPr="005C6F13">
        <w:rPr>
          <w:sz w:val="24"/>
          <w:szCs w:val="24"/>
        </w:rPr>
        <w:lastRenderedPageBreak/>
        <w:t xml:space="preserve">patienterne bivirkninger. De hyppigste bivirkninger var </w:t>
      </w:r>
      <w:proofErr w:type="spellStart"/>
      <w:r w:rsidRPr="005C6F13">
        <w:rPr>
          <w:sz w:val="24"/>
          <w:szCs w:val="24"/>
        </w:rPr>
        <w:t>ventrikulær</w:t>
      </w:r>
      <w:proofErr w:type="spellEnd"/>
      <w:r w:rsidRPr="005C6F13">
        <w:rPr>
          <w:sz w:val="24"/>
          <w:szCs w:val="24"/>
        </w:rPr>
        <w:t xml:space="preserve"> </w:t>
      </w:r>
      <w:proofErr w:type="spellStart"/>
      <w:r w:rsidRPr="005C6F13">
        <w:rPr>
          <w:sz w:val="24"/>
          <w:szCs w:val="24"/>
        </w:rPr>
        <w:t>takykardi</w:t>
      </w:r>
      <w:proofErr w:type="spellEnd"/>
      <w:r w:rsidRPr="005C6F13">
        <w:rPr>
          <w:sz w:val="24"/>
          <w:szCs w:val="24"/>
        </w:rPr>
        <w:t xml:space="preserve">, atrieflimren, hypotension, </w:t>
      </w:r>
      <w:proofErr w:type="spellStart"/>
      <w:r w:rsidRPr="005C6F13">
        <w:rPr>
          <w:sz w:val="24"/>
          <w:szCs w:val="24"/>
        </w:rPr>
        <w:t>ventrikulær</w:t>
      </w:r>
      <w:proofErr w:type="spellEnd"/>
      <w:r w:rsidRPr="005C6F13">
        <w:rPr>
          <w:sz w:val="24"/>
          <w:szCs w:val="24"/>
        </w:rPr>
        <w:t xml:space="preserve"> ekstrasystole, </w:t>
      </w:r>
      <w:proofErr w:type="spellStart"/>
      <w:r w:rsidRPr="005C6F13">
        <w:rPr>
          <w:sz w:val="24"/>
          <w:szCs w:val="24"/>
        </w:rPr>
        <w:t>takykardi</w:t>
      </w:r>
      <w:proofErr w:type="spellEnd"/>
      <w:r w:rsidRPr="005C6F13">
        <w:rPr>
          <w:sz w:val="24"/>
          <w:szCs w:val="24"/>
        </w:rPr>
        <w:t xml:space="preserve"> og hovedpine.</w:t>
      </w:r>
    </w:p>
    <w:p w:rsidR="006C2BEE" w:rsidRDefault="006C2BEE" w:rsidP="006C2BEE">
      <w:pPr>
        <w:ind w:left="851"/>
        <w:rPr>
          <w:sz w:val="24"/>
          <w:szCs w:val="24"/>
        </w:rPr>
      </w:pPr>
    </w:p>
    <w:p w:rsidR="006C2BEE" w:rsidRDefault="006C2BEE" w:rsidP="006C2BEE">
      <w:pPr>
        <w:ind w:left="851"/>
        <w:rPr>
          <w:sz w:val="24"/>
          <w:szCs w:val="24"/>
        </w:rPr>
      </w:pPr>
      <w:r w:rsidRPr="005C6F13">
        <w:rPr>
          <w:sz w:val="24"/>
          <w:szCs w:val="24"/>
        </w:rPr>
        <w:t>De følgende tabeller beskriver bivirkninger, som blev observeret hos 1 % eller flere af patienterne, i de kliniske studier REVIVE I, REVIVE II, SURVIVE, LIDO [</w:t>
      </w:r>
      <w:proofErr w:type="spellStart"/>
      <w:r w:rsidRPr="005C6F13">
        <w:rPr>
          <w:sz w:val="24"/>
          <w:szCs w:val="24"/>
        </w:rPr>
        <w:t>Levosimendan</w:t>
      </w:r>
      <w:proofErr w:type="spellEnd"/>
      <w:r w:rsidRPr="005C6F13">
        <w:rPr>
          <w:sz w:val="24"/>
          <w:szCs w:val="24"/>
        </w:rPr>
        <w:t xml:space="preserve"> Infusion versus </w:t>
      </w:r>
      <w:proofErr w:type="spellStart"/>
      <w:r w:rsidRPr="005C6F13">
        <w:rPr>
          <w:sz w:val="24"/>
          <w:szCs w:val="24"/>
        </w:rPr>
        <w:t>Dobutamine</w:t>
      </w:r>
      <w:proofErr w:type="spellEnd"/>
      <w:r w:rsidRPr="005C6F13">
        <w:rPr>
          <w:sz w:val="24"/>
          <w:szCs w:val="24"/>
        </w:rPr>
        <w:t>], RUSSLAN [</w:t>
      </w:r>
      <w:proofErr w:type="spellStart"/>
      <w:r w:rsidRPr="005C6F13">
        <w:rPr>
          <w:sz w:val="24"/>
          <w:szCs w:val="24"/>
        </w:rPr>
        <w:t>Randomized</w:t>
      </w:r>
      <w:proofErr w:type="spellEnd"/>
      <w:r w:rsidRPr="005C6F13">
        <w:rPr>
          <w:sz w:val="24"/>
          <w:szCs w:val="24"/>
        </w:rPr>
        <w:t xml:space="preserve"> </w:t>
      </w:r>
      <w:proofErr w:type="spellStart"/>
      <w:r w:rsidRPr="005C6F13">
        <w:rPr>
          <w:sz w:val="24"/>
          <w:szCs w:val="24"/>
        </w:rPr>
        <w:t>Study</w:t>
      </w:r>
      <w:proofErr w:type="spellEnd"/>
      <w:r w:rsidRPr="005C6F13">
        <w:rPr>
          <w:sz w:val="24"/>
          <w:szCs w:val="24"/>
        </w:rPr>
        <w:t xml:space="preserve"> on </w:t>
      </w:r>
      <w:r w:rsidRPr="005C6F13">
        <w:rPr>
          <w:sz w:val="24"/>
          <w:szCs w:val="24"/>
          <w:lang w:eastAsia="de-DE"/>
        </w:rPr>
        <w:t>Safety</w:t>
      </w:r>
      <w:r w:rsidRPr="005C6F13">
        <w:rPr>
          <w:sz w:val="24"/>
          <w:szCs w:val="24"/>
        </w:rPr>
        <w:t xml:space="preserve"> and </w:t>
      </w:r>
      <w:proofErr w:type="spellStart"/>
      <w:r w:rsidRPr="005C6F13">
        <w:rPr>
          <w:sz w:val="24"/>
          <w:szCs w:val="24"/>
        </w:rPr>
        <w:t>Effectiveness</w:t>
      </w:r>
      <w:proofErr w:type="spellEnd"/>
      <w:r w:rsidRPr="005C6F13">
        <w:rPr>
          <w:sz w:val="24"/>
          <w:szCs w:val="24"/>
        </w:rPr>
        <w:t xml:space="preserve"> of </w:t>
      </w:r>
      <w:proofErr w:type="spellStart"/>
      <w:r w:rsidRPr="005C6F13">
        <w:rPr>
          <w:sz w:val="24"/>
          <w:szCs w:val="24"/>
        </w:rPr>
        <w:t>Levosimendan</w:t>
      </w:r>
      <w:proofErr w:type="spellEnd"/>
      <w:r w:rsidRPr="005C6F13">
        <w:rPr>
          <w:sz w:val="24"/>
          <w:szCs w:val="24"/>
        </w:rPr>
        <w:t xml:space="preserve"> in Patients with </w:t>
      </w:r>
      <w:proofErr w:type="spellStart"/>
      <w:r w:rsidRPr="005C6F13">
        <w:rPr>
          <w:sz w:val="24"/>
          <w:szCs w:val="24"/>
        </w:rPr>
        <w:t>Left</w:t>
      </w:r>
      <w:proofErr w:type="spellEnd"/>
      <w:r w:rsidRPr="005C6F13">
        <w:rPr>
          <w:sz w:val="24"/>
          <w:szCs w:val="24"/>
        </w:rPr>
        <w:t xml:space="preserve"> </w:t>
      </w:r>
      <w:proofErr w:type="spellStart"/>
      <w:r w:rsidRPr="005C6F13">
        <w:rPr>
          <w:sz w:val="24"/>
          <w:szCs w:val="24"/>
        </w:rPr>
        <w:t>Ventricular</w:t>
      </w:r>
      <w:proofErr w:type="spellEnd"/>
      <w:r w:rsidRPr="005C6F13">
        <w:rPr>
          <w:sz w:val="24"/>
          <w:szCs w:val="24"/>
        </w:rPr>
        <w:t xml:space="preserve"> </w:t>
      </w:r>
      <w:proofErr w:type="spellStart"/>
      <w:r w:rsidRPr="005C6F13">
        <w:rPr>
          <w:sz w:val="24"/>
          <w:szCs w:val="24"/>
        </w:rPr>
        <w:t>Failure</w:t>
      </w:r>
      <w:proofErr w:type="spellEnd"/>
      <w:r w:rsidRPr="005C6F13">
        <w:rPr>
          <w:sz w:val="24"/>
          <w:szCs w:val="24"/>
        </w:rPr>
        <w:t xml:space="preserve"> </w:t>
      </w:r>
      <w:proofErr w:type="spellStart"/>
      <w:r w:rsidRPr="005C6F13">
        <w:rPr>
          <w:sz w:val="24"/>
          <w:szCs w:val="24"/>
        </w:rPr>
        <w:t>after</w:t>
      </w:r>
      <w:proofErr w:type="spellEnd"/>
      <w:r w:rsidRPr="005C6F13">
        <w:rPr>
          <w:sz w:val="24"/>
          <w:szCs w:val="24"/>
        </w:rPr>
        <w:t xml:space="preserve"> an </w:t>
      </w:r>
      <w:proofErr w:type="spellStart"/>
      <w:r w:rsidRPr="005C6F13">
        <w:rPr>
          <w:sz w:val="24"/>
          <w:szCs w:val="24"/>
        </w:rPr>
        <w:t>Acute</w:t>
      </w:r>
      <w:proofErr w:type="spellEnd"/>
      <w:r w:rsidRPr="005C6F13">
        <w:rPr>
          <w:sz w:val="24"/>
          <w:szCs w:val="24"/>
        </w:rPr>
        <w:t xml:space="preserve"> </w:t>
      </w:r>
      <w:proofErr w:type="spellStart"/>
      <w:r w:rsidRPr="005C6F13">
        <w:rPr>
          <w:sz w:val="24"/>
          <w:szCs w:val="24"/>
          <w:lang w:eastAsia="de-DE"/>
        </w:rPr>
        <w:t>Myocardial</w:t>
      </w:r>
      <w:proofErr w:type="spellEnd"/>
      <w:r w:rsidRPr="005C6F13">
        <w:rPr>
          <w:sz w:val="24"/>
          <w:szCs w:val="24"/>
        </w:rPr>
        <w:t xml:space="preserve"> </w:t>
      </w:r>
      <w:proofErr w:type="spellStart"/>
      <w:r w:rsidRPr="005C6F13">
        <w:rPr>
          <w:sz w:val="24"/>
          <w:szCs w:val="24"/>
        </w:rPr>
        <w:t>Infarct</w:t>
      </w:r>
      <w:proofErr w:type="spellEnd"/>
      <w:r w:rsidRPr="005C6F13">
        <w:rPr>
          <w:sz w:val="24"/>
          <w:szCs w:val="24"/>
        </w:rPr>
        <w:t xml:space="preserve">], 300105, og 3001024. Hvis forekomsten </w:t>
      </w:r>
      <w:r w:rsidRPr="005C6F13">
        <w:rPr>
          <w:sz w:val="24"/>
          <w:szCs w:val="24"/>
          <w:lang w:eastAsia="de-DE"/>
        </w:rPr>
        <w:t>af</w:t>
      </w:r>
      <w:r w:rsidRPr="005C6F13">
        <w:rPr>
          <w:sz w:val="24"/>
          <w:szCs w:val="24"/>
        </w:rPr>
        <w:t xml:space="preserve"> enhver </w:t>
      </w:r>
      <w:r w:rsidRPr="005C6F13">
        <w:rPr>
          <w:sz w:val="24"/>
          <w:szCs w:val="24"/>
          <w:lang w:eastAsia="de-DE"/>
        </w:rPr>
        <w:t>særlig</w:t>
      </w:r>
      <w:r w:rsidRPr="005C6F13">
        <w:rPr>
          <w:sz w:val="24"/>
          <w:szCs w:val="24"/>
        </w:rPr>
        <w:t xml:space="preserve"> hændelse i et enkelt studie var større end det, som blev observeret i de andre studier, er den højeste forekomst rapporteret i tabellen.</w:t>
      </w:r>
    </w:p>
    <w:p w:rsidR="006C2BEE" w:rsidRDefault="006C2BEE" w:rsidP="006C2BEE">
      <w:pPr>
        <w:ind w:left="851"/>
        <w:rPr>
          <w:sz w:val="24"/>
          <w:szCs w:val="24"/>
        </w:rPr>
      </w:pPr>
    </w:p>
    <w:p w:rsidR="006C2BEE" w:rsidRPr="005C6F13" w:rsidRDefault="006C2BEE" w:rsidP="006C2BEE">
      <w:pPr>
        <w:ind w:left="851"/>
        <w:rPr>
          <w:sz w:val="24"/>
          <w:szCs w:val="24"/>
        </w:rPr>
      </w:pPr>
      <w:r w:rsidRPr="005C6F13">
        <w:rPr>
          <w:sz w:val="24"/>
          <w:szCs w:val="24"/>
        </w:rPr>
        <w:t xml:space="preserve">Hændelser, som blev vurderet at have en mulig relation til </w:t>
      </w:r>
      <w:proofErr w:type="spellStart"/>
      <w:r w:rsidRPr="005C6F13">
        <w:rPr>
          <w:sz w:val="24"/>
          <w:szCs w:val="24"/>
        </w:rPr>
        <w:t>levosimendan</w:t>
      </w:r>
      <w:proofErr w:type="spellEnd"/>
      <w:r w:rsidRPr="005C6F13">
        <w:rPr>
          <w:sz w:val="24"/>
          <w:szCs w:val="24"/>
        </w:rPr>
        <w:t xml:space="preserve"> er vist i henhold til systemorganklasser og frekvens, under anvendelse af følgende konvention: </w:t>
      </w:r>
    </w:p>
    <w:p w:rsidR="006C2BEE" w:rsidRPr="005C6F13" w:rsidRDefault="006C2BEE" w:rsidP="006C2BEE">
      <w:pPr>
        <w:ind w:left="851" w:hanging="851"/>
        <w:rPr>
          <w:sz w:val="24"/>
          <w:szCs w:val="24"/>
        </w:rPr>
      </w:pPr>
    </w:p>
    <w:p w:rsidR="006C2BEE" w:rsidRPr="005C6F13" w:rsidRDefault="006C2BEE" w:rsidP="006C2BEE">
      <w:pPr>
        <w:ind w:left="851" w:right="-108"/>
        <w:rPr>
          <w:b/>
          <w:bCs/>
          <w:sz w:val="24"/>
          <w:szCs w:val="24"/>
        </w:rPr>
      </w:pPr>
      <w:r w:rsidRPr="005C6F13">
        <w:rPr>
          <w:sz w:val="24"/>
          <w:szCs w:val="24"/>
        </w:rPr>
        <w:t>Meget almindelig (≥1/10)</w:t>
      </w:r>
    </w:p>
    <w:p w:rsidR="006C2BEE" w:rsidRPr="005C6F13" w:rsidRDefault="006C2BEE" w:rsidP="006C2BEE">
      <w:pPr>
        <w:ind w:left="851"/>
        <w:rPr>
          <w:b/>
          <w:bCs/>
          <w:sz w:val="24"/>
          <w:szCs w:val="24"/>
        </w:rPr>
      </w:pPr>
      <w:r w:rsidRPr="005C6F13">
        <w:rPr>
          <w:sz w:val="24"/>
          <w:szCs w:val="24"/>
        </w:rPr>
        <w:t>Almindelig (≥1/100 til, &lt;1/10)</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bCs/>
          <w:sz w:val="24"/>
          <w:szCs w:val="24"/>
          <w:lang w:eastAsia="de-DE"/>
        </w:rPr>
        <w:t>Tabel</w:t>
      </w:r>
      <w:r w:rsidRPr="005C6F13">
        <w:rPr>
          <w:sz w:val="24"/>
          <w:szCs w:val="24"/>
        </w:rPr>
        <w:t xml:space="preserve"> 3</w:t>
      </w:r>
      <w:r w:rsidRPr="005C6F13">
        <w:rPr>
          <w:sz w:val="24"/>
          <w:szCs w:val="24"/>
        </w:rPr>
        <w:br/>
        <w:t>Resumé af bivirkninger</w:t>
      </w:r>
      <w:r w:rsidRPr="005C6F13">
        <w:rPr>
          <w:sz w:val="24"/>
          <w:szCs w:val="24"/>
        </w:rPr>
        <w:br/>
        <w:t>SURVIVE klinisk studie, REVIVE-program og</w:t>
      </w:r>
      <w:r w:rsidRPr="005C6F13">
        <w:rPr>
          <w:sz w:val="24"/>
          <w:szCs w:val="24"/>
        </w:rPr>
        <w:br/>
        <w:t>LIDO/RUSSLAN/300105/3001024 kliniske studier kombineret</w:t>
      </w:r>
    </w:p>
    <w:tbl>
      <w:tblPr>
        <w:tblW w:w="4559" w:type="pct"/>
        <w:tblCellSpacing w:w="0" w:type="dxa"/>
        <w:tblInd w:w="8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0"/>
        <w:gridCol w:w="2788"/>
        <w:gridCol w:w="3290"/>
      </w:tblGrid>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r w:rsidRPr="005C6F13">
              <w:rPr>
                <w:i/>
                <w:sz w:val="24"/>
                <w:szCs w:val="24"/>
                <w:lang w:val="de-DE"/>
              </w:rPr>
              <w:t>Organklasse</w:t>
            </w:r>
            <w:r w:rsidRPr="005C6F13">
              <w:rPr>
                <w:sz w:val="24"/>
                <w:szCs w:val="24"/>
                <w:lang w:val="de-DE"/>
              </w:rPr>
              <w:t> </w:t>
            </w: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b/>
                <w:sz w:val="24"/>
                <w:szCs w:val="24"/>
                <w:lang w:val="de-DE"/>
              </w:rPr>
              <w:t>Hyppighed</w:t>
            </w:r>
            <w:proofErr w:type="spellEnd"/>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b/>
                <w:sz w:val="24"/>
                <w:szCs w:val="24"/>
                <w:lang w:val="de-DE"/>
              </w:rPr>
              <w:t>Bivirkninger</w:t>
            </w:r>
            <w:proofErr w:type="spellEnd"/>
            <w:r w:rsidRPr="005C6F13">
              <w:rPr>
                <w:sz w:val="24"/>
                <w:szCs w:val="24"/>
                <w:lang w:val="de-DE"/>
              </w:rPr>
              <w:t xml:space="preserve">  </w:t>
            </w:r>
          </w:p>
        </w:tc>
      </w:tr>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Metabolisme</w:t>
            </w:r>
            <w:proofErr w:type="spellEnd"/>
            <w:r w:rsidRPr="005C6F13">
              <w:rPr>
                <w:sz w:val="24"/>
                <w:szCs w:val="24"/>
                <w:lang w:val="de-DE"/>
              </w:rPr>
              <w:t xml:space="preserve"> </w:t>
            </w:r>
            <w:proofErr w:type="spellStart"/>
            <w:r w:rsidRPr="005C6F13">
              <w:rPr>
                <w:sz w:val="24"/>
                <w:szCs w:val="24"/>
                <w:lang w:val="de-DE"/>
              </w:rPr>
              <w:t>og</w:t>
            </w:r>
            <w:proofErr w:type="spellEnd"/>
            <w:r w:rsidRPr="005C6F13">
              <w:rPr>
                <w:sz w:val="24"/>
                <w:szCs w:val="24"/>
                <w:lang w:val="de-DE"/>
              </w:rPr>
              <w:t xml:space="preserve"> </w:t>
            </w:r>
            <w:proofErr w:type="spellStart"/>
            <w:r w:rsidRPr="005C6F13">
              <w:rPr>
                <w:sz w:val="24"/>
                <w:szCs w:val="24"/>
                <w:lang w:val="de-DE"/>
              </w:rPr>
              <w:t>ernæring</w:t>
            </w:r>
            <w:proofErr w:type="spellEnd"/>
            <w:r w:rsidRPr="005C6F13">
              <w:rPr>
                <w:sz w:val="24"/>
                <w:szCs w:val="24"/>
                <w:lang w:val="de-DE"/>
              </w:rPr>
              <w:t xml:space="preserve">  </w:t>
            </w: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r w:rsidRPr="005C6F13">
              <w:rPr>
                <w:sz w:val="24"/>
                <w:szCs w:val="24"/>
                <w:lang w:val="de-DE"/>
              </w:rPr>
              <w:t xml:space="preserve">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Hypokaliæmi</w:t>
            </w:r>
            <w:proofErr w:type="spellEnd"/>
            <w:r w:rsidRPr="005C6F13">
              <w:rPr>
                <w:sz w:val="24"/>
                <w:szCs w:val="24"/>
                <w:lang w:val="de-DE"/>
              </w:rPr>
              <w:t xml:space="preserve">  </w:t>
            </w:r>
          </w:p>
        </w:tc>
      </w:tr>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Psykiske</w:t>
            </w:r>
            <w:proofErr w:type="spellEnd"/>
            <w:r w:rsidRPr="005C6F13">
              <w:rPr>
                <w:sz w:val="24"/>
                <w:szCs w:val="24"/>
                <w:lang w:val="de-DE"/>
              </w:rPr>
              <w:t xml:space="preserve"> </w:t>
            </w:r>
            <w:proofErr w:type="spellStart"/>
            <w:r w:rsidRPr="005C6F13">
              <w:rPr>
                <w:sz w:val="24"/>
                <w:szCs w:val="24"/>
                <w:lang w:val="de-DE"/>
              </w:rPr>
              <w:t>forstyrrelser</w:t>
            </w:r>
            <w:proofErr w:type="spellEnd"/>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r w:rsidRPr="005C6F13">
              <w:rPr>
                <w:sz w:val="24"/>
                <w:szCs w:val="24"/>
                <w:lang w:val="de-DE"/>
              </w:rPr>
              <w:t xml:space="preserve">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Søvnløshed</w:t>
            </w:r>
            <w:proofErr w:type="spellEnd"/>
            <w:r w:rsidRPr="005C6F13">
              <w:rPr>
                <w:sz w:val="24"/>
                <w:szCs w:val="24"/>
                <w:lang w:val="de-DE"/>
              </w:rPr>
              <w:t xml:space="preserve">  </w:t>
            </w:r>
          </w:p>
        </w:tc>
      </w:tr>
      <w:tr w:rsidR="006C2BEE" w:rsidRPr="005C6F13" w:rsidTr="009F3408">
        <w:trPr>
          <w:tblCellSpacing w:w="0" w:type="dxa"/>
        </w:trPr>
        <w:tc>
          <w:tcPr>
            <w:tcW w:w="1542" w:type="pct"/>
            <w:vMerge w:val="restar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Nervesystemet</w:t>
            </w:r>
            <w:proofErr w:type="spellEnd"/>
          </w:p>
        </w:tc>
        <w:tc>
          <w:tcPr>
            <w:tcW w:w="1586" w:type="pct"/>
            <w:tcBorders>
              <w:top w:val="outset" w:sz="6" w:space="0" w:color="auto"/>
              <w:left w:val="outset" w:sz="6" w:space="0" w:color="auto"/>
              <w:bottom w:val="outset" w:sz="6" w:space="0" w:color="auto"/>
              <w:right w:val="outset" w:sz="6" w:space="0" w:color="auto"/>
            </w:tcBorders>
            <w:vAlign w:val="center"/>
          </w:tcPr>
          <w:p w:rsidR="006C2BEE" w:rsidRPr="005C6F13" w:rsidRDefault="006C2BEE" w:rsidP="009F3408">
            <w:pPr>
              <w:ind w:left="142"/>
              <w:rPr>
                <w:sz w:val="24"/>
                <w:szCs w:val="24"/>
                <w:lang w:val="de-DE"/>
              </w:rPr>
            </w:pPr>
            <w:proofErr w:type="spellStart"/>
            <w:r w:rsidRPr="005C6F13">
              <w:rPr>
                <w:sz w:val="24"/>
                <w:szCs w:val="24"/>
                <w:lang w:val="de-DE"/>
              </w:rPr>
              <w:t>Meget</w:t>
            </w:r>
            <w:proofErr w:type="spellEnd"/>
            <w:r w:rsidRPr="005C6F13">
              <w:rPr>
                <w:sz w:val="24"/>
                <w:szCs w:val="24"/>
                <w:lang w:val="de-DE"/>
              </w:rPr>
              <w:t xml:space="preserve"> </w:t>
            </w:r>
            <w:proofErr w:type="spellStart"/>
            <w:r w:rsidRPr="005C6F13">
              <w:rPr>
                <w:sz w:val="24"/>
                <w:szCs w:val="24"/>
                <w:lang w:val="de-DE"/>
              </w:rPr>
              <w:t>almindelig</w:t>
            </w:r>
            <w:proofErr w:type="spellEnd"/>
          </w:p>
          <w:p w:rsidR="006C2BEE" w:rsidRPr="005C6F13" w:rsidRDefault="006C2BEE" w:rsidP="009F3408">
            <w:pPr>
              <w:ind w:left="142"/>
              <w:rPr>
                <w:sz w:val="24"/>
                <w:szCs w:val="24"/>
                <w:lang w:val="de-DE"/>
              </w:rPr>
            </w:pPr>
          </w:p>
        </w:tc>
        <w:tc>
          <w:tcPr>
            <w:tcW w:w="1872" w:type="pct"/>
            <w:tcBorders>
              <w:top w:val="outset" w:sz="6" w:space="0" w:color="auto"/>
              <w:left w:val="outset" w:sz="6" w:space="0" w:color="auto"/>
              <w:bottom w:val="outset" w:sz="6" w:space="0" w:color="auto"/>
              <w:right w:val="nil"/>
            </w:tcBorders>
            <w:vAlign w:val="center"/>
          </w:tcPr>
          <w:p w:rsidR="006C2BEE" w:rsidRPr="005C6F13" w:rsidRDefault="006C2BEE" w:rsidP="009F3408">
            <w:pPr>
              <w:ind w:left="142"/>
              <w:rPr>
                <w:sz w:val="24"/>
                <w:szCs w:val="24"/>
                <w:lang w:val="de-DE"/>
              </w:rPr>
            </w:pPr>
            <w:proofErr w:type="spellStart"/>
            <w:r w:rsidRPr="005C6F13">
              <w:rPr>
                <w:sz w:val="24"/>
                <w:szCs w:val="24"/>
                <w:lang w:val="de-DE"/>
              </w:rPr>
              <w:t>Hovedpine</w:t>
            </w:r>
            <w:proofErr w:type="spellEnd"/>
          </w:p>
          <w:p w:rsidR="006C2BEE" w:rsidRPr="005C6F13" w:rsidRDefault="006C2BEE" w:rsidP="009F3408">
            <w:pPr>
              <w:ind w:left="142"/>
              <w:rPr>
                <w:sz w:val="24"/>
                <w:szCs w:val="24"/>
                <w:lang w:val="de-DE"/>
              </w:rPr>
            </w:pPr>
          </w:p>
        </w:tc>
      </w:tr>
      <w:tr w:rsidR="006C2BEE" w:rsidRPr="005C6F13" w:rsidTr="009F3408">
        <w:trPr>
          <w:tblCellSpacing w:w="0" w:type="dxa"/>
        </w:trPr>
        <w:tc>
          <w:tcPr>
            <w:tcW w:w="1542" w:type="pct"/>
            <w:vMerge/>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Svimmelhed</w:t>
            </w:r>
            <w:proofErr w:type="spellEnd"/>
          </w:p>
        </w:tc>
      </w:tr>
      <w:tr w:rsidR="006C2BEE" w:rsidRPr="005C6F13" w:rsidTr="009F3408">
        <w:trPr>
          <w:tblCellSpacing w:w="0" w:type="dxa"/>
        </w:trPr>
        <w:tc>
          <w:tcPr>
            <w:tcW w:w="1542" w:type="pct"/>
            <w:vMerge w:val="restart"/>
            <w:tcBorders>
              <w:top w:val="outset" w:sz="6" w:space="0" w:color="auto"/>
              <w:left w:val="nil"/>
              <w:bottom w:val="outset" w:sz="6" w:space="0" w:color="auto"/>
              <w:right w:val="outset" w:sz="6" w:space="0" w:color="auto"/>
            </w:tcBorders>
            <w:vAlign w:val="center"/>
            <w:hideMark/>
          </w:tcPr>
          <w:p w:rsidR="006C2BEE" w:rsidRPr="005C6F13" w:rsidRDefault="006C2BEE" w:rsidP="009F3408">
            <w:pPr>
              <w:spacing w:after="240"/>
              <w:ind w:left="142"/>
              <w:rPr>
                <w:sz w:val="24"/>
                <w:szCs w:val="24"/>
                <w:lang w:val="de-DE"/>
              </w:rPr>
            </w:pPr>
            <w:proofErr w:type="spellStart"/>
            <w:r w:rsidRPr="005C6F13">
              <w:rPr>
                <w:sz w:val="24"/>
                <w:szCs w:val="24"/>
                <w:lang w:val="de-DE"/>
              </w:rPr>
              <w:t>Hjerte</w:t>
            </w:r>
            <w:proofErr w:type="spellEnd"/>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Meget</w:t>
            </w:r>
            <w:proofErr w:type="spellEnd"/>
            <w:r w:rsidRPr="005C6F13">
              <w:rPr>
                <w:sz w:val="24"/>
                <w:szCs w:val="24"/>
                <w:lang w:val="de-DE"/>
              </w:rPr>
              <w:t xml:space="preserve"> </w:t>
            </w:r>
            <w:proofErr w:type="spellStart"/>
            <w:r w:rsidRPr="005C6F13">
              <w:rPr>
                <w:sz w:val="24"/>
                <w:szCs w:val="24"/>
                <w:lang w:val="de-DE"/>
              </w:rPr>
              <w:t>almindelig</w:t>
            </w:r>
            <w:proofErr w:type="spellEnd"/>
            <w:r w:rsidRPr="005C6F13">
              <w:rPr>
                <w:sz w:val="24"/>
                <w:szCs w:val="24"/>
                <w:lang w:val="de-DE"/>
              </w:rPr>
              <w:br/>
              <w:t>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Ventrikulær</w:t>
            </w:r>
            <w:proofErr w:type="spellEnd"/>
            <w:r w:rsidRPr="005C6F13">
              <w:rPr>
                <w:sz w:val="24"/>
                <w:szCs w:val="24"/>
                <w:lang w:val="de-DE"/>
              </w:rPr>
              <w:t xml:space="preserve"> </w:t>
            </w:r>
            <w:proofErr w:type="spellStart"/>
            <w:r w:rsidRPr="005C6F13">
              <w:rPr>
                <w:sz w:val="24"/>
                <w:szCs w:val="24"/>
                <w:lang w:val="de-DE"/>
              </w:rPr>
              <w:t>takykardi</w:t>
            </w:r>
            <w:proofErr w:type="spellEnd"/>
            <w:r w:rsidRPr="005C6F13">
              <w:rPr>
                <w:sz w:val="24"/>
                <w:szCs w:val="24"/>
                <w:lang w:val="de-DE"/>
              </w:rPr>
              <w:br/>
            </w:r>
          </w:p>
        </w:tc>
      </w:tr>
      <w:tr w:rsidR="006C2BEE" w:rsidRPr="005C6F13" w:rsidTr="009F3408">
        <w:trPr>
          <w:tblCellSpacing w:w="0" w:type="dxa"/>
        </w:trPr>
        <w:tc>
          <w:tcPr>
            <w:tcW w:w="1542" w:type="pct"/>
            <w:vMerge/>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Atrieflimren</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Takykardi</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Ventrikulære</w:t>
            </w:r>
            <w:proofErr w:type="spellEnd"/>
            <w:r w:rsidRPr="005C6F13">
              <w:rPr>
                <w:sz w:val="24"/>
                <w:szCs w:val="24"/>
                <w:lang w:val="de-DE"/>
              </w:rPr>
              <w:t xml:space="preserve"> </w:t>
            </w:r>
            <w:proofErr w:type="spellStart"/>
            <w:r w:rsidRPr="005C6F13">
              <w:rPr>
                <w:sz w:val="24"/>
                <w:szCs w:val="24"/>
                <w:lang w:val="de-DE"/>
              </w:rPr>
              <w:t>ekstrasystoler</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Hjertesvigt</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Myokardiskæmi</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Ekstrasystoler</w:t>
            </w:r>
            <w:proofErr w:type="spellEnd"/>
            <w:r w:rsidRPr="005C6F13">
              <w:rPr>
                <w:sz w:val="24"/>
                <w:szCs w:val="24"/>
                <w:lang w:val="de-DE"/>
              </w:rPr>
              <w:t xml:space="preserve">  </w:t>
            </w:r>
          </w:p>
        </w:tc>
      </w:tr>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Vaskulære</w:t>
            </w:r>
            <w:proofErr w:type="spellEnd"/>
            <w:r w:rsidRPr="005C6F13">
              <w:rPr>
                <w:sz w:val="24"/>
                <w:szCs w:val="24"/>
                <w:lang w:val="de-DE"/>
              </w:rPr>
              <w:t xml:space="preserve"> </w:t>
            </w:r>
            <w:proofErr w:type="spellStart"/>
            <w:r w:rsidRPr="005C6F13">
              <w:rPr>
                <w:sz w:val="24"/>
                <w:szCs w:val="24"/>
                <w:lang w:val="de-DE"/>
              </w:rPr>
              <w:t>sygdomme</w:t>
            </w:r>
            <w:proofErr w:type="spellEnd"/>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Meget</w:t>
            </w:r>
            <w:proofErr w:type="spellEnd"/>
            <w:r w:rsidRPr="005C6F13">
              <w:rPr>
                <w:sz w:val="24"/>
                <w:szCs w:val="24"/>
                <w:lang w:val="de-DE"/>
              </w:rPr>
              <w:t xml:space="preserve"> </w:t>
            </w:r>
            <w:proofErr w:type="spellStart"/>
            <w:r w:rsidRPr="005C6F13">
              <w:rPr>
                <w:sz w:val="24"/>
                <w:szCs w:val="24"/>
                <w:lang w:val="de-DE"/>
              </w:rPr>
              <w:t>almindelig</w:t>
            </w:r>
            <w:proofErr w:type="spellEnd"/>
            <w:r w:rsidRPr="005C6F13">
              <w:rPr>
                <w:sz w:val="24"/>
                <w:szCs w:val="24"/>
                <w:lang w:val="de-DE"/>
              </w:rPr>
              <w:t xml:space="preserve">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r w:rsidRPr="005C6F13">
              <w:rPr>
                <w:sz w:val="24"/>
                <w:szCs w:val="24"/>
                <w:lang w:val="de-DE"/>
              </w:rPr>
              <w:t>Hypotension  </w:t>
            </w:r>
          </w:p>
        </w:tc>
      </w:tr>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Mave-tarm-kanalen</w:t>
            </w:r>
            <w:proofErr w:type="spellEnd"/>
            <w:r w:rsidRPr="005C6F13">
              <w:rPr>
                <w:sz w:val="24"/>
                <w:szCs w:val="24"/>
                <w:lang w:val="de-DE"/>
              </w:rPr>
              <w:t> </w:t>
            </w: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r w:rsidRPr="005C6F13">
              <w:rPr>
                <w:sz w:val="24"/>
                <w:szCs w:val="24"/>
                <w:lang w:val="de-DE"/>
              </w:rPr>
              <w:t xml:space="preserve">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Kvalme</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Forstoppelse</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Diarré</w:t>
            </w:r>
            <w:proofErr w:type="spellEnd"/>
            <w:r w:rsidRPr="005C6F13">
              <w:rPr>
                <w:sz w:val="24"/>
                <w:szCs w:val="24"/>
                <w:lang w:val="de-DE"/>
              </w:rPr>
              <w:t>,</w:t>
            </w:r>
            <w:r w:rsidRPr="005C6F13">
              <w:rPr>
                <w:sz w:val="24"/>
                <w:szCs w:val="24"/>
                <w:lang w:val="de-DE"/>
              </w:rPr>
              <w:br/>
            </w:r>
            <w:proofErr w:type="spellStart"/>
            <w:r w:rsidRPr="005C6F13">
              <w:rPr>
                <w:sz w:val="24"/>
                <w:szCs w:val="24"/>
                <w:lang w:val="de-DE"/>
              </w:rPr>
              <w:t>Opkastning</w:t>
            </w:r>
            <w:proofErr w:type="spellEnd"/>
          </w:p>
        </w:tc>
      </w:tr>
      <w:tr w:rsidR="006C2BEE" w:rsidRPr="005C6F13" w:rsidTr="009F3408">
        <w:trPr>
          <w:tblCellSpacing w:w="0" w:type="dxa"/>
        </w:trPr>
        <w:tc>
          <w:tcPr>
            <w:tcW w:w="1542" w:type="pct"/>
            <w:tcBorders>
              <w:top w:val="outset" w:sz="6" w:space="0" w:color="auto"/>
              <w:left w:val="nil"/>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Undersøgelser</w:t>
            </w:r>
            <w:proofErr w:type="spellEnd"/>
            <w:r w:rsidRPr="005C6F13">
              <w:rPr>
                <w:sz w:val="24"/>
                <w:szCs w:val="24"/>
                <w:lang w:val="de-DE"/>
              </w:rPr>
              <w:t xml:space="preserve">  </w:t>
            </w:r>
          </w:p>
        </w:tc>
        <w:tc>
          <w:tcPr>
            <w:tcW w:w="1586" w:type="pct"/>
            <w:tcBorders>
              <w:top w:val="outset" w:sz="6" w:space="0" w:color="auto"/>
              <w:left w:val="outset" w:sz="6" w:space="0" w:color="auto"/>
              <w:bottom w:val="outset" w:sz="6" w:space="0" w:color="auto"/>
              <w:right w:val="outset" w:sz="6" w:space="0" w:color="auto"/>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Almindelig</w:t>
            </w:r>
            <w:proofErr w:type="spellEnd"/>
            <w:r w:rsidRPr="005C6F13">
              <w:rPr>
                <w:sz w:val="24"/>
                <w:szCs w:val="24"/>
                <w:lang w:val="de-DE"/>
              </w:rPr>
              <w:t xml:space="preserve">  </w:t>
            </w:r>
          </w:p>
        </w:tc>
        <w:tc>
          <w:tcPr>
            <w:tcW w:w="1872" w:type="pct"/>
            <w:tcBorders>
              <w:top w:val="outset" w:sz="6" w:space="0" w:color="auto"/>
              <w:left w:val="outset" w:sz="6" w:space="0" w:color="auto"/>
              <w:bottom w:val="outset" w:sz="6" w:space="0" w:color="auto"/>
              <w:right w:val="nil"/>
            </w:tcBorders>
            <w:vAlign w:val="center"/>
            <w:hideMark/>
          </w:tcPr>
          <w:p w:rsidR="006C2BEE" w:rsidRPr="005C6F13" w:rsidRDefault="006C2BEE" w:rsidP="009F3408">
            <w:pPr>
              <w:ind w:left="142"/>
              <w:rPr>
                <w:sz w:val="24"/>
                <w:szCs w:val="24"/>
                <w:lang w:val="de-DE"/>
              </w:rPr>
            </w:pPr>
            <w:proofErr w:type="spellStart"/>
            <w:r w:rsidRPr="005C6F13">
              <w:rPr>
                <w:sz w:val="24"/>
                <w:szCs w:val="24"/>
                <w:lang w:val="de-DE"/>
              </w:rPr>
              <w:t>Nedsat</w:t>
            </w:r>
            <w:proofErr w:type="spellEnd"/>
            <w:r w:rsidRPr="005C6F13">
              <w:rPr>
                <w:sz w:val="24"/>
                <w:szCs w:val="24"/>
                <w:lang w:val="de-DE"/>
              </w:rPr>
              <w:t xml:space="preserve"> </w:t>
            </w:r>
            <w:proofErr w:type="spellStart"/>
            <w:r w:rsidRPr="005C6F13">
              <w:rPr>
                <w:sz w:val="24"/>
                <w:szCs w:val="24"/>
                <w:lang w:val="de-DE"/>
              </w:rPr>
              <w:t>hæmoglobin</w:t>
            </w:r>
            <w:proofErr w:type="spellEnd"/>
            <w:r w:rsidRPr="005C6F13">
              <w:rPr>
                <w:sz w:val="24"/>
                <w:szCs w:val="24"/>
                <w:lang w:val="de-DE"/>
              </w:rPr>
              <w:t xml:space="preserve">  </w:t>
            </w:r>
          </w:p>
        </w:tc>
      </w:tr>
    </w:tbl>
    <w:p w:rsidR="006C2BEE" w:rsidRDefault="006C2BEE" w:rsidP="006C2BEE">
      <w:pPr>
        <w:ind w:left="851" w:hanging="851"/>
        <w:rPr>
          <w:i/>
          <w:sz w:val="24"/>
          <w:szCs w:val="24"/>
        </w:rPr>
      </w:pPr>
    </w:p>
    <w:p w:rsidR="006C2BEE" w:rsidRPr="005C6F13" w:rsidRDefault="006C2BEE" w:rsidP="006C2BEE">
      <w:pPr>
        <w:ind w:left="851"/>
        <w:rPr>
          <w:sz w:val="24"/>
          <w:szCs w:val="24"/>
        </w:rPr>
      </w:pPr>
      <w:r w:rsidRPr="005C6F13">
        <w:rPr>
          <w:i/>
          <w:sz w:val="24"/>
          <w:szCs w:val="24"/>
        </w:rPr>
        <w:t>Bivirkninger efter markedsføringen:</w:t>
      </w:r>
      <w:r w:rsidRPr="005C6F13">
        <w:rPr>
          <w:sz w:val="24"/>
          <w:szCs w:val="24"/>
        </w:rPr>
        <w:br/>
        <w:t xml:space="preserve">I perioden </w:t>
      </w:r>
      <w:r w:rsidRPr="005C6F13">
        <w:rPr>
          <w:sz w:val="24"/>
          <w:szCs w:val="24"/>
          <w:lang w:eastAsia="de-DE"/>
        </w:rPr>
        <w:t>efter</w:t>
      </w:r>
      <w:r w:rsidRPr="005C6F13">
        <w:rPr>
          <w:sz w:val="24"/>
          <w:szCs w:val="24"/>
        </w:rPr>
        <w:t xml:space="preserve"> markedsføring er ventrikelflimmer rapporteret hos patienter, som blev behandlet med </w:t>
      </w:r>
      <w:proofErr w:type="spellStart"/>
      <w:r w:rsidRPr="005C6F13">
        <w:rPr>
          <w:sz w:val="24"/>
          <w:szCs w:val="24"/>
        </w:rPr>
        <w:t>levosimendan</w:t>
      </w:r>
      <w:proofErr w:type="spellEnd"/>
      <w:r w:rsidRPr="005C6F13">
        <w:rPr>
          <w:sz w:val="24"/>
          <w:szCs w:val="24"/>
        </w:rPr>
        <w:t>.</w:t>
      </w:r>
    </w:p>
    <w:p w:rsidR="006C2BEE" w:rsidRDefault="006C2BEE" w:rsidP="006C2BEE">
      <w:pPr>
        <w:ind w:left="851" w:hanging="851"/>
        <w:rPr>
          <w:i/>
          <w:noProof/>
          <w:sz w:val="24"/>
          <w:szCs w:val="24"/>
        </w:rPr>
      </w:pPr>
    </w:p>
    <w:p w:rsidR="009F3408" w:rsidRDefault="009F3408" w:rsidP="006C2BEE">
      <w:pPr>
        <w:ind w:left="851" w:hanging="851"/>
        <w:rPr>
          <w:i/>
          <w:noProof/>
          <w:sz w:val="24"/>
          <w:szCs w:val="24"/>
        </w:rPr>
      </w:pPr>
    </w:p>
    <w:p w:rsidR="009F3408" w:rsidRDefault="009F3408" w:rsidP="006C2BEE">
      <w:pPr>
        <w:ind w:left="851" w:hanging="851"/>
        <w:rPr>
          <w:i/>
          <w:noProof/>
          <w:sz w:val="24"/>
          <w:szCs w:val="24"/>
        </w:rPr>
      </w:pPr>
    </w:p>
    <w:p w:rsidR="009F3408" w:rsidRPr="005C6F13" w:rsidRDefault="009F3408" w:rsidP="006C2BEE">
      <w:pPr>
        <w:ind w:left="851" w:hanging="851"/>
        <w:rPr>
          <w:i/>
          <w:noProof/>
          <w:sz w:val="24"/>
          <w:szCs w:val="24"/>
        </w:rPr>
      </w:pPr>
    </w:p>
    <w:p w:rsidR="006C2BEE" w:rsidRPr="005C6F13" w:rsidRDefault="006C2BEE" w:rsidP="006C2BEE">
      <w:pPr>
        <w:autoSpaceDE w:val="0"/>
        <w:autoSpaceDN w:val="0"/>
        <w:adjustRightInd w:val="0"/>
        <w:ind w:left="851"/>
        <w:rPr>
          <w:sz w:val="24"/>
          <w:szCs w:val="24"/>
          <w:u w:val="single"/>
        </w:rPr>
      </w:pPr>
      <w:r w:rsidRPr="005C6F13">
        <w:rPr>
          <w:noProof/>
          <w:sz w:val="24"/>
          <w:szCs w:val="24"/>
          <w:u w:val="single"/>
        </w:rPr>
        <w:lastRenderedPageBreak/>
        <w:t>Indberetning af mistænkte bivirkninger</w:t>
      </w:r>
    </w:p>
    <w:p w:rsidR="00B6763C" w:rsidRDefault="006C2BEE" w:rsidP="009F3408">
      <w:pPr>
        <w:autoSpaceDE w:val="0"/>
        <w:autoSpaceDN w:val="0"/>
        <w:adjustRightInd w:val="0"/>
        <w:ind w:left="851"/>
        <w:rPr>
          <w:noProof/>
          <w:sz w:val="24"/>
          <w:szCs w:val="24"/>
        </w:rPr>
      </w:pPr>
      <w:r w:rsidRPr="005C6F13">
        <w:rPr>
          <w:noProof/>
          <w:sz w:val="24"/>
          <w:szCs w:val="24"/>
        </w:rPr>
        <w:t>Når lægemidlet er godken</w:t>
      </w:r>
      <w:r>
        <w:rPr>
          <w:noProof/>
          <w:sz w:val="24"/>
          <w:szCs w:val="24"/>
        </w:rPr>
        <w:t>dt, er indberetning af formodede</w:t>
      </w:r>
      <w:r w:rsidRPr="005C6F13">
        <w:rPr>
          <w:noProof/>
          <w:sz w:val="24"/>
          <w:szCs w:val="24"/>
        </w:rPr>
        <w:t xml:space="preserve"> bivirkninger vigtig.</w:t>
      </w:r>
      <w:r w:rsidRPr="005C6F13">
        <w:rPr>
          <w:sz w:val="24"/>
          <w:szCs w:val="24"/>
        </w:rPr>
        <w:t xml:space="preserve"> </w:t>
      </w:r>
      <w:r w:rsidRPr="005C6F13">
        <w:rPr>
          <w:noProof/>
          <w:sz w:val="24"/>
          <w:szCs w:val="24"/>
        </w:rPr>
        <w:t>Det muliggør løbende overvågning af benefit/risk-forholdet for lægemidlet.</w:t>
      </w:r>
      <w:r w:rsidRPr="005C6F13">
        <w:rPr>
          <w:sz w:val="24"/>
          <w:szCs w:val="24"/>
        </w:rPr>
        <w:t xml:space="preserve"> </w:t>
      </w:r>
      <w:r w:rsidR="00B6763C">
        <w:rPr>
          <w:sz w:val="24"/>
          <w:szCs w:val="24"/>
        </w:rPr>
        <w:t>S</w:t>
      </w:r>
      <w:r w:rsidRPr="005C6F13">
        <w:rPr>
          <w:noProof/>
          <w:sz w:val="24"/>
          <w:szCs w:val="24"/>
        </w:rPr>
        <w:t>undhedsperson</w:t>
      </w:r>
      <w:r w:rsidR="00B6763C">
        <w:rPr>
          <w:noProof/>
          <w:sz w:val="24"/>
          <w:szCs w:val="24"/>
        </w:rPr>
        <w:t>er</w:t>
      </w:r>
      <w:r w:rsidRPr="005C6F13">
        <w:rPr>
          <w:noProof/>
          <w:sz w:val="24"/>
          <w:szCs w:val="24"/>
        </w:rPr>
        <w:t xml:space="preserve"> anmodes</w:t>
      </w:r>
      <w:r>
        <w:rPr>
          <w:noProof/>
          <w:sz w:val="24"/>
          <w:szCs w:val="24"/>
        </w:rPr>
        <w:t xml:space="preserve"> om at indberette alle formodede</w:t>
      </w:r>
      <w:r w:rsidRPr="005C6F13">
        <w:rPr>
          <w:noProof/>
          <w:sz w:val="24"/>
          <w:szCs w:val="24"/>
        </w:rPr>
        <w:t xml:space="preserve"> bivirkninger til:</w:t>
      </w:r>
    </w:p>
    <w:p w:rsidR="00B6763C" w:rsidRPr="005C6F13" w:rsidRDefault="00B6763C" w:rsidP="006C2BEE">
      <w:pPr>
        <w:autoSpaceDE w:val="0"/>
        <w:autoSpaceDN w:val="0"/>
        <w:adjustRightInd w:val="0"/>
        <w:ind w:left="851" w:hanging="851"/>
        <w:rPr>
          <w:noProof/>
          <w:sz w:val="24"/>
          <w:szCs w:val="24"/>
        </w:rPr>
      </w:pPr>
    </w:p>
    <w:p w:rsidR="006C2BEE" w:rsidRPr="005C6F13" w:rsidRDefault="006C2BEE" w:rsidP="006C2BEE">
      <w:pPr>
        <w:ind w:left="851"/>
        <w:rPr>
          <w:rFonts w:eastAsia="Calibri"/>
          <w:color w:val="000000"/>
          <w:sz w:val="24"/>
          <w:szCs w:val="24"/>
          <w:lang w:eastAsia="zh-CN"/>
        </w:rPr>
      </w:pPr>
      <w:r>
        <w:rPr>
          <w:rFonts w:eastAsia="Calibri"/>
          <w:color w:val="000000"/>
          <w:sz w:val="24"/>
          <w:szCs w:val="24"/>
          <w:lang w:eastAsia="zh-CN"/>
        </w:rPr>
        <w:t>Lægemiddel</w:t>
      </w:r>
      <w:r w:rsidRPr="005C6F13">
        <w:rPr>
          <w:rFonts w:eastAsia="Calibri"/>
          <w:color w:val="000000"/>
          <w:sz w:val="24"/>
          <w:szCs w:val="24"/>
          <w:lang w:eastAsia="zh-CN"/>
        </w:rPr>
        <w:t>styrelsen</w:t>
      </w:r>
    </w:p>
    <w:p w:rsidR="006C2BEE" w:rsidRPr="005C6F13" w:rsidRDefault="006C2BEE" w:rsidP="006C2BEE">
      <w:pPr>
        <w:ind w:left="851"/>
        <w:rPr>
          <w:rFonts w:eastAsia="Calibri"/>
          <w:noProof/>
          <w:sz w:val="24"/>
          <w:szCs w:val="24"/>
          <w:lang w:eastAsia="zh-CN"/>
        </w:rPr>
      </w:pPr>
      <w:r w:rsidRPr="005C6F13">
        <w:rPr>
          <w:rFonts w:eastAsia="Calibri"/>
          <w:sz w:val="24"/>
          <w:szCs w:val="24"/>
          <w:lang w:eastAsia="zh-CN"/>
        </w:rPr>
        <w:t>Axel Heides Gade 1</w:t>
      </w:r>
    </w:p>
    <w:p w:rsidR="006C2BEE" w:rsidRPr="005C6F13" w:rsidRDefault="006C2BEE" w:rsidP="006C2BEE">
      <w:pPr>
        <w:ind w:left="851"/>
        <w:rPr>
          <w:rFonts w:eastAsia="Calibri"/>
          <w:noProof/>
          <w:sz w:val="24"/>
          <w:szCs w:val="24"/>
          <w:lang w:eastAsia="zh-CN"/>
        </w:rPr>
      </w:pPr>
      <w:r w:rsidRPr="005C6F13">
        <w:rPr>
          <w:rFonts w:eastAsia="Calibri"/>
          <w:noProof/>
          <w:sz w:val="24"/>
          <w:szCs w:val="24"/>
          <w:lang w:eastAsia="zh-CN"/>
        </w:rPr>
        <w:t xml:space="preserve">DK-2300 </w:t>
      </w:r>
      <w:r w:rsidRPr="005C6F13">
        <w:rPr>
          <w:rFonts w:eastAsia="Calibri"/>
          <w:sz w:val="24"/>
          <w:szCs w:val="24"/>
          <w:lang w:eastAsia="zh-CN"/>
        </w:rPr>
        <w:t>København S</w:t>
      </w:r>
    </w:p>
    <w:p w:rsidR="006C2BEE" w:rsidRPr="00C41E39" w:rsidRDefault="006C2BEE" w:rsidP="00B6763C">
      <w:pPr>
        <w:suppressAutoHyphens/>
        <w:ind w:left="851"/>
        <w:rPr>
          <w:rFonts w:eastAsia="Calibri"/>
          <w:noProof/>
          <w:sz w:val="24"/>
          <w:szCs w:val="24"/>
          <w:lang w:eastAsia="zh-CN"/>
        </w:rPr>
      </w:pPr>
      <w:r w:rsidRPr="00C41E39">
        <w:rPr>
          <w:rFonts w:eastAsia="Calibri"/>
          <w:sz w:val="24"/>
          <w:szCs w:val="24"/>
          <w:lang w:eastAsia="zh-CN"/>
        </w:rPr>
        <w:t>Websted</w:t>
      </w:r>
      <w:r w:rsidRPr="00C41E39">
        <w:rPr>
          <w:rFonts w:eastAsia="Calibri"/>
          <w:noProof/>
          <w:sz w:val="24"/>
          <w:szCs w:val="24"/>
          <w:lang w:eastAsia="zh-CN"/>
        </w:rPr>
        <w:t xml:space="preserve">: </w:t>
      </w:r>
      <w:hyperlink r:id="rId8" w:history="1">
        <w:r w:rsidRPr="00C41E39">
          <w:rPr>
            <w:rStyle w:val="Hyperlink"/>
            <w:rFonts w:eastAsia="Calibri"/>
            <w:noProof/>
            <w:sz w:val="24"/>
            <w:szCs w:val="24"/>
            <w:lang w:eastAsia="zh-CN"/>
          </w:rPr>
          <w:t>www.meldenbivirkning.dk</w:t>
        </w:r>
      </w:hyperlink>
    </w:p>
    <w:p w:rsidR="006C2BEE" w:rsidRPr="00C41E39" w:rsidRDefault="006C2BEE" w:rsidP="006C2BEE">
      <w:pPr>
        <w:pStyle w:val="Sidehoved"/>
        <w:tabs>
          <w:tab w:val="clear" w:pos="4819"/>
          <w:tab w:val="clear" w:pos="9638"/>
        </w:tabs>
        <w:ind w:left="851" w:hanging="851"/>
        <w:rPr>
          <w:szCs w:val="24"/>
        </w:rPr>
      </w:pPr>
    </w:p>
    <w:p w:rsidR="006C2BEE" w:rsidRPr="005C6F13" w:rsidRDefault="006C2BEE" w:rsidP="006C2BEE">
      <w:pPr>
        <w:ind w:left="851" w:hanging="851"/>
        <w:rPr>
          <w:b/>
          <w:sz w:val="24"/>
          <w:szCs w:val="24"/>
        </w:rPr>
      </w:pPr>
      <w:r w:rsidRPr="005C6F13">
        <w:rPr>
          <w:b/>
          <w:sz w:val="24"/>
          <w:szCs w:val="24"/>
        </w:rPr>
        <w:t>4.9</w:t>
      </w:r>
      <w:r w:rsidRPr="005C6F13">
        <w:rPr>
          <w:b/>
          <w:sz w:val="24"/>
          <w:szCs w:val="24"/>
        </w:rPr>
        <w:tab/>
        <w:t>Overdosering</w:t>
      </w:r>
    </w:p>
    <w:p w:rsidR="006C2BEE" w:rsidRPr="005C6F13" w:rsidRDefault="006C2BEE" w:rsidP="006C2BEE">
      <w:pPr>
        <w:autoSpaceDE w:val="0"/>
        <w:autoSpaceDN w:val="0"/>
        <w:adjustRightInd w:val="0"/>
        <w:ind w:left="851" w:hanging="851"/>
        <w:rPr>
          <w:sz w:val="24"/>
          <w:szCs w:val="24"/>
        </w:rPr>
      </w:pPr>
      <w:r w:rsidRPr="005C6F13">
        <w:rPr>
          <w:sz w:val="24"/>
          <w:szCs w:val="24"/>
        </w:rPr>
        <w:tab/>
      </w:r>
      <w:r w:rsidRPr="005C6F13">
        <w:rPr>
          <w:sz w:val="24"/>
          <w:szCs w:val="24"/>
          <w:lang w:eastAsia="da-DK"/>
        </w:rPr>
        <w:t xml:space="preserve">Overdosering af </w:t>
      </w:r>
      <w:proofErr w:type="spellStart"/>
      <w:r w:rsidRPr="005C6F13">
        <w:rPr>
          <w:sz w:val="24"/>
          <w:szCs w:val="24"/>
          <w:lang w:eastAsia="da-DK"/>
        </w:rPr>
        <w:t>levosimendan</w:t>
      </w:r>
      <w:proofErr w:type="spellEnd"/>
      <w:r w:rsidRPr="005C6F13">
        <w:rPr>
          <w:sz w:val="24"/>
          <w:szCs w:val="24"/>
          <w:lang w:eastAsia="da-DK"/>
        </w:rPr>
        <w:t xml:space="preserve"> kan medføre hypotension og </w:t>
      </w:r>
      <w:proofErr w:type="spellStart"/>
      <w:r w:rsidRPr="005C6F13">
        <w:rPr>
          <w:sz w:val="24"/>
          <w:szCs w:val="24"/>
          <w:lang w:eastAsia="da-DK"/>
        </w:rPr>
        <w:t>takykardi</w:t>
      </w:r>
      <w:proofErr w:type="spellEnd"/>
      <w:r w:rsidRPr="005C6F13">
        <w:rPr>
          <w:sz w:val="24"/>
          <w:szCs w:val="24"/>
          <w:lang w:eastAsia="da-DK"/>
        </w:rPr>
        <w:t xml:space="preserve">. I kliniske studier med </w:t>
      </w:r>
      <w:proofErr w:type="spellStart"/>
      <w:r w:rsidRPr="005C6F13">
        <w:rPr>
          <w:sz w:val="24"/>
          <w:szCs w:val="24"/>
          <w:lang w:eastAsia="da-DK"/>
        </w:rPr>
        <w:t>levosimendan</w:t>
      </w:r>
      <w:proofErr w:type="spellEnd"/>
      <w:r w:rsidRPr="005C6F13">
        <w:rPr>
          <w:sz w:val="24"/>
          <w:szCs w:val="24"/>
          <w:lang w:eastAsia="da-DK"/>
        </w:rPr>
        <w:t xml:space="preserve"> har behandling af hypotension med en </w:t>
      </w:r>
      <w:proofErr w:type="spellStart"/>
      <w:r w:rsidRPr="005C6F13">
        <w:rPr>
          <w:sz w:val="24"/>
          <w:szCs w:val="24"/>
          <w:lang w:eastAsia="da-DK"/>
        </w:rPr>
        <w:t>vasopressor</w:t>
      </w:r>
      <w:proofErr w:type="spellEnd"/>
      <w:r w:rsidRPr="005C6F13">
        <w:rPr>
          <w:sz w:val="24"/>
          <w:szCs w:val="24"/>
          <w:lang w:eastAsia="da-DK"/>
        </w:rPr>
        <w:t xml:space="preserve"> været vellykket (f.eks. dopamin til patienter med </w:t>
      </w:r>
      <w:proofErr w:type="gramStart"/>
      <w:r w:rsidRPr="005C6F13">
        <w:rPr>
          <w:sz w:val="24"/>
          <w:szCs w:val="24"/>
          <w:lang w:eastAsia="da-DK"/>
        </w:rPr>
        <w:t>kongestiv hjertesvigt</w:t>
      </w:r>
      <w:proofErr w:type="gramEnd"/>
      <w:r w:rsidRPr="005C6F13">
        <w:rPr>
          <w:sz w:val="24"/>
          <w:szCs w:val="24"/>
          <w:lang w:eastAsia="da-DK"/>
        </w:rPr>
        <w:t xml:space="preserve"> og </w:t>
      </w:r>
      <w:r w:rsidR="009F3408">
        <w:rPr>
          <w:sz w:val="24"/>
          <w:szCs w:val="24"/>
          <w:lang w:eastAsia="da-DK"/>
        </w:rPr>
        <w:t>nor</w:t>
      </w:r>
      <w:r w:rsidRPr="005C6F13">
        <w:rPr>
          <w:sz w:val="24"/>
          <w:szCs w:val="24"/>
          <w:lang w:eastAsia="da-DK"/>
        </w:rPr>
        <w:t xml:space="preserve">adrenalin til patienter efter hjerteoperation). For store fald i hjertets fyldningstryk kan begrænse responset på </w:t>
      </w:r>
      <w:proofErr w:type="spellStart"/>
      <w:r w:rsidRPr="005C6F13">
        <w:rPr>
          <w:sz w:val="24"/>
          <w:szCs w:val="24"/>
          <w:lang w:eastAsia="da-DK"/>
        </w:rPr>
        <w:t>levosimendan</w:t>
      </w:r>
      <w:proofErr w:type="spellEnd"/>
      <w:r w:rsidRPr="005C6F13">
        <w:rPr>
          <w:sz w:val="24"/>
          <w:szCs w:val="24"/>
          <w:lang w:eastAsia="da-DK"/>
        </w:rPr>
        <w:t xml:space="preserve">, men kan behandles med parenteral væske. Høje doser (0,4 mikrogram/kg/minut eller højere) og infusion over 24 timer øger hjertefrekvensen og er nogle gange associeret med forlængelse af </w:t>
      </w:r>
      <w:proofErr w:type="spellStart"/>
      <w:r w:rsidRPr="005C6F13">
        <w:rPr>
          <w:sz w:val="24"/>
          <w:szCs w:val="24"/>
          <w:lang w:eastAsia="da-DK"/>
        </w:rPr>
        <w:t>QTc</w:t>
      </w:r>
      <w:proofErr w:type="spellEnd"/>
      <w:r w:rsidRPr="005C6F13">
        <w:rPr>
          <w:sz w:val="24"/>
          <w:szCs w:val="24"/>
          <w:lang w:eastAsia="da-DK"/>
        </w:rPr>
        <w:t xml:space="preserve">-intervallet. Ved overdosering med </w:t>
      </w:r>
      <w:proofErr w:type="spellStart"/>
      <w:r w:rsidRPr="005C6F13">
        <w:rPr>
          <w:sz w:val="24"/>
          <w:szCs w:val="24"/>
          <w:lang w:eastAsia="da-DK"/>
        </w:rPr>
        <w:t>levosimendan</w:t>
      </w:r>
      <w:proofErr w:type="spellEnd"/>
      <w:r w:rsidRPr="005C6F13">
        <w:rPr>
          <w:sz w:val="24"/>
          <w:szCs w:val="24"/>
          <w:lang w:eastAsia="da-DK"/>
        </w:rPr>
        <w:t xml:space="preserve"> bør der foretages kontinuerlig ekg-overvågning, gentagne målinger af elektrolytter i serum og invasiv </w:t>
      </w:r>
      <w:proofErr w:type="spellStart"/>
      <w:r w:rsidRPr="005C6F13">
        <w:rPr>
          <w:sz w:val="24"/>
          <w:szCs w:val="24"/>
          <w:lang w:eastAsia="da-DK"/>
        </w:rPr>
        <w:t>hæmodynamisk</w:t>
      </w:r>
      <w:proofErr w:type="spellEnd"/>
      <w:r w:rsidRPr="005C6F13">
        <w:rPr>
          <w:sz w:val="24"/>
          <w:szCs w:val="24"/>
          <w:lang w:eastAsia="da-DK"/>
        </w:rPr>
        <w:t xml:space="preserve"> monitorering. Overdosering med </w:t>
      </w:r>
      <w:proofErr w:type="spellStart"/>
      <w:r w:rsidRPr="005C6F13">
        <w:rPr>
          <w:sz w:val="24"/>
          <w:szCs w:val="24"/>
          <w:lang w:eastAsia="da-DK"/>
        </w:rPr>
        <w:t>levosimendan</w:t>
      </w:r>
      <w:proofErr w:type="spellEnd"/>
      <w:r w:rsidRPr="005C6F13">
        <w:rPr>
          <w:sz w:val="24"/>
          <w:szCs w:val="24"/>
          <w:lang w:eastAsia="da-DK"/>
        </w:rPr>
        <w:t xml:space="preserve"> medfører øget plasmakoncentration af den aktive metabolit, som kan medføre en mere udtalt og forlænget virkning på hjertefrekvensen, hvilket igen kræver en tilsvarende forlænget observationstid.</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4.10</w:t>
      </w:r>
      <w:r w:rsidRPr="005C6F13">
        <w:rPr>
          <w:b/>
          <w:sz w:val="24"/>
          <w:szCs w:val="24"/>
        </w:rPr>
        <w:tab/>
        <w:t>Udlevering</w:t>
      </w:r>
    </w:p>
    <w:p w:rsidR="006C2BEE" w:rsidRPr="005C6F13" w:rsidRDefault="006C2BEE" w:rsidP="006C2BEE">
      <w:pPr>
        <w:ind w:left="851" w:hanging="851"/>
        <w:rPr>
          <w:sz w:val="24"/>
          <w:szCs w:val="24"/>
        </w:rPr>
      </w:pPr>
      <w:r w:rsidRPr="005C6F13">
        <w:rPr>
          <w:sz w:val="24"/>
          <w:szCs w:val="24"/>
        </w:rPr>
        <w:tab/>
        <w:t>BEGR – kun til sygehuse</w:t>
      </w:r>
    </w:p>
    <w:p w:rsidR="006C2BEE" w:rsidRPr="005C6F13" w:rsidRDefault="006C2BEE" w:rsidP="006C2BEE">
      <w:pPr>
        <w:ind w:left="851" w:hanging="851"/>
        <w:rPr>
          <w:sz w:val="24"/>
          <w:szCs w:val="24"/>
        </w:rPr>
      </w:pPr>
    </w:p>
    <w:p w:rsidR="006C2BEE" w:rsidRPr="005C6F13" w:rsidRDefault="006C2BEE" w:rsidP="006C2BEE">
      <w:pPr>
        <w:ind w:left="851" w:hanging="851"/>
        <w:rPr>
          <w:sz w:val="24"/>
          <w:szCs w:val="24"/>
        </w:rPr>
      </w:pPr>
    </w:p>
    <w:p w:rsidR="006C2BEE" w:rsidRPr="009F3408" w:rsidRDefault="006C2BEE" w:rsidP="009F3408">
      <w:pPr>
        <w:ind w:left="851" w:hanging="851"/>
        <w:rPr>
          <w:b/>
          <w:sz w:val="24"/>
          <w:szCs w:val="24"/>
        </w:rPr>
      </w:pPr>
      <w:r w:rsidRPr="005C6F13">
        <w:rPr>
          <w:b/>
          <w:sz w:val="24"/>
          <w:szCs w:val="24"/>
        </w:rPr>
        <w:t>5.</w:t>
      </w:r>
      <w:r w:rsidRPr="005C6F13">
        <w:rPr>
          <w:b/>
          <w:sz w:val="24"/>
          <w:szCs w:val="24"/>
        </w:rPr>
        <w:tab/>
        <w:t>FARMAKOLOGISKE EGENSKABER</w:t>
      </w:r>
    </w:p>
    <w:p w:rsidR="006C2BEE" w:rsidRPr="005C6F13" w:rsidRDefault="006C2BEE" w:rsidP="006C2BEE">
      <w:pPr>
        <w:ind w:left="851" w:hanging="851"/>
        <w:rPr>
          <w:sz w:val="24"/>
          <w:szCs w:val="24"/>
        </w:rPr>
      </w:pPr>
    </w:p>
    <w:p w:rsidR="006C2BEE" w:rsidRDefault="006C2BEE" w:rsidP="006C2BEE">
      <w:pPr>
        <w:ind w:left="851" w:hanging="851"/>
        <w:rPr>
          <w:b/>
          <w:sz w:val="24"/>
          <w:szCs w:val="24"/>
        </w:rPr>
      </w:pPr>
      <w:r w:rsidRPr="005C6F13">
        <w:rPr>
          <w:b/>
          <w:sz w:val="24"/>
          <w:szCs w:val="24"/>
        </w:rPr>
        <w:t>5.1</w:t>
      </w:r>
      <w:r w:rsidRPr="005C6F13">
        <w:rPr>
          <w:b/>
          <w:sz w:val="24"/>
          <w:szCs w:val="24"/>
        </w:rPr>
        <w:tab/>
      </w:r>
      <w:proofErr w:type="spellStart"/>
      <w:r w:rsidRPr="005C6F13">
        <w:rPr>
          <w:b/>
          <w:sz w:val="24"/>
          <w:szCs w:val="24"/>
        </w:rPr>
        <w:t>Farmakodynamiske</w:t>
      </w:r>
      <w:proofErr w:type="spellEnd"/>
      <w:r w:rsidRPr="005C6F13">
        <w:rPr>
          <w:b/>
          <w:sz w:val="24"/>
          <w:szCs w:val="24"/>
        </w:rPr>
        <w:t xml:space="preserve"> egenskaber</w:t>
      </w:r>
    </w:p>
    <w:p w:rsidR="009F3408" w:rsidRPr="005C6F13" w:rsidRDefault="009F3408" w:rsidP="009F3408">
      <w:pPr>
        <w:ind w:left="851"/>
        <w:rPr>
          <w:b/>
          <w:sz w:val="24"/>
          <w:szCs w:val="24"/>
        </w:rPr>
      </w:pPr>
      <w:proofErr w:type="spellStart"/>
      <w:r w:rsidRPr="009F3408">
        <w:rPr>
          <w:sz w:val="24"/>
          <w:szCs w:val="24"/>
        </w:rPr>
        <w:t>Farmakoterapeutisk</w:t>
      </w:r>
      <w:proofErr w:type="spellEnd"/>
      <w:r w:rsidRPr="009F3408">
        <w:rPr>
          <w:sz w:val="24"/>
          <w:szCs w:val="24"/>
        </w:rPr>
        <w:t xml:space="preserve"> klassifikation: Andre hjertestimulerende midler, </w:t>
      </w:r>
      <w:proofErr w:type="gramStart"/>
      <w:r w:rsidRPr="009F3408">
        <w:rPr>
          <w:sz w:val="24"/>
          <w:szCs w:val="24"/>
        </w:rPr>
        <w:t>ATC kode</w:t>
      </w:r>
      <w:proofErr w:type="gramEnd"/>
      <w:r w:rsidRPr="009F3408">
        <w:rPr>
          <w:sz w:val="24"/>
          <w:szCs w:val="24"/>
        </w:rPr>
        <w:t>: C01C X08.</w:t>
      </w:r>
    </w:p>
    <w:p w:rsidR="006C2BEE" w:rsidRDefault="006C2BEE" w:rsidP="006C2BEE">
      <w:pPr>
        <w:autoSpaceDE w:val="0"/>
        <w:autoSpaceDN w:val="0"/>
        <w:adjustRightInd w:val="0"/>
        <w:ind w:left="851" w:hanging="851"/>
        <w:rPr>
          <w:sz w:val="24"/>
          <w:szCs w:val="24"/>
        </w:rPr>
      </w:pPr>
      <w:r w:rsidRPr="005C6F13">
        <w:rPr>
          <w:sz w:val="24"/>
          <w:szCs w:val="24"/>
        </w:rPr>
        <w:tab/>
      </w:r>
    </w:p>
    <w:p w:rsidR="006C2BEE" w:rsidRPr="005C6F13" w:rsidRDefault="006C2BEE" w:rsidP="006C2BEE">
      <w:pPr>
        <w:autoSpaceDE w:val="0"/>
        <w:autoSpaceDN w:val="0"/>
        <w:adjustRightInd w:val="0"/>
        <w:ind w:left="851"/>
        <w:rPr>
          <w:i/>
          <w:iCs/>
          <w:sz w:val="24"/>
          <w:szCs w:val="24"/>
          <w:u w:val="single"/>
          <w:lang w:eastAsia="da-DK"/>
        </w:rPr>
      </w:pPr>
      <w:proofErr w:type="spellStart"/>
      <w:r w:rsidRPr="005C6F13">
        <w:rPr>
          <w:i/>
          <w:iCs/>
          <w:sz w:val="24"/>
          <w:szCs w:val="24"/>
          <w:u w:val="single"/>
          <w:lang w:eastAsia="da-DK"/>
        </w:rPr>
        <w:t>Farmakodynamiske</w:t>
      </w:r>
      <w:proofErr w:type="spellEnd"/>
      <w:r w:rsidRPr="005C6F13">
        <w:rPr>
          <w:i/>
          <w:iCs/>
          <w:sz w:val="24"/>
          <w:szCs w:val="24"/>
          <w:u w:val="single"/>
          <w:lang w:eastAsia="da-DK"/>
        </w:rPr>
        <w:t xml:space="preserve"> virkninger</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forstærker </w:t>
      </w:r>
      <w:r>
        <w:rPr>
          <w:sz w:val="24"/>
          <w:szCs w:val="24"/>
          <w:lang w:eastAsia="da-DK"/>
        </w:rPr>
        <w:t>c</w:t>
      </w:r>
      <w:r w:rsidRPr="005C6F13">
        <w:rPr>
          <w:sz w:val="24"/>
          <w:szCs w:val="24"/>
          <w:lang w:eastAsia="da-DK"/>
        </w:rPr>
        <w:t>alcium-sensitiviteten i de kontraktile proteiner gennem en</w:t>
      </w:r>
      <w:r>
        <w:rPr>
          <w:sz w:val="24"/>
          <w:szCs w:val="24"/>
          <w:lang w:eastAsia="da-DK"/>
        </w:rPr>
        <w:t xml:space="preserve"> c</w:t>
      </w:r>
      <w:r w:rsidRPr="005C6F13">
        <w:rPr>
          <w:sz w:val="24"/>
          <w:szCs w:val="24"/>
          <w:lang w:eastAsia="da-DK"/>
        </w:rPr>
        <w:t xml:space="preserve">alciumafhængig binding til kardialt </w:t>
      </w:r>
      <w:proofErr w:type="spellStart"/>
      <w:r w:rsidRPr="005C6F13">
        <w:rPr>
          <w:sz w:val="24"/>
          <w:szCs w:val="24"/>
          <w:lang w:eastAsia="da-DK"/>
        </w:rPr>
        <w:t>troponin</w:t>
      </w:r>
      <w:proofErr w:type="spellEnd"/>
      <w:r w:rsidRPr="005C6F13">
        <w:rPr>
          <w:sz w:val="24"/>
          <w:szCs w:val="24"/>
          <w:lang w:eastAsia="da-DK"/>
        </w:rPr>
        <w:t xml:space="preserve"> C</w:t>
      </w:r>
      <w:r w:rsidRPr="00607378">
        <w:rPr>
          <w:sz w:val="24"/>
          <w:szCs w:val="24"/>
          <w:lang w:eastAsia="da-DK"/>
        </w:rPr>
        <w:t xml:space="preserve">. </w:t>
      </w:r>
      <w:proofErr w:type="spellStart"/>
      <w:r w:rsidRPr="00607378">
        <w:rPr>
          <w:sz w:val="24"/>
          <w:szCs w:val="24"/>
          <w:lang w:eastAsia="da-DK"/>
        </w:rPr>
        <w:t>Levosimendan</w:t>
      </w:r>
      <w:proofErr w:type="spellEnd"/>
      <w:r w:rsidRPr="00607378">
        <w:rPr>
          <w:sz w:val="24"/>
          <w:szCs w:val="24"/>
          <w:lang w:eastAsia="da-DK"/>
        </w:rPr>
        <w:t xml:space="preserve"> øger kontraktionskraften, men </w:t>
      </w:r>
      <w:r w:rsidRPr="002C58BE">
        <w:rPr>
          <w:sz w:val="24"/>
          <w:szCs w:val="24"/>
          <w:lang w:eastAsia="da-DK"/>
        </w:rPr>
        <w:t>har ikke en negativ indvirkning på</w:t>
      </w:r>
      <w:r w:rsidRPr="00607378">
        <w:rPr>
          <w:sz w:val="24"/>
          <w:szCs w:val="24"/>
          <w:lang w:eastAsia="da-DK"/>
        </w:rPr>
        <w:t xml:space="preserve"> den </w:t>
      </w:r>
      <w:proofErr w:type="spellStart"/>
      <w:r w:rsidRPr="00607378">
        <w:rPr>
          <w:sz w:val="24"/>
          <w:szCs w:val="24"/>
          <w:lang w:eastAsia="da-DK"/>
        </w:rPr>
        <w:t>ventrikulære</w:t>
      </w:r>
      <w:proofErr w:type="spellEnd"/>
      <w:r w:rsidRPr="00607378">
        <w:rPr>
          <w:sz w:val="24"/>
          <w:szCs w:val="24"/>
          <w:lang w:eastAsia="da-DK"/>
        </w:rPr>
        <w:t xml:space="preserve"> afslapning.</w:t>
      </w:r>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Derudover åbner </w:t>
      </w:r>
      <w:proofErr w:type="spellStart"/>
      <w:r w:rsidRPr="005C6F13">
        <w:rPr>
          <w:sz w:val="24"/>
          <w:szCs w:val="24"/>
          <w:lang w:eastAsia="da-DK"/>
        </w:rPr>
        <w:t>levosimendan</w:t>
      </w:r>
      <w:proofErr w:type="spellEnd"/>
      <w:r w:rsidRPr="005C6F13">
        <w:rPr>
          <w:sz w:val="24"/>
          <w:szCs w:val="24"/>
          <w:lang w:eastAsia="da-DK"/>
        </w:rPr>
        <w:t xml:space="preserve"> ATP-sensitive kaliumkanaler i den </w:t>
      </w:r>
      <w:proofErr w:type="spellStart"/>
      <w:r w:rsidRPr="005C6F13">
        <w:rPr>
          <w:sz w:val="24"/>
          <w:szCs w:val="24"/>
          <w:lang w:eastAsia="da-DK"/>
        </w:rPr>
        <w:t>vaskulære</w:t>
      </w:r>
      <w:proofErr w:type="spellEnd"/>
      <w:r w:rsidRPr="005C6F13">
        <w:rPr>
          <w:sz w:val="24"/>
          <w:szCs w:val="24"/>
          <w:lang w:eastAsia="da-DK"/>
        </w:rPr>
        <w:t xml:space="preserve"> glatte muskulatur og inducerer dermed vasodilatation af både systemiske og </w:t>
      </w:r>
      <w:proofErr w:type="spellStart"/>
      <w:r w:rsidRPr="005C6F13">
        <w:rPr>
          <w:sz w:val="24"/>
          <w:szCs w:val="24"/>
          <w:lang w:eastAsia="da-DK"/>
        </w:rPr>
        <w:t>koronare</w:t>
      </w:r>
      <w:proofErr w:type="spellEnd"/>
      <w:r w:rsidRPr="005C6F13">
        <w:rPr>
          <w:sz w:val="24"/>
          <w:szCs w:val="24"/>
          <w:lang w:eastAsia="da-DK"/>
        </w:rPr>
        <w:t xml:space="preserve"> arterielle modstandskar og systemiske venøse kapacitetskar. </w:t>
      </w:r>
      <w:proofErr w:type="spellStart"/>
      <w:r w:rsidRPr="005C6F13">
        <w:rPr>
          <w:sz w:val="24"/>
          <w:szCs w:val="24"/>
          <w:lang w:eastAsia="da-DK"/>
        </w:rPr>
        <w:t>Levosimendan</w:t>
      </w:r>
      <w:proofErr w:type="spellEnd"/>
      <w:r w:rsidRPr="005C6F13">
        <w:rPr>
          <w:sz w:val="24"/>
          <w:szCs w:val="24"/>
          <w:lang w:eastAsia="da-DK"/>
        </w:rPr>
        <w:t xml:space="preserve"> er en selektiv </w:t>
      </w:r>
      <w:proofErr w:type="spellStart"/>
      <w:r w:rsidRPr="005C6F13">
        <w:rPr>
          <w:sz w:val="24"/>
          <w:szCs w:val="24"/>
          <w:lang w:eastAsia="da-DK"/>
        </w:rPr>
        <w:t>phosphodiesterase</w:t>
      </w:r>
      <w:proofErr w:type="spellEnd"/>
      <w:r w:rsidRPr="005C6F13">
        <w:rPr>
          <w:sz w:val="24"/>
          <w:szCs w:val="24"/>
          <w:lang w:eastAsia="da-DK"/>
        </w:rPr>
        <w:t xml:space="preserve"> III-hæmmer </w:t>
      </w:r>
      <w:r w:rsidRPr="005C6F13">
        <w:rPr>
          <w:i/>
          <w:sz w:val="24"/>
          <w:szCs w:val="24"/>
          <w:lang w:eastAsia="da-DK"/>
        </w:rPr>
        <w:t xml:space="preserve">in </w:t>
      </w:r>
      <w:proofErr w:type="spellStart"/>
      <w:r w:rsidRPr="005C6F13">
        <w:rPr>
          <w:i/>
          <w:sz w:val="24"/>
          <w:szCs w:val="24"/>
          <w:lang w:eastAsia="da-DK"/>
        </w:rPr>
        <w:t>vitro</w:t>
      </w:r>
      <w:proofErr w:type="spellEnd"/>
      <w:r w:rsidRPr="005C6F13">
        <w:rPr>
          <w:sz w:val="24"/>
          <w:szCs w:val="24"/>
          <w:lang w:eastAsia="da-DK"/>
        </w:rPr>
        <w:t>. Relevansen af dette er uklar ved terapeutiske koncentrationer. Hos patienter med</w:t>
      </w:r>
      <w:r>
        <w:rPr>
          <w:sz w:val="24"/>
          <w:szCs w:val="24"/>
          <w:lang w:eastAsia="da-DK"/>
        </w:rPr>
        <w:t xml:space="preserve"> </w:t>
      </w:r>
      <w:r w:rsidRPr="005C6F13">
        <w:rPr>
          <w:sz w:val="24"/>
          <w:szCs w:val="24"/>
          <w:lang w:eastAsia="da-DK"/>
        </w:rPr>
        <w:t xml:space="preserve">hjertesvigt resulterer de positive inotrope og </w:t>
      </w:r>
      <w:proofErr w:type="spellStart"/>
      <w:r w:rsidRPr="005C6F13">
        <w:rPr>
          <w:sz w:val="24"/>
          <w:szCs w:val="24"/>
          <w:lang w:eastAsia="da-DK"/>
        </w:rPr>
        <w:t>vasodilaterende</w:t>
      </w:r>
      <w:proofErr w:type="spellEnd"/>
      <w:r w:rsidRPr="005C6F13">
        <w:rPr>
          <w:sz w:val="24"/>
          <w:szCs w:val="24"/>
          <w:lang w:eastAsia="da-DK"/>
        </w:rPr>
        <w:t xml:space="preserve"> virkninger af </w:t>
      </w:r>
      <w:proofErr w:type="spellStart"/>
      <w:r w:rsidRPr="005C6F13">
        <w:rPr>
          <w:sz w:val="24"/>
          <w:szCs w:val="24"/>
          <w:lang w:eastAsia="da-DK"/>
        </w:rPr>
        <w:t>levosimendan</w:t>
      </w:r>
      <w:proofErr w:type="spellEnd"/>
      <w:r w:rsidRPr="005C6F13">
        <w:rPr>
          <w:sz w:val="24"/>
          <w:szCs w:val="24"/>
          <w:lang w:eastAsia="da-DK"/>
        </w:rPr>
        <w:t xml:space="preserve"> i øget</w:t>
      </w:r>
      <w:r>
        <w:rPr>
          <w:sz w:val="24"/>
          <w:szCs w:val="24"/>
          <w:lang w:eastAsia="da-DK"/>
        </w:rPr>
        <w:t xml:space="preserve"> </w:t>
      </w:r>
      <w:r w:rsidRPr="005C6F13">
        <w:rPr>
          <w:sz w:val="24"/>
          <w:szCs w:val="24"/>
          <w:lang w:eastAsia="da-DK"/>
        </w:rPr>
        <w:t xml:space="preserve">kontraktionskraft, samt en reduktion af både </w:t>
      </w:r>
      <w:proofErr w:type="spellStart"/>
      <w:r w:rsidRPr="005C6F13">
        <w:rPr>
          <w:sz w:val="24"/>
          <w:szCs w:val="24"/>
          <w:lang w:eastAsia="da-DK"/>
        </w:rPr>
        <w:t>preload</w:t>
      </w:r>
      <w:proofErr w:type="spellEnd"/>
      <w:r w:rsidRPr="005C6F13">
        <w:rPr>
          <w:sz w:val="24"/>
          <w:szCs w:val="24"/>
          <w:lang w:eastAsia="da-DK"/>
        </w:rPr>
        <w:t xml:space="preserve"> og </w:t>
      </w:r>
      <w:proofErr w:type="spellStart"/>
      <w:r w:rsidRPr="005C6F13">
        <w:rPr>
          <w:sz w:val="24"/>
          <w:szCs w:val="24"/>
          <w:lang w:eastAsia="da-DK"/>
        </w:rPr>
        <w:t>afterload</w:t>
      </w:r>
      <w:proofErr w:type="spellEnd"/>
      <w:r w:rsidRPr="005C6F13">
        <w:rPr>
          <w:sz w:val="24"/>
          <w:szCs w:val="24"/>
          <w:lang w:eastAsia="da-DK"/>
        </w:rPr>
        <w:t xml:space="preserve"> uden negativ påvirkning af den diastoliske funktion. </w:t>
      </w:r>
      <w:proofErr w:type="spellStart"/>
      <w:r w:rsidRPr="005C6F13">
        <w:rPr>
          <w:sz w:val="24"/>
          <w:szCs w:val="24"/>
          <w:lang w:eastAsia="da-DK"/>
        </w:rPr>
        <w:t>Levosimendan</w:t>
      </w:r>
      <w:proofErr w:type="spellEnd"/>
      <w:r w:rsidRPr="005C6F13">
        <w:rPr>
          <w:sz w:val="24"/>
          <w:szCs w:val="24"/>
          <w:lang w:eastAsia="da-DK"/>
        </w:rPr>
        <w:t xml:space="preserve"> aktiverer såkaldt ”</w:t>
      </w:r>
      <w:proofErr w:type="spellStart"/>
      <w:r w:rsidRPr="005C6F13">
        <w:rPr>
          <w:sz w:val="24"/>
          <w:szCs w:val="24"/>
          <w:lang w:eastAsia="da-DK"/>
        </w:rPr>
        <w:t>stunned</w:t>
      </w:r>
      <w:proofErr w:type="spellEnd"/>
      <w:r w:rsidRPr="005C6F13">
        <w:rPr>
          <w:sz w:val="24"/>
          <w:szCs w:val="24"/>
          <w:lang w:eastAsia="da-DK"/>
        </w:rPr>
        <w:t xml:space="preserve">” </w:t>
      </w:r>
      <w:proofErr w:type="spellStart"/>
      <w:r w:rsidRPr="005C6F13">
        <w:rPr>
          <w:sz w:val="24"/>
          <w:szCs w:val="24"/>
          <w:lang w:eastAsia="da-DK"/>
        </w:rPr>
        <w:t>myokardium</w:t>
      </w:r>
      <w:proofErr w:type="spellEnd"/>
      <w:r w:rsidRPr="005C6F13">
        <w:rPr>
          <w:sz w:val="24"/>
          <w:szCs w:val="24"/>
          <w:lang w:eastAsia="da-DK"/>
        </w:rPr>
        <w:t xml:space="preserve"> (dvs. </w:t>
      </w:r>
      <w:proofErr w:type="spellStart"/>
      <w:r w:rsidRPr="005C6F13">
        <w:rPr>
          <w:sz w:val="24"/>
          <w:szCs w:val="24"/>
          <w:lang w:eastAsia="da-DK"/>
        </w:rPr>
        <w:t>myokardium</w:t>
      </w:r>
      <w:proofErr w:type="spellEnd"/>
      <w:r w:rsidRPr="005C6F13">
        <w:rPr>
          <w:sz w:val="24"/>
          <w:szCs w:val="24"/>
          <w:lang w:eastAsia="da-DK"/>
        </w:rPr>
        <w:t xml:space="preserve"> som ikke er fuldstændig restitueret fra tidligere iskæmiske perioder) hos patienter efter PTCA eller </w:t>
      </w:r>
      <w:proofErr w:type="spellStart"/>
      <w:r w:rsidRPr="005C6F13">
        <w:rPr>
          <w:sz w:val="24"/>
          <w:szCs w:val="24"/>
          <w:lang w:eastAsia="da-DK"/>
        </w:rPr>
        <w:t>trombolyse</w:t>
      </w:r>
      <w:proofErr w:type="spellEnd"/>
      <w:r w:rsidRPr="005C6F13">
        <w:rPr>
          <w:sz w:val="24"/>
          <w:szCs w:val="24"/>
          <w:lang w:eastAsia="da-DK"/>
        </w:rPr>
        <w:t xml:space="preserve">.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lastRenderedPageBreak/>
        <w:t>Hæmodynamiske</w:t>
      </w:r>
      <w:proofErr w:type="spellEnd"/>
      <w:r w:rsidRPr="005C6F13">
        <w:rPr>
          <w:sz w:val="24"/>
          <w:szCs w:val="24"/>
          <w:lang w:eastAsia="da-DK"/>
        </w:rPr>
        <w:t xml:space="preserve"> studier hos raske frivillige og hos patienter med </w:t>
      </w:r>
      <w:r w:rsidR="009F3408" w:rsidRPr="005C6F13">
        <w:rPr>
          <w:sz w:val="24"/>
          <w:szCs w:val="24"/>
          <w:lang w:eastAsia="da-DK"/>
        </w:rPr>
        <w:t>stabilt og ustabilt hjertesvigt</w:t>
      </w:r>
      <w:r w:rsidRPr="005C6F13">
        <w:rPr>
          <w:sz w:val="24"/>
          <w:szCs w:val="24"/>
          <w:lang w:eastAsia="da-DK"/>
        </w:rPr>
        <w:t xml:space="preserve"> har vist en dosisafhængig virkning af </w:t>
      </w:r>
      <w:proofErr w:type="spellStart"/>
      <w:r w:rsidRPr="005C6F13">
        <w:rPr>
          <w:sz w:val="24"/>
          <w:szCs w:val="24"/>
          <w:lang w:eastAsia="da-DK"/>
        </w:rPr>
        <w:t>levosimendan</w:t>
      </w:r>
      <w:proofErr w:type="spellEnd"/>
      <w:r w:rsidRPr="005C6F13">
        <w:rPr>
          <w:sz w:val="24"/>
          <w:szCs w:val="24"/>
          <w:lang w:eastAsia="da-DK"/>
        </w:rPr>
        <w:t xml:space="preserve"> administreret intravenøst som </w:t>
      </w:r>
      <w:r>
        <w:rPr>
          <w:sz w:val="24"/>
          <w:szCs w:val="24"/>
          <w:lang w:eastAsia="da-DK"/>
        </w:rPr>
        <w:t>støddosis</w:t>
      </w:r>
      <w:r w:rsidRPr="005C6F13">
        <w:rPr>
          <w:sz w:val="24"/>
          <w:szCs w:val="24"/>
          <w:lang w:eastAsia="da-DK"/>
        </w:rPr>
        <w:t xml:space="preserve"> (3 mikrogram/kg til 24 mikrogram/kg) og kontinuerlig infusion (0,05 til 0,2 mikrogram/kg pr. minut).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Sammenlignet med placebo øgede </w:t>
      </w:r>
      <w:proofErr w:type="spellStart"/>
      <w:r w:rsidRPr="005C6F13">
        <w:rPr>
          <w:sz w:val="24"/>
          <w:szCs w:val="24"/>
          <w:lang w:eastAsia="da-DK"/>
        </w:rPr>
        <w:t>levosimendan</w:t>
      </w:r>
      <w:proofErr w:type="spellEnd"/>
      <w:r w:rsidRPr="005C6F13">
        <w:rPr>
          <w:sz w:val="24"/>
          <w:szCs w:val="24"/>
          <w:lang w:eastAsia="da-DK"/>
        </w:rPr>
        <w:t xml:space="preserve"> minutvolumen, slagvolumen, uddrivningsfraktion og hjertefrekvens, og reducerer systoliske blodtryk, diastolisk blodtryk, lungekapillærtryk, højre </w:t>
      </w:r>
      <w:proofErr w:type="spellStart"/>
      <w:r w:rsidRPr="005C6F13">
        <w:rPr>
          <w:sz w:val="24"/>
          <w:szCs w:val="24"/>
          <w:lang w:eastAsia="da-DK"/>
        </w:rPr>
        <w:t>atrial</w:t>
      </w:r>
      <w:proofErr w:type="spellEnd"/>
      <w:r w:rsidRPr="005C6F13">
        <w:rPr>
          <w:sz w:val="24"/>
          <w:szCs w:val="24"/>
          <w:lang w:eastAsia="da-DK"/>
        </w:rPr>
        <w:t xml:space="preserve"> tryk og den perifere </w:t>
      </w:r>
      <w:proofErr w:type="spellStart"/>
      <w:r w:rsidRPr="005C6F13">
        <w:rPr>
          <w:sz w:val="24"/>
          <w:szCs w:val="24"/>
          <w:lang w:eastAsia="da-DK"/>
        </w:rPr>
        <w:t>vaskulære</w:t>
      </w:r>
      <w:proofErr w:type="spellEnd"/>
      <w:r w:rsidRPr="005C6F13">
        <w:rPr>
          <w:sz w:val="24"/>
          <w:szCs w:val="24"/>
          <w:lang w:eastAsia="da-DK"/>
        </w:rPr>
        <w:t xml:space="preserve"> modstand.</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Infusion med </w:t>
      </w:r>
      <w:proofErr w:type="spellStart"/>
      <w:r w:rsidRPr="005C6F13">
        <w:rPr>
          <w:sz w:val="24"/>
          <w:szCs w:val="24"/>
          <w:lang w:eastAsia="da-DK"/>
        </w:rPr>
        <w:t>Simdax</w:t>
      </w:r>
      <w:proofErr w:type="spellEnd"/>
      <w:r w:rsidRPr="005C6F13">
        <w:rPr>
          <w:sz w:val="24"/>
          <w:szCs w:val="24"/>
          <w:lang w:eastAsia="da-DK"/>
        </w:rPr>
        <w:t xml:space="preserve"> øger den </w:t>
      </w:r>
      <w:proofErr w:type="spellStart"/>
      <w:r w:rsidRPr="005C6F13">
        <w:rPr>
          <w:sz w:val="24"/>
          <w:szCs w:val="24"/>
          <w:lang w:eastAsia="da-DK"/>
        </w:rPr>
        <w:t>koronare</w:t>
      </w:r>
      <w:proofErr w:type="spellEnd"/>
      <w:r w:rsidRPr="005C6F13">
        <w:rPr>
          <w:sz w:val="24"/>
          <w:szCs w:val="24"/>
          <w:lang w:eastAsia="da-DK"/>
        </w:rPr>
        <w:t xml:space="preserve"> blodgennemstrømning hos patienter, som har gennemgået hjerteoperationer, samt forbedrer </w:t>
      </w:r>
      <w:proofErr w:type="spellStart"/>
      <w:r w:rsidRPr="005C6F13">
        <w:rPr>
          <w:sz w:val="24"/>
          <w:szCs w:val="24"/>
          <w:lang w:eastAsia="da-DK"/>
        </w:rPr>
        <w:t>myokardieperfusionen</w:t>
      </w:r>
      <w:proofErr w:type="spellEnd"/>
      <w:r w:rsidRPr="005C6F13">
        <w:rPr>
          <w:sz w:val="24"/>
          <w:szCs w:val="24"/>
          <w:lang w:eastAsia="da-DK"/>
        </w:rPr>
        <w:t xml:space="preserve"> hos patienter med hjertesvigt. Disse fordele opnås uden, at </w:t>
      </w:r>
      <w:proofErr w:type="spellStart"/>
      <w:r w:rsidRPr="005C6F13">
        <w:rPr>
          <w:sz w:val="24"/>
          <w:szCs w:val="24"/>
          <w:lang w:eastAsia="da-DK"/>
        </w:rPr>
        <w:t>myokardiets</w:t>
      </w:r>
      <w:proofErr w:type="spellEnd"/>
      <w:r w:rsidRPr="005C6F13">
        <w:rPr>
          <w:sz w:val="24"/>
          <w:szCs w:val="24"/>
          <w:lang w:eastAsia="da-DK"/>
        </w:rPr>
        <w:t xml:space="preserve"> oxygenforbrug øges signifikant. </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Behandling med en </w:t>
      </w:r>
      <w:proofErr w:type="spellStart"/>
      <w:r w:rsidRPr="005C6F13">
        <w:rPr>
          <w:sz w:val="24"/>
          <w:szCs w:val="24"/>
          <w:lang w:eastAsia="da-DK"/>
        </w:rPr>
        <w:t>levosimendaninfusion</w:t>
      </w:r>
      <w:proofErr w:type="spellEnd"/>
      <w:r w:rsidRPr="005C6F13">
        <w:rPr>
          <w:sz w:val="24"/>
          <w:szCs w:val="24"/>
          <w:lang w:eastAsia="da-DK"/>
        </w:rPr>
        <w:t xml:space="preserve"> reducerer signifikant plasmakoncentrationer af endothelin-1 hos patienter med </w:t>
      </w:r>
      <w:proofErr w:type="gramStart"/>
      <w:r w:rsidRPr="005C6F13">
        <w:rPr>
          <w:sz w:val="24"/>
          <w:szCs w:val="24"/>
          <w:lang w:eastAsia="da-DK"/>
        </w:rPr>
        <w:t>kongestiv hjertesvigt</w:t>
      </w:r>
      <w:proofErr w:type="gramEnd"/>
      <w:r w:rsidRPr="005C6F13">
        <w:rPr>
          <w:sz w:val="24"/>
          <w:szCs w:val="24"/>
          <w:lang w:eastAsia="da-DK"/>
        </w:rPr>
        <w:t xml:space="preserve">. Plasmakoncentrationer af </w:t>
      </w:r>
      <w:proofErr w:type="spellStart"/>
      <w:r w:rsidRPr="005C6F13">
        <w:rPr>
          <w:sz w:val="24"/>
          <w:szCs w:val="24"/>
          <w:lang w:eastAsia="da-DK"/>
        </w:rPr>
        <w:t>katekolaminer</w:t>
      </w:r>
      <w:proofErr w:type="spellEnd"/>
      <w:r w:rsidRPr="005C6F13">
        <w:rPr>
          <w:sz w:val="24"/>
          <w:szCs w:val="24"/>
          <w:lang w:eastAsia="da-DK"/>
        </w:rPr>
        <w:t xml:space="preserve"> øges ikke ved de anbefalede infusionshastigheder.  </w:t>
      </w:r>
    </w:p>
    <w:p w:rsidR="006C2BEE" w:rsidRPr="005C6F13" w:rsidRDefault="006C2BEE" w:rsidP="006C2BEE">
      <w:pPr>
        <w:autoSpaceDE w:val="0"/>
        <w:autoSpaceDN w:val="0"/>
        <w:adjustRightInd w:val="0"/>
        <w:ind w:left="851" w:hanging="851"/>
        <w:rPr>
          <w:sz w:val="24"/>
          <w:szCs w:val="24"/>
          <w:lang w:eastAsia="da-DK"/>
        </w:rPr>
      </w:pPr>
    </w:p>
    <w:p w:rsidR="009F3408" w:rsidRDefault="009F3408" w:rsidP="009F3408">
      <w:pPr>
        <w:autoSpaceDE w:val="0"/>
        <w:autoSpaceDN w:val="0"/>
        <w:adjustRightInd w:val="0"/>
        <w:ind w:left="851"/>
        <w:rPr>
          <w:i/>
          <w:sz w:val="24"/>
          <w:szCs w:val="24"/>
          <w:u w:val="single"/>
          <w:lang w:eastAsia="da-DK"/>
        </w:rPr>
      </w:pPr>
      <w:r>
        <w:rPr>
          <w:i/>
          <w:sz w:val="24"/>
          <w:szCs w:val="24"/>
          <w:u w:val="single"/>
          <w:lang w:eastAsia="da-DK"/>
        </w:rPr>
        <w:t>Kliniske studier ved akut hjertesvigt</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er blevet evalueret i kliniske studier med over 2800 patienter med hjertesvigt. </w:t>
      </w:r>
      <w:proofErr w:type="spellStart"/>
      <w:r w:rsidRPr="005C6F13">
        <w:rPr>
          <w:sz w:val="24"/>
          <w:szCs w:val="24"/>
          <w:lang w:eastAsia="da-DK"/>
        </w:rPr>
        <w:t>Levosimendans</w:t>
      </w:r>
      <w:proofErr w:type="spellEnd"/>
      <w:r w:rsidRPr="005C6F13">
        <w:rPr>
          <w:sz w:val="24"/>
          <w:szCs w:val="24"/>
          <w:lang w:eastAsia="da-DK"/>
        </w:rPr>
        <w:t xml:space="preserve"> virkning og sikkerhed til behandling af ADHF er vurderet i de følgende randomiserede, dobbeltblinde, multinationale kliniske studier:</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t>REVIVE-program</w:t>
      </w:r>
    </w:p>
    <w:p w:rsidR="006C2BEE" w:rsidRPr="005C6F13" w:rsidRDefault="006C2BEE" w:rsidP="006C2BEE">
      <w:pPr>
        <w:autoSpaceDE w:val="0"/>
        <w:autoSpaceDN w:val="0"/>
        <w:adjustRightInd w:val="0"/>
        <w:ind w:left="851" w:hanging="851"/>
        <w:rPr>
          <w:sz w:val="24"/>
          <w:szCs w:val="24"/>
          <w:u w:val="single"/>
          <w:lang w:eastAsia="da-DK"/>
        </w:rPr>
      </w:pP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t>REVIVE I</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 et dobbeltblindt, placebokontrolleret pilotstudie fik 100 patienter med ADHF en infusion med </w:t>
      </w:r>
      <w:proofErr w:type="spellStart"/>
      <w:r w:rsidRPr="005C6F13">
        <w:rPr>
          <w:sz w:val="24"/>
          <w:szCs w:val="24"/>
          <w:lang w:eastAsia="da-DK"/>
        </w:rPr>
        <w:t>levosimendan</w:t>
      </w:r>
      <w:proofErr w:type="spellEnd"/>
      <w:r w:rsidRPr="005C6F13">
        <w:rPr>
          <w:sz w:val="24"/>
          <w:szCs w:val="24"/>
          <w:lang w:eastAsia="da-DK"/>
        </w:rPr>
        <w:t xml:space="preserve"> i 24 timer. Der blev observeret et positivt respons, målt ud fra det klinisk samlede endepunkt mod placebo plus standardterapi hos de patienter, som blev behandlet med </w:t>
      </w:r>
      <w:proofErr w:type="spellStart"/>
      <w:r w:rsidRPr="005C6F13">
        <w:rPr>
          <w:sz w:val="24"/>
          <w:szCs w:val="24"/>
          <w:lang w:eastAsia="da-DK"/>
        </w:rPr>
        <w:t>levosimendan</w:t>
      </w:r>
      <w:proofErr w:type="spellEnd"/>
      <w:r w:rsidRPr="005C6F13">
        <w:rPr>
          <w:sz w:val="24"/>
          <w:szCs w:val="24"/>
          <w:lang w:eastAsia="da-DK"/>
        </w:rPr>
        <w:t>.</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i/>
          <w:sz w:val="24"/>
          <w:szCs w:val="24"/>
          <w:u w:val="single"/>
          <w:lang w:eastAsia="da-DK"/>
        </w:rPr>
      </w:pPr>
      <w:r w:rsidRPr="005C6F13">
        <w:rPr>
          <w:i/>
          <w:sz w:val="24"/>
          <w:szCs w:val="24"/>
          <w:u w:val="single"/>
          <w:lang w:eastAsia="da-DK"/>
        </w:rPr>
        <w:t>REVIVE II</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Et dobbeltblindt, placebokontrolleret </w:t>
      </w:r>
      <w:proofErr w:type="spellStart"/>
      <w:r w:rsidRPr="005C6F13">
        <w:rPr>
          <w:sz w:val="24"/>
          <w:szCs w:val="24"/>
          <w:lang w:eastAsia="da-DK"/>
        </w:rPr>
        <w:t>pivotal</w:t>
      </w:r>
      <w:proofErr w:type="spellEnd"/>
      <w:r w:rsidRPr="005C6F13">
        <w:rPr>
          <w:sz w:val="24"/>
          <w:szCs w:val="24"/>
          <w:lang w:eastAsia="da-DK"/>
        </w:rPr>
        <w:t xml:space="preserve">-studie med 600 patienter, som fik en </w:t>
      </w:r>
      <w:r>
        <w:rPr>
          <w:sz w:val="24"/>
          <w:szCs w:val="24"/>
          <w:lang w:eastAsia="da-DK"/>
        </w:rPr>
        <w:t>støddosis</w:t>
      </w:r>
      <w:r w:rsidRPr="005C6F13">
        <w:rPr>
          <w:sz w:val="24"/>
          <w:szCs w:val="24"/>
          <w:lang w:eastAsia="da-DK"/>
        </w:rPr>
        <w:t xml:space="preserve"> på 6-12 mikrogram/kg i 10 minutter efterfulgt af en protokol-specificeret trinvis titrering af </w:t>
      </w:r>
      <w:proofErr w:type="spellStart"/>
      <w:r w:rsidRPr="005C6F13">
        <w:rPr>
          <w:sz w:val="24"/>
          <w:szCs w:val="24"/>
          <w:lang w:eastAsia="da-DK"/>
        </w:rPr>
        <w:t>levosimendan</w:t>
      </w:r>
      <w:proofErr w:type="spellEnd"/>
      <w:r w:rsidRPr="005C6F13">
        <w:rPr>
          <w:sz w:val="24"/>
          <w:szCs w:val="24"/>
          <w:lang w:eastAsia="da-DK"/>
        </w:rPr>
        <w:t xml:space="preserve"> til 0,05-0,2 mikrogram/kg/minut i op til 24 timer, som førte til en fordel i klinisk status hos patienter med ADHF, som forblev kortåndet efter intravenøs diuretisk behandling.</w:t>
      </w:r>
    </w:p>
    <w:p w:rsidR="006C2BEE" w:rsidRPr="005C6F13" w:rsidRDefault="006C2BEE" w:rsidP="006C2BEE">
      <w:pPr>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Det kliniske program for REVIVE var designet til at sammenligne virkningen af </w:t>
      </w:r>
      <w:proofErr w:type="spellStart"/>
      <w:r w:rsidRPr="005C6F13">
        <w:rPr>
          <w:sz w:val="24"/>
          <w:szCs w:val="24"/>
          <w:lang w:eastAsia="da-DK"/>
        </w:rPr>
        <w:t>levosimendan</w:t>
      </w:r>
      <w:proofErr w:type="spellEnd"/>
      <w:r w:rsidRPr="005C6F13">
        <w:rPr>
          <w:sz w:val="24"/>
          <w:szCs w:val="24"/>
          <w:lang w:eastAsia="da-DK"/>
        </w:rPr>
        <w:t xml:space="preserve"> plus</w:t>
      </w:r>
      <w:r>
        <w:rPr>
          <w:sz w:val="24"/>
          <w:szCs w:val="24"/>
          <w:lang w:eastAsia="da-DK"/>
        </w:rPr>
        <w:t xml:space="preserve"> </w:t>
      </w:r>
      <w:r w:rsidRPr="005C6F13">
        <w:rPr>
          <w:sz w:val="24"/>
          <w:szCs w:val="24"/>
          <w:lang w:eastAsia="da-DK"/>
        </w:rPr>
        <w:t>standardterapi med placebo plus standardterapi i behandlingen af ADHF.</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Inklusionskriterier omfattede patienter indlagt på sygehus med ADHF, venstre </w:t>
      </w:r>
      <w:proofErr w:type="spellStart"/>
      <w:r w:rsidRPr="005C6F13">
        <w:rPr>
          <w:sz w:val="24"/>
          <w:szCs w:val="24"/>
          <w:lang w:eastAsia="da-DK"/>
        </w:rPr>
        <w:t>ventrikulær</w:t>
      </w:r>
      <w:proofErr w:type="spellEnd"/>
      <w:r>
        <w:rPr>
          <w:sz w:val="24"/>
          <w:szCs w:val="24"/>
          <w:lang w:eastAsia="da-DK"/>
        </w:rPr>
        <w:t xml:space="preserve"> </w:t>
      </w:r>
      <w:r w:rsidRPr="005C6F13">
        <w:rPr>
          <w:sz w:val="24"/>
          <w:szCs w:val="24"/>
          <w:lang w:eastAsia="da-DK"/>
        </w:rPr>
        <w:t xml:space="preserve">uddrivningsfraktion mindre end eller lig med 35 % i løbet af de sidste 12 måneder, og </w:t>
      </w:r>
      <w:proofErr w:type="spellStart"/>
      <w:r w:rsidRPr="005C6F13">
        <w:rPr>
          <w:sz w:val="24"/>
          <w:szCs w:val="24"/>
          <w:lang w:eastAsia="da-DK"/>
        </w:rPr>
        <w:t>hviledyspnø</w:t>
      </w:r>
      <w:proofErr w:type="spellEnd"/>
      <w:r w:rsidRPr="005C6F13">
        <w:rPr>
          <w:sz w:val="24"/>
          <w:szCs w:val="24"/>
          <w:lang w:eastAsia="da-DK"/>
        </w:rPr>
        <w:t xml:space="preserve">. Alle baseline-terapier var tilladt undtagen intravenøs </w:t>
      </w:r>
      <w:proofErr w:type="spellStart"/>
      <w:r w:rsidRPr="005C6F13">
        <w:rPr>
          <w:sz w:val="24"/>
          <w:szCs w:val="24"/>
          <w:lang w:eastAsia="da-DK"/>
        </w:rPr>
        <w:t>milrinon</w:t>
      </w:r>
      <w:proofErr w:type="spellEnd"/>
      <w:r w:rsidRPr="005C6F13">
        <w:rPr>
          <w:sz w:val="24"/>
          <w:szCs w:val="24"/>
          <w:lang w:eastAsia="da-DK"/>
        </w:rPr>
        <w:t xml:space="preserve">. Eksklusionskriterier omfattede svær obstruktion i ventriklens udløb, </w:t>
      </w:r>
      <w:proofErr w:type="spellStart"/>
      <w:r w:rsidRPr="005C6F13">
        <w:rPr>
          <w:sz w:val="24"/>
          <w:szCs w:val="24"/>
          <w:lang w:eastAsia="da-DK"/>
        </w:rPr>
        <w:t>kardiogent</w:t>
      </w:r>
      <w:proofErr w:type="spellEnd"/>
      <w:r w:rsidRPr="005C6F13">
        <w:rPr>
          <w:sz w:val="24"/>
          <w:szCs w:val="24"/>
          <w:lang w:eastAsia="da-DK"/>
        </w:rPr>
        <w:t xml:space="preserve"> </w:t>
      </w:r>
      <w:proofErr w:type="spellStart"/>
      <w:r w:rsidRPr="005C6F13">
        <w:rPr>
          <w:sz w:val="24"/>
          <w:szCs w:val="24"/>
          <w:lang w:eastAsia="da-DK"/>
        </w:rPr>
        <w:t>shock</w:t>
      </w:r>
      <w:proofErr w:type="spellEnd"/>
      <w:r w:rsidRPr="005C6F13">
        <w:rPr>
          <w:sz w:val="24"/>
          <w:szCs w:val="24"/>
          <w:lang w:eastAsia="da-DK"/>
        </w:rPr>
        <w:t xml:space="preserve">, systolisk blodtryk ≤90 </w:t>
      </w:r>
      <w:proofErr w:type="spellStart"/>
      <w:r w:rsidRPr="005C6F13">
        <w:rPr>
          <w:sz w:val="24"/>
          <w:szCs w:val="24"/>
          <w:lang w:eastAsia="da-DK"/>
        </w:rPr>
        <w:t>mmHg</w:t>
      </w:r>
      <w:proofErr w:type="spellEnd"/>
      <w:r w:rsidRPr="005C6F13">
        <w:rPr>
          <w:sz w:val="24"/>
          <w:szCs w:val="24"/>
          <w:lang w:eastAsia="da-DK"/>
        </w:rPr>
        <w:t xml:space="preserve"> eller hjerterytme ≥120 slag pr. minut (vedvarende i mindst fem minutter), eller behov for mekanisk ventilering.</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Resultaterne fra det primære endepunkt viste, at en større andel af patienterne var kategoriseret som</w:t>
      </w:r>
      <w:r>
        <w:rPr>
          <w:sz w:val="24"/>
          <w:szCs w:val="24"/>
          <w:lang w:eastAsia="da-DK"/>
        </w:rPr>
        <w:t xml:space="preserve"> </w:t>
      </w:r>
      <w:r w:rsidRPr="005C6F13">
        <w:rPr>
          <w:sz w:val="24"/>
          <w:szCs w:val="24"/>
          <w:lang w:eastAsia="da-DK"/>
        </w:rPr>
        <w:t xml:space="preserve">forbedret og en mindre andel af patienterne kategoriseret som forværret </w:t>
      </w:r>
      <w:r w:rsidRPr="005C6F13">
        <w:rPr>
          <w:sz w:val="24"/>
          <w:szCs w:val="24"/>
          <w:lang w:eastAsia="da-DK"/>
        </w:rPr>
        <w:lastRenderedPageBreak/>
        <w:t>(</w:t>
      </w:r>
      <w:proofErr w:type="spellStart"/>
      <w:r w:rsidRPr="005C6F13">
        <w:rPr>
          <w:sz w:val="24"/>
          <w:szCs w:val="24"/>
          <w:lang w:eastAsia="da-DK"/>
        </w:rPr>
        <w:t>p-værdi</w:t>
      </w:r>
      <w:proofErr w:type="spellEnd"/>
      <w:r w:rsidRPr="005C6F13">
        <w:rPr>
          <w:sz w:val="24"/>
          <w:szCs w:val="24"/>
          <w:lang w:eastAsia="da-DK"/>
        </w:rPr>
        <w:t xml:space="preserve"> 0,015) målt ved det klinisk samlede endepunkt, som viste vedvarende fordele i klinisk tilstand på tre tidspunkter: seks timer, 24 timer og fem dage. B-type </w:t>
      </w:r>
      <w:proofErr w:type="spellStart"/>
      <w:r w:rsidRPr="005C6F13">
        <w:rPr>
          <w:sz w:val="24"/>
          <w:szCs w:val="24"/>
          <w:lang w:eastAsia="da-DK"/>
        </w:rPr>
        <w:t>natriuretisk</w:t>
      </w:r>
      <w:proofErr w:type="spellEnd"/>
      <w:r w:rsidRPr="005C6F13">
        <w:rPr>
          <w:sz w:val="24"/>
          <w:szCs w:val="24"/>
          <w:lang w:eastAsia="da-DK"/>
        </w:rPr>
        <w:t xml:space="preserve"> peptid var signifikant reduceret versus placebo og standardterapi på 24 timer og gennem 5 dage (</w:t>
      </w:r>
      <w:proofErr w:type="spellStart"/>
      <w:r w:rsidRPr="005C6F13">
        <w:rPr>
          <w:sz w:val="24"/>
          <w:szCs w:val="24"/>
          <w:lang w:eastAsia="da-DK"/>
        </w:rPr>
        <w:t>p-værdi</w:t>
      </w:r>
      <w:proofErr w:type="spellEnd"/>
      <w:r w:rsidRPr="005C6F13">
        <w:rPr>
          <w:sz w:val="24"/>
          <w:szCs w:val="24"/>
          <w:lang w:eastAsia="da-DK"/>
        </w:rPr>
        <w:t xml:space="preserve"> = 0,001).</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Levosimendangruppen</w:t>
      </w:r>
      <w:proofErr w:type="spellEnd"/>
      <w:r w:rsidRPr="005C6F13">
        <w:rPr>
          <w:sz w:val="24"/>
          <w:szCs w:val="24"/>
          <w:lang w:eastAsia="da-DK"/>
        </w:rPr>
        <w:t xml:space="preserve"> havde en lidt højere, men ikke statistisk signifikant, </w:t>
      </w:r>
      <w:proofErr w:type="spellStart"/>
      <w:r w:rsidRPr="005C6F13">
        <w:rPr>
          <w:sz w:val="24"/>
          <w:szCs w:val="24"/>
          <w:lang w:eastAsia="da-DK"/>
        </w:rPr>
        <w:t>dødsrate</w:t>
      </w:r>
      <w:proofErr w:type="spellEnd"/>
      <w:r w:rsidRPr="005C6F13">
        <w:rPr>
          <w:sz w:val="24"/>
          <w:szCs w:val="24"/>
          <w:lang w:eastAsia="da-DK"/>
        </w:rPr>
        <w:t xml:space="preserve"> sammenlignet med kontrolgruppen på 90 dage (15 % vs. 12 %). Post hoc-analyser identificerede systolisk blodtryk &lt; 100 </w:t>
      </w:r>
      <w:proofErr w:type="spellStart"/>
      <w:r w:rsidRPr="005C6F13">
        <w:rPr>
          <w:sz w:val="24"/>
          <w:szCs w:val="24"/>
          <w:lang w:eastAsia="da-DK"/>
        </w:rPr>
        <w:t>mmHg</w:t>
      </w:r>
      <w:proofErr w:type="spellEnd"/>
      <w:r w:rsidRPr="005C6F13">
        <w:rPr>
          <w:sz w:val="24"/>
          <w:szCs w:val="24"/>
          <w:lang w:eastAsia="da-DK"/>
        </w:rPr>
        <w:t xml:space="preserve"> eller diastolisk blodtryk &lt; 60 </w:t>
      </w:r>
      <w:proofErr w:type="spellStart"/>
      <w:r w:rsidRPr="005C6F13">
        <w:rPr>
          <w:sz w:val="24"/>
          <w:szCs w:val="24"/>
          <w:lang w:eastAsia="da-DK"/>
        </w:rPr>
        <w:t>mmHg</w:t>
      </w:r>
      <w:proofErr w:type="spellEnd"/>
      <w:r w:rsidRPr="005C6F13">
        <w:rPr>
          <w:sz w:val="24"/>
          <w:szCs w:val="24"/>
          <w:lang w:eastAsia="da-DK"/>
        </w:rPr>
        <w:t xml:space="preserve"> ved baseline som faktorer, der øger mortalitetsrisikoen.</w:t>
      </w:r>
    </w:p>
    <w:p w:rsidR="006C2BEE" w:rsidRPr="005C6F13" w:rsidRDefault="006C2BEE" w:rsidP="006C2BEE">
      <w:pPr>
        <w:ind w:left="851" w:hanging="851"/>
        <w:rPr>
          <w:sz w:val="24"/>
          <w:szCs w:val="24"/>
          <w:lang w:eastAsia="da-DK"/>
        </w:rPr>
      </w:pPr>
    </w:p>
    <w:p w:rsidR="006C2BEE" w:rsidRPr="005C6F13" w:rsidRDefault="006C2BEE" w:rsidP="006C2BEE">
      <w:pPr>
        <w:autoSpaceDE w:val="0"/>
        <w:autoSpaceDN w:val="0"/>
        <w:adjustRightInd w:val="0"/>
        <w:ind w:left="851"/>
        <w:rPr>
          <w:bCs/>
          <w:sz w:val="24"/>
          <w:szCs w:val="24"/>
          <w:u w:val="single"/>
          <w:lang w:eastAsia="da-DK"/>
        </w:rPr>
      </w:pPr>
      <w:r w:rsidRPr="005C6F13">
        <w:rPr>
          <w:bCs/>
          <w:sz w:val="24"/>
          <w:szCs w:val="24"/>
          <w:u w:val="single"/>
          <w:lang w:eastAsia="da-DK"/>
        </w:rPr>
        <w:t>SURVIVE</w:t>
      </w:r>
    </w:p>
    <w:p w:rsidR="006C2BEE" w:rsidRPr="00FF2305" w:rsidRDefault="006C2BEE" w:rsidP="006C2BEE">
      <w:pPr>
        <w:autoSpaceDE w:val="0"/>
        <w:autoSpaceDN w:val="0"/>
        <w:adjustRightInd w:val="0"/>
        <w:ind w:left="851" w:hanging="851"/>
        <w:rPr>
          <w:bCs/>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Et dobbeltblindt, </w:t>
      </w:r>
      <w:proofErr w:type="spellStart"/>
      <w:r w:rsidRPr="005C6F13">
        <w:rPr>
          <w:sz w:val="24"/>
          <w:szCs w:val="24"/>
          <w:lang w:eastAsia="da-DK"/>
        </w:rPr>
        <w:t>dobbeldummy</w:t>
      </w:r>
      <w:proofErr w:type="spellEnd"/>
      <w:r w:rsidRPr="005C6F13">
        <w:rPr>
          <w:sz w:val="24"/>
          <w:szCs w:val="24"/>
          <w:lang w:eastAsia="da-DK"/>
        </w:rPr>
        <w:t>, parallelgruppe, multicenterstudie, som sammenligner</w:t>
      </w:r>
      <w:r>
        <w:rPr>
          <w:sz w:val="24"/>
          <w:szCs w:val="24"/>
          <w:lang w:eastAsia="da-DK"/>
        </w:rPr>
        <w:t xml:space="preserve"> </w:t>
      </w:r>
      <w:proofErr w:type="spellStart"/>
      <w:r w:rsidRPr="005C6F13">
        <w:rPr>
          <w:sz w:val="24"/>
          <w:szCs w:val="24"/>
          <w:lang w:eastAsia="da-DK"/>
        </w:rPr>
        <w:t>levosimendan</w:t>
      </w:r>
      <w:proofErr w:type="spellEnd"/>
      <w:r w:rsidRPr="005C6F13">
        <w:rPr>
          <w:sz w:val="24"/>
          <w:szCs w:val="24"/>
          <w:lang w:eastAsia="da-DK"/>
        </w:rPr>
        <w:t xml:space="preserve"> vs. </w:t>
      </w:r>
      <w:proofErr w:type="spellStart"/>
      <w:r w:rsidRPr="005C6F13">
        <w:rPr>
          <w:sz w:val="24"/>
          <w:szCs w:val="24"/>
          <w:lang w:eastAsia="da-DK"/>
        </w:rPr>
        <w:t>Dobutamin</w:t>
      </w:r>
      <w:proofErr w:type="spellEnd"/>
      <w:r w:rsidRPr="005C6F13">
        <w:rPr>
          <w:sz w:val="24"/>
          <w:szCs w:val="24"/>
          <w:lang w:eastAsia="da-DK"/>
        </w:rPr>
        <w:t xml:space="preserve">-evalueret 180 dage-mortalitet hos 1327 patienter med ADHF, som havde behov for tillægsterapi efter </w:t>
      </w:r>
      <w:proofErr w:type="gramStart"/>
      <w:r w:rsidRPr="005C6F13">
        <w:rPr>
          <w:sz w:val="24"/>
          <w:szCs w:val="24"/>
          <w:lang w:eastAsia="da-DK"/>
        </w:rPr>
        <w:t>et utilstrækkelig respons</w:t>
      </w:r>
      <w:proofErr w:type="gramEnd"/>
      <w:r w:rsidRPr="005C6F13">
        <w:rPr>
          <w:sz w:val="24"/>
          <w:szCs w:val="24"/>
          <w:lang w:eastAsia="da-DK"/>
        </w:rPr>
        <w:t xml:space="preserve"> på intravenøs </w:t>
      </w:r>
      <w:proofErr w:type="spellStart"/>
      <w:r w:rsidRPr="005C6F13">
        <w:rPr>
          <w:sz w:val="24"/>
          <w:szCs w:val="24"/>
          <w:lang w:eastAsia="da-DK"/>
        </w:rPr>
        <w:t>diuretika</w:t>
      </w:r>
      <w:proofErr w:type="spellEnd"/>
      <w:r w:rsidRPr="005C6F13">
        <w:rPr>
          <w:sz w:val="24"/>
          <w:szCs w:val="24"/>
          <w:lang w:eastAsia="da-DK"/>
        </w:rPr>
        <w:t xml:space="preserve"> eller </w:t>
      </w:r>
      <w:proofErr w:type="spellStart"/>
      <w:r w:rsidRPr="005C6F13">
        <w:rPr>
          <w:sz w:val="24"/>
          <w:szCs w:val="24"/>
          <w:lang w:eastAsia="da-DK"/>
        </w:rPr>
        <w:t>vasodilatorer</w:t>
      </w:r>
      <w:proofErr w:type="spellEnd"/>
      <w:r w:rsidRPr="005C6F13">
        <w:rPr>
          <w:sz w:val="24"/>
          <w:szCs w:val="24"/>
          <w:lang w:eastAsia="da-DK"/>
        </w:rPr>
        <w:t>.</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Patientpopulationen var generelt i overensstemmelse med patienterne fra REVIVE II-studiet. Dog var patienter uden tidligere hjertesvigt (f.eks. akut hjerteinfarkt) og patienter, som havde behov for mekanisk ventilering inkluderede. Omtrent 90 % af patienterne blev inkluderet i studiet pga. </w:t>
      </w:r>
      <w:proofErr w:type="spellStart"/>
      <w:r w:rsidRPr="005C6F13">
        <w:rPr>
          <w:sz w:val="24"/>
          <w:szCs w:val="24"/>
          <w:lang w:eastAsia="da-DK"/>
        </w:rPr>
        <w:t>hviledyspnø</w:t>
      </w:r>
      <w:proofErr w:type="spellEnd"/>
      <w:r w:rsidRPr="005C6F13">
        <w:rPr>
          <w:sz w:val="24"/>
          <w:szCs w:val="24"/>
          <w:lang w:eastAsia="da-DK"/>
        </w:rPr>
        <w:t>.</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Resultaterne fra SURVIVE viste ingen statistisk signifikante forskelle mellem </w:t>
      </w:r>
      <w:proofErr w:type="spellStart"/>
      <w:r w:rsidRPr="005C6F13">
        <w:rPr>
          <w:sz w:val="24"/>
          <w:szCs w:val="24"/>
          <w:lang w:eastAsia="da-DK"/>
        </w:rPr>
        <w:t>levosimendan</w:t>
      </w:r>
      <w:proofErr w:type="spellEnd"/>
      <w:r w:rsidRPr="005C6F13">
        <w:rPr>
          <w:sz w:val="24"/>
          <w:szCs w:val="24"/>
          <w:lang w:eastAsia="da-DK"/>
        </w:rPr>
        <w:t xml:space="preserve"> og </w:t>
      </w:r>
      <w:proofErr w:type="spellStart"/>
      <w:r w:rsidRPr="005C6F13">
        <w:rPr>
          <w:sz w:val="24"/>
          <w:szCs w:val="24"/>
          <w:lang w:eastAsia="da-DK"/>
        </w:rPr>
        <w:t>dobutamin</w:t>
      </w:r>
      <w:proofErr w:type="spellEnd"/>
      <w:r w:rsidRPr="005C6F13">
        <w:rPr>
          <w:sz w:val="24"/>
          <w:szCs w:val="24"/>
          <w:lang w:eastAsia="da-DK"/>
        </w:rPr>
        <w:t xml:space="preserve"> for alle mortalitetstilfælde uanset årsag ved 180 dage {</w:t>
      </w:r>
      <w:proofErr w:type="spellStart"/>
      <w:r w:rsidRPr="005C6F13">
        <w:rPr>
          <w:sz w:val="24"/>
          <w:szCs w:val="24"/>
          <w:lang w:eastAsia="da-DK"/>
        </w:rPr>
        <w:t>hazardratio</w:t>
      </w:r>
      <w:proofErr w:type="spellEnd"/>
      <w:r w:rsidRPr="005C6F13">
        <w:rPr>
          <w:sz w:val="24"/>
          <w:szCs w:val="24"/>
          <w:lang w:eastAsia="da-DK"/>
        </w:rPr>
        <w:t xml:space="preserve"> = 0,91 (95 % CI [0,74, 1,13] </w:t>
      </w:r>
      <w:proofErr w:type="spellStart"/>
      <w:r w:rsidRPr="005C6F13">
        <w:rPr>
          <w:sz w:val="24"/>
          <w:szCs w:val="24"/>
          <w:lang w:eastAsia="da-DK"/>
        </w:rPr>
        <w:t>p-værdi</w:t>
      </w:r>
      <w:proofErr w:type="spellEnd"/>
      <w:r w:rsidRPr="005C6F13">
        <w:rPr>
          <w:sz w:val="24"/>
          <w:szCs w:val="24"/>
          <w:lang w:eastAsia="da-DK"/>
        </w:rPr>
        <w:t xml:space="preserve"> 0,401)}. Der var dog en numerisk fordel i mortalitet ved dag 5 (4 % </w:t>
      </w:r>
      <w:proofErr w:type="spellStart"/>
      <w:r w:rsidRPr="005C6F13">
        <w:rPr>
          <w:sz w:val="24"/>
          <w:szCs w:val="24"/>
          <w:lang w:eastAsia="da-DK"/>
        </w:rPr>
        <w:t>levosimendan</w:t>
      </w:r>
      <w:proofErr w:type="spellEnd"/>
      <w:r w:rsidRPr="005C6F13">
        <w:rPr>
          <w:sz w:val="24"/>
          <w:szCs w:val="24"/>
          <w:lang w:eastAsia="da-DK"/>
        </w:rPr>
        <w:t xml:space="preserve"> vs. 6% </w:t>
      </w:r>
      <w:proofErr w:type="spellStart"/>
      <w:r w:rsidRPr="005C6F13">
        <w:rPr>
          <w:sz w:val="24"/>
          <w:szCs w:val="24"/>
          <w:lang w:eastAsia="da-DK"/>
        </w:rPr>
        <w:t>dobutamin</w:t>
      </w:r>
      <w:proofErr w:type="spellEnd"/>
      <w:r w:rsidRPr="005C6F13">
        <w:rPr>
          <w:sz w:val="24"/>
          <w:szCs w:val="24"/>
          <w:lang w:eastAsia="da-DK"/>
        </w:rPr>
        <w:t xml:space="preserve">) for </w:t>
      </w:r>
      <w:proofErr w:type="spellStart"/>
      <w:r w:rsidRPr="005C6F13">
        <w:rPr>
          <w:sz w:val="24"/>
          <w:szCs w:val="24"/>
          <w:lang w:eastAsia="da-DK"/>
        </w:rPr>
        <w:t>levosimendan</w:t>
      </w:r>
      <w:proofErr w:type="spellEnd"/>
      <w:r w:rsidRPr="005C6F13">
        <w:rPr>
          <w:sz w:val="24"/>
          <w:szCs w:val="24"/>
          <w:lang w:eastAsia="da-DK"/>
        </w:rPr>
        <w:t xml:space="preserve">. Denne fordel varede ved gennem en 31-dags periode (12 % </w:t>
      </w:r>
      <w:proofErr w:type="spellStart"/>
      <w:r w:rsidRPr="005C6F13">
        <w:rPr>
          <w:sz w:val="24"/>
          <w:szCs w:val="24"/>
          <w:lang w:eastAsia="da-DK"/>
        </w:rPr>
        <w:t>levosimendan</w:t>
      </w:r>
      <w:proofErr w:type="spellEnd"/>
      <w:r w:rsidRPr="005C6F13">
        <w:rPr>
          <w:sz w:val="24"/>
          <w:szCs w:val="24"/>
          <w:lang w:eastAsia="da-DK"/>
        </w:rPr>
        <w:t xml:space="preserve"> vs. 14 % </w:t>
      </w:r>
      <w:proofErr w:type="spellStart"/>
      <w:r w:rsidRPr="005C6F13">
        <w:rPr>
          <w:sz w:val="24"/>
          <w:szCs w:val="24"/>
          <w:lang w:eastAsia="da-DK"/>
        </w:rPr>
        <w:t>dobutamin</w:t>
      </w:r>
      <w:proofErr w:type="spellEnd"/>
      <w:r w:rsidRPr="005C6F13">
        <w:rPr>
          <w:sz w:val="24"/>
          <w:szCs w:val="24"/>
          <w:lang w:eastAsia="da-DK"/>
        </w:rPr>
        <w:t>) og var mest fremtrædende hos patienter, som fik betablokker-terapi ved baseline. I begge grupper, som fik behandling, oplevede patienter med lavt blodtryk ved baseline en højere mortalitetsrate end patienterne med højere blodtryk ved baseline.</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bCs/>
          <w:sz w:val="24"/>
          <w:szCs w:val="24"/>
          <w:u w:val="single"/>
          <w:lang w:eastAsia="da-DK"/>
        </w:rPr>
      </w:pPr>
      <w:r w:rsidRPr="005C6F13">
        <w:rPr>
          <w:bCs/>
          <w:sz w:val="24"/>
          <w:szCs w:val="24"/>
          <w:u w:val="single"/>
          <w:lang w:eastAsia="da-DK"/>
        </w:rPr>
        <w:t>LIDO</w:t>
      </w:r>
    </w:p>
    <w:p w:rsidR="006C2BEE" w:rsidRPr="005C6F13" w:rsidRDefault="006C2BEE" w:rsidP="006C2BEE">
      <w:pPr>
        <w:autoSpaceDE w:val="0"/>
        <w:autoSpaceDN w:val="0"/>
        <w:adjustRightInd w:val="0"/>
        <w:ind w:left="851" w:hanging="851"/>
        <w:rPr>
          <w:bCs/>
          <w:sz w:val="24"/>
          <w:szCs w:val="24"/>
          <w:u w:val="single"/>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har vist sig at medføre dosisafhængig øgning af minutvolumen og slagvolumen, samt en dosisafhængig reduktion i det lungekapillærtrykket, det gennemsnitlige arterielle tryk og den totale perifere modstand.</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 et dobbeltblindt multicenterstudie fik 203 patienter med </w:t>
      </w:r>
      <w:proofErr w:type="gramStart"/>
      <w:r w:rsidRPr="005C6F13">
        <w:rPr>
          <w:sz w:val="24"/>
          <w:szCs w:val="24"/>
          <w:lang w:eastAsia="da-DK"/>
        </w:rPr>
        <w:t>svær hjertesvigt</w:t>
      </w:r>
      <w:proofErr w:type="gramEnd"/>
      <w:r w:rsidRPr="005C6F13">
        <w:rPr>
          <w:sz w:val="24"/>
          <w:szCs w:val="24"/>
          <w:lang w:eastAsia="da-DK"/>
        </w:rPr>
        <w:t xml:space="preserve"> med lavt minutvolumen (uddrivningsfraktion ≤ 0,35, kardial indeks &lt;2,5 l/min/m</w:t>
      </w:r>
      <w:r w:rsidRPr="005C6F13">
        <w:rPr>
          <w:sz w:val="24"/>
          <w:szCs w:val="24"/>
          <w:vertAlign w:val="superscript"/>
          <w:lang w:eastAsia="da-DK"/>
        </w:rPr>
        <w:t>2</w:t>
      </w:r>
      <w:r w:rsidRPr="005C6F13">
        <w:rPr>
          <w:sz w:val="24"/>
          <w:szCs w:val="24"/>
          <w:lang w:eastAsia="da-DK"/>
        </w:rPr>
        <w:t xml:space="preserve">, </w:t>
      </w:r>
      <w:proofErr w:type="spellStart"/>
      <w:r w:rsidRPr="005C6F13">
        <w:rPr>
          <w:sz w:val="24"/>
          <w:szCs w:val="24"/>
          <w:lang w:eastAsia="da-DK"/>
        </w:rPr>
        <w:t>pulmonale</w:t>
      </w:r>
      <w:proofErr w:type="spellEnd"/>
      <w:r w:rsidRPr="005C6F13">
        <w:rPr>
          <w:sz w:val="24"/>
          <w:szCs w:val="24"/>
          <w:lang w:eastAsia="da-DK"/>
        </w:rPr>
        <w:t xml:space="preserve"> </w:t>
      </w:r>
      <w:proofErr w:type="spellStart"/>
      <w:r w:rsidRPr="005C6F13">
        <w:rPr>
          <w:sz w:val="24"/>
          <w:szCs w:val="24"/>
          <w:lang w:eastAsia="da-DK"/>
        </w:rPr>
        <w:t>kapillære</w:t>
      </w:r>
      <w:proofErr w:type="spellEnd"/>
      <w:r w:rsidRPr="005C6F13">
        <w:rPr>
          <w:sz w:val="24"/>
          <w:szCs w:val="24"/>
          <w:lang w:eastAsia="da-DK"/>
        </w:rPr>
        <w:t xml:space="preserve"> kiletryk (PCWP) &gt;15mmHg) og med behov for inotrop støtte, enten </w:t>
      </w:r>
      <w:proofErr w:type="spellStart"/>
      <w:r w:rsidRPr="005C6F13">
        <w:rPr>
          <w:sz w:val="24"/>
          <w:szCs w:val="24"/>
          <w:lang w:eastAsia="da-DK"/>
        </w:rPr>
        <w:t>levosimendan</w:t>
      </w:r>
      <w:proofErr w:type="spellEnd"/>
      <w:r w:rsidRPr="005C6F13">
        <w:rPr>
          <w:sz w:val="24"/>
          <w:szCs w:val="24"/>
          <w:lang w:eastAsia="da-DK"/>
        </w:rPr>
        <w:t xml:space="preserve"> (</w:t>
      </w:r>
      <w:r>
        <w:rPr>
          <w:sz w:val="24"/>
          <w:szCs w:val="24"/>
          <w:lang w:eastAsia="da-DK"/>
        </w:rPr>
        <w:t>støddosis</w:t>
      </w:r>
      <w:r w:rsidRPr="005C6F13">
        <w:rPr>
          <w:sz w:val="24"/>
          <w:szCs w:val="24"/>
          <w:lang w:eastAsia="da-DK"/>
        </w:rPr>
        <w:t xml:space="preserve"> på 24 mikrogram/kg i løbet af 10 minutter efterfulgt af en kontinuerlig infusion på 0,1-0,2 mikrogram/kg/min) eller </w:t>
      </w:r>
      <w:proofErr w:type="spellStart"/>
      <w:r w:rsidRPr="005C6F13">
        <w:rPr>
          <w:sz w:val="24"/>
          <w:szCs w:val="24"/>
          <w:lang w:eastAsia="da-DK"/>
        </w:rPr>
        <w:t>dobutamin</w:t>
      </w:r>
      <w:proofErr w:type="spellEnd"/>
      <w:r w:rsidRPr="005C6F13">
        <w:rPr>
          <w:sz w:val="24"/>
          <w:szCs w:val="24"/>
          <w:lang w:eastAsia="da-DK"/>
        </w:rPr>
        <w:t xml:space="preserve"> (5-10 mikrogram/kg/min) i 24 timer.</w:t>
      </w:r>
    </w:p>
    <w:p w:rsidR="00B6763C" w:rsidRDefault="006C2BEE" w:rsidP="009F3408">
      <w:pPr>
        <w:autoSpaceDE w:val="0"/>
        <w:autoSpaceDN w:val="0"/>
        <w:adjustRightInd w:val="0"/>
        <w:ind w:left="851"/>
        <w:rPr>
          <w:sz w:val="24"/>
          <w:szCs w:val="24"/>
          <w:lang w:eastAsia="da-DK"/>
        </w:rPr>
      </w:pPr>
      <w:r w:rsidRPr="005C6F13">
        <w:rPr>
          <w:sz w:val="24"/>
          <w:szCs w:val="24"/>
          <w:lang w:eastAsia="da-DK"/>
        </w:rPr>
        <w:t xml:space="preserve">Ætiologien for hjertesvigt var iskæmi hos 47 % af patienterne; 45 % havde idiopatisk forstørret </w:t>
      </w:r>
      <w:proofErr w:type="spellStart"/>
      <w:r w:rsidRPr="005C6F13">
        <w:rPr>
          <w:sz w:val="24"/>
          <w:szCs w:val="24"/>
          <w:lang w:eastAsia="da-DK"/>
        </w:rPr>
        <w:t>kardiomyopati</w:t>
      </w:r>
      <w:proofErr w:type="spellEnd"/>
      <w:r w:rsidRPr="005C6F13">
        <w:rPr>
          <w:sz w:val="24"/>
          <w:szCs w:val="24"/>
          <w:lang w:eastAsia="da-DK"/>
        </w:rPr>
        <w:t xml:space="preserve">. 76 % af patienterne havde </w:t>
      </w:r>
      <w:proofErr w:type="spellStart"/>
      <w:r w:rsidRPr="005C6F13">
        <w:rPr>
          <w:sz w:val="24"/>
          <w:szCs w:val="24"/>
          <w:lang w:eastAsia="da-DK"/>
        </w:rPr>
        <w:t>hviledyspnø</w:t>
      </w:r>
      <w:proofErr w:type="spellEnd"/>
      <w:r w:rsidRPr="005C6F13">
        <w:rPr>
          <w:sz w:val="24"/>
          <w:szCs w:val="24"/>
          <w:lang w:eastAsia="da-DK"/>
        </w:rPr>
        <w:t xml:space="preserve">. Hovedeksklusionskriterier omfattede systolisk blodtryk under 90 </w:t>
      </w:r>
      <w:proofErr w:type="spellStart"/>
      <w:r w:rsidRPr="005C6F13">
        <w:rPr>
          <w:sz w:val="24"/>
          <w:szCs w:val="24"/>
          <w:lang w:eastAsia="da-DK"/>
        </w:rPr>
        <w:t>mmHg</w:t>
      </w:r>
      <w:proofErr w:type="spellEnd"/>
      <w:r w:rsidRPr="005C6F13">
        <w:rPr>
          <w:sz w:val="24"/>
          <w:szCs w:val="24"/>
          <w:lang w:eastAsia="da-DK"/>
        </w:rPr>
        <w:t xml:space="preserve"> og en hjertefrekvens over 120 slag i minuttet. Det primære endepunkt var en stigning i minutvolumen på ≥ 30 % og et samtidig fald i PCWP på ≥ 25 % på 24 timer. Dette blev opnået hos 28 % af patienterne, som blev behandlet med </w:t>
      </w:r>
      <w:proofErr w:type="spellStart"/>
      <w:r w:rsidRPr="005C6F13">
        <w:rPr>
          <w:sz w:val="24"/>
          <w:szCs w:val="24"/>
          <w:lang w:eastAsia="da-DK"/>
        </w:rPr>
        <w:t>levosimendan</w:t>
      </w:r>
      <w:proofErr w:type="spellEnd"/>
      <w:r w:rsidRPr="005C6F13">
        <w:rPr>
          <w:sz w:val="24"/>
          <w:szCs w:val="24"/>
          <w:lang w:eastAsia="da-DK"/>
        </w:rPr>
        <w:t xml:space="preserve"> sammenlignet med 15 % efter </w:t>
      </w:r>
      <w:proofErr w:type="spellStart"/>
      <w:r w:rsidRPr="005C6F13">
        <w:rPr>
          <w:sz w:val="24"/>
          <w:szCs w:val="24"/>
          <w:lang w:eastAsia="da-DK"/>
        </w:rPr>
        <w:t>dobutaminbehandling</w:t>
      </w:r>
      <w:proofErr w:type="spellEnd"/>
      <w:r w:rsidRPr="005C6F13">
        <w:rPr>
          <w:sz w:val="24"/>
          <w:szCs w:val="24"/>
          <w:lang w:eastAsia="da-DK"/>
        </w:rPr>
        <w:t xml:space="preserve"> (p=0,025). 68 % af symptomatiske patienter havde en forbedring med hensyn til dyspnø efter </w:t>
      </w:r>
      <w:proofErr w:type="spellStart"/>
      <w:r w:rsidRPr="005C6F13">
        <w:rPr>
          <w:sz w:val="24"/>
          <w:szCs w:val="24"/>
          <w:lang w:eastAsia="da-DK"/>
        </w:rPr>
        <w:t>levosimendanbehandlingen</w:t>
      </w:r>
      <w:proofErr w:type="spellEnd"/>
      <w:r w:rsidRPr="005C6F13">
        <w:rPr>
          <w:sz w:val="24"/>
          <w:szCs w:val="24"/>
          <w:lang w:eastAsia="da-DK"/>
        </w:rPr>
        <w:t xml:space="preserve">, sammenlignet med 59 % efter </w:t>
      </w:r>
      <w:proofErr w:type="spellStart"/>
      <w:r w:rsidRPr="005C6F13">
        <w:rPr>
          <w:sz w:val="24"/>
          <w:szCs w:val="24"/>
          <w:lang w:eastAsia="da-DK"/>
        </w:rPr>
        <w:t>dobutaminbehandling</w:t>
      </w:r>
      <w:proofErr w:type="spellEnd"/>
      <w:r w:rsidRPr="005C6F13">
        <w:rPr>
          <w:sz w:val="24"/>
          <w:szCs w:val="24"/>
          <w:lang w:eastAsia="da-DK"/>
        </w:rPr>
        <w:t xml:space="preserve">. Forbedringerne for måling af træthed var 63 % og 47 % </w:t>
      </w:r>
      <w:r w:rsidRPr="005C6F13">
        <w:rPr>
          <w:sz w:val="24"/>
          <w:szCs w:val="24"/>
          <w:lang w:eastAsia="da-DK"/>
        </w:rPr>
        <w:lastRenderedPageBreak/>
        <w:t xml:space="preserve">efter hhv. behandling med </w:t>
      </w:r>
      <w:proofErr w:type="spellStart"/>
      <w:r w:rsidRPr="005C6F13">
        <w:rPr>
          <w:sz w:val="24"/>
          <w:szCs w:val="24"/>
          <w:lang w:eastAsia="da-DK"/>
        </w:rPr>
        <w:t>levosimendan</w:t>
      </w:r>
      <w:proofErr w:type="spellEnd"/>
      <w:r w:rsidRPr="005C6F13">
        <w:rPr>
          <w:sz w:val="24"/>
          <w:szCs w:val="24"/>
          <w:lang w:eastAsia="da-DK"/>
        </w:rPr>
        <w:t xml:space="preserve"> og </w:t>
      </w:r>
      <w:proofErr w:type="spellStart"/>
      <w:r w:rsidRPr="005C6F13">
        <w:rPr>
          <w:sz w:val="24"/>
          <w:szCs w:val="24"/>
          <w:lang w:eastAsia="da-DK"/>
        </w:rPr>
        <w:t>dobutamin</w:t>
      </w:r>
      <w:proofErr w:type="spellEnd"/>
      <w:r w:rsidRPr="005C6F13">
        <w:rPr>
          <w:sz w:val="24"/>
          <w:szCs w:val="24"/>
          <w:lang w:eastAsia="da-DK"/>
        </w:rPr>
        <w:t xml:space="preserve">. Dødsfald uanset årsag på dag 31, var 7,8 % for </w:t>
      </w:r>
      <w:proofErr w:type="spellStart"/>
      <w:r w:rsidRPr="005C6F13">
        <w:rPr>
          <w:sz w:val="24"/>
          <w:szCs w:val="24"/>
          <w:lang w:eastAsia="da-DK"/>
        </w:rPr>
        <w:t>levosimendan</w:t>
      </w:r>
      <w:proofErr w:type="spellEnd"/>
      <w:r w:rsidRPr="005C6F13">
        <w:rPr>
          <w:sz w:val="24"/>
          <w:szCs w:val="24"/>
          <w:lang w:eastAsia="da-DK"/>
        </w:rPr>
        <w:t xml:space="preserve"> og 17 % for patienter, som blev behandlet med </w:t>
      </w:r>
      <w:proofErr w:type="spellStart"/>
      <w:r w:rsidRPr="005C6F13">
        <w:rPr>
          <w:sz w:val="24"/>
          <w:szCs w:val="24"/>
          <w:lang w:eastAsia="da-DK"/>
        </w:rPr>
        <w:t>dobutamin</w:t>
      </w:r>
      <w:proofErr w:type="spellEnd"/>
      <w:r w:rsidRPr="005C6F13">
        <w:rPr>
          <w:sz w:val="24"/>
          <w:szCs w:val="24"/>
          <w:lang w:eastAsia="da-DK"/>
        </w:rPr>
        <w:t>.</w:t>
      </w:r>
    </w:p>
    <w:p w:rsidR="00B6763C" w:rsidRPr="005C6F13" w:rsidRDefault="00B6763C"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bCs/>
          <w:sz w:val="24"/>
          <w:szCs w:val="24"/>
          <w:u w:val="single"/>
          <w:lang w:eastAsia="da-DK"/>
        </w:rPr>
      </w:pPr>
      <w:r w:rsidRPr="005C6F13">
        <w:rPr>
          <w:bCs/>
          <w:sz w:val="24"/>
          <w:szCs w:val="24"/>
          <w:u w:val="single"/>
          <w:lang w:eastAsia="da-DK"/>
        </w:rPr>
        <w:t>RUSSLAN</w:t>
      </w:r>
    </w:p>
    <w:p w:rsidR="006C2BEE" w:rsidRPr="005C6F13" w:rsidRDefault="006C2BEE" w:rsidP="006C2BEE">
      <w:pPr>
        <w:autoSpaceDE w:val="0"/>
        <w:autoSpaceDN w:val="0"/>
        <w:adjustRightInd w:val="0"/>
        <w:ind w:left="851" w:hanging="851"/>
        <w:rPr>
          <w:bCs/>
          <w:sz w:val="24"/>
          <w:szCs w:val="24"/>
          <w:u w:val="single"/>
          <w:lang w:eastAsia="da-DK"/>
        </w:rPr>
      </w:pPr>
    </w:p>
    <w:p w:rsidR="006C2BEE" w:rsidRDefault="006C2BEE" w:rsidP="006C2BEE">
      <w:pPr>
        <w:autoSpaceDE w:val="0"/>
        <w:autoSpaceDN w:val="0"/>
        <w:adjustRightInd w:val="0"/>
        <w:ind w:left="851"/>
        <w:rPr>
          <w:sz w:val="24"/>
          <w:szCs w:val="24"/>
          <w:lang w:eastAsia="da-DK"/>
        </w:rPr>
      </w:pPr>
      <w:r w:rsidRPr="005C6F13">
        <w:rPr>
          <w:sz w:val="24"/>
          <w:szCs w:val="24"/>
          <w:lang w:eastAsia="da-DK"/>
        </w:rPr>
        <w:t xml:space="preserve">I et yderligere dobbeltblindt multicenter-studie, som blev gennemført primært for at vurdere sikkerheden, blev 504 patienter med </w:t>
      </w:r>
      <w:proofErr w:type="spellStart"/>
      <w:r w:rsidRPr="005C6F13">
        <w:rPr>
          <w:sz w:val="24"/>
          <w:szCs w:val="24"/>
          <w:lang w:eastAsia="da-DK"/>
        </w:rPr>
        <w:t>dekompenseret</w:t>
      </w:r>
      <w:proofErr w:type="spellEnd"/>
      <w:r w:rsidRPr="005C6F13">
        <w:rPr>
          <w:sz w:val="24"/>
          <w:szCs w:val="24"/>
          <w:lang w:eastAsia="da-DK"/>
        </w:rPr>
        <w:t xml:space="preserve"> hjertesvigt efter akut myokardieinfarkt, som blev vurderet til at have behov for inotrop støtte, behandlet med </w:t>
      </w:r>
      <w:proofErr w:type="spellStart"/>
      <w:r w:rsidRPr="005C6F13">
        <w:rPr>
          <w:sz w:val="24"/>
          <w:szCs w:val="24"/>
          <w:lang w:eastAsia="da-DK"/>
        </w:rPr>
        <w:t>levosimendan</w:t>
      </w:r>
      <w:proofErr w:type="spellEnd"/>
      <w:r w:rsidRPr="005C6F13">
        <w:rPr>
          <w:sz w:val="24"/>
          <w:szCs w:val="24"/>
          <w:lang w:eastAsia="da-DK"/>
        </w:rPr>
        <w:t xml:space="preserve"> eller placebo i 6 timer. Der var ingen signifikante forskelle på forekomsten af hypotension og iskæmi mellem behandlingsgrupperne. Ingen negativ virkning på overlevelsen blev observeret i op til 6 måneder ved en retrospektiv analyse af LIDO- og RUSSLAN-studierne.</w:t>
      </w:r>
    </w:p>
    <w:p w:rsidR="009F3408" w:rsidRDefault="009F3408" w:rsidP="006C2BEE">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r>
        <w:rPr>
          <w:i/>
          <w:iCs/>
          <w:sz w:val="24"/>
          <w:szCs w:val="24"/>
          <w:u w:val="single"/>
          <w:lang w:eastAsia="da-DK"/>
        </w:rPr>
        <w:t>Kliniske studier ved hjertekirurgi</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r>
        <w:rPr>
          <w:sz w:val="24"/>
          <w:szCs w:val="24"/>
          <w:lang w:eastAsia="da-DK"/>
        </w:rPr>
        <w:t>To af de største placebokontrollerede studier fremgår herunder.</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r>
        <w:rPr>
          <w:sz w:val="24"/>
          <w:szCs w:val="24"/>
          <w:u w:val="single"/>
          <w:lang w:eastAsia="da-DK"/>
        </w:rPr>
        <w:t>LEVO-CTS</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r>
        <w:rPr>
          <w:sz w:val="24"/>
          <w:szCs w:val="24"/>
          <w:lang w:eastAsia="da-DK"/>
        </w:rPr>
        <w:t xml:space="preserve">I et dobbeltblindt, placebokontrolleret studie med 882 patienter, der gennemgik hjertekirurgi, blev </w:t>
      </w:r>
      <w:proofErr w:type="spellStart"/>
      <w:r>
        <w:rPr>
          <w:sz w:val="24"/>
          <w:szCs w:val="24"/>
          <w:lang w:eastAsia="da-DK"/>
        </w:rPr>
        <w:t>levosimendan</w:t>
      </w:r>
      <w:proofErr w:type="spellEnd"/>
      <w:r>
        <w:rPr>
          <w:sz w:val="24"/>
          <w:szCs w:val="24"/>
          <w:lang w:eastAsia="da-DK"/>
        </w:rPr>
        <w:t xml:space="preserve"> (0,2 µg/kg/min i 60 min, efterfulgt af 0,1 µg/kg/min i 23 timer) initieret ved induktion af anæstesi til patienter med præoperativ venstre </w:t>
      </w:r>
      <w:proofErr w:type="spellStart"/>
      <w:r>
        <w:rPr>
          <w:sz w:val="24"/>
          <w:szCs w:val="24"/>
          <w:lang w:eastAsia="da-DK"/>
        </w:rPr>
        <w:t>ventrikulær</w:t>
      </w:r>
      <w:proofErr w:type="spellEnd"/>
      <w:r>
        <w:rPr>
          <w:sz w:val="24"/>
          <w:szCs w:val="24"/>
          <w:lang w:eastAsia="da-DK"/>
        </w:rPr>
        <w:t xml:space="preserve"> uddrivningsfraktion mindre end eller lig med 35%. </w:t>
      </w:r>
    </w:p>
    <w:p w:rsidR="009F3408" w:rsidRDefault="009F3408" w:rsidP="009F3408">
      <w:pPr>
        <w:autoSpaceDE w:val="0"/>
        <w:autoSpaceDN w:val="0"/>
        <w:adjustRightInd w:val="0"/>
        <w:ind w:left="851"/>
        <w:rPr>
          <w:sz w:val="24"/>
          <w:szCs w:val="24"/>
          <w:lang w:eastAsia="da-DK"/>
        </w:rPr>
      </w:pPr>
      <w:r>
        <w:rPr>
          <w:sz w:val="24"/>
          <w:szCs w:val="24"/>
          <w:lang w:eastAsia="da-DK"/>
        </w:rPr>
        <w:t xml:space="preserve">Studiet formåede ikke at opfylde de primære sammensatte endepunkter. Det </w:t>
      </w:r>
      <w:proofErr w:type="spellStart"/>
      <w:r>
        <w:rPr>
          <w:sz w:val="24"/>
          <w:szCs w:val="24"/>
          <w:lang w:eastAsia="da-DK"/>
        </w:rPr>
        <w:t>firekomponente</w:t>
      </w:r>
      <w:proofErr w:type="spellEnd"/>
      <w:r>
        <w:rPr>
          <w:sz w:val="24"/>
          <w:szCs w:val="24"/>
          <w:lang w:eastAsia="da-DK"/>
        </w:rPr>
        <w:t xml:space="preserve"> primære endepunkt (dødsfald til og med dag 30, nyresubstitutionsterapi til og med dag 30, perioperativt myokardieinfarkt til og med dag 5, eller brug af en mekanisk hjertepumpe til og med dag 5) forekom hos 24,5% i </w:t>
      </w:r>
      <w:proofErr w:type="spellStart"/>
      <w:r>
        <w:rPr>
          <w:sz w:val="24"/>
          <w:szCs w:val="24"/>
          <w:lang w:eastAsia="da-DK"/>
        </w:rPr>
        <w:t>levosimendangruppen</w:t>
      </w:r>
      <w:proofErr w:type="spellEnd"/>
      <w:r>
        <w:rPr>
          <w:sz w:val="24"/>
          <w:szCs w:val="24"/>
          <w:lang w:eastAsia="da-DK"/>
        </w:rPr>
        <w:t xml:space="preserve"> og hos 24,5% i placebogruppen (justeret OR, 1,00; 99% CI, 0,66 til 1,54). Det tokomponente primære endepunkt (dødsfald til og med dag 30 eller brug af en mekanisk hjertepumpe til og med dag 5) forekom hos 13,1% i </w:t>
      </w:r>
      <w:proofErr w:type="spellStart"/>
      <w:r>
        <w:rPr>
          <w:sz w:val="24"/>
          <w:szCs w:val="24"/>
          <w:lang w:eastAsia="da-DK"/>
        </w:rPr>
        <w:t>levosimendangruppen</w:t>
      </w:r>
      <w:proofErr w:type="spellEnd"/>
      <w:r>
        <w:rPr>
          <w:sz w:val="24"/>
          <w:szCs w:val="24"/>
          <w:lang w:eastAsia="da-DK"/>
        </w:rPr>
        <w:t xml:space="preserve"> og i 11,4% i placebogruppen (justeret odds ratio, 1,18%; 96% CI, 0,76 til 1,82). Efter 90 dage var forekomsten af død i </w:t>
      </w:r>
      <w:proofErr w:type="spellStart"/>
      <w:r>
        <w:rPr>
          <w:sz w:val="24"/>
          <w:szCs w:val="24"/>
          <w:lang w:eastAsia="da-DK"/>
        </w:rPr>
        <w:t>levosimendangruppen</w:t>
      </w:r>
      <w:proofErr w:type="spellEnd"/>
      <w:r>
        <w:rPr>
          <w:sz w:val="24"/>
          <w:szCs w:val="24"/>
          <w:lang w:eastAsia="da-DK"/>
        </w:rPr>
        <w:t xml:space="preserve"> 4,7% og 7,1% i placebogruppen (ikke-justeret </w:t>
      </w:r>
      <w:proofErr w:type="spellStart"/>
      <w:r>
        <w:rPr>
          <w:sz w:val="24"/>
          <w:szCs w:val="24"/>
          <w:lang w:eastAsia="da-DK"/>
        </w:rPr>
        <w:t>hazardratio</w:t>
      </w:r>
      <w:proofErr w:type="spellEnd"/>
      <w:r>
        <w:rPr>
          <w:sz w:val="24"/>
          <w:szCs w:val="24"/>
          <w:lang w:eastAsia="da-DK"/>
        </w:rPr>
        <w:t xml:space="preserve">, 0,64; 95% CI, 0,37 til 1,13). Hypotension blev observeret hos 36% i </w:t>
      </w:r>
      <w:proofErr w:type="spellStart"/>
      <w:r>
        <w:rPr>
          <w:sz w:val="24"/>
          <w:szCs w:val="24"/>
          <w:lang w:eastAsia="da-DK"/>
        </w:rPr>
        <w:t>levosimendangruppen</w:t>
      </w:r>
      <w:proofErr w:type="spellEnd"/>
      <w:r>
        <w:rPr>
          <w:sz w:val="24"/>
          <w:szCs w:val="24"/>
          <w:lang w:eastAsia="da-DK"/>
        </w:rPr>
        <w:t xml:space="preserve"> og 33% i placebogruppen. </w:t>
      </w:r>
      <w:proofErr w:type="spellStart"/>
      <w:r>
        <w:rPr>
          <w:sz w:val="24"/>
          <w:szCs w:val="24"/>
          <w:lang w:eastAsia="da-DK"/>
        </w:rPr>
        <w:t>Atrieflimmer</w:t>
      </w:r>
      <w:proofErr w:type="spellEnd"/>
      <w:r>
        <w:rPr>
          <w:sz w:val="24"/>
          <w:szCs w:val="24"/>
          <w:lang w:eastAsia="da-DK"/>
        </w:rPr>
        <w:t xml:space="preserve"> blev observeret hos 38% i </w:t>
      </w:r>
      <w:proofErr w:type="spellStart"/>
      <w:r>
        <w:rPr>
          <w:sz w:val="24"/>
          <w:szCs w:val="24"/>
          <w:lang w:eastAsia="da-DK"/>
        </w:rPr>
        <w:t>levosimendangruppen</w:t>
      </w:r>
      <w:proofErr w:type="spellEnd"/>
      <w:r>
        <w:rPr>
          <w:sz w:val="24"/>
          <w:szCs w:val="24"/>
          <w:lang w:eastAsia="da-DK"/>
        </w:rPr>
        <w:t xml:space="preserve"> og 33% i placebogruppen.</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u w:val="single"/>
          <w:lang w:eastAsia="da-DK"/>
        </w:rPr>
      </w:pPr>
      <w:r>
        <w:rPr>
          <w:sz w:val="24"/>
          <w:szCs w:val="24"/>
          <w:u w:val="single"/>
          <w:lang w:eastAsia="da-DK"/>
        </w:rPr>
        <w:t>LICORN</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r>
        <w:rPr>
          <w:sz w:val="24"/>
          <w:szCs w:val="24"/>
          <w:lang w:eastAsia="da-DK"/>
        </w:rPr>
        <w:t xml:space="preserve">Et </w:t>
      </w:r>
      <w:proofErr w:type="spellStart"/>
      <w:r>
        <w:rPr>
          <w:sz w:val="24"/>
          <w:szCs w:val="24"/>
          <w:lang w:eastAsia="da-DK"/>
        </w:rPr>
        <w:t>investigator</w:t>
      </w:r>
      <w:proofErr w:type="spellEnd"/>
      <w:r>
        <w:rPr>
          <w:sz w:val="24"/>
          <w:szCs w:val="24"/>
          <w:lang w:eastAsia="da-DK"/>
        </w:rPr>
        <w:t xml:space="preserve">-initieret, multicenter, randomiseret, placebokontrolleret, dobbeltblindt klinisk studie inkluderede 336 voksne patienter med LVEF </w:t>
      </w:r>
      <w:r>
        <w:rPr>
          <w:sz w:val="24"/>
          <w:szCs w:val="24"/>
          <w:u w:val="single"/>
          <w:lang w:eastAsia="da-DK"/>
        </w:rPr>
        <w:t>&lt;</w:t>
      </w:r>
      <w:r>
        <w:rPr>
          <w:sz w:val="24"/>
          <w:szCs w:val="24"/>
          <w:lang w:eastAsia="da-DK"/>
        </w:rPr>
        <w:t xml:space="preserve"> 40% planlagt til at gennemgå koronararterie bypass-kirurgi (med eller uden klapkirurgi). </w:t>
      </w:r>
      <w:proofErr w:type="spellStart"/>
      <w:r>
        <w:rPr>
          <w:sz w:val="24"/>
          <w:szCs w:val="24"/>
          <w:lang w:eastAsia="da-DK"/>
        </w:rPr>
        <w:t>Levosimendan</w:t>
      </w:r>
      <w:proofErr w:type="spellEnd"/>
      <w:r>
        <w:rPr>
          <w:sz w:val="24"/>
          <w:szCs w:val="24"/>
          <w:lang w:eastAsia="da-DK"/>
        </w:rPr>
        <w:t xml:space="preserve"> infusion 0,1 µg/kg/min, uden støddosis, blev givet i 24 timer efter anæstesiinduktion. Det primære resultat var en sammensætning af </w:t>
      </w:r>
      <w:proofErr w:type="spellStart"/>
      <w:r>
        <w:rPr>
          <w:sz w:val="24"/>
          <w:szCs w:val="24"/>
          <w:lang w:eastAsia="da-DK"/>
        </w:rPr>
        <w:t>katekolamininfusion</w:t>
      </w:r>
      <w:proofErr w:type="spellEnd"/>
      <w:r>
        <w:rPr>
          <w:sz w:val="24"/>
          <w:szCs w:val="24"/>
          <w:lang w:eastAsia="da-DK"/>
        </w:rPr>
        <w:t xml:space="preserve">, der fortsatte udover 48 timer, behov for mekanisk kredsløbsudstyr i den postoperative periode, eller behov for nyresubstitutionsterapi. Der primære endepunkt forekom hos 52% af </w:t>
      </w:r>
      <w:proofErr w:type="spellStart"/>
      <w:r>
        <w:rPr>
          <w:sz w:val="24"/>
          <w:szCs w:val="24"/>
          <w:lang w:eastAsia="da-DK"/>
        </w:rPr>
        <w:t>levosimendan</w:t>
      </w:r>
      <w:proofErr w:type="spellEnd"/>
      <w:r>
        <w:rPr>
          <w:sz w:val="24"/>
          <w:szCs w:val="24"/>
          <w:lang w:eastAsia="da-DK"/>
        </w:rPr>
        <w:t xml:space="preserve"> patienterne og 61% af placebopatienterne (absolut risikoforskel, </w:t>
      </w:r>
      <w:r>
        <w:rPr>
          <w:iCs/>
          <w:sz w:val="22"/>
          <w:szCs w:val="22"/>
        </w:rPr>
        <w:t xml:space="preserve">−7%; 95% CI, −17% til 3%). Den anslåede risikoreduktion på 10% var hovedsageligt relateret til behovet for </w:t>
      </w:r>
      <w:proofErr w:type="spellStart"/>
      <w:r>
        <w:rPr>
          <w:sz w:val="24"/>
          <w:szCs w:val="24"/>
          <w:lang w:eastAsia="da-DK"/>
        </w:rPr>
        <w:t>katekolamininfusion</w:t>
      </w:r>
      <w:proofErr w:type="spellEnd"/>
      <w:r>
        <w:rPr>
          <w:sz w:val="24"/>
          <w:szCs w:val="24"/>
          <w:lang w:eastAsia="da-DK"/>
        </w:rPr>
        <w:t xml:space="preserve"> efter 48 timer. Mortaliteten, efter 180 dage</w:t>
      </w:r>
      <w:r>
        <w:rPr>
          <w:iCs/>
          <w:sz w:val="22"/>
          <w:szCs w:val="22"/>
        </w:rPr>
        <w:t>, var 8% i </w:t>
      </w:r>
      <w:proofErr w:type="spellStart"/>
      <w:r>
        <w:rPr>
          <w:sz w:val="24"/>
          <w:szCs w:val="24"/>
          <w:lang w:eastAsia="da-DK"/>
        </w:rPr>
        <w:t>levosimendangruppen</w:t>
      </w:r>
      <w:proofErr w:type="spellEnd"/>
      <w:r>
        <w:rPr>
          <w:sz w:val="24"/>
          <w:szCs w:val="24"/>
          <w:lang w:eastAsia="da-DK"/>
        </w:rPr>
        <w:t xml:space="preserve"> og 10% i placebogruppen. Hypotension blev observeret hos 57% i </w:t>
      </w:r>
      <w:proofErr w:type="spellStart"/>
      <w:r>
        <w:rPr>
          <w:sz w:val="24"/>
          <w:szCs w:val="24"/>
          <w:lang w:eastAsia="da-DK"/>
        </w:rPr>
        <w:t>levosimendangruppen</w:t>
      </w:r>
      <w:proofErr w:type="spellEnd"/>
      <w:r>
        <w:rPr>
          <w:sz w:val="24"/>
          <w:szCs w:val="24"/>
          <w:lang w:eastAsia="da-DK"/>
        </w:rPr>
        <w:t xml:space="preserve"> og 48% i placebogruppen. </w:t>
      </w:r>
      <w:proofErr w:type="spellStart"/>
      <w:r>
        <w:rPr>
          <w:sz w:val="24"/>
          <w:szCs w:val="24"/>
          <w:lang w:eastAsia="da-DK"/>
        </w:rPr>
        <w:t>Atrieflimmer</w:t>
      </w:r>
      <w:proofErr w:type="spellEnd"/>
      <w:r>
        <w:rPr>
          <w:sz w:val="24"/>
          <w:szCs w:val="24"/>
          <w:lang w:eastAsia="da-DK"/>
        </w:rPr>
        <w:t xml:space="preserve"> blev observeret hos 50% i </w:t>
      </w:r>
      <w:proofErr w:type="spellStart"/>
      <w:r>
        <w:rPr>
          <w:sz w:val="24"/>
          <w:szCs w:val="24"/>
          <w:lang w:eastAsia="da-DK"/>
        </w:rPr>
        <w:t>levosimendangruppen</w:t>
      </w:r>
      <w:proofErr w:type="spellEnd"/>
      <w:r>
        <w:rPr>
          <w:sz w:val="24"/>
          <w:szCs w:val="24"/>
          <w:lang w:eastAsia="da-DK"/>
        </w:rPr>
        <w:t xml:space="preserve"> og 40% i placebogruppen.</w:t>
      </w:r>
    </w:p>
    <w:p w:rsidR="009F3408" w:rsidRPr="005C6F13" w:rsidRDefault="009F3408" w:rsidP="006C2BEE">
      <w:pPr>
        <w:autoSpaceDE w:val="0"/>
        <w:autoSpaceDN w:val="0"/>
        <w:adjustRightInd w:val="0"/>
        <w:ind w:left="851"/>
        <w:rPr>
          <w:sz w:val="24"/>
          <w:szCs w:val="24"/>
          <w:lang w:eastAsia="da-DK"/>
        </w:rPr>
      </w:pP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5.2</w:t>
      </w:r>
      <w:r w:rsidRPr="005C6F13">
        <w:rPr>
          <w:b/>
          <w:sz w:val="24"/>
          <w:szCs w:val="24"/>
        </w:rPr>
        <w:tab/>
      </w:r>
      <w:proofErr w:type="spellStart"/>
      <w:r w:rsidRPr="005C6F13">
        <w:rPr>
          <w:b/>
          <w:sz w:val="24"/>
          <w:szCs w:val="24"/>
        </w:rPr>
        <w:t>Farmakokinetiske</w:t>
      </w:r>
      <w:proofErr w:type="spellEnd"/>
      <w:r w:rsidRPr="005C6F13">
        <w:rPr>
          <w:b/>
          <w:sz w:val="24"/>
          <w:szCs w:val="24"/>
        </w:rPr>
        <w:t xml:space="preserve"> egenskaber</w:t>
      </w:r>
    </w:p>
    <w:p w:rsidR="006C2BEE" w:rsidRDefault="006C2BEE" w:rsidP="006C2BEE">
      <w:pPr>
        <w:autoSpaceDE w:val="0"/>
        <w:autoSpaceDN w:val="0"/>
        <w:adjustRightInd w:val="0"/>
        <w:ind w:left="851" w:hanging="851"/>
        <w:rPr>
          <w:sz w:val="24"/>
          <w:szCs w:val="24"/>
        </w:rPr>
      </w:pPr>
    </w:p>
    <w:p w:rsidR="006C2BEE" w:rsidRPr="005C6F13" w:rsidRDefault="006C2BEE" w:rsidP="006C2BEE">
      <w:pPr>
        <w:autoSpaceDE w:val="0"/>
        <w:autoSpaceDN w:val="0"/>
        <w:adjustRightInd w:val="0"/>
        <w:ind w:left="851" w:hanging="851"/>
        <w:rPr>
          <w:sz w:val="24"/>
          <w:szCs w:val="24"/>
          <w:u w:val="single"/>
          <w:lang w:eastAsia="da-DK"/>
        </w:rPr>
      </w:pPr>
      <w:r w:rsidRPr="005C6F13">
        <w:rPr>
          <w:sz w:val="24"/>
          <w:szCs w:val="24"/>
        </w:rPr>
        <w:tab/>
      </w:r>
      <w:r w:rsidRPr="005C6F13">
        <w:rPr>
          <w:sz w:val="24"/>
          <w:szCs w:val="24"/>
          <w:u w:val="single"/>
          <w:lang w:eastAsia="da-DK"/>
        </w:rPr>
        <w:t>Fordeling</w:t>
      </w:r>
    </w:p>
    <w:p w:rsidR="006C2BEE" w:rsidRPr="005C6F13" w:rsidRDefault="006C2BEE" w:rsidP="006C2BEE">
      <w:pPr>
        <w:autoSpaceDE w:val="0"/>
        <w:autoSpaceDN w:val="0"/>
        <w:adjustRightInd w:val="0"/>
        <w:ind w:left="851" w:hanging="851"/>
        <w:rPr>
          <w:sz w:val="24"/>
          <w:szCs w:val="24"/>
          <w:u w:val="single"/>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Efter iv. administration opnår udgangsstoffet en passende blodkoncentration efter cirka 1 time. </w:t>
      </w:r>
      <w:proofErr w:type="spellStart"/>
      <w:r w:rsidRPr="005C6F13">
        <w:rPr>
          <w:sz w:val="24"/>
          <w:szCs w:val="24"/>
          <w:lang w:eastAsia="da-DK"/>
        </w:rPr>
        <w:t>Steady-state</w:t>
      </w:r>
      <w:proofErr w:type="spellEnd"/>
      <w:r w:rsidRPr="005C6F13">
        <w:rPr>
          <w:sz w:val="24"/>
          <w:szCs w:val="24"/>
          <w:lang w:eastAsia="da-DK"/>
        </w:rPr>
        <w:t xml:space="preserve"> opnås inden for 5 timer med en konstant infusionsdosis.</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Fordelingsvolumenet (</w:t>
      </w:r>
      <w:proofErr w:type="spellStart"/>
      <w:r w:rsidRPr="005C6F13">
        <w:rPr>
          <w:sz w:val="24"/>
          <w:szCs w:val="24"/>
          <w:lang w:eastAsia="da-DK"/>
        </w:rPr>
        <w:t>Vss</w:t>
      </w:r>
      <w:proofErr w:type="spellEnd"/>
      <w:r w:rsidRPr="005C6F13">
        <w:rPr>
          <w:sz w:val="24"/>
          <w:szCs w:val="24"/>
          <w:lang w:eastAsia="da-DK"/>
        </w:rPr>
        <w:t>) er ca. 0,3 l/kg og stiger lineært med legemsvægten. Fuldblods-, røde blodcellers- samt spytkoncentrationer er henholdsvis 60 %, 10 % og 20 % af plasmakoncentrationen.</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97-98 % af </w:t>
      </w:r>
      <w:proofErr w:type="spellStart"/>
      <w:r w:rsidRPr="005C6F13">
        <w:rPr>
          <w:sz w:val="24"/>
          <w:szCs w:val="24"/>
          <w:lang w:eastAsia="da-DK"/>
        </w:rPr>
        <w:t>levosimendan</w:t>
      </w:r>
      <w:proofErr w:type="spellEnd"/>
      <w:r w:rsidRPr="005C6F13">
        <w:rPr>
          <w:sz w:val="24"/>
          <w:szCs w:val="24"/>
          <w:lang w:eastAsia="da-DK"/>
        </w:rPr>
        <w:t xml:space="preserve"> er bundet til plasmaproteiner, primært til albumin. For OR-1855 og OR-1896 (aktive metabolitter), var de gennemsnitlige værdier for proteinbindingen hos patienter henholdsvis 39 % og 42 %. Hos patienter med hjertesvigt er </w:t>
      </w:r>
      <w:proofErr w:type="spellStart"/>
      <w:r w:rsidRPr="005C6F13">
        <w:rPr>
          <w:sz w:val="24"/>
          <w:szCs w:val="24"/>
          <w:lang w:eastAsia="da-DK"/>
        </w:rPr>
        <w:t>levosimendans</w:t>
      </w:r>
      <w:proofErr w:type="spellEnd"/>
      <w:r w:rsidRPr="005C6F13">
        <w:rPr>
          <w:sz w:val="24"/>
          <w:szCs w:val="24"/>
          <w:lang w:eastAsia="da-DK"/>
        </w:rPr>
        <w:t xml:space="preserve"> farmakokinetik lineær mellem 0,05 og 0,2 µg/kg/min i døgnet.</w:t>
      </w:r>
    </w:p>
    <w:p w:rsidR="006C2BEE" w:rsidRPr="005C6F13" w:rsidRDefault="006C2BEE" w:rsidP="006C2BEE">
      <w:pPr>
        <w:autoSpaceDE w:val="0"/>
        <w:autoSpaceDN w:val="0"/>
        <w:adjustRightInd w:val="0"/>
        <w:ind w:left="851" w:hanging="851"/>
        <w:rPr>
          <w:i/>
          <w:sz w:val="24"/>
          <w:szCs w:val="24"/>
          <w:u w:val="single"/>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t>Biotransformation</w:t>
      </w:r>
    </w:p>
    <w:p w:rsidR="006C2BEE" w:rsidRPr="005C6F13" w:rsidRDefault="006C2BEE" w:rsidP="006C2BEE">
      <w:pPr>
        <w:autoSpaceDE w:val="0"/>
        <w:autoSpaceDN w:val="0"/>
        <w:adjustRightInd w:val="0"/>
        <w:ind w:left="851" w:hanging="851"/>
        <w:rPr>
          <w:sz w:val="24"/>
          <w:szCs w:val="24"/>
          <w:u w:val="single"/>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w:t>
      </w:r>
      <w:proofErr w:type="spellStart"/>
      <w:r w:rsidRPr="005C6F13">
        <w:rPr>
          <w:sz w:val="24"/>
          <w:szCs w:val="24"/>
          <w:lang w:eastAsia="da-DK"/>
        </w:rPr>
        <w:t>metaboliseres</w:t>
      </w:r>
      <w:proofErr w:type="spellEnd"/>
      <w:r w:rsidRPr="005C6F13">
        <w:rPr>
          <w:sz w:val="24"/>
          <w:szCs w:val="24"/>
          <w:lang w:eastAsia="da-DK"/>
        </w:rPr>
        <w:t xml:space="preserve"> fuldstændigt, og ubetydelige mængder uændret/</w:t>
      </w:r>
      <w:proofErr w:type="spellStart"/>
      <w:r w:rsidRPr="005C6F13">
        <w:rPr>
          <w:sz w:val="24"/>
          <w:szCs w:val="24"/>
          <w:lang w:eastAsia="da-DK"/>
        </w:rPr>
        <w:t>uomdannet</w:t>
      </w:r>
      <w:proofErr w:type="spellEnd"/>
      <w:r w:rsidRPr="005C6F13">
        <w:rPr>
          <w:sz w:val="24"/>
          <w:szCs w:val="24"/>
          <w:lang w:eastAsia="da-DK"/>
        </w:rPr>
        <w:t xml:space="preserve"> modersubstans udskilles i urin og fæces. </w:t>
      </w:r>
      <w:proofErr w:type="spellStart"/>
      <w:r w:rsidRPr="005C6F13">
        <w:rPr>
          <w:sz w:val="24"/>
          <w:szCs w:val="24"/>
          <w:lang w:eastAsia="da-DK"/>
        </w:rPr>
        <w:t>Levosimendan</w:t>
      </w:r>
      <w:proofErr w:type="spellEnd"/>
      <w:r w:rsidRPr="005C6F13">
        <w:rPr>
          <w:sz w:val="24"/>
          <w:szCs w:val="24"/>
          <w:lang w:eastAsia="da-DK"/>
        </w:rPr>
        <w:t xml:space="preserve"> </w:t>
      </w:r>
      <w:proofErr w:type="spellStart"/>
      <w:r w:rsidRPr="005C6F13">
        <w:rPr>
          <w:sz w:val="24"/>
          <w:szCs w:val="24"/>
          <w:lang w:eastAsia="da-DK"/>
        </w:rPr>
        <w:t>metaboliseres</w:t>
      </w:r>
      <w:proofErr w:type="spellEnd"/>
      <w:r w:rsidRPr="005C6F13">
        <w:rPr>
          <w:sz w:val="24"/>
          <w:szCs w:val="24"/>
          <w:lang w:eastAsia="da-DK"/>
        </w:rPr>
        <w:t xml:space="preserve"> hovedsageligt ved konjugation til inaktiv cyklisk eller N-</w:t>
      </w:r>
      <w:proofErr w:type="spellStart"/>
      <w:r w:rsidRPr="005C6F13">
        <w:rPr>
          <w:sz w:val="24"/>
          <w:szCs w:val="24"/>
          <w:lang w:eastAsia="da-DK"/>
        </w:rPr>
        <w:t>acetyleret</w:t>
      </w:r>
      <w:proofErr w:type="spellEnd"/>
      <w:r w:rsidRPr="005C6F13">
        <w:rPr>
          <w:sz w:val="24"/>
          <w:szCs w:val="24"/>
          <w:lang w:eastAsia="da-DK"/>
        </w:rPr>
        <w:t xml:space="preserve"> </w:t>
      </w:r>
      <w:proofErr w:type="spellStart"/>
      <w:r w:rsidRPr="005C6F13">
        <w:rPr>
          <w:sz w:val="24"/>
          <w:szCs w:val="24"/>
          <w:lang w:eastAsia="da-DK"/>
        </w:rPr>
        <w:t>cysteinylglycin</w:t>
      </w:r>
      <w:proofErr w:type="spellEnd"/>
      <w:r w:rsidRPr="005C6F13">
        <w:rPr>
          <w:sz w:val="24"/>
          <w:szCs w:val="24"/>
          <w:lang w:eastAsia="da-DK"/>
        </w:rPr>
        <w:t xml:space="preserve"> og </w:t>
      </w:r>
      <w:proofErr w:type="spellStart"/>
      <w:r w:rsidRPr="005C6F13">
        <w:rPr>
          <w:sz w:val="24"/>
          <w:szCs w:val="24"/>
          <w:lang w:eastAsia="da-DK"/>
        </w:rPr>
        <w:t>cysteinkonjugater</w:t>
      </w:r>
      <w:proofErr w:type="spellEnd"/>
      <w:r w:rsidRPr="005C6F13">
        <w:rPr>
          <w:sz w:val="24"/>
          <w:szCs w:val="24"/>
          <w:lang w:eastAsia="da-DK"/>
        </w:rPr>
        <w:t xml:space="preserve">. Omtrent 5 % af </w:t>
      </w:r>
      <w:proofErr w:type="spellStart"/>
      <w:r w:rsidRPr="005C6F13">
        <w:rPr>
          <w:sz w:val="24"/>
          <w:szCs w:val="24"/>
          <w:lang w:eastAsia="da-DK"/>
        </w:rPr>
        <w:t>levosimendandosis</w:t>
      </w:r>
      <w:proofErr w:type="spellEnd"/>
      <w:r w:rsidRPr="005C6F13">
        <w:rPr>
          <w:sz w:val="24"/>
          <w:szCs w:val="24"/>
          <w:lang w:eastAsia="da-DK"/>
        </w:rPr>
        <w:t xml:space="preserve"> </w:t>
      </w:r>
      <w:proofErr w:type="spellStart"/>
      <w:r w:rsidRPr="005C6F13">
        <w:rPr>
          <w:sz w:val="24"/>
          <w:szCs w:val="24"/>
          <w:lang w:eastAsia="da-DK"/>
        </w:rPr>
        <w:t>metaboliseres</w:t>
      </w:r>
      <w:proofErr w:type="spellEnd"/>
      <w:r w:rsidRPr="005C6F13">
        <w:rPr>
          <w:sz w:val="24"/>
          <w:szCs w:val="24"/>
          <w:lang w:eastAsia="da-DK"/>
        </w:rPr>
        <w:t xml:space="preserve"> i tarmen ved reduktion til aktive metabolitter, </w:t>
      </w:r>
      <w:proofErr w:type="spellStart"/>
      <w:r w:rsidRPr="005C6F13">
        <w:rPr>
          <w:sz w:val="24"/>
          <w:szCs w:val="24"/>
          <w:lang w:eastAsia="da-DK"/>
        </w:rPr>
        <w:t>aminophenylpyridazinon</w:t>
      </w:r>
      <w:proofErr w:type="spellEnd"/>
      <w:r w:rsidRPr="005C6F13">
        <w:rPr>
          <w:sz w:val="24"/>
          <w:szCs w:val="24"/>
          <w:lang w:eastAsia="da-DK"/>
        </w:rPr>
        <w:t xml:space="preserve"> (OR-1855), som efter re-absorptionen </w:t>
      </w:r>
      <w:proofErr w:type="spellStart"/>
      <w:r w:rsidRPr="005C6F13">
        <w:rPr>
          <w:sz w:val="24"/>
          <w:szCs w:val="24"/>
          <w:lang w:eastAsia="da-DK"/>
        </w:rPr>
        <w:t>metaboliseres</w:t>
      </w:r>
      <w:proofErr w:type="spellEnd"/>
      <w:r w:rsidRPr="005C6F13">
        <w:rPr>
          <w:sz w:val="24"/>
          <w:szCs w:val="24"/>
          <w:lang w:eastAsia="da-DK"/>
        </w:rPr>
        <w:t xml:space="preserve"> af N-acetyltransferase til den aktive metabolit OR-1896. </w:t>
      </w:r>
      <w:proofErr w:type="spellStart"/>
      <w:r w:rsidRPr="005C6F13">
        <w:rPr>
          <w:sz w:val="24"/>
          <w:szCs w:val="24"/>
          <w:lang w:eastAsia="da-DK"/>
        </w:rPr>
        <w:t>Acetyleringsgraden</w:t>
      </w:r>
      <w:proofErr w:type="spellEnd"/>
      <w:r w:rsidRPr="005C6F13">
        <w:rPr>
          <w:sz w:val="24"/>
          <w:szCs w:val="24"/>
          <w:lang w:eastAsia="da-DK"/>
        </w:rPr>
        <w:t xml:space="preserve"> er genetisk bestemt. Hos patienter, som er hurtige </w:t>
      </w:r>
      <w:proofErr w:type="spellStart"/>
      <w:r w:rsidRPr="005C6F13">
        <w:rPr>
          <w:sz w:val="24"/>
          <w:szCs w:val="24"/>
          <w:lang w:eastAsia="da-DK"/>
        </w:rPr>
        <w:t>acetylatorer</w:t>
      </w:r>
      <w:proofErr w:type="spellEnd"/>
      <w:r w:rsidRPr="005C6F13">
        <w:rPr>
          <w:sz w:val="24"/>
          <w:szCs w:val="24"/>
          <w:lang w:eastAsia="da-DK"/>
        </w:rPr>
        <w:t xml:space="preserve">, er koncentrationen af metabolitten OR-1896 lidt højere end hos patienter, som </w:t>
      </w:r>
      <w:proofErr w:type="spellStart"/>
      <w:r w:rsidRPr="005C6F13">
        <w:rPr>
          <w:sz w:val="24"/>
          <w:szCs w:val="24"/>
          <w:lang w:eastAsia="da-DK"/>
        </w:rPr>
        <w:t>acetylerer</w:t>
      </w:r>
      <w:proofErr w:type="spellEnd"/>
      <w:r w:rsidRPr="005C6F13">
        <w:rPr>
          <w:sz w:val="24"/>
          <w:szCs w:val="24"/>
          <w:lang w:eastAsia="da-DK"/>
        </w:rPr>
        <w:t xml:space="preserve"> langsomt. Dette har dog ingen betydning for den kliniske </w:t>
      </w:r>
      <w:proofErr w:type="spellStart"/>
      <w:r w:rsidRPr="005C6F13">
        <w:rPr>
          <w:sz w:val="24"/>
          <w:szCs w:val="24"/>
          <w:lang w:eastAsia="da-DK"/>
        </w:rPr>
        <w:t>hæmodynamiske</w:t>
      </w:r>
      <w:proofErr w:type="spellEnd"/>
      <w:r w:rsidRPr="005C6F13">
        <w:rPr>
          <w:sz w:val="24"/>
          <w:szCs w:val="24"/>
          <w:lang w:eastAsia="da-DK"/>
        </w:rPr>
        <w:t xml:space="preserve"> virkningen ved anbefalede doser.</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 eneste signifikante målbare metabolitter i systemisk cirkulation efter administration af </w:t>
      </w:r>
      <w:proofErr w:type="spellStart"/>
      <w:r w:rsidRPr="005C6F13">
        <w:rPr>
          <w:sz w:val="24"/>
          <w:szCs w:val="24"/>
          <w:lang w:eastAsia="da-DK"/>
        </w:rPr>
        <w:t>levosimendan</w:t>
      </w:r>
      <w:proofErr w:type="spellEnd"/>
      <w:r w:rsidRPr="005C6F13">
        <w:rPr>
          <w:sz w:val="24"/>
          <w:szCs w:val="24"/>
          <w:lang w:eastAsia="da-DK"/>
        </w:rPr>
        <w:t xml:space="preserve"> er OR-1855 og OR-1896. In-</w:t>
      </w:r>
      <w:proofErr w:type="spellStart"/>
      <w:r w:rsidRPr="005C6F13">
        <w:rPr>
          <w:sz w:val="24"/>
          <w:szCs w:val="24"/>
          <w:lang w:eastAsia="da-DK"/>
        </w:rPr>
        <w:t>vivo</w:t>
      </w:r>
      <w:proofErr w:type="spellEnd"/>
      <w:r w:rsidRPr="005C6F13">
        <w:rPr>
          <w:sz w:val="24"/>
          <w:szCs w:val="24"/>
          <w:lang w:eastAsia="da-DK"/>
        </w:rPr>
        <w:t xml:space="preserve"> opnår disse metabolitter lignende, som følge af metabolisk </w:t>
      </w:r>
      <w:proofErr w:type="spellStart"/>
      <w:r w:rsidRPr="005C6F13">
        <w:rPr>
          <w:sz w:val="24"/>
          <w:szCs w:val="24"/>
          <w:lang w:eastAsia="da-DK"/>
        </w:rPr>
        <w:t>acetylering</w:t>
      </w:r>
      <w:proofErr w:type="spellEnd"/>
      <w:r w:rsidRPr="005C6F13">
        <w:rPr>
          <w:sz w:val="24"/>
          <w:szCs w:val="24"/>
          <w:lang w:eastAsia="da-DK"/>
        </w:rPr>
        <w:t xml:space="preserve"> og de-</w:t>
      </w:r>
      <w:proofErr w:type="spellStart"/>
      <w:r w:rsidRPr="005C6F13">
        <w:rPr>
          <w:sz w:val="24"/>
          <w:szCs w:val="24"/>
          <w:lang w:eastAsia="da-DK"/>
        </w:rPr>
        <w:t>acetylering</w:t>
      </w:r>
      <w:proofErr w:type="spellEnd"/>
      <w:r w:rsidRPr="005C6F13">
        <w:rPr>
          <w:sz w:val="24"/>
          <w:szCs w:val="24"/>
          <w:lang w:eastAsia="da-DK"/>
        </w:rPr>
        <w:t xml:space="preserve">, som er reguleret af N-acetyltransferase-2, en </w:t>
      </w:r>
      <w:proofErr w:type="spellStart"/>
      <w:r w:rsidRPr="005C6F13">
        <w:rPr>
          <w:sz w:val="24"/>
          <w:szCs w:val="24"/>
          <w:lang w:eastAsia="da-DK"/>
        </w:rPr>
        <w:t>polymorfisk</w:t>
      </w:r>
      <w:proofErr w:type="spellEnd"/>
      <w:r w:rsidRPr="005C6F13">
        <w:rPr>
          <w:sz w:val="24"/>
          <w:szCs w:val="24"/>
          <w:lang w:eastAsia="da-DK"/>
        </w:rPr>
        <w:t xml:space="preserve"> enzym. Blandt langsomme </w:t>
      </w:r>
      <w:proofErr w:type="spellStart"/>
      <w:r w:rsidRPr="005C6F13">
        <w:rPr>
          <w:sz w:val="24"/>
          <w:szCs w:val="24"/>
          <w:lang w:eastAsia="da-DK"/>
        </w:rPr>
        <w:t>acetylatorer</w:t>
      </w:r>
      <w:proofErr w:type="spellEnd"/>
      <w:r w:rsidRPr="005C6F13">
        <w:rPr>
          <w:sz w:val="24"/>
          <w:szCs w:val="24"/>
          <w:lang w:eastAsia="da-DK"/>
        </w:rPr>
        <w:t xml:space="preserve"> dominerer metabolitten OR-1855, mens blandt hurtige </w:t>
      </w:r>
      <w:proofErr w:type="spellStart"/>
      <w:r w:rsidRPr="005C6F13">
        <w:rPr>
          <w:sz w:val="24"/>
          <w:szCs w:val="24"/>
          <w:lang w:eastAsia="da-DK"/>
        </w:rPr>
        <w:t>acetylatorer</w:t>
      </w:r>
      <w:proofErr w:type="spellEnd"/>
      <w:r w:rsidRPr="005C6F13">
        <w:rPr>
          <w:sz w:val="24"/>
          <w:szCs w:val="24"/>
          <w:lang w:eastAsia="da-DK"/>
        </w:rPr>
        <w:t xml:space="preserve"> dominerer metabolitten OR-1896. Summen af eksponeringer for disse to metabolitter er tilsvarende blandt langsomme og hurtige </w:t>
      </w:r>
      <w:proofErr w:type="spellStart"/>
      <w:r w:rsidRPr="005C6F13">
        <w:rPr>
          <w:sz w:val="24"/>
          <w:szCs w:val="24"/>
          <w:lang w:eastAsia="da-DK"/>
        </w:rPr>
        <w:t>acetylatorer</w:t>
      </w:r>
      <w:proofErr w:type="spellEnd"/>
      <w:r w:rsidRPr="005C6F13">
        <w:rPr>
          <w:sz w:val="24"/>
          <w:szCs w:val="24"/>
          <w:lang w:eastAsia="da-DK"/>
        </w:rPr>
        <w:t xml:space="preserve">, og der findes ingen forskelle i </w:t>
      </w:r>
      <w:proofErr w:type="spellStart"/>
      <w:r w:rsidRPr="005C6F13">
        <w:rPr>
          <w:sz w:val="24"/>
          <w:szCs w:val="24"/>
          <w:lang w:eastAsia="da-DK"/>
        </w:rPr>
        <w:t>hæmodynamiske</w:t>
      </w:r>
      <w:proofErr w:type="spellEnd"/>
      <w:r w:rsidRPr="005C6F13">
        <w:rPr>
          <w:sz w:val="24"/>
          <w:szCs w:val="24"/>
          <w:lang w:eastAsia="da-DK"/>
        </w:rPr>
        <w:t xml:space="preserve"> virkninger mellem disse to grupper. De forlængede </w:t>
      </w:r>
      <w:proofErr w:type="spellStart"/>
      <w:r w:rsidRPr="005C6F13">
        <w:rPr>
          <w:sz w:val="24"/>
          <w:szCs w:val="24"/>
          <w:lang w:eastAsia="da-DK"/>
        </w:rPr>
        <w:t>hæmodynamiske</w:t>
      </w:r>
      <w:proofErr w:type="spellEnd"/>
      <w:r w:rsidRPr="005C6F13">
        <w:rPr>
          <w:sz w:val="24"/>
          <w:szCs w:val="24"/>
          <w:lang w:eastAsia="da-DK"/>
        </w:rPr>
        <w:t xml:space="preserve"> virkninger (varer op til 7-9 dage efter en afsluttet 24 timers infusion med </w:t>
      </w:r>
      <w:proofErr w:type="spellStart"/>
      <w:r w:rsidRPr="005C6F13">
        <w:rPr>
          <w:sz w:val="24"/>
          <w:szCs w:val="24"/>
          <w:lang w:eastAsia="da-DK"/>
        </w:rPr>
        <w:t>levosimendan</w:t>
      </w:r>
      <w:proofErr w:type="spellEnd"/>
      <w:r w:rsidRPr="005C6F13">
        <w:rPr>
          <w:sz w:val="24"/>
          <w:szCs w:val="24"/>
          <w:lang w:eastAsia="da-DK"/>
        </w:rPr>
        <w:t>) er attribueret til disse metabolitter.</w:t>
      </w:r>
    </w:p>
    <w:p w:rsidR="006C2BEE" w:rsidRPr="005C6F13" w:rsidRDefault="006C2BEE" w:rsidP="006C2BEE">
      <w:pPr>
        <w:autoSpaceDE w:val="0"/>
        <w:autoSpaceDN w:val="0"/>
        <w:adjustRightInd w:val="0"/>
        <w:ind w:left="851" w:hanging="851"/>
        <w:rPr>
          <w:sz w:val="24"/>
          <w:szCs w:val="24"/>
          <w:lang w:eastAsia="da-DK"/>
        </w:rPr>
      </w:pPr>
    </w:p>
    <w:p w:rsidR="009F3408" w:rsidRDefault="009F3408" w:rsidP="009F3408">
      <w:pPr>
        <w:autoSpaceDE w:val="0"/>
        <w:autoSpaceDN w:val="0"/>
        <w:adjustRightInd w:val="0"/>
        <w:ind w:left="851"/>
        <w:rPr>
          <w:sz w:val="24"/>
          <w:szCs w:val="24"/>
          <w:lang w:eastAsia="da-DK"/>
        </w:rPr>
      </w:pPr>
      <w:r>
        <w:rPr>
          <w:i/>
          <w:sz w:val="24"/>
          <w:szCs w:val="24"/>
          <w:lang w:eastAsia="da-DK"/>
        </w:rPr>
        <w:t xml:space="preserve">In </w:t>
      </w:r>
      <w:proofErr w:type="spellStart"/>
      <w:r>
        <w:rPr>
          <w:i/>
          <w:sz w:val="24"/>
          <w:szCs w:val="24"/>
          <w:lang w:eastAsia="da-DK"/>
        </w:rPr>
        <w:t>vitro</w:t>
      </w:r>
      <w:proofErr w:type="spellEnd"/>
      <w:r>
        <w:rPr>
          <w:i/>
          <w:sz w:val="24"/>
          <w:szCs w:val="24"/>
          <w:lang w:eastAsia="da-DK"/>
        </w:rPr>
        <w:t>-</w:t>
      </w:r>
      <w:r>
        <w:rPr>
          <w:sz w:val="24"/>
          <w:szCs w:val="24"/>
          <w:lang w:eastAsia="da-DK"/>
        </w:rPr>
        <w:t xml:space="preserve">studier har vist, at </w:t>
      </w:r>
      <w:proofErr w:type="spellStart"/>
      <w:r>
        <w:rPr>
          <w:sz w:val="24"/>
          <w:szCs w:val="24"/>
          <w:lang w:eastAsia="da-DK"/>
        </w:rPr>
        <w:t>levosimendan</w:t>
      </w:r>
      <w:proofErr w:type="spellEnd"/>
      <w:r>
        <w:rPr>
          <w:sz w:val="24"/>
          <w:szCs w:val="24"/>
          <w:lang w:eastAsia="da-DK"/>
        </w:rPr>
        <w:t xml:space="preserve"> og dens metabolitter, OR-1855 og OR-1896 ikke hæmmer CYP1A2, CYP2A6, CYP2B6, CYP2C19, CYP2D6, CYP2E1 eller CYP3A4 ved koncentrationer, som opnås efter anbefalet dosering. Derudover hæmmer </w:t>
      </w:r>
      <w:proofErr w:type="spellStart"/>
      <w:r>
        <w:rPr>
          <w:sz w:val="24"/>
          <w:szCs w:val="24"/>
          <w:lang w:eastAsia="da-DK"/>
        </w:rPr>
        <w:t>levosimendan</w:t>
      </w:r>
      <w:proofErr w:type="spellEnd"/>
      <w:r>
        <w:rPr>
          <w:sz w:val="24"/>
          <w:szCs w:val="24"/>
          <w:lang w:eastAsia="da-DK"/>
        </w:rPr>
        <w:t xml:space="preserve"> hellere ikke CYP1A1, og hverken OR-1855 eller OR-1896 hæmmer CYP2C8 eller CYP2C9. </w:t>
      </w:r>
      <w:proofErr w:type="spellStart"/>
      <w:r>
        <w:rPr>
          <w:sz w:val="24"/>
          <w:szCs w:val="24"/>
          <w:lang w:eastAsia="da-DK"/>
        </w:rPr>
        <w:t>Levosimendan</w:t>
      </w:r>
      <w:proofErr w:type="spellEnd"/>
      <w:r>
        <w:rPr>
          <w:sz w:val="24"/>
          <w:szCs w:val="24"/>
          <w:lang w:eastAsia="da-DK"/>
        </w:rPr>
        <w:t xml:space="preserve"> har vist sig at være en hæmmer af CYP2C8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 (se pkt. 4.5) Resultaterne fra humane interaktionsstudier med </w:t>
      </w:r>
      <w:proofErr w:type="spellStart"/>
      <w:r>
        <w:rPr>
          <w:sz w:val="24"/>
          <w:szCs w:val="24"/>
          <w:lang w:eastAsia="da-DK"/>
        </w:rPr>
        <w:t>warfarin</w:t>
      </w:r>
      <w:proofErr w:type="spellEnd"/>
      <w:r>
        <w:rPr>
          <w:sz w:val="24"/>
          <w:szCs w:val="24"/>
          <w:lang w:eastAsia="da-DK"/>
        </w:rPr>
        <w:t xml:space="preserve">, </w:t>
      </w:r>
      <w:proofErr w:type="spellStart"/>
      <w:r>
        <w:rPr>
          <w:sz w:val="24"/>
          <w:szCs w:val="24"/>
          <w:lang w:eastAsia="da-DK"/>
        </w:rPr>
        <w:t>felodipin</w:t>
      </w:r>
      <w:proofErr w:type="spellEnd"/>
      <w:r>
        <w:rPr>
          <w:sz w:val="24"/>
          <w:szCs w:val="24"/>
          <w:lang w:eastAsia="da-DK"/>
        </w:rPr>
        <w:t xml:space="preserve"> og </w:t>
      </w:r>
      <w:proofErr w:type="spellStart"/>
      <w:r>
        <w:rPr>
          <w:sz w:val="24"/>
          <w:szCs w:val="24"/>
          <w:lang w:eastAsia="da-DK"/>
        </w:rPr>
        <w:t>itraconazol</w:t>
      </w:r>
      <w:proofErr w:type="spellEnd"/>
      <w:r>
        <w:rPr>
          <w:sz w:val="24"/>
          <w:szCs w:val="24"/>
          <w:lang w:eastAsia="da-DK"/>
        </w:rPr>
        <w:t xml:space="preserve"> bekræftede, at </w:t>
      </w:r>
      <w:proofErr w:type="spellStart"/>
      <w:r>
        <w:rPr>
          <w:sz w:val="24"/>
          <w:szCs w:val="24"/>
          <w:lang w:eastAsia="da-DK"/>
        </w:rPr>
        <w:t>levosimendan</w:t>
      </w:r>
      <w:proofErr w:type="spellEnd"/>
      <w:r>
        <w:rPr>
          <w:sz w:val="24"/>
          <w:szCs w:val="24"/>
          <w:lang w:eastAsia="da-DK"/>
        </w:rPr>
        <w:t xml:space="preserve"> ikke hæmmer CYP3A4 eller CYP2C9, og at metabolismen af </w:t>
      </w:r>
      <w:proofErr w:type="spellStart"/>
      <w:r>
        <w:rPr>
          <w:sz w:val="24"/>
          <w:szCs w:val="24"/>
          <w:lang w:eastAsia="da-DK"/>
        </w:rPr>
        <w:t>levosimendan</w:t>
      </w:r>
      <w:proofErr w:type="spellEnd"/>
      <w:r>
        <w:rPr>
          <w:sz w:val="24"/>
          <w:szCs w:val="24"/>
          <w:lang w:eastAsia="da-DK"/>
        </w:rPr>
        <w:t xml:space="preserve"> ikke er påvirket af CYP3A-hæmmere.</w:t>
      </w:r>
    </w:p>
    <w:p w:rsidR="009F3408" w:rsidRDefault="009F3408" w:rsidP="009F3408">
      <w:pPr>
        <w:autoSpaceDE w:val="0"/>
        <w:autoSpaceDN w:val="0"/>
        <w:adjustRightInd w:val="0"/>
        <w:ind w:left="851"/>
        <w:rPr>
          <w:sz w:val="24"/>
          <w:szCs w:val="24"/>
          <w:lang w:eastAsia="da-DK"/>
        </w:rPr>
      </w:pPr>
    </w:p>
    <w:p w:rsidR="009F3408" w:rsidRDefault="009F3408" w:rsidP="009F3408">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lastRenderedPageBreak/>
        <w:t xml:space="preserve">Elimination </w:t>
      </w:r>
    </w:p>
    <w:p w:rsidR="006C2BEE" w:rsidRPr="005C6F13" w:rsidRDefault="006C2BEE" w:rsidP="006C2BEE">
      <w:pPr>
        <w:autoSpaceDE w:val="0"/>
        <w:autoSpaceDN w:val="0"/>
        <w:adjustRightInd w:val="0"/>
        <w:ind w:left="851" w:hanging="851"/>
        <w:rPr>
          <w:sz w:val="24"/>
          <w:szCs w:val="24"/>
          <w:u w:val="single"/>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Clearance</w:t>
      </w:r>
      <w:proofErr w:type="spellEnd"/>
      <w:r w:rsidRPr="005C6F13">
        <w:rPr>
          <w:sz w:val="24"/>
          <w:szCs w:val="24"/>
          <w:lang w:eastAsia="da-DK"/>
        </w:rPr>
        <w:t xml:space="preserve"> er ca. 3,0 ml/min/kg og halveringstiden er ca. 1 time. 54 % af </w:t>
      </w:r>
      <w:proofErr w:type="spellStart"/>
      <w:r w:rsidRPr="005C6F13">
        <w:rPr>
          <w:sz w:val="24"/>
          <w:szCs w:val="24"/>
          <w:lang w:eastAsia="da-DK"/>
        </w:rPr>
        <w:t>levosimendandosis</w:t>
      </w:r>
      <w:proofErr w:type="spellEnd"/>
      <w:r w:rsidRPr="005C6F13">
        <w:rPr>
          <w:sz w:val="24"/>
          <w:szCs w:val="24"/>
          <w:lang w:eastAsia="da-DK"/>
        </w:rPr>
        <w:t xml:space="preserve"> udskilles i urin og 44 % i fæces. Mere end 95 % af dosis udskilles i løbet af en uge. Ubetydelige mængder (&lt;0,05 % af dosis) udskilles som uændret </w:t>
      </w:r>
      <w:proofErr w:type="spellStart"/>
      <w:r w:rsidRPr="005C6F13">
        <w:rPr>
          <w:sz w:val="24"/>
          <w:szCs w:val="24"/>
          <w:lang w:eastAsia="da-DK"/>
        </w:rPr>
        <w:t>levosimendan</w:t>
      </w:r>
      <w:proofErr w:type="spellEnd"/>
      <w:r w:rsidRPr="005C6F13">
        <w:rPr>
          <w:sz w:val="24"/>
          <w:szCs w:val="24"/>
          <w:lang w:eastAsia="da-DK"/>
        </w:rPr>
        <w:t xml:space="preserve"> i urinen. De mindre metabolitter OR-1855 og OR-1896 (cirka 5 % af </w:t>
      </w:r>
      <w:proofErr w:type="spellStart"/>
      <w:r w:rsidRPr="005C6F13">
        <w:rPr>
          <w:sz w:val="24"/>
          <w:szCs w:val="24"/>
          <w:lang w:eastAsia="da-DK"/>
        </w:rPr>
        <w:t>levosimendandosis</w:t>
      </w:r>
      <w:proofErr w:type="spellEnd"/>
      <w:r w:rsidRPr="005C6F13">
        <w:rPr>
          <w:sz w:val="24"/>
          <w:szCs w:val="24"/>
          <w:lang w:eastAsia="da-DK"/>
        </w:rPr>
        <w:t xml:space="preserve">), dannes og elimineres langsomt fra blodkredsløbet. Maksimal plasmakoncentration af de aktive metabolitter OR-1855 og OR-1896 (cirka 5 % af </w:t>
      </w:r>
      <w:proofErr w:type="spellStart"/>
      <w:r w:rsidRPr="005C6F13">
        <w:rPr>
          <w:sz w:val="24"/>
          <w:szCs w:val="24"/>
          <w:lang w:eastAsia="da-DK"/>
        </w:rPr>
        <w:t>levosimendandosis</w:t>
      </w:r>
      <w:proofErr w:type="spellEnd"/>
      <w:r w:rsidRPr="005C6F13">
        <w:rPr>
          <w:sz w:val="24"/>
          <w:szCs w:val="24"/>
          <w:lang w:eastAsia="da-DK"/>
        </w:rPr>
        <w:t xml:space="preserve">), opnås ca. 2 dage efter afsluttet infusion med </w:t>
      </w:r>
      <w:proofErr w:type="spellStart"/>
      <w:r w:rsidRPr="005C6F13">
        <w:rPr>
          <w:sz w:val="24"/>
          <w:szCs w:val="24"/>
          <w:lang w:eastAsia="da-DK"/>
        </w:rPr>
        <w:t>levosimendan</w:t>
      </w:r>
      <w:proofErr w:type="spellEnd"/>
      <w:r w:rsidRPr="005C6F13">
        <w:rPr>
          <w:sz w:val="24"/>
          <w:szCs w:val="24"/>
          <w:lang w:eastAsia="da-DK"/>
        </w:rPr>
        <w:t xml:space="preserve">. Halveringstiden for metabolitterne er ca. 75-80 timer. OR-1855 og OR-1896, gennemgår konjugation eller </w:t>
      </w:r>
      <w:proofErr w:type="spellStart"/>
      <w:r w:rsidRPr="005C6F13">
        <w:rPr>
          <w:sz w:val="24"/>
          <w:szCs w:val="24"/>
          <w:lang w:eastAsia="da-DK"/>
        </w:rPr>
        <w:t>renal</w:t>
      </w:r>
      <w:proofErr w:type="spellEnd"/>
      <w:r w:rsidRPr="005C6F13">
        <w:rPr>
          <w:sz w:val="24"/>
          <w:szCs w:val="24"/>
          <w:lang w:eastAsia="da-DK"/>
        </w:rPr>
        <w:t xml:space="preserve"> filtrering, og udskilles hovedsageligt via urin.</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t>Linearitet/non-linearitet</w:t>
      </w: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Levosimendans</w:t>
      </w:r>
      <w:proofErr w:type="spellEnd"/>
      <w:r w:rsidRPr="005C6F13">
        <w:rPr>
          <w:sz w:val="24"/>
          <w:szCs w:val="24"/>
          <w:lang w:eastAsia="da-DK"/>
        </w:rPr>
        <w:t xml:space="preserve"> farmakokinetik er lineær i det terapeutiske doseringsområde 0,05-0,2 mikrogram/kg/min.</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u w:val="single"/>
          <w:lang w:eastAsia="da-DK"/>
        </w:rPr>
      </w:pPr>
      <w:r w:rsidRPr="005C6F13">
        <w:rPr>
          <w:sz w:val="24"/>
          <w:szCs w:val="24"/>
          <w:u w:val="single"/>
          <w:lang w:eastAsia="da-DK"/>
        </w:rPr>
        <w:t>Særlige populationer</w:t>
      </w:r>
    </w:p>
    <w:p w:rsidR="006C2BEE" w:rsidRPr="005C6F13" w:rsidRDefault="006C2BEE" w:rsidP="006C2BEE">
      <w:pPr>
        <w:autoSpaceDE w:val="0"/>
        <w:autoSpaceDN w:val="0"/>
        <w:adjustRightInd w:val="0"/>
        <w:ind w:left="851"/>
        <w:rPr>
          <w:i/>
          <w:sz w:val="24"/>
          <w:szCs w:val="24"/>
          <w:lang w:eastAsia="da-DK"/>
        </w:rPr>
      </w:pPr>
    </w:p>
    <w:p w:rsidR="006C2BEE" w:rsidRPr="005C6F13" w:rsidRDefault="006C2BEE" w:rsidP="006C2BEE">
      <w:pPr>
        <w:autoSpaceDE w:val="0"/>
        <w:autoSpaceDN w:val="0"/>
        <w:adjustRightInd w:val="0"/>
        <w:ind w:left="851"/>
        <w:rPr>
          <w:i/>
          <w:sz w:val="24"/>
          <w:szCs w:val="24"/>
          <w:lang w:eastAsia="da-DK"/>
        </w:rPr>
      </w:pPr>
      <w:r w:rsidRPr="005C6F13">
        <w:rPr>
          <w:i/>
          <w:sz w:val="24"/>
          <w:szCs w:val="24"/>
          <w:lang w:eastAsia="da-DK"/>
        </w:rPr>
        <w:t xml:space="preserve">Børn og unge: </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bør ikke administreres til børn og unge (se pkt. 4.4). </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Begrænsede data indikerer, at </w:t>
      </w:r>
      <w:proofErr w:type="spellStart"/>
      <w:r w:rsidRPr="005C6F13">
        <w:rPr>
          <w:sz w:val="24"/>
          <w:szCs w:val="24"/>
          <w:lang w:eastAsia="da-DK"/>
        </w:rPr>
        <w:t>levosimendans</w:t>
      </w:r>
      <w:proofErr w:type="spellEnd"/>
      <w:r w:rsidRPr="005C6F13">
        <w:rPr>
          <w:sz w:val="24"/>
          <w:szCs w:val="24"/>
          <w:lang w:eastAsia="da-DK"/>
        </w:rPr>
        <w:t xml:space="preserve"> farmakokinetik efter en enkelt dosis til børn (i alderen 3 måneder til 6 år) svarer til den for voksne. Farmakokinetikken for den aktive metabolit er ikke blevet undersøgt hos børn.</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i/>
          <w:iCs/>
          <w:sz w:val="24"/>
          <w:szCs w:val="24"/>
          <w:lang w:eastAsia="da-DK"/>
        </w:rPr>
      </w:pPr>
      <w:r w:rsidRPr="005C6F13">
        <w:rPr>
          <w:i/>
          <w:sz w:val="24"/>
          <w:szCs w:val="24"/>
          <w:lang w:eastAsia="da-DK"/>
        </w:rPr>
        <w:t>Nedsat nyrefunktion:</w:t>
      </w:r>
      <w:r w:rsidRPr="005C6F13">
        <w:rPr>
          <w:i/>
          <w:iCs/>
          <w:sz w:val="24"/>
          <w:szCs w:val="24"/>
          <w:lang w:eastAsia="da-DK"/>
        </w:rPr>
        <w:t xml:space="preserve"> </w:t>
      </w:r>
    </w:p>
    <w:p w:rsidR="006C2BEE" w:rsidRPr="005C6F13" w:rsidRDefault="006C2BEE" w:rsidP="006C2BEE">
      <w:pPr>
        <w:autoSpaceDE w:val="0"/>
        <w:autoSpaceDN w:val="0"/>
        <w:adjustRightInd w:val="0"/>
        <w:ind w:left="851"/>
        <w:rPr>
          <w:iCs/>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Farmakokinetikken for </w:t>
      </w:r>
      <w:proofErr w:type="spellStart"/>
      <w:r w:rsidRPr="005C6F13">
        <w:rPr>
          <w:sz w:val="24"/>
          <w:szCs w:val="24"/>
          <w:lang w:eastAsia="da-DK"/>
        </w:rPr>
        <w:t>levosimendan</w:t>
      </w:r>
      <w:proofErr w:type="spellEnd"/>
      <w:r w:rsidRPr="005C6F13">
        <w:rPr>
          <w:sz w:val="24"/>
          <w:szCs w:val="24"/>
          <w:lang w:eastAsia="da-DK"/>
        </w:rPr>
        <w:t xml:space="preserve"> er blevet undersøgt hos patienter med varierende grad af nedsat nyrefunktion og uden hjertesvigt. Eksponeringen for </w:t>
      </w:r>
      <w:proofErr w:type="spellStart"/>
      <w:r w:rsidRPr="005C6F13">
        <w:rPr>
          <w:sz w:val="24"/>
          <w:szCs w:val="24"/>
          <w:lang w:eastAsia="da-DK"/>
        </w:rPr>
        <w:t>levosimendan</w:t>
      </w:r>
      <w:proofErr w:type="spellEnd"/>
      <w:r w:rsidRPr="005C6F13">
        <w:rPr>
          <w:sz w:val="24"/>
          <w:szCs w:val="24"/>
          <w:lang w:eastAsia="da-DK"/>
        </w:rPr>
        <w:t xml:space="preserve"> var tilsvarende hos patienter med let til moderat nedsat nyrefunktion og hos patienter, som gennemgår hæmodialyse mens eksponeringen for </w:t>
      </w:r>
      <w:proofErr w:type="spellStart"/>
      <w:r w:rsidRPr="005C6F13">
        <w:rPr>
          <w:sz w:val="24"/>
          <w:szCs w:val="24"/>
          <w:lang w:eastAsia="da-DK"/>
        </w:rPr>
        <w:t>levosimendan</w:t>
      </w:r>
      <w:proofErr w:type="spellEnd"/>
      <w:r w:rsidRPr="005C6F13">
        <w:rPr>
          <w:sz w:val="24"/>
          <w:szCs w:val="24"/>
          <w:lang w:eastAsia="da-DK"/>
        </w:rPr>
        <w:t xml:space="preserve"> kan være lidt lavere hos patienter med svært nedsat nyrefunktion.</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Sammenlignet med raske frivillige viste den ikke-bundne del af </w:t>
      </w:r>
      <w:proofErr w:type="spellStart"/>
      <w:r w:rsidRPr="005C6F13">
        <w:rPr>
          <w:sz w:val="24"/>
          <w:szCs w:val="24"/>
          <w:lang w:eastAsia="da-DK"/>
        </w:rPr>
        <w:t>levosimendan</w:t>
      </w:r>
      <w:proofErr w:type="spellEnd"/>
      <w:r w:rsidRPr="005C6F13">
        <w:rPr>
          <w:sz w:val="24"/>
          <w:szCs w:val="24"/>
          <w:lang w:eastAsia="da-DK"/>
        </w:rPr>
        <w:t xml:space="preserve"> sig at være noget forhøjet, og metabolitternes (OR-1855 og OR-1896) </w:t>
      </w:r>
      <w:proofErr w:type="spellStart"/>
      <w:r w:rsidRPr="005C6F13">
        <w:rPr>
          <w:sz w:val="24"/>
          <w:szCs w:val="24"/>
          <w:lang w:eastAsia="da-DK"/>
        </w:rPr>
        <w:t>AUC’ere</w:t>
      </w:r>
      <w:proofErr w:type="spellEnd"/>
      <w:r w:rsidRPr="005C6F13">
        <w:rPr>
          <w:sz w:val="24"/>
          <w:szCs w:val="24"/>
          <w:lang w:eastAsia="da-DK"/>
        </w:rPr>
        <w:t xml:space="preserve"> var op til 170 % højere hos patienter med svært nedsat nyrefunktion og patienter, som gennemgår hæmodialyse. Virkningerne af let til moderat nedsat nyrefunktion på farmakokinetikken for OR-1855 og OR-1896 forventes at være mindre end virkningerne af svært nedsat nyrefunktion.</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lang w:eastAsia="da-DK"/>
        </w:rPr>
      </w:pPr>
      <w:proofErr w:type="spellStart"/>
      <w:r w:rsidRPr="005C6F13">
        <w:rPr>
          <w:sz w:val="24"/>
          <w:szCs w:val="24"/>
          <w:lang w:eastAsia="da-DK"/>
        </w:rPr>
        <w:t>Levosimendan</w:t>
      </w:r>
      <w:proofErr w:type="spellEnd"/>
      <w:r w:rsidRPr="005C6F13">
        <w:rPr>
          <w:sz w:val="24"/>
          <w:szCs w:val="24"/>
          <w:lang w:eastAsia="da-DK"/>
        </w:rPr>
        <w:t xml:space="preserve"> er ikke dialysebar. Selv om OR-1855 og OR-1896 er dialysebare er dialyse-</w:t>
      </w:r>
      <w:proofErr w:type="spellStart"/>
      <w:r w:rsidRPr="005C6F13">
        <w:rPr>
          <w:sz w:val="24"/>
          <w:szCs w:val="24"/>
          <w:lang w:eastAsia="da-DK"/>
        </w:rPr>
        <w:t>clearancene</w:t>
      </w:r>
      <w:proofErr w:type="spellEnd"/>
      <w:r w:rsidRPr="005C6F13">
        <w:rPr>
          <w:sz w:val="24"/>
          <w:szCs w:val="24"/>
          <w:lang w:eastAsia="da-DK"/>
        </w:rPr>
        <w:t xml:space="preserve"> lave (ca. 8-23 ml/min) og den endelige virkning, efter en 4-timers dialyse på den totale eksponering for disse metabolitter, er lille.</w:t>
      </w:r>
    </w:p>
    <w:p w:rsidR="006C2BEE" w:rsidRDefault="006C2BEE" w:rsidP="006C2BEE">
      <w:pPr>
        <w:autoSpaceDE w:val="0"/>
        <w:autoSpaceDN w:val="0"/>
        <w:adjustRightInd w:val="0"/>
        <w:ind w:left="851"/>
        <w:rPr>
          <w:i/>
          <w:iCs/>
          <w:sz w:val="24"/>
          <w:szCs w:val="24"/>
          <w:lang w:eastAsia="da-DK"/>
        </w:rPr>
      </w:pPr>
    </w:p>
    <w:p w:rsidR="00B6763C" w:rsidRPr="005C6F13" w:rsidRDefault="00B6763C" w:rsidP="006C2BEE">
      <w:pPr>
        <w:autoSpaceDE w:val="0"/>
        <w:autoSpaceDN w:val="0"/>
        <w:adjustRightInd w:val="0"/>
        <w:ind w:left="851"/>
        <w:rPr>
          <w:i/>
          <w:iCs/>
          <w:sz w:val="24"/>
          <w:szCs w:val="24"/>
          <w:lang w:eastAsia="da-DK"/>
        </w:rPr>
      </w:pPr>
    </w:p>
    <w:p w:rsidR="006C2BEE" w:rsidRPr="005C6F13" w:rsidRDefault="006C2BEE" w:rsidP="006C2BEE">
      <w:pPr>
        <w:autoSpaceDE w:val="0"/>
        <w:autoSpaceDN w:val="0"/>
        <w:adjustRightInd w:val="0"/>
        <w:ind w:left="851"/>
        <w:rPr>
          <w:i/>
          <w:iCs/>
          <w:sz w:val="24"/>
          <w:szCs w:val="24"/>
          <w:lang w:eastAsia="da-DK"/>
        </w:rPr>
      </w:pPr>
      <w:r w:rsidRPr="005C6F13">
        <w:rPr>
          <w:i/>
          <w:iCs/>
          <w:sz w:val="24"/>
          <w:szCs w:val="24"/>
          <w:lang w:eastAsia="da-DK"/>
        </w:rPr>
        <w:t xml:space="preserve">Nedsat leverfunktion: </w:t>
      </w:r>
    </w:p>
    <w:p w:rsidR="006C2BEE" w:rsidRPr="005C6F13" w:rsidRDefault="006C2BEE" w:rsidP="006C2BEE">
      <w:pPr>
        <w:autoSpaceDE w:val="0"/>
        <w:autoSpaceDN w:val="0"/>
        <w:adjustRightInd w:val="0"/>
        <w:ind w:left="851"/>
        <w:rPr>
          <w:iCs/>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Der er ikke fundet nogen forskelle i farmakokinetikken eller </w:t>
      </w:r>
      <w:proofErr w:type="spellStart"/>
      <w:r w:rsidRPr="005C6F13">
        <w:rPr>
          <w:sz w:val="24"/>
          <w:szCs w:val="24"/>
          <w:lang w:eastAsia="da-DK"/>
        </w:rPr>
        <w:t>levosimendans</w:t>
      </w:r>
      <w:proofErr w:type="spellEnd"/>
      <w:r w:rsidRPr="005C6F13">
        <w:rPr>
          <w:sz w:val="24"/>
          <w:szCs w:val="24"/>
          <w:lang w:eastAsia="da-DK"/>
        </w:rPr>
        <w:t xml:space="preserve"> proteinbinding hos patienter med let eller moderat cirrose versus raske frivillige. </w:t>
      </w:r>
      <w:proofErr w:type="spellStart"/>
      <w:r w:rsidRPr="005C6F13">
        <w:rPr>
          <w:sz w:val="24"/>
          <w:szCs w:val="24"/>
          <w:lang w:eastAsia="da-DK"/>
        </w:rPr>
        <w:t>Levosimendans</w:t>
      </w:r>
      <w:proofErr w:type="spellEnd"/>
      <w:r w:rsidRPr="005C6F13">
        <w:rPr>
          <w:sz w:val="24"/>
          <w:szCs w:val="24"/>
          <w:lang w:eastAsia="da-DK"/>
        </w:rPr>
        <w:t xml:space="preserve"> farmakokinetik, R-1855 og OR-1896 er tilsvarende mellem raske frivillige patienter og </w:t>
      </w:r>
      <w:r w:rsidRPr="005C6F13">
        <w:rPr>
          <w:sz w:val="24"/>
          <w:szCs w:val="24"/>
          <w:lang w:eastAsia="da-DK"/>
        </w:rPr>
        <w:lastRenderedPageBreak/>
        <w:t>patienter med moderat nedsat leverfunktion (Child-</w:t>
      </w:r>
      <w:proofErr w:type="spellStart"/>
      <w:r w:rsidRPr="005C6F13">
        <w:rPr>
          <w:sz w:val="24"/>
          <w:szCs w:val="24"/>
          <w:lang w:eastAsia="da-DK"/>
        </w:rPr>
        <w:t>Pugh</w:t>
      </w:r>
      <w:proofErr w:type="spellEnd"/>
      <w:r w:rsidRPr="005C6F13">
        <w:rPr>
          <w:sz w:val="24"/>
          <w:szCs w:val="24"/>
          <w:lang w:eastAsia="da-DK"/>
        </w:rPr>
        <w:t xml:space="preserve"> Class B) med undtagelsen, at eliminationshalveringstiden for OR-1855 og OR-1896 er lidt længere hos patienter med moderat nedsat leverfunktion.</w:t>
      </w:r>
    </w:p>
    <w:p w:rsidR="006C2BEE" w:rsidRPr="005C6F13" w:rsidRDefault="006C2BEE" w:rsidP="006C2BEE">
      <w:pPr>
        <w:autoSpaceDE w:val="0"/>
        <w:autoSpaceDN w:val="0"/>
        <w:adjustRightInd w:val="0"/>
        <w:ind w:left="851"/>
        <w:rPr>
          <w:sz w:val="24"/>
          <w:szCs w:val="24"/>
          <w:lang w:eastAsia="da-DK"/>
        </w:rPr>
      </w:pPr>
    </w:p>
    <w:p w:rsidR="006C2BEE" w:rsidRPr="005C6F13" w:rsidRDefault="006C2BEE" w:rsidP="006C2BEE">
      <w:pPr>
        <w:autoSpaceDE w:val="0"/>
        <w:autoSpaceDN w:val="0"/>
        <w:adjustRightInd w:val="0"/>
        <w:ind w:left="851"/>
        <w:rPr>
          <w:sz w:val="24"/>
          <w:szCs w:val="24"/>
        </w:rPr>
      </w:pPr>
      <w:r w:rsidRPr="005C6F13">
        <w:rPr>
          <w:sz w:val="24"/>
          <w:szCs w:val="24"/>
          <w:lang w:eastAsia="da-DK"/>
        </w:rPr>
        <w:t>Populationsanalyser har vist, at alder, etnisk oprindelse eller køn ikke har nogen virkning på</w:t>
      </w:r>
      <w:r>
        <w:rPr>
          <w:sz w:val="24"/>
          <w:szCs w:val="24"/>
          <w:lang w:eastAsia="da-DK"/>
        </w:rPr>
        <w:t xml:space="preserve"> </w:t>
      </w:r>
      <w:proofErr w:type="spellStart"/>
      <w:r w:rsidRPr="005C6F13">
        <w:rPr>
          <w:sz w:val="24"/>
          <w:szCs w:val="24"/>
          <w:lang w:eastAsia="da-DK"/>
        </w:rPr>
        <w:t>levosimendans</w:t>
      </w:r>
      <w:proofErr w:type="spellEnd"/>
      <w:r w:rsidRPr="005C6F13">
        <w:rPr>
          <w:sz w:val="24"/>
          <w:szCs w:val="24"/>
          <w:lang w:eastAsia="da-DK"/>
        </w:rPr>
        <w:t xml:space="preserve"> farmakokinetik. De samme analyser har dog vist, at distributionsvolumen og den</w:t>
      </w:r>
      <w:r>
        <w:rPr>
          <w:sz w:val="24"/>
          <w:szCs w:val="24"/>
          <w:lang w:eastAsia="da-DK"/>
        </w:rPr>
        <w:t xml:space="preserve"> </w:t>
      </w:r>
      <w:r w:rsidRPr="005C6F13">
        <w:rPr>
          <w:sz w:val="24"/>
          <w:szCs w:val="24"/>
          <w:lang w:eastAsia="da-DK"/>
        </w:rPr>
        <w:t xml:space="preserve">totale </w:t>
      </w:r>
      <w:proofErr w:type="spellStart"/>
      <w:r w:rsidRPr="005C6F13">
        <w:rPr>
          <w:sz w:val="24"/>
          <w:szCs w:val="24"/>
          <w:lang w:eastAsia="da-DK"/>
        </w:rPr>
        <w:t>clearance</w:t>
      </w:r>
      <w:proofErr w:type="spellEnd"/>
      <w:r w:rsidRPr="005C6F13">
        <w:rPr>
          <w:sz w:val="24"/>
          <w:szCs w:val="24"/>
          <w:lang w:eastAsia="da-DK"/>
        </w:rPr>
        <w:t xml:space="preserve"> er afhængig af kropsvægt.</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5.3</w:t>
      </w:r>
      <w:r w:rsidRPr="005C6F13">
        <w:rPr>
          <w:b/>
          <w:sz w:val="24"/>
          <w:szCs w:val="24"/>
        </w:rPr>
        <w:tab/>
      </w:r>
      <w:r w:rsidR="009F3408">
        <w:rPr>
          <w:b/>
          <w:sz w:val="24"/>
          <w:szCs w:val="24"/>
        </w:rPr>
        <w:t>Non-</w:t>
      </w:r>
      <w:r w:rsidRPr="005C6F13">
        <w:rPr>
          <w:b/>
          <w:sz w:val="24"/>
          <w:szCs w:val="24"/>
        </w:rPr>
        <w:t>kliniske sikkerhedsdata</w:t>
      </w:r>
    </w:p>
    <w:p w:rsidR="006C2BEE" w:rsidRPr="005C6F13" w:rsidRDefault="006C2BEE" w:rsidP="006C2BEE">
      <w:pPr>
        <w:autoSpaceDE w:val="0"/>
        <w:autoSpaceDN w:val="0"/>
        <w:adjustRightInd w:val="0"/>
        <w:ind w:left="851" w:hanging="851"/>
        <w:rPr>
          <w:sz w:val="24"/>
          <w:szCs w:val="24"/>
          <w:lang w:eastAsia="da-DK"/>
        </w:rPr>
      </w:pPr>
      <w:r w:rsidRPr="005C6F13">
        <w:rPr>
          <w:sz w:val="24"/>
          <w:szCs w:val="24"/>
        </w:rPr>
        <w:tab/>
      </w:r>
      <w:r w:rsidRPr="005C6F13">
        <w:rPr>
          <w:sz w:val="24"/>
          <w:szCs w:val="24"/>
          <w:lang w:eastAsia="da-DK"/>
        </w:rPr>
        <w:t>Konventionelle studier af generel toksicitet og genotoksicitet viser ingen speciel risiko for mennesker</w:t>
      </w:r>
      <w:r>
        <w:rPr>
          <w:sz w:val="24"/>
          <w:szCs w:val="24"/>
          <w:lang w:eastAsia="da-DK"/>
        </w:rPr>
        <w:t xml:space="preserve"> </w:t>
      </w:r>
      <w:r w:rsidRPr="005C6F13">
        <w:rPr>
          <w:sz w:val="24"/>
          <w:szCs w:val="24"/>
          <w:lang w:eastAsia="da-DK"/>
        </w:rPr>
        <w:t>ved korttidsbrug.</w:t>
      </w:r>
    </w:p>
    <w:p w:rsidR="006C2BEE" w:rsidRPr="005C6F13" w:rsidRDefault="006C2BEE" w:rsidP="006C2BEE">
      <w:pPr>
        <w:autoSpaceDE w:val="0"/>
        <w:autoSpaceDN w:val="0"/>
        <w:adjustRightInd w:val="0"/>
        <w:ind w:left="851" w:hanging="851"/>
        <w:rPr>
          <w:sz w:val="24"/>
          <w:szCs w:val="24"/>
          <w:lang w:eastAsia="da-DK"/>
        </w:rPr>
      </w:pP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I dyrestudier var </w:t>
      </w:r>
      <w:proofErr w:type="spellStart"/>
      <w:r w:rsidRPr="005C6F13">
        <w:rPr>
          <w:sz w:val="24"/>
          <w:szCs w:val="24"/>
          <w:lang w:eastAsia="da-DK"/>
        </w:rPr>
        <w:t>levosimendan</w:t>
      </w:r>
      <w:proofErr w:type="spellEnd"/>
      <w:r w:rsidRPr="005C6F13">
        <w:rPr>
          <w:sz w:val="24"/>
          <w:szCs w:val="24"/>
          <w:lang w:eastAsia="da-DK"/>
        </w:rPr>
        <w:t xml:space="preserve"> ikke </w:t>
      </w:r>
      <w:proofErr w:type="spellStart"/>
      <w:r w:rsidRPr="005C6F13">
        <w:rPr>
          <w:sz w:val="24"/>
          <w:szCs w:val="24"/>
          <w:lang w:eastAsia="da-DK"/>
        </w:rPr>
        <w:t>teratogent</w:t>
      </w:r>
      <w:proofErr w:type="spellEnd"/>
      <w:r w:rsidRPr="005C6F13">
        <w:rPr>
          <w:sz w:val="24"/>
          <w:szCs w:val="24"/>
          <w:lang w:eastAsia="da-DK"/>
        </w:rPr>
        <w:t>, men forårsagede en generel reduktion af</w:t>
      </w:r>
      <w:r>
        <w:rPr>
          <w:sz w:val="24"/>
          <w:szCs w:val="24"/>
          <w:lang w:eastAsia="da-DK"/>
        </w:rPr>
        <w:t xml:space="preserve"> </w:t>
      </w:r>
      <w:proofErr w:type="spellStart"/>
      <w:r w:rsidRPr="005C6F13">
        <w:rPr>
          <w:sz w:val="24"/>
          <w:szCs w:val="24"/>
          <w:lang w:eastAsia="da-DK"/>
        </w:rPr>
        <w:t>ossifikationsgraden</w:t>
      </w:r>
      <w:proofErr w:type="spellEnd"/>
      <w:r w:rsidRPr="005C6F13">
        <w:rPr>
          <w:sz w:val="24"/>
          <w:szCs w:val="24"/>
          <w:lang w:eastAsia="da-DK"/>
        </w:rPr>
        <w:t xml:space="preserve"> hos </w:t>
      </w:r>
      <w:proofErr w:type="gramStart"/>
      <w:r w:rsidRPr="005C6F13">
        <w:rPr>
          <w:sz w:val="24"/>
          <w:szCs w:val="24"/>
          <w:lang w:eastAsia="da-DK"/>
        </w:rPr>
        <w:t>rotte- og kaninfostre</w:t>
      </w:r>
      <w:proofErr w:type="gramEnd"/>
      <w:r w:rsidRPr="005C6F13">
        <w:rPr>
          <w:sz w:val="24"/>
          <w:szCs w:val="24"/>
          <w:lang w:eastAsia="da-DK"/>
        </w:rPr>
        <w:t xml:space="preserve"> med en unaturlig udvikling af </w:t>
      </w:r>
      <w:proofErr w:type="spellStart"/>
      <w:r w:rsidRPr="005C6F13">
        <w:rPr>
          <w:sz w:val="24"/>
          <w:szCs w:val="24"/>
          <w:lang w:eastAsia="da-DK"/>
        </w:rPr>
        <w:t>supra-occipitalknoglen</w:t>
      </w:r>
      <w:proofErr w:type="spellEnd"/>
      <w:r w:rsidRPr="005C6F13">
        <w:rPr>
          <w:sz w:val="24"/>
          <w:szCs w:val="24"/>
          <w:lang w:eastAsia="da-DK"/>
        </w:rPr>
        <w:t xml:space="preserve"> hos kaniner.</w:t>
      </w:r>
    </w:p>
    <w:p w:rsidR="006C2BEE" w:rsidRPr="005C6F13" w:rsidRDefault="006C2BEE" w:rsidP="006C2BEE">
      <w:pPr>
        <w:autoSpaceDE w:val="0"/>
        <w:autoSpaceDN w:val="0"/>
        <w:adjustRightInd w:val="0"/>
        <w:ind w:left="851"/>
        <w:rPr>
          <w:sz w:val="24"/>
          <w:szCs w:val="24"/>
          <w:lang w:eastAsia="da-DK"/>
        </w:rPr>
      </w:pPr>
      <w:r w:rsidRPr="005C6F13">
        <w:rPr>
          <w:sz w:val="24"/>
          <w:szCs w:val="24"/>
          <w:lang w:eastAsia="da-DK"/>
        </w:rPr>
        <w:t xml:space="preserve">Hvis </w:t>
      </w:r>
      <w:proofErr w:type="spellStart"/>
      <w:r w:rsidRPr="005C6F13">
        <w:rPr>
          <w:sz w:val="24"/>
          <w:szCs w:val="24"/>
          <w:lang w:eastAsia="da-DK"/>
        </w:rPr>
        <w:t>levosimendan</w:t>
      </w:r>
      <w:proofErr w:type="spellEnd"/>
      <w:r w:rsidRPr="005C6F13">
        <w:rPr>
          <w:sz w:val="24"/>
          <w:szCs w:val="24"/>
          <w:lang w:eastAsia="da-DK"/>
        </w:rPr>
        <w:t xml:space="preserve"> administreres til hunrotter før og tidligt i drægtighedsperioden reduceres fertilitet (nedsat antal corpus </w:t>
      </w:r>
      <w:proofErr w:type="spellStart"/>
      <w:r w:rsidRPr="005C6F13">
        <w:rPr>
          <w:sz w:val="24"/>
          <w:szCs w:val="24"/>
          <w:lang w:eastAsia="da-DK"/>
        </w:rPr>
        <w:t>lutea</w:t>
      </w:r>
      <w:proofErr w:type="spellEnd"/>
      <w:r w:rsidRPr="005C6F13">
        <w:rPr>
          <w:sz w:val="24"/>
          <w:szCs w:val="24"/>
          <w:lang w:eastAsia="da-DK"/>
        </w:rPr>
        <w:t xml:space="preserve"> og implantationer) og der viser sig udviklingstoksicitet (reducerer antallet af unger pr. kuld samt øget antal tidlige resorptioner og postimplantationsafstødninger). Virkningerne blev observeret ved kliniske eksponeringskoncentrationer.</w:t>
      </w:r>
    </w:p>
    <w:p w:rsidR="006C2BEE" w:rsidRPr="005C6F13" w:rsidRDefault="006C2BEE" w:rsidP="006C2BEE">
      <w:pPr>
        <w:numPr>
          <w:ilvl w:val="12"/>
          <w:numId w:val="0"/>
        </w:numPr>
        <w:ind w:left="851" w:right="11"/>
        <w:rPr>
          <w:sz w:val="24"/>
          <w:szCs w:val="24"/>
        </w:rPr>
      </w:pPr>
      <w:r w:rsidRPr="005C6F13">
        <w:rPr>
          <w:sz w:val="24"/>
          <w:szCs w:val="24"/>
          <w:lang w:eastAsia="da-DK"/>
        </w:rPr>
        <w:t xml:space="preserve">I dyrestudier blev </w:t>
      </w:r>
      <w:proofErr w:type="spellStart"/>
      <w:r w:rsidRPr="005C6F13">
        <w:rPr>
          <w:sz w:val="24"/>
          <w:szCs w:val="24"/>
          <w:lang w:eastAsia="da-DK"/>
        </w:rPr>
        <w:t>levosimendan</w:t>
      </w:r>
      <w:proofErr w:type="spellEnd"/>
      <w:r w:rsidRPr="005C6F13">
        <w:rPr>
          <w:sz w:val="24"/>
          <w:szCs w:val="24"/>
          <w:lang w:eastAsia="da-DK"/>
        </w:rPr>
        <w:t xml:space="preserve"> udskilt i modermælken.</w:t>
      </w:r>
    </w:p>
    <w:p w:rsidR="006C2BEE" w:rsidRPr="005C6F13" w:rsidRDefault="006C2BEE" w:rsidP="006C2BEE">
      <w:pPr>
        <w:ind w:left="851" w:hanging="851"/>
        <w:rPr>
          <w:sz w:val="24"/>
          <w:szCs w:val="24"/>
        </w:rPr>
      </w:pP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w:t>
      </w:r>
      <w:r w:rsidRPr="005C6F13">
        <w:rPr>
          <w:b/>
          <w:sz w:val="24"/>
          <w:szCs w:val="24"/>
        </w:rPr>
        <w:tab/>
        <w:t>FARMACEUTISKE OPLYSNINGER</w:t>
      </w:r>
    </w:p>
    <w:p w:rsidR="006C2BEE" w:rsidRPr="005C6F13" w:rsidRDefault="006C2BEE" w:rsidP="006C2BEE">
      <w:pPr>
        <w:ind w:left="851" w:hanging="851"/>
        <w:rPr>
          <w:b/>
          <w:sz w:val="24"/>
          <w:szCs w:val="24"/>
        </w:rPr>
      </w:pPr>
    </w:p>
    <w:p w:rsidR="006C2BEE" w:rsidRPr="005C6F13" w:rsidRDefault="006C2BEE" w:rsidP="006C2BEE">
      <w:pPr>
        <w:ind w:left="851" w:hanging="851"/>
        <w:rPr>
          <w:b/>
          <w:sz w:val="24"/>
          <w:szCs w:val="24"/>
        </w:rPr>
      </w:pPr>
      <w:r w:rsidRPr="005C6F13">
        <w:rPr>
          <w:b/>
          <w:sz w:val="24"/>
          <w:szCs w:val="24"/>
        </w:rPr>
        <w:t>6.1</w:t>
      </w:r>
      <w:r w:rsidRPr="005C6F13">
        <w:rPr>
          <w:b/>
          <w:sz w:val="24"/>
          <w:szCs w:val="24"/>
        </w:rPr>
        <w:tab/>
        <w:t>Hjælpestoffer</w:t>
      </w:r>
    </w:p>
    <w:p w:rsidR="006C2BEE" w:rsidRPr="005C6F13" w:rsidRDefault="006C2BEE" w:rsidP="006C2BEE">
      <w:pPr>
        <w:ind w:left="851" w:hanging="851"/>
        <w:rPr>
          <w:sz w:val="24"/>
          <w:szCs w:val="24"/>
        </w:rPr>
      </w:pPr>
      <w:r w:rsidRPr="005C6F13">
        <w:rPr>
          <w:sz w:val="24"/>
          <w:szCs w:val="24"/>
        </w:rPr>
        <w:tab/>
      </w:r>
      <w:proofErr w:type="spellStart"/>
      <w:r w:rsidRPr="005C6F13">
        <w:rPr>
          <w:sz w:val="24"/>
          <w:szCs w:val="24"/>
        </w:rPr>
        <w:t>Povidon</w:t>
      </w:r>
      <w:proofErr w:type="spellEnd"/>
      <w:r w:rsidRPr="005C6F13">
        <w:rPr>
          <w:sz w:val="24"/>
          <w:szCs w:val="24"/>
        </w:rPr>
        <w:t xml:space="preserve"> (</w:t>
      </w:r>
      <w:proofErr w:type="spellStart"/>
      <w:r w:rsidRPr="005C6F13">
        <w:rPr>
          <w:sz w:val="24"/>
          <w:szCs w:val="24"/>
        </w:rPr>
        <w:t>kollidon</w:t>
      </w:r>
      <w:proofErr w:type="spellEnd"/>
      <w:r w:rsidRPr="005C6F13">
        <w:rPr>
          <w:sz w:val="24"/>
          <w:szCs w:val="24"/>
        </w:rPr>
        <w:t xml:space="preserve"> PF12)</w:t>
      </w:r>
    </w:p>
    <w:p w:rsidR="006C2BEE" w:rsidRPr="005C6F13" w:rsidRDefault="006C2BEE" w:rsidP="006C2BEE">
      <w:pPr>
        <w:ind w:left="851"/>
        <w:rPr>
          <w:sz w:val="24"/>
          <w:szCs w:val="24"/>
        </w:rPr>
      </w:pPr>
      <w:r w:rsidRPr="005C6F13">
        <w:rPr>
          <w:sz w:val="24"/>
          <w:szCs w:val="24"/>
        </w:rPr>
        <w:t>Citronsyre</w:t>
      </w:r>
    </w:p>
    <w:p w:rsidR="006C2BEE" w:rsidRPr="005C6F13" w:rsidRDefault="006C2BEE" w:rsidP="006C2BEE">
      <w:pPr>
        <w:ind w:left="851"/>
        <w:rPr>
          <w:sz w:val="24"/>
          <w:szCs w:val="24"/>
        </w:rPr>
      </w:pPr>
      <w:proofErr w:type="spellStart"/>
      <w:r w:rsidRPr="005C6F13">
        <w:rPr>
          <w:sz w:val="24"/>
          <w:szCs w:val="24"/>
        </w:rPr>
        <w:t>Ethanol</w:t>
      </w:r>
      <w:proofErr w:type="spellEnd"/>
      <w:r w:rsidRPr="005C6F13">
        <w:rPr>
          <w:sz w:val="24"/>
          <w:szCs w:val="24"/>
        </w:rPr>
        <w:t>, vandfri</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6.2</w:t>
      </w:r>
      <w:r w:rsidRPr="005C6F13">
        <w:rPr>
          <w:b/>
          <w:sz w:val="24"/>
          <w:szCs w:val="24"/>
        </w:rPr>
        <w:tab/>
        <w:t>Uforligeligheder</w:t>
      </w:r>
    </w:p>
    <w:p w:rsidR="006C2BEE" w:rsidRPr="005C6F13" w:rsidRDefault="006C2BEE" w:rsidP="006C2BEE">
      <w:pPr>
        <w:ind w:left="851" w:hanging="851"/>
        <w:rPr>
          <w:sz w:val="24"/>
          <w:szCs w:val="24"/>
        </w:rPr>
      </w:pPr>
      <w:r w:rsidRPr="005C6F13">
        <w:rPr>
          <w:sz w:val="24"/>
          <w:szCs w:val="24"/>
        </w:rPr>
        <w:tab/>
        <w:t>Dette lægemiddel må ikke blandes med andre lægemidler end dem, der er anført under pkt. 6.6.</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6.3</w:t>
      </w:r>
      <w:r w:rsidRPr="005C6F13">
        <w:rPr>
          <w:b/>
          <w:sz w:val="24"/>
          <w:szCs w:val="24"/>
        </w:rPr>
        <w:tab/>
        <w:t>Opbevaringstid</w:t>
      </w:r>
    </w:p>
    <w:p w:rsidR="006C2BEE" w:rsidRDefault="006C2BEE" w:rsidP="006C2BEE">
      <w:pPr>
        <w:ind w:left="851" w:hanging="851"/>
        <w:rPr>
          <w:sz w:val="24"/>
          <w:szCs w:val="24"/>
        </w:rPr>
      </w:pPr>
      <w:r w:rsidRPr="005C6F13">
        <w:rPr>
          <w:sz w:val="24"/>
          <w:szCs w:val="24"/>
        </w:rPr>
        <w:tab/>
      </w:r>
      <w:r>
        <w:rPr>
          <w:sz w:val="24"/>
          <w:szCs w:val="24"/>
        </w:rPr>
        <w:t xml:space="preserve">Hætteglas med </w:t>
      </w:r>
      <w:proofErr w:type="spellStart"/>
      <w:r>
        <w:rPr>
          <w:sz w:val="24"/>
          <w:szCs w:val="24"/>
        </w:rPr>
        <w:t>chlorobutylgummiprop</w:t>
      </w:r>
      <w:proofErr w:type="spellEnd"/>
      <w:r>
        <w:rPr>
          <w:sz w:val="24"/>
          <w:szCs w:val="24"/>
        </w:rPr>
        <w:t xml:space="preserve">: </w:t>
      </w:r>
      <w:r w:rsidRPr="005C6F13">
        <w:rPr>
          <w:sz w:val="24"/>
          <w:szCs w:val="24"/>
        </w:rPr>
        <w:t>3 år.</w:t>
      </w:r>
    </w:p>
    <w:p w:rsidR="006C2BEE" w:rsidRPr="005C6F13" w:rsidRDefault="006C2BEE" w:rsidP="006C2BEE">
      <w:pPr>
        <w:ind w:left="851" w:hanging="851"/>
        <w:rPr>
          <w:sz w:val="24"/>
          <w:szCs w:val="24"/>
        </w:rPr>
      </w:pPr>
      <w:r>
        <w:rPr>
          <w:sz w:val="24"/>
          <w:szCs w:val="24"/>
        </w:rPr>
        <w:tab/>
        <w:t xml:space="preserve">Hætteglas med </w:t>
      </w:r>
      <w:proofErr w:type="spellStart"/>
      <w:r>
        <w:rPr>
          <w:sz w:val="24"/>
          <w:szCs w:val="24"/>
        </w:rPr>
        <w:t>bromobutylgummiprop</w:t>
      </w:r>
      <w:proofErr w:type="spellEnd"/>
      <w:r>
        <w:rPr>
          <w:sz w:val="24"/>
          <w:szCs w:val="24"/>
        </w:rPr>
        <w:t>: 2 år.</w:t>
      </w:r>
    </w:p>
    <w:p w:rsidR="006C2BEE" w:rsidRPr="005C6F13" w:rsidRDefault="006C2BEE" w:rsidP="006C2BEE">
      <w:pPr>
        <w:ind w:left="851" w:hanging="851"/>
        <w:rPr>
          <w:sz w:val="24"/>
          <w:szCs w:val="24"/>
        </w:rPr>
      </w:pPr>
    </w:p>
    <w:p w:rsidR="006C2BEE" w:rsidRPr="005C6F13" w:rsidRDefault="006C2BEE" w:rsidP="006C2BEE">
      <w:pPr>
        <w:ind w:left="851"/>
        <w:rPr>
          <w:i/>
          <w:sz w:val="24"/>
          <w:szCs w:val="24"/>
        </w:rPr>
      </w:pPr>
      <w:r w:rsidRPr="005C6F13">
        <w:rPr>
          <w:i/>
          <w:sz w:val="24"/>
          <w:szCs w:val="24"/>
        </w:rPr>
        <w:t>Efter fortynding</w:t>
      </w:r>
    </w:p>
    <w:p w:rsidR="006C2BEE" w:rsidRPr="005C6F13" w:rsidRDefault="006C2BEE" w:rsidP="006C2BEE">
      <w:pPr>
        <w:ind w:left="851"/>
        <w:rPr>
          <w:sz w:val="24"/>
          <w:szCs w:val="24"/>
        </w:rPr>
      </w:pPr>
      <w:r w:rsidRPr="005C6F13">
        <w:rPr>
          <w:sz w:val="24"/>
          <w:szCs w:val="24"/>
        </w:rPr>
        <w:t>Kemisk og fysisk stabilitet efter åbning er dokumenteret i 24 timer ved 25º C og i 24 timer ved 2º C til 8º C.</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sz w:val="24"/>
          <w:szCs w:val="24"/>
        </w:rPr>
        <w:t>Ud fra et mikrobiologisk synspunkt skal præparatet bruges med det samme, med mindre metoden for åbning/</w:t>
      </w:r>
      <w:proofErr w:type="spellStart"/>
      <w:r w:rsidRPr="005C6F13">
        <w:rPr>
          <w:sz w:val="24"/>
          <w:szCs w:val="24"/>
        </w:rPr>
        <w:t>rekonstitution</w:t>
      </w:r>
      <w:proofErr w:type="spellEnd"/>
      <w:r w:rsidRPr="005C6F13">
        <w:rPr>
          <w:sz w:val="24"/>
          <w:szCs w:val="24"/>
        </w:rPr>
        <w:t>/fortynding udelukker risiko for mikrobiologisk kontaminering. Hvis det ikke anvendes med det samme, er opbevaringstider og – betingelser på brugerens eget ansvar.</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6.4</w:t>
      </w:r>
      <w:r w:rsidRPr="005C6F13">
        <w:rPr>
          <w:b/>
          <w:sz w:val="24"/>
          <w:szCs w:val="24"/>
        </w:rPr>
        <w:tab/>
        <w:t>Særlige opbevaringsforhold</w:t>
      </w:r>
    </w:p>
    <w:p w:rsidR="006C2BEE" w:rsidRPr="005C6F13" w:rsidRDefault="006C2BEE" w:rsidP="006C2BEE">
      <w:pPr>
        <w:ind w:left="851" w:hanging="851"/>
        <w:rPr>
          <w:sz w:val="24"/>
          <w:szCs w:val="24"/>
        </w:rPr>
      </w:pPr>
      <w:r w:rsidRPr="005C6F13">
        <w:rPr>
          <w:sz w:val="24"/>
          <w:szCs w:val="24"/>
        </w:rPr>
        <w:tab/>
        <w:t>Opbevares i køleskabet (2 til 8º C). Må ikke nedfryses.</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sz w:val="24"/>
          <w:szCs w:val="24"/>
        </w:rPr>
        <w:lastRenderedPageBreak/>
        <w:t>Under opbevaringen kan farven på koncentrationen blive orange, men styrken er ikke reduceret og lægemidlet kan anvendes indtil den angivne udløbsdato, hvis opbevaringsbetingelserne overholdes.</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sz w:val="24"/>
          <w:szCs w:val="24"/>
        </w:rPr>
        <w:t>Opbevaringsbetingelser efter fortynding af lægemidlet, se punkt 6.3.</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6.5</w:t>
      </w:r>
      <w:r w:rsidRPr="005C6F13">
        <w:rPr>
          <w:b/>
          <w:sz w:val="24"/>
          <w:szCs w:val="24"/>
        </w:rPr>
        <w:tab/>
        <w:t>Emballagetype og pakningsstørrelser</w:t>
      </w:r>
    </w:p>
    <w:p w:rsidR="006C2BEE" w:rsidRPr="005C6F13" w:rsidRDefault="006C2BEE" w:rsidP="006C2BEE">
      <w:pPr>
        <w:pStyle w:val="Listeafsnit"/>
        <w:numPr>
          <w:ilvl w:val="0"/>
          <w:numId w:val="7"/>
        </w:numPr>
        <w:suppressAutoHyphens/>
        <w:ind w:left="1276" w:hanging="425"/>
        <w:rPr>
          <w:sz w:val="24"/>
          <w:szCs w:val="24"/>
        </w:rPr>
      </w:pPr>
      <w:r w:rsidRPr="005C6F13">
        <w:rPr>
          <w:sz w:val="24"/>
          <w:szCs w:val="24"/>
        </w:rPr>
        <w:t>5 ml hætteglas af type I glas</w:t>
      </w:r>
    </w:p>
    <w:p w:rsidR="006C2BEE" w:rsidRPr="005C6F13" w:rsidRDefault="006C2BEE" w:rsidP="006C2BEE">
      <w:pPr>
        <w:pStyle w:val="Listeafsnit"/>
        <w:numPr>
          <w:ilvl w:val="0"/>
          <w:numId w:val="7"/>
        </w:numPr>
        <w:suppressAutoHyphens/>
        <w:ind w:left="1276" w:hanging="425"/>
        <w:rPr>
          <w:sz w:val="24"/>
          <w:szCs w:val="24"/>
        </w:rPr>
      </w:pPr>
      <w:proofErr w:type="spellStart"/>
      <w:r w:rsidRPr="005C6F13">
        <w:rPr>
          <w:sz w:val="24"/>
          <w:szCs w:val="24"/>
        </w:rPr>
        <w:t>Fluoropolymer-ovetrukket</w:t>
      </w:r>
      <w:proofErr w:type="spellEnd"/>
      <w:r w:rsidRPr="005C6F13">
        <w:rPr>
          <w:sz w:val="24"/>
          <w:szCs w:val="24"/>
        </w:rPr>
        <w:t xml:space="preserve"> </w:t>
      </w:r>
      <w:proofErr w:type="spellStart"/>
      <w:r w:rsidRPr="005C6F13">
        <w:rPr>
          <w:sz w:val="24"/>
          <w:szCs w:val="24"/>
        </w:rPr>
        <w:t>chlorobutyl</w:t>
      </w:r>
      <w:proofErr w:type="spellEnd"/>
      <w:r w:rsidRPr="005C6F13">
        <w:rPr>
          <w:sz w:val="24"/>
          <w:szCs w:val="24"/>
        </w:rPr>
        <w:t xml:space="preserve"> </w:t>
      </w:r>
      <w:r>
        <w:rPr>
          <w:sz w:val="24"/>
          <w:szCs w:val="24"/>
        </w:rPr>
        <w:t xml:space="preserve">eller </w:t>
      </w:r>
      <w:proofErr w:type="spellStart"/>
      <w:r>
        <w:rPr>
          <w:sz w:val="24"/>
          <w:szCs w:val="24"/>
        </w:rPr>
        <w:t>bromobutyl</w:t>
      </w:r>
      <w:proofErr w:type="spellEnd"/>
      <w:r>
        <w:rPr>
          <w:sz w:val="24"/>
          <w:szCs w:val="24"/>
        </w:rPr>
        <w:t xml:space="preserve"> </w:t>
      </w:r>
      <w:r w:rsidRPr="005C6F13">
        <w:rPr>
          <w:sz w:val="24"/>
          <w:szCs w:val="24"/>
        </w:rPr>
        <w:t>gummiprop.</w:t>
      </w:r>
    </w:p>
    <w:p w:rsidR="006C2BEE" w:rsidRPr="005C6F13" w:rsidRDefault="006C2BEE" w:rsidP="006C2BEE">
      <w:pPr>
        <w:suppressAutoHyphens/>
        <w:ind w:left="851" w:hanging="851"/>
        <w:rPr>
          <w:sz w:val="24"/>
          <w:szCs w:val="24"/>
        </w:rPr>
      </w:pPr>
    </w:p>
    <w:p w:rsidR="006C2BEE" w:rsidRPr="005C6F13" w:rsidRDefault="006C2BEE" w:rsidP="006C2BEE">
      <w:pPr>
        <w:suppressAutoHyphens/>
        <w:ind w:left="851"/>
        <w:rPr>
          <w:i/>
          <w:sz w:val="24"/>
          <w:szCs w:val="24"/>
        </w:rPr>
      </w:pPr>
      <w:r w:rsidRPr="005C6F13">
        <w:rPr>
          <w:i/>
          <w:sz w:val="24"/>
          <w:szCs w:val="24"/>
        </w:rPr>
        <w:t>Pakningsstørrelser</w:t>
      </w:r>
    </w:p>
    <w:p w:rsidR="006C2BEE" w:rsidRDefault="006C2BEE" w:rsidP="006C2BEE">
      <w:pPr>
        <w:pStyle w:val="Listeafsnit"/>
        <w:numPr>
          <w:ilvl w:val="0"/>
          <w:numId w:val="8"/>
        </w:numPr>
        <w:suppressAutoHyphens/>
        <w:ind w:left="1276" w:hanging="425"/>
        <w:rPr>
          <w:sz w:val="24"/>
          <w:szCs w:val="24"/>
        </w:rPr>
      </w:pPr>
      <w:r w:rsidRPr="005C6F13">
        <w:rPr>
          <w:sz w:val="24"/>
          <w:szCs w:val="24"/>
        </w:rPr>
        <w:t>1, 4, 10 hætteglas med 5 ml</w:t>
      </w:r>
      <w:r>
        <w:rPr>
          <w:sz w:val="24"/>
          <w:szCs w:val="24"/>
        </w:rPr>
        <w:t xml:space="preserve"> med </w:t>
      </w:r>
      <w:proofErr w:type="spellStart"/>
      <w:r>
        <w:rPr>
          <w:sz w:val="24"/>
          <w:szCs w:val="24"/>
        </w:rPr>
        <w:t>chlorobutylgummiprop</w:t>
      </w:r>
      <w:proofErr w:type="spellEnd"/>
    </w:p>
    <w:p w:rsidR="006C2BEE" w:rsidRPr="005C6F13" w:rsidRDefault="006C2BEE" w:rsidP="006C2BEE">
      <w:pPr>
        <w:pStyle w:val="Listeafsnit"/>
        <w:numPr>
          <w:ilvl w:val="0"/>
          <w:numId w:val="8"/>
        </w:numPr>
        <w:suppressAutoHyphens/>
        <w:ind w:left="1276" w:hanging="425"/>
        <w:rPr>
          <w:sz w:val="24"/>
          <w:szCs w:val="24"/>
        </w:rPr>
      </w:pPr>
      <w:r>
        <w:rPr>
          <w:sz w:val="24"/>
          <w:szCs w:val="24"/>
        </w:rPr>
        <w:t xml:space="preserve">1, 4, 10 hætteglas med 5 ml med </w:t>
      </w:r>
      <w:proofErr w:type="spellStart"/>
      <w:r>
        <w:rPr>
          <w:sz w:val="24"/>
          <w:szCs w:val="24"/>
        </w:rPr>
        <w:t>bromobutylgummiprop</w:t>
      </w:r>
      <w:proofErr w:type="spellEnd"/>
    </w:p>
    <w:p w:rsidR="006C2BEE" w:rsidRPr="000B4F9F" w:rsidRDefault="006C2BEE" w:rsidP="006C2BEE">
      <w:pPr>
        <w:pStyle w:val="Listeafsnit"/>
        <w:suppressAutoHyphens/>
        <w:ind w:left="1276"/>
        <w:rPr>
          <w:sz w:val="24"/>
          <w:szCs w:val="24"/>
        </w:rPr>
      </w:pPr>
    </w:p>
    <w:p w:rsidR="006C2BEE" w:rsidRPr="005C6F13" w:rsidRDefault="006C2BEE" w:rsidP="006C2BEE">
      <w:pPr>
        <w:suppressAutoHyphens/>
        <w:ind w:left="851"/>
        <w:rPr>
          <w:sz w:val="24"/>
          <w:szCs w:val="24"/>
        </w:rPr>
      </w:pPr>
      <w:r w:rsidRPr="005C6F13">
        <w:rPr>
          <w:sz w:val="24"/>
          <w:szCs w:val="24"/>
        </w:rPr>
        <w:t xml:space="preserve">Ikke alle pakningsstørrelser er nødvendigvis markedsført. </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6.6</w:t>
      </w:r>
      <w:r w:rsidRPr="005C6F13">
        <w:rPr>
          <w:b/>
          <w:sz w:val="24"/>
          <w:szCs w:val="24"/>
        </w:rPr>
        <w:tab/>
        <w:t>Regler for</w:t>
      </w:r>
      <w:r w:rsidR="009F3408">
        <w:rPr>
          <w:b/>
          <w:sz w:val="24"/>
          <w:szCs w:val="24"/>
        </w:rPr>
        <w:t xml:space="preserve"> bortskaffelse</w:t>
      </w:r>
      <w:r w:rsidRPr="005C6F13">
        <w:rPr>
          <w:b/>
          <w:sz w:val="24"/>
          <w:szCs w:val="24"/>
        </w:rPr>
        <w:t xml:space="preserve"> og anden håndtering</w:t>
      </w:r>
    </w:p>
    <w:p w:rsidR="006C2BEE" w:rsidRPr="005C6F13" w:rsidRDefault="006C2BEE" w:rsidP="006C2BEE">
      <w:pPr>
        <w:ind w:left="851" w:hanging="851"/>
        <w:rPr>
          <w:sz w:val="24"/>
          <w:szCs w:val="24"/>
        </w:rPr>
      </w:pPr>
      <w:r w:rsidRPr="005C6F13">
        <w:rPr>
          <w:sz w:val="24"/>
          <w:szCs w:val="24"/>
        </w:rPr>
        <w:tab/>
      </w:r>
      <w:proofErr w:type="spellStart"/>
      <w:r w:rsidRPr="005C6F13">
        <w:rPr>
          <w:sz w:val="24"/>
          <w:szCs w:val="24"/>
        </w:rPr>
        <w:t>Simdax</w:t>
      </w:r>
      <w:proofErr w:type="spellEnd"/>
      <w:r w:rsidRPr="005C6F13">
        <w:rPr>
          <w:sz w:val="24"/>
          <w:szCs w:val="24"/>
        </w:rPr>
        <w:t xml:space="preserve"> 2,5 mg koncentrat til infusionsvæske, opløsning er kun beregnet til engangsbrug.</w:t>
      </w:r>
    </w:p>
    <w:p w:rsidR="006C2BEE" w:rsidRDefault="00B6763C" w:rsidP="006C2BEE">
      <w:pPr>
        <w:ind w:left="851" w:hanging="851"/>
        <w:rPr>
          <w:sz w:val="24"/>
          <w:szCs w:val="24"/>
        </w:rPr>
      </w:pPr>
      <w:r>
        <w:rPr>
          <w:sz w:val="24"/>
          <w:szCs w:val="24"/>
        </w:rPr>
        <w:tab/>
      </w:r>
    </w:p>
    <w:p w:rsidR="00B6763C" w:rsidRPr="00B6763C" w:rsidRDefault="00B6763C" w:rsidP="00B6763C">
      <w:pPr>
        <w:suppressAutoHyphens/>
        <w:ind w:left="851"/>
        <w:rPr>
          <w:noProof/>
          <w:sz w:val="24"/>
          <w:szCs w:val="24"/>
        </w:rPr>
      </w:pPr>
      <w:r>
        <w:rPr>
          <w:noProof/>
          <w:sz w:val="24"/>
          <w:szCs w:val="24"/>
        </w:rPr>
        <w:t>Simdax</w:t>
      </w:r>
      <w:r w:rsidRPr="005C6F13">
        <w:rPr>
          <w:noProof/>
          <w:sz w:val="24"/>
          <w:szCs w:val="24"/>
        </w:rPr>
        <w:t xml:space="preserve"> </w:t>
      </w:r>
      <w:r w:rsidRPr="00B6763C">
        <w:rPr>
          <w:noProof/>
          <w:sz w:val="24"/>
          <w:szCs w:val="24"/>
        </w:rPr>
        <w:t>2,5 mg/ml koncentrat til infusionsvæske, opløsning, bør ikke fortyndes til en koncentration, der er højere end 0,05 mg/ml som angivet nedenfor, da der ellers kan forekomme opalisering og udfældning.</w:t>
      </w:r>
    </w:p>
    <w:p w:rsidR="00B6763C" w:rsidRPr="005C6F13" w:rsidRDefault="00B6763C" w:rsidP="006C2BEE">
      <w:pPr>
        <w:ind w:left="851" w:hanging="851"/>
        <w:rPr>
          <w:sz w:val="24"/>
          <w:szCs w:val="24"/>
        </w:rPr>
      </w:pPr>
    </w:p>
    <w:p w:rsidR="006C2BEE" w:rsidRPr="005C6F13" w:rsidRDefault="006C2BEE" w:rsidP="006C2BEE">
      <w:pPr>
        <w:suppressAutoHyphens/>
        <w:ind w:left="851"/>
        <w:rPr>
          <w:noProof/>
          <w:sz w:val="24"/>
          <w:szCs w:val="24"/>
        </w:rPr>
      </w:pPr>
      <w:r w:rsidRPr="005C6F13">
        <w:rPr>
          <w:noProof/>
          <w:sz w:val="24"/>
          <w:szCs w:val="24"/>
        </w:rPr>
        <w:t xml:space="preserve">Som for alle parenterale lægemidler, inspiceres den fortyndede opløsning visuelt for partikler og misfarvning før administrationen. </w:t>
      </w:r>
    </w:p>
    <w:p w:rsidR="006C2BEE" w:rsidRPr="005C6F13" w:rsidRDefault="006C2BEE" w:rsidP="006C2BEE">
      <w:pPr>
        <w:suppressAutoHyphens/>
        <w:ind w:left="851" w:hanging="851"/>
        <w:rPr>
          <w:noProof/>
          <w:sz w:val="24"/>
          <w:szCs w:val="24"/>
        </w:rPr>
      </w:pPr>
    </w:p>
    <w:p w:rsidR="006C2BEE" w:rsidRPr="005C6F13" w:rsidRDefault="006C2BEE" w:rsidP="006C2BEE">
      <w:pPr>
        <w:suppressAutoHyphens/>
        <w:ind w:left="851"/>
        <w:rPr>
          <w:noProof/>
          <w:sz w:val="24"/>
          <w:szCs w:val="24"/>
        </w:rPr>
      </w:pPr>
      <w:r w:rsidRPr="005C6F13">
        <w:rPr>
          <w:noProof/>
          <w:sz w:val="24"/>
          <w:szCs w:val="24"/>
        </w:rPr>
        <w:t>For at tilberede en 0,025 mg/ml infusion, blandes 5 ml Simdax koncentrat</w:t>
      </w:r>
      <w:r w:rsidRPr="005C6F13">
        <w:rPr>
          <w:sz w:val="24"/>
          <w:szCs w:val="24"/>
        </w:rPr>
        <w:t xml:space="preserve"> </w:t>
      </w:r>
      <w:r w:rsidRPr="005C6F13">
        <w:rPr>
          <w:noProof/>
          <w:sz w:val="24"/>
          <w:szCs w:val="24"/>
        </w:rPr>
        <w:t>til infusionsvæsk</w:t>
      </w:r>
      <w:r>
        <w:rPr>
          <w:noProof/>
          <w:sz w:val="24"/>
          <w:szCs w:val="24"/>
        </w:rPr>
        <w:t>e, opløsning med 500 ml 5 % gluc</w:t>
      </w:r>
      <w:r w:rsidRPr="005C6F13">
        <w:rPr>
          <w:noProof/>
          <w:sz w:val="24"/>
          <w:szCs w:val="24"/>
        </w:rPr>
        <w:t xml:space="preserve">oseopløsning. </w:t>
      </w:r>
    </w:p>
    <w:p w:rsidR="006C2BEE" w:rsidRPr="005C6F13" w:rsidRDefault="006C2BEE" w:rsidP="006C2BEE">
      <w:pPr>
        <w:suppressAutoHyphens/>
        <w:ind w:left="851"/>
        <w:rPr>
          <w:noProof/>
          <w:sz w:val="24"/>
          <w:szCs w:val="24"/>
        </w:rPr>
      </w:pPr>
      <w:r w:rsidRPr="005C6F13">
        <w:rPr>
          <w:noProof/>
          <w:sz w:val="24"/>
          <w:szCs w:val="24"/>
        </w:rPr>
        <w:t>For at tilberede en 0,05 mg/ml infusion, blandes 10 ml Simdax koncentrat til infusionsvæske, opløsning med 500 ml 5 % glu</w:t>
      </w:r>
      <w:r>
        <w:rPr>
          <w:noProof/>
          <w:sz w:val="24"/>
          <w:szCs w:val="24"/>
        </w:rPr>
        <w:t>c</w:t>
      </w:r>
      <w:r w:rsidRPr="005C6F13">
        <w:rPr>
          <w:noProof/>
          <w:sz w:val="24"/>
          <w:szCs w:val="24"/>
        </w:rPr>
        <w:t xml:space="preserve">oseopløsning. </w:t>
      </w:r>
    </w:p>
    <w:p w:rsidR="006C2BEE" w:rsidRPr="005C6F13" w:rsidRDefault="006C2BEE" w:rsidP="006C2BEE">
      <w:pPr>
        <w:suppressAutoHyphens/>
        <w:ind w:left="851" w:hanging="851"/>
        <w:rPr>
          <w:noProof/>
          <w:sz w:val="24"/>
          <w:szCs w:val="24"/>
        </w:rPr>
      </w:pPr>
    </w:p>
    <w:p w:rsidR="006C2BEE" w:rsidRPr="005C6F13" w:rsidRDefault="006C2BEE" w:rsidP="006C2BEE">
      <w:pPr>
        <w:suppressAutoHyphens/>
        <w:ind w:left="851"/>
        <w:rPr>
          <w:noProof/>
          <w:sz w:val="24"/>
          <w:szCs w:val="24"/>
        </w:rPr>
      </w:pPr>
      <w:r w:rsidRPr="005C6F13">
        <w:rPr>
          <w:noProof/>
          <w:sz w:val="24"/>
          <w:szCs w:val="24"/>
        </w:rPr>
        <w:t>Simdax er vist at være forligeligt med 5%-glucoseopløsninger i en række glas-, PVC-, PE-, PP- og PE/PP-copolymer beholdere i 24timer enten i køleskab eller ved omgivelsestemperatur. Forligelighed med forskellige typer af PVC- og non-PVC i.v-infusionsposer og slangesæt er også vist. Det er ikke nødvendigt at beskytte det fortyndede lægemiddel mod lys.</w:t>
      </w:r>
    </w:p>
    <w:p w:rsidR="006C2BEE" w:rsidRPr="005C6F13" w:rsidRDefault="006C2BEE" w:rsidP="006C2BEE">
      <w:pPr>
        <w:suppressAutoHyphens/>
        <w:ind w:left="851" w:hanging="851"/>
        <w:rPr>
          <w:noProof/>
          <w:sz w:val="24"/>
          <w:szCs w:val="24"/>
        </w:rPr>
      </w:pPr>
    </w:p>
    <w:p w:rsidR="006C2BEE" w:rsidRPr="005C6F13" w:rsidRDefault="006C2BEE" w:rsidP="006C2BEE">
      <w:pPr>
        <w:suppressAutoHyphens/>
        <w:ind w:left="851"/>
        <w:rPr>
          <w:noProof/>
          <w:sz w:val="24"/>
          <w:szCs w:val="24"/>
        </w:rPr>
      </w:pPr>
      <w:r w:rsidRPr="005C6F13">
        <w:rPr>
          <w:noProof/>
          <w:sz w:val="24"/>
          <w:szCs w:val="24"/>
        </w:rPr>
        <w:t>Simdax er vist at være forligeligt med følgende lægemiddelkoncentrationer ved samtidig administration via koblede infusionsslanger.</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Furosemid 1 mg/ml og 10 mg/ml</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Digoxin 0,25 mg/l</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Glyceroltrinitrat 0,1 mg/ml</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Dopamin 2 mg/ml</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Dobutamin 5 mg/ml</w:t>
      </w:r>
    </w:p>
    <w:p w:rsidR="006C2BEE" w:rsidRPr="005C6F13" w:rsidRDefault="006C2BEE" w:rsidP="006C2BEE">
      <w:pPr>
        <w:pStyle w:val="Listeafsnit"/>
        <w:numPr>
          <w:ilvl w:val="0"/>
          <w:numId w:val="9"/>
        </w:numPr>
        <w:suppressAutoHyphens/>
        <w:ind w:left="1276" w:hanging="425"/>
        <w:rPr>
          <w:noProof/>
          <w:sz w:val="24"/>
          <w:szCs w:val="24"/>
        </w:rPr>
      </w:pPr>
      <w:r w:rsidRPr="005C6F13">
        <w:rPr>
          <w:noProof/>
          <w:sz w:val="24"/>
          <w:szCs w:val="24"/>
        </w:rPr>
        <w:t>Milrinon 0,4 mg/ml</w:t>
      </w:r>
    </w:p>
    <w:p w:rsidR="006C2BEE" w:rsidRPr="005C6F13" w:rsidRDefault="006C2BEE" w:rsidP="006C2BEE">
      <w:pPr>
        <w:ind w:left="851" w:hanging="851"/>
        <w:rPr>
          <w:sz w:val="24"/>
          <w:szCs w:val="24"/>
        </w:rPr>
      </w:pPr>
    </w:p>
    <w:p w:rsidR="006C2BEE" w:rsidRPr="005C6F13" w:rsidRDefault="006C2BEE" w:rsidP="006C2BEE">
      <w:pPr>
        <w:ind w:left="851"/>
        <w:rPr>
          <w:sz w:val="24"/>
          <w:szCs w:val="24"/>
        </w:rPr>
      </w:pPr>
      <w:r w:rsidRPr="005C6F13">
        <w:rPr>
          <w:sz w:val="24"/>
          <w:szCs w:val="24"/>
        </w:rPr>
        <w:t>Ikke anvendt lægemiddel samt affald heraf skal bortskaffes i henhold til lokale retningslinjer.</w:t>
      </w:r>
    </w:p>
    <w:p w:rsidR="006C2BEE" w:rsidRDefault="006C2BEE" w:rsidP="006C2BEE">
      <w:pPr>
        <w:ind w:left="851" w:hanging="851"/>
        <w:jc w:val="both"/>
        <w:rPr>
          <w:sz w:val="24"/>
          <w:szCs w:val="24"/>
        </w:rPr>
      </w:pPr>
    </w:p>
    <w:p w:rsidR="009F3408" w:rsidRDefault="009F3408" w:rsidP="006C2BEE">
      <w:pPr>
        <w:ind w:left="851" w:hanging="851"/>
        <w:jc w:val="both"/>
        <w:rPr>
          <w:sz w:val="24"/>
          <w:szCs w:val="24"/>
        </w:rPr>
      </w:pPr>
    </w:p>
    <w:p w:rsidR="009F3408" w:rsidRPr="005C6F13" w:rsidRDefault="009F3408" w:rsidP="006C2BEE">
      <w:pPr>
        <w:ind w:left="851" w:hanging="851"/>
        <w:jc w:val="both"/>
        <w:rPr>
          <w:sz w:val="24"/>
          <w:szCs w:val="24"/>
        </w:rPr>
      </w:pPr>
    </w:p>
    <w:p w:rsidR="006C2BEE" w:rsidRPr="005C6F13" w:rsidRDefault="006C2BEE" w:rsidP="006C2BEE">
      <w:pPr>
        <w:ind w:left="851" w:hanging="851"/>
        <w:rPr>
          <w:b/>
          <w:sz w:val="24"/>
          <w:szCs w:val="24"/>
        </w:rPr>
      </w:pPr>
      <w:r w:rsidRPr="005C6F13">
        <w:rPr>
          <w:b/>
          <w:sz w:val="24"/>
          <w:szCs w:val="24"/>
        </w:rPr>
        <w:lastRenderedPageBreak/>
        <w:t>7.</w:t>
      </w:r>
      <w:r w:rsidRPr="005C6F13">
        <w:rPr>
          <w:b/>
          <w:sz w:val="24"/>
          <w:szCs w:val="24"/>
        </w:rPr>
        <w:tab/>
        <w:t>INDEHAVER AF MARKEDSFØRINGSTILLADELSEN</w:t>
      </w:r>
    </w:p>
    <w:p w:rsidR="006C2BEE" w:rsidRPr="005C6F13" w:rsidRDefault="006C2BEE" w:rsidP="006C2BEE">
      <w:pPr>
        <w:ind w:left="851" w:hanging="851"/>
        <w:rPr>
          <w:spacing w:val="-3"/>
          <w:sz w:val="24"/>
          <w:szCs w:val="24"/>
        </w:rPr>
      </w:pPr>
      <w:r w:rsidRPr="005C6F13">
        <w:rPr>
          <w:sz w:val="24"/>
          <w:szCs w:val="24"/>
        </w:rPr>
        <w:tab/>
      </w:r>
      <w:r w:rsidRPr="005C6F13">
        <w:rPr>
          <w:spacing w:val="-3"/>
          <w:sz w:val="24"/>
          <w:szCs w:val="24"/>
        </w:rPr>
        <w:t>Orion Corporation</w:t>
      </w:r>
    </w:p>
    <w:p w:rsidR="006C2BEE" w:rsidRPr="005C6F13" w:rsidRDefault="006C2BEE" w:rsidP="006C2BEE">
      <w:pPr>
        <w:ind w:left="851"/>
        <w:rPr>
          <w:spacing w:val="-3"/>
          <w:sz w:val="24"/>
          <w:szCs w:val="24"/>
        </w:rPr>
      </w:pPr>
      <w:proofErr w:type="spellStart"/>
      <w:r w:rsidRPr="005C6F13">
        <w:rPr>
          <w:spacing w:val="-3"/>
          <w:sz w:val="24"/>
          <w:szCs w:val="24"/>
        </w:rPr>
        <w:t>Orionintie</w:t>
      </w:r>
      <w:proofErr w:type="spellEnd"/>
      <w:r w:rsidRPr="005C6F13">
        <w:rPr>
          <w:spacing w:val="-3"/>
          <w:sz w:val="24"/>
          <w:szCs w:val="24"/>
        </w:rPr>
        <w:t xml:space="preserve"> 1</w:t>
      </w:r>
    </w:p>
    <w:p w:rsidR="006C2BEE" w:rsidRPr="007558D8" w:rsidRDefault="006C2BEE" w:rsidP="006C2BEE">
      <w:pPr>
        <w:ind w:left="851"/>
        <w:rPr>
          <w:spacing w:val="-3"/>
          <w:sz w:val="24"/>
          <w:szCs w:val="24"/>
          <w:lang w:val="en-US"/>
        </w:rPr>
      </w:pPr>
      <w:r w:rsidRPr="007558D8">
        <w:rPr>
          <w:spacing w:val="-3"/>
          <w:sz w:val="24"/>
          <w:szCs w:val="24"/>
          <w:lang w:val="en-US"/>
        </w:rPr>
        <w:t>FI-02200 Espoo</w:t>
      </w:r>
    </w:p>
    <w:p w:rsidR="006C2BEE" w:rsidRPr="007558D8" w:rsidRDefault="006C2BEE" w:rsidP="006C2BEE">
      <w:pPr>
        <w:ind w:left="851"/>
        <w:rPr>
          <w:spacing w:val="-3"/>
          <w:sz w:val="24"/>
          <w:szCs w:val="24"/>
          <w:lang w:val="en-US"/>
        </w:rPr>
      </w:pPr>
      <w:r w:rsidRPr="007558D8">
        <w:rPr>
          <w:spacing w:val="-3"/>
          <w:sz w:val="24"/>
          <w:szCs w:val="24"/>
          <w:lang w:val="en-US"/>
        </w:rPr>
        <w:t xml:space="preserve">Finland </w:t>
      </w:r>
    </w:p>
    <w:p w:rsidR="006C2BEE" w:rsidRPr="007558D8" w:rsidRDefault="006C2BEE" w:rsidP="00B6763C">
      <w:pPr>
        <w:rPr>
          <w:sz w:val="24"/>
          <w:szCs w:val="24"/>
          <w:highlight w:val="yellow"/>
          <w:lang w:val="en-US"/>
        </w:rPr>
      </w:pPr>
    </w:p>
    <w:p w:rsidR="006C2BEE" w:rsidRPr="008441EE" w:rsidRDefault="006C2BEE" w:rsidP="006C2BEE">
      <w:pPr>
        <w:ind w:left="851"/>
        <w:rPr>
          <w:b/>
          <w:sz w:val="24"/>
          <w:szCs w:val="24"/>
          <w:lang w:val="en-US"/>
        </w:rPr>
      </w:pPr>
      <w:proofErr w:type="spellStart"/>
      <w:r w:rsidRPr="008441EE">
        <w:rPr>
          <w:b/>
          <w:sz w:val="24"/>
          <w:szCs w:val="24"/>
          <w:lang w:val="en-US"/>
        </w:rPr>
        <w:t>Repræsentant</w:t>
      </w:r>
      <w:proofErr w:type="spellEnd"/>
    </w:p>
    <w:p w:rsidR="006C2BEE" w:rsidRPr="002259DE" w:rsidRDefault="006C2BEE" w:rsidP="006C2BEE">
      <w:pPr>
        <w:ind w:left="851"/>
        <w:rPr>
          <w:rFonts w:eastAsia="MS Mincho"/>
          <w:iCs/>
          <w:sz w:val="24"/>
          <w:szCs w:val="24"/>
          <w:lang w:val="en-US"/>
        </w:rPr>
      </w:pPr>
      <w:r w:rsidRPr="002259DE">
        <w:rPr>
          <w:rFonts w:eastAsia="MS Mincho"/>
          <w:iCs/>
          <w:sz w:val="24"/>
          <w:szCs w:val="24"/>
          <w:lang w:val="en-US"/>
        </w:rPr>
        <w:t>Orion Pharma A/S</w:t>
      </w:r>
    </w:p>
    <w:p w:rsidR="006C2BEE" w:rsidRPr="00490DDA" w:rsidRDefault="006C2BEE" w:rsidP="006C2BEE">
      <w:pPr>
        <w:ind w:left="851"/>
        <w:rPr>
          <w:rFonts w:eastAsia="MS Mincho"/>
          <w:iCs/>
          <w:sz w:val="24"/>
          <w:szCs w:val="24"/>
        </w:rPr>
      </w:pPr>
      <w:r w:rsidRPr="00490DDA">
        <w:rPr>
          <w:rFonts w:eastAsia="MS Mincho"/>
          <w:iCs/>
          <w:sz w:val="24"/>
          <w:szCs w:val="24"/>
        </w:rPr>
        <w:t>Ørestads Boulevard 73</w:t>
      </w:r>
    </w:p>
    <w:p w:rsidR="006C2BEE" w:rsidRPr="00307D87" w:rsidRDefault="006C2BEE" w:rsidP="006C2BEE">
      <w:pPr>
        <w:ind w:left="851"/>
        <w:rPr>
          <w:rFonts w:eastAsia="MS Mincho"/>
          <w:iCs/>
          <w:sz w:val="24"/>
          <w:szCs w:val="24"/>
        </w:rPr>
      </w:pPr>
      <w:r>
        <w:rPr>
          <w:rFonts w:eastAsia="MS Mincho"/>
          <w:iCs/>
          <w:sz w:val="24"/>
          <w:szCs w:val="24"/>
        </w:rPr>
        <w:t>2300 København S</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8.</w:t>
      </w:r>
      <w:r w:rsidRPr="005C6F13">
        <w:rPr>
          <w:b/>
          <w:sz w:val="24"/>
          <w:szCs w:val="24"/>
        </w:rPr>
        <w:tab/>
        <w:t>MARKEDSFØRINGSTILLADELSESNUMMER (</w:t>
      </w:r>
      <w:r w:rsidR="009F3408">
        <w:rPr>
          <w:b/>
          <w:sz w:val="24"/>
          <w:szCs w:val="24"/>
        </w:rPr>
        <w:t>-</w:t>
      </w:r>
      <w:bookmarkStart w:id="0" w:name="_GoBack"/>
      <w:bookmarkEnd w:id="0"/>
      <w:r w:rsidRPr="005C6F13">
        <w:rPr>
          <w:b/>
          <w:sz w:val="24"/>
          <w:szCs w:val="24"/>
        </w:rPr>
        <w:t>NUMRE)</w:t>
      </w:r>
    </w:p>
    <w:p w:rsidR="006C2BEE" w:rsidRPr="005C6F13" w:rsidRDefault="006C2BEE" w:rsidP="006C2BEE">
      <w:pPr>
        <w:ind w:left="851" w:hanging="851"/>
        <w:rPr>
          <w:sz w:val="24"/>
          <w:szCs w:val="24"/>
        </w:rPr>
      </w:pPr>
      <w:r w:rsidRPr="005C6F13">
        <w:rPr>
          <w:sz w:val="24"/>
          <w:szCs w:val="24"/>
        </w:rPr>
        <w:tab/>
        <w:t>54679</w:t>
      </w:r>
    </w:p>
    <w:p w:rsidR="006C2BEE" w:rsidRPr="005C6F13" w:rsidRDefault="006C2BEE" w:rsidP="006C2BEE">
      <w:pPr>
        <w:ind w:left="851" w:hanging="851"/>
        <w:jc w:val="both"/>
        <w:rPr>
          <w:sz w:val="24"/>
          <w:szCs w:val="24"/>
        </w:rPr>
      </w:pPr>
    </w:p>
    <w:p w:rsidR="006C2BEE" w:rsidRPr="005C6F13" w:rsidRDefault="006C2BEE" w:rsidP="006C2BEE">
      <w:pPr>
        <w:ind w:left="851" w:hanging="851"/>
        <w:rPr>
          <w:b/>
          <w:sz w:val="24"/>
          <w:szCs w:val="24"/>
        </w:rPr>
      </w:pPr>
      <w:r w:rsidRPr="005C6F13">
        <w:rPr>
          <w:b/>
          <w:sz w:val="24"/>
          <w:szCs w:val="24"/>
        </w:rPr>
        <w:t>9.</w:t>
      </w:r>
      <w:r w:rsidRPr="005C6F13">
        <w:rPr>
          <w:b/>
          <w:sz w:val="24"/>
          <w:szCs w:val="24"/>
        </w:rPr>
        <w:tab/>
        <w:t>DATO FOR FØRSTE MARKEDSFØRINGSTILLADELSE</w:t>
      </w:r>
    </w:p>
    <w:p w:rsidR="006C2BEE" w:rsidRPr="005C6F13" w:rsidRDefault="006C2BEE" w:rsidP="006C2BEE">
      <w:pPr>
        <w:ind w:left="851" w:hanging="851"/>
        <w:rPr>
          <w:sz w:val="24"/>
          <w:szCs w:val="24"/>
        </w:rPr>
      </w:pPr>
      <w:r w:rsidRPr="005C6F13">
        <w:rPr>
          <w:sz w:val="24"/>
          <w:szCs w:val="24"/>
        </w:rPr>
        <w:tab/>
        <w:t>8. april 2015</w:t>
      </w:r>
    </w:p>
    <w:p w:rsidR="006C2BEE" w:rsidRPr="005C6F13" w:rsidRDefault="006C2BEE" w:rsidP="006C2BEE">
      <w:pPr>
        <w:ind w:left="851" w:hanging="851"/>
        <w:rPr>
          <w:sz w:val="24"/>
          <w:szCs w:val="24"/>
        </w:rPr>
      </w:pPr>
    </w:p>
    <w:p w:rsidR="006C2BEE" w:rsidRPr="005C6F13" w:rsidRDefault="006C2BEE" w:rsidP="006C2BEE">
      <w:pPr>
        <w:ind w:left="851" w:hanging="851"/>
        <w:rPr>
          <w:b/>
          <w:sz w:val="24"/>
          <w:szCs w:val="24"/>
        </w:rPr>
      </w:pPr>
      <w:r w:rsidRPr="005C6F13">
        <w:rPr>
          <w:b/>
          <w:sz w:val="24"/>
          <w:szCs w:val="24"/>
        </w:rPr>
        <w:t>10.</w:t>
      </w:r>
      <w:r w:rsidRPr="005C6F13">
        <w:rPr>
          <w:b/>
          <w:sz w:val="24"/>
          <w:szCs w:val="24"/>
        </w:rPr>
        <w:tab/>
        <w:t>DATO FOR ÆNDRING AF TEKSTEN</w:t>
      </w:r>
    </w:p>
    <w:p w:rsidR="006C2BEE" w:rsidRPr="00070652" w:rsidRDefault="006C2BEE" w:rsidP="006C2BEE">
      <w:pPr>
        <w:ind w:left="851" w:hanging="851"/>
        <w:rPr>
          <w:sz w:val="24"/>
          <w:szCs w:val="24"/>
        </w:rPr>
      </w:pPr>
      <w:r w:rsidRPr="00070652">
        <w:rPr>
          <w:sz w:val="24"/>
          <w:szCs w:val="24"/>
        </w:rPr>
        <w:tab/>
      </w:r>
      <w:r w:rsidR="009F3408">
        <w:rPr>
          <w:sz w:val="24"/>
          <w:szCs w:val="24"/>
        </w:rPr>
        <w:t>28</w:t>
      </w:r>
      <w:r w:rsidR="00B6763C">
        <w:rPr>
          <w:sz w:val="24"/>
          <w:szCs w:val="24"/>
        </w:rPr>
        <w:t xml:space="preserve">. </w:t>
      </w:r>
      <w:r w:rsidR="009F3408">
        <w:rPr>
          <w:sz w:val="24"/>
          <w:szCs w:val="24"/>
        </w:rPr>
        <w:t>november</w:t>
      </w:r>
      <w:r w:rsidR="00B6763C">
        <w:rPr>
          <w:sz w:val="24"/>
          <w:szCs w:val="24"/>
        </w:rPr>
        <w:t xml:space="preserve"> 202</w:t>
      </w:r>
      <w:r w:rsidR="009F3408">
        <w:rPr>
          <w:sz w:val="24"/>
          <w:szCs w:val="24"/>
        </w:rPr>
        <w:t>3</w:t>
      </w:r>
    </w:p>
    <w:p w:rsidR="006C2BEE" w:rsidRPr="005C6F13" w:rsidRDefault="006C2BEE" w:rsidP="006C2BEE">
      <w:pPr>
        <w:ind w:left="851" w:hanging="851"/>
        <w:rPr>
          <w:sz w:val="24"/>
          <w:szCs w:val="24"/>
        </w:rPr>
      </w:pPr>
    </w:p>
    <w:p w:rsidR="006C2BEE" w:rsidRPr="000450FA" w:rsidRDefault="006C2BEE" w:rsidP="006C2BEE"/>
    <w:p w:rsidR="006C2BEE" w:rsidRPr="00175A2D" w:rsidRDefault="006C2BEE" w:rsidP="006C2BEE"/>
    <w:p w:rsidR="009260DE" w:rsidRPr="006C2BEE" w:rsidRDefault="009260DE" w:rsidP="006C2BEE"/>
    <w:sectPr w:rsidR="009260DE" w:rsidRPr="006C2BE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408" w:rsidRDefault="009F3408">
      <w:r>
        <w:separator/>
      </w:r>
    </w:p>
  </w:endnote>
  <w:endnote w:type="continuationSeparator" w:id="0">
    <w:p w:rsidR="009F3408" w:rsidRDefault="009F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08" w:rsidRDefault="009F3408">
    <w:pPr>
      <w:pStyle w:val="Sidefod"/>
      <w:pBdr>
        <w:bottom w:val="single" w:sz="6" w:space="1" w:color="auto"/>
      </w:pBdr>
    </w:pPr>
  </w:p>
  <w:p w:rsidR="009F3408" w:rsidRDefault="009F3408" w:rsidP="00C42586">
    <w:pPr>
      <w:pStyle w:val="Sidefod"/>
      <w:tabs>
        <w:tab w:val="clear" w:pos="4819"/>
        <w:tab w:val="left" w:pos="8505"/>
      </w:tabs>
      <w:rPr>
        <w:i/>
        <w:sz w:val="18"/>
        <w:szCs w:val="18"/>
      </w:rPr>
    </w:pPr>
  </w:p>
  <w:p w:rsidR="009F3408" w:rsidRDefault="009F3408" w:rsidP="00C42586">
    <w:pPr>
      <w:pStyle w:val="Sidefod"/>
      <w:tabs>
        <w:tab w:val="clear" w:pos="4819"/>
        <w:tab w:val="left" w:pos="8505"/>
      </w:tabs>
      <w:rPr>
        <w:i/>
        <w:sz w:val="18"/>
        <w:szCs w:val="18"/>
      </w:rPr>
    </w:pPr>
    <w:proofErr w:type="spellStart"/>
    <w:r w:rsidRPr="007B7698">
      <w:rPr>
        <w:i/>
        <w:sz w:val="18"/>
        <w:szCs w:val="18"/>
      </w:rPr>
      <w:t>Simdax</w:t>
    </w:r>
    <w:proofErr w:type="spellEnd"/>
    <w:r w:rsidRPr="007B7698">
      <w:rPr>
        <w:i/>
        <w:sz w:val="18"/>
        <w:szCs w:val="18"/>
      </w:rPr>
      <w:t>, koncentrat til infusionsvæske, opløsning 2,5 mg-ml</w:t>
    </w:r>
  </w:p>
  <w:p w:rsidR="009F3408" w:rsidRPr="00B373D7" w:rsidRDefault="009F3408" w:rsidP="00C42586">
    <w:pPr>
      <w:pStyle w:val="Sidefod"/>
      <w:tabs>
        <w:tab w:val="clear" w:pos="4819"/>
        <w:tab w:val="left" w:pos="8505"/>
      </w:tabs>
      <w:rPr>
        <w:i/>
        <w:sz w:val="18"/>
        <w:szCs w:val="18"/>
      </w:rPr>
    </w:pP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408" w:rsidRDefault="009F3408">
      <w:r>
        <w:separator/>
      </w:r>
    </w:p>
  </w:footnote>
  <w:footnote w:type="continuationSeparator" w:id="0">
    <w:p w:rsidR="009F3408" w:rsidRDefault="009F3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4DF"/>
    <w:multiLevelType w:val="hybridMultilevel"/>
    <w:tmpl w:val="727A24E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C42A7A"/>
    <w:multiLevelType w:val="hybridMultilevel"/>
    <w:tmpl w:val="795E95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561"/>
    <w:multiLevelType w:val="hybridMultilevel"/>
    <w:tmpl w:val="00F28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95D5933"/>
    <w:multiLevelType w:val="hybridMultilevel"/>
    <w:tmpl w:val="606216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EE"/>
    <w:rsid w:val="000259B9"/>
    <w:rsid w:val="00041491"/>
    <w:rsid w:val="00050D16"/>
    <w:rsid w:val="00074F2A"/>
    <w:rsid w:val="000A1CA8"/>
    <w:rsid w:val="000A466B"/>
    <w:rsid w:val="000B058C"/>
    <w:rsid w:val="000E31CF"/>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C2BEE"/>
    <w:rsid w:val="00737275"/>
    <w:rsid w:val="00740EEC"/>
    <w:rsid w:val="0078011A"/>
    <w:rsid w:val="00782AF4"/>
    <w:rsid w:val="00790EE7"/>
    <w:rsid w:val="007B6649"/>
    <w:rsid w:val="007B7698"/>
    <w:rsid w:val="0081546F"/>
    <w:rsid w:val="008162AE"/>
    <w:rsid w:val="0082576E"/>
    <w:rsid w:val="00907F75"/>
    <w:rsid w:val="009260DE"/>
    <w:rsid w:val="0093258A"/>
    <w:rsid w:val="009C7BA3"/>
    <w:rsid w:val="009D1F5A"/>
    <w:rsid w:val="009F3408"/>
    <w:rsid w:val="00B003BF"/>
    <w:rsid w:val="00B373D7"/>
    <w:rsid w:val="00B6763C"/>
    <w:rsid w:val="00B97BCE"/>
    <w:rsid w:val="00BA70CF"/>
    <w:rsid w:val="00C36276"/>
    <w:rsid w:val="00C41E39"/>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0CE2"/>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70DC6"/>
  <w15:chartTrackingRefBased/>
  <w15:docId w15:val="{4313245A-8517-4C10-A3CF-FF5D915F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fkpreparattabellweb">
    <w:name w:val="fk_preparattabellweb"/>
    <w:basedOn w:val="Normal"/>
    <w:uiPriority w:val="99"/>
    <w:rsid w:val="006C2BEE"/>
    <w:rPr>
      <w:color w:val="000000"/>
      <w:sz w:val="19"/>
      <w:szCs w:val="19"/>
      <w:lang w:eastAsia="da-DK"/>
    </w:rPr>
  </w:style>
  <w:style w:type="character" w:styleId="Hyperlink">
    <w:name w:val="Hyperlink"/>
    <w:uiPriority w:val="99"/>
    <w:unhideWhenUsed/>
    <w:rsid w:val="006C2BEE"/>
    <w:rPr>
      <w:color w:val="0000FF"/>
      <w:u w:val="single"/>
    </w:rPr>
  </w:style>
  <w:style w:type="paragraph" w:styleId="Listeafsnit">
    <w:name w:val="List Paragraph"/>
    <w:basedOn w:val="Normal"/>
    <w:uiPriority w:val="34"/>
    <w:qFormat/>
    <w:rsid w:val="006C2BEE"/>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3854043">
      <w:bodyDiv w:val="1"/>
      <w:marLeft w:val="0"/>
      <w:marRight w:val="0"/>
      <w:marTop w:val="0"/>
      <w:marBottom w:val="0"/>
      <w:divBdr>
        <w:top w:val="none" w:sz="0" w:space="0" w:color="auto"/>
        <w:left w:val="none" w:sz="0" w:space="0" w:color="auto"/>
        <w:bottom w:val="none" w:sz="0" w:space="0" w:color="auto"/>
        <w:right w:val="none" w:sz="0" w:space="0" w:color="auto"/>
      </w:divBdr>
    </w:div>
    <w:div w:id="1394507472">
      <w:bodyDiv w:val="1"/>
      <w:marLeft w:val="0"/>
      <w:marRight w:val="0"/>
      <w:marTop w:val="0"/>
      <w:marBottom w:val="0"/>
      <w:divBdr>
        <w:top w:val="none" w:sz="0" w:space="0" w:color="auto"/>
        <w:left w:val="none" w:sz="0" w:space="0" w:color="auto"/>
        <w:bottom w:val="none" w:sz="0" w:space="0" w:color="auto"/>
        <w:right w:val="none" w:sz="0" w:space="0" w:color="auto"/>
      </w:divBdr>
    </w:div>
    <w:div w:id="1618758665">
      <w:bodyDiv w:val="1"/>
      <w:marLeft w:val="0"/>
      <w:marRight w:val="0"/>
      <w:marTop w:val="0"/>
      <w:marBottom w:val="0"/>
      <w:divBdr>
        <w:top w:val="none" w:sz="0" w:space="0" w:color="auto"/>
        <w:left w:val="none" w:sz="0" w:space="0" w:color="auto"/>
        <w:bottom w:val="none" w:sz="0" w:space="0" w:color="auto"/>
        <w:right w:val="none" w:sz="0" w:space="0" w:color="auto"/>
      </w:divBdr>
    </w:div>
    <w:div w:id="1781954910">
      <w:bodyDiv w:val="1"/>
      <w:marLeft w:val="0"/>
      <w:marRight w:val="0"/>
      <w:marTop w:val="0"/>
      <w:marBottom w:val="0"/>
      <w:divBdr>
        <w:top w:val="none" w:sz="0" w:space="0" w:color="auto"/>
        <w:left w:val="none" w:sz="0" w:space="0" w:color="auto"/>
        <w:bottom w:val="none" w:sz="0" w:space="0" w:color="auto"/>
        <w:right w:val="none" w:sz="0" w:space="0" w:color="auto"/>
      </w:divBdr>
    </w:div>
    <w:div w:id="20512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4887</Words>
  <Characters>31444</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2021120723_x000d_
SPC pkt. 4.4, 4.5, 4.9, 5.1, 6.1 og overskrifter iht. QRD</dc:description>
  <cp:lastModifiedBy>Victoria Alexsandra Ringgaard</cp:lastModifiedBy>
  <cp:revision>3</cp:revision>
  <cp:lastPrinted>2012-08-22T08:53:00Z</cp:lastPrinted>
  <dcterms:created xsi:type="dcterms:W3CDTF">2023-11-24T11:20:00Z</dcterms:created>
  <dcterms:modified xsi:type="dcterms:W3CDTF">2023-11-24T11:30:00Z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