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65" w:rsidRPr="00B079E4" w:rsidRDefault="00CA6A34" w:rsidP="00D83865">
      <w:pPr>
        <w:pStyle w:val="Titel"/>
        <w:tabs>
          <w:tab w:val="left" w:pos="7938"/>
        </w:tabs>
        <w:jc w:val="left"/>
        <w:rPr>
          <w:noProof/>
        </w:rPr>
      </w:pPr>
      <w:bookmarkStart w:id="0" w:name="_GoBack"/>
      <w:bookmarkEnd w:id="0"/>
      <w:r w:rsidRPr="008F49E1">
        <w:rPr>
          <w:noProof/>
          <w:szCs w:val="24"/>
        </w:rPr>
        <w:drawing>
          <wp:inline distT="0" distB="0" distL="0" distR="0" wp14:anchorId="63734391" wp14:editId="57F40883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65" w:rsidRPr="002309E8" w:rsidRDefault="00D83865" w:rsidP="00D83865">
      <w:pPr>
        <w:pStyle w:val="Titel"/>
        <w:tabs>
          <w:tab w:val="left" w:pos="7938"/>
        </w:tabs>
        <w:jc w:val="left"/>
        <w:rPr>
          <w:b w:val="0"/>
          <w:noProof/>
        </w:rPr>
      </w:pPr>
    </w:p>
    <w:p w:rsidR="00D83865" w:rsidRDefault="00CA6A34" w:rsidP="00D83865">
      <w:pPr>
        <w:pStyle w:val="Titel"/>
        <w:tabs>
          <w:tab w:val="left" w:pos="7938"/>
        </w:tabs>
        <w:jc w:val="right"/>
      </w:pPr>
      <w:r>
        <w:t>20. marts 2020</w:t>
      </w:r>
    </w:p>
    <w:p w:rsidR="00D83865" w:rsidRDefault="00D83865" w:rsidP="00D83865">
      <w:pPr>
        <w:pStyle w:val="Titel"/>
        <w:tabs>
          <w:tab w:val="left" w:pos="8222"/>
        </w:tabs>
        <w:jc w:val="left"/>
        <w:rPr>
          <w:b w:val="0"/>
        </w:rPr>
      </w:pPr>
    </w:p>
    <w:p w:rsidR="00D83865" w:rsidRDefault="00D83865" w:rsidP="00D83865">
      <w:pPr>
        <w:pStyle w:val="Titel"/>
        <w:tabs>
          <w:tab w:val="left" w:pos="8222"/>
        </w:tabs>
        <w:jc w:val="left"/>
        <w:rPr>
          <w:b w:val="0"/>
        </w:rPr>
      </w:pPr>
    </w:p>
    <w:p w:rsidR="00D83865" w:rsidRDefault="00D83865" w:rsidP="00D83865">
      <w:pPr>
        <w:jc w:val="center"/>
        <w:rPr>
          <w:b/>
        </w:rPr>
      </w:pPr>
      <w:r>
        <w:rPr>
          <w:b/>
        </w:rPr>
        <w:t>PRODUKTRESUMÉ</w:t>
      </w:r>
    </w:p>
    <w:p w:rsidR="00D83865" w:rsidRDefault="00D83865" w:rsidP="00D83865">
      <w:pPr>
        <w:jc w:val="center"/>
        <w:rPr>
          <w:b/>
        </w:rPr>
      </w:pPr>
    </w:p>
    <w:p w:rsidR="00D83865" w:rsidRDefault="00D83865" w:rsidP="00D83865">
      <w:pPr>
        <w:jc w:val="center"/>
        <w:rPr>
          <w:b/>
        </w:rPr>
      </w:pPr>
      <w:r>
        <w:rPr>
          <w:b/>
        </w:rPr>
        <w:t>for</w:t>
      </w:r>
    </w:p>
    <w:p w:rsidR="00D83865" w:rsidRDefault="00D83865" w:rsidP="00D83865">
      <w:pPr>
        <w:jc w:val="center"/>
        <w:rPr>
          <w:b/>
        </w:rPr>
      </w:pPr>
    </w:p>
    <w:p w:rsidR="00D83865" w:rsidRDefault="00D83865" w:rsidP="00D83865">
      <w:pPr>
        <w:jc w:val="center"/>
        <w:rPr>
          <w:b/>
        </w:rPr>
      </w:pPr>
      <w:r>
        <w:rPr>
          <w:b/>
        </w:rPr>
        <w:t>Sinupret, overtrukne tabletter (Orifarm)</w:t>
      </w:r>
    </w:p>
    <w:p w:rsidR="00D83865" w:rsidRDefault="00D83865" w:rsidP="00D83865"/>
    <w:p w:rsidR="00D83865" w:rsidRDefault="00D83865" w:rsidP="00D83865"/>
    <w:p w:rsidR="00D83865" w:rsidRDefault="00D83865" w:rsidP="00D83865">
      <w:pPr>
        <w:tabs>
          <w:tab w:val="left" w:pos="851"/>
        </w:tabs>
        <w:ind w:left="851" w:hanging="851"/>
        <w:rPr>
          <w:b/>
          <w:szCs w:val="24"/>
        </w:rPr>
      </w:pPr>
      <w:r>
        <w:rPr>
          <w:b/>
          <w:szCs w:val="24"/>
        </w:rPr>
        <w:t>0.</w:t>
      </w:r>
      <w:r>
        <w:rPr>
          <w:b/>
          <w:szCs w:val="24"/>
        </w:rPr>
        <w:tab/>
        <w:t>D.SP.NR.</w:t>
      </w:r>
    </w:p>
    <w:p w:rsidR="00D83865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  <w:t>-</w:t>
      </w:r>
    </w:p>
    <w:p w:rsidR="00D83865" w:rsidRPr="00921EFA" w:rsidRDefault="00D83865" w:rsidP="00D83865">
      <w:pPr>
        <w:rPr>
          <w:szCs w:val="24"/>
        </w:rPr>
      </w:pPr>
    </w:p>
    <w:p w:rsidR="00D83865" w:rsidRPr="00921EFA" w:rsidRDefault="00D83865" w:rsidP="00D83865">
      <w:pPr>
        <w:numPr>
          <w:ilvl w:val="0"/>
          <w:numId w:val="6"/>
        </w:numPr>
        <w:rPr>
          <w:b/>
          <w:szCs w:val="24"/>
        </w:rPr>
      </w:pPr>
      <w:r w:rsidRPr="00921EFA">
        <w:rPr>
          <w:b/>
          <w:szCs w:val="24"/>
        </w:rPr>
        <w:t>LÆGEMIDLETS NAVN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 w:rsidRPr="00921EFA">
        <w:rPr>
          <w:szCs w:val="24"/>
        </w:rPr>
        <w:tab/>
        <w:t>Sinupret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 w:rsidRPr="00921EFA">
        <w:rPr>
          <w:szCs w:val="24"/>
        </w:rPr>
        <w:tab/>
      </w:r>
    </w:p>
    <w:p w:rsidR="00D83865" w:rsidRPr="00921EFA" w:rsidRDefault="00D83865" w:rsidP="00D83865">
      <w:pPr>
        <w:numPr>
          <w:ilvl w:val="0"/>
          <w:numId w:val="6"/>
        </w:numPr>
        <w:rPr>
          <w:b/>
          <w:szCs w:val="24"/>
        </w:rPr>
      </w:pPr>
      <w:r w:rsidRPr="00921EFA">
        <w:rPr>
          <w:b/>
          <w:szCs w:val="24"/>
        </w:rPr>
        <w:t>KVALITATIV OG KVANTITATIV SAMMENSÆTNING</w:t>
      </w:r>
    </w:p>
    <w:p w:rsidR="00D83865" w:rsidRDefault="00D83865" w:rsidP="00D83865">
      <w:pPr>
        <w:tabs>
          <w:tab w:val="left" w:pos="851"/>
        </w:tabs>
        <w:ind w:left="855"/>
        <w:rPr>
          <w:szCs w:val="24"/>
        </w:rPr>
      </w:pPr>
      <w:r>
        <w:rPr>
          <w:szCs w:val="24"/>
        </w:rPr>
        <w:t>1 tablet indeholder:</w:t>
      </w:r>
    </w:p>
    <w:p w:rsidR="00D83865" w:rsidRPr="00562933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</w:r>
      <w:r w:rsidRPr="00562933">
        <w:rPr>
          <w:szCs w:val="24"/>
        </w:rPr>
        <w:t xml:space="preserve">6 mg </w:t>
      </w:r>
      <w:r w:rsidRPr="00562933">
        <w:rPr>
          <w:i/>
          <w:szCs w:val="24"/>
        </w:rPr>
        <w:t>Gentiana lutea</w:t>
      </w:r>
      <w:r w:rsidRPr="00562933">
        <w:rPr>
          <w:szCs w:val="24"/>
        </w:rPr>
        <w:t xml:space="preserve"> L., radix (ensianrod, pulveriseret)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562933">
        <w:rPr>
          <w:szCs w:val="24"/>
        </w:rPr>
        <w:t xml:space="preserve">18 mg </w:t>
      </w:r>
      <w:r w:rsidRPr="00562933">
        <w:rPr>
          <w:i/>
          <w:szCs w:val="24"/>
        </w:rPr>
        <w:t>Primula veris</w:t>
      </w:r>
      <w:r w:rsidRPr="00562933">
        <w:rPr>
          <w:szCs w:val="24"/>
        </w:rPr>
        <w:t xml:space="preserve"> L. (syn. </w:t>
      </w:r>
      <w:r w:rsidRPr="00562933">
        <w:rPr>
          <w:i/>
          <w:szCs w:val="24"/>
        </w:rPr>
        <w:t>P.</w:t>
      </w:r>
      <w:r w:rsidRPr="00562933">
        <w:rPr>
          <w:szCs w:val="24"/>
        </w:rPr>
        <w:t xml:space="preserve"> </w:t>
      </w:r>
      <w:r w:rsidRPr="00562933">
        <w:rPr>
          <w:i/>
          <w:szCs w:val="24"/>
        </w:rPr>
        <w:t>officinalis</w:t>
      </w:r>
      <w:r w:rsidRPr="00562933">
        <w:rPr>
          <w:szCs w:val="24"/>
        </w:rPr>
        <w:t xml:space="preserve"> (L.) </w:t>
      </w:r>
      <w:r w:rsidRPr="000A1561">
        <w:rPr>
          <w:szCs w:val="24"/>
        </w:rPr>
        <w:t xml:space="preserve">Hill eller </w:t>
      </w:r>
      <w:r w:rsidRPr="000A1561">
        <w:rPr>
          <w:i/>
          <w:szCs w:val="24"/>
        </w:rPr>
        <w:t>P.</w:t>
      </w:r>
      <w:r w:rsidRPr="000A1561">
        <w:rPr>
          <w:szCs w:val="24"/>
        </w:rPr>
        <w:t xml:space="preserve"> </w:t>
      </w:r>
      <w:r w:rsidRPr="000A1561">
        <w:rPr>
          <w:i/>
          <w:szCs w:val="24"/>
        </w:rPr>
        <w:t>elatior</w:t>
      </w:r>
      <w:r w:rsidRPr="000A1561">
        <w:rPr>
          <w:szCs w:val="24"/>
        </w:rPr>
        <w:t xml:space="preserve"> (L.) Hill, flos (kodriver, hulkravet eller fladkravet, blomst, pulveriseret).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 xml:space="preserve">18 mg., </w:t>
      </w:r>
      <w:r w:rsidRPr="000A1561">
        <w:rPr>
          <w:i/>
          <w:szCs w:val="24"/>
        </w:rPr>
        <w:t>Rumex patientia</w:t>
      </w:r>
      <w:r w:rsidRPr="000A1561">
        <w:rPr>
          <w:szCs w:val="24"/>
        </w:rPr>
        <w:t xml:space="preserve"> L. , herba (skræppe, urt, pulveriseret). </w:t>
      </w:r>
    </w:p>
    <w:p w:rsidR="00D83865" w:rsidRPr="00562933" w:rsidRDefault="00D83865" w:rsidP="00D83865">
      <w:pPr>
        <w:tabs>
          <w:tab w:val="left" w:pos="851"/>
        </w:tabs>
        <w:ind w:left="851"/>
        <w:rPr>
          <w:szCs w:val="24"/>
        </w:rPr>
      </w:pPr>
      <w:r w:rsidRPr="00562933">
        <w:rPr>
          <w:szCs w:val="24"/>
        </w:rPr>
        <w:t xml:space="preserve">18 mg </w:t>
      </w:r>
      <w:r w:rsidRPr="00562933">
        <w:rPr>
          <w:i/>
          <w:szCs w:val="24"/>
        </w:rPr>
        <w:t>Sambucus nigra</w:t>
      </w:r>
      <w:r w:rsidRPr="00562933">
        <w:rPr>
          <w:szCs w:val="24"/>
        </w:rPr>
        <w:t xml:space="preserve"> L., flos (hyldeblomst, pulveriseret).</w:t>
      </w:r>
    </w:p>
    <w:p w:rsidR="00D83865" w:rsidRPr="00562933" w:rsidRDefault="00D83865" w:rsidP="00D83865">
      <w:pPr>
        <w:tabs>
          <w:tab w:val="left" w:pos="851"/>
        </w:tabs>
        <w:ind w:left="851"/>
        <w:rPr>
          <w:szCs w:val="24"/>
        </w:rPr>
      </w:pPr>
      <w:r w:rsidRPr="00562933">
        <w:rPr>
          <w:szCs w:val="24"/>
        </w:rPr>
        <w:t xml:space="preserve">18 mg </w:t>
      </w:r>
      <w:r w:rsidRPr="00562933">
        <w:rPr>
          <w:i/>
          <w:szCs w:val="24"/>
        </w:rPr>
        <w:t>Verbena officinalis</w:t>
      </w:r>
      <w:r w:rsidRPr="00562933">
        <w:rPr>
          <w:szCs w:val="24"/>
        </w:rPr>
        <w:t xml:space="preserve"> L., herba (lægejernurt, urt, pulveriseret). </w:t>
      </w:r>
    </w:p>
    <w:p w:rsidR="00D83865" w:rsidRPr="00F55838" w:rsidRDefault="00D83865" w:rsidP="00D83865">
      <w:pPr>
        <w:tabs>
          <w:tab w:val="left" w:pos="851"/>
        </w:tabs>
        <w:ind w:left="851"/>
        <w:rPr>
          <w:szCs w:val="24"/>
          <w:highlight w:val="yellow"/>
        </w:rPr>
      </w:pPr>
    </w:p>
    <w:p w:rsidR="00D83865" w:rsidRPr="00F55838" w:rsidRDefault="00D83865" w:rsidP="00D83865">
      <w:pPr>
        <w:tabs>
          <w:tab w:val="left" w:pos="851"/>
        </w:tabs>
        <w:ind w:left="851"/>
        <w:rPr>
          <w:szCs w:val="24"/>
        </w:rPr>
      </w:pPr>
      <w:r w:rsidRPr="00F55838">
        <w:rPr>
          <w:szCs w:val="24"/>
        </w:rPr>
        <w:t>Indeholder flydende glucose (ca. 1 mg), lactosemonohydrat (svarende til ca. 23 mg</w:t>
      </w:r>
      <w:r>
        <w:rPr>
          <w:szCs w:val="24"/>
        </w:rPr>
        <w:t xml:space="preserve"> lactoseanhydrat</w:t>
      </w:r>
      <w:r w:rsidRPr="00F55838">
        <w:rPr>
          <w:szCs w:val="24"/>
        </w:rPr>
        <w:t xml:space="preserve">), </w:t>
      </w:r>
      <w:r w:rsidRPr="00CC5C83">
        <w:rPr>
          <w:szCs w:val="24"/>
        </w:rPr>
        <w:t>sorbitol</w:t>
      </w:r>
      <w:r w:rsidRPr="00F55838">
        <w:rPr>
          <w:szCs w:val="24"/>
        </w:rPr>
        <w:t xml:space="preserve"> (ca. 0,2 mg) og </w:t>
      </w:r>
      <w:r w:rsidRPr="00CC5C83">
        <w:rPr>
          <w:szCs w:val="24"/>
        </w:rPr>
        <w:t>saccharose</w:t>
      </w:r>
      <w:r w:rsidRPr="00F55838">
        <w:rPr>
          <w:szCs w:val="24"/>
        </w:rPr>
        <w:t xml:space="preserve"> (ca. 6</w:t>
      </w:r>
      <w:r>
        <w:rPr>
          <w:szCs w:val="24"/>
        </w:rPr>
        <w:t>2</w:t>
      </w:r>
      <w:r w:rsidRPr="00F55838">
        <w:rPr>
          <w:szCs w:val="24"/>
        </w:rPr>
        <w:t xml:space="preserve"> mg).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  <w:t>Alle h</w:t>
      </w:r>
      <w:r w:rsidRPr="00921EFA">
        <w:rPr>
          <w:szCs w:val="24"/>
        </w:rPr>
        <w:t>jælpestoffer, se pkt. 6.1.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0"/>
          <w:numId w:val="6"/>
        </w:numPr>
        <w:rPr>
          <w:b/>
          <w:szCs w:val="24"/>
        </w:rPr>
      </w:pPr>
      <w:r w:rsidRPr="00921EFA">
        <w:rPr>
          <w:b/>
          <w:szCs w:val="24"/>
        </w:rPr>
        <w:t>LÆGEMIDDELFORM</w:t>
      </w:r>
    </w:p>
    <w:p w:rsidR="00D83865" w:rsidRDefault="00D83865" w:rsidP="00D83865">
      <w:pPr>
        <w:tabs>
          <w:tab w:val="left" w:pos="851"/>
        </w:tabs>
        <w:ind w:left="855"/>
        <w:rPr>
          <w:szCs w:val="24"/>
        </w:rPr>
      </w:pPr>
      <w:r>
        <w:rPr>
          <w:szCs w:val="24"/>
        </w:rPr>
        <w:t>Overtrukne tabletter (Orifarm)</w:t>
      </w:r>
    </w:p>
    <w:p w:rsidR="00D83865" w:rsidRDefault="00D83865" w:rsidP="00D83865">
      <w:pPr>
        <w:tabs>
          <w:tab w:val="left" w:pos="851"/>
        </w:tabs>
        <w:ind w:left="855"/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0"/>
          <w:numId w:val="6"/>
        </w:numPr>
        <w:rPr>
          <w:b/>
          <w:szCs w:val="24"/>
        </w:rPr>
      </w:pPr>
      <w:r w:rsidRPr="00921EFA">
        <w:rPr>
          <w:b/>
          <w:szCs w:val="24"/>
        </w:rPr>
        <w:t>KLINISKE OPLYSNINGER</w:t>
      </w:r>
    </w:p>
    <w:p w:rsidR="00D83865" w:rsidRPr="00921EFA" w:rsidRDefault="00D83865" w:rsidP="00D83865">
      <w:pPr>
        <w:tabs>
          <w:tab w:val="left" w:pos="851"/>
        </w:tabs>
        <w:rPr>
          <w:b/>
          <w:szCs w:val="24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  <w:u w:val="single"/>
        </w:rPr>
      </w:pPr>
      <w:r w:rsidRPr="00921EFA">
        <w:rPr>
          <w:b/>
          <w:szCs w:val="24"/>
        </w:rPr>
        <w:t>Terapeutiske indikationer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</w:r>
      <w:r w:rsidRPr="00921EFA">
        <w:rPr>
          <w:szCs w:val="24"/>
        </w:rPr>
        <w:t>Naturlægemiddel til lindring af symptomer i næse og bihuler ved forkølelse.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Dosering og indgivelsesmåde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</w:r>
      <w:r w:rsidRPr="00921EFA">
        <w:rPr>
          <w:szCs w:val="24"/>
        </w:rPr>
        <w:t xml:space="preserve">Voksne og børn </w:t>
      </w:r>
      <w:r>
        <w:rPr>
          <w:szCs w:val="24"/>
        </w:rPr>
        <w:t>fra</w:t>
      </w:r>
      <w:r w:rsidRPr="00921EFA">
        <w:rPr>
          <w:szCs w:val="24"/>
        </w:rPr>
        <w:t xml:space="preserve"> 12 år: </w:t>
      </w:r>
      <w:r>
        <w:rPr>
          <w:szCs w:val="24"/>
        </w:rPr>
        <w:tab/>
      </w:r>
      <w:r w:rsidRPr="00921EFA">
        <w:rPr>
          <w:szCs w:val="24"/>
        </w:rPr>
        <w:t xml:space="preserve">2 tabletter 3 gange daglig. 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</w:r>
      <w:r w:rsidRPr="00921EFA">
        <w:rPr>
          <w:szCs w:val="24"/>
        </w:rPr>
        <w:t xml:space="preserve">Børn </w:t>
      </w:r>
      <w:r>
        <w:rPr>
          <w:szCs w:val="24"/>
        </w:rPr>
        <w:t>fra</w:t>
      </w:r>
      <w:r w:rsidRPr="00921EFA">
        <w:rPr>
          <w:szCs w:val="24"/>
        </w:rPr>
        <w:t xml:space="preserve"> 6 </w:t>
      </w:r>
      <w:r>
        <w:rPr>
          <w:szCs w:val="24"/>
        </w:rPr>
        <w:t xml:space="preserve">til 11 </w:t>
      </w:r>
      <w:r w:rsidRPr="00921EFA">
        <w:rPr>
          <w:szCs w:val="24"/>
        </w:rPr>
        <w:t xml:space="preserve">år: </w:t>
      </w:r>
      <w:r>
        <w:rPr>
          <w:szCs w:val="24"/>
        </w:rPr>
        <w:tab/>
      </w:r>
      <w:r w:rsidRPr="00921EFA">
        <w:rPr>
          <w:szCs w:val="24"/>
        </w:rPr>
        <w:t xml:space="preserve">1 tablet 3 gange daglig. 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</w:r>
      <w:r w:rsidRPr="00921EFA">
        <w:rPr>
          <w:szCs w:val="24"/>
        </w:rPr>
        <w:t xml:space="preserve">Tabletterne skal synkes hele med væske. 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Default="00D83865" w:rsidP="00D83865">
      <w:pPr>
        <w:tabs>
          <w:tab w:val="left" w:pos="851"/>
        </w:tabs>
        <w:ind w:left="855"/>
      </w:pPr>
      <w:r>
        <w:t>Erfaring med behandling af børn under 6 år er utilstrækkelig.</w:t>
      </w:r>
    </w:p>
    <w:p w:rsidR="00D83865" w:rsidRDefault="00D83865" w:rsidP="00D83865">
      <w:pPr>
        <w:tabs>
          <w:tab w:val="left" w:pos="851"/>
        </w:tabs>
        <w:ind w:left="855"/>
      </w:pPr>
      <w:r>
        <w:lastRenderedPageBreak/>
        <w:t>I indlægssedlen er det oplyst, at Sinupret ikke bør anvendes til børn under 6 år uden lægens anvisning.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 w:rsidRPr="00921EFA">
        <w:rPr>
          <w:szCs w:val="24"/>
        </w:rPr>
        <w:tab/>
      </w: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Kontraindikationer</w:t>
      </w:r>
    </w:p>
    <w:p w:rsidR="00D83865" w:rsidRDefault="00D83865" w:rsidP="00D83865">
      <w:pPr>
        <w:tabs>
          <w:tab w:val="left" w:pos="851"/>
        </w:tabs>
        <w:ind w:left="855"/>
        <w:rPr>
          <w:szCs w:val="24"/>
        </w:rPr>
      </w:pPr>
      <w:r>
        <w:rPr>
          <w:szCs w:val="24"/>
        </w:rPr>
        <w:t>På grund af indhold af kodriverblomst må Sinupret ikke anvendes til patienter med astma eller til børn, der har eller har haft akut obstruktiv laryngitis.</w:t>
      </w:r>
    </w:p>
    <w:p w:rsidR="00D83865" w:rsidRDefault="00D83865" w:rsidP="00D83865">
      <w:pPr>
        <w:tabs>
          <w:tab w:val="left" w:pos="851"/>
        </w:tabs>
        <w:ind w:left="855"/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  <w:r w:rsidRPr="00921EFA">
        <w:rPr>
          <w:szCs w:val="24"/>
        </w:rPr>
        <w:t>Overfølsomhed over for ensianrod, kodriver, skræppe, hyldeblomst eller jernurt eller over for et eller flere af hjælpestofferne</w:t>
      </w:r>
      <w:r>
        <w:rPr>
          <w:szCs w:val="24"/>
        </w:rPr>
        <w:t xml:space="preserve"> anført i pkt. 6.1</w:t>
      </w:r>
      <w:r w:rsidRPr="00921EFA">
        <w:rPr>
          <w:szCs w:val="24"/>
        </w:rPr>
        <w:t>.</w:t>
      </w: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Særlige advarsler og forsigtighedsregler vedrørende brugen</w:t>
      </w:r>
    </w:p>
    <w:p w:rsidR="00D83865" w:rsidRPr="00921EFA" w:rsidRDefault="00D83865" w:rsidP="00D83865">
      <w:pPr>
        <w:tabs>
          <w:tab w:val="left" w:pos="851"/>
        </w:tabs>
        <w:ind w:left="855"/>
        <w:rPr>
          <w:szCs w:val="24"/>
        </w:rPr>
      </w:pPr>
      <w:r w:rsidRPr="00921EFA">
        <w:rPr>
          <w:szCs w:val="24"/>
        </w:rPr>
        <w:t xml:space="preserve">Bør ikke anvendes ved mavesår og gastrit. 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Default="00D83865" w:rsidP="00D83865">
      <w:pPr>
        <w:tabs>
          <w:tab w:val="left" w:pos="851"/>
        </w:tabs>
        <w:ind w:left="851"/>
        <w:rPr>
          <w:szCs w:val="24"/>
        </w:rPr>
      </w:pPr>
      <w:r w:rsidRPr="00921EFA">
        <w:rPr>
          <w:szCs w:val="24"/>
        </w:rPr>
        <w:t xml:space="preserve">Hvis forkølelsessymptomerne varer længere end 7-14 dage eller recidiverer hyppigt, bør årsagen til </w:t>
      </w:r>
      <w:r>
        <w:rPr>
          <w:szCs w:val="24"/>
        </w:rPr>
        <w:t>symptomerne undersøges nærmere.</w:t>
      </w:r>
    </w:p>
    <w:p w:rsidR="00D83865" w:rsidRDefault="00D83865" w:rsidP="00D83865">
      <w:pPr>
        <w:tabs>
          <w:tab w:val="left" w:pos="851"/>
        </w:tabs>
        <w:ind w:left="851"/>
        <w:rPr>
          <w:szCs w:val="24"/>
        </w:rPr>
      </w:pPr>
    </w:p>
    <w:p w:rsidR="00D83865" w:rsidRPr="00365493" w:rsidRDefault="00D83865" w:rsidP="00D83865">
      <w:pPr>
        <w:tabs>
          <w:tab w:val="left" w:pos="851"/>
        </w:tabs>
        <w:ind w:left="851"/>
        <w:rPr>
          <w:szCs w:val="24"/>
        </w:rPr>
      </w:pPr>
      <w:r w:rsidRPr="00365493">
        <w:rPr>
          <w:szCs w:val="24"/>
        </w:rPr>
        <w:t>Hvis der opstår dyspnø, feber, eller purulent opspyt, bør lægen kontaktes.</w:t>
      </w: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</w:p>
    <w:p w:rsidR="00D83865" w:rsidRDefault="00D83865" w:rsidP="00D83865">
      <w:pPr>
        <w:ind w:left="855"/>
      </w:pPr>
      <w:r>
        <w:t>Det vides ikke</w:t>
      </w:r>
      <w:r w:rsidRPr="00666B93">
        <w:t>, om nedsat lever- eller nyrefunktion eller andre særlige sygdomme indebærer, at forsigtighed bør udvises.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  <w:r w:rsidRPr="00921EFA">
        <w:rPr>
          <w:szCs w:val="24"/>
        </w:rPr>
        <w:t>Indeholder flydende glucose, lactose, saccharose og sorbitol og bør derfor ikke anvendes til patienter med arvelig fructoseintolerans, arvelig galactoseintolerans, en særlig form for arvelig lactasemangel (Lapp Lactase deficiency), glucose/galactosemalabsorption eller sucrase-isomaltasemangel.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Interaktion med andre lægemidler og andre former for interaktion</w:t>
      </w:r>
    </w:p>
    <w:p w:rsidR="00D83865" w:rsidRDefault="00D83865" w:rsidP="00D83865">
      <w:pPr>
        <w:tabs>
          <w:tab w:val="left" w:pos="851"/>
        </w:tabs>
        <w:ind w:left="851"/>
        <w:rPr>
          <w:szCs w:val="24"/>
        </w:rPr>
      </w:pPr>
      <w:r>
        <w:rPr>
          <w:szCs w:val="24"/>
        </w:rPr>
        <w:t>Ingen kendte.</w:t>
      </w: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  <w:r w:rsidRPr="00921EFA">
        <w:rPr>
          <w:szCs w:val="24"/>
        </w:rPr>
        <w:t>Effekten af samtidig indtagelse af andre lægemidler, inkl</w:t>
      </w:r>
      <w:r>
        <w:rPr>
          <w:szCs w:val="24"/>
        </w:rPr>
        <w:t>usive</w:t>
      </w:r>
      <w:r w:rsidRPr="00921EFA">
        <w:rPr>
          <w:szCs w:val="24"/>
        </w:rPr>
        <w:t xml:space="preserve"> medicin indført fra udlandet, naturlægemidler eller føde</w:t>
      </w:r>
      <w:r>
        <w:rPr>
          <w:szCs w:val="24"/>
        </w:rPr>
        <w:t>,</w:t>
      </w:r>
      <w:r w:rsidRPr="00921EFA">
        <w:rPr>
          <w:szCs w:val="24"/>
        </w:rPr>
        <w:t xml:space="preserve"> kendes ikke.</w:t>
      </w: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Graviditet og amning</w:t>
      </w:r>
    </w:p>
    <w:p w:rsidR="00D83865" w:rsidRDefault="00D83865" w:rsidP="00D8386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</w:p>
    <w:p w:rsidR="00D83865" w:rsidRDefault="00D83865" w:rsidP="00D8386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  <w:u w:val="single"/>
        </w:rPr>
      </w:pPr>
      <w:r>
        <w:rPr>
          <w:spacing w:val="-3"/>
          <w:u w:val="single"/>
        </w:rPr>
        <w:t>Graviditet</w:t>
      </w:r>
    </w:p>
    <w:p w:rsidR="00D83865" w:rsidRPr="001959BE" w:rsidRDefault="00D83865" w:rsidP="00D8386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i/>
          <w:spacing w:val="-3"/>
        </w:rPr>
      </w:pPr>
      <w:r>
        <w:rPr>
          <w:spacing w:val="-3"/>
        </w:rPr>
        <w:t xml:space="preserve">Kan anvendes. Klinisk erfaring indicerer ingen skadelig indvirkning på svangerskabet eller på fostrets/det nyfødte barns sundhedstilstand. </w:t>
      </w:r>
    </w:p>
    <w:p w:rsidR="00D83865" w:rsidRDefault="00D83865" w:rsidP="00D8386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</w:p>
    <w:p w:rsidR="00D83865" w:rsidRDefault="00D83865" w:rsidP="00D8386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  <w:u w:val="single"/>
        </w:rPr>
      </w:pPr>
      <w:r>
        <w:rPr>
          <w:spacing w:val="-3"/>
        </w:rPr>
        <w:tab/>
      </w:r>
      <w:r>
        <w:rPr>
          <w:spacing w:val="-3"/>
          <w:u w:val="single"/>
        </w:rPr>
        <w:t>Amning</w:t>
      </w:r>
    </w:p>
    <w:p w:rsidR="00D83865" w:rsidRDefault="00D83865" w:rsidP="00D8386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  <w:r>
        <w:rPr>
          <w:spacing w:val="-3"/>
        </w:rPr>
        <w:tab/>
        <w:t>Bør ikke anvendes i ammeperioden.</w:t>
      </w:r>
    </w:p>
    <w:p w:rsidR="00D83865" w:rsidRPr="00921EFA" w:rsidRDefault="00D83865" w:rsidP="00D83865">
      <w:pPr>
        <w:tabs>
          <w:tab w:val="left" w:pos="851"/>
        </w:tabs>
        <w:rPr>
          <w:spacing w:val="-3"/>
          <w:szCs w:val="24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Virkninger på evnen til at føre motorkøretøj eller betjene maskiner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  <w:t>Ikke</w:t>
      </w:r>
      <w:r w:rsidRPr="00921EFA">
        <w:rPr>
          <w:szCs w:val="24"/>
        </w:rPr>
        <w:t xml:space="preserve"> mærkning. </w:t>
      </w: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  <w:r>
        <w:rPr>
          <w:szCs w:val="24"/>
        </w:rPr>
        <w:t>Sinupret</w:t>
      </w:r>
      <w:r w:rsidRPr="00921EFA">
        <w:rPr>
          <w:szCs w:val="24"/>
        </w:rPr>
        <w:t xml:space="preserve"> påvirker ikke eller kun i ubetydelig grad evnen til at føre motorkøretøj eller betjene maskiner.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Default="00D83865" w:rsidP="00D83865">
      <w:pPr>
        <w:numPr>
          <w:ilvl w:val="1"/>
          <w:numId w:val="6"/>
        </w:numPr>
        <w:rPr>
          <w:b/>
          <w:szCs w:val="24"/>
        </w:rPr>
      </w:pPr>
      <w:r>
        <w:rPr>
          <w:b/>
          <w:szCs w:val="24"/>
        </w:rPr>
        <w:br w:type="page"/>
      </w:r>
      <w:r w:rsidRPr="00921EFA">
        <w:rPr>
          <w:b/>
          <w:szCs w:val="24"/>
        </w:rPr>
        <w:lastRenderedPageBreak/>
        <w:t>Bivirkninger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3969"/>
      </w:tblGrid>
      <w:tr w:rsidR="00D83865" w:rsidTr="00EB20FE">
        <w:tc>
          <w:tcPr>
            <w:tcW w:w="4394" w:type="dxa"/>
          </w:tcPr>
          <w:p w:rsidR="00D83865" w:rsidRPr="00AC2664" w:rsidRDefault="00D83865" w:rsidP="00EB20FE">
            <w:pPr>
              <w:tabs>
                <w:tab w:val="left" w:pos="851"/>
              </w:tabs>
              <w:rPr>
                <w:b/>
              </w:rPr>
            </w:pPr>
            <w:r w:rsidRPr="00AC2664">
              <w:rPr>
                <w:b/>
              </w:rPr>
              <w:t>Mave-tarmkanalen</w:t>
            </w:r>
          </w:p>
          <w:p w:rsidR="00D83865" w:rsidRPr="005F51ED" w:rsidRDefault="00D83865" w:rsidP="00EB20FE">
            <w:pPr>
              <w:tabs>
                <w:tab w:val="left" w:pos="851"/>
              </w:tabs>
            </w:pPr>
            <w:r>
              <w:t>Ikke almindelig (&gt;1/1.000; &lt; 1/100</w:t>
            </w:r>
            <w:r w:rsidRPr="005F51ED">
              <w:t>)</w:t>
            </w:r>
          </w:p>
        </w:tc>
        <w:tc>
          <w:tcPr>
            <w:tcW w:w="3969" w:type="dxa"/>
          </w:tcPr>
          <w:p w:rsidR="00D83865" w:rsidRDefault="00D83865" w:rsidP="00EB20FE">
            <w:pPr>
              <w:tabs>
                <w:tab w:val="left" w:pos="851"/>
              </w:tabs>
            </w:pPr>
          </w:p>
          <w:p w:rsidR="00D83865" w:rsidRDefault="00D83865" w:rsidP="00EB20FE">
            <w:pPr>
              <w:tabs>
                <w:tab w:val="left" w:pos="851"/>
              </w:tabs>
            </w:pPr>
            <w:r>
              <w:t>Mavegener, kvalme, diarré og mavekrampe.</w:t>
            </w:r>
          </w:p>
        </w:tc>
      </w:tr>
      <w:tr w:rsidR="00D83865" w:rsidTr="00EB20FE">
        <w:tc>
          <w:tcPr>
            <w:tcW w:w="4394" w:type="dxa"/>
          </w:tcPr>
          <w:p w:rsidR="00D83865" w:rsidRPr="00AC2664" w:rsidRDefault="00D83865" w:rsidP="00EB20FE">
            <w:pPr>
              <w:tabs>
                <w:tab w:val="left" w:pos="851"/>
              </w:tabs>
              <w:rPr>
                <w:b/>
              </w:rPr>
            </w:pPr>
            <w:r w:rsidRPr="00AC2664">
              <w:rPr>
                <w:b/>
              </w:rPr>
              <w:t>Immunsystemet</w:t>
            </w:r>
          </w:p>
          <w:p w:rsidR="00D83865" w:rsidRPr="00AC2664" w:rsidRDefault="00D83865" w:rsidP="00EB20FE">
            <w:pPr>
              <w:tabs>
                <w:tab w:val="left" w:pos="851"/>
              </w:tabs>
              <w:rPr>
                <w:b/>
              </w:rPr>
            </w:pPr>
            <w:r>
              <w:t>S</w:t>
            </w:r>
            <w:r w:rsidRPr="005F51ED">
              <w:t>jælden (</w:t>
            </w:r>
            <w:r>
              <w:t>≥</w:t>
            </w:r>
            <w:r w:rsidRPr="005F51ED">
              <w:t>1/10.000</w:t>
            </w:r>
            <w:r>
              <w:t>; &lt; 1/1.000</w:t>
            </w:r>
            <w:r w:rsidRPr="005F51ED">
              <w:t>)</w:t>
            </w:r>
          </w:p>
        </w:tc>
        <w:tc>
          <w:tcPr>
            <w:tcW w:w="3969" w:type="dxa"/>
          </w:tcPr>
          <w:p w:rsidR="00D83865" w:rsidRDefault="00D83865" w:rsidP="00EB20FE">
            <w:pPr>
              <w:tabs>
                <w:tab w:val="left" w:pos="851"/>
              </w:tabs>
            </w:pPr>
            <w:r>
              <w:t>Overfølsomhedsreaktioner (exanthem, erythem, pruritus, angioødem, ødem i ansigt og dyspnø).</w:t>
            </w:r>
          </w:p>
        </w:tc>
      </w:tr>
    </w:tbl>
    <w:p w:rsidR="00D83865" w:rsidRPr="00525B88" w:rsidRDefault="00D83865" w:rsidP="00D83865">
      <w:pPr>
        <w:tabs>
          <w:tab w:val="left" w:pos="1304"/>
          <w:tab w:val="center" w:pos="4819"/>
          <w:tab w:val="right" w:pos="9638"/>
        </w:tabs>
        <w:spacing w:line="240" w:lineRule="atLeast"/>
        <w:ind w:left="851" w:hanging="851"/>
        <w:rPr>
          <w:szCs w:val="24"/>
        </w:rPr>
      </w:pPr>
    </w:p>
    <w:p w:rsidR="00D83865" w:rsidRPr="00525B88" w:rsidRDefault="00D83865" w:rsidP="00D83865">
      <w:pPr>
        <w:autoSpaceDE w:val="0"/>
        <w:autoSpaceDN w:val="0"/>
        <w:ind w:left="851"/>
        <w:rPr>
          <w:szCs w:val="24"/>
          <w:u w:val="single"/>
        </w:rPr>
      </w:pPr>
      <w:r w:rsidRPr="00525B88">
        <w:rPr>
          <w:szCs w:val="24"/>
          <w:u w:val="single"/>
        </w:rPr>
        <w:t xml:space="preserve">Indberetning af </w:t>
      </w:r>
      <w:r>
        <w:rPr>
          <w:szCs w:val="24"/>
          <w:u w:val="single"/>
        </w:rPr>
        <w:t>mistænkte</w:t>
      </w:r>
      <w:r w:rsidRPr="00525B88">
        <w:rPr>
          <w:szCs w:val="24"/>
          <w:u w:val="single"/>
        </w:rPr>
        <w:t xml:space="preserve"> bivirkninger</w:t>
      </w:r>
    </w:p>
    <w:p w:rsidR="00D83865" w:rsidRPr="00525B88" w:rsidRDefault="00D83865" w:rsidP="00D83865">
      <w:pPr>
        <w:ind w:left="851"/>
        <w:rPr>
          <w:szCs w:val="24"/>
        </w:rPr>
      </w:pPr>
      <w:r w:rsidRPr="00525B88">
        <w:rPr>
          <w:szCs w:val="24"/>
        </w:rPr>
        <w:t xml:space="preserve">Når lægemidlet er godkendt, er indberetning af </w:t>
      </w:r>
      <w:r>
        <w:rPr>
          <w:szCs w:val="24"/>
        </w:rPr>
        <w:t>mistænkte</w:t>
      </w:r>
      <w:r w:rsidRPr="00525B88">
        <w:rPr>
          <w:szCs w:val="24"/>
        </w:rPr>
        <w:t xml:space="preserve"> bivirkninger vigtig. Det muliggør løbende overvågning af benefit/risk-forholdet for lægemidlet. Læger og sundhedspersonale anmodes om at indberette alle </w:t>
      </w:r>
      <w:r>
        <w:rPr>
          <w:szCs w:val="24"/>
        </w:rPr>
        <w:t>mistænkte</w:t>
      </w:r>
      <w:r w:rsidRPr="00525B88">
        <w:rPr>
          <w:szCs w:val="24"/>
        </w:rPr>
        <w:t xml:space="preserve"> bivirkninger via:</w:t>
      </w:r>
    </w:p>
    <w:p w:rsidR="00D83865" w:rsidRPr="00525B88" w:rsidRDefault="00D83865" w:rsidP="00D83865">
      <w:pPr>
        <w:ind w:left="851"/>
        <w:rPr>
          <w:szCs w:val="24"/>
        </w:rPr>
      </w:pPr>
    </w:p>
    <w:p w:rsidR="00D83865" w:rsidRPr="00525B88" w:rsidRDefault="00D83865" w:rsidP="00D83865">
      <w:pPr>
        <w:ind w:left="851"/>
        <w:rPr>
          <w:szCs w:val="24"/>
        </w:rPr>
      </w:pPr>
      <w:r w:rsidRPr="00525B88">
        <w:rPr>
          <w:szCs w:val="24"/>
        </w:rPr>
        <w:t>Sundhedsstyrelsen</w:t>
      </w:r>
    </w:p>
    <w:p w:rsidR="00D83865" w:rsidRPr="00525B88" w:rsidRDefault="00D83865" w:rsidP="00D83865">
      <w:pPr>
        <w:ind w:left="851"/>
        <w:rPr>
          <w:szCs w:val="24"/>
        </w:rPr>
      </w:pPr>
      <w:r w:rsidRPr="00525B88">
        <w:rPr>
          <w:szCs w:val="24"/>
        </w:rPr>
        <w:t>Axel Heides Gade 1</w:t>
      </w:r>
    </w:p>
    <w:p w:rsidR="00D83865" w:rsidRPr="00525B88" w:rsidRDefault="00D83865" w:rsidP="00D83865">
      <w:pPr>
        <w:ind w:left="851"/>
        <w:rPr>
          <w:szCs w:val="24"/>
        </w:rPr>
      </w:pPr>
      <w:r w:rsidRPr="00525B88">
        <w:rPr>
          <w:szCs w:val="24"/>
        </w:rPr>
        <w:t>DK-2300 København S</w:t>
      </w:r>
    </w:p>
    <w:p w:rsidR="00D83865" w:rsidRPr="00525B88" w:rsidRDefault="00D83865" w:rsidP="00D83865">
      <w:pPr>
        <w:ind w:left="851"/>
        <w:rPr>
          <w:szCs w:val="24"/>
          <w:lang w:val="en-US"/>
        </w:rPr>
      </w:pPr>
      <w:r w:rsidRPr="00525B88">
        <w:rPr>
          <w:szCs w:val="24"/>
          <w:lang w:val="en-US"/>
        </w:rPr>
        <w:t xml:space="preserve">Websted: </w:t>
      </w:r>
      <w:hyperlink r:id="rId8" w:history="1">
        <w:r w:rsidRPr="00525B88">
          <w:rPr>
            <w:color w:val="0000FF"/>
            <w:u w:val="single"/>
            <w:lang w:val="en-US"/>
          </w:rPr>
          <w:t>www.meldenbivirkning.dk</w:t>
        </w:r>
      </w:hyperlink>
    </w:p>
    <w:p w:rsidR="00D83865" w:rsidRPr="00525B88" w:rsidRDefault="00D83865" w:rsidP="00D83865">
      <w:pPr>
        <w:ind w:left="851"/>
        <w:rPr>
          <w:szCs w:val="24"/>
          <w:lang w:val="en-US"/>
        </w:rPr>
      </w:pPr>
      <w:r w:rsidRPr="00525B88">
        <w:rPr>
          <w:szCs w:val="24"/>
          <w:lang w:val="en-US"/>
        </w:rPr>
        <w:t xml:space="preserve">E-mail: </w:t>
      </w:r>
      <w:hyperlink r:id="rId9" w:history="1">
        <w:r w:rsidRPr="00525B88">
          <w:rPr>
            <w:color w:val="0000FF"/>
            <w:u w:val="single"/>
            <w:lang w:val="en-US"/>
          </w:rPr>
          <w:t>sst@sst.dk</w:t>
        </w:r>
      </w:hyperlink>
    </w:p>
    <w:p w:rsidR="00D83865" w:rsidRPr="00DE5676" w:rsidRDefault="00D83865" w:rsidP="00D83865">
      <w:pPr>
        <w:rPr>
          <w:szCs w:val="24"/>
          <w:lang w:val="en-US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Overdosering</w:t>
      </w:r>
    </w:p>
    <w:p w:rsidR="00D83865" w:rsidRDefault="00D83865" w:rsidP="00D83865">
      <w:pPr>
        <w:tabs>
          <w:tab w:val="left" w:pos="851"/>
        </w:tabs>
        <w:ind w:left="855"/>
      </w:pPr>
      <w:r>
        <w:t>Overdosering af kodriverblomst kan medføre gastrointestinale gener, opkastning og diarré.</w:t>
      </w:r>
    </w:p>
    <w:p w:rsidR="00D83865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  <w:t>Overdosering af ensianrod kan medføre tachycardi og hovedpine.</w:t>
      </w:r>
    </w:p>
    <w:p w:rsidR="00D83865" w:rsidRDefault="00D83865" w:rsidP="00D83865">
      <w:pPr>
        <w:tabs>
          <w:tab w:val="left" w:pos="851"/>
        </w:tabs>
        <w:rPr>
          <w:szCs w:val="24"/>
        </w:rPr>
      </w:pPr>
    </w:p>
    <w:p w:rsidR="00D83865" w:rsidRPr="00613604" w:rsidRDefault="00D83865" w:rsidP="00D83865">
      <w:pPr>
        <w:tabs>
          <w:tab w:val="left" w:pos="851"/>
        </w:tabs>
        <w:ind w:left="851"/>
        <w:rPr>
          <w:szCs w:val="24"/>
        </w:rPr>
      </w:pPr>
      <w:r w:rsidRPr="00613604">
        <w:rPr>
          <w:szCs w:val="24"/>
        </w:rPr>
        <w:t>Behandling af overdosering: Symptomatisk.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1"/>
          <w:numId w:val="6"/>
        </w:numPr>
        <w:rPr>
          <w:b/>
          <w:szCs w:val="24"/>
        </w:rPr>
      </w:pPr>
      <w:r w:rsidRPr="00921EFA">
        <w:rPr>
          <w:b/>
          <w:szCs w:val="24"/>
        </w:rPr>
        <w:t>Udlevering</w:t>
      </w:r>
    </w:p>
    <w:p w:rsidR="00D83865" w:rsidRPr="00921EFA" w:rsidRDefault="00D83865" w:rsidP="00D83865">
      <w:pPr>
        <w:tabs>
          <w:tab w:val="left" w:pos="851"/>
        </w:tabs>
        <w:ind w:left="851" w:hanging="851"/>
        <w:rPr>
          <w:szCs w:val="24"/>
        </w:rPr>
      </w:pPr>
      <w:r w:rsidRPr="00921EFA">
        <w:rPr>
          <w:szCs w:val="24"/>
        </w:rPr>
        <w:tab/>
        <w:t>HF</w:t>
      </w:r>
    </w:p>
    <w:p w:rsidR="00D83865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0"/>
          <w:numId w:val="6"/>
        </w:numPr>
        <w:rPr>
          <w:b/>
          <w:szCs w:val="24"/>
        </w:rPr>
      </w:pPr>
      <w:r w:rsidRPr="00921EFA">
        <w:rPr>
          <w:b/>
          <w:szCs w:val="24"/>
        </w:rPr>
        <w:t xml:space="preserve">FARMAKOLOGISKE </w:t>
      </w:r>
      <w:r>
        <w:rPr>
          <w:b/>
          <w:szCs w:val="24"/>
        </w:rPr>
        <w:t>EGENSKABER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0"/>
          <w:numId w:val="7"/>
        </w:numPr>
        <w:rPr>
          <w:b/>
          <w:szCs w:val="24"/>
        </w:rPr>
      </w:pPr>
      <w:r w:rsidRPr="00921EFA">
        <w:rPr>
          <w:b/>
          <w:szCs w:val="24"/>
        </w:rPr>
        <w:t>Terapeutisk klassifikation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  <w:t xml:space="preserve">ATC-kode: </w:t>
      </w:r>
      <w:r w:rsidRPr="00921EFA">
        <w:rPr>
          <w:szCs w:val="24"/>
        </w:rPr>
        <w:t>R</w:t>
      </w:r>
      <w:r>
        <w:rPr>
          <w:szCs w:val="24"/>
        </w:rPr>
        <w:t xml:space="preserve"> </w:t>
      </w:r>
      <w:r w:rsidRPr="00921EFA">
        <w:rPr>
          <w:szCs w:val="24"/>
        </w:rPr>
        <w:t>05</w:t>
      </w:r>
      <w:r>
        <w:rPr>
          <w:szCs w:val="24"/>
        </w:rPr>
        <w:t xml:space="preserve"> </w:t>
      </w:r>
      <w:r w:rsidRPr="00921EFA">
        <w:rPr>
          <w:szCs w:val="24"/>
        </w:rPr>
        <w:t>X</w:t>
      </w:r>
      <w:r>
        <w:rPr>
          <w:szCs w:val="24"/>
        </w:rPr>
        <w:t>. A</w:t>
      </w:r>
      <w:r w:rsidRPr="00921EFA">
        <w:rPr>
          <w:szCs w:val="24"/>
        </w:rPr>
        <w:t>ndre midler mod forkølelse.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rPr>
          <w:b/>
          <w:szCs w:val="24"/>
        </w:rPr>
      </w:pPr>
      <w:r w:rsidRPr="00921EFA">
        <w:rPr>
          <w:b/>
          <w:szCs w:val="24"/>
        </w:rPr>
        <w:t>5.1</w:t>
      </w:r>
      <w:r w:rsidRPr="00921EFA">
        <w:rPr>
          <w:b/>
          <w:szCs w:val="24"/>
        </w:rPr>
        <w:tab/>
        <w:t>Farmakodynamiske egenskaber</w:t>
      </w:r>
    </w:p>
    <w:p w:rsidR="00D83865" w:rsidRPr="00921EFA" w:rsidRDefault="00D83865" w:rsidP="00D83865">
      <w:pPr>
        <w:tabs>
          <w:tab w:val="left" w:pos="851"/>
        </w:tabs>
        <w:ind w:left="851"/>
        <w:rPr>
          <w:szCs w:val="24"/>
        </w:rPr>
      </w:pPr>
      <w:r w:rsidRPr="00921EFA">
        <w:rPr>
          <w:szCs w:val="24"/>
        </w:rPr>
        <w:t>I dyrestudier er set en sekretionsfremmende påvirkning muligvis via en reflektorisk reaktion.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1"/>
          <w:numId w:val="8"/>
        </w:numPr>
        <w:rPr>
          <w:b/>
          <w:szCs w:val="24"/>
        </w:rPr>
      </w:pPr>
      <w:r w:rsidRPr="00921EFA">
        <w:rPr>
          <w:b/>
          <w:szCs w:val="24"/>
        </w:rPr>
        <w:t>Farmakokinetiske egenskaber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tab/>
      </w:r>
      <w:r w:rsidRPr="00921EFA">
        <w:rPr>
          <w:szCs w:val="24"/>
        </w:rPr>
        <w:t>Der foreligger ingen farmakokinetiske studier.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1"/>
          <w:numId w:val="9"/>
        </w:numPr>
        <w:rPr>
          <w:b/>
          <w:szCs w:val="24"/>
        </w:rPr>
      </w:pPr>
      <w:r w:rsidRPr="00921EFA">
        <w:rPr>
          <w:b/>
          <w:szCs w:val="24"/>
        </w:rPr>
        <w:t>Prækliniske sikkerhedsdata</w:t>
      </w:r>
    </w:p>
    <w:p w:rsidR="00D83865" w:rsidRDefault="00D83865" w:rsidP="00D83865">
      <w:pPr>
        <w:tabs>
          <w:tab w:val="left" w:pos="851"/>
        </w:tabs>
        <w:ind w:left="855"/>
      </w:pPr>
      <w:r>
        <w:t>Ingen toksiske effekter er set i prækliniske studier.</w:t>
      </w:r>
    </w:p>
    <w:p w:rsidR="00D83865" w:rsidRDefault="00D83865" w:rsidP="00D83865">
      <w:pPr>
        <w:tabs>
          <w:tab w:val="left" w:pos="851"/>
        </w:tabs>
        <w:ind w:left="855"/>
      </w:pPr>
      <w:r>
        <w:t>Studier viste ingen reproduktionstoksiske eller genotoksiske effekter.</w:t>
      </w:r>
    </w:p>
    <w:p w:rsidR="00D83865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  <w:r>
        <w:rPr>
          <w:szCs w:val="24"/>
        </w:rPr>
        <w:br w:type="page"/>
      </w:r>
    </w:p>
    <w:p w:rsidR="00D83865" w:rsidRPr="00921EFA" w:rsidRDefault="00D83865" w:rsidP="00D83865">
      <w:pPr>
        <w:numPr>
          <w:ilvl w:val="0"/>
          <w:numId w:val="8"/>
        </w:numPr>
        <w:rPr>
          <w:b/>
          <w:szCs w:val="24"/>
        </w:rPr>
      </w:pPr>
      <w:r w:rsidRPr="00921EFA">
        <w:rPr>
          <w:b/>
          <w:szCs w:val="24"/>
        </w:rPr>
        <w:t>FARMACEUTISKE OPLYSNINGER</w:t>
      </w:r>
    </w:p>
    <w:p w:rsidR="00D83865" w:rsidRPr="00921EFA" w:rsidRDefault="00D83865" w:rsidP="00D83865">
      <w:pPr>
        <w:tabs>
          <w:tab w:val="left" w:pos="851"/>
        </w:tabs>
        <w:rPr>
          <w:b/>
          <w:szCs w:val="24"/>
        </w:rPr>
      </w:pPr>
    </w:p>
    <w:p w:rsidR="00D83865" w:rsidRPr="00921EFA" w:rsidRDefault="00D83865" w:rsidP="00D83865">
      <w:pPr>
        <w:numPr>
          <w:ilvl w:val="1"/>
          <w:numId w:val="10"/>
        </w:numPr>
        <w:rPr>
          <w:b/>
          <w:szCs w:val="24"/>
        </w:rPr>
      </w:pPr>
      <w:r w:rsidRPr="00921EFA">
        <w:rPr>
          <w:b/>
          <w:szCs w:val="24"/>
        </w:rPr>
        <w:t>Hjælpestoffer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Calciumcarbonat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Ricinusolie, renset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Silica, kolloid vandfri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Butyleret methacrylatcopolymer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Gelatine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Glucose, flydende</w:t>
      </w:r>
    </w:p>
    <w:p w:rsidR="00D83865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Indigotin (E132)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Aluminiumhydroxid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Titandioxid (E171)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Lactosemonohydrat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Magnesiumoxid, let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Majsstivelse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Montanglycolvoks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Kartoffelstivelse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Shellac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Sorbitol (E420)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Stearinsyre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Saccharose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  <w:r w:rsidRPr="00FC5CE8">
        <w:rPr>
          <w:szCs w:val="24"/>
        </w:rPr>
        <w:t>Talcum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Dextrin</w:t>
      </w:r>
    </w:p>
    <w:p w:rsidR="00D83865" w:rsidRPr="000A1561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Riboflavin E101</w:t>
      </w:r>
    </w:p>
    <w:p w:rsidR="00D83865" w:rsidRDefault="00D83865" w:rsidP="00D83865">
      <w:pPr>
        <w:tabs>
          <w:tab w:val="left" w:pos="851"/>
        </w:tabs>
        <w:ind w:left="851"/>
        <w:rPr>
          <w:szCs w:val="24"/>
        </w:rPr>
      </w:pPr>
      <w:r w:rsidRPr="000A1561">
        <w:rPr>
          <w:szCs w:val="24"/>
        </w:rPr>
        <w:t>Chlorofyl-kobber-kompleks E141</w:t>
      </w:r>
    </w:p>
    <w:p w:rsidR="00D83865" w:rsidRPr="00FC5CE8" w:rsidRDefault="00D83865" w:rsidP="00D83865">
      <w:pPr>
        <w:tabs>
          <w:tab w:val="left" w:pos="851"/>
        </w:tabs>
        <w:ind w:left="851"/>
        <w:rPr>
          <w:szCs w:val="24"/>
        </w:rPr>
      </w:pPr>
    </w:p>
    <w:p w:rsidR="00D83865" w:rsidRPr="00921EFA" w:rsidRDefault="00D83865" w:rsidP="00D83865">
      <w:pPr>
        <w:numPr>
          <w:ilvl w:val="1"/>
          <w:numId w:val="10"/>
        </w:numPr>
        <w:rPr>
          <w:b/>
          <w:szCs w:val="24"/>
        </w:rPr>
      </w:pPr>
      <w:r w:rsidRPr="00921EFA">
        <w:rPr>
          <w:b/>
          <w:szCs w:val="24"/>
        </w:rPr>
        <w:t>Uforligeligheder</w:t>
      </w:r>
    </w:p>
    <w:p w:rsidR="00D83865" w:rsidRPr="00921EFA" w:rsidRDefault="00D83865" w:rsidP="00D83865">
      <w:pPr>
        <w:tabs>
          <w:tab w:val="left" w:pos="851"/>
        </w:tabs>
        <w:ind w:left="855"/>
        <w:rPr>
          <w:szCs w:val="24"/>
        </w:rPr>
      </w:pPr>
      <w:r w:rsidRPr="00921EFA">
        <w:rPr>
          <w:szCs w:val="24"/>
        </w:rPr>
        <w:t>Ikke relevant.</w:t>
      </w:r>
    </w:p>
    <w:p w:rsidR="00D83865" w:rsidRPr="00921EFA" w:rsidRDefault="00D83865" w:rsidP="00D83865">
      <w:pPr>
        <w:tabs>
          <w:tab w:val="left" w:pos="851"/>
        </w:tabs>
        <w:ind w:left="851" w:hanging="851"/>
        <w:rPr>
          <w:szCs w:val="24"/>
        </w:rPr>
      </w:pPr>
    </w:p>
    <w:p w:rsidR="00D83865" w:rsidRPr="00921EFA" w:rsidRDefault="00D83865" w:rsidP="00D83865">
      <w:pPr>
        <w:numPr>
          <w:ilvl w:val="1"/>
          <w:numId w:val="10"/>
        </w:numPr>
        <w:rPr>
          <w:b/>
          <w:szCs w:val="24"/>
        </w:rPr>
      </w:pPr>
      <w:r w:rsidRPr="00921EFA">
        <w:rPr>
          <w:b/>
          <w:szCs w:val="24"/>
        </w:rPr>
        <w:t>Opbevaringstid</w:t>
      </w:r>
    </w:p>
    <w:p w:rsidR="00D83865" w:rsidRPr="00921EFA" w:rsidRDefault="00D83865" w:rsidP="00D83865">
      <w:pPr>
        <w:tabs>
          <w:tab w:val="left" w:pos="851"/>
        </w:tabs>
        <w:ind w:left="855"/>
        <w:rPr>
          <w:szCs w:val="24"/>
        </w:rPr>
      </w:pPr>
      <w:r w:rsidRPr="00921EFA">
        <w:rPr>
          <w:szCs w:val="24"/>
        </w:rPr>
        <w:t>3 år.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1"/>
          <w:numId w:val="10"/>
        </w:numPr>
        <w:rPr>
          <w:b/>
          <w:szCs w:val="24"/>
        </w:rPr>
      </w:pPr>
      <w:r w:rsidRPr="00921EFA">
        <w:rPr>
          <w:b/>
          <w:szCs w:val="24"/>
        </w:rPr>
        <w:t>Særlige opbevaringsforhold</w:t>
      </w:r>
    </w:p>
    <w:p w:rsidR="00D83865" w:rsidRPr="00BE698B" w:rsidRDefault="00D83865" w:rsidP="00D83865">
      <w:pPr>
        <w:ind w:left="855"/>
        <w:rPr>
          <w:szCs w:val="23"/>
        </w:rPr>
      </w:pPr>
      <w:r w:rsidRPr="00BE698B">
        <w:rPr>
          <w:szCs w:val="23"/>
        </w:rPr>
        <w:t xml:space="preserve">Må ikke opbevares over 30 </w:t>
      </w:r>
      <w:r w:rsidRPr="00BE698B">
        <w:rPr>
          <w:szCs w:val="23"/>
          <w:vertAlign w:val="superscript"/>
        </w:rPr>
        <w:t>o</w:t>
      </w:r>
      <w:r w:rsidRPr="00BE698B">
        <w:rPr>
          <w:szCs w:val="23"/>
        </w:rPr>
        <w:t xml:space="preserve">C. 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Pr="00921EFA" w:rsidRDefault="00D83865" w:rsidP="00D83865">
      <w:pPr>
        <w:numPr>
          <w:ilvl w:val="1"/>
          <w:numId w:val="10"/>
        </w:numPr>
        <w:rPr>
          <w:b/>
          <w:szCs w:val="24"/>
        </w:rPr>
      </w:pPr>
      <w:r w:rsidRPr="00921EFA">
        <w:rPr>
          <w:b/>
          <w:szCs w:val="24"/>
        </w:rPr>
        <w:t>Emballage</w:t>
      </w:r>
      <w:r>
        <w:rPr>
          <w:b/>
          <w:szCs w:val="24"/>
        </w:rPr>
        <w:t>typer og pakningsstørrelser</w:t>
      </w:r>
    </w:p>
    <w:p w:rsidR="00D83865" w:rsidRDefault="00D83865" w:rsidP="00D83865">
      <w:pPr>
        <w:tabs>
          <w:tab w:val="left" w:pos="851"/>
        </w:tabs>
        <w:ind w:left="855"/>
        <w:rPr>
          <w:szCs w:val="24"/>
        </w:rPr>
      </w:pPr>
      <w:r>
        <w:rPr>
          <w:szCs w:val="24"/>
        </w:rPr>
        <w:t>Blister.</w:t>
      </w:r>
    </w:p>
    <w:p w:rsidR="00D83865" w:rsidRDefault="00D83865" w:rsidP="00D83865">
      <w:pPr>
        <w:tabs>
          <w:tab w:val="left" w:pos="851"/>
        </w:tabs>
        <w:ind w:left="855"/>
        <w:rPr>
          <w:szCs w:val="24"/>
        </w:rPr>
      </w:pPr>
    </w:p>
    <w:p w:rsidR="00D83865" w:rsidRPr="00921EFA" w:rsidRDefault="00D83865" w:rsidP="00D83865">
      <w:pPr>
        <w:numPr>
          <w:ilvl w:val="1"/>
          <w:numId w:val="10"/>
        </w:numPr>
        <w:rPr>
          <w:b/>
          <w:szCs w:val="24"/>
        </w:rPr>
      </w:pPr>
      <w:r>
        <w:rPr>
          <w:b/>
          <w:szCs w:val="24"/>
        </w:rPr>
        <w:t>Regler for destruktion og anden</w:t>
      </w:r>
      <w:r w:rsidRPr="00921EFA">
        <w:rPr>
          <w:b/>
          <w:szCs w:val="24"/>
        </w:rPr>
        <w:t xml:space="preserve"> håndtering</w:t>
      </w:r>
    </w:p>
    <w:p w:rsidR="00D83865" w:rsidRPr="00921EFA" w:rsidRDefault="00D83865" w:rsidP="00D83865">
      <w:pPr>
        <w:tabs>
          <w:tab w:val="left" w:pos="851"/>
        </w:tabs>
        <w:ind w:left="855"/>
        <w:rPr>
          <w:szCs w:val="24"/>
        </w:rPr>
      </w:pPr>
      <w:r w:rsidRPr="00921EFA">
        <w:rPr>
          <w:szCs w:val="24"/>
        </w:rPr>
        <w:t>Ingen særlige forholdsregler.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Default="00D83865" w:rsidP="00D83865">
      <w:pPr>
        <w:tabs>
          <w:tab w:val="left" w:pos="851"/>
        </w:tabs>
        <w:ind w:left="851" w:hanging="851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>INDEHAVER AF MARKEDSFØRINGSTILLADELSEN</w:t>
      </w:r>
    </w:p>
    <w:p w:rsidR="00CA6A34" w:rsidRPr="00CA6A34" w:rsidRDefault="00D83865" w:rsidP="00CA6A34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Cs w:val="24"/>
        </w:rPr>
      </w:pPr>
      <w:r w:rsidRPr="00236FAE">
        <w:rPr>
          <w:spacing w:val="-3"/>
          <w:szCs w:val="24"/>
          <w:lang w:val="en-US"/>
        </w:rPr>
        <w:t>Orifarm A/S</w:t>
      </w:r>
    </w:p>
    <w:p w:rsidR="00D83865" w:rsidRPr="00236FAE" w:rsidRDefault="00D83865" w:rsidP="00D83865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Cs w:val="24"/>
          <w:lang w:val="en-US"/>
        </w:rPr>
      </w:pPr>
      <w:r w:rsidRPr="00236FAE">
        <w:rPr>
          <w:spacing w:val="-3"/>
          <w:szCs w:val="24"/>
          <w:lang w:val="en-US"/>
        </w:rPr>
        <w:t>Energivej 15</w:t>
      </w:r>
    </w:p>
    <w:p w:rsidR="00D83865" w:rsidRPr="00236FAE" w:rsidRDefault="00D83865" w:rsidP="00D83865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Cs w:val="24"/>
          <w:lang w:val="en-US"/>
        </w:rPr>
      </w:pPr>
      <w:r w:rsidRPr="00236FAE">
        <w:rPr>
          <w:spacing w:val="-3"/>
          <w:szCs w:val="24"/>
          <w:lang w:val="en-US"/>
        </w:rPr>
        <w:t>5260 Odense S</w:t>
      </w:r>
    </w:p>
    <w:p w:rsidR="00D83865" w:rsidRPr="00236FAE" w:rsidRDefault="00D83865" w:rsidP="00D83865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Cs w:val="24"/>
          <w:lang w:val="en-US"/>
        </w:rPr>
      </w:pPr>
    </w:p>
    <w:p w:rsidR="00D83865" w:rsidRDefault="00D83865" w:rsidP="00D83865">
      <w:pPr>
        <w:tabs>
          <w:tab w:val="left" w:pos="851"/>
        </w:tabs>
        <w:ind w:left="851" w:hanging="851"/>
        <w:rPr>
          <w:b/>
          <w:szCs w:val="24"/>
        </w:rPr>
      </w:pPr>
      <w:r>
        <w:rPr>
          <w:b/>
          <w:szCs w:val="24"/>
        </w:rPr>
        <w:t>8.</w:t>
      </w:r>
      <w:r>
        <w:rPr>
          <w:b/>
          <w:szCs w:val="24"/>
        </w:rPr>
        <w:tab/>
        <w:t>MARKEDSFØRINGSTILLADELSESNUMMER (NUMRE)</w:t>
      </w:r>
    </w:p>
    <w:p w:rsidR="00D83865" w:rsidRPr="00921EFA" w:rsidRDefault="00D83865" w:rsidP="00D83865">
      <w:pPr>
        <w:tabs>
          <w:tab w:val="left" w:pos="851"/>
        </w:tabs>
        <w:ind w:left="851" w:hanging="851"/>
        <w:rPr>
          <w:szCs w:val="24"/>
        </w:rPr>
      </w:pPr>
      <w:r w:rsidRPr="00921EFA">
        <w:rPr>
          <w:szCs w:val="24"/>
        </w:rPr>
        <w:tab/>
      </w:r>
      <w:r w:rsidRPr="000A1561">
        <w:rPr>
          <w:szCs w:val="24"/>
        </w:rPr>
        <w:t>5362814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Default="00D83865" w:rsidP="00D83865">
      <w:pPr>
        <w:tabs>
          <w:tab w:val="left" w:pos="851"/>
        </w:tabs>
        <w:ind w:left="851" w:hanging="851"/>
        <w:rPr>
          <w:b/>
          <w:szCs w:val="24"/>
        </w:rPr>
      </w:pPr>
      <w:r>
        <w:rPr>
          <w:b/>
          <w:szCs w:val="24"/>
        </w:rPr>
        <w:t>9.</w:t>
      </w:r>
      <w:r>
        <w:rPr>
          <w:b/>
          <w:szCs w:val="24"/>
        </w:rPr>
        <w:tab/>
        <w:t>DATO FOR FØRSTE MARKEDSFØRINGSTILLADELSE</w:t>
      </w:r>
    </w:p>
    <w:p w:rsidR="00D83865" w:rsidRPr="00921EFA" w:rsidRDefault="00D83865" w:rsidP="00D83865">
      <w:pPr>
        <w:tabs>
          <w:tab w:val="left" w:pos="851"/>
        </w:tabs>
        <w:ind w:left="855"/>
        <w:rPr>
          <w:szCs w:val="24"/>
        </w:rPr>
      </w:pPr>
      <w:r>
        <w:rPr>
          <w:szCs w:val="24"/>
        </w:rPr>
        <w:t>18. juni 2015</w:t>
      </w:r>
    </w:p>
    <w:p w:rsidR="00D83865" w:rsidRPr="00921EFA" w:rsidRDefault="00D83865" w:rsidP="00D83865">
      <w:pPr>
        <w:tabs>
          <w:tab w:val="left" w:pos="851"/>
        </w:tabs>
        <w:rPr>
          <w:szCs w:val="24"/>
        </w:rPr>
      </w:pPr>
    </w:p>
    <w:p w:rsidR="00D83865" w:rsidRDefault="00D83865" w:rsidP="00D83865">
      <w:pPr>
        <w:tabs>
          <w:tab w:val="left" w:pos="851"/>
        </w:tabs>
        <w:ind w:left="851" w:hanging="851"/>
        <w:rPr>
          <w:b/>
          <w:szCs w:val="24"/>
        </w:rPr>
      </w:pPr>
      <w:r>
        <w:rPr>
          <w:b/>
          <w:szCs w:val="24"/>
        </w:rPr>
        <w:t>10.</w:t>
      </w:r>
      <w:r>
        <w:rPr>
          <w:b/>
          <w:szCs w:val="24"/>
        </w:rPr>
        <w:tab/>
        <w:t>DATO FOR ÆNDRING AF TEKSTEN</w:t>
      </w:r>
    </w:p>
    <w:p w:rsidR="009260DE" w:rsidRPr="00D83865" w:rsidRDefault="00D83865" w:rsidP="00CA6A34">
      <w:pPr>
        <w:tabs>
          <w:tab w:val="left" w:pos="851"/>
        </w:tabs>
      </w:pPr>
      <w:r w:rsidRPr="00921EFA">
        <w:rPr>
          <w:szCs w:val="24"/>
        </w:rPr>
        <w:tab/>
      </w:r>
      <w:r w:rsidR="00CA6A34">
        <w:rPr>
          <w:szCs w:val="24"/>
        </w:rPr>
        <w:t>20. marts 2020</w:t>
      </w:r>
    </w:p>
    <w:sectPr w:rsidR="009260DE" w:rsidRPr="00D83865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65" w:rsidRDefault="00D83865">
      <w:r>
        <w:separator/>
      </w:r>
    </w:p>
  </w:endnote>
  <w:endnote w:type="continuationSeparator" w:id="0">
    <w:p w:rsidR="00D83865" w:rsidRDefault="00D8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A6A34">
      <w:rPr>
        <w:i/>
        <w:noProof/>
        <w:sz w:val="18"/>
        <w:szCs w:val="18"/>
      </w:rPr>
      <w:t>Sinupret (Orifarm), overtrukne tabletter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65" w:rsidRDefault="00D83865">
      <w:r>
        <w:separator/>
      </w:r>
    </w:p>
  </w:footnote>
  <w:footnote w:type="continuationSeparator" w:id="0">
    <w:p w:rsidR="00D83865" w:rsidRDefault="00D8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6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36FAE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A6A34"/>
    <w:rsid w:val="00CB20D7"/>
    <w:rsid w:val="00D020B0"/>
    <w:rsid w:val="00D11748"/>
    <w:rsid w:val="00D366CF"/>
    <w:rsid w:val="00D83865"/>
    <w:rsid w:val="00DF7783"/>
    <w:rsid w:val="00E108AA"/>
    <w:rsid w:val="00E31812"/>
    <w:rsid w:val="00E3749A"/>
    <w:rsid w:val="00E7437F"/>
    <w:rsid w:val="00E865B8"/>
    <w:rsid w:val="00E96AFF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4C708-AA0A-4605-A214-A9CF8719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st@sst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0</TotalTime>
  <Pages>3</Pages>
  <Words>741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Simone Colberg</dc:creator>
  <cp:keywords/>
  <dc:description>2019093228, logo - Simone Colberg : 20-03-2020 10:17_x000d_
_x000d_
2014020417 - Nyt SPC-PI (24.09.2015 aluminiumhydroxid tilføjet 6.1)</dc:description>
  <cp:lastModifiedBy>testkonto01</cp:lastModifiedBy>
  <cp:revision>2</cp:revision>
  <cp:lastPrinted>2012-08-22T08:53:00Z</cp:lastPrinted>
  <dcterms:created xsi:type="dcterms:W3CDTF">2020-03-23T08:21:00Z</dcterms:created>
  <dcterms:modified xsi:type="dcterms:W3CDTF">2020-03-23T08:21:00Z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