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2F7" w:rsidRPr="008F49E1" w:rsidRDefault="00AB02F7" w:rsidP="00AB02F7">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2C118765" wp14:editId="3783FEE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B02F7" w:rsidRPr="00C84483" w:rsidRDefault="00AB02F7" w:rsidP="00AB02F7">
      <w:pPr>
        <w:pStyle w:val="Markeringsbobletekst"/>
        <w:tabs>
          <w:tab w:val="right" w:pos="9356"/>
        </w:tabs>
        <w:rPr>
          <w:b/>
          <w:szCs w:val="24"/>
        </w:rPr>
      </w:pPr>
    </w:p>
    <w:p w:rsidR="00AB02F7" w:rsidRPr="00C84483" w:rsidRDefault="00AB02F7" w:rsidP="00AB02F7">
      <w:pPr>
        <w:pStyle w:val="Titel"/>
        <w:tabs>
          <w:tab w:val="right" w:pos="9356"/>
        </w:tabs>
        <w:jc w:val="left"/>
        <w:rPr>
          <w:b w:val="0"/>
          <w:szCs w:val="24"/>
          <w:lang w:eastAsia="en-US"/>
        </w:rPr>
      </w:pPr>
      <w:r w:rsidRPr="00C84483">
        <w:rPr>
          <w:b w:val="0"/>
          <w:szCs w:val="24"/>
          <w:lang w:eastAsia="en-US"/>
        </w:rPr>
        <w:tab/>
      </w:r>
      <w:r w:rsidR="002F4C60">
        <w:rPr>
          <w:szCs w:val="24"/>
        </w:rPr>
        <w:t>8</w:t>
      </w:r>
      <w:r>
        <w:rPr>
          <w:szCs w:val="24"/>
        </w:rPr>
        <w:t xml:space="preserve">. </w:t>
      </w:r>
      <w:r w:rsidR="002F4C60">
        <w:rPr>
          <w:szCs w:val="24"/>
        </w:rPr>
        <w:t>november</w:t>
      </w:r>
      <w:r>
        <w:rPr>
          <w:szCs w:val="24"/>
        </w:rPr>
        <w:t xml:space="preserve"> 20</w:t>
      </w:r>
      <w:r w:rsidR="002F4C60">
        <w:rPr>
          <w:szCs w:val="24"/>
        </w:rPr>
        <w:t>21</w:t>
      </w:r>
    </w:p>
    <w:p w:rsidR="00AB02F7" w:rsidRPr="00C84483" w:rsidRDefault="00AB02F7" w:rsidP="00AB02F7">
      <w:pPr>
        <w:pStyle w:val="Titel"/>
        <w:jc w:val="left"/>
        <w:rPr>
          <w:b w:val="0"/>
          <w:szCs w:val="24"/>
        </w:rPr>
      </w:pPr>
    </w:p>
    <w:p w:rsidR="00AB02F7" w:rsidRPr="00C84483" w:rsidRDefault="00AB02F7" w:rsidP="00AB02F7">
      <w:pPr>
        <w:pStyle w:val="Titel"/>
        <w:jc w:val="left"/>
        <w:rPr>
          <w:b w:val="0"/>
          <w:szCs w:val="24"/>
        </w:rPr>
      </w:pPr>
    </w:p>
    <w:p w:rsidR="00AB02F7" w:rsidRPr="00C84483" w:rsidRDefault="00AB02F7" w:rsidP="00AB02F7">
      <w:pPr>
        <w:jc w:val="center"/>
        <w:rPr>
          <w:b/>
          <w:sz w:val="24"/>
          <w:szCs w:val="24"/>
        </w:rPr>
      </w:pPr>
      <w:r w:rsidRPr="00C84483">
        <w:rPr>
          <w:b/>
          <w:sz w:val="24"/>
          <w:szCs w:val="24"/>
        </w:rPr>
        <w:t>PRODUKTRESUMÉ</w:t>
      </w:r>
    </w:p>
    <w:p w:rsidR="00AB02F7" w:rsidRPr="00C84483" w:rsidRDefault="00AB02F7" w:rsidP="00AB02F7">
      <w:pPr>
        <w:jc w:val="center"/>
        <w:rPr>
          <w:b/>
          <w:sz w:val="24"/>
          <w:szCs w:val="24"/>
        </w:rPr>
      </w:pPr>
    </w:p>
    <w:p w:rsidR="00AB02F7" w:rsidRDefault="00AB02F7" w:rsidP="00AB02F7">
      <w:pPr>
        <w:jc w:val="center"/>
        <w:rPr>
          <w:b/>
          <w:sz w:val="24"/>
          <w:szCs w:val="24"/>
        </w:rPr>
      </w:pPr>
      <w:r w:rsidRPr="00C84483">
        <w:rPr>
          <w:b/>
          <w:sz w:val="24"/>
          <w:szCs w:val="24"/>
        </w:rPr>
        <w:t>for</w:t>
      </w:r>
    </w:p>
    <w:p w:rsidR="00AB02F7" w:rsidRPr="00C84483" w:rsidRDefault="00AB02F7" w:rsidP="00AB02F7">
      <w:pPr>
        <w:jc w:val="center"/>
        <w:rPr>
          <w:b/>
          <w:sz w:val="24"/>
          <w:szCs w:val="24"/>
        </w:rPr>
      </w:pPr>
    </w:p>
    <w:p w:rsidR="00AB02F7" w:rsidRPr="00C84483" w:rsidRDefault="00AB02F7" w:rsidP="00AB02F7">
      <w:pPr>
        <w:jc w:val="center"/>
        <w:rPr>
          <w:b/>
          <w:sz w:val="24"/>
          <w:szCs w:val="24"/>
        </w:rPr>
      </w:pPr>
      <w:proofErr w:type="spellStart"/>
      <w:r>
        <w:rPr>
          <w:b/>
          <w:sz w:val="24"/>
          <w:szCs w:val="24"/>
        </w:rPr>
        <w:t>Sirkava</w:t>
      </w:r>
      <w:proofErr w:type="spellEnd"/>
      <w:r>
        <w:rPr>
          <w:b/>
          <w:sz w:val="24"/>
          <w:szCs w:val="24"/>
        </w:rPr>
        <w:t>, inhalationspulver, hårde kapsler</w:t>
      </w:r>
    </w:p>
    <w:p w:rsidR="00AB02F7" w:rsidRPr="00C84483" w:rsidRDefault="00AB02F7" w:rsidP="00AB02F7">
      <w:pPr>
        <w:jc w:val="both"/>
        <w:rPr>
          <w:sz w:val="24"/>
          <w:szCs w:val="24"/>
        </w:rPr>
      </w:pPr>
    </w:p>
    <w:p w:rsidR="00AB02F7" w:rsidRPr="00C84483" w:rsidRDefault="00AB02F7" w:rsidP="00AB02F7">
      <w:pPr>
        <w:jc w:val="both"/>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0.</w:t>
      </w:r>
      <w:r w:rsidRPr="00C84483">
        <w:rPr>
          <w:b/>
          <w:sz w:val="24"/>
          <w:szCs w:val="24"/>
        </w:rPr>
        <w:tab/>
        <w:t>D.SP.NR.</w:t>
      </w:r>
    </w:p>
    <w:p w:rsidR="00AB02F7" w:rsidRDefault="00AB02F7" w:rsidP="00AB02F7">
      <w:pPr>
        <w:tabs>
          <w:tab w:val="left" w:pos="851"/>
        </w:tabs>
        <w:ind w:left="851"/>
        <w:rPr>
          <w:sz w:val="24"/>
          <w:szCs w:val="24"/>
        </w:rPr>
      </w:pPr>
      <w:r>
        <w:rPr>
          <w:sz w:val="24"/>
          <w:szCs w:val="24"/>
        </w:rPr>
        <w:t>30745</w:t>
      </w:r>
    </w:p>
    <w:p w:rsidR="00AB02F7" w:rsidRDefault="00AB02F7" w:rsidP="00AB02F7">
      <w:pPr>
        <w:tabs>
          <w:tab w:val="left" w:pos="851"/>
        </w:tabs>
        <w:ind w:left="851"/>
        <w:rPr>
          <w:sz w:val="24"/>
          <w:szCs w:val="24"/>
        </w:rPr>
      </w:pPr>
    </w:p>
    <w:p w:rsidR="00AB02F7" w:rsidRDefault="00AB02F7" w:rsidP="00AB02F7">
      <w:pPr>
        <w:tabs>
          <w:tab w:val="left" w:pos="851"/>
        </w:tabs>
        <w:ind w:left="851" w:hanging="851"/>
        <w:rPr>
          <w:b/>
          <w:sz w:val="24"/>
          <w:szCs w:val="24"/>
        </w:rPr>
      </w:pPr>
      <w:r>
        <w:rPr>
          <w:b/>
          <w:sz w:val="24"/>
          <w:szCs w:val="24"/>
        </w:rPr>
        <w:t>1.</w:t>
      </w:r>
      <w:r>
        <w:rPr>
          <w:b/>
          <w:sz w:val="24"/>
          <w:szCs w:val="24"/>
        </w:rPr>
        <w:tab/>
        <w:t>LÆGEMIDLETS NAVN</w:t>
      </w:r>
    </w:p>
    <w:p w:rsidR="00AB02F7" w:rsidRDefault="00AB02F7" w:rsidP="00AB02F7">
      <w:pPr>
        <w:tabs>
          <w:tab w:val="left" w:pos="851"/>
        </w:tabs>
        <w:ind w:left="851"/>
        <w:rPr>
          <w:sz w:val="24"/>
          <w:szCs w:val="24"/>
        </w:rPr>
      </w:pPr>
      <w:proofErr w:type="spellStart"/>
      <w:r>
        <w:rPr>
          <w:sz w:val="24"/>
          <w:szCs w:val="24"/>
        </w:rPr>
        <w:t>Sirkava</w:t>
      </w:r>
      <w:proofErr w:type="spellEnd"/>
    </w:p>
    <w:p w:rsidR="00AB02F7" w:rsidRDefault="00AB02F7" w:rsidP="00AB02F7">
      <w:pPr>
        <w:tabs>
          <w:tab w:val="left" w:pos="851"/>
        </w:tabs>
        <w:ind w:left="851"/>
        <w:rPr>
          <w:sz w:val="24"/>
          <w:szCs w:val="24"/>
        </w:rPr>
      </w:pPr>
    </w:p>
    <w:p w:rsidR="00AB02F7" w:rsidRDefault="00AB02F7" w:rsidP="00AB02F7">
      <w:pPr>
        <w:tabs>
          <w:tab w:val="left" w:pos="851"/>
        </w:tabs>
        <w:ind w:left="851" w:hanging="851"/>
        <w:rPr>
          <w:b/>
          <w:sz w:val="24"/>
          <w:szCs w:val="24"/>
        </w:rPr>
      </w:pPr>
      <w:r>
        <w:rPr>
          <w:b/>
          <w:sz w:val="24"/>
          <w:szCs w:val="24"/>
        </w:rPr>
        <w:t>2.</w:t>
      </w:r>
      <w:r>
        <w:rPr>
          <w:b/>
          <w:sz w:val="24"/>
          <w:szCs w:val="24"/>
        </w:rPr>
        <w:tab/>
        <w:t>KVALITATIV OG KVANTITATIV SAMMENSÆTNING</w:t>
      </w:r>
    </w:p>
    <w:p w:rsidR="00AB02F7" w:rsidRDefault="00AB02F7" w:rsidP="00AB02F7">
      <w:pPr>
        <w:ind w:left="851"/>
        <w:rPr>
          <w:sz w:val="24"/>
          <w:szCs w:val="24"/>
        </w:rPr>
      </w:pPr>
      <w:r>
        <w:rPr>
          <w:sz w:val="24"/>
          <w:szCs w:val="24"/>
        </w:rPr>
        <w:t xml:space="preserve">Hver kapsel indeholder 21,7 mikrogram vandfri </w:t>
      </w:r>
      <w:proofErr w:type="spellStart"/>
      <w:r>
        <w:rPr>
          <w:sz w:val="24"/>
          <w:szCs w:val="24"/>
        </w:rPr>
        <w:t>tiotropiumbromid</w:t>
      </w:r>
      <w:proofErr w:type="spellEnd"/>
      <w:r>
        <w:rPr>
          <w:sz w:val="24"/>
          <w:szCs w:val="24"/>
        </w:rPr>
        <w:t xml:space="preserve"> svarende til 18 mikrogram </w:t>
      </w:r>
      <w:proofErr w:type="spellStart"/>
      <w:r>
        <w:rPr>
          <w:sz w:val="24"/>
          <w:szCs w:val="24"/>
        </w:rPr>
        <w:t>tiotropium</w:t>
      </w:r>
      <w:proofErr w:type="spellEnd"/>
      <w:r>
        <w:rPr>
          <w:sz w:val="24"/>
          <w:szCs w:val="24"/>
        </w:rPr>
        <w:t>.</w:t>
      </w:r>
    </w:p>
    <w:p w:rsidR="00AB02F7" w:rsidRDefault="00AB02F7" w:rsidP="00AB02F7">
      <w:pPr>
        <w:ind w:left="851"/>
        <w:rPr>
          <w:sz w:val="24"/>
          <w:szCs w:val="24"/>
        </w:rPr>
      </w:pPr>
    </w:p>
    <w:p w:rsidR="00AB02F7" w:rsidRDefault="00AB02F7" w:rsidP="00AB02F7">
      <w:pPr>
        <w:ind w:left="851"/>
        <w:rPr>
          <w:sz w:val="24"/>
          <w:szCs w:val="24"/>
        </w:rPr>
      </w:pPr>
      <w:r>
        <w:rPr>
          <w:sz w:val="24"/>
          <w:szCs w:val="24"/>
        </w:rPr>
        <w:t xml:space="preserve">Den leverede dosis (den dosis, som går ud af mundstykket på </w:t>
      </w:r>
      <w:proofErr w:type="spellStart"/>
      <w:r>
        <w:rPr>
          <w:sz w:val="24"/>
          <w:szCs w:val="24"/>
        </w:rPr>
        <w:t>NeumoHaler</w:t>
      </w:r>
      <w:proofErr w:type="spellEnd"/>
      <w:r>
        <w:rPr>
          <w:sz w:val="24"/>
          <w:szCs w:val="24"/>
        </w:rPr>
        <w:t xml:space="preserve">) er 12 mikrogram </w:t>
      </w:r>
      <w:proofErr w:type="spellStart"/>
      <w:r>
        <w:rPr>
          <w:sz w:val="24"/>
          <w:szCs w:val="24"/>
        </w:rPr>
        <w:t>tiotropium</w:t>
      </w:r>
      <w:proofErr w:type="spellEnd"/>
      <w:r>
        <w:rPr>
          <w:sz w:val="24"/>
          <w:szCs w:val="24"/>
        </w:rPr>
        <w:t>.</w:t>
      </w:r>
    </w:p>
    <w:p w:rsidR="00AB02F7" w:rsidRDefault="00AB02F7" w:rsidP="00AB02F7">
      <w:pPr>
        <w:autoSpaceDE w:val="0"/>
        <w:autoSpaceDN w:val="0"/>
        <w:adjustRightInd w:val="0"/>
        <w:ind w:left="851"/>
        <w:rPr>
          <w:sz w:val="24"/>
          <w:szCs w:val="24"/>
        </w:rPr>
      </w:pPr>
    </w:p>
    <w:p w:rsidR="00AB02F7" w:rsidRDefault="00AB02F7" w:rsidP="00AB02F7">
      <w:pPr>
        <w:autoSpaceDE w:val="0"/>
        <w:autoSpaceDN w:val="0"/>
        <w:adjustRightInd w:val="0"/>
        <w:ind w:left="851"/>
        <w:rPr>
          <w:sz w:val="24"/>
          <w:szCs w:val="24"/>
          <w:u w:val="single"/>
        </w:rPr>
      </w:pPr>
      <w:r>
        <w:rPr>
          <w:sz w:val="24"/>
          <w:szCs w:val="24"/>
          <w:u w:val="single"/>
        </w:rPr>
        <w:t>Hjælpestof, som behandleren skal være opmærksom på</w:t>
      </w:r>
    </w:p>
    <w:p w:rsidR="00AB02F7" w:rsidRDefault="00AB02F7" w:rsidP="00AB02F7">
      <w:pPr>
        <w:autoSpaceDE w:val="0"/>
        <w:autoSpaceDN w:val="0"/>
        <w:adjustRightInd w:val="0"/>
        <w:ind w:left="851"/>
        <w:rPr>
          <w:sz w:val="24"/>
          <w:szCs w:val="24"/>
        </w:rPr>
      </w:pPr>
      <w:r>
        <w:rPr>
          <w:sz w:val="24"/>
          <w:szCs w:val="24"/>
        </w:rPr>
        <w:t xml:space="preserve">Hver kapsel indeholder 5,5 mg vandfri </w:t>
      </w:r>
      <w:proofErr w:type="spellStart"/>
      <w:r>
        <w:rPr>
          <w:sz w:val="24"/>
          <w:szCs w:val="24"/>
        </w:rPr>
        <w:t>lactose</w:t>
      </w:r>
      <w:proofErr w:type="spellEnd"/>
      <w:r>
        <w:rPr>
          <w:sz w:val="24"/>
          <w:szCs w:val="24"/>
        </w:rPr>
        <w:t>.</w:t>
      </w:r>
    </w:p>
    <w:p w:rsidR="00AB02F7" w:rsidRDefault="00AB02F7" w:rsidP="00AB02F7">
      <w:pPr>
        <w:autoSpaceDE w:val="0"/>
        <w:autoSpaceDN w:val="0"/>
        <w:adjustRightInd w:val="0"/>
        <w:ind w:left="851"/>
        <w:rPr>
          <w:sz w:val="24"/>
          <w:szCs w:val="24"/>
        </w:rPr>
      </w:pPr>
    </w:p>
    <w:p w:rsidR="00AB02F7" w:rsidRDefault="00AB02F7" w:rsidP="00AB02F7">
      <w:pPr>
        <w:tabs>
          <w:tab w:val="left" w:pos="567"/>
        </w:tabs>
        <w:ind w:left="851"/>
        <w:rPr>
          <w:sz w:val="24"/>
          <w:szCs w:val="24"/>
        </w:rPr>
      </w:pPr>
      <w:r>
        <w:rPr>
          <w:sz w:val="24"/>
          <w:szCs w:val="24"/>
        </w:rPr>
        <w:t>Alle hjælpestoffer er anført under pkt. 6.1.</w:t>
      </w:r>
    </w:p>
    <w:p w:rsidR="00AB02F7" w:rsidRDefault="00AB02F7" w:rsidP="00AB02F7">
      <w:pPr>
        <w:tabs>
          <w:tab w:val="left" w:pos="851"/>
        </w:tabs>
        <w:ind w:left="851"/>
        <w:rPr>
          <w:sz w:val="24"/>
          <w:szCs w:val="24"/>
        </w:rPr>
      </w:pPr>
    </w:p>
    <w:p w:rsidR="00AB02F7" w:rsidRDefault="00AB02F7" w:rsidP="00AB02F7">
      <w:pPr>
        <w:tabs>
          <w:tab w:val="left" w:pos="851"/>
        </w:tabs>
        <w:ind w:left="851" w:hanging="851"/>
        <w:rPr>
          <w:b/>
          <w:sz w:val="24"/>
          <w:szCs w:val="24"/>
        </w:rPr>
      </w:pPr>
      <w:r>
        <w:rPr>
          <w:b/>
          <w:sz w:val="24"/>
          <w:szCs w:val="24"/>
        </w:rPr>
        <w:t>3.</w:t>
      </w:r>
      <w:r>
        <w:rPr>
          <w:b/>
          <w:sz w:val="24"/>
          <w:szCs w:val="24"/>
        </w:rPr>
        <w:tab/>
        <w:t>LÆGEMIDDELFORM</w:t>
      </w:r>
    </w:p>
    <w:p w:rsidR="00AB02F7" w:rsidRDefault="00AB02F7" w:rsidP="00AB02F7">
      <w:pPr>
        <w:tabs>
          <w:tab w:val="left" w:pos="567"/>
        </w:tabs>
        <w:ind w:left="851"/>
        <w:rPr>
          <w:sz w:val="24"/>
          <w:szCs w:val="24"/>
          <w:lang w:eastAsia="da-DK"/>
        </w:rPr>
      </w:pPr>
      <w:r>
        <w:rPr>
          <w:sz w:val="24"/>
          <w:szCs w:val="24"/>
          <w:lang w:eastAsia="da-DK"/>
        </w:rPr>
        <w:t>Inhalationspulver, hårde kapsler</w:t>
      </w:r>
    </w:p>
    <w:p w:rsidR="00AB02F7" w:rsidRDefault="00AB02F7" w:rsidP="00AB02F7">
      <w:pPr>
        <w:tabs>
          <w:tab w:val="left" w:pos="567"/>
        </w:tabs>
        <w:ind w:left="851"/>
        <w:rPr>
          <w:sz w:val="24"/>
          <w:szCs w:val="24"/>
          <w:lang w:eastAsia="da-DK"/>
        </w:rPr>
      </w:pPr>
    </w:p>
    <w:p w:rsidR="00AB02F7" w:rsidRDefault="00AB02F7" w:rsidP="00AB02F7">
      <w:pPr>
        <w:tabs>
          <w:tab w:val="left" w:pos="567"/>
        </w:tabs>
        <w:ind w:left="851"/>
        <w:rPr>
          <w:sz w:val="24"/>
          <w:szCs w:val="24"/>
          <w:lang w:eastAsia="da-DK"/>
        </w:rPr>
      </w:pPr>
      <w:r>
        <w:rPr>
          <w:sz w:val="24"/>
          <w:szCs w:val="24"/>
          <w:lang w:eastAsia="da-DK"/>
        </w:rPr>
        <w:t>Hvide eller næsten hvide kapsler mærket med T18 i sort blæk på kapslens overdel og indeholdende hvidt eller næsten hvidt pulver.</w:t>
      </w: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hanging="851"/>
        <w:rPr>
          <w:b/>
          <w:sz w:val="24"/>
          <w:szCs w:val="24"/>
        </w:rPr>
      </w:pPr>
      <w:r>
        <w:rPr>
          <w:b/>
          <w:sz w:val="24"/>
          <w:szCs w:val="24"/>
        </w:rPr>
        <w:t>4.</w:t>
      </w:r>
      <w:r>
        <w:rPr>
          <w:b/>
          <w:sz w:val="24"/>
          <w:szCs w:val="24"/>
        </w:rPr>
        <w:tab/>
        <w:t>KLINISKE OPLYSNINGER</w:t>
      </w:r>
    </w:p>
    <w:p w:rsidR="00AB02F7" w:rsidRDefault="00AB02F7" w:rsidP="00AB02F7">
      <w:pPr>
        <w:tabs>
          <w:tab w:val="left" w:pos="851"/>
        </w:tabs>
        <w:ind w:left="851"/>
        <w:rPr>
          <w:b/>
          <w:sz w:val="24"/>
          <w:szCs w:val="24"/>
        </w:rPr>
      </w:pPr>
    </w:p>
    <w:p w:rsidR="00AB02F7" w:rsidRDefault="00AB02F7" w:rsidP="00AB02F7">
      <w:pPr>
        <w:tabs>
          <w:tab w:val="left" w:pos="851"/>
        </w:tabs>
        <w:ind w:left="851" w:hanging="851"/>
        <w:rPr>
          <w:b/>
          <w:sz w:val="24"/>
          <w:szCs w:val="24"/>
          <w:u w:val="single"/>
        </w:rPr>
      </w:pPr>
      <w:r>
        <w:rPr>
          <w:b/>
          <w:sz w:val="24"/>
          <w:szCs w:val="24"/>
        </w:rPr>
        <w:t>4.1</w:t>
      </w:r>
      <w:r>
        <w:rPr>
          <w:b/>
          <w:sz w:val="24"/>
          <w:szCs w:val="24"/>
        </w:rPr>
        <w:tab/>
        <w:t>Terapeutiske indikationer</w:t>
      </w:r>
    </w:p>
    <w:p w:rsidR="00AB02F7" w:rsidRDefault="00AB02F7" w:rsidP="00AB02F7">
      <w:pPr>
        <w:tabs>
          <w:tab w:val="left" w:pos="567"/>
        </w:tabs>
        <w:ind w:left="851"/>
        <w:rPr>
          <w:sz w:val="24"/>
          <w:szCs w:val="24"/>
          <w:lang w:eastAsia="da-DK"/>
        </w:rPr>
      </w:pPr>
      <w:proofErr w:type="spellStart"/>
      <w:r>
        <w:rPr>
          <w:sz w:val="24"/>
          <w:szCs w:val="24"/>
          <w:lang w:eastAsia="da-DK"/>
        </w:rPr>
        <w:t>Tiotropium</w:t>
      </w:r>
      <w:proofErr w:type="spellEnd"/>
      <w:r>
        <w:rPr>
          <w:sz w:val="24"/>
          <w:szCs w:val="24"/>
          <w:lang w:eastAsia="da-DK"/>
        </w:rPr>
        <w:t xml:space="preserve"> er indiceret som en symptomlindrende </w:t>
      </w:r>
      <w:proofErr w:type="spellStart"/>
      <w:r>
        <w:rPr>
          <w:sz w:val="24"/>
          <w:szCs w:val="24"/>
          <w:lang w:eastAsia="da-DK"/>
        </w:rPr>
        <w:t>bronkodilatator</w:t>
      </w:r>
      <w:proofErr w:type="spellEnd"/>
      <w:r>
        <w:rPr>
          <w:sz w:val="24"/>
          <w:szCs w:val="24"/>
          <w:lang w:eastAsia="da-DK"/>
        </w:rPr>
        <w:t xml:space="preserve"> til vedligeholdelsesbehandling af kronisk obstruktiv lungesygdom (KOL).</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AB02F7" w:rsidRDefault="00AB02F7" w:rsidP="00AB02F7">
      <w:pPr>
        <w:ind w:left="851"/>
        <w:rPr>
          <w:sz w:val="24"/>
          <w:szCs w:val="24"/>
          <w:u w:val="single"/>
        </w:rPr>
      </w:pPr>
    </w:p>
    <w:p w:rsidR="00AB02F7" w:rsidRPr="00BF7C1D" w:rsidRDefault="00AB02F7" w:rsidP="00AB02F7">
      <w:pPr>
        <w:ind w:left="851"/>
        <w:rPr>
          <w:b/>
          <w:sz w:val="24"/>
          <w:szCs w:val="24"/>
        </w:rPr>
      </w:pPr>
      <w:r w:rsidRPr="00BF7C1D">
        <w:rPr>
          <w:b/>
          <w:sz w:val="24"/>
          <w:szCs w:val="24"/>
        </w:rPr>
        <w:t>Dosering</w:t>
      </w:r>
    </w:p>
    <w:p w:rsidR="00AB02F7" w:rsidRDefault="00AB02F7" w:rsidP="00AB02F7">
      <w:pPr>
        <w:ind w:left="851"/>
        <w:rPr>
          <w:sz w:val="24"/>
          <w:szCs w:val="24"/>
        </w:rPr>
      </w:pPr>
      <w:r>
        <w:rPr>
          <w:sz w:val="24"/>
          <w:szCs w:val="24"/>
        </w:rPr>
        <w:t>Dette lægemiddel er kun til inhalation.</w:t>
      </w: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ind w:left="851"/>
        <w:rPr>
          <w:sz w:val="24"/>
          <w:szCs w:val="24"/>
        </w:rPr>
      </w:pPr>
      <w:r>
        <w:rPr>
          <w:sz w:val="24"/>
          <w:szCs w:val="24"/>
        </w:rPr>
        <w:t xml:space="preserve">Den anbefalede dosis af </w:t>
      </w:r>
      <w:proofErr w:type="spellStart"/>
      <w:r>
        <w:rPr>
          <w:sz w:val="24"/>
          <w:szCs w:val="24"/>
        </w:rPr>
        <w:t>tiotropiumbromid</w:t>
      </w:r>
      <w:proofErr w:type="spellEnd"/>
      <w:r>
        <w:rPr>
          <w:sz w:val="24"/>
          <w:szCs w:val="24"/>
        </w:rPr>
        <w:t xml:space="preserve"> er inhalation af indholdet af 1 kapsel en gang daglig med </w:t>
      </w:r>
      <w:proofErr w:type="spellStart"/>
      <w:r>
        <w:rPr>
          <w:spacing w:val="-1"/>
          <w:sz w:val="24"/>
          <w:szCs w:val="24"/>
        </w:rPr>
        <w:t>NeumoHaler</w:t>
      </w:r>
      <w:proofErr w:type="spellEnd"/>
      <w:r>
        <w:rPr>
          <w:sz w:val="24"/>
          <w:szCs w:val="24"/>
        </w:rPr>
        <w:t xml:space="preserve"> på samme tidspunkt hver dag.</w:t>
      </w:r>
    </w:p>
    <w:p w:rsidR="00AB02F7" w:rsidRDefault="00AB02F7" w:rsidP="00AB02F7">
      <w:pPr>
        <w:ind w:left="851"/>
        <w:rPr>
          <w:sz w:val="24"/>
          <w:szCs w:val="24"/>
        </w:rPr>
      </w:pPr>
    </w:p>
    <w:p w:rsidR="00AB02F7" w:rsidRDefault="00AB02F7" w:rsidP="00AB02F7">
      <w:pPr>
        <w:ind w:left="851"/>
        <w:rPr>
          <w:sz w:val="24"/>
          <w:szCs w:val="24"/>
        </w:rPr>
      </w:pPr>
      <w:r>
        <w:rPr>
          <w:sz w:val="24"/>
          <w:szCs w:val="24"/>
        </w:rPr>
        <w:t>Den anbefalede dosis bør ikke overskrides.</w:t>
      </w:r>
    </w:p>
    <w:p w:rsidR="00AB02F7" w:rsidRDefault="00AB02F7" w:rsidP="00AB02F7">
      <w:pPr>
        <w:ind w:left="851"/>
        <w:rPr>
          <w:sz w:val="24"/>
          <w:szCs w:val="24"/>
        </w:rPr>
      </w:pPr>
    </w:p>
    <w:p w:rsidR="00AB02F7" w:rsidRDefault="00AB02F7" w:rsidP="00AB02F7">
      <w:pPr>
        <w:ind w:left="851"/>
        <w:rPr>
          <w:sz w:val="24"/>
          <w:szCs w:val="24"/>
        </w:rPr>
      </w:pPr>
      <w:proofErr w:type="spellStart"/>
      <w:r>
        <w:rPr>
          <w:sz w:val="24"/>
          <w:szCs w:val="24"/>
        </w:rPr>
        <w:t>Tiotropiumbromid</w:t>
      </w:r>
      <w:proofErr w:type="spellEnd"/>
      <w:r>
        <w:rPr>
          <w:sz w:val="24"/>
          <w:szCs w:val="24"/>
        </w:rPr>
        <w:t xml:space="preserve"> kapsler er kun til inhalation - må ikke sluges.</w:t>
      </w:r>
    </w:p>
    <w:p w:rsidR="00AB02F7" w:rsidRDefault="00AB02F7" w:rsidP="00AB02F7">
      <w:pPr>
        <w:ind w:left="851"/>
        <w:rPr>
          <w:sz w:val="24"/>
          <w:szCs w:val="24"/>
        </w:rPr>
      </w:pPr>
    </w:p>
    <w:p w:rsidR="00AB02F7" w:rsidRDefault="00AB02F7" w:rsidP="00AB02F7">
      <w:pPr>
        <w:ind w:left="851"/>
        <w:rPr>
          <w:sz w:val="24"/>
          <w:szCs w:val="24"/>
        </w:rPr>
      </w:pPr>
      <w:proofErr w:type="spellStart"/>
      <w:r>
        <w:rPr>
          <w:sz w:val="24"/>
          <w:szCs w:val="24"/>
        </w:rPr>
        <w:t>Tiotropiumbromid</w:t>
      </w:r>
      <w:proofErr w:type="spellEnd"/>
      <w:r>
        <w:rPr>
          <w:sz w:val="24"/>
          <w:szCs w:val="24"/>
        </w:rPr>
        <w:t xml:space="preserve"> må kun inhaleres ved hjælp af </w:t>
      </w:r>
      <w:proofErr w:type="spellStart"/>
      <w:r>
        <w:rPr>
          <w:spacing w:val="-1"/>
          <w:sz w:val="24"/>
          <w:szCs w:val="24"/>
        </w:rPr>
        <w:t>NeumoHaler</w:t>
      </w:r>
      <w:proofErr w:type="spellEnd"/>
      <w:r>
        <w:rPr>
          <w:sz w:val="24"/>
          <w:szCs w:val="24"/>
        </w:rPr>
        <w:t>.</w:t>
      </w:r>
    </w:p>
    <w:p w:rsidR="00AB02F7" w:rsidRDefault="00AB02F7" w:rsidP="00AB02F7">
      <w:pPr>
        <w:ind w:left="851"/>
        <w:rPr>
          <w:i/>
          <w:sz w:val="24"/>
          <w:szCs w:val="24"/>
        </w:rPr>
      </w:pPr>
    </w:p>
    <w:p w:rsidR="00AB02F7" w:rsidRDefault="00AB02F7" w:rsidP="00AB02F7">
      <w:pPr>
        <w:ind w:left="851"/>
        <w:rPr>
          <w:sz w:val="24"/>
          <w:szCs w:val="24"/>
          <w:u w:val="single"/>
        </w:rPr>
      </w:pPr>
      <w:r>
        <w:rPr>
          <w:sz w:val="24"/>
          <w:szCs w:val="24"/>
          <w:u w:val="single"/>
        </w:rPr>
        <w:t>Specielle populationer</w:t>
      </w:r>
    </w:p>
    <w:p w:rsidR="00AB02F7" w:rsidRDefault="00AB02F7" w:rsidP="00AB02F7">
      <w:pPr>
        <w:ind w:left="851"/>
        <w:rPr>
          <w:sz w:val="24"/>
          <w:szCs w:val="24"/>
          <w:lang w:eastAsia="da-DK"/>
        </w:rPr>
      </w:pPr>
    </w:p>
    <w:p w:rsidR="00AB02F7" w:rsidRDefault="00AB02F7" w:rsidP="00AB02F7">
      <w:pPr>
        <w:ind w:left="851"/>
        <w:rPr>
          <w:sz w:val="24"/>
          <w:szCs w:val="24"/>
          <w:lang w:eastAsia="da-DK"/>
        </w:rPr>
      </w:pPr>
      <w:r w:rsidRPr="008D4C6E">
        <w:rPr>
          <w:i/>
          <w:sz w:val="24"/>
          <w:szCs w:val="24"/>
          <w:lang w:eastAsia="da-DK"/>
        </w:rPr>
        <w:t>Ældre</w:t>
      </w:r>
      <w:r>
        <w:rPr>
          <w:sz w:val="24"/>
          <w:szCs w:val="24"/>
          <w:lang w:eastAsia="da-DK"/>
        </w:rPr>
        <w:t xml:space="preserve"> patienter kan anvende </w:t>
      </w:r>
      <w:proofErr w:type="spellStart"/>
      <w:r>
        <w:rPr>
          <w:sz w:val="24"/>
          <w:szCs w:val="24"/>
          <w:lang w:eastAsia="da-DK"/>
        </w:rPr>
        <w:t>tiotropiumbromid</w:t>
      </w:r>
      <w:proofErr w:type="spellEnd"/>
      <w:r>
        <w:rPr>
          <w:sz w:val="24"/>
          <w:szCs w:val="24"/>
          <w:lang w:eastAsia="da-DK"/>
        </w:rPr>
        <w:t xml:space="preserve"> i den anbefalede dosis. </w:t>
      </w:r>
    </w:p>
    <w:p w:rsidR="00AB02F7" w:rsidRDefault="00AB02F7" w:rsidP="00AB02F7">
      <w:pPr>
        <w:ind w:left="851"/>
        <w:rPr>
          <w:sz w:val="24"/>
          <w:szCs w:val="24"/>
        </w:rPr>
      </w:pPr>
    </w:p>
    <w:p w:rsidR="00AB02F7" w:rsidRDefault="00AB02F7" w:rsidP="00AB02F7">
      <w:pPr>
        <w:ind w:left="851"/>
        <w:rPr>
          <w:sz w:val="24"/>
          <w:szCs w:val="24"/>
        </w:rPr>
      </w:pPr>
      <w:r w:rsidRPr="008D4C6E">
        <w:rPr>
          <w:i/>
          <w:sz w:val="24"/>
          <w:szCs w:val="24"/>
        </w:rPr>
        <w:t>Patienter med nedsat nyrefunktion</w:t>
      </w:r>
      <w:r>
        <w:rPr>
          <w:sz w:val="24"/>
          <w:szCs w:val="24"/>
        </w:rPr>
        <w:t xml:space="preserve"> kan anvende </w:t>
      </w:r>
      <w:proofErr w:type="spellStart"/>
      <w:r>
        <w:rPr>
          <w:sz w:val="24"/>
          <w:szCs w:val="24"/>
        </w:rPr>
        <w:t>tiotropiumbromid</w:t>
      </w:r>
      <w:proofErr w:type="spellEnd"/>
      <w:r>
        <w:rPr>
          <w:sz w:val="24"/>
          <w:szCs w:val="24"/>
        </w:rPr>
        <w:t xml:space="preserve"> i den anbefalede dosis. For patienter med moderat til svær nedsat nyrefunktion (</w:t>
      </w:r>
      <w:proofErr w:type="spellStart"/>
      <w:r>
        <w:rPr>
          <w:sz w:val="24"/>
          <w:szCs w:val="24"/>
        </w:rPr>
        <w:t>kreatinin-</w:t>
      </w:r>
      <w:r>
        <w:rPr>
          <w:i/>
          <w:sz w:val="24"/>
          <w:szCs w:val="24"/>
        </w:rPr>
        <w:t>clearance</w:t>
      </w:r>
      <w:proofErr w:type="spellEnd"/>
      <w:r>
        <w:rPr>
          <w:sz w:val="24"/>
          <w:szCs w:val="24"/>
        </w:rPr>
        <w:t xml:space="preserve"> ≤ 50 ml/min.) se pkt. 4.4 og 5.2.</w:t>
      </w:r>
    </w:p>
    <w:p w:rsidR="00AB02F7" w:rsidRDefault="00AB02F7" w:rsidP="00AB02F7">
      <w:pPr>
        <w:ind w:left="851"/>
        <w:rPr>
          <w:sz w:val="24"/>
          <w:szCs w:val="24"/>
        </w:rPr>
      </w:pPr>
    </w:p>
    <w:p w:rsidR="00AB02F7" w:rsidRDefault="00AB02F7" w:rsidP="00AB02F7">
      <w:pPr>
        <w:tabs>
          <w:tab w:val="left" w:pos="1701"/>
        </w:tabs>
        <w:ind w:left="851"/>
        <w:rPr>
          <w:sz w:val="24"/>
          <w:szCs w:val="24"/>
        </w:rPr>
      </w:pPr>
      <w:r w:rsidRPr="008D4C6E">
        <w:rPr>
          <w:i/>
          <w:sz w:val="24"/>
          <w:szCs w:val="24"/>
        </w:rPr>
        <w:t>Patienter med nedsat leverfunktion</w:t>
      </w:r>
      <w:r>
        <w:rPr>
          <w:sz w:val="24"/>
          <w:szCs w:val="24"/>
        </w:rPr>
        <w:t xml:space="preserve"> kan anvende </w:t>
      </w:r>
      <w:proofErr w:type="spellStart"/>
      <w:r>
        <w:rPr>
          <w:sz w:val="24"/>
          <w:szCs w:val="24"/>
        </w:rPr>
        <w:t>tiotropiumbromid</w:t>
      </w:r>
      <w:proofErr w:type="spellEnd"/>
      <w:r>
        <w:rPr>
          <w:sz w:val="24"/>
          <w:szCs w:val="24"/>
        </w:rPr>
        <w:t xml:space="preserve"> i den anbefalede dosis (se pkt. 5.2).</w:t>
      </w:r>
    </w:p>
    <w:p w:rsidR="00AB02F7" w:rsidRDefault="00AB02F7" w:rsidP="00AB02F7">
      <w:pPr>
        <w:tabs>
          <w:tab w:val="left" w:pos="851"/>
        </w:tabs>
        <w:ind w:left="851"/>
        <w:rPr>
          <w:sz w:val="24"/>
          <w:szCs w:val="24"/>
        </w:rPr>
      </w:pPr>
    </w:p>
    <w:p w:rsidR="00AB02F7" w:rsidRPr="008D4C6E" w:rsidRDefault="00AB02F7" w:rsidP="00AB02F7">
      <w:pPr>
        <w:ind w:left="851"/>
        <w:rPr>
          <w:sz w:val="24"/>
          <w:szCs w:val="24"/>
        </w:rPr>
      </w:pPr>
      <w:r w:rsidRPr="008D4C6E">
        <w:rPr>
          <w:i/>
          <w:sz w:val="24"/>
          <w:szCs w:val="24"/>
        </w:rPr>
        <w:t>Pædiatrisk population</w:t>
      </w:r>
    </w:p>
    <w:p w:rsidR="00AB02F7" w:rsidRDefault="00AB02F7" w:rsidP="00AB02F7">
      <w:pPr>
        <w:tabs>
          <w:tab w:val="left" w:pos="851"/>
        </w:tabs>
        <w:ind w:left="851"/>
        <w:rPr>
          <w:sz w:val="24"/>
          <w:szCs w:val="24"/>
        </w:rPr>
      </w:pPr>
      <w:r>
        <w:rPr>
          <w:i/>
          <w:sz w:val="24"/>
          <w:szCs w:val="24"/>
        </w:rPr>
        <w:t xml:space="preserve">- KOL: </w:t>
      </w:r>
      <w:r>
        <w:rPr>
          <w:sz w:val="24"/>
          <w:szCs w:val="24"/>
        </w:rPr>
        <w:t>Indikationen (se pkt. 4.1) er ikke relevant for den pædiatriske population (under 18 år).</w:t>
      </w:r>
    </w:p>
    <w:p w:rsidR="00AB02F7" w:rsidRDefault="00AB02F7" w:rsidP="00AB02F7">
      <w:pPr>
        <w:tabs>
          <w:tab w:val="left" w:pos="851"/>
        </w:tabs>
        <w:ind w:left="851"/>
        <w:rPr>
          <w:sz w:val="24"/>
          <w:szCs w:val="24"/>
        </w:rPr>
      </w:pPr>
      <w:r>
        <w:rPr>
          <w:i/>
          <w:sz w:val="24"/>
          <w:szCs w:val="24"/>
        </w:rPr>
        <w:t xml:space="preserve">- Cystisk fibrose: </w:t>
      </w:r>
      <w:proofErr w:type="spellStart"/>
      <w:r>
        <w:rPr>
          <w:sz w:val="24"/>
          <w:szCs w:val="24"/>
        </w:rPr>
        <w:t>Sirkavas</w:t>
      </w:r>
      <w:proofErr w:type="spellEnd"/>
      <w:r>
        <w:rPr>
          <w:sz w:val="24"/>
          <w:szCs w:val="24"/>
        </w:rPr>
        <w:t xml:space="preserve"> sikkerhed og virkning hos børn og unge er ikke klarlagt. Der foreligger ingen data.</w:t>
      </w:r>
    </w:p>
    <w:p w:rsidR="00AB02F7" w:rsidRDefault="00AB02F7" w:rsidP="00AB02F7">
      <w:pPr>
        <w:ind w:left="851"/>
        <w:rPr>
          <w:sz w:val="24"/>
          <w:szCs w:val="24"/>
        </w:rPr>
      </w:pPr>
    </w:p>
    <w:p w:rsidR="00AB02F7" w:rsidRPr="00813E0C" w:rsidRDefault="00AB02F7" w:rsidP="00AB02F7">
      <w:pPr>
        <w:ind w:left="851"/>
        <w:rPr>
          <w:b/>
          <w:sz w:val="24"/>
          <w:szCs w:val="24"/>
        </w:rPr>
      </w:pPr>
      <w:r w:rsidRPr="00813E0C">
        <w:rPr>
          <w:b/>
          <w:sz w:val="24"/>
          <w:szCs w:val="24"/>
        </w:rPr>
        <w:t>Administration</w:t>
      </w:r>
    </w:p>
    <w:p w:rsidR="00AB02F7" w:rsidRDefault="00AB02F7" w:rsidP="00AB02F7">
      <w:pPr>
        <w:ind w:left="851"/>
        <w:rPr>
          <w:sz w:val="24"/>
          <w:szCs w:val="24"/>
        </w:rPr>
      </w:pPr>
      <w:r>
        <w:rPr>
          <w:sz w:val="24"/>
          <w:szCs w:val="24"/>
        </w:rPr>
        <w:t>Patienten skal instrueres af en læge eller andet sundhedspersonale i korrekt brug af pulverinhalatoren for at sikre optimal behandling.</w:t>
      </w:r>
    </w:p>
    <w:p w:rsidR="00AB02F7" w:rsidRDefault="00AB02F7" w:rsidP="00AB02F7">
      <w:pPr>
        <w:ind w:left="851"/>
        <w:rPr>
          <w:sz w:val="24"/>
          <w:szCs w:val="24"/>
        </w:rPr>
      </w:pPr>
    </w:p>
    <w:p w:rsidR="00AB02F7" w:rsidRPr="00F87DFB" w:rsidRDefault="00AB02F7" w:rsidP="00AB02F7">
      <w:pPr>
        <w:ind w:left="851"/>
        <w:rPr>
          <w:b/>
          <w:sz w:val="24"/>
          <w:szCs w:val="24"/>
        </w:rPr>
      </w:pPr>
      <w:r w:rsidRPr="00F87DFB">
        <w:rPr>
          <w:b/>
          <w:sz w:val="24"/>
          <w:szCs w:val="24"/>
        </w:rPr>
        <w:t>Instruktioner vedrørende håndtering og brug</w:t>
      </w:r>
    </w:p>
    <w:p w:rsidR="00AB02F7" w:rsidRDefault="00AB02F7" w:rsidP="00AB02F7">
      <w:pPr>
        <w:ind w:left="851"/>
        <w:rPr>
          <w:i/>
          <w:sz w:val="24"/>
          <w:szCs w:val="24"/>
        </w:rPr>
      </w:pPr>
      <w:r>
        <w:rPr>
          <w:sz w:val="24"/>
          <w:szCs w:val="24"/>
        </w:rPr>
        <w:t xml:space="preserve">Lægens anvisninger for anvendelse af </w:t>
      </w:r>
      <w:proofErr w:type="spellStart"/>
      <w:r>
        <w:rPr>
          <w:sz w:val="24"/>
          <w:szCs w:val="24"/>
        </w:rPr>
        <w:t>Sirkava</w:t>
      </w:r>
      <w:proofErr w:type="spellEnd"/>
      <w:r>
        <w:rPr>
          <w:sz w:val="24"/>
          <w:szCs w:val="24"/>
        </w:rPr>
        <w:t xml:space="preserve"> skal nøje følges. </w:t>
      </w:r>
      <w:proofErr w:type="spellStart"/>
      <w:r>
        <w:rPr>
          <w:spacing w:val="-1"/>
          <w:sz w:val="24"/>
          <w:szCs w:val="24"/>
        </w:rPr>
        <w:t>NeumoHaler</w:t>
      </w:r>
      <w:proofErr w:type="spellEnd"/>
      <w:r>
        <w:rPr>
          <w:sz w:val="24"/>
          <w:szCs w:val="24"/>
        </w:rPr>
        <w:t xml:space="preserve"> er specielt designet til inhalation af </w:t>
      </w:r>
      <w:proofErr w:type="spellStart"/>
      <w:r>
        <w:rPr>
          <w:sz w:val="24"/>
          <w:szCs w:val="24"/>
        </w:rPr>
        <w:t>Sirkava</w:t>
      </w:r>
      <w:proofErr w:type="spellEnd"/>
      <w:r>
        <w:rPr>
          <w:sz w:val="24"/>
          <w:szCs w:val="24"/>
        </w:rPr>
        <w:t xml:space="preserve"> og må ikke anvendes til andre lægemidler. </w:t>
      </w:r>
      <w:proofErr w:type="spellStart"/>
      <w:r>
        <w:rPr>
          <w:spacing w:val="-1"/>
          <w:sz w:val="24"/>
          <w:szCs w:val="24"/>
        </w:rPr>
        <w:t>NeumoHaler</w:t>
      </w:r>
      <w:proofErr w:type="spellEnd"/>
      <w:r>
        <w:rPr>
          <w:spacing w:val="-1"/>
          <w:sz w:val="24"/>
          <w:szCs w:val="24"/>
        </w:rPr>
        <w:t xml:space="preserve"> kan anvendes, indtil lægemidlet i </w:t>
      </w:r>
      <w:r>
        <w:rPr>
          <w:sz w:val="24"/>
          <w:szCs w:val="24"/>
        </w:rPr>
        <w:t>æsken er brugt (maksimal 3 måneder).</w:t>
      </w:r>
    </w:p>
    <w:p w:rsidR="00AB02F7" w:rsidRDefault="00AB02F7" w:rsidP="00AB02F7">
      <w:pPr>
        <w:ind w:left="851"/>
        <w:rPr>
          <w:i/>
          <w:sz w:val="24"/>
          <w:szCs w:val="24"/>
        </w:rPr>
      </w:pPr>
    </w:p>
    <w:p w:rsidR="00AB02F7" w:rsidRPr="00DC34AE" w:rsidRDefault="00AB02F7" w:rsidP="00AB02F7">
      <w:pPr>
        <w:widowControl w:val="0"/>
        <w:ind w:left="851"/>
        <w:rPr>
          <w:sz w:val="24"/>
          <w:szCs w:val="24"/>
          <w:u w:val="single"/>
        </w:rPr>
      </w:pPr>
      <w:proofErr w:type="spellStart"/>
      <w:r w:rsidRPr="00DC34AE">
        <w:rPr>
          <w:spacing w:val="-1"/>
          <w:sz w:val="24"/>
          <w:szCs w:val="24"/>
          <w:u w:val="single"/>
        </w:rPr>
        <w:t>NeumoHaler</w:t>
      </w:r>
      <w:proofErr w:type="spellEnd"/>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r>
        <w:rPr>
          <w:noProof/>
          <w:lang w:eastAsia="da-DK"/>
        </w:rPr>
        <w:drawing>
          <wp:anchor distT="0" distB="0" distL="114300" distR="114300" simplePos="0" relativeHeight="251660288" behindDoc="0" locked="0" layoutInCell="1" allowOverlap="1" wp14:anchorId="5DD72CF3" wp14:editId="22E44D3B">
            <wp:simplePos x="0" y="0"/>
            <wp:positionH relativeFrom="column">
              <wp:posOffset>537210</wp:posOffset>
            </wp:positionH>
            <wp:positionV relativeFrom="paragraph">
              <wp:posOffset>1270</wp:posOffset>
            </wp:positionV>
            <wp:extent cx="1267200" cy="1267200"/>
            <wp:effectExtent l="0" t="0" r="9525" b="9525"/>
            <wp:wrapSquare wrapText="bothSides"/>
            <wp:docPr id="31" name="Billede 31"/>
            <wp:cNvGraphicFramePr/>
            <a:graphic xmlns:a="http://schemas.openxmlformats.org/drawingml/2006/main">
              <a:graphicData uri="http://schemas.openxmlformats.org/drawingml/2006/picture">
                <pic:pic xmlns:pic="http://schemas.openxmlformats.org/drawingml/2006/picture">
                  <pic:nvPicPr>
                    <pic:cNvPr id="31" name="Billede 3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7200"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02F7" w:rsidRDefault="00AB02F7" w:rsidP="00AB02F7">
      <w:pPr>
        <w:widowControl w:val="0"/>
        <w:numPr>
          <w:ilvl w:val="0"/>
          <w:numId w:val="6"/>
        </w:numPr>
        <w:tabs>
          <w:tab w:val="left" w:pos="3402"/>
        </w:tabs>
        <w:ind w:left="851" w:right="743"/>
        <w:rPr>
          <w:spacing w:val="-1"/>
          <w:sz w:val="24"/>
          <w:szCs w:val="24"/>
        </w:rPr>
      </w:pPr>
      <w:proofErr w:type="spellStart"/>
      <w:r>
        <w:rPr>
          <w:spacing w:val="-1"/>
          <w:sz w:val="24"/>
          <w:szCs w:val="24"/>
        </w:rPr>
        <w:t>Beskyttelseslåg</w:t>
      </w:r>
      <w:proofErr w:type="spellEnd"/>
    </w:p>
    <w:p w:rsidR="00AB02F7" w:rsidRDefault="00AB02F7" w:rsidP="00AB02F7">
      <w:pPr>
        <w:widowControl w:val="0"/>
        <w:numPr>
          <w:ilvl w:val="0"/>
          <w:numId w:val="6"/>
        </w:numPr>
        <w:tabs>
          <w:tab w:val="left" w:pos="3402"/>
        </w:tabs>
        <w:ind w:left="851" w:right="743"/>
        <w:rPr>
          <w:spacing w:val="-1"/>
          <w:sz w:val="24"/>
          <w:szCs w:val="24"/>
        </w:rPr>
      </w:pPr>
      <w:r>
        <w:rPr>
          <w:spacing w:val="-1"/>
          <w:sz w:val="24"/>
          <w:szCs w:val="24"/>
        </w:rPr>
        <w:t>Mundstykke</w:t>
      </w:r>
    </w:p>
    <w:p w:rsidR="00AB02F7" w:rsidRDefault="00AB02F7" w:rsidP="00AB02F7">
      <w:pPr>
        <w:widowControl w:val="0"/>
        <w:numPr>
          <w:ilvl w:val="0"/>
          <w:numId w:val="6"/>
        </w:numPr>
        <w:tabs>
          <w:tab w:val="left" w:pos="3402"/>
        </w:tabs>
        <w:ind w:left="851" w:right="743"/>
        <w:rPr>
          <w:spacing w:val="-1"/>
          <w:sz w:val="24"/>
          <w:szCs w:val="24"/>
        </w:rPr>
      </w:pPr>
      <w:r>
        <w:rPr>
          <w:spacing w:val="-1"/>
          <w:sz w:val="24"/>
          <w:szCs w:val="24"/>
        </w:rPr>
        <w:t>Basisdel</w:t>
      </w:r>
    </w:p>
    <w:p w:rsidR="00AB02F7" w:rsidRDefault="00AB02F7" w:rsidP="00AB02F7">
      <w:pPr>
        <w:widowControl w:val="0"/>
        <w:numPr>
          <w:ilvl w:val="0"/>
          <w:numId w:val="6"/>
        </w:numPr>
        <w:tabs>
          <w:tab w:val="left" w:pos="3402"/>
        </w:tabs>
        <w:ind w:left="851" w:right="743"/>
        <w:rPr>
          <w:spacing w:val="-1"/>
          <w:sz w:val="24"/>
          <w:szCs w:val="24"/>
        </w:rPr>
      </w:pPr>
      <w:r>
        <w:rPr>
          <w:spacing w:val="-1"/>
          <w:sz w:val="24"/>
          <w:szCs w:val="24"/>
        </w:rPr>
        <w:t>Perforeringsknap</w:t>
      </w:r>
    </w:p>
    <w:p w:rsidR="00AB02F7" w:rsidRDefault="00AB02F7" w:rsidP="00AB02F7">
      <w:pPr>
        <w:widowControl w:val="0"/>
        <w:numPr>
          <w:ilvl w:val="0"/>
          <w:numId w:val="6"/>
        </w:numPr>
        <w:tabs>
          <w:tab w:val="left" w:pos="3402"/>
        </w:tabs>
        <w:ind w:left="851" w:right="743"/>
        <w:rPr>
          <w:spacing w:val="-1"/>
          <w:sz w:val="24"/>
          <w:szCs w:val="24"/>
        </w:rPr>
      </w:pPr>
      <w:r>
        <w:rPr>
          <w:spacing w:val="-1"/>
          <w:sz w:val="24"/>
          <w:szCs w:val="24"/>
        </w:rPr>
        <w:t>Kapselkammer</w:t>
      </w: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r>
        <w:rPr>
          <w:noProof/>
          <w:lang w:eastAsia="da-DK"/>
        </w:rPr>
        <w:lastRenderedPageBreak/>
        <w:drawing>
          <wp:anchor distT="0" distB="0" distL="114300" distR="114300" simplePos="0" relativeHeight="251661312" behindDoc="0" locked="0" layoutInCell="1" allowOverlap="1" wp14:anchorId="2B7399F1" wp14:editId="0CE56D4C">
            <wp:simplePos x="0" y="0"/>
            <wp:positionH relativeFrom="column">
              <wp:posOffset>537210</wp:posOffset>
            </wp:positionH>
            <wp:positionV relativeFrom="paragraph">
              <wp:posOffset>635</wp:posOffset>
            </wp:positionV>
            <wp:extent cx="1267200" cy="1267200"/>
            <wp:effectExtent l="0" t="0" r="9525" b="9525"/>
            <wp:wrapSquare wrapText="bothSides"/>
            <wp:docPr id="30" name="Billede 30"/>
            <wp:cNvGraphicFramePr/>
            <a:graphic xmlns:a="http://schemas.openxmlformats.org/drawingml/2006/main">
              <a:graphicData uri="http://schemas.openxmlformats.org/drawingml/2006/picture">
                <pic:pic xmlns:pic="http://schemas.openxmlformats.org/drawingml/2006/picture">
                  <pic:nvPicPr>
                    <pic:cNvPr id="30" name="Billede 3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7200"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02F7" w:rsidRDefault="00AB02F7" w:rsidP="00AB02F7">
      <w:pPr>
        <w:tabs>
          <w:tab w:val="left" w:pos="3402"/>
        </w:tabs>
        <w:ind w:left="3402" w:hanging="2551"/>
        <w:rPr>
          <w:sz w:val="24"/>
          <w:szCs w:val="24"/>
        </w:rPr>
      </w:pPr>
      <w:r>
        <w:rPr>
          <w:sz w:val="24"/>
          <w:szCs w:val="24"/>
        </w:rPr>
        <w:t>1.</w:t>
      </w:r>
      <w:r>
        <w:rPr>
          <w:sz w:val="24"/>
          <w:szCs w:val="24"/>
        </w:rPr>
        <w:tab/>
      </w:r>
      <w:r w:rsidRPr="00D34FB5">
        <w:rPr>
          <w:spacing w:val="-1"/>
          <w:sz w:val="24"/>
          <w:szCs w:val="24"/>
        </w:rPr>
        <w:t xml:space="preserve">Løft </w:t>
      </w:r>
      <w:proofErr w:type="spellStart"/>
      <w:r w:rsidRPr="00D34FB5">
        <w:rPr>
          <w:spacing w:val="-1"/>
          <w:sz w:val="24"/>
          <w:szCs w:val="24"/>
        </w:rPr>
        <w:t>beskyttelseslåget</w:t>
      </w:r>
      <w:proofErr w:type="spellEnd"/>
      <w:r w:rsidRPr="00D34FB5">
        <w:rPr>
          <w:spacing w:val="-1"/>
          <w:sz w:val="24"/>
          <w:szCs w:val="24"/>
        </w:rPr>
        <w:t xml:space="preserve"> af. Kontrollér at der ikke befinder sig fremmedlegemer i </w:t>
      </w:r>
      <w:proofErr w:type="spellStart"/>
      <w:r w:rsidRPr="00D34FB5">
        <w:rPr>
          <w:spacing w:val="-1"/>
          <w:sz w:val="24"/>
          <w:szCs w:val="24"/>
        </w:rPr>
        <w:t>inhalationskanale</w:t>
      </w:r>
      <w:proofErr w:type="spellEnd"/>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r>
        <w:rPr>
          <w:noProof/>
          <w:sz w:val="24"/>
          <w:szCs w:val="24"/>
          <w:lang w:eastAsia="da-DK"/>
        </w:rPr>
        <w:drawing>
          <wp:anchor distT="0" distB="0" distL="114300" distR="114300" simplePos="0" relativeHeight="251662336" behindDoc="0" locked="0" layoutInCell="1" allowOverlap="1" wp14:anchorId="589EBFAB" wp14:editId="5D2BF2C3">
            <wp:simplePos x="0" y="0"/>
            <wp:positionH relativeFrom="column">
              <wp:posOffset>537210</wp:posOffset>
            </wp:positionH>
            <wp:positionV relativeFrom="paragraph">
              <wp:posOffset>176384</wp:posOffset>
            </wp:positionV>
            <wp:extent cx="1299600" cy="2196000"/>
            <wp:effectExtent l="0" t="0" r="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9600" cy="2196000"/>
                    </a:xfrm>
                    <a:prstGeom prst="rect">
                      <a:avLst/>
                    </a:prstGeom>
                    <a:noFill/>
                  </pic:spPr>
                </pic:pic>
              </a:graphicData>
            </a:graphic>
            <wp14:sizeRelH relativeFrom="margin">
              <wp14:pctWidth>0</wp14:pctWidth>
            </wp14:sizeRelH>
            <wp14:sizeRelV relativeFrom="margin">
              <wp14:pctHeight>0</wp14:pctHeight>
            </wp14:sizeRelV>
          </wp:anchor>
        </w:drawing>
      </w: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Pr="00F508A0" w:rsidRDefault="00AB02F7" w:rsidP="00AB02F7">
      <w:pPr>
        <w:widowControl w:val="0"/>
        <w:tabs>
          <w:tab w:val="left" w:pos="3119"/>
          <w:tab w:val="left" w:pos="3402"/>
        </w:tabs>
        <w:spacing w:line="245" w:lineRule="auto"/>
        <w:ind w:left="3402" w:right="743" w:hanging="2551"/>
      </w:pPr>
      <w:r>
        <w:rPr>
          <w:sz w:val="24"/>
          <w:szCs w:val="24"/>
        </w:rPr>
        <w:t>2.</w:t>
      </w:r>
      <w:r>
        <w:rPr>
          <w:sz w:val="24"/>
          <w:szCs w:val="24"/>
        </w:rPr>
        <w:tab/>
      </w:r>
      <w:r w:rsidRPr="00D34FB5">
        <w:rPr>
          <w:sz w:val="24"/>
          <w:szCs w:val="24"/>
        </w:rPr>
        <w:t>Åbn mundstykket ved at løfte mundstykket op og samtidig trykke på siderne af basisdelen.</w:t>
      </w:r>
    </w:p>
    <w:p w:rsidR="00AB02F7" w:rsidRDefault="00AB02F7" w:rsidP="00AB02F7">
      <w:pPr>
        <w:tabs>
          <w:tab w:val="left" w:pos="3402"/>
        </w:tabs>
        <w:ind w:left="3402" w:hanging="25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Pr="0063223C" w:rsidRDefault="00AB02F7" w:rsidP="00AB02F7">
      <w:pPr>
        <w:tabs>
          <w:tab w:val="left" w:pos="3119"/>
          <w:tab w:val="left" w:pos="3402"/>
        </w:tabs>
        <w:ind w:left="3402" w:hanging="3402"/>
        <w:rPr>
          <w:sz w:val="24"/>
          <w:szCs w:val="24"/>
        </w:rPr>
      </w:pPr>
      <w:r>
        <w:rPr>
          <w:sz w:val="24"/>
          <w:szCs w:val="24"/>
        </w:rPr>
        <w:t>3.</w:t>
      </w:r>
      <w:r>
        <w:rPr>
          <w:sz w:val="24"/>
          <w:szCs w:val="24"/>
        </w:rPr>
        <w:tab/>
      </w:r>
      <w:r w:rsidRPr="0063223C">
        <w:rPr>
          <w:sz w:val="24"/>
          <w:szCs w:val="24"/>
        </w:rPr>
        <w:t xml:space="preserve">Tag en </w:t>
      </w:r>
      <w:proofErr w:type="spellStart"/>
      <w:r w:rsidRPr="0063223C">
        <w:rPr>
          <w:sz w:val="24"/>
          <w:szCs w:val="24"/>
        </w:rPr>
        <w:t>Sirkava</w:t>
      </w:r>
      <w:proofErr w:type="spellEnd"/>
      <w:r w:rsidRPr="0063223C">
        <w:rPr>
          <w:sz w:val="24"/>
          <w:szCs w:val="24"/>
        </w:rPr>
        <w:t xml:space="preserve"> kapsel ud af blisterarket (umiddelbart inden anvendelse, se håndtering af blisterarket sidst i instruktionen), og anbring den i kapselkammeret i </w:t>
      </w:r>
      <w:proofErr w:type="spellStart"/>
      <w:r w:rsidRPr="0063223C">
        <w:rPr>
          <w:sz w:val="24"/>
          <w:szCs w:val="24"/>
        </w:rPr>
        <w:t>NeumoHaler</w:t>
      </w:r>
      <w:proofErr w:type="spellEnd"/>
      <w:r w:rsidRPr="0063223C">
        <w:rPr>
          <w:sz w:val="24"/>
          <w:szCs w:val="24"/>
        </w:rPr>
        <w:t xml:space="preserve"> som vist på tegningen. Det betyder ikke noget, hvordan kapslen vender i kammeret. Kapslen må aldrig placeres direkte i mundstykket.</w:t>
      </w:r>
    </w:p>
    <w:p w:rsidR="00AB02F7" w:rsidRDefault="00AB02F7" w:rsidP="00AB02F7">
      <w:pPr>
        <w:tabs>
          <w:tab w:val="left" w:pos="3119"/>
          <w:tab w:val="left" w:pos="3402"/>
        </w:tabs>
        <w:ind w:left="3402" w:hanging="25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r>
        <w:rPr>
          <w:noProof/>
          <w:lang w:eastAsia="da-DK"/>
        </w:rPr>
        <w:drawing>
          <wp:anchor distT="0" distB="0" distL="114300" distR="114300" simplePos="0" relativeHeight="251663360" behindDoc="0" locked="0" layoutInCell="1" allowOverlap="1" wp14:anchorId="7A0D1567" wp14:editId="62FB0634">
            <wp:simplePos x="0" y="0"/>
            <wp:positionH relativeFrom="column">
              <wp:posOffset>537210</wp:posOffset>
            </wp:positionH>
            <wp:positionV relativeFrom="paragraph">
              <wp:posOffset>1270</wp:posOffset>
            </wp:positionV>
            <wp:extent cx="1263600" cy="1263600"/>
            <wp:effectExtent l="0" t="0" r="0" b="0"/>
            <wp:wrapSquare wrapText="bothSides"/>
            <wp:docPr id="17" name="Billede 17"/>
            <wp:cNvGraphicFramePr/>
            <a:graphic xmlns:a="http://schemas.openxmlformats.org/drawingml/2006/main">
              <a:graphicData uri="http://schemas.openxmlformats.org/drawingml/2006/picture">
                <pic:pic xmlns:pic="http://schemas.openxmlformats.org/drawingml/2006/picture">
                  <pic:nvPicPr>
                    <pic:cNvPr id="17" name="Billede 17"/>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3600" cy="126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02F7" w:rsidRDefault="00AB02F7" w:rsidP="00AB02F7">
      <w:pPr>
        <w:tabs>
          <w:tab w:val="left" w:pos="851"/>
        </w:tabs>
        <w:ind w:left="851"/>
        <w:rPr>
          <w:sz w:val="24"/>
          <w:szCs w:val="24"/>
        </w:rPr>
      </w:pPr>
    </w:p>
    <w:p w:rsidR="00AB02F7" w:rsidRDefault="00AB02F7" w:rsidP="00AB02F7">
      <w:pPr>
        <w:tabs>
          <w:tab w:val="left" w:pos="3402"/>
        </w:tabs>
        <w:ind w:left="3402" w:hanging="2551"/>
        <w:rPr>
          <w:sz w:val="24"/>
          <w:szCs w:val="24"/>
        </w:rPr>
      </w:pPr>
      <w:r>
        <w:rPr>
          <w:sz w:val="24"/>
          <w:szCs w:val="24"/>
        </w:rPr>
        <w:t>4.</w:t>
      </w:r>
      <w:r>
        <w:rPr>
          <w:sz w:val="24"/>
          <w:szCs w:val="24"/>
        </w:rPr>
        <w:tab/>
        <w:t>Tryk mundstykket helt ned, indtil der høres et klik.</w:t>
      </w: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r>
        <w:rPr>
          <w:noProof/>
          <w:lang w:eastAsia="da-DK"/>
        </w:rPr>
        <w:drawing>
          <wp:anchor distT="0" distB="0" distL="114300" distR="114300" simplePos="0" relativeHeight="251664384" behindDoc="0" locked="0" layoutInCell="1" allowOverlap="1" wp14:anchorId="5329E769" wp14:editId="099F7DEA">
            <wp:simplePos x="0" y="0"/>
            <wp:positionH relativeFrom="column">
              <wp:posOffset>537210</wp:posOffset>
            </wp:positionH>
            <wp:positionV relativeFrom="paragraph">
              <wp:posOffset>1270</wp:posOffset>
            </wp:positionV>
            <wp:extent cx="1267200" cy="1267200"/>
            <wp:effectExtent l="0" t="0" r="9525" b="9525"/>
            <wp:wrapSquare wrapText="bothSides"/>
            <wp:docPr id="26" name="Billede 26"/>
            <wp:cNvGraphicFramePr/>
            <a:graphic xmlns:a="http://schemas.openxmlformats.org/drawingml/2006/main">
              <a:graphicData uri="http://schemas.openxmlformats.org/drawingml/2006/picture">
                <pic:pic xmlns:pic="http://schemas.openxmlformats.org/drawingml/2006/picture">
                  <pic:nvPicPr>
                    <pic:cNvPr id="26" name="Billede 2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7200"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02F7" w:rsidRDefault="00AB02F7" w:rsidP="00AB02F7">
      <w:pPr>
        <w:tabs>
          <w:tab w:val="left" w:pos="851"/>
        </w:tabs>
        <w:ind w:left="851"/>
        <w:rPr>
          <w:sz w:val="24"/>
          <w:szCs w:val="24"/>
        </w:rPr>
      </w:pPr>
    </w:p>
    <w:p w:rsidR="00AB02F7" w:rsidRDefault="00AB02F7" w:rsidP="00AB02F7">
      <w:pPr>
        <w:tabs>
          <w:tab w:val="left" w:pos="3119"/>
          <w:tab w:val="left" w:pos="3402"/>
        </w:tabs>
        <w:ind w:left="3402" w:hanging="2551"/>
        <w:rPr>
          <w:sz w:val="24"/>
          <w:szCs w:val="24"/>
        </w:rPr>
      </w:pPr>
      <w:r>
        <w:rPr>
          <w:sz w:val="24"/>
          <w:szCs w:val="24"/>
        </w:rPr>
        <w:t>5.</w:t>
      </w:r>
      <w:r>
        <w:rPr>
          <w:sz w:val="24"/>
          <w:szCs w:val="24"/>
        </w:rPr>
        <w:tab/>
      </w:r>
      <w:r w:rsidRPr="00F508A0">
        <w:t xml:space="preserve">Hold </w:t>
      </w:r>
      <w:proofErr w:type="spellStart"/>
      <w:r w:rsidRPr="00F508A0">
        <w:t>NeumoHaler</w:t>
      </w:r>
      <w:proofErr w:type="spellEnd"/>
      <w:r w:rsidRPr="00F508A0">
        <w:t xml:space="preserve"> inhalatoren med mundstykket opad. Tryk </w:t>
      </w:r>
      <w:r>
        <w:t>perforerings</w:t>
      </w:r>
      <w:r w:rsidRPr="00F508A0">
        <w:t xml:space="preserve">knappen helt ind (kun </w:t>
      </w:r>
      <w:r>
        <w:t>en</w:t>
      </w:r>
      <w:r w:rsidRPr="00F508A0">
        <w:t xml:space="preserve"> gang)</w:t>
      </w:r>
      <w:r>
        <w:t>,</w:t>
      </w:r>
      <w:r w:rsidRPr="00F508A0">
        <w:t xml:space="preserve"> og slip den igen. Der er nu huller i kapslen, og lægemidlet kan inhaleres</w:t>
      </w: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r>
        <w:rPr>
          <w:noProof/>
          <w:lang w:eastAsia="da-DK"/>
        </w:rPr>
        <w:drawing>
          <wp:anchor distT="0" distB="0" distL="114300" distR="114300" simplePos="0" relativeHeight="251665408" behindDoc="0" locked="0" layoutInCell="1" allowOverlap="1" wp14:anchorId="46AE3A85" wp14:editId="2507E938">
            <wp:simplePos x="0" y="0"/>
            <wp:positionH relativeFrom="column">
              <wp:posOffset>537210</wp:posOffset>
            </wp:positionH>
            <wp:positionV relativeFrom="paragraph">
              <wp:posOffset>635</wp:posOffset>
            </wp:positionV>
            <wp:extent cx="1267200" cy="1267200"/>
            <wp:effectExtent l="0" t="0" r="9525" b="9525"/>
            <wp:wrapSquare wrapText="bothSides"/>
            <wp:docPr id="25" name="Billede 25"/>
            <wp:cNvGraphicFramePr/>
            <a:graphic xmlns:a="http://schemas.openxmlformats.org/drawingml/2006/main">
              <a:graphicData uri="http://schemas.openxmlformats.org/drawingml/2006/picture">
                <pic:pic xmlns:pic="http://schemas.openxmlformats.org/drawingml/2006/picture">
                  <pic:nvPicPr>
                    <pic:cNvPr id="25" name="Billede 25"/>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7200"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02F7" w:rsidRDefault="00AB02F7" w:rsidP="00AB02F7">
      <w:pPr>
        <w:tabs>
          <w:tab w:val="left" w:pos="851"/>
        </w:tabs>
        <w:ind w:left="851"/>
        <w:rPr>
          <w:sz w:val="24"/>
          <w:szCs w:val="24"/>
        </w:rPr>
      </w:pPr>
    </w:p>
    <w:p w:rsidR="00AB02F7" w:rsidRDefault="00AB02F7" w:rsidP="00AB02F7">
      <w:pPr>
        <w:tabs>
          <w:tab w:val="left" w:pos="3402"/>
        </w:tabs>
        <w:ind w:left="3402" w:hanging="2551"/>
        <w:rPr>
          <w:sz w:val="24"/>
          <w:szCs w:val="24"/>
        </w:rPr>
      </w:pPr>
      <w:r>
        <w:rPr>
          <w:sz w:val="24"/>
          <w:szCs w:val="24"/>
        </w:rPr>
        <w:t>6.</w:t>
      </w:r>
      <w:r>
        <w:rPr>
          <w:sz w:val="24"/>
          <w:szCs w:val="24"/>
        </w:rPr>
        <w:tab/>
      </w:r>
      <w:r w:rsidRPr="00F508A0">
        <w:t>Pust helt ud. OBS! Det er vigtigt ikke at puste ud gennem mundstykket.</w:t>
      </w: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r>
        <w:rPr>
          <w:noProof/>
          <w:lang w:eastAsia="da-DK"/>
        </w:rPr>
        <w:drawing>
          <wp:anchor distT="0" distB="0" distL="114300" distR="114300" simplePos="0" relativeHeight="251666432" behindDoc="0" locked="0" layoutInCell="1" allowOverlap="1" wp14:anchorId="3B8AC836" wp14:editId="562F824D">
            <wp:simplePos x="0" y="0"/>
            <wp:positionH relativeFrom="column">
              <wp:posOffset>537210</wp:posOffset>
            </wp:positionH>
            <wp:positionV relativeFrom="paragraph">
              <wp:posOffset>635</wp:posOffset>
            </wp:positionV>
            <wp:extent cx="1268095" cy="1268095"/>
            <wp:effectExtent l="0" t="0" r="8255" b="8255"/>
            <wp:wrapSquare wrapText="bothSides"/>
            <wp:docPr id="24" name="Billede 24"/>
            <wp:cNvGraphicFramePr/>
            <a:graphic xmlns:a="http://schemas.openxmlformats.org/drawingml/2006/main">
              <a:graphicData uri="http://schemas.openxmlformats.org/drawingml/2006/picture">
                <pic:pic xmlns:pic="http://schemas.openxmlformats.org/drawingml/2006/picture">
                  <pic:nvPicPr>
                    <pic:cNvPr id="24" name="Billede 24"/>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8095" cy="1268095"/>
                    </a:xfrm>
                    <a:prstGeom prst="rect">
                      <a:avLst/>
                    </a:prstGeom>
                    <a:noFill/>
                    <a:ln>
                      <a:noFill/>
                    </a:ln>
                  </pic:spPr>
                </pic:pic>
              </a:graphicData>
            </a:graphic>
          </wp:anchor>
        </w:drawing>
      </w:r>
    </w:p>
    <w:p w:rsidR="00AB02F7" w:rsidRPr="00DD6170" w:rsidRDefault="00AB02F7" w:rsidP="00AB02F7">
      <w:pPr>
        <w:tabs>
          <w:tab w:val="left" w:pos="3402"/>
        </w:tabs>
        <w:ind w:left="3402" w:hanging="2551"/>
        <w:rPr>
          <w:sz w:val="24"/>
          <w:szCs w:val="24"/>
        </w:rPr>
      </w:pPr>
      <w:r>
        <w:rPr>
          <w:sz w:val="24"/>
          <w:szCs w:val="24"/>
        </w:rPr>
        <w:t>7.</w:t>
      </w:r>
      <w:r>
        <w:rPr>
          <w:sz w:val="24"/>
          <w:szCs w:val="24"/>
        </w:rPr>
        <w:tab/>
      </w:r>
      <w:r w:rsidRPr="00DD6170">
        <w:rPr>
          <w:sz w:val="24"/>
          <w:szCs w:val="24"/>
        </w:rPr>
        <w:t xml:space="preserve">Løft </w:t>
      </w:r>
      <w:proofErr w:type="spellStart"/>
      <w:r w:rsidRPr="00DD6170">
        <w:rPr>
          <w:sz w:val="24"/>
          <w:szCs w:val="24"/>
        </w:rPr>
        <w:t>NeumoHaler</w:t>
      </w:r>
      <w:proofErr w:type="spellEnd"/>
      <w:r w:rsidRPr="00DD6170">
        <w:rPr>
          <w:sz w:val="24"/>
          <w:szCs w:val="24"/>
        </w:rPr>
        <w:t xml:space="preserve"> inhalatoren op til munden og slut læberne tæt rundt om mundstykket. Hold hovedet opret, og træk vejret langsomt og dybt, men dog så hurtigt, at du kan høre eller føle kapslen vibrere. Træk vejret ind, indtil lungerne føles helt fulde, hold vejret så længe som muligt og tag samtidig </w:t>
      </w:r>
      <w:proofErr w:type="spellStart"/>
      <w:r w:rsidRPr="00DD6170">
        <w:rPr>
          <w:sz w:val="24"/>
          <w:szCs w:val="24"/>
        </w:rPr>
        <w:t>NeumoHaler</w:t>
      </w:r>
      <w:proofErr w:type="spellEnd"/>
      <w:r w:rsidRPr="00DD6170">
        <w:rPr>
          <w:sz w:val="24"/>
          <w:szCs w:val="24"/>
        </w:rPr>
        <w:t xml:space="preserve"> væk fra munden.</w:t>
      </w:r>
    </w:p>
    <w:p w:rsidR="00AB02F7" w:rsidRPr="00DD6170" w:rsidRDefault="00AB02F7" w:rsidP="00AB02F7">
      <w:pPr>
        <w:tabs>
          <w:tab w:val="left" w:pos="3402"/>
        </w:tabs>
        <w:ind w:left="3402" w:hanging="2551"/>
        <w:rPr>
          <w:sz w:val="24"/>
          <w:szCs w:val="24"/>
        </w:rPr>
      </w:pPr>
    </w:p>
    <w:p w:rsidR="00AB02F7" w:rsidRPr="00DD6170" w:rsidRDefault="00AB02F7" w:rsidP="00AB02F7">
      <w:pPr>
        <w:tabs>
          <w:tab w:val="left" w:pos="3402"/>
        </w:tabs>
        <w:ind w:left="3402" w:hanging="2551"/>
        <w:rPr>
          <w:sz w:val="24"/>
          <w:szCs w:val="24"/>
        </w:rPr>
      </w:pPr>
      <w:r>
        <w:rPr>
          <w:sz w:val="24"/>
          <w:szCs w:val="24"/>
        </w:rPr>
        <w:tab/>
      </w:r>
      <w:r w:rsidRPr="00DD6170">
        <w:rPr>
          <w:sz w:val="24"/>
          <w:szCs w:val="24"/>
        </w:rPr>
        <w:t>Gentag punkt 6 og 7 for at sikre at kapslen er helt tømt.</w:t>
      </w:r>
    </w:p>
    <w:p w:rsidR="00AB02F7" w:rsidRDefault="00AB02F7" w:rsidP="00AB02F7">
      <w:pPr>
        <w:tabs>
          <w:tab w:val="left" w:pos="3402"/>
        </w:tabs>
        <w:ind w:left="3402" w:hanging="2551"/>
        <w:rPr>
          <w:sz w:val="24"/>
          <w:szCs w:val="24"/>
        </w:rPr>
      </w:pPr>
    </w:p>
    <w:p w:rsidR="00AB02F7" w:rsidRDefault="00AB02F7" w:rsidP="00AB02F7">
      <w:pPr>
        <w:tabs>
          <w:tab w:val="left" w:pos="851"/>
        </w:tabs>
        <w:ind w:left="851"/>
        <w:rPr>
          <w:sz w:val="24"/>
          <w:szCs w:val="24"/>
        </w:rPr>
      </w:pPr>
      <w:r>
        <w:rPr>
          <w:noProof/>
          <w:lang w:eastAsia="da-DK"/>
        </w:rPr>
        <w:drawing>
          <wp:anchor distT="0" distB="0" distL="114300" distR="114300" simplePos="0" relativeHeight="251667456" behindDoc="0" locked="0" layoutInCell="1" allowOverlap="1" wp14:anchorId="77A6B722" wp14:editId="51CC9A85">
            <wp:simplePos x="0" y="0"/>
            <wp:positionH relativeFrom="column">
              <wp:posOffset>537210</wp:posOffset>
            </wp:positionH>
            <wp:positionV relativeFrom="paragraph">
              <wp:posOffset>635</wp:posOffset>
            </wp:positionV>
            <wp:extent cx="1267200" cy="1267200"/>
            <wp:effectExtent l="0" t="0" r="9525" b="9525"/>
            <wp:wrapSquare wrapText="bothSides"/>
            <wp:docPr id="23" name="Billede 23"/>
            <wp:cNvGraphicFramePr/>
            <a:graphic xmlns:a="http://schemas.openxmlformats.org/drawingml/2006/main">
              <a:graphicData uri="http://schemas.openxmlformats.org/drawingml/2006/picture">
                <pic:pic xmlns:pic="http://schemas.openxmlformats.org/drawingml/2006/picture">
                  <pic:nvPicPr>
                    <pic:cNvPr id="23" name="Billede 23"/>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7200"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02F7" w:rsidRDefault="00AB02F7" w:rsidP="00AB02F7">
      <w:pPr>
        <w:tabs>
          <w:tab w:val="left" w:pos="3402"/>
        </w:tabs>
        <w:ind w:left="3402" w:hanging="2551"/>
      </w:pPr>
      <w:r>
        <w:rPr>
          <w:sz w:val="24"/>
          <w:szCs w:val="24"/>
        </w:rPr>
        <w:t>8.</w:t>
      </w:r>
      <w:r>
        <w:rPr>
          <w:sz w:val="24"/>
          <w:szCs w:val="24"/>
        </w:rPr>
        <w:tab/>
      </w:r>
      <w:r w:rsidRPr="00F508A0">
        <w:t xml:space="preserve">Åbn mundstykket igen. Vip den tomme kapsel ud, og kassér den. Luk mundstykket og </w:t>
      </w:r>
      <w:proofErr w:type="spellStart"/>
      <w:r w:rsidRPr="00F508A0">
        <w:t>beskyttelseslåget</w:t>
      </w:r>
      <w:proofErr w:type="spellEnd"/>
      <w:r w:rsidRPr="00F508A0">
        <w:t xml:space="preserve"> igen. </w:t>
      </w:r>
      <w:proofErr w:type="spellStart"/>
      <w:r w:rsidRPr="00F508A0">
        <w:t>Beskyttelseslåget</w:t>
      </w:r>
      <w:proofErr w:type="spellEnd"/>
      <w:r w:rsidRPr="00F508A0">
        <w:t xml:space="preserve"> sk</w:t>
      </w:r>
      <w:r>
        <w:t>a</w:t>
      </w:r>
      <w:r w:rsidRPr="00F508A0">
        <w:t>l være helt lukket.</w:t>
      </w:r>
      <w:r>
        <w:t xml:space="preserve"> </w:t>
      </w:r>
    </w:p>
    <w:p w:rsidR="006737D5" w:rsidRDefault="006737D5" w:rsidP="006737D5">
      <w:pPr>
        <w:tabs>
          <w:tab w:val="left" w:pos="3402"/>
        </w:tabs>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Pr="00E47293" w:rsidRDefault="00AB02F7" w:rsidP="00AB02F7">
      <w:pPr>
        <w:tabs>
          <w:tab w:val="left" w:pos="851"/>
        </w:tabs>
        <w:ind w:left="851"/>
        <w:rPr>
          <w:sz w:val="24"/>
          <w:szCs w:val="24"/>
          <w:u w:val="single"/>
        </w:rPr>
      </w:pPr>
      <w:r w:rsidRPr="00E47293">
        <w:rPr>
          <w:sz w:val="24"/>
          <w:szCs w:val="24"/>
          <w:u w:val="single"/>
        </w:rPr>
        <w:t xml:space="preserve">Rengøring af din </w:t>
      </w:r>
      <w:proofErr w:type="spellStart"/>
      <w:r>
        <w:rPr>
          <w:sz w:val="24"/>
          <w:szCs w:val="24"/>
          <w:u w:val="single"/>
        </w:rPr>
        <w:t>NeumoH</w:t>
      </w:r>
      <w:r w:rsidRPr="00E47293">
        <w:rPr>
          <w:sz w:val="24"/>
          <w:szCs w:val="24"/>
          <w:u w:val="single"/>
        </w:rPr>
        <w:t>aler</w:t>
      </w:r>
      <w:proofErr w:type="spellEnd"/>
    </w:p>
    <w:p w:rsidR="00AB02F7" w:rsidRDefault="00AB02F7" w:rsidP="00AB02F7">
      <w:pPr>
        <w:tabs>
          <w:tab w:val="left" w:pos="851"/>
        </w:tabs>
        <w:ind w:left="851"/>
        <w:rPr>
          <w:sz w:val="24"/>
          <w:szCs w:val="24"/>
        </w:rPr>
      </w:pPr>
      <w:proofErr w:type="spellStart"/>
      <w:r>
        <w:rPr>
          <w:sz w:val="24"/>
          <w:szCs w:val="24"/>
        </w:rPr>
        <w:t>NeumoHaler</w:t>
      </w:r>
      <w:proofErr w:type="spellEnd"/>
      <w:r>
        <w:rPr>
          <w:sz w:val="24"/>
          <w:szCs w:val="24"/>
        </w:rPr>
        <w:t xml:space="preserve"> bør rengøres 1 gang om måneden.</w:t>
      </w: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r>
        <w:rPr>
          <w:noProof/>
          <w:lang w:eastAsia="da-DK"/>
        </w:rPr>
        <w:drawing>
          <wp:anchor distT="0" distB="0" distL="114300" distR="114300" simplePos="0" relativeHeight="251668480" behindDoc="0" locked="0" layoutInCell="1" allowOverlap="1" wp14:anchorId="3150D43B" wp14:editId="04EAB534">
            <wp:simplePos x="0" y="0"/>
            <wp:positionH relativeFrom="column">
              <wp:posOffset>537210</wp:posOffset>
            </wp:positionH>
            <wp:positionV relativeFrom="paragraph">
              <wp:posOffset>0</wp:posOffset>
            </wp:positionV>
            <wp:extent cx="1267200" cy="1267200"/>
            <wp:effectExtent l="0" t="0" r="9525" b="9525"/>
            <wp:wrapSquare wrapText="bothSides"/>
            <wp:docPr id="22" name="Billede 22"/>
            <wp:cNvGraphicFramePr/>
            <a:graphic xmlns:a="http://schemas.openxmlformats.org/drawingml/2006/main">
              <a:graphicData uri="http://schemas.openxmlformats.org/drawingml/2006/picture">
                <pic:pic xmlns:pic="http://schemas.openxmlformats.org/drawingml/2006/picture">
                  <pic:nvPicPr>
                    <pic:cNvPr id="22" name="Billede 2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7200"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B02F7" w:rsidRPr="00FE412A" w:rsidRDefault="00AB02F7" w:rsidP="00AB02F7">
      <w:pPr>
        <w:tabs>
          <w:tab w:val="left" w:pos="3402"/>
        </w:tabs>
        <w:ind w:left="3402" w:hanging="2551"/>
        <w:rPr>
          <w:sz w:val="24"/>
          <w:szCs w:val="24"/>
        </w:rPr>
      </w:pPr>
      <w:r>
        <w:rPr>
          <w:sz w:val="24"/>
          <w:szCs w:val="24"/>
        </w:rPr>
        <w:t>1.</w:t>
      </w:r>
      <w:r>
        <w:rPr>
          <w:sz w:val="24"/>
          <w:szCs w:val="24"/>
        </w:rPr>
        <w:tab/>
        <w:t>Å</w:t>
      </w:r>
      <w:r w:rsidRPr="00FE412A">
        <w:rPr>
          <w:sz w:val="24"/>
          <w:szCs w:val="24"/>
        </w:rPr>
        <w:t xml:space="preserve">bn </w:t>
      </w:r>
      <w:proofErr w:type="spellStart"/>
      <w:r w:rsidRPr="00FE412A">
        <w:rPr>
          <w:sz w:val="24"/>
          <w:szCs w:val="24"/>
        </w:rPr>
        <w:t>beskyttelseslåget</w:t>
      </w:r>
      <w:proofErr w:type="spellEnd"/>
      <w:r w:rsidRPr="00FE412A">
        <w:rPr>
          <w:sz w:val="24"/>
          <w:szCs w:val="24"/>
        </w:rPr>
        <w:t xml:space="preserve"> og mundstykket.</w:t>
      </w:r>
    </w:p>
    <w:p w:rsidR="00AB02F7" w:rsidRPr="00FE412A" w:rsidRDefault="00AB02F7" w:rsidP="00AB02F7">
      <w:pPr>
        <w:tabs>
          <w:tab w:val="left" w:pos="3402"/>
        </w:tabs>
        <w:ind w:left="3402" w:hanging="2551"/>
        <w:rPr>
          <w:sz w:val="24"/>
          <w:szCs w:val="24"/>
        </w:rPr>
      </w:pPr>
    </w:p>
    <w:p w:rsidR="00AB02F7" w:rsidRPr="00FE412A" w:rsidRDefault="00AB02F7" w:rsidP="00AB02F7">
      <w:pPr>
        <w:tabs>
          <w:tab w:val="left" w:pos="3402"/>
        </w:tabs>
        <w:ind w:left="3402" w:hanging="2551"/>
        <w:rPr>
          <w:sz w:val="24"/>
          <w:szCs w:val="24"/>
        </w:rPr>
      </w:pPr>
    </w:p>
    <w:p w:rsidR="00AB02F7" w:rsidRDefault="00AB02F7" w:rsidP="00AB02F7">
      <w:pPr>
        <w:tabs>
          <w:tab w:val="left" w:pos="3402"/>
        </w:tabs>
        <w:ind w:left="3402" w:hanging="2551"/>
        <w:rPr>
          <w:sz w:val="24"/>
          <w:szCs w:val="24"/>
        </w:rPr>
      </w:pPr>
      <w:r>
        <w:rPr>
          <w:sz w:val="24"/>
          <w:szCs w:val="24"/>
        </w:rPr>
        <w:tab/>
      </w:r>
      <w:r w:rsidRPr="00FE412A">
        <w:rPr>
          <w:sz w:val="24"/>
          <w:szCs w:val="24"/>
        </w:rPr>
        <w:t>Åbn basisdelen ved at trykke tommelfingeren ned på trekanten under perforeringsknappen som vist på tegningen.</w:t>
      </w: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3402"/>
        </w:tabs>
        <w:ind w:left="3402" w:hanging="2551"/>
        <w:rPr>
          <w:sz w:val="24"/>
          <w:szCs w:val="24"/>
        </w:rPr>
      </w:pPr>
      <w:r>
        <w:rPr>
          <w:noProof/>
          <w:lang w:eastAsia="da-DK"/>
        </w:rPr>
        <w:drawing>
          <wp:anchor distT="0" distB="0" distL="114300" distR="114300" simplePos="0" relativeHeight="251669504" behindDoc="0" locked="0" layoutInCell="1" allowOverlap="1" wp14:anchorId="3B36303B" wp14:editId="28E524F2">
            <wp:simplePos x="0" y="0"/>
            <wp:positionH relativeFrom="column">
              <wp:posOffset>537210</wp:posOffset>
            </wp:positionH>
            <wp:positionV relativeFrom="paragraph">
              <wp:posOffset>0</wp:posOffset>
            </wp:positionV>
            <wp:extent cx="1267200" cy="1267200"/>
            <wp:effectExtent l="0" t="0" r="9525" b="9525"/>
            <wp:wrapSquare wrapText="bothSides"/>
            <wp:docPr id="21" name="Billede 21"/>
            <wp:cNvGraphicFramePr/>
            <a:graphic xmlns:a="http://schemas.openxmlformats.org/drawingml/2006/main">
              <a:graphicData uri="http://schemas.openxmlformats.org/drawingml/2006/picture">
                <pic:pic xmlns:pic="http://schemas.openxmlformats.org/drawingml/2006/picture">
                  <pic:nvPicPr>
                    <pic:cNvPr id="21" name="Billede 2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7200" cy="1267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2.</w:t>
      </w:r>
      <w:r>
        <w:rPr>
          <w:sz w:val="24"/>
          <w:szCs w:val="24"/>
        </w:rPr>
        <w:tab/>
        <w:t>S</w:t>
      </w:r>
      <w:r w:rsidRPr="00F508A0">
        <w:t>kyl hele inhalatoren med varmt vand for at få pulverrester væk</w:t>
      </w:r>
      <w:r w:rsidRPr="00F508A0">
        <w:rPr>
          <w:spacing w:val="-1"/>
        </w:rPr>
        <w:t xml:space="preserve">. Tøm </w:t>
      </w:r>
      <w:proofErr w:type="spellStart"/>
      <w:r w:rsidRPr="00F508A0">
        <w:rPr>
          <w:spacing w:val="-1"/>
        </w:rPr>
        <w:t>NeumoHaler</w:t>
      </w:r>
      <w:proofErr w:type="spellEnd"/>
      <w:r w:rsidRPr="00F508A0">
        <w:rPr>
          <w:spacing w:val="25"/>
        </w:rPr>
        <w:t xml:space="preserve"> </w:t>
      </w:r>
      <w:r w:rsidRPr="00F508A0">
        <w:t xml:space="preserve">grundigt ved at hælde det overskydende vand ud og læg </w:t>
      </w:r>
      <w:proofErr w:type="spellStart"/>
      <w:r w:rsidRPr="00F508A0">
        <w:t>Neumohaler</w:t>
      </w:r>
      <w:proofErr w:type="spellEnd"/>
      <w:r w:rsidRPr="00F508A0">
        <w:t xml:space="preserve"> på en papirserviet så de enkelte dele kan lufttørre. Det tager 24 timer at lufttørre inhalatoren, så den bør rengøres umiddelbart efter anvendelse, så den er klar til den næste inhalation. Ydersiden af mundstykket kan ved behov rengøres med en fugtig (ikke våd) serviet.</w:t>
      </w: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Pr="00110C97" w:rsidRDefault="00AB02F7" w:rsidP="00AB02F7">
      <w:pPr>
        <w:tabs>
          <w:tab w:val="left" w:pos="851"/>
        </w:tabs>
        <w:ind w:left="851"/>
        <w:rPr>
          <w:sz w:val="24"/>
          <w:szCs w:val="24"/>
          <w:u w:val="single"/>
        </w:rPr>
      </w:pPr>
      <w:r w:rsidRPr="00110C97">
        <w:rPr>
          <w:sz w:val="24"/>
          <w:szCs w:val="24"/>
          <w:u w:val="single"/>
        </w:rPr>
        <w:t>Håndtering af blisterark</w:t>
      </w: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r>
        <w:rPr>
          <w:noProof/>
          <w:lang w:eastAsia="da-DK"/>
        </w:rPr>
        <w:drawing>
          <wp:anchor distT="0" distB="0" distL="114300" distR="114300" simplePos="0" relativeHeight="251670528" behindDoc="0" locked="0" layoutInCell="1" allowOverlap="1" wp14:anchorId="79C725C3" wp14:editId="68009F7A">
            <wp:simplePos x="0" y="0"/>
            <wp:positionH relativeFrom="column">
              <wp:posOffset>537210</wp:posOffset>
            </wp:positionH>
            <wp:positionV relativeFrom="paragraph">
              <wp:posOffset>635</wp:posOffset>
            </wp:positionV>
            <wp:extent cx="1268095" cy="1268095"/>
            <wp:effectExtent l="0" t="0" r="8255" b="8255"/>
            <wp:wrapSquare wrapText="bothSides"/>
            <wp:docPr id="20" name="Billede 20"/>
            <wp:cNvGraphicFramePr/>
            <a:graphic xmlns:a="http://schemas.openxmlformats.org/drawingml/2006/main">
              <a:graphicData uri="http://schemas.openxmlformats.org/drawingml/2006/picture">
                <pic:pic xmlns:pic="http://schemas.openxmlformats.org/drawingml/2006/picture">
                  <pic:nvPicPr>
                    <pic:cNvPr id="20" name="Billede 20"/>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68095" cy="1268095"/>
                    </a:xfrm>
                    <a:prstGeom prst="rect">
                      <a:avLst/>
                    </a:prstGeom>
                    <a:noFill/>
                    <a:ln>
                      <a:noFill/>
                    </a:ln>
                  </pic:spPr>
                </pic:pic>
              </a:graphicData>
            </a:graphic>
          </wp:anchor>
        </w:drawing>
      </w:r>
    </w:p>
    <w:p w:rsidR="00AB02F7" w:rsidRPr="00D82784" w:rsidRDefault="00AB02F7" w:rsidP="00AB02F7">
      <w:pPr>
        <w:numPr>
          <w:ilvl w:val="0"/>
          <w:numId w:val="7"/>
        </w:numPr>
        <w:tabs>
          <w:tab w:val="left" w:pos="3402"/>
        </w:tabs>
        <w:jc w:val="left"/>
        <w:rPr>
          <w:sz w:val="24"/>
          <w:szCs w:val="24"/>
        </w:rPr>
      </w:pPr>
      <w:r w:rsidRPr="00D82784">
        <w:rPr>
          <w:sz w:val="24"/>
          <w:szCs w:val="24"/>
        </w:rPr>
        <w:t>Riv en blister af blisterarket ved at rive langs perforeringen.</w:t>
      </w:r>
    </w:p>
    <w:p w:rsidR="00AB02F7" w:rsidRDefault="00AB02F7" w:rsidP="00AB02F7">
      <w:pPr>
        <w:tabs>
          <w:tab w:val="left" w:pos="3402"/>
        </w:tabs>
        <w:ind w:left="3402" w:hanging="25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r>
        <w:rPr>
          <w:noProof/>
          <w:lang w:eastAsia="da-DK"/>
        </w:rPr>
        <w:drawing>
          <wp:anchor distT="0" distB="0" distL="114300" distR="114300" simplePos="0" relativeHeight="251671552" behindDoc="0" locked="0" layoutInCell="1" allowOverlap="1" wp14:anchorId="7AF2EC0D" wp14:editId="54569BAB">
            <wp:simplePos x="0" y="0"/>
            <wp:positionH relativeFrom="column">
              <wp:posOffset>537210</wp:posOffset>
            </wp:positionH>
            <wp:positionV relativeFrom="paragraph">
              <wp:posOffset>635</wp:posOffset>
            </wp:positionV>
            <wp:extent cx="1268095" cy="1268095"/>
            <wp:effectExtent l="0" t="0" r="8255" b="8255"/>
            <wp:wrapSquare wrapText="bothSides"/>
            <wp:docPr id="19" name="Billede 19"/>
            <wp:cNvGraphicFramePr/>
            <a:graphic xmlns:a="http://schemas.openxmlformats.org/drawingml/2006/main">
              <a:graphicData uri="http://schemas.openxmlformats.org/drawingml/2006/picture">
                <pic:pic xmlns:pic="http://schemas.openxmlformats.org/drawingml/2006/picture">
                  <pic:nvPicPr>
                    <pic:cNvPr id="19" name="Billede 19"/>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68095" cy="1268095"/>
                    </a:xfrm>
                    <a:prstGeom prst="rect">
                      <a:avLst/>
                    </a:prstGeom>
                    <a:noFill/>
                    <a:ln>
                      <a:noFill/>
                    </a:ln>
                  </pic:spPr>
                </pic:pic>
              </a:graphicData>
            </a:graphic>
          </wp:anchor>
        </w:drawing>
      </w:r>
    </w:p>
    <w:p w:rsidR="00AB02F7" w:rsidRPr="00D772AE" w:rsidRDefault="00AB02F7" w:rsidP="00AB02F7">
      <w:pPr>
        <w:numPr>
          <w:ilvl w:val="0"/>
          <w:numId w:val="7"/>
        </w:numPr>
        <w:tabs>
          <w:tab w:val="left" w:pos="3402"/>
        </w:tabs>
        <w:ind w:left="3402" w:hanging="2551"/>
        <w:jc w:val="left"/>
        <w:rPr>
          <w:sz w:val="24"/>
          <w:szCs w:val="24"/>
        </w:rPr>
      </w:pPr>
      <w:r>
        <w:rPr>
          <w:sz w:val="24"/>
          <w:szCs w:val="24"/>
        </w:rPr>
        <w:t>Tr</w:t>
      </w:r>
      <w:r w:rsidRPr="00D772AE">
        <w:rPr>
          <w:sz w:val="24"/>
          <w:szCs w:val="24"/>
        </w:rPr>
        <w:t>æk folien af blisteren ved hjælp af flappen på bagsiden af blisteren, indtil kapslen er helt synlig.</w:t>
      </w:r>
    </w:p>
    <w:p w:rsidR="00AB02F7" w:rsidRPr="00D772AE" w:rsidRDefault="00AB02F7" w:rsidP="00AB02F7">
      <w:pPr>
        <w:tabs>
          <w:tab w:val="left" w:pos="3402"/>
        </w:tabs>
        <w:ind w:left="3402" w:hanging="2551"/>
        <w:rPr>
          <w:sz w:val="24"/>
          <w:szCs w:val="24"/>
        </w:rPr>
      </w:pPr>
    </w:p>
    <w:p w:rsidR="00AB02F7" w:rsidRPr="00D772AE" w:rsidRDefault="00AB02F7" w:rsidP="00AB02F7">
      <w:pPr>
        <w:tabs>
          <w:tab w:val="left" w:pos="3402"/>
        </w:tabs>
        <w:ind w:left="3402" w:hanging="2551"/>
        <w:rPr>
          <w:sz w:val="24"/>
          <w:szCs w:val="24"/>
        </w:rPr>
      </w:pPr>
      <w:r>
        <w:rPr>
          <w:sz w:val="24"/>
          <w:szCs w:val="24"/>
        </w:rPr>
        <w:tab/>
      </w:r>
      <w:r w:rsidRPr="00D772AE">
        <w:rPr>
          <w:sz w:val="24"/>
          <w:szCs w:val="24"/>
        </w:rPr>
        <w:t>Du må ikke forsøge at trykke kapslen ud gennem folien.</w:t>
      </w:r>
    </w:p>
    <w:p w:rsidR="00AB02F7" w:rsidRDefault="00AB02F7" w:rsidP="00AB02F7">
      <w:pPr>
        <w:tabs>
          <w:tab w:val="left" w:pos="3402"/>
        </w:tabs>
        <w:ind w:left="3402" w:hanging="25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p>
    <w:p w:rsidR="00AB02F7" w:rsidRDefault="00AB02F7" w:rsidP="00AB02F7">
      <w:pPr>
        <w:tabs>
          <w:tab w:val="left" w:pos="851"/>
        </w:tabs>
        <w:ind w:left="851"/>
        <w:rPr>
          <w:sz w:val="24"/>
          <w:szCs w:val="24"/>
        </w:rPr>
      </w:pPr>
      <w:r>
        <w:rPr>
          <w:noProof/>
          <w:lang w:eastAsia="da-DK"/>
        </w:rPr>
        <w:drawing>
          <wp:anchor distT="0" distB="0" distL="114300" distR="114300" simplePos="0" relativeHeight="251672576" behindDoc="0" locked="0" layoutInCell="1" allowOverlap="1" wp14:anchorId="199ECD29" wp14:editId="7C314FCB">
            <wp:simplePos x="0" y="0"/>
            <wp:positionH relativeFrom="column">
              <wp:posOffset>537210</wp:posOffset>
            </wp:positionH>
            <wp:positionV relativeFrom="paragraph">
              <wp:posOffset>635</wp:posOffset>
            </wp:positionV>
            <wp:extent cx="1268095" cy="1268095"/>
            <wp:effectExtent l="0" t="0" r="8255" b="8255"/>
            <wp:wrapSquare wrapText="bothSides"/>
            <wp:docPr id="18" name="Billede 18"/>
            <wp:cNvGraphicFramePr/>
            <a:graphic xmlns:a="http://schemas.openxmlformats.org/drawingml/2006/main">
              <a:graphicData uri="http://schemas.openxmlformats.org/drawingml/2006/picture">
                <pic:pic xmlns:pic="http://schemas.openxmlformats.org/drawingml/2006/picture">
                  <pic:nvPicPr>
                    <pic:cNvPr id="18" name="Billede 18"/>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8095" cy="1268095"/>
                    </a:xfrm>
                    <a:prstGeom prst="rect">
                      <a:avLst/>
                    </a:prstGeom>
                    <a:noFill/>
                    <a:ln>
                      <a:noFill/>
                    </a:ln>
                  </pic:spPr>
                </pic:pic>
              </a:graphicData>
            </a:graphic>
          </wp:anchor>
        </w:drawing>
      </w:r>
    </w:p>
    <w:p w:rsidR="00AB02F7" w:rsidRDefault="00AB02F7" w:rsidP="00AB02F7">
      <w:pPr>
        <w:pStyle w:val="Brdtekst"/>
        <w:widowControl w:val="0"/>
        <w:tabs>
          <w:tab w:val="left" w:pos="3402"/>
        </w:tabs>
        <w:spacing w:after="0" w:line="283" w:lineRule="auto"/>
        <w:ind w:left="3402" w:right="848" w:hanging="2850"/>
      </w:pPr>
      <w:r>
        <w:rPr>
          <w:sz w:val="24"/>
          <w:szCs w:val="24"/>
        </w:rPr>
        <w:t>3.</w:t>
      </w:r>
      <w:r>
        <w:rPr>
          <w:sz w:val="24"/>
          <w:szCs w:val="24"/>
        </w:rPr>
        <w:tab/>
      </w:r>
      <w:r w:rsidRPr="00F508A0">
        <w:rPr>
          <w:spacing w:val="-1"/>
        </w:rPr>
        <w:t>Kapslerne skal altid opbevares i blisterarket og må først tages ud umiddelbart før brug. Tag kapslen ud af blisterpakningen med tørre hænder</w:t>
      </w:r>
      <w:r w:rsidRPr="00F508A0">
        <w:t>.</w:t>
      </w:r>
    </w:p>
    <w:p w:rsidR="00AB02F7" w:rsidRDefault="00AB02F7" w:rsidP="00AB02F7">
      <w:pPr>
        <w:pStyle w:val="Brdtekst"/>
        <w:widowControl w:val="0"/>
        <w:tabs>
          <w:tab w:val="left" w:pos="3402"/>
        </w:tabs>
        <w:spacing w:after="0" w:line="283" w:lineRule="auto"/>
        <w:ind w:left="3402" w:right="848" w:hanging="2850"/>
      </w:pPr>
    </w:p>
    <w:p w:rsidR="00AB02F7" w:rsidRPr="00F508A0" w:rsidRDefault="00AB02F7" w:rsidP="00AB02F7">
      <w:pPr>
        <w:pStyle w:val="Brdtekst"/>
        <w:widowControl w:val="0"/>
        <w:tabs>
          <w:tab w:val="left" w:pos="3402"/>
        </w:tabs>
        <w:spacing w:after="0" w:line="283" w:lineRule="auto"/>
        <w:ind w:left="3402" w:right="848" w:hanging="2850"/>
      </w:pPr>
      <w:r>
        <w:tab/>
        <w:t>Du må ikke sluge kapslen.</w:t>
      </w:r>
    </w:p>
    <w:p w:rsidR="00AB02F7" w:rsidRDefault="00AB02F7" w:rsidP="00AB02F7">
      <w:pPr>
        <w:tabs>
          <w:tab w:val="left" w:pos="3402"/>
        </w:tabs>
        <w:ind w:left="3402" w:hanging="2551"/>
        <w:rPr>
          <w:sz w:val="24"/>
          <w:szCs w:val="24"/>
        </w:rPr>
      </w:pPr>
    </w:p>
    <w:p w:rsidR="00AB02F7" w:rsidRDefault="00AB02F7" w:rsidP="00AB02F7">
      <w:pPr>
        <w:tabs>
          <w:tab w:val="left" w:pos="851"/>
        </w:tabs>
        <w:ind w:left="851"/>
        <w:rPr>
          <w:sz w:val="24"/>
          <w:szCs w:val="24"/>
        </w:rPr>
      </w:pPr>
    </w:p>
    <w:p w:rsidR="00AB02F7" w:rsidRPr="007B3C57" w:rsidRDefault="00AB02F7" w:rsidP="00AB02F7">
      <w:pPr>
        <w:tabs>
          <w:tab w:val="left" w:pos="851"/>
        </w:tabs>
        <w:ind w:left="851"/>
        <w:rPr>
          <w:sz w:val="24"/>
          <w:szCs w:val="24"/>
        </w:rPr>
      </w:pPr>
      <w:proofErr w:type="spellStart"/>
      <w:r w:rsidRPr="007B3C57">
        <w:rPr>
          <w:sz w:val="24"/>
          <w:szCs w:val="24"/>
        </w:rPr>
        <w:t>Sirkava</w:t>
      </w:r>
      <w:proofErr w:type="spellEnd"/>
      <w:r w:rsidRPr="007B3C57">
        <w:rPr>
          <w:sz w:val="24"/>
          <w:szCs w:val="24"/>
        </w:rPr>
        <w:t xml:space="preserve"> kapsler indeholder kun en lille mængde pulver. Kapslen er således kun delvist fyldt.</w:t>
      </w:r>
    </w:p>
    <w:p w:rsidR="00AB02F7"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4.3</w:t>
      </w:r>
      <w:r w:rsidRPr="00C84483">
        <w:rPr>
          <w:b/>
          <w:sz w:val="24"/>
          <w:szCs w:val="24"/>
        </w:rPr>
        <w:tab/>
        <w:t>Kontraindikationer</w:t>
      </w:r>
    </w:p>
    <w:p w:rsidR="00AB02F7" w:rsidRDefault="00AB02F7" w:rsidP="00AB02F7">
      <w:pPr>
        <w:ind w:left="851"/>
        <w:rPr>
          <w:sz w:val="24"/>
          <w:szCs w:val="24"/>
        </w:rPr>
      </w:pPr>
      <w:r>
        <w:rPr>
          <w:sz w:val="24"/>
          <w:szCs w:val="24"/>
        </w:rPr>
        <w:t xml:space="preserve">Overfølsomhed over for det aktive stof, over for atropin eller dets derivater, f.eks. </w:t>
      </w:r>
      <w:proofErr w:type="spellStart"/>
      <w:r>
        <w:rPr>
          <w:sz w:val="24"/>
          <w:szCs w:val="24"/>
        </w:rPr>
        <w:t>ipratropium</w:t>
      </w:r>
      <w:proofErr w:type="spellEnd"/>
      <w:r>
        <w:rPr>
          <w:sz w:val="24"/>
          <w:szCs w:val="24"/>
        </w:rPr>
        <w:t xml:space="preserve"> eller </w:t>
      </w:r>
      <w:proofErr w:type="spellStart"/>
      <w:r>
        <w:rPr>
          <w:sz w:val="24"/>
          <w:szCs w:val="24"/>
        </w:rPr>
        <w:t>oxitropium</w:t>
      </w:r>
      <w:proofErr w:type="spellEnd"/>
      <w:r>
        <w:rPr>
          <w:sz w:val="24"/>
          <w:szCs w:val="24"/>
        </w:rPr>
        <w:t>, eller over for et eller flere af hjælpestofferne anført i pkt. 6.1.</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B02F7" w:rsidRDefault="00AB02F7" w:rsidP="00AB02F7">
      <w:pPr>
        <w:ind w:left="851"/>
        <w:rPr>
          <w:sz w:val="24"/>
          <w:szCs w:val="24"/>
        </w:rPr>
      </w:pPr>
      <w:proofErr w:type="spellStart"/>
      <w:r>
        <w:rPr>
          <w:sz w:val="24"/>
          <w:szCs w:val="24"/>
        </w:rPr>
        <w:t>Tiotropiumbromid</w:t>
      </w:r>
      <w:proofErr w:type="spellEnd"/>
      <w:r>
        <w:rPr>
          <w:sz w:val="24"/>
          <w:szCs w:val="24"/>
        </w:rPr>
        <w:t xml:space="preserve">, en gang daglig som </w:t>
      </w:r>
      <w:proofErr w:type="spellStart"/>
      <w:r>
        <w:rPr>
          <w:sz w:val="24"/>
          <w:szCs w:val="24"/>
        </w:rPr>
        <w:t>bronkodilaterende</w:t>
      </w:r>
      <w:proofErr w:type="spellEnd"/>
      <w:r>
        <w:rPr>
          <w:sz w:val="24"/>
          <w:szCs w:val="24"/>
        </w:rPr>
        <w:t xml:space="preserve"> vedligeholdelsesbehandling, bør ikke anvendes som initial behandling ved akutte episoder med </w:t>
      </w:r>
      <w:proofErr w:type="spellStart"/>
      <w:r>
        <w:rPr>
          <w:sz w:val="24"/>
          <w:szCs w:val="24"/>
        </w:rPr>
        <w:t>bronkospasmer</w:t>
      </w:r>
      <w:proofErr w:type="spellEnd"/>
      <w:r>
        <w:rPr>
          <w:sz w:val="24"/>
          <w:szCs w:val="24"/>
        </w:rPr>
        <w:t>, dvs. som akut behandling.</w:t>
      </w:r>
    </w:p>
    <w:p w:rsidR="00AB02F7" w:rsidRDefault="00AB02F7" w:rsidP="00AB02F7">
      <w:pPr>
        <w:ind w:left="851"/>
        <w:rPr>
          <w:sz w:val="24"/>
          <w:szCs w:val="24"/>
        </w:rPr>
      </w:pPr>
    </w:p>
    <w:p w:rsidR="00AB02F7" w:rsidRDefault="00AB02F7" w:rsidP="00AB02F7">
      <w:pPr>
        <w:ind w:left="851"/>
        <w:rPr>
          <w:sz w:val="24"/>
          <w:szCs w:val="24"/>
        </w:rPr>
      </w:pPr>
      <w:r>
        <w:rPr>
          <w:sz w:val="24"/>
          <w:szCs w:val="24"/>
        </w:rPr>
        <w:t xml:space="preserve">Overfølsomhedsreaktioner kan forekomme straks efter administration af </w:t>
      </w:r>
      <w:proofErr w:type="spellStart"/>
      <w:r>
        <w:rPr>
          <w:sz w:val="24"/>
          <w:szCs w:val="24"/>
        </w:rPr>
        <w:t>tiotropiumbromid</w:t>
      </w:r>
      <w:proofErr w:type="spellEnd"/>
      <w:r>
        <w:rPr>
          <w:sz w:val="24"/>
          <w:szCs w:val="24"/>
        </w:rPr>
        <w:t xml:space="preserve"> inhalationspulver.</w:t>
      </w:r>
    </w:p>
    <w:p w:rsidR="00AB02F7" w:rsidRDefault="00AB02F7" w:rsidP="00AB02F7">
      <w:pPr>
        <w:ind w:left="851"/>
        <w:rPr>
          <w:sz w:val="24"/>
          <w:szCs w:val="24"/>
        </w:rPr>
      </w:pPr>
    </w:p>
    <w:p w:rsidR="00AB02F7" w:rsidRDefault="00AB02F7" w:rsidP="00AB02F7">
      <w:pPr>
        <w:ind w:left="851"/>
        <w:rPr>
          <w:sz w:val="24"/>
          <w:szCs w:val="24"/>
        </w:rPr>
      </w:pPr>
      <w:r>
        <w:rPr>
          <w:sz w:val="24"/>
          <w:szCs w:val="24"/>
        </w:rPr>
        <w:t xml:space="preserve">På grund af </w:t>
      </w:r>
      <w:proofErr w:type="spellStart"/>
      <w:r>
        <w:rPr>
          <w:sz w:val="24"/>
          <w:szCs w:val="24"/>
        </w:rPr>
        <w:t>tiotropiumbromids</w:t>
      </w:r>
      <w:proofErr w:type="spellEnd"/>
      <w:r>
        <w:rPr>
          <w:sz w:val="24"/>
          <w:szCs w:val="24"/>
        </w:rPr>
        <w:t xml:space="preserve"> </w:t>
      </w:r>
      <w:proofErr w:type="spellStart"/>
      <w:r>
        <w:rPr>
          <w:sz w:val="24"/>
          <w:szCs w:val="24"/>
        </w:rPr>
        <w:t>antikolinerge</w:t>
      </w:r>
      <w:proofErr w:type="spellEnd"/>
      <w:r>
        <w:rPr>
          <w:sz w:val="24"/>
          <w:szCs w:val="24"/>
        </w:rPr>
        <w:t xml:space="preserve"> virkning skal </w:t>
      </w:r>
      <w:proofErr w:type="spellStart"/>
      <w:r>
        <w:rPr>
          <w:sz w:val="24"/>
          <w:szCs w:val="24"/>
        </w:rPr>
        <w:t>tiotropiumbromid</w:t>
      </w:r>
      <w:proofErr w:type="spellEnd"/>
      <w:r>
        <w:rPr>
          <w:sz w:val="24"/>
          <w:szCs w:val="24"/>
        </w:rPr>
        <w:t xml:space="preserve"> anvendes med forsigtighed til patienter med snævervinklet </w:t>
      </w:r>
      <w:proofErr w:type="spellStart"/>
      <w:r>
        <w:rPr>
          <w:sz w:val="24"/>
          <w:szCs w:val="24"/>
        </w:rPr>
        <w:t>glaukom</w:t>
      </w:r>
      <w:proofErr w:type="spellEnd"/>
      <w:r>
        <w:rPr>
          <w:sz w:val="24"/>
          <w:szCs w:val="24"/>
        </w:rPr>
        <w:t xml:space="preserve">, </w:t>
      </w:r>
      <w:proofErr w:type="spellStart"/>
      <w:r>
        <w:rPr>
          <w:sz w:val="24"/>
          <w:szCs w:val="24"/>
        </w:rPr>
        <w:t>prostatahyperplasi</w:t>
      </w:r>
      <w:proofErr w:type="spellEnd"/>
      <w:r>
        <w:rPr>
          <w:sz w:val="24"/>
          <w:szCs w:val="24"/>
        </w:rPr>
        <w:t xml:space="preserve"> eller blærehalsobstruktion. (se pkt. 4.8).</w:t>
      </w:r>
    </w:p>
    <w:p w:rsidR="00AB02F7" w:rsidRDefault="00AB02F7" w:rsidP="00AB02F7">
      <w:pPr>
        <w:ind w:left="851"/>
        <w:rPr>
          <w:sz w:val="24"/>
          <w:szCs w:val="24"/>
        </w:rPr>
      </w:pPr>
    </w:p>
    <w:p w:rsidR="00AB02F7" w:rsidRDefault="00AB02F7" w:rsidP="00AB02F7">
      <w:pPr>
        <w:ind w:left="851"/>
        <w:rPr>
          <w:sz w:val="24"/>
          <w:szCs w:val="24"/>
        </w:rPr>
      </w:pPr>
      <w:r>
        <w:rPr>
          <w:sz w:val="24"/>
          <w:szCs w:val="24"/>
        </w:rPr>
        <w:t xml:space="preserve">Inhalerede lægemidler kan forårsage inhalationsinduceret </w:t>
      </w:r>
      <w:proofErr w:type="spellStart"/>
      <w:r>
        <w:rPr>
          <w:sz w:val="24"/>
          <w:szCs w:val="24"/>
        </w:rPr>
        <w:t>bronkospasme</w:t>
      </w:r>
      <w:proofErr w:type="spellEnd"/>
      <w:r>
        <w:rPr>
          <w:sz w:val="24"/>
          <w:szCs w:val="24"/>
        </w:rPr>
        <w:t>.</w:t>
      </w:r>
    </w:p>
    <w:p w:rsidR="00AB02F7" w:rsidRDefault="00AB02F7" w:rsidP="00AB02F7">
      <w:pPr>
        <w:ind w:left="851"/>
        <w:rPr>
          <w:sz w:val="24"/>
          <w:szCs w:val="24"/>
        </w:rPr>
      </w:pPr>
    </w:p>
    <w:p w:rsidR="00AB02F7" w:rsidRDefault="00AB02F7" w:rsidP="00AB02F7">
      <w:pPr>
        <w:ind w:left="851"/>
        <w:rPr>
          <w:iCs/>
          <w:sz w:val="24"/>
          <w:szCs w:val="24"/>
        </w:rPr>
      </w:pPr>
      <w:proofErr w:type="spellStart"/>
      <w:r>
        <w:rPr>
          <w:sz w:val="24"/>
          <w:szCs w:val="24"/>
        </w:rPr>
        <w:t>Tiotropium</w:t>
      </w:r>
      <w:proofErr w:type="spellEnd"/>
      <w:r>
        <w:rPr>
          <w:sz w:val="24"/>
          <w:szCs w:val="24"/>
        </w:rPr>
        <w:t xml:space="preserve"> skal anvendes med forsigtighed til patienter med nyligt myokardieinfarkt</w:t>
      </w:r>
      <w:r>
        <w:rPr>
          <w:iCs/>
          <w:sz w:val="24"/>
          <w:szCs w:val="24"/>
        </w:rPr>
        <w:t xml:space="preserve"> (for &lt; 6 måneder siden); enhver ustabil eller livstruende </w:t>
      </w:r>
      <w:proofErr w:type="spellStart"/>
      <w:r>
        <w:rPr>
          <w:iCs/>
          <w:sz w:val="24"/>
          <w:szCs w:val="24"/>
        </w:rPr>
        <w:t>hjertearytmi</w:t>
      </w:r>
      <w:proofErr w:type="spellEnd"/>
      <w:r>
        <w:rPr>
          <w:iCs/>
          <w:sz w:val="24"/>
          <w:szCs w:val="24"/>
        </w:rPr>
        <w:t xml:space="preserve">, eller </w:t>
      </w:r>
      <w:proofErr w:type="spellStart"/>
      <w:r>
        <w:rPr>
          <w:iCs/>
          <w:sz w:val="24"/>
          <w:szCs w:val="24"/>
        </w:rPr>
        <w:t>hjertearytmi</w:t>
      </w:r>
      <w:proofErr w:type="spellEnd"/>
      <w:r>
        <w:rPr>
          <w:iCs/>
          <w:sz w:val="24"/>
          <w:szCs w:val="24"/>
        </w:rPr>
        <w:t>, der krævede intervention eller en ændret medicinsk behandling, inden for det sidste år; indlæggelse på grund af hjertesvigt (</w:t>
      </w:r>
      <w:proofErr w:type="gramStart"/>
      <w:r>
        <w:rPr>
          <w:iCs/>
          <w:sz w:val="24"/>
          <w:szCs w:val="24"/>
        </w:rPr>
        <w:t>NYHA klasse</w:t>
      </w:r>
      <w:proofErr w:type="gramEnd"/>
      <w:r>
        <w:rPr>
          <w:iCs/>
          <w:sz w:val="24"/>
          <w:szCs w:val="24"/>
        </w:rPr>
        <w:t xml:space="preserve"> III eller IV) inden for det sidste år. Disse tilstande kan blive påvirket af den </w:t>
      </w:r>
      <w:proofErr w:type="spellStart"/>
      <w:r>
        <w:rPr>
          <w:iCs/>
          <w:sz w:val="24"/>
          <w:szCs w:val="24"/>
        </w:rPr>
        <w:t>antikolinerge</w:t>
      </w:r>
      <w:proofErr w:type="spellEnd"/>
      <w:r>
        <w:rPr>
          <w:iCs/>
          <w:sz w:val="24"/>
          <w:szCs w:val="24"/>
        </w:rPr>
        <w:t xml:space="preserve"> virkningsmekanisme, og sådanne patienter blev ekskluderet fra de kliniske studier.</w:t>
      </w:r>
    </w:p>
    <w:p w:rsidR="00AB02F7" w:rsidRDefault="00AB02F7" w:rsidP="00AB02F7">
      <w:pPr>
        <w:ind w:left="851"/>
        <w:rPr>
          <w:sz w:val="24"/>
          <w:szCs w:val="24"/>
        </w:rPr>
      </w:pPr>
    </w:p>
    <w:p w:rsidR="00AB02F7" w:rsidRDefault="00AB02F7" w:rsidP="00AB02F7">
      <w:pPr>
        <w:ind w:left="851"/>
        <w:rPr>
          <w:sz w:val="24"/>
          <w:szCs w:val="24"/>
        </w:rPr>
      </w:pPr>
      <w:r>
        <w:rPr>
          <w:sz w:val="24"/>
          <w:szCs w:val="24"/>
        </w:rPr>
        <w:t>Da plasmakoncentrationen stiger hos patienter med moderat til svær nedsat nyrefunktion (</w:t>
      </w:r>
      <w:proofErr w:type="spellStart"/>
      <w:r>
        <w:rPr>
          <w:sz w:val="24"/>
          <w:szCs w:val="24"/>
        </w:rPr>
        <w:t>kreatinin-</w:t>
      </w:r>
      <w:r>
        <w:rPr>
          <w:i/>
          <w:sz w:val="24"/>
          <w:szCs w:val="24"/>
        </w:rPr>
        <w:t>clearance</w:t>
      </w:r>
      <w:proofErr w:type="spellEnd"/>
      <w:r>
        <w:rPr>
          <w:sz w:val="24"/>
          <w:szCs w:val="24"/>
        </w:rPr>
        <w:t xml:space="preserve"> </w:t>
      </w:r>
      <w:r>
        <w:rPr>
          <w:sz w:val="24"/>
          <w:szCs w:val="24"/>
        </w:rPr>
        <w:sym w:font="Symbol" w:char="F0A3"/>
      </w:r>
      <w:r>
        <w:rPr>
          <w:sz w:val="24"/>
          <w:szCs w:val="24"/>
        </w:rPr>
        <w:t xml:space="preserve">50 ml/min.), bør </w:t>
      </w:r>
      <w:proofErr w:type="spellStart"/>
      <w:r>
        <w:rPr>
          <w:sz w:val="24"/>
          <w:szCs w:val="24"/>
        </w:rPr>
        <w:t>tiotropiumbromid</w:t>
      </w:r>
      <w:proofErr w:type="spellEnd"/>
      <w:r>
        <w:rPr>
          <w:sz w:val="24"/>
          <w:szCs w:val="24"/>
        </w:rPr>
        <w:t xml:space="preserve"> kun anvendes, hvis fordelene opvejer den potentielle risiko. Der er ingen erfaring med langtidsbehandling af patienter med svær nyreinsufficiens (se pkt. 5.2).</w:t>
      </w:r>
    </w:p>
    <w:p w:rsidR="00AB02F7" w:rsidRDefault="00AB02F7" w:rsidP="00AB02F7">
      <w:pPr>
        <w:ind w:left="851"/>
        <w:rPr>
          <w:sz w:val="24"/>
          <w:szCs w:val="24"/>
        </w:rPr>
      </w:pPr>
    </w:p>
    <w:p w:rsidR="00AB02F7" w:rsidRDefault="00AB02F7" w:rsidP="00AB02F7">
      <w:pPr>
        <w:ind w:left="851"/>
        <w:rPr>
          <w:sz w:val="24"/>
          <w:szCs w:val="24"/>
        </w:rPr>
      </w:pPr>
      <w:r>
        <w:rPr>
          <w:sz w:val="24"/>
          <w:szCs w:val="24"/>
        </w:rPr>
        <w:t xml:space="preserve">Patienter skal være opmærksomme på at undgå at få lægemiddelpulveret i øjnene. De skal informeres om, at pulver i øjnene kan udløse eller forværre snævervinklet </w:t>
      </w:r>
      <w:proofErr w:type="spellStart"/>
      <w:r>
        <w:rPr>
          <w:sz w:val="24"/>
          <w:szCs w:val="24"/>
        </w:rPr>
        <w:t>glaukom</w:t>
      </w:r>
      <w:proofErr w:type="spellEnd"/>
      <w:r>
        <w:rPr>
          <w:sz w:val="24"/>
          <w:szCs w:val="24"/>
        </w:rPr>
        <w:t xml:space="preserve">, øjensmerter eller ubehag, midlertidig sløring af synet, lysende ringe eller farvede områder sammen med røde øjne på grund af opsvulmning af de konjunktivale kar og </w:t>
      </w:r>
      <w:proofErr w:type="spellStart"/>
      <w:r>
        <w:rPr>
          <w:sz w:val="24"/>
          <w:szCs w:val="24"/>
        </w:rPr>
        <w:t>cornea</w:t>
      </w:r>
      <w:proofErr w:type="spellEnd"/>
      <w:r>
        <w:rPr>
          <w:sz w:val="24"/>
          <w:szCs w:val="24"/>
        </w:rPr>
        <w:t xml:space="preserve"> ødem. Hvis der forekommer en kombination af disse øjensymptomer, skal patienten stoppe behandlingen med </w:t>
      </w:r>
      <w:proofErr w:type="spellStart"/>
      <w:r>
        <w:rPr>
          <w:sz w:val="24"/>
          <w:szCs w:val="24"/>
        </w:rPr>
        <w:t>tiotropiumbromid</w:t>
      </w:r>
      <w:proofErr w:type="spellEnd"/>
      <w:r>
        <w:rPr>
          <w:sz w:val="24"/>
          <w:szCs w:val="24"/>
        </w:rPr>
        <w:t xml:space="preserve"> og omgående konsultere en øjenlæge.</w:t>
      </w:r>
    </w:p>
    <w:p w:rsidR="00AB02F7" w:rsidRDefault="00AB02F7" w:rsidP="00AB02F7">
      <w:pPr>
        <w:ind w:left="851"/>
        <w:rPr>
          <w:sz w:val="24"/>
          <w:szCs w:val="24"/>
        </w:rPr>
      </w:pPr>
      <w:r>
        <w:rPr>
          <w:sz w:val="24"/>
          <w:szCs w:val="24"/>
        </w:rPr>
        <w:t xml:space="preserve">Mundtørhed, som kan forekomme ved behandling med </w:t>
      </w:r>
      <w:proofErr w:type="spellStart"/>
      <w:r>
        <w:rPr>
          <w:sz w:val="24"/>
          <w:szCs w:val="24"/>
        </w:rPr>
        <w:t>antikolinergika</w:t>
      </w:r>
      <w:proofErr w:type="spellEnd"/>
      <w:r>
        <w:rPr>
          <w:sz w:val="24"/>
          <w:szCs w:val="24"/>
        </w:rPr>
        <w:t>, kan i det lange løb føre til karies.</w:t>
      </w:r>
    </w:p>
    <w:p w:rsidR="00AB02F7" w:rsidRDefault="00AB02F7" w:rsidP="00AB02F7">
      <w:pPr>
        <w:ind w:left="851"/>
        <w:rPr>
          <w:sz w:val="24"/>
          <w:szCs w:val="24"/>
        </w:rPr>
      </w:pPr>
      <w:proofErr w:type="spellStart"/>
      <w:r>
        <w:rPr>
          <w:sz w:val="24"/>
          <w:szCs w:val="24"/>
        </w:rPr>
        <w:t>Tiotropiumbromid</w:t>
      </w:r>
      <w:proofErr w:type="spellEnd"/>
      <w:r>
        <w:rPr>
          <w:sz w:val="24"/>
          <w:szCs w:val="24"/>
        </w:rPr>
        <w:t xml:space="preserve"> må ikke anvendes hyppigere end en gang daglig (se pkt. 4.9).</w:t>
      </w:r>
    </w:p>
    <w:p w:rsidR="00AB02F7" w:rsidRDefault="00AB02F7" w:rsidP="00AB02F7">
      <w:pPr>
        <w:tabs>
          <w:tab w:val="left" w:pos="851"/>
        </w:tabs>
        <w:ind w:left="851"/>
        <w:rPr>
          <w:sz w:val="24"/>
          <w:szCs w:val="24"/>
        </w:rPr>
      </w:pPr>
    </w:p>
    <w:p w:rsidR="00AB02F7" w:rsidRDefault="00AB02F7" w:rsidP="00AB02F7">
      <w:pPr>
        <w:ind w:left="851"/>
        <w:rPr>
          <w:sz w:val="24"/>
          <w:szCs w:val="24"/>
        </w:rPr>
      </w:pPr>
      <w:proofErr w:type="spellStart"/>
      <w:r>
        <w:rPr>
          <w:sz w:val="24"/>
          <w:szCs w:val="24"/>
        </w:rPr>
        <w:t>Sirkava</w:t>
      </w:r>
      <w:proofErr w:type="spellEnd"/>
      <w:r>
        <w:rPr>
          <w:sz w:val="24"/>
          <w:szCs w:val="24"/>
        </w:rPr>
        <w:t xml:space="preserve"> kapsler indeholder 5,5 mg vandfri </w:t>
      </w:r>
      <w:proofErr w:type="spellStart"/>
      <w:r>
        <w:rPr>
          <w:sz w:val="24"/>
          <w:szCs w:val="24"/>
        </w:rPr>
        <w:t>lactose</w:t>
      </w:r>
      <w:proofErr w:type="spellEnd"/>
      <w:r>
        <w:rPr>
          <w:sz w:val="24"/>
          <w:szCs w:val="24"/>
        </w:rPr>
        <w:t xml:space="preserve">. Denne mængde giver normalt ikke problemer hos </w:t>
      </w:r>
      <w:proofErr w:type="spellStart"/>
      <w:r>
        <w:rPr>
          <w:sz w:val="24"/>
          <w:szCs w:val="24"/>
        </w:rPr>
        <w:t>lactoseintolerante</w:t>
      </w:r>
      <w:proofErr w:type="spellEnd"/>
      <w:r>
        <w:rPr>
          <w:sz w:val="24"/>
          <w:szCs w:val="24"/>
        </w:rPr>
        <w:t xml:space="preserve"> patienter.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 xml:space="preserve">. </w:t>
      </w:r>
    </w:p>
    <w:p w:rsidR="00AB02F7" w:rsidRDefault="00AB02F7" w:rsidP="00AB02F7">
      <w:pPr>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B02F7" w:rsidRDefault="00AB02F7" w:rsidP="00AB02F7">
      <w:pPr>
        <w:ind w:left="851"/>
        <w:rPr>
          <w:sz w:val="24"/>
          <w:szCs w:val="24"/>
        </w:rPr>
      </w:pPr>
      <w:r>
        <w:rPr>
          <w:sz w:val="24"/>
          <w:szCs w:val="24"/>
        </w:rPr>
        <w:t xml:space="preserve">Selvom der ikke er udført formelle lægemiddelinteraktionsforsøg, har </w:t>
      </w:r>
      <w:proofErr w:type="spellStart"/>
      <w:r>
        <w:rPr>
          <w:sz w:val="24"/>
          <w:szCs w:val="24"/>
        </w:rPr>
        <w:t>tiotropiumbromid</w:t>
      </w:r>
      <w:proofErr w:type="spellEnd"/>
      <w:r>
        <w:rPr>
          <w:sz w:val="24"/>
          <w:szCs w:val="24"/>
        </w:rPr>
        <w:t xml:space="preserve"> inhalationspulver været anvendt samtidig med andre lægemidler, uden der er set klinisk evidens på interaktioner. Disse lægemidler omfatter </w:t>
      </w:r>
      <w:proofErr w:type="spellStart"/>
      <w:r>
        <w:rPr>
          <w:sz w:val="24"/>
          <w:szCs w:val="24"/>
        </w:rPr>
        <w:t>sympatomimetiske</w:t>
      </w:r>
      <w:proofErr w:type="spellEnd"/>
      <w:r>
        <w:rPr>
          <w:sz w:val="24"/>
          <w:szCs w:val="24"/>
        </w:rPr>
        <w:t xml:space="preserve"> </w:t>
      </w:r>
      <w:proofErr w:type="spellStart"/>
      <w:r>
        <w:rPr>
          <w:sz w:val="24"/>
          <w:szCs w:val="24"/>
        </w:rPr>
        <w:t>bronkodilatatorer</w:t>
      </w:r>
      <w:proofErr w:type="spellEnd"/>
      <w:r>
        <w:rPr>
          <w:sz w:val="24"/>
          <w:szCs w:val="24"/>
        </w:rPr>
        <w:t xml:space="preserve">, </w:t>
      </w:r>
      <w:proofErr w:type="spellStart"/>
      <w:r>
        <w:rPr>
          <w:sz w:val="24"/>
          <w:szCs w:val="24"/>
        </w:rPr>
        <w:t>metylxantiner</w:t>
      </w:r>
      <w:proofErr w:type="spellEnd"/>
      <w:r>
        <w:rPr>
          <w:sz w:val="24"/>
          <w:szCs w:val="24"/>
        </w:rPr>
        <w:t>, orale og inhalerede steroider, som hyppigt anvendes i behandlingen af KOL.</w:t>
      </w:r>
    </w:p>
    <w:p w:rsidR="00AB02F7" w:rsidRDefault="00AB02F7" w:rsidP="00AB02F7">
      <w:pPr>
        <w:ind w:left="851"/>
        <w:rPr>
          <w:sz w:val="24"/>
          <w:szCs w:val="24"/>
        </w:rPr>
      </w:pPr>
      <w:r>
        <w:rPr>
          <w:sz w:val="24"/>
          <w:szCs w:val="24"/>
        </w:rPr>
        <w:t xml:space="preserve">Samtidig brug af </w:t>
      </w:r>
      <w:proofErr w:type="spellStart"/>
      <w:r>
        <w:rPr>
          <w:sz w:val="24"/>
          <w:szCs w:val="24"/>
        </w:rPr>
        <w:t>tiotropiumbromid</w:t>
      </w:r>
      <w:proofErr w:type="spellEnd"/>
      <w:r>
        <w:rPr>
          <w:sz w:val="24"/>
          <w:szCs w:val="24"/>
        </w:rPr>
        <w:t xml:space="preserve"> og andre </w:t>
      </w:r>
      <w:proofErr w:type="spellStart"/>
      <w:r>
        <w:rPr>
          <w:sz w:val="24"/>
          <w:szCs w:val="24"/>
        </w:rPr>
        <w:t>antikolinerge</w:t>
      </w:r>
      <w:proofErr w:type="spellEnd"/>
      <w:r>
        <w:rPr>
          <w:sz w:val="24"/>
          <w:szCs w:val="24"/>
        </w:rPr>
        <w:t xml:space="preserve"> lægemidler er ikke undersøgt og kan derfor ikke anbefales.</w:t>
      </w:r>
    </w:p>
    <w:p w:rsidR="00AB02F7" w:rsidRDefault="00AB02F7" w:rsidP="00AB02F7">
      <w:pPr>
        <w:ind w:left="851" w:hanging="851"/>
        <w:rPr>
          <w:sz w:val="24"/>
          <w:szCs w:val="24"/>
        </w:rPr>
      </w:pPr>
    </w:p>
    <w:p w:rsidR="00AB02F7" w:rsidRDefault="00AB02F7" w:rsidP="00AB02F7">
      <w:pPr>
        <w:ind w:left="851"/>
        <w:rPr>
          <w:sz w:val="24"/>
          <w:szCs w:val="24"/>
        </w:rPr>
      </w:pPr>
      <w:r>
        <w:rPr>
          <w:sz w:val="24"/>
          <w:szCs w:val="24"/>
        </w:rPr>
        <w:t xml:space="preserve">Ved brug af LABA eller ICS blev der ikke set nogen ændring i eksponeringen for </w:t>
      </w:r>
      <w:proofErr w:type="spellStart"/>
      <w:r>
        <w:rPr>
          <w:sz w:val="24"/>
          <w:szCs w:val="24"/>
        </w:rPr>
        <w:t>tiotropium</w:t>
      </w:r>
      <w:proofErr w:type="spellEnd"/>
      <w:r>
        <w:rPr>
          <w:sz w:val="24"/>
          <w:szCs w:val="24"/>
        </w:rPr>
        <w:t>.</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4.6</w:t>
      </w:r>
      <w:r w:rsidRPr="00C84483">
        <w:rPr>
          <w:b/>
          <w:sz w:val="24"/>
          <w:szCs w:val="24"/>
        </w:rPr>
        <w:tab/>
        <w:t>Graviditet og amning</w:t>
      </w:r>
    </w:p>
    <w:p w:rsidR="00AB02F7" w:rsidRDefault="00AB02F7" w:rsidP="00AB02F7">
      <w:pPr>
        <w:ind w:left="851"/>
        <w:rPr>
          <w:i/>
          <w:sz w:val="24"/>
          <w:szCs w:val="24"/>
        </w:rPr>
      </w:pPr>
    </w:p>
    <w:p w:rsidR="00AB02F7" w:rsidRDefault="00AB02F7" w:rsidP="00AB02F7">
      <w:pPr>
        <w:ind w:left="851"/>
        <w:rPr>
          <w:sz w:val="24"/>
          <w:szCs w:val="24"/>
          <w:u w:val="single"/>
        </w:rPr>
      </w:pPr>
      <w:r>
        <w:rPr>
          <w:sz w:val="24"/>
          <w:szCs w:val="24"/>
          <w:u w:val="single"/>
        </w:rPr>
        <w:t>Graviditet</w:t>
      </w:r>
    </w:p>
    <w:p w:rsidR="00AB02F7" w:rsidRDefault="00AB02F7" w:rsidP="00AB02F7">
      <w:pPr>
        <w:ind w:left="851"/>
        <w:rPr>
          <w:sz w:val="24"/>
          <w:szCs w:val="24"/>
        </w:rPr>
      </w:pPr>
      <w:r>
        <w:rPr>
          <w:sz w:val="24"/>
          <w:szCs w:val="24"/>
        </w:rPr>
        <w:t xml:space="preserve">Der foreligger en meget begrænset mængde data vedrørende brug af </w:t>
      </w:r>
      <w:proofErr w:type="spellStart"/>
      <w:r>
        <w:rPr>
          <w:sz w:val="24"/>
          <w:szCs w:val="24"/>
        </w:rPr>
        <w:t>tiotropium</w:t>
      </w:r>
      <w:proofErr w:type="spellEnd"/>
      <w:r>
        <w:rPr>
          <w:sz w:val="24"/>
          <w:szCs w:val="24"/>
        </w:rPr>
        <w:t xml:space="preserve"> til gravide kvinder. Dyreforsøg tyder ikke på nogen direkte eller indirekte skadelige virkninger med hensyn til reproduktionstoksicitet ved brug af klinisk relevante doser (se pkt. 5.3). Som en forsigtighedsregel bør man undgå brug af </w:t>
      </w:r>
      <w:proofErr w:type="spellStart"/>
      <w:r>
        <w:rPr>
          <w:sz w:val="24"/>
          <w:szCs w:val="24"/>
        </w:rPr>
        <w:t>Sirkava</w:t>
      </w:r>
      <w:proofErr w:type="spellEnd"/>
      <w:r>
        <w:rPr>
          <w:sz w:val="24"/>
          <w:szCs w:val="24"/>
        </w:rPr>
        <w:t xml:space="preserve"> under graviditet.</w:t>
      </w:r>
    </w:p>
    <w:p w:rsidR="00AB02F7" w:rsidRDefault="00AB02F7" w:rsidP="00AB02F7">
      <w:pPr>
        <w:ind w:left="851"/>
        <w:rPr>
          <w:sz w:val="24"/>
          <w:szCs w:val="24"/>
        </w:rPr>
      </w:pPr>
    </w:p>
    <w:p w:rsidR="00AB02F7" w:rsidRDefault="00AB02F7" w:rsidP="00AB02F7">
      <w:pPr>
        <w:ind w:left="851"/>
        <w:rPr>
          <w:sz w:val="24"/>
          <w:szCs w:val="24"/>
          <w:u w:val="single"/>
        </w:rPr>
      </w:pPr>
      <w:r>
        <w:rPr>
          <w:sz w:val="24"/>
          <w:szCs w:val="24"/>
          <w:u w:val="single"/>
        </w:rPr>
        <w:t>Amning</w:t>
      </w:r>
    </w:p>
    <w:p w:rsidR="00AB02F7" w:rsidRDefault="00AB02F7" w:rsidP="00AB02F7">
      <w:pPr>
        <w:ind w:left="851"/>
        <w:rPr>
          <w:sz w:val="24"/>
          <w:szCs w:val="24"/>
        </w:rPr>
      </w:pPr>
      <w:r>
        <w:rPr>
          <w:sz w:val="24"/>
          <w:szCs w:val="24"/>
        </w:rPr>
        <w:t xml:space="preserve">Det vides ikke om </w:t>
      </w:r>
      <w:proofErr w:type="spellStart"/>
      <w:r>
        <w:rPr>
          <w:sz w:val="24"/>
          <w:szCs w:val="24"/>
        </w:rPr>
        <w:t>tiotropiumbromid</w:t>
      </w:r>
      <w:proofErr w:type="spellEnd"/>
      <w:r>
        <w:rPr>
          <w:sz w:val="24"/>
          <w:szCs w:val="24"/>
        </w:rPr>
        <w:t xml:space="preserve"> udskilles i human modermælk. Selvom studier hos gnavere har vist, at kun små mængder af </w:t>
      </w:r>
      <w:proofErr w:type="spellStart"/>
      <w:r>
        <w:rPr>
          <w:sz w:val="24"/>
          <w:szCs w:val="24"/>
        </w:rPr>
        <w:t>tiotropium</w:t>
      </w:r>
      <w:proofErr w:type="spellEnd"/>
      <w:r>
        <w:rPr>
          <w:sz w:val="24"/>
          <w:szCs w:val="24"/>
        </w:rPr>
        <w:t xml:space="preserve"> udskilles i modermælk, anbefales brug af </w:t>
      </w:r>
      <w:proofErr w:type="spellStart"/>
      <w:r>
        <w:rPr>
          <w:sz w:val="24"/>
          <w:szCs w:val="24"/>
        </w:rPr>
        <w:t>tiotropiumbromid</w:t>
      </w:r>
      <w:proofErr w:type="spellEnd"/>
      <w:r>
        <w:rPr>
          <w:sz w:val="24"/>
          <w:szCs w:val="24"/>
        </w:rPr>
        <w:t xml:space="preserve"> ikke under amning. </w:t>
      </w:r>
      <w:proofErr w:type="spellStart"/>
      <w:r>
        <w:rPr>
          <w:sz w:val="24"/>
          <w:szCs w:val="24"/>
        </w:rPr>
        <w:t>Tiotropiumbromid</w:t>
      </w:r>
      <w:proofErr w:type="spellEnd"/>
      <w:r>
        <w:rPr>
          <w:sz w:val="24"/>
          <w:szCs w:val="24"/>
        </w:rPr>
        <w:t xml:space="preserve"> er et langtidsvirkende stof. En beslutning om enten at fortsætte/stoppe amningen eller fortsætte/stoppe behandlingen med </w:t>
      </w:r>
      <w:proofErr w:type="spellStart"/>
      <w:r>
        <w:rPr>
          <w:sz w:val="24"/>
          <w:szCs w:val="24"/>
        </w:rPr>
        <w:t>Sirkava</w:t>
      </w:r>
      <w:proofErr w:type="spellEnd"/>
      <w:r>
        <w:rPr>
          <w:sz w:val="24"/>
          <w:szCs w:val="24"/>
        </w:rPr>
        <w:t xml:space="preserve"> bør tage højde for barnets udbytte af amningen og kvindens udbytte af </w:t>
      </w:r>
      <w:proofErr w:type="spellStart"/>
      <w:r>
        <w:rPr>
          <w:sz w:val="24"/>
          <w:szCs w:val="24"/>
        </w:rPr>
        <w:t>Sirkava</w:t>
      </w:r>
      <w:proofErr w:type="spellEnd"/>
      <w:r>
        <w:rPr>
          <w:sz w:val="24"/>
          <w:szCs w:val="24"/>
        </w:rPr>
        <w:t xml:space="preserve"> behandlingen.</w:t>
      </w:r>
    </w:p>
    <w:p w:rsidR="00AB02F7" w:rsidRDefault="00AB02F7" w:rsidP="00AB02F7">
      <w:pPr>
        <w:ind w:left="851"/>
        <w:rPr>
          <w:sz w:val="24"/>
          <w:szCs w:val="24"/>
          <w:u w:val="single"/>
        </w:rPr>
      </w:pPr>
    </w:p>
    <w:p w:rsidR="00AB02F7" w:rsidRDefault="00AB02F7" w:rsidP="00AB02F7">
      <w:pPr>
        <w:ind w:left="851"/>
        <w:rPr>
          <w:sz w:val="24"/>
          <w:szCs w:val="24"/>
          <w:u w:val="single"/>
        </w:rPr>
      </w:pPr>
      <w:r>
        <w:rPr>
          <w:sz w:val="24"/>
          <w:szCs w:val="24"/>
          <w:u w:val="single"/>
        </w:rPr>
        <w:t>Fertilitet</w:t>
      </w:r>
    </w:p>
    <w:p w:rsidR="00AB02F7" w:rsidRDefault="00AB02F7" w:rsidP="00AB02F7">
      <w:pPr>
        <w:ind w:left="851"/>
        <w:rPr>
          <w:sz w:val="24"/>
          <w:szCs w:val="24"/>
        </w:rPr>
      </w:pPr>
      <w:r>
        <w:rPr>
          <w:sz w:val="24"/>
          <w:szCs w:val="24"/>
        </w:rPr>
        <w:t xml:space="preserve">Der foreligger ingen kliniske data for </w:t>
      </w:r>
      <w:proofErr w:type="spellStart"/>
      <w:r>
        <w:rPr>
          <w:sz w:val="24"/>
          <w:szCs w:val="24"/>
        </w:rPr>
        <w:t>tiotropium</w:t>
      </w:r>
      <w:proofErr w:type="spellEnd"/>
      <w:r>
        <w:rPr>
          <w:sz w:val="24"/>
          <w:szCs w:val="24"/>
        </w:rPr>
        <w:t xml:space="preserve">. Et præklinisk studie udført med </w:t>
      </w:r>
      <w:proofErr w:type="spellStart"/>
      <w:r>
        <w:rPr>
          <w:sz w:val="24"/>
          <w:szCs w:val="24"/>
        </w:rPr>
        <w:t>tiotropium</w:t>
      </w:r>
      <w:proofErr w:type="spellEnd"/>
      <w:r>
        <w:rPr>
          <w:sz w:val="24"/>
          <w:szCs w:val="24"/>
        </w:rPr>
        <w:t xml:space="preserve"> tyder ikke på skadelige virkninger på fertiliteten (se pkt. 5.3).</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AB02F7" w:rsidRDefault="00AB02F7" w:rsidP="00AB02F7">
      <w:pPr>
        <w:tabs>
          <w:tab w:val="left" w:pos="851"/>
        </w:tabs>
        <w:ind w:left="851"/>
        <w:rPr>
          <w:sz w:val="24"/>
          <w:szCs w:val="24"/>
        </w:rPr>
      </w:pPr>
      <w:r>
        <w:rPr>
          <w:sz w:val="24"/>
          <w:szCs w:val="24"/>
        </w:rPr>
        <w:t>Ikke mærkning.</w:t>
      </w:r>
    </w:p>
    <w:p w:rsidR="00AB02F7" w:rsidRDefault="00AB02F7" w:rsidP="00AB02F7">
      <w:pPr>
        <w:ind w:left="851"/>
        <w:rPr>
          <w:sz w:val="24"/>
          <w:szCs w:val="24"/>
        </w:rPr>
      </w:pPr>
      <w:r>
        <w:rPr>
          <w:sz w:val="24"/>
          <w:szCs w:val="24"/>
        </w:rPr>
        <w:t>Der er ikke foretaget undersøgelser af indflydelsen på evnen til at føre motorkøretøj eller betjene maskiner. Forekomst af svimmelhed, sløret syn eller hovedpine kan påvirke evnen til at føre motorkøretøj eller betjene maskiner.</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4.8</w:t>
      </w:r>
      <w:r w:rsidRPr="00C84483">
        <w:rPr>
          <w:b/>
          <w:sz w:val="24"/>
          <w:szCs w:val="24"/>
        </w:rPr>
        <w:tab/>
        <w:t>Bivirkninger</w:t>
      </w:r>
    </w:p>
    <w:p w:rsidR="00AB02F7" w:rsidRDefault="00AB02F7" w:rsidP="00AB02F7">
      <w:pPr>
        <w:ind w:left="851"/>
        <w:rPr>
          <w:sz w:val="24"/>
          <w:szCs w:val="24"/>
        </w:rPr>
      </w:pPr>
    </w:p>
    <w:p w:rsidR="00AB02F7" w:rsidRDefault="00AB02F7" w:rsidP="00AB02F7">
      <w:pPr>
        <w:ind w:left="851"/>
        <w:rPr>
          <w:sz w:val="24"/>
          <w:szCs w:val="24"/>
          <w:u w:val="single"/>
        </w:rPr>
      </w:pPr>
      <w:r>
        <w:rPr>
          <w:sz w:val="24"/>
          <w:szCs w:val="24"/>
          <w:u w:val="single"/>
        </w:rPr>
        <w:t>Sammendrag af sikkerhedsprofilen</w:t>
      </w:r>
    </w:p>
    <w:p w:rsidR="00AB02F7" w:rsidRDefault="00AB02F7" w:rsidP="00AB02F7">
      <w:pPr>
        <w:ind w:left="851"/>
        <w:rPr>
          <w:sz w:val="24"/>
          <w:szCs w:val="24"/>
        </w:rPr>
      </w:pPr>
      <w:r>
        <w:rPr>
          <w:sz w:val="24"/>
          <w:szCs w:val="24"/>
        </w:rPr>
        <w:t xml:space="preserve">Mange af de anførte bivirkninger kan henføres til </w:t>
      </w:r>
      <w:proofErr w:type="spellStart"/>
      <w:r>
        <w:rPr>
          <w:sz w:val="24"/>
          <w:szCs w:val="24"/>
        </w:rPr>
        <w:t>tiotropiumbromids</w:t>
      </w:r>
      <w:proofErr w:type="spellEnd"/>
      <w:r>
        <w:rPr>
          <w:sz w:val="24"/>
          <w:szCs w:val="24"/>
        </w:rPr>
        <w:t xml:space="preserve"> </w:t>
      </w:r>
      <w:proofErr w:type="spellStart"/>
      <w:r>
        <w:rPr>
          <w:sz w:val="24"/>
          <w:szCs w:val="24"/>
        </w:rPr>
        <w:t>antikolinerge</w:t>
      </w:r>
      <w:proofErr w:type="spellEnd"/>
      <w:r>
        <w:rPr>
          <w:sz w:val="24"/>
          <w:szCs w:val="24"/>
        </w:rPr>
        <w:t xml:space="preserve"> egenskaber. </w:t>
      </w:r>
    </w:p>
    <w:p w:rsidR="00AB02F7" w:rsidRDefault="00AB02F7" w:rsidP="00AB02F7">
      <w:pPr>
        <w:ind w:left="851" w:hanging="851"/>
        <w:rPr>
          <w:sz w:val="24"/>
          <w:szCs w:val="24"/>
        </w:rPr>
      </w:pPr>
    </w:p>
    <w:p w:rsidR="00AB02F7" w:rsidRDefault="00AB02F7" w:rsidP="00AB02F7">
      <w:pPr>
        <w:ind w:left="851"/>
        <w:rPr>
          <w:sz w:val="24"/>
          <w:szCs w:val="24"/>
          <w:u w:val="single"/>
        </w:rPr>
      </w:pPr>
      <w:r>
        <w:rPr>
          <w:sz w:val="24"/>
          <w:szCs w:val="24"/>
          <w:u w:val="single"/>
        </w:rPr>
        <w:t>Sammendrag af bivirkninger i tabelform</w:t>
      </w:r>
    </w:p>
    <w:p w:rsidR="00AB02F7" w:rsidRDefault="00AB02F7" w:rsidP="00AB02F7">
      <w:pPr>
        <w:ind w:left="851"/>
        <w:rPr>
          <w:sz w:val="24"/>
          <w:szCs w:val="24"/>
        </w:rPr>
      </w:pPr>
      <w:r>
        <w:rPr>
          <w:sz w:val="24"/>
          <w:szCs w:val="24"/>
        </w:rPr>
        <w:t xml:space="preserve">Frekvenser for bivirkninger i nedenstående tabel er baseret på </w:t>
      </w:r>
      <w:proofErr w:type="spellStart"/>
      <w:r>
        <w:rPr>
          <w:sz w:val="24"/>
          <w:szCs w:val="24"/>
        </w:rPr>
        <w:t>ukorrigeret</w:t>
      </w:r>
      <w:proofErr w:type="spellEnd"/>
      <w:r>
        <w:rPr>
          <w:sz w:val="24"/>
          <w:szCs w:val="24"/>
        </w:rPr>
        <w:t xml:space="preserve"> </w:t>
      </w:r>
      <w:proofErr w:type="spellStart"/>
      <w:r>
        <w:rPr>
          <w:sz w:val="24"/>
          <w:szCs w:val="24"/>
        </w:rPr>
        <w:t>incidensrate</w:t>
      </w:r>
      <w:proofErr w:type="spellEnd"/>
      <w:r>
        <w:rPr>
          <w:sz w:val="24"/>
          <w:szCs w:val="24"/>
        </w:rPr>
        <w:t xml:space="preserve"> af bivirkninger (dvs. hændelser tilskrevet </w:t>
      </w:r>
      <w:proofErr w:type="spellStart"/>
      <w:r>
        <w:rPr>
          <w:sz w:val="24"/>
          <w:szCs w:val="24"/>
        </w:rPr>
        <w:t>tiotropium</w:t>
      </w:r>
      <w:proofErr w:type="spellEnd"/>
      <w:r>
        <w:rPr>
          <w:sz w:val="24"/>
          <w:szCs w:val="24"/>
        </w:rPr>
        <w:t xml:space="preserve">) hos </w:t>
      </w:r>
      <w:proofErr w:type="spellStart"/>
      <w:r>
        <w:rPr>
          <w:sz w:val="24"/>
          <w:szCs w:val="24"/>
        </w:rPr>
        <w:t>tiotropiumgruppen</w:t>
      </w:r>
      <w:proofErr w:type="spellEnd"/>
      <w:r>
        <w:rPr>
          <w:sz w:val="24"/>
          <w:szCs w:val="24"/>
        </w:rPr>
        <w:t xml:space="preserve"> (9.647 patienter) i 28 placebokontrollerede kliniske studier med behandlingsvarighed fra fire uger til fire år. </w:t>
      </w:r>
    </w:p>
    <w:p w:rsidR="00AB02F7" w:rsidRDefault="00AB02F7" w:rsidP="00AB02F7">
      <w:pPr>
        <w:ind w:left="851"/>
        <w:rPr>
          <w:sz w:val="24"/>
          <w:szCs w:val="24"/>
        </w:rPr>
      </w:pPr>
    </w:p>
    <w:p w:rsidR="00AB02F7" w:rsidRDefault="00AB02F7" w:rsidP="00AB02F7">
      <w:pPr>
        <w:ind w:left="851"/>
        <w:rPr>
          <w:sz w:val="24"/>
          <w:szCs w:val="24"/>
        </w:rPr>
      </w:pPr>
      <w:r>
        <w:rPr>
          <w:sz w:val="24"/>
          <w:szCs w:val="24"/>
        </w:rPr>
        <w:t>Frekvensen er defineret ud fra følgende konvention:</w:t>
      </w:r>
    </w:p>
    <w:p w:rsidR="00AB02F7" w:rsidRDefault="00AB02F7" w:rsidP="00AB02F7">
      <w:pPr>
        <w:ind w:left="851"/>
        <w:rPr>
          <w:sz w:val="24"/>
          <w:szCs w:val="24"/>
        </w:rPr>
      </w:pPr>
      <w:r>
        <w:rPr>
          <w:sz w:val="24"/>
          <w:szCs w:val="24"/>
        </w:rPr>
        <w:t>Meget almindelig (≥ 1/10); almindelig (≥ 1/100 til &lt; 1/10); ikke almindelig (≥ 1/1.000 til &lt; 1/100); sjælden (≥ 1/10.000 til &lt;1/1.000); meget sjælden (&lt; 1/10.000), ikke kendt (kan ikke estimeres ud fra forhåndenværende data).</w:t>
      </w:r>
    </w:p>
    <w:p w:rsidR="00AB02F7" w:rsidRDefault="00AB02F7" w:rsidP="00AB02F7">
      <w:pPr>
        <w:autoSpaceDE w:val="0"/>
        <w:autoSpaceDN w:val="0"/>
        <w:adjustRightInd w:val="0"/>
        <w:ind w:left="851"/>
        <w:rPr>
          <w:sz w:val="24"/>
          <w:szCs w:val="24"/>
          <w:u w:val="single"/>
        </w:rPr>
      </w:pPr>
    </w:p>
    <w:tbl>
      <w:tblPr>
        <w:tblW w:w="0" w:type="auto"/>
        <w:tblInd w:w="841" w:type="dxa"/>
        <w:tblLayout w:type="fixed"/>
        <w:tblCellMar>
          <w:left w:w="0" w:type="dxa"/>
          <w:right w:w="0" w:type="dxa"/>
        </w:tblCellMar>
        <w:tblLook w:val="01E0" w:firstRow="1" w:lastRow="1" w:firstColumn="1" w:lastColumn="1" w:noHBand="0" w:noVBand="0"/>
      </w:tblPr>
      <w:tblGrid>
        <w:gridCol w:w="6676"/>
        <w:gridCol w:w="31"/>
        <w:gridCol w:w="1940"/>
        <w:gridCol w:w="31"/>
      </w:tblGrid>
      <w:tr w:rsidR="00AB02F7" w:rsidTr="003B4BCE">
        <w:trPr>
          <w:trHeight w:hRule="exact" w:val="576"/>
        </w:trPr>
        <w:tc>
          <w:tcPr>
            <w:tcW w:w="6707" w:type="dxa"/>
            <w:gridSpan w:val="2"/>
            <w:tcBorders>
              <w:top w:val="single" w:sz="12" w:space="0" w:color="7F7F7F"/>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r>
              <w:rPr>
                <w:b/>
                <w:spacing w:val="-1"/>
                <w:sz w:val="24"/>
                <w:szCs w:val="24"/>
              </w:rPr>
              <w:t xml:space="preserve">Systemorganklasse og foretrukket term iht. </w:t>
            </w:r>
            <w:proofErr w:type="spellStart"/>
            <w:r>
              <w:rPr>
                <w:b/>
                <w:sz w:val="24"/>
                <w:szCs w:val="24"/>
              </w:rPr>
              <w:t>MedDRA</w:t>
            </w:r>
            <w:proofErr w:type="spellEnd"/>
          </w:p>
        </w:tc>
        <w:tc>
          <w:tcPr>
            <w:tcW w:w="1971" w:type="dxa"/>
            <w:gridSpan w:val="2"/>
            <w:tcBorders>
              <w:top w:val="single" w:sz="12" w:space="0" w:color="7F7F7F"/>
              <w:left w:val="single" w:sz="12" w:space="0" w:color="7F7F7F"/>
              <w:bottom w:val="single" w:sz="12" w:space="0" w:color="D4D0C8"/>
              <w:right w:val="single" w:sz="8" w:space="0" w:color="7F7F7F"/>
            </w:tcBorders>
            <w:hideMark/>
          </w:tcPr>
          <w:p w:rsidR="00AB02F7" w:rsidRDefault="00AB02F7" w:rsidP="003B4BCE">
            <w:pPr>
              <w:widowControl w:val="0"/>
              <w:ind w:left="128"/>
              <w:rPr>
                <w:sz w:val="24"/>
                <w:szCs w:val="24"/>
              </w:rPr>
            </w:pPr>
            <w:r>
              <w:rPr>
                <w:b/>
                <w:spacing w:val="-1"/>
                <w:sz w:val="24"/>
                <w:szCs w:val="24"/>
              </w:rPr>
              <w:t>Hyppighed</w:t>
            </w:r>
          </w:p>
        </w:tc>
      </w:tr>
      <w:tr w:rsidR="00AB02F7" w:rsidTr="003B4BCE">
        <w:trPr>
          <w:trHeight w:hRule="exact" w:val="576"/>
        </w:trPr>
        <w:tc>
          <w:tcPr>
            <w:tcW w:w="6707" w:type="dxa"/>
            <w:gridSpan w:val="2"/>
            <w:tcBorders>
              <w:top w:val="single" w:sz="12" w:space="0" w:color="D4D0C8"/>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r>
              <w:rPr>
                <w:spacing w:val="-3"/>
                <w:sz w:val="24"/>
                <w:szCs w:val="24"/>
                <w:u w:val="single" w:color="000000"/>
              </w:rPr>
              <w:t>Metabolisme og ernæring</w:t>
            </w:r>
          </w:p>
        </w:tc>
        <w:tc>
          <w:tcPr>
            <w:tcW w:w="1971" w:type="dxa"/>
            <w:gridSpan w:val="2"/>
            <w:tcBorders>
              <w:top w:val="single" w:sz="12" w:space="0" w:color="D4D0C8"/>
              <w:left w:val="single" w:sz="12" w:space="0" w:color="7F7F7F"/>
              <w:bottom w:val="single" w:sz="12" w:space="0" w:color="D4D0C8"/>
              <w:right w:val="single" w:sz="8" w:space="0" w:color="7F7F7F"/>
            </w:tcBorders>
          </w:tcPr>
          <w:p w:rsidR="00AB02F7" w:rsidRDefault="00AB02F7" w:rsidP="003B4BCE">
            <w:pPr>
              <w:widowControl w:val="0"/>
              <w:ind w:left="128"/>
              <w:rPr>
                <w:sz w:val="24"/>
                <w:szCs w:val="24"/>
              </w:rPr>
            </w:pPr>
          </w:p>
        </w:tc>
      </w:tr>
      <w:tr w:rsidR="00AB02F7" w:rsidTr="003B4BCE">
        <w:trPr>
          <w:trHeight w:hRule="exact" w:val="576"/>
        </w:trPr>
        <w:tc>
          <w:tcPr>
            <w:tcW w:w="6707" w:type="dxa"/>
            <w:gridSpan w:val="2"/>
            <w:tcBorders>
              <w:top w:val="single" w:sz="12" w:space="0" w:color="7F7F7F"/>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r>
              <w:rPr>
                <w:spacing w:val="-2"/>
                <w:sz w:val="24"/>
                <w:szCs w:val="24"/>
              </w:rPr>
              <w:t>Dehydrering</w:t>
            </w:r>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sz w:val="24"/>
                <w:szCs w:val="24"/>
              </w:rPr>
            </w:pPr>
            <w:r>
              <w:rPr>
                <w:spacing w:val="-1"/>
                <w:sz w:val="24"/>
                <w:szCs w:val="24"/>
              </w:rPr>
              <w:t>Ikke kendt</w:t>
            </w:r>
          </w:p>
        </w:tc>
      </w:tr>
      <w:tr w:rsidR="00AB02F7" w:rsidTr="003B4BCE">
        <w:trPr>
          <w:trHeight w:hRule="exact" w:val="576"/>
        </w:trPr>
        <w:tc>
          <w:tcPr>
            <w:tcW w:w="6707" w:type="dxa"/>
            <w:gridSpan w:val="2"/>
            <w:tcBorders>
              <w:top w:val="single" w:sz="12" w:space="0" w:color="D4D0C8"/>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r>
              <w:rPr>
                <w:spacing w:val="-1"/>
                <w:sz w:val="24"/>
                <w:szCs w:val="24"/>
                <w:u w:val="single" w:color="000000"/>
              </w:rPr>
              <w:t>Nervesystemet</w:t>
            </w:r>
          </w:p>
        </w:tc>
        <w:tc>
          <w:tcPr>
            <w:tcW w:w="1971" w:type="dxa"/>
            <w:gridSpan w:val="2"/>
            <w:tcBorders>
              <w:top w:val="single" w:sz="12" w:space="0" w:color="D4D0C8"/>
              <w:left w:val="single" w:sz="12" w:space="0" w:color="7F7F7F"/>
              <w:bottom w:val="single" w:sz="12" w:space="0" w:color="7F7F7F"/>
              <w:right w:val="single" w:sz="8" w:space="0" w:color="7F7F7F"/>
            </w:tcBorders>
          </w:tcPr>
          <w:p w:rsidR="00AB02F7" w:rsidRDefault="00AB02F7" w:rsidP="003B4BCE">
            <w:pPr>
              <w:widowControl w:val="0"/>
              <w:ind w:left="128"/>
              <w:rPr>
                <w:sz w:val="24"/>
                <w:szCs w:val="24"/>
              </w:rPr>
            </w:pPr>
          </w:p>
        </w:tc>
      </w:tr>
      <w:tr w:rsidR="00AB02F7" w:rsidTr="003B4BCE">
        <w:trPr>
          <w:trHeight w:hRule="exact" w:val="576"/>
        </w:trPr>
        <w:tc>
          <w:tcPr>
            <w:tcW w:w="6707" w:type="dxa"/>
            <w:gridSpan w:val="2"/>
            <w:tcBorders>
              <w:top w:val="single" w:sz="12" w:space="0" w:color="7F7F7F"/>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r>
              <w:rPr>
                <w:sz w:val="24"/>
                <w:szCs w:val="24"/>
              </w:rPr>
              <w:t>Svimmelhed</w:t>
            </w:r>
          </w:p>
        </w:tc>
        <w:tc>
          <w:tcPr>
            <w:tcW w:w="1971" w:type="dxa"/>
            <w:gridSpan w:val="2"/>
            <w:tcBorders>
              <w:top w:val="single" w:sz="12" w:space="0" w:color="7F7F7F"/>
              <w:left w:val="single" w:sz="12" w:space="0" w:color="7F7F7F"/>
              <w:bottom w:val="single" w:sz="12" w:space="0" w:color="D4D0C8"/>
              <w:right w:val="single" w:sz="8" w:space="0" w:color="7F7F7F"/>
            </w:tcBorders>
            <w:hideMark/>
          </w:tcPr>
          <w:p w:rsidR="00AB02F7" w:rsidRDefault="00AB02F7" w:rsidP="003B4BCE">
            <w:pPr>
              <w:widowControl w:val="0"/>
              <w:ind w:left="128"/>
              <w:rPr>
                <w:sz w:val="24"/>
                <w:szCs w:val="24"/>
              </w:rPr>
            </w:pPr>
            <w:r>
              <w:rPr>
                <w:sz w:val="24"/>
                <w:szCs w:val="24"/>
              </w:rPr>
              <w:t>Ikke almindelig</w:t>
            </w:r>
          </w:p>
        </w:tc>
      </w:tr>
      <w:tr w:rsidR="00AB02F7" w:rsidTr="003B4BCE">
        <w:trPr>
          <w:trHeight w:hRule="exact" w:val="576"/>
        </w:trPr>
        <w:tc>
          <w:tcPr>
            <w:tcW w:w="6707" w:type="dxa"/>
            <w:gridSpan w:val="2"/>
            <w:tcBorders>
              <w:top w:val="single" w:sz="12" w:space="0" w:color="7F7F7F"/>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r>
              <w:rPr>
                <w:spacing w:val="-1"/>
                <w:sz w:val="24"/>
                <w:szCs w:val="24"/>
              </w:rPr>
              <w:t>Hovedpine</w:t>
            </w:r>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z w:val="24"/>
                <w:szCs w:val="24"/>
              </w:rPr>
              <w:t>Ikke almindelig</w:t>
            </w:r>
          </w:p>
        </w:tc>
      </w:tr>
      <w:tr w:rsidR="00AB02F7" w:rsidTr="003B4BCE">
        <w:trPr>
          <w:trHeight w:hRule="exact" w:val="576"/>
        </w:trPr>
        <w:tc>
          <w:tcPr>
            <w:tcW w:w="6707" w:type="dxa"/>
            <w:gridSpan w:val="2"/>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r>
              <w:rPr>
                <w:spacing w:val="-1"/>
                <w:sz w:val="24"/>
                <w:szCs w:val="24"/>
              </w:rPr>
              <w:t>Smagsforstyrrelser</w:t>
            </w:r>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z w:val="24"/>
                <w:szCs w:val="24"/>
              </w:rPr>
              <w:t>Ikke almindelig</w:t>
            </w:r>
          </w:p>
        </w:tc>
      </w:tr>
      <w:tr w:rsidR="00AB02F7" w:rsidTr="003B4BCE">
        <w:trPr>
          <w:trHeight w:hRule="exact" w:val="576"/>
        </w:trPr>
        <w:tc>
          <w:tcPr>
            <w:tcW w:w="6707" w:type="dxa"/>
            <w:gridSpan w:val="2"/>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proofErr w:type="spellStart"/>
            <w:r>
              <w:rPr>
                <w:spacing w:val="-1"/>
                <w:sz w:val="24"/>
                <w:szCs w:val="24"/>
              </w:rPr>
              <w:t>Insomni</w:t>
            </w:r>
            <w:proofErr w:type="spellEnd"/>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sz w:val="24"/>
                <w:szCs w:val="24"/>
              </w:rPr>
            </w:pPr>
            <w:r>
              <w:rPr>
                <w:spacing w:val="-1"/>
                <w:sz w:val="24"/>
                <w:szCs w:val="24"/>
              </w:rPr>
              <w:t>Sjælden</w:t>
            </w:r>
          </w:p>
        </w:tc>
      </w:tr>
      <w:tr w:rsidR="00AB02F7" w:rsidTr="003B4BCE">
        <w:trPr>
          <w:trHeight w:hRule="exact" w:val="576"/>
        </w:trPr>
        <w:tc>
          <w:tcPr>
            <w:tcW w:w="6707" w:type="dxa"/>
            <w:gridSpan w:val="2"/>
            <w:tcBorders>
              <w:top w:val="single" w:sz="12" w:space="0" w:color="D4D0C8"/>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r>
              <w:rPr>
                <w:spacing w:val="-3"/>
                <w:sz w:val="24"/>
                <w:szCs w:val="24"/>
                <w:u w:val="single" w:color="000000"/>
              </w:rPr>
              <w:t>Øjne</w:t>
            </w:r>
          </w:p>
        </w:tc>
        <w:tc>
          <w:tcPr>
            <w:tcW w:w="1971" w:type="dxa"/>
            <w:gridSpan w:val="2"/>
            <w:tcBorders>
              <w:top w:val="single" w:sz="12" w:space="0" w:color="D4D0C8"/>
              <w:left w:val="single" w:sz="12" w:space="0" w:color="7F7F7F"/>
              <w:bottom w:val="single" w:sz="12" w:space="0" w:color="D4D0C8"/>
              <w:right w:val="single" w:sz="8" w:space="0" w:color="7F7F7F"/>
            </w:tcBorders>
          </w:tcPr>
          <w:p w:rsidR="00AB02F7" w:rsidRDefault="00AB02F7" w:rsidP="003B4BCE">
            <w:pPr>
              <w:widowControl w:val="0"/>
              <w:ind w:left="128"/>
              <w:rPr>
                <w:sz w:val="24"/>
                <w:szCs w:val="24"/>
              </w:rPr>
            </w:pPr>
          </w:p>
        </w:tc>
      </w:tr>
      <w:tr w:rsidR="00AB02F7" w:rsidTr="003B4BCE">
        <w:trPr>
          <w:trHeight w:hRule="exact" w:val="576"/>
        </w:trPr>
        <w:tc>
          <w:tcPr>
            <w:tcW w:w="6707" w:type="dxa"/>
            <w:gridSpan w:val="2"/>
            <w:tcBorders>
              <w:top w:val="single" w:sz="12" w:space="0" w:color="7F7F7F"/>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r>
              <w:rPr>
                <w:spacing w:val="-1"/>
                <w:sz w:val="24"/>
                <w:szCs w:val="24"/>
              </w:rPr>
              <w:t>Sløret syn</w:t>
            </w:r>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sz w:val="24"/>
                <w:szCs w:val="24"/>
              </w:rPr>
            </w:pPr>
            <w:r>
              <w:rPr>
                <w:sz w:val="24"/>
                <w:szCs w:val="24"/>
              </w:rPr>
              <w:t>Ikke almindelig</w:t>
            </w:r>
          </w:p>
        </w:tc>
      </w:tr>
      <w:tr w:rsidR="00AB02F7" w:rsidTr="003B4BCE">
        <w:trPr>
          <w:trHeight w:hRule="exact" w:val="576"/>
        </w:trPr>
        <w:tc>
          <w:tcPr>
            <w:tcW w:w="6707" w:type="dxa"/>
            <w:gridSpan w:val="2"/>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proofErr w:type="spellStart"/>
            <w:r>
              <w:rPr>
                <w:spacing w:val="-1"/>
                <w:sz w:val="24"/>
                <w:szCs w:val="24"/>
              </w:rPr>
              <w:t>Glaukom</w:t>
            </w:r>
            <w:proofErr w:type="spellEnd"/>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sz w:val="24"/>
                <w:szCs w:val="24"/>
              </w:rPr>
            </w:pPr>
            <w:r>
              <w:rPr>
                <w:spacing w:val="-1"/>
                <w:sz w:val="24"/>
                <w:szCs w:val="24"/>
              </w:rPr>
              <w:t>Sjælden</w:t>
            </w:r>
          </w:p>
        </w:tc>
      </w:tr>
      <w:tr w:rsidR="00AB02F7" w:rsidTr="003B4BCE">
        <w:trPr>
          <w:trHeight w:hRule="exact" w:val="576"/>
        </w:trPr>
        <w:tc>
          <w:tcPr>
            <w:tcW w:w="6707" w:type="dxa"/>
            <w:gridSpan w:val="2"/>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r>
              <w:rPr>
                <w:sz w:val="24"/>
                <w:szCs w:val="24"/>
              </w:rPr>
              <w:t xml:space="preserve">Øget </w:t>
            </w:r>
            <w:proofErr w:type="spellStart"/>
            <w:r>
              <w:rPr>
                <w:sz w:val="24"/>
                <w:szCs w:val="24"/>
              </w:rPr>
              <w:t>intraokulært</w:t>
            </w:r>
            <w:proofErr w:type="spellEnd"/>
            <w:r>
              <w:rPr>
                <w:sz w:val="24"/>
                <w:szCs w:val="24"/>
              </w:rPr>
              <w:t xml:space="preserve"> tryk</w:t>
            </w:r>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sz w:val="24"/>
                <w:szCs w:val="24"/>
              </w:rPr>
            </w:pPr>
            <w:r>
              <w:rPr>
                <w:spacing w:val="-1"/>
                <w:sz w:val="24"/>
                <w:szCs w:val="24"/>
              </w:rPr>
              <w:t>Sjælden</w:t>
            </w:r>
          </w:p>
        </w:tc>
      </w:tr>
      <w:tr w:rsidR="00AB02F7" w:rsidTr="003B4BCE">
        <w:trPr>
          <w:trHeight w:hRule="exact" w:val="576"/>
        </w:trPr>
        <w:tc>
          <w:tcPr>
            <w:tcW w:w="6707" w:type="dxa"/>
            <w:gridSpan w:val="2"/>
            <w:tcBorders>
              <w:top w:val="single" w:sz="12" w:space="0" w:color="D4D0C8"/>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r>
              <w:rPr>
                <w:spacing w:val="-1"/>
                <w:sz w:val="24"/>
                <w:szCs w:val="24"/>
                <w:u w:val="single" w:color="000000"/>
              </w:rPr>
              <w:t>Hjerte</w:t>
            </w:r>
          </w:p>
        </w:tc>
        <w:tc>
          <w:tcPr>
            <w:tcW w:w="1971" w:type="dxa"/>
            <w:gridSpan w:val="2"/>
            <w:tcBorders>
              <w:top w:val="single" w:sz="12" w:space="0" w:color="D4D0C8"/>
              <w:left w:val="single" w:sz="12" w:space="0" w:color="7F7F7F"/>
              <w:bottom w:val="single" w:sz="12" w:space="0" w:color="D4D0C8"/>
              <w:right w:val="single" w:sz="8" w:space="0" w:color="7F7F7F"/>
            </w:tcBorders>
          </w:tcPr>
          <w:p w:rsidR="00AB02F7" w:rsidRDefault="00AB02F7" w:rsidP="003B4BCE">
            <w:pPr>
              <w:widowControl w:val="0"/>
              <w:ind w:left="128"/>
              <w:rPr>
                <w:sz w:val="24"/>
                <w:szCs w:val="24"/>
              </w:rPr>
            </w:pPr>
          </w:p>
        </w:tc>
      </w:tr>
      <w:tr w:rsidR="00AB02F7" w:rsidTr="003B4BCE">
        <w:trPr>
          <w:trHeight w:hRule="exact" w:val="576"/>
        </w:trPr>
        <w:tc>
          <w:tcPr>
            <w:tcW w:w="6707" w:type="dxa"/>
            <w:gridSpan w:val="2"/>
            <w:tcBorders>
              <w:top w:val="single" w:sz="12" w:space="0" w:color="7F7F7F"/>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r>
              <w:rPr>
                <w:sz w:val="24"/>
                <w:szCs w:val="24"/>
              </w:rPr>
              <w:t>Atrieflimren</w:t>
            </w:r>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sz w:val="24"/>
                <w:szCs w:val="24"/>
              </w:rPr>
            </w:pPr>
            <w:r>
              <w:rPr>
                <w:sz w:val="24"/>
                <w:szCs w:val="24"/>
              </w:rPr>
              <w:t>Ikke almindelig</w:t>
            </w:r>
          </w:p>
        </w:tc>
      </w:tr>
      <w:tr w:rsidR="00AB02F7" w:rsidTr="003B4BCE">
        <w:trPr>
          <w:trHeight w:hRule="exact" w:val="576"/>
        </w:trPr>
        <w:tc>
          <w:tcPr>
            <w:tcW w:w="6707" w:type="dxa"/>
            <w:gridSpan w:val="2"/>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proofErr w:type="spellStart"/>
            <w:r>
              <w:rPr>
                <w:sz w:val="24"/>
                <w:szCs w:val="24"/>
              </w:rPr>
              <w:t>Supraventrikulær</w:t>
            </w:r>
            <w:proofErr w:type="spellEnd"/>
            <w:r>
              <w:rPr>
                <w:sz w:val="24"/>
                <w:szCs w:val="24"/>
              </w:rPr>
              <w:t xml:space="preserve"> </w:t>
            </w:r>
            <w:proofErr w:type="spellStart"/>
            <w:r>
              <w:rPr>
                <w:sz w:val="24"/>
                <w:szCs w:val="24"/>
              </w:rPr>
              <w:t>takykardi</w:t>
            </w:r>
            <w:proofErr w:type="spellEnd"/>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trHeight w:hRule="exact" w:val="576"/>
        </w:trPr>
        <w:tc>
          <w:tcPr>
            <w:tcW w:w="6707" w:type="dxa"/>
            <w:gridSpan w:val="2"/>
            <w:tcBorders>
              <w:top w:val="single" w:sz="12" w:space="0" w:color="D4D0C8"/>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proofErr w:type="spellStart"/>
            <w:r>
              <w:rPr>
                <w:sz w:val="24"/>
                <w:szCs w:val="24"/>
              </w:rPr>
              <w:t>Takykardi</w:t>
            </w:r>
            <w:proofErr w:type="spellEnd"/>
          </w:p>
        </w:tc>
        <w:tc>
          <w:tcPr>
            <w:tcW w:w="1971" w:type="dxa"/>
            <w:gridSpan w:val="2"/>
            <w:tcBorders>
              <w:top w:val="single" w:sz="12" w:space="0" w:color="D4D0C8"/>
              <w:left w:val="single" w:sz="12" w:space="0" w:color="7F7F7F"/>
              <w:bottom w:val="single" w:sz="12" w:space="0" w:color="7F7F7F"/>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trHeight w:hRule="exact" w:val="576"/>
        </w:trPr>
        <w:tc>
          <w:tcPr>
            <w:tcW w:w="6707" w:type="dxa"/>
            <w:gridSpan w:val="2"/>
            <w:tcBorders>
              <w:top w:val="single" w:sz="12" w:space="0" w:color="7F7F7F"/>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proofErr w:type="spellStart"/>
            <w:r>
              <w:rPr>
                <w:sz w:val="24"/>
                <w:szCs w:val="24"/>
              </w:rPr>
              <w:t>Palpitationer</w:t>
            </w:r>
            <w:proofErr w:type="spellEnd"/>
          </w:p>
        </w:tc>
        <w:tc>
          <w:tcPr>
            <w:tcW w:w="1971" w:type="dxa"/>
            <w:gridSpan w:val="2"/>
            <w:tcBorders>
              <w:top w:val="single" w:sz="12" w:space="0" w:color="7F7F7F"/>
              <w:left w:val="single" w:sz="12" w:space="0" w:color="7F7F7F"/>
              <w:bottom w:val="single" w:sz="12" w:space="0" w:color="7F7F7F"/>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trHeight w:hRule="exact" w:val="576"/>
        </w:trPr>
        <w:tc>
          <w:tcPr>
            <w:tcW w:w="6707" w:type="dxa"/>
            <w:gridSpan w:val="2"/>
            <w:tcBorders>
              <w:top w:val="single" w:sz="12" w:space="0" w:color="7F7F7F"/>
              <w:left w:val="single" w:sz="8" w:space="0" w:color="D4D0C8"/>
              <w:bottom w:val="single" w:sz="12" w:space="0" w:color="7F7F7F"/>
              <w:right w:val="single" w:sz="12" w:space="0" w:color="7F7F7F"/>
            </w:tcBorders>
            <w:hideMark/>
          </w:tcPr>
          <w:p w:rsidR="00AB02F7" w:rsidRDefault="00AB02F7" w:rsidP="003B4BCE">
            <w:pPr>
              <w:widowControl w:val="0"/>
              <w:ind w:left="142"/>
              <w:rPr>
                <w:rFonts w:ascii="Calibri" w:hAnsi="Calibri"/>
                <w:b/>
                <w:sz w:val="24"/>
                <w:szCs w:val="24"/>
              </w:rPr>
            </w:pPr>
            <w:r>
              <w:rPr>
                <w:spacing w:val="-1"/>
                <w:sz w:val="24"/>
                <w:szCs w:val="24"/>
                <w:u w:val="single" w:color="000000"/>
              </w:rPr>
              <w:t xml:space="preserve">Luftveje, thorax og </w:t>
            </w:r>
            <w:proofErr w:type="spellStart"/>
            <w:r>
              <w:rPr>
                <w:spacing w:val="-1"/>
                <w:sz w:val="24"/>
                <w:szCs w:val="24"/>
                <w:u w:val="single" w:color="000000"/>
              </w:rPr>
              <w:t>mediastinum</w:t>
            </w:r>
            <w:proofErr w:type="spellEnd"/>
          </w:p>
        </w:tc>
        <w:tc>
          <w:tcPr>
            <w:tcW w:w="1971" w:type="dxa"/>
            <w:gridSpan w:val="2"/>
            <w:tcBorders>
              <w:top w:val="single" w:sz="12" w:space="0" w:color="7F7F7F"/>
              <w:left w:val="single" w:sz="12" w:space="0" w:color="7F7F7F"/>
              <w:bottom w:val="single" w:sz="12" w:space="0" w:color="7F7F7F"/>
              <w:right w:val="single" w:sz="8" w:space="0" w:color="7F7F7F"/>
            </w:tcBorders>
          </w:tcPr>
          <w:p w:rsidR="00AB02F7" w:rsidRDefault="00AB02F7" w:rsidP="003B4BCE">
            <w:pPr>
              <w:widowControl w:val="0"/>
              <w:ind w:left="128"/>
              <w:rPr>
                <w:sz w:val="24"/>
                <w:szCs w:val="24"/>
              </w:rPr>
            </w:pPr>
          </w:p>
        </w:tc>
      </w:tr>
      <w:tr w:rsidR="00AB02F7" w:rsidTr="003B4BCE">
        <w:trPr>
          <w:trHeight w:hRule="exact" w:val="576"/>
        </w:trPr>
        <w:tc>
          <w:tcPr>
            <w:tcW w:w="6707" w:type="dxa"/>
            <w:gridSpan w:val="2"/>
            <w:tcBorders>
              <w:top w:val="single" w:sz="12" w:space="0" w:color="7F7F7F"/>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proofErr w:type="spellStart"/>
            <w:r>
              <w:rPr>
                <w:spacing w:val="-2"/>
                <w:sz w:val="24"/>
                <w:szCs w:val="24"/>
              </w:rPr>
              <w:t>Faryngitis</w:t>
            </w:r>
            <w:proofErr w:type="spellEnd"/>
          </w:p>
        </w:tc>
        <w:tc>
          <w:tcPr>
            <w:tcW w:w="1971" w:type="dxa"/>
            <w:gridSpan w:val="2"/>
            <w:tcBorders>
              <w:top w:val="single" w:sz="12" w:space="0" w:color="7F7F7F"/>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z w:val="24"/>
                <w:szCs w:val="24"/>
              </w:rPr>
              <w:t>Ikke almindelig</w:t>
            </w:r>
          </w:p>
        </w:tc>
      </w:tr>
      <w:tr w:rsidR="00AB02F7" w:rsidTr="003B4BCE">
        <w:trPr>
          <w:trHeight w:hRule="exact" w:val="576"/>
        </w:trPr>
        <w:tc>
          <w:tcPr>
            <w:tcW w:w="6707" w:type="dxa"/>
            <w:gridSpan w:val="2"/>
            <w:tcBorders>
              <w:top w:val="single" w:sz="12" w:space="0" w:color="7F7F7F"/>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proofErr w:type="spellStart"/>
            <w:r>
              <w:rPr>
                <w:spacing w:val="-1"/>
                <w:sz w:val="24"/>
                <w:szCs w:val="24"/>
              </w:rPr>
              <w:t>Dysfoni</w:t>
            </w:r>
            <w:proofErr w:type="spellEnd"/>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z w:val="24"/>
                <w:szCs w:val="24"/>
              </w:rPr>
              <w:t>Ikke almindelig</w:t>
            </w:r>
          </w:p>
        </w:tc>
      </w:tr>
      <w:tr w:rsidR="00AB02F7" w:rsidTr="003B4BCE">
        <w:trPr>
          <w:trHeight w:hRule="exact" w:val="576"/>
        </w:trPr>
        <w:tc>
          <w:tcPr>
            <w:tcW w:w="6707" w:type="dxa"/>
            <w:gridSpan w:val="2"/>
            <w:tcBorders>
              <w:top w:val="single" w:sz="12" w:space="0" w:color="D4D0C8"/>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r>
              <w:rPr>
                <w:spacing w:val="-1"/>
                <w:sz w:val="24"/>
                <w:szCs w:val="24"/>
              </w:rPr>
              <w:t>Hoste</w:t>
            </w:r>
          </w:p>
        </w:tc>
        <w:tc>
          <w:tcPr>
            <w:tcW w:w="1971" w:type="dxa"/>
            <w:gridSpan w:val="2"/>
            <w:tcBorders>
              <w:top w:val="single" w:sz="12" w:space="0" w:color="D4D0C8"/>
              <w:left w:val="single" w:sz="12" w:space="0" w:color="7F7F7F"/>
              <w:bottom w:val="single" w:sz="12" w:space="0" w:color="7F7F7F"/>
              <w:right w:val="single" w:sz="8" w:space="0" w:color="7F7F7F"/>
            </w:tcBorders>
            <w:hideMark/>
          </w:tcPr>
          <w:p w:rsidR="00AB02F7" w:rsidRDefault="00AB02F7" w:rsidP="003B4BCE">
            <w:pPr>
              <w:widowControl w:val="0"/>
              <w:ind w:left="128"/>
              <w:rPr>
                <w:rFonts w:ascii="Calibri" w:hAnsi="Calibri"/>
                <w:sz w:val="24"/>
                <w:szCs w:val="24"/>
              </w:rPr>
            </w:pPr>
            <w:r>
              <w:rPr>
                <w:sz w:val="24"/>
                <w:szCs w:val="24"/>
              </w:rPr>
              <w:t>Ikke almindelig</w:t>
            </w:r>
          </w:p>
        </w:tc>
      </w:tr>
      <w:tr w:rsidR="00AB02F7" w:rsidTr="003B4BCE">
        <w:trPr>
          <w:trHeight w:hRule="exact" w:val="576"/>
        </w:trPr>
        <w:tc>
          <w:tcPr>
            <w:tcW w:w="6707" w:type="dxa"/>
            <w:gridSpan w:val="2"/>
            <w:tcBorders>
              <w:top w:val="single" w:sz="12" w:space="0" w:color="7F7F7F"/>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proofErr w:type="spellStart"/>
            <w:r>
              <w:rPr>
                <w:spacing w:val="-1"/>
                <w:sz w:val="24"/>
                <w:szCs w:val="24"/>
              </w:rPr>
              <w:t>Bronkospasme</w:t>
            </w:r>
            <w:proofErr w:type="spellEnd"/>
          </w:p>
        </w:tc>
        <w:tc>
          <w:tcPr>
            <w:tcW w:w="1971" w:type="dxa"/>
            <w:gridSpan w:val="2"/>
            <w:tcBorders>
              <w:top w:val="single" w:sz="12" w:space="0" w:color="7F7F7F"/>
              <w:left w:val="single" w:sz="12" w:space="0" w:color="7F7F7F"/>
              <w:bottom w:val="single" w:sz="12" w:space="0" w:color="7F7F7F"/>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trHeight w:hRule="exact" w:val="576"/>
        </w:trPr>
        <w:tc>
          <w:tcPr>
            <w:tcW w:w="6707" w:type="dxa"/>
            <w:gridSpan w:val="2"/>
            <w:tcBorders>
              <w:top w:val="single" w:sz="12" w:space="0" w:color="7F7F7F"/>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proofErr w:type="spellStart"/>
            <w:r>
              <w:rPr>
                <w:sz w:val="24"/>
                <w:szCs w:val="24"/>
              </w:rPr>
              <w:t>Epistaksis</w:t>
            </w:r>
            <w:proofErr w:type="spellEnd"/>
          </w:p>
        </w:tc>
        <w:tc>
          <w:tcPr>
            <w:tcW w:w="1971" w:type="dxa"/>
            <w:gridSpan w:val="2"/>
            <w:tcBorders>
              <w:top w:val="single" w:sz="12" w:space="0" w:color="7F7F7F"/>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trHeight w:hRule="exact" w:val="576"/>
        </w:trPr>
        <w:tc>
          <w:tcPr>
            <w:tcW w:w="6707" w:type="dxa"/>
            <w:gridSpan w:val="2"/>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r>
              <w:rPr>
                <w:spacing w:val="-3"/>
                <w:sz w:val="24"/>
                <w:szCs w:val="24"/>
              </w:rPr>
              <w:t>Laryngitis</w:t>
            </w:r>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trHeight w:hRule="exact" w:val="576"/>
        </w:trPr>
        <w:tc>
          <w:tcPr>
            <w:tcW w:w="6707" w:type="dxa"/>
            <w:gridSpan w:val="2"/>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proofErr w:type="spellStart"/>
            <w:r>
              <w:rPr>
                <w:sz w:val="24"/>
                <w:szCs w:val="24"/>
              </w:rPr>
              <w:t>Sinusitis</w:t>
            </w:r>
            <w:proofErr w:type="spellEnd"/>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trHeight w:hRule="exact" w:val="576"/>
        </w:trPr>
        <w:tc>
          <w:tcPr>
            <w:tcW w:w="6707" w:type="dxa"/>
            <w:gridSpan w:val="2"/>
            <w:tcBorders>
              <w:top w:val="single" w:sz="12" w:space="0" w:color="D4D0C8"/>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r>
              <w:rPr>
                <w:spacing w:val="-1"/>
                <w:sz w:val="24"/>
                <w:szCs w:val="24"/>
                <w:u w:val="single" w:color="000000"/>
              </w:rPr>
              <w:t>Mave-tarm-kanalen</w:t>
            </w:r>
          </w:p>
        </w:tc>
        <w:tc>
          <w:tcPr>
            <w:tcW w:w="1971" w:type="dxa"/>
            <w:gridSpan w:val="2"/>
            <w:tcBorders>
              <w:top w:val="single" w:sz="12" w:space="0" w:color="D4D0C8"/>
              <w:left w:val="single" w:sz="12" w:space="0" w:color="7F7F7F"/>
              <w:bottom w:val="single" w:sz="12" w:space="0" w:color="D4D0C8"/>
              <w:right w:val="single" w:sz="8" w:space="0" w:color="7F7F7F"/>
            </w:tcBorders>
          </w:tcPr>
          <w:p w:rsidR="00AB02F7" w:rsidRDefault="00AB02F7" w:rsidP="003B4BCE">
            <w:pPr>
              <w:widowControl w:val="0"/>
              <w:ind w:left="128"/>
              <w:rPr>
                <w:sz w:val="24"/>
                <w:szCs w:val="24"/>
              </w:rPr>
            </w:pPr>
          </w:p>
        </w:tc>
      </w:tr>
      <w:tr w:rsidR="00AB02F7" w:rsidTr="003B4BCE">
        <w:trPr>
          <w:trHeight w:hRule="exact" w:val="576"/>
        </w:trPr>
        <w:tc>
          <w:tcPr>
            <w:tcW w:w="6707" w:type="dxa"/>
            <w:gridSpan w:val="2"/>
            <w:tcBorders>
              <w:top w:val="single" w:sz="12" w:space="0" w:color="7F7F7F"/>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r>
              <w:rPr>
                <w:spacing w:val="-1"/>
                <w:sz w:val="24"/>
                <w:szCs w:val="24"/>
              </w:rPr>
              <w:t>Mundtørhed</w:t>
            </w:r>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sz w:val="24"/>
                <w:szCs w:val="24"/>
              </w:rPr>
            </w:pPr>
            <w:r>
              <w:rPr>
                <w:sz w:val="24"/>
                <w:szCs w:val="24"/>
              </w:rPr>
              <w:t>Almindelig</w:t>
            </w:r>
          </w:p>
        </w:tc>
      </w:tr>
      <w:tr w:rsidR="00AB02F7" w:rsidTr="003B4BCE">
        <w:trPr>
          <w:trHeight w:hRule="exact" w:val="576"/>
        </w:trPr>
        <w:tc>
          <w:tcPr>
            <w:tcW w:w="6707" w:type="dxa"/>
            <w:gridSpan w:val="2"/>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proofErr w:type="spellStart"/>
            <w:r>
              <w:rPr>
                <w:sz w:val="24"/>
                <w:szCs w:val="24"/>
              </w:rPr>
              <w:t>G</w:t>
            </w:r>
            <w:r>
              <w:rPr>
                <w:color w:val="000000"/>
                <w:sz w:val="24"/>
                <w:szCs w:val="24"/>
              </w:rPr>
              <w:t>astroesophageal</w:t>
            </w:r>
            <w:proofErr w:type="spellEnd"/>
            <w:r>
              <w:rPr>
                <w:color w:val="000000"/>
                <w:sz w:val="24"/>
                <w:szCs w:val="24"/>
              </w:rPr>
              <w:t xml:space="preserve"> </w:t>
            </w:r>
            <w:proofErr w:type="spellStart"/>
            <w:r>
              <w:rPr>
                <w:bCs/>
                <w:color w:val="000000"/>
                <w:sz w:val="24"/>
                <w:szCs w:val="24"/>
              </w:rPr>
              <w:t>reflux</w:t>
            </w:r>
            <w:proofErr w:type="spellEnd"/>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z w:val="24"/>
                <w:szCs w:val="24"/>
              </w:rPr>
              <w:t>Ikke almindelig</w:t>
            </w:r>
          </w:p>
        </w:tc>
      </w:tr>
      <w:tr w:rsidR="00AB02F7" w:rsidTr="003B4BCE">
        <w:trPr>
          <w:trHeight w:hRule="exact" w:val="576"/>
        </w:trPr>
        <w:tc>
          <w:tcPr>
            <w:tcW w:w="6707" w:type="dxa"/>
            <w:gridSpan w:val="2"/>
            <w:tcBorders>
              <w:top w:val="single" w:sz="12" w:space="0" w:color="D4D0C8"/>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r>
              <w:rPr>
                <w:sz w:val="24"/>
                <w:szCs w:val="24"/>
              </w:rPr>
              <w:t>Obstipation</w:t>
            </w:r>
          </w:p>
        </w:tc>
        <w:tc>
          <w:tcPr>
            <w:tcW w:w="1971" w:type="dxa"/>
            <w:gridSpan w:val="2"/>
            <w:tcBorders>
              <w:top w:val="single" w:sz="12" w:space="0" w:color="D4D0C8"/>
              <w:left w:val="single" w:sz="12" w:space="0" w:color="7F7F7F"/>
              <w:bottom w:val="single" w:sz="12" w:space="0" w:color="7F7F7F"/>
              <w:right w:val="single" w:sz="8" w:space="0" w:color="7F7F7F"/>
            </w:tcBorders>
            <w:hideMark/>
          </w:tcPr>
          <w:p w:rsidR="00AB02F7" w:rsidRDefault="00AB02F7" w:rsidP="003B4BCE">
            <w:pPr>
              <w:widowControl w:val="0"/>
              <w:ind w:left="128"/>
              <w:rPr>
                <w:rFonts w:ascii="Calibri" w:hAnsi="Calibri"/>
                <w:sz w:val="24"/>
                <w:szCs w:val="24"/>
              </w:rPr>
            </w:pPr>
            <w:r>
              <w:rPr>
                <w:sz w:val="24"/>
                <w:szCs w:val="24"/>
              </w:rPr>
              <w:t>Ikke almindelig</w:t>
            </w:r>
          </w:p>
        </w:tc>
      </w:tr>
      <w:tr w:rsidR="00AB02F7" w:rsidTr="003B4BCE">
        <w:trPr>
          <w:gridAfter w:val="1"/>
          <w:wAfter w:w="31" w:type="dxa"/>
          <w:trHeight w:hRule="exact" w:val="576"/>
        </w:trPr>
        <w:tc>
          <w:tcPr>
            <w:tcW w:w="6676" w:type="dxa"/>
            <w:tcBorders>
              <w:top w:val="single" w:sz="12" w:space="0" w:color="7F7F7F"/>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proofErr w:type="spellStart"/>
            <w:r>
              <w:rPr>
                <w:sz w:val="24"/>
                <w:szCs w:val="24"/>
              </w:rPr>
              <w:t>Oropharyngeal</w:t>
            </w:r>
            <w:proofErr w:type="spellEnd"/>
            <w:r>
              <w:rPr>
                <w:sz w:val="24"/>
                <w:szCs w:val="24"/>
              </w:rPr>
              <w:t xml:space="preserve"> </w:t>
            </w:r>
            <w:proofErr w:type="spellStart"/>
            <w:r>
              <w:rPr>
                <w:sz w:val="24"/>
                <w:szCs w:val="24"/>
              </w:rPr>
              <w:t>candidiasis</w:t>
            </w:r>
            <w:proofErr w:type="spellEnd"/>
          </w:p>
        </w:tc>
        <w:tc>
          <w:tcPr>
            <w:tcW w:w="1971" w:type="dxa"/>
            <w:gridSpan w:val="2"/>
            <w:tcBorders>
              <w:top w:val="single" w:sz="12" w:space="0" w:color="7F7F7F"/>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z w:val="24"/>
                <w:szCs w:val="24"/>
              </w:rPr>
              <w:t>Ikke almindelig</w:t>
            </w:r>
          </w:p>
        </w:tc>
      </w:tr>
      <w:tr w:rsidR="00AB02F7" w:rsidTr="003B4BCE">
        <w:trPr>
          <w:gridAfter w:val="1"/>
          <w:wAfter w:w="31" w:type="dxa"/>
          <w:trHeight w:hRule="exact" w:val="576"/>
        </w:trPr>
        <w:tc>
          <w:tcPr>
            <w:tcW w:w="6676" w:type="dxa"/>
            <w:tcBorders>
              <w:top w:val="single" w:sz="12" w:space="0" w:color="7F7F7F"/>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r>
              <w:rPr>
                <w:sz w:val="24"/>
                <w:szCs w:val="24"/>
              </w:rPr>
              <w:t xml:space="preserve">Tarmobstruktion inkl. paralytisk </w:t>
            </w:r>
            <w:proofErr w:type="spellStart"/>
            <w:r>
              <w:rPr>
                <w:sz w:val="24"/>
                <w:szCs w:val="24"/>
              </w:rPr>
              <w:t>ileus</w:t>
            </w:r>
            <w:proofErr w:type="spellEnd"/>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gridAfter w:val="1"/>
          <w:wAfter w:w="31" w:type="dxa"/>
          <w:trHeight w:hRule="exact" w:val="576"/>
        </w:trPr>
        <w:tc>
          <w:tcPr>
            <w:tcW w:w="6676" w:type="dxa"/>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proofErr w:type="spellStart"/>
            <w:r>
              <w:rPr>
                <w:sz w:val="24"/>
                <w:szCs w:val="24"/>
              </w:rPr>
              <w:t>Gingivitis</w:t>
            </w:r>
            <w:proofErr w:type="spellEnd"/>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gridAfter w:val="1"/>
          <w:wAfter w:w="31" w:type="dxa"/>
          <w:trHeight w:hRule="exact" w:val="576"/>
        </w:trPr>
        <w:tc>
          <w:tcPr>
            <w:tcW w:w="6676" w:type="dxa"/>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proofErr w:type="spellStart"/>
            <w:r>
              <w:rPr>
                <w:sz w:val="24"/>
                <w:szCs w:val="24"/>
              </w:rPr>
              <w:t>Glossitis</w:t>
            </w:r>
            <w:proofErr w:type="spellEnd"/>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gridAfter w:val="1"/>
          <w:wAfter w:w="31" w:type="dxa"/>
          <w:trHeight w:hRule="exact" w:val="576"/>
        </w:trPr>
        <w:tc>
          <w:tcPr>
            <w:tcW w:w="6676" w:type="dxa"/>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proofErr w:type="spellStart"/>
            <w:r>
              <w:rPr>
                <w:sz w:val="24"/>
                <w:szCs w:val="24"/>
              </w:rPr>
              <w:t>Dysfagi</w:t>
            </w:r>
            <w:proofErr w:type="spellEnd"/>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gridAfter w:val="1"/>
          <w:wAfter w:w="31" w:type="dxa"/>
          <w:trHeight w:hRule="exact" w:val="576"/>
        </w:trPr>
        <w:tc>
          <w:tcPr>
            <w:tcW w:w="6676" w:type="dxa"/>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proofErr w:type="spellStart"/>
            <w:r>
              <w:rPr>
                <w:sz w:val="24"/>
                <w:szCs w:val="24"/>
              </w:rPr>
              <w:t>Stomatitis</w:t>
            </w:r>
            <w:proofErr w:type="spellEnd"/>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gridAfter w:val="1"/>
          <w:wAfter w:w="31" w:type="dxa"/>
          <w:trHeight w:hRule="exact" w:val="576"/>
        </w:trPr>
        <w:tc>
          <w:tcPr>
            <w:tcW w:w="6676" w:type="dxa"/>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r>
              <w:rPr>
                <w:sz w:val="24"/>
                <w:szCs w:val="24"/>
              </w:rPr>
              <w:t>Kvalme</w:t>
            </w:r>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gridAfter w:val="1"/>
          <w:wAfter w:w="31" w:type="dxa"/>
          <w:trHeight w:hRule="exact" w:val="576"/>
        </w:trPr>
        <w:tc>
          <w:tcPr>
            <w:tcW w:w="6676" w:type="dxa"/>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r>
              <w:rPr>
                <w:sz w:val="24"/>
                <w:szCs w:val="24"/>
              </w:rPr>
              <w:t>Caries</w:t>
            </w:r>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sz w:val="24"/>
                <w:szCs w:val="24"/>
              </w:rPr>
            </w:pPr>
            <w:r>
              <w:rPr>
                <w:spacing w:val="-1"/>
                <w:sz w:val="24"/>
                <w:szCs w:val="24"/>
              </w:rPr>
              <w:t>Ikke kendt</w:t>
            </w:r>
          </w:p>
        </w:tc>
      </w:tr>
      <w:tr w:rsidR="00AB02F7" w:rsidTr="003B4BCE">
        <w:trPr>
          <w:gridAfter w:val="1"/>
          <w:wAfter w:w="31" w:type="dxa"/>
          <w:trHeight w:hRule="exact" w:val="576"/>
        </w:trPr>
        <w:tc>
          <w:tcPr>
            <w:tcW w:w="6676" w:type="dxa"/>
            <w:tcBorders>
              <w:top w:val="single" w:sz="12" w:space="0" w:color="D4D0C8"/>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r>
              <w:rPr>
                <w:spacing w:val="-1"/>
                <w:sz w:val="24"/>
                <w:szCs w:val="24"/>
                <w:u w:val="single" w:color="000000"/>
              </w:rPr>
              <w:t>Hud og subkutane væv, Immunsystemet</w:t>
            </w:r>
          </w:p>
        </w:tc>
        <w:tc>
          <w:tcPr>
            <w:tcW w:w="1971" w:type="dxa"/>
            <w:gridSpan w:val="2"/>
            <w:tcBorders>
              <w:top w:val="single" w:sz="12" w:space="0" w:color="D4D0C8"/>
              <w:left w:val="single" w:sz="12" w:space="0" w:color="7F7F7F"/>
              <w:bottom w:val="single" w:sz="12" w:space="0" w:color="D4D0C8"/>
              <w:right w:val="single" w:sz="8" w:space="0" w:color="7F7F7F"/>
            </w:tcBorders>
          </w:tcPr>
          <w:p w:rsidR="00AB02F7" w:rsidRDefault="00AB02F7" w:rsidP="003B4BCE">
            <w:pPr>
              <w:widowControl w:val="0"/>
              <w:ind w:left="128"/>
              <w:rPr>
                <w:sz w:val="24"/>
                <w:szCs w:val="24"/>
              </w:rPr>
            </w:pPr>
          </w:p>
        </w:tc>
      </w:tr>
      <w:tr w:rsidR="00AB02F7" w:rsidTr="003B4BCE">
        <w:trPr>
          <w:gridAfter w:val="1"/>
          <w:wAfter w:w="31" w:type="dxa"/>
          <w:trHeight w:hRule="exact" w:val="576"/>
        </w:trPr>
        <w:tc>
          <w:tcPr>
            <w:tcW w:w="6676" w:type="dxa"/>
            <w:tcBorders>
              <w:top w:val="single" w:sz="12" w:space="0" w:color="7F7F7F"/>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r>
              <w:rPr>
                <w:sz w:val="24"/>
                <w:szCs w:val="24"/>
              </w:rPr>
              <w:t>Udslæt</w:t>
            </w:r>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sz w:val="24"/>
                <w:szCs w:val="24"/>
              </w:rPr>
            </w:pPr>
            <w:r>
              <w:rPr>
                <w:sz w:val="24"/>
                <w:szCs w:val="24"/>
              </w:rPr>
              <w:t>Ikke almindelig</w:t>
            </w:r>
          </w:p>
        </w:tc>
      </w:tr>
      <w:tr w:rsidR="00AB02F7" w:rsidTr="003B4BCE">
        <w:trPr>
          <w:gridAfter w:val="1"/>
          <w:wAfter w:w="31" w:type="dxa"/>
          <w:trHeight w:hRule="exact" w:val="576"/>
        </w:trPr>
        <w:tc>
          <w:tcPr>
            <w:tcW w:w="6676" w:type="dxa"/>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proofErr w:type="spellStart"/>
            <w:r>
              <w:rPr>
                <w:spacing w:val="-1"/>
                <w:sz w:val="24"/>
                <w:szCs w:val="24"/>
              </w:rPr>
              <w:t>Urticaria</w:t>
            </w:r>
            <w:proofErr w:type="spellEnd"/>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gridAfter w:val="1"/>
          <w:wAfter w:w="31" w:type="dxa"/>
          <w:trHeight w:hRule="exact" w:val="576"/>
        </w:trPr>
        <w:tc>
          <w:tcPr>
            <w:tcW w:w="6676" w:type="dxa"/>
            <w:tcBorders>
              <w:top w:val="single" w:sz="12" w:space="0" w:color="D4D0C8"/>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proofErr w:type="spellStart"/>
            <w:r>
              <w:rPr>
                <w:sz w:val="24"/>
                <w:szCs w:val="24"/>
              </w:rPr>
              <w:t>Pruritus</w:t>
            </w:r>
            <w:proofErr w:type="spellEnd"/>
          </w:p>
        </w:tc>
        <w:tc>
          <w:tcPr>
            <w:tcW w:w="1971" w:type="dxa"/>
            <w:gridSpan w:val="2"/>
            <w:tcBorders>
              <w:top w:val="single" w:sz="12" w:space="0" w:color="D4D0C8"/>
              <w:left w:val="single" w:sz="12" w:space="0" w:color="7F7F7F"/>
              <w:bottom w:val="single" w:sz="12" w:space="0" w:color="7F7F7F"/>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gridAfter w:val="1"/>
          <w:wAfter w:w="31" w:type="dxa"/>
          <w:trHeight w:hRule="exact" w:val="576"/>
        </w:trPr>
        <w:tc>
          <w:tcPr>
            <w:tcW w:w="6676" w:type="dxa"/>
            <w:tcBorders>
              <w:top w:val="single" w:sz="12" w:space="0" w:color="7F7F7F"/>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r>
              <w:rPr>
                <w:sz w:val="24"/>
                <w:szCs w:val="24"/>
              </w:rPr>
              <w:t>Overfølsomhedsreaktioner (inkl. akutte reaktioner)</w:t>
            </w:r>
          </w:p>
        </w:tc>
        <w:tc>
          <w:tcPr>
            <w:tcW w:w="1971" w:type="dxa"/>
            <w:gridSpan w:val="2"/>
            <w:tcBorders>
              <w:top w:val="single" w:sz="12" w:space="0" w:color="7F7F7F"/>
              <w:left w:val="single" w:sz="12" w:space="0" w:color="7F7F7F"/>
              <w:bottom w:val="single" w:sz="12" w:space="0" w:color="7F7F7F"/>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gridAfter w:val="1"/>
          <w:wAfter w:w="31" w:type="dxa"/>
          <w:trHeight w:hRule="exact" w:val="576"/>
        </w:trPr>
        <w:tc>
          <w:tcPr>
            <w:tcW w:w="6676" w:type="dxa"/>
            <w:tcBorders>
              <w:top w:val="single" w:sz="12" w:space="0" w:color="7F7F7F"/>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proofErr w:type="spellStart"/>
            <w:r>
              <w:rPr>
                <w:spacing w:val="-1"/>
                <w:sz w:val="24"/>
                <w:szCs w:val="24"/>
              </w:rPr>
              <w:t>Angioødem</w:t>
            </w:r>
            <w:proofErr w:type="spellEnd"/>
          </w:p>
        </w:tc>
        <w:tc>
          <w:tcPr>
            <w:tcW w:w="1971" w:type="dxa"/>
            <w:gridSpan w:val="2"/>
            <w:tcBorders>
              <w:top w:val="single" w:sz="12" w:space="0" w:color="7F7F7F"/>
              <w:left w:val="single" w:sz="12" w:space="0" w:color="7F7F7F"/>
              <w:bottom w:val="single" w:sz="12" w:space="0" w:color="7F7F7F"/>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Sjælden</w:t>
            </w:r>
          </w:p>
        </w:tc>
      </w:tr>
      <w:tr w:rsidR="00AB02F7" w:rsidTr="003B4BCE">
        <w:trPr>
          <w:gridAfter w:val="1"/>
          <w:wAfter w:w="31" w:type="dxa"/>
          <w:trHeight w:hRule="exact" w:val="576"/>
        </w:trPr>
        <w:tc>
          <w:tcPr>
            <w:tcW w:w="6676" w:type="dxa"/>
            <w:tcBorders>
              <w:top w:val="single" w:sz="12" w:space="0" w:color="7F7F7F"/>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proofErr w:type="spellStart"/>
            <w:r>
              <w:rPr>
                <w:spacing w:val="-2"/>
                <w:sz w:val="24"/>
                <w:szCs w:val="24"/>
              </w:rPr>
              <w:t>Anafylaktisk</w:t>
            </w:r>
            <w:proofErr w:type="spellEnd"/>
            <w:r>
              <w:rPr>
                <w:spacing w:val="-2"/>
                <w:sz w:val="24"/>
                <w:szCs w:val="24"/>
              </w:rPr>
              <w:t xml:space="preserve"> </w:t>
            </w:r>
            <w:r>
              <w:rPr>
                <w:spacing w:val="-1"/>
                <w:sz w:val="24"/>
                <w:szCs w:val="24"/>
              </w:rPr>
              <w:t>reaktion</w:t>
            </w:r>
          </w:p>
        </w:tc>
        <w:tc>
          <w:tcPr>
            <w:tcW w:w="1971" w:type="dxa"/>
            <w:gridSpan w:val="2"/>
            <w:tcBorders>
              <w:top w:val="single" w:sz="12" w:space="0" w:color="7F7F7F"/>
              <w:left w:val="single" w:sz="12" w:space="0" w:color="7F7F7F"/>
              <w:bottom w:val="single" w:sz="12" w:space="0" w:color="D4D0C8"/>
              <w:right w:val="single" w:sz="8" w:space="0" w:color="7F7F7F"/>
            </w:tcBorders>
            <w:hideMark/>
          </w:tcPr>
          <w:p w:rsidR="00AB02F7" w:rsidRDefault="00AB02F7" w:rsidP="003B4BCE">
            <w:pPr>
              <w:widowControl w:val="0"/>
              <w:ind w:left="128"/>
              <w:rPr>
                <w:sz w:val="24"/>
                <w:szCs w:val="24"/>
              </w:rPr>
            </w:pPr>
            <w:r>
              <w:rPr>
                <w:spacing w:val="-1"/>
                <w:sz w:val="24"/>
                <w:szCs w:val="24"/>
              </w:rPr>
              <w:t>Ikke kendt</w:t>
            </w:r>
          </w:p>
        </w:tc>
      </w:tr>
      <w:tr w:rsidR="00AB02F7" w:rsidTr="003B4BCE">
        <w:trPr>
          <w:gridAfter w:val="1"/>
          <w:wAfter w:w="31" w:type="dxa"/>
          <w:trHeight w:hRule="exact" w:val="576"/>
        </w:trPr>
        <w:tc>
          <w:tcPr>
            <w:tcW w:w="6676" w:type="dxa"/>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r>
              <w:rPr>
                <w:sz w:val="24"/>
                <w:szCs w:val="24"/>
              </w:rPr>
              <w:t>Hudinfektion,</w:t>
            </w:r>
            <w:r>
              <w:rPr>
                <w:spacing w:val="-1"/>
                <w:sz w:val="24"/>
                <w:szCs w:val="24"/>
              </w:rPr>
              <w:t xml:space="preserve"> </w:t>
            </w:r>
            <w:proofErr w:type="spellStart"/>
            <w:r>
              <w:rPr>
                <w:spacing w:val="-1"/>
                <w:sz w:val="24"/>
                <w:szCs w:val="24"/>
              </w:rPr>
              <w:t>hudsår</w:t>
            </w:r>
            <w:proofErr w:type="spellEnd"/>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Ikke kendt</w:t>
            </w:r>
          </w:p>
        </w:tc>
      </w:tr>
      <w:tr w:rsidR="00AB02F7" w:rsidTr="003B4BCE">
        <w:trPr>
          <w:gridAfter w:val="1"/>
          <w:wAfter w:w="31" w:type="dxa"/>
          <w:trHeight w:hRule="exact" w:val="576"/>
        </w:trPr>
        <w:tc>
          <w:tcPr>
            <w:tcW w:w="6676" w:type="dxa"/>
            <w:tcBorders>
              <w:top w:val="single" w:sz="12" w:space="0" w:color="D4D0C8"/>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r>
              <w:rPr>
                <w:spacing w:val="-1"/>
                <w:sz w:val="24"/>
                <w:szCs w:val="24"/>
              </w:rPr>
              <w:t>Tør hud</w:t>
            </w:r>
          </w:p>
        </w:tc>
        <w:tc>
          <w:tcPr>
            <w:tcW w:w="1971" w:type="dxa"/>
            <w:gridSpan w:val="2"/>
            <w:tcBorders>
              <w:top w:val="single" w:sz="12" w:space="0" w:color="D4D0C8"/>
              <w:left w:val="single" w:sz="12" w:space="0" w:color="7F7F7F"/>
              <w:bottom w:val="single" w:sz="12" w:space="0" w:color="7F7F7F"/>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Ikke kendt</w:t>
            </w:r>
          </w:p>
        </w:tc>
      </w:tr>
      <w:tr w:rsidR="00AB02F7" w:rsidTr="003B4BCE">
        <w:trPr>
          <w:gridAfter w:val="1"/>
          <w:wAfter w:w="31" w:type="dxa"/>
          <w:trHeight w:hRule="exact" w:val="576"/>
        </w:trPr>
        <w:tc>
          <w:tcPr>
            <w:tcW w:w="6676" w:type="dxa"/>
            <w:tcBorders>
              <w:top w:val="single" w:sz="12" w:space="0" w:color="7F7F7F"/>
              <w:left w:val="single" w:sz="8" w:space="0" w:color="D4D0C8"/>
              <w:bottom w:val="single" w:sz="12" w:space="0" w:color="7F7F7F"/>
              <w:right w:val="single" w:sz="12" w:space="0" w:color="7F7F7F"/>
            </w:tcBorders>
            <w:hideMark/>
          </w:tcPr>
          <w:p w:rsidR="00AB02F7" w:rsidRDefault="00AB02F7" w:rsidP="003B4BCE">
            <w:pPr>
              <w:widowControl w:val="0"/>
              <w:ind w:left="142"/>
              <w:rPr>
                <w:rFonts w:ascii="Calibri" w:hAnsi="Calibri"/>
                <w:sz w:val="24"/>
                <w:szCs w:val="24"/>
              </w:rPr>
            </w:pPr>
            <w:r>
              <w:rPr>
                <w:spacing w:val="-1"/>
                <w:sz w:val="24"/>
                <w:szCs w:val="24"/>
                <w:u w:val="single" w:color="000000"/>
              </w:rPr>
              <w:t>Knogler, led, muskler og bindevæv</w:t>
            </w:r>
          </w:p>
        </w:tc>
        <w:tc>
          <w:tcPr>
            <w:tcW w:w="1971" w:type="dxa"/>
            <w:gridSpan w:val="2"/>
            <w:tcBorders>
              <w:top w:val="single" w:sz="12" w:space="0" w:color="7F7F7F"/>
              <w:left w:val="single" w:sz="12" w:space="0" w:color="7F7F7F"/>
              <w:bottom w:val="single" w:sz="12" w:space="0" w:color="7F7F7F"/>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Ikke kendt</w:t>
            </w:r>
          </w:p>
        </w:tc>
      </w:tr>
      <w:tr w:rsidR="00AB02F7" w:rsidTr="003B4BCE">
        <w:trPr>
          <w:gridAfter w:val="1"/>
          <w:wAfter w:w="31" w:type="dxa"/>
          <w:trHeight w:hRule="exact" w:val="576"/>
        </w:trPr>
        <w:tc>
          <w:tcPr>
            <w:tcW w:w="6676" w:type="dxa"/>
            <w:tcBorders>
              <w:top w:val="single" w:sz="12" w:space="0" w:color="7F7F7F"/>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r>
              <w:rPr>
                <w:sz w:val="24"/>
                <w:szCs w:val="24"/>
              </w:rPr>
              <w:t>Hævede led</w:t>
            </w:r>
          </w:p>
        </w:tc>
        <w:tc>
          <w:tcPr>
            <w:tcW w:w="1971" w:type="dxa"/>
            <w:gridSpan w:val="2"/>
            <w:tcBorders>
              <w:top w:val="single" w:sz="12" w:space="0" w:color="7F7F7F"/>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pacing w:val="-1"/>
                <w:sz w:val="24"/>
                <w:szCs w:val="24"/>
              </w:rPr>
              <w:t>Ikke kendt</w:t>
            </w:r>
          </w:p>
        </w:tc>
      </w:tr>
      <w:tr w:rsidR="00AB02F7" w:rsidTr="003B4BCE">
        <w:trPr>
          <w:gridAfter w:val="1"/>
          <w:wAfter w:w="31" w:type="dxa"/>
          <w:trHeight w:hRule="exact" w:val="576"/>
        </w:trPr>
        <w:tc>
          <w:tcPr>
            <w:tcW w:w="6676" w:type="dxa"/>
            <w:tcBorders>
              <w:top w:val="single" w:sz="12" w:space="0" w:color="7F7F7F"/>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r>
              <w:rPr>
                <w:spacing w:val="-1"/>
                <w:sz w:val="24"/>
                <w:szCs w:val="24"/>
                <w:u w:val="single" w:color="000000"/>
              </w:rPr>
              <w:t>Nyrer og urinveje</w:t>
            </w:r>
          </w:p>
        </w:tc>
        <w:tc>
          <w:tcPr>
            <w:tcW w:w="1971" w:type="dxa"/>
            <w:gridSpan w:val="2"/>
            <w:tcBorders>
              <w:top w:val="single" w:sz="12" w:space="0" w:color="D4D0C8"/>
              <w:left w:val="single" w:sz="12" w:space="0" w:color="7F7F7F"/>
              <w:bottom w:val="single" w:sz="12" w:space="0" w:color="D4D0C8"/>
              <w:right w:val="single" w:sz="8" w:space="0" w:color="7F7F7F"/>
            </w:tcBorders>
          </w:tcPr>
          <w:p w:rsidR="00AB02F7" w:rsidRDefault="00AB02F7" w:rsidP="003B4BCE">
            <w:pPr>
              <w:widowControl w:val="0"/>
              <w:ind w:left="128"/>
              <w:rPr>
                <w:sz w:val="24"/>
                <w:szCs w:val="24"/>
              </w:rPr>
            </w:pPr>
          </w:p>
        </w:tc>
      </w:tr>
      <w:tr w:rsidR="00AB02F7" w:rsidTr="003B4BCE">
        <w:trPr>
          <w:gridAfter w:val="1"/>
          <w:wAfter w:w="31" w:type="dxa"/>
          <w:trHeight w:hRule="exact" w:val="576"/>
        </w:trPr>
        <w:tc>
          <w:tcPr>
            <w:tcW w:w="6676" w:type="dxa"/>
            <w:tcBorders>
              <w:top w:val="single" w:sz="12" w:space="0" w:color="7F7F7F"/>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proofErr w:type="spellStart"/>
            <w:r>
              <w:rPr>
                <w:spacing w:val="-2"/>
                <w:sz w:val="24"/>
                <w:szCs w:val="24"/>
              </w:rPr>
              <w:t>Dysuri</w:t>
            </w:r>
            <w:proofErr w:type="spellEnd"/>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z w:val="24"/>
                <w:szCs w:val="24"/>
              </w:rPr>
              <w:t>Ikke almindelig</w:t>
            </w:r>
          </w:p>
        </w:tc>
      </w:tr>
      <w:tr w:rsidR="00AB02F7" w:rsidTr="003B4BCE">
        <w:trPr>
          <w:gridAfter w:val="1"/>
          <w:wAfter w:w="31" w:type="dxa"/>
          <w:trHeight w:hRule="exact" w:val="576"/>
        </w:trPr>
        <w:tc>
          <w:tcPr>
            <w:tcW w:w="6676" w:type="dxa"/>
            <w:tcBorders>
              <w:top w:val="single" w:sz="12" w:space="0" w:color="D4D0C8"/>
              <w:left w:val="single" w:sz="8" w:space="0" w:color="D4D0C8"/>
              <w:bottom w:val="single" w:sz="12" w:space="0" w:color="D4D0C8"/>
              <w:right w:val="single" w:sz="12" w:space="0" w:color="7F7F7F"/>
            </w:tcBorders>
            <w:hideMark/>
          </w:tcPr>
          <w:p w:rsidR="00AB02F7" w:rsidRDefault="00AB02F7" w:rsidP="003B4BCE">
            <w:pPr>
              <w:widowControl w:val="0"/>
              <w:ind w:left="142"/>
              <w:rPr>
                <w:sz w:val="24"/>
                <w:szCs w:val="24"/>
              </w:rPr>
            </w:pPr>
            <w:r>
              <w:rPr>
                <w:spacing w:val="-1"/>
                <w:sz w:val="24"/>
                <w:szCs w:val="24"/>
              </w:rPr>
              <w:t>Urinretention</w:t>
            </w:r>
          </w:p>
        </w:tc>
        <w:tc>
          <w:tcPr>
            <w:tcW w:w="1971" w:type="dxa"/>
            <w:gridSpan w:val="2"/>
            <w:tcBorders>
              <w:top w:val="single" w:sz="12" w:space="0" w:color="D4D0C8"/>
              <w:left w:val="single" w:sz="12" w:space="0" w:color="7F7F7F"/>
              <w:bottom w:val="single" w:sz="12" w:space="0" w:color="D4D0C8"/>
              <w:right w:val="single" w:sz="8" w:space="0" w:color="7F7F7F"/>
            </w:tcBorders>
            <w:hideMark/>
          </w:tcPr>
          <w:p w:rsidR="00AB02F7" w:rsidRDefault="00AB02F7" w:rsidP="003B4BCE">
            <w:pPr>
              <w:widowControl w:val="0"/>
              <w:ind w:left="128"/>
              <w:rPr>
                <w:rFonts w:ascii="Calibri" w:hAnsi="Calibri"/>
                <w:sz w:val="24"/>
                <w:szCs w:val="24"/>
              </w:rPr>
            </w:pPr>
            <w:r>
              <w:rPr>
                <w:sz w:val="24"/>
                <w:szCs w:val="24"/>
              </w:rPr>
              <w:t>Ikke almindelig</w:t>
            </w:r>
          </w:p>
        </w:tc>
      </w:tr>
      <w:tr w:rsidR="00AB02F7" w:rsidTr="003B4BCE">
        <w:trPr>
          <w:gridAfter w:val="1"/>
          <w:wAfter w:w="31" w:type="dxa"/>
          <w:trHeight w:hRule="exact" w:val="576"/>
        </w:trPr>
        <w:tc>
          <w:tcPr>
            <w:tcW w:w="6676" w:type="dxa"/>
            <w:tcBorders>
              <w:top w:val="single" w:sz="12" w:space="0" w:color="D4D0C8"/>
              <w:left w:val="single" w:sz="8" w:space="0" w:color="D4D0C8"/>
              <w:bottom w:val="single" w:sz="12" w:space="0" w:color="7F7F7F"/>
              <w:right w:val="single" w:sz="12" w:space="0" w:color="7F7F7F"/>
            </w:tcBorders>
            <w:hideMark/>
          </w:tcPr>
          <w:p w:rsidR="00AB02F7" w:rsidRDefault="00AB02F7" w:rsidP="003B4BCE">
            <w:pPr>
              <w:widowControl w:val="0"/>
              <w:ind w:left="142"/>
              <w:rPr>
                <w:sz w:val="24"/>
                <w:szCs w:val="24"/>
              </w:rPr>
            </w:pPr>
            <w:r>
              <w:rPr>
                <w:spacing w:val="-1"/>
                <w:sz w:val="24"/>
                <w:szCs w:val="24"/>
              </w:rPr>
              <w:t>Urinvejsinfektion</w:t>
            </w:r>
          </w:p>
        </w:tc>
        <w:tc>
          <w:tcPr>
            <w:tcW w:w="1971" w:type="dxa"/>
            <w:gridSpan w:val="2"/>
            <w:tcBorders>
              <w:top w:val="single" w:sz="12" w:space="0" w:color="D4D0C8"/>
              <w:left w:val="single" w:sz="12" w:space="0" w:color="7F7F7F"/>
              <w:bottom w:val="single" w:sz="12" w:space="0" w:color="7F7F7F"/>
              <w:right w:val="single" w:sz="8" w:space="0" w:color="7F7F7F"/>
            </w:tcBorders>
            <w:hideMark/>
          </w:tcPr>
          <w:p w:rsidR="00AB02F7" w:rsidRDefault="00AB02F7" w:rsidP="003B4BCE">
            <w:pPr>
              <w:widowControl w:val="0"/>
              <w:ind w:left="128"/>
              <w:rPr>
                <w:sz w:val="24"/>
                <w:szCs w:val="24"/>
              </w:rPr>
            </w:pPr>
            <w:r>
              <w:rPr>
                <w:spacing w:val="-1"/>
                <w:sz w:val="24"/>
                <w:szCs w:val="24"/>
              </w:rPr>
              <w:t>Sjælden</w:t>
            </w:r>
          </w:p>
        </w:tc>
      </w:tr>
    </w:tbl>
    <w:p w:rsidR="00AB02F7" w:rsidRDefault="00AB02F7" w:rsidP="00AB02F7">
      <w:pPr>
        <w:autoSpaceDE w:val="0"/>
        <w:autoSpaceDN w:val="0"/>
        <w:adjustRightInd w:val="0"/>
        <w:ind w:left="851"/>
        <w:rPr>
          <w:sz w:val="24"/>
          <w:szCs w:val="24"/>
        </w:rPr>
      </w:pPr>
    </w:p>
    <w:p w:rsidR="00AB02F7" w:rsidRDefault="00AB02F7" w:rsidP="00AB02F7">
      <w:pPr>
        <w:autoSpaceDE w:val="0"/>
        <w:autoSpaceDN w:val="0"/>
        <w:adjustRightInd w:val="0"/>
        <w:ind w:left="851"/>
        <w:rPr>
          <w:sz w:val="24"/>
          <w:szCs w:val="24"/>
          <w:u w:val="single"/>
        </w:rPr>
      </w:pPr>
      <w:r>
        <w:rPr>
          <w:sz w:val="24"/>
          <w:szCs w:val="24"/>
          <w:u w:val="single"/>
        </w:rPr>
        <w:t>Beskrivelse af udvalgte bivirkninger</w:t>
      </w:r>
    </w:p>
    <w:p w:rsidR="00AB02F7" w:rsidRDefault="00AB02F7" w:rsidP="00AB02F7">
      <w:pPr>
        <w:autoSpaceDE w:val="0"/>
        <w:autoSpaceDN w:val="0"/>
        <w:adjustRightInd w:val="0"/>
        <w:ind w:left="851"/>
        <w:rPr>
          <w:sz w:val="24"/>
          <w:szCs w:val="24"/>
        </w:rPr>
      </w:pPr>
      <w:r>
        <w:rPr>
          <w:sz w:val="24"/>
          <w:szCs w:val="24"/>
        </w:rPr>
        <w:t xml:space="preserve">I de kontrollerede kliniske studier var de hyppigst observerede bivirkninger </w:t>
      </w:r>
      <w:proofErr w:type="spellStart"/>
      <w:r>
        <w:rPr>
          <w:sz w:val="24"/>
          <w:szCs w:val="24"/>
        </w:rPr>
        <w:t>antikolinerge</w:t>
      </w:r>
      <w:proofErr w:type="spellEnd"/>
      <w:r>
        <w:rPr>
          <w:sz w:val="24"/>
          <w:szCs w:val="24"/>
        </w:rPr>
        <w:t xml:space="preserve"> bivirkninger, f.eks. mundtørhed, som forekom hos </w:t>
      </w:r>
      <w:proofErr w:type="spellStart"/>
      <w:r>
        <w:rPr>
          <w:sz w:val="24"/>
          <w:szCs w:val="24"/>
        </w:rPr>
        <w:t>ca</w:t>
      </w:r>
      <w:proofErr w:type="spellEnd"/>
      <w:r>
        <w:rPr>
          <w:sz w:val="24"/>
          <w:szCs w:val="24"/>
        </w:rPr>
        <w:t xml:space="preserve"> 4 % af patienterne. </w:t>
      </w:r>
    </w:p>
    <w:p w:rsidR="00AB02F7" w:rsidRDefault="00AB02F7" w:rsidP="00AB02F7">
      <w:pPr>
        <w:autoSpaceDE w:val="0"/>
        <w:autoSpaceDN w:val="0"/>
        <w:adjustRightInd w:val="0"/>
        <w:ind w:left="851"/>
        <w:rPr>
          <w:sz w:val="24"/>
          <w:szCs w:val="24"/>
        </w:rPr>
      </w:pPr>
    </w:p>
    <w:p w:rsidR="00AB02F7" w:rsidRDefault="00AB02F7" w:rsidP="00AB02F7">
      <w:pPr>
        <w:autoSpaceDE w:val="0"/>
        <w:autoSpaceDN w:val="0"/>
        <w:adjustRightInd w:val="0"/>
        <w:ind w:left="851"/>
        <w:rPr>
          <w:sz w:val="24"/>
          <w:szCs w:val="24"/>
        </w:rPr>
      </w:pPr>
      <w:r>
        <w:rPr>
          <w:sz w:val="24"/>
          <w:szCs w:val="24"/>
        </w:rPr>
        <w:t xml:space="preserve">I de 28 kliniske studier medførte mundtørhed, at 18 ud af 9.647 </w:t>
      </w:r>
      <w:proofErr w:type="spellStart"/>
      <w:r>
        <w:rPr>
          <w:sz w:val="24"/>
          <w:szCs w:val="24"/>
        </w:rPr>
        <w:t>tiotropiumbehandlede</w:t>
      </w:r>
      <w:proofErr w:type="spellEnd"/>
      <w:r>
        <w:rPr>
          <w:sz w:val="24"/>
          <w:szCs w:val="24"/>
        </w:rPr>
        <w:t xml:space="preserve"> patienter (0,2 %) afbrød behandlingen.</w:t>
      </w:r>
    </w:p>
    <w:p w:rsidR="00AB02F7" w:rsidRDefault="00AB02F7" w:rsidP="00AB02F7">
      <w:pPr>
        <w:autoSpaceDE w:val="0"/>
        <w:autoSpaceDN w:val="0"/>
        <w:adjustRightInd w:val="0"/>
        <w:ind w:left="851"/>
        <w:rPr>
          <w:sz w:val="24"/>
          <w:szCs w:val="24"/>
        </w:rPr>
      </w:pPr>
    </w:p>
    <w:p w:rsidR="00AB02F7" w:rsidRDefault="00AB02F7" w:rsidP="00AB02F7">
      <w:pPr>
        <w:autoSpaceDE w:val="0"/>
        <w:autoSpaceDN w:val="0"/>
        <w:adjustRightInd w:val="0"/>
        <w:ind w:left="851"/>
        <w:rPr>
          <w:sz w:val="24"/>
          <w:szCs w:val="24"/>
        </w:rPr>
      </w:pPr>
      <w:r>
        <w:rPr>
          <w:sz w:val="24"/>
          <w:szCs w:val="24"/>
        </w:rPr>
        <w:t xml:space="preserve">Alvorlige bivirkninger, som egentlig er </w:t>
      </w:r>
      <w:proofErr w:type="spellStart"/>
      <w:r>
        <w:rPr>
          <w:sz w:val="24"/>
          <w:szCs w:val="24"/>
        </w:rPr>
        <w:t>antikolinerge</w:t>
      </w:r>
      <w:proofErr w:type="spellEnd"/>
      <w:r>
        <w:rPr>
          <w:sz w:val="24"/>
          <w:szCs w:val="24"/>
        </w:rPr>
        <w:t xml:space="preserve"> virkninger, omfatter </w:t>
      </w:r>
      <w:proofErr w:type="spellStart"/>
      <w:r>
        <w:rPr>
          <w:sz w:val="24"/>
          <w:szCs w:val="24"/>
        </w:rPr>
        <w:t>glaucom</w:t>
      </w:r>
      <w:proofErr w:type="spellEnd"/>
      <w:r>
        <w:rPr>
          <w:sz w:val="24"/>
          <w:szCs w:val="24"/>
        </w:rPr>
        <w:t xml:space="preserve">, obstipation og obstruktion af tarmene, herunder paralytisk </w:t>
      </w:r>
      <w:proofErr w:type="spellStart"/>
      <w:r>
        <w:rPr>
          <w:sz w:val="24"/>
          <w:szCs w:val="24"/>
        </w:rPr>
        <w:t>ileus</w:t>
      </w:r>
      <w:proofErr w:type="spellEnd"/>
      <w:r>
        <w:rPr>
          <w:sz w:val="24"/>
          <w:szCs w:val="24"/>
        </w:rPr>
        <w:t xml:space="preserve"> samt urinretention. </w:t>
      </w:r>
    </w:p>
    <w:p w:rsidR="00AB02F7" w:rsidRDefault="00AB02F7" w:rsidP="00AB02F7">
      <w:pPr>
        <w:autoSpaceDE w:val="0"/>
        <w:autoSpaceDN w:val="0"/>
        <w:adjustRightInd w:val="0"/>
        <w:ind w:left="851"/>
        <w:rPr>
          <w:sz w:val="24"/>
          <w:szCs w:val="24"/>
        </w:rPr>
      </w:pPr>
    </w:p>
    <w:p w:rsidR="00AB02F7" w:rsidRDefault="00AB02F7" w:rsidP="00AB02F7">
      <w:pPr>
        <w:autoSpaceDE w:val="0"/>
        <w:autoSpaceDN w:val="0"/>
        <w:adjustRightInd w:val="0"/>
        <w:ind w:left="851"/>
        <w:rPr>
          <w:sz w:val="24"/>
          <w:szCs w:val="24"/>
          <w:u w:val="single"/>
        </w:rPr>
      </w:pPr>
      <w:r>
        <w:rPr>
          <w:sz w:val="24"/>
          <w:szCs w:val="24"/>
          <w:u w:val="single"/>
        </w:rPr>
        <w:t>Andre specielle populationer</w:t>
      </w:r>
    </w:p>
    <w:p w:rsidR="00AB02F7" w:rsidRDefault="00AB02F7" w:rsidP="00AB02F7">
      <w:pPr>
        <w:autoSpaceDE w:val="0"/>
        <w:autoSpaceDN w:val="0"/>
        <w:adjustRightInd w:val="0"/>
        <w:ind w:left="851"/>
        <w:rPr>
          <w:sz w:val="24"/>
          <w:szCs w:val="24"/>
        </w:rPr>
      </w:pPr>
      <w:r>
        <w:rPr>
          <w:sz w:val="24"/>
          <w:szCs w:val="24"/>
        </w:rPr>
        <w:t xml:space="preserve">Med stigende alder kan forekomsten af </w:t>
      </w:r>
      <w:proofErr w:type="spellStart"/>
      <w:r>
        <w:rPr>
          <w:sz w:val="24"/>
          <w:szCs w:val="24"/>
        </w:rPr>
        <w:t>antikolinerge</w:t>
      </w:r>
      <w:proofErr w:type="spellEnd"/>
      <w:r>
        <w:rPr>
          <w:sz w:val="24"/>
          <w:szCs w:val="24"/>
        </w:rPr>
        <w:t xml:space="preserve"> bivirkninger øges.</w:t>
      </w:r>
    </w:p>
    <w:p w:rsidR="00AB02F7" w:rsidRDefault="00AB02F7" w:rsidP="00AB02F7">
      <w:pPr>
        <w:autoSpaceDE w:val="0"/>
        <w:autoSpaceDN w:val="0"/>
        <w:adjustRightInd w:val="0"/>
        <w:ind w:left="851"/>
        <w:rPr>
          <w:sz w:val="24"/>
          <w:szCs w:val="24"/>
        </w:rPr>
      </w:pPr>
    </w:p>
    <w:p w:rsidR="00AB02F7" w:rsidRPr="008F49E1" w:rsidRDefault="00AB02F7" w:rsidP="00AB02F7">
      <w:pPr>
        <w:autoSpaceDE w:val="0"/>
        <w:autoSpaceDN w:val="0"/>
        <w:ind w:left="851"/>
        <w:rPr>
          <w:sz w:val="24"/>
          <w:szCs w:val="24"/>
          <w:u w:val="single"/>
          <w:lang w:eastAsia="da-DK"/>
        </w:rPr>
      </w:pPr>
      <w:r w:rsidRPr="008F49E1">
        <w:rPr>
          <w:sz w:val="24"/>
          <w:szCs w:val="24"/>
          <w:u w:val="single"/>
          <w:lang w:eastAsia="da-DK"/>
        </w:rPr>
        <w:t>Indberetning af formodede bivirkninger</w:t>
      </w:r>
    </w:p>
    <w:p w:rsidR="00AB02F7" w:rsidRPr="008F49E1" w:rsidRDefault="00AB02F7" w:rsidP="00AB02F7">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6737D5">
        <w:rPr>
          <w:sz w:val="24"/>
          <w:szCs w:val="24"/>
          <w:lang w:eastAsia="da-DK"/>
        </w:rPr>
        <w:t>S</w:t>
      </w:r>
      <w:r w:rsidRPr="008F49E1">
        <w:rPr>
          <w:sz w:val="24"/>
          <w:szCs w:val="24"/>
          <w:lang w:eastAsia="da-DK"/>
        </w:rPr>
        <w:t>undhedsperson</w:t>
      </w:r>
      <w:r w:rsidR="006737D5">
        <w:rPr>
          <w:sz w:val="24"/>
          <w:szCs w:val="24"/>
          <w:lang w:eastAsia="da-DK"/>
        </w:rPr>
        <w:t>er</w:t>
      </w:r>
      <w:r w:rsidRPr="008F49E1">
        <w:rPr>
          <w:sz w:val="24"/>
          <w:szCs w:val="24"/>
          <w:lang w:eastAsia="da-DK"/>
        </w:rPr>
        <w:t xml:space="preserve"> anmodes om at indberette alle formodede bivirkninger via:</w:t>
      </w:r>
    </w:p>
    <w:p w:rsidR="00AB02F7" w:rsidRPr="008F49E1" w:rsidRDefault="00AB02F7" w:rsidP="00AB02F7">
      <w:pPr>
        <w:ind w:left="851"/>
        <w:rPr>
          <w:sz w:val="24"/>
          <w:szCs w:val="24"/>
          <w:lang w:eastAsia="da-DK"/>
        </w:rPr>
      </w:pPr>
    </w:p>
    <w:p w:rsidR="00AB02F7" w:rsidRPr="007A276A" w:rsidRDefault="00AB02F7" w:rsidP="00AB02F7">
      <w:pPr>
        <w:ind w:left="851"/>
        <w:rPr>
          <w:sz w:val="24"/>
          <w:szCs w:val="24"/>
          <w:lang w:eastAsia="da-DK"/>
        </w:rPr>
      </w:pPr>
      <w:r w:rsidRPr="007A276A">
        <w:rPr>
          <w:sz w:val="24"/>
          <w:szCs w:val="24"/>
          <w:lang w:eastAsia="da-DK"/>
        </w:rPr>
        <w:t>Lægemiddelstyrelsen</w:t>
      </w:r>
    </w:p>
    <w:p w:rsidR="00AB02F7" w:rsidRPr="007A276A" w:rsidRDefault="00AB02F7" w:rsidP="00AB02F7">
      <w:pPr>
        <w:ind w:left="851"/>
        <w:rPr>
          <w:sz w:val="24"/>
          <w:szCs w:val="24"/>
          <w:lang w:eastAsia="da-DK"/>
        </w:rPr>
      </w:pPr>
      <w:r w:rsidRPr="007A276A">
        <w:rPr>
          <w:sz w:val="24"/>
          <w:szCs w:val="24"/>
          <w:lang w:eastAsia="da-DK"/>
        </w:rPr>
        <w:t>Axel Heides Gade 1</w:t>
      </w:r>
    </w:p>
    <w:p w:rsidR="00AB02F7" w:rsidRPr="007A276A" w:rsidRDefault="00AB02F7" w:rsidP="00AB02F7">
      <w:pPr>
        <w:ind w:left="851"/>
        <w:rPr>
          <w:sz w:val="24"/>
          <w:szCs w:val="24"/>
          <w:lang w:eastAsia="da-DK"/>
        </w:rPr>
      </w:pPr>
      <w:r w:rsidRPr="007A276A">
        <w:rPr>
          <w:sz w:val="24"/>
          <w:szCs w:val="24"/>
          <w:lang w:eastAsia="da-DK"/>
        </w:rPr>
        <w:t>DK-2300 København S</w:t>
      </w:r>
    </w:p>
    <w:p w:rsidR="00AB02F7" w:rsidRPr="00E7285B" w:rsidRDefault="00AB02F7" w:rsidP="00AB02F7">
      <w:pPr>
        <w:ind w:left="851"/>
        <w:rPr>
          <w:sz w:val="24"/>
          <w:szCs w:val="24"/>
          <w:lang w:eastAsia="da-DK"/>
        </w:rPr>
      </w:pPr>
      <w:r w:rsidRPr="00E7285B">
        <w:rPr>
          <w:sz w:val="24"/>
          <w:szCs w:val="24"/>
          <w:lang w:eastAsia="da-DK"/>
        </w:rPr>
        <w:t xml:space="preserve">Websted: </w:t>
      </w:r>
      <w:hyperlink r:id="rId21" w:history="1">
        <w:r w:rsidR="002F4C60" w:rsidRPr="00FA21B9">
          <w:rPr>
            <w:rStyle w:val="Hyperlink"/>
            <w:sz w:val="24"/>
            <w:lang w:eastAsia="da-DK"/>
          </w:rPr>
          <w:t>www.meldenbivirkning.dk</w:t>
        </w:r>
      </w:hyperlink>
      <w:r w:rsidR="002F4C60">
        <w:rPr>
          <w:sz w:val="24"/>
          <w:lang w:eastAsia="da-DK"/>
        </w:rPr>
        <w:t xml:space="preserve"> </w:t>
      </w:r>
    </w:p>
    <w:p w:rsidR="00AB02F7" w:rsidRPr="00E7285B" w:rsidRDefault="00AB02F7" w:rsidP="00AB02F7">
      <w:pPr>
        <w:rPr>
          <w:sz w:val="24"/>
          <w:szCs w:val="24"/>
          <w:lang w:eastAsia="da-DK"/>
        </w:rPr>
      </w:pPr>
      <w:r w:rsidRPr="00E7285B">
        <w:rPr>
          <w:szCs w:val="24"/>
        </w:rPr>
        <w:br w:type="page"/>
      </w:r>
    </w:p>
    <w:p w:rsidR="00AB02F7" w:rsidRPr="00E7285B" w:rsidRDefault="00AB02F7" w:rsidP="00AB02F7">
      <w:pPr>
        <w:pStyle w:val="Sidehoved"/>
        <w:tabs>
          <w:tab w:val="left" w:pos="851"/>
        </w:tabs>
        <w:ind w:left="851"/>
        <w:rPr>
          <w:szCs w:val="24"/>
        </w:rPr>
      </w:pPr>
    </w:p>
    <w:p w:rsidR="00AB02F7" w:rsidRPr="00C84483" w:rsidRDefault="00AB02F7" w:rsidP="00AB02F7">
      <w:pPr>
        <w:tabs>
          <w:tab w:val="left" w:pos="851"/>
        </w:tabs>
        <w:ind w:left="851" w:hanging="851"/>
        <w:rPr>
          <w:b/>
          <w:sz w:val="24"/>
          <w:szCs w:val="24"/>
        </w:rPr>
      </w:pPr>
      <w:r w:rsidRPr="00C84483">
        <w:rPr>
          <w:b/>
          <w:sz w:val="24"/>
          <w:szCs w:val="24"/>
        </w:rPr>
        <w:t>4.9</w:t>
      </w:r>
      <w:r w:rsidRPr="00C84483">
        <w:rPr>
          <w:b/>
          <w:sz w:val="24"/>
          <w:szCs w:val="24"/>
        </w:rPr>
        <w:tab/>
        <w:t>Overdosering</w:t>
      </w:r>
    </w:p>
    <w:p w:rsidR="00AB02F7" w:rsidRDefault="00AB02F7" w:rsidP="00AB02F7">
      <w:pPr>
        <w:ind w:left="851"/>
        <w:rPr>
          <w:sz w:val="24"/>
          <w:szCs w:val="24"/>
        </w:rPr>
      </w:pPr>
      <w:r>
        <w:rPr>
          <w:sz w:val="24"/>
          <w:szCs w:val="24"/>
        </w:rPr>
        <w:t xml:space="preserve">Høje doser </w:t>
      </w:r>
      <w:proofErr w:type="spellStart"/>
      <w:r>
        <w:rPr>
          <w:sz w:val="24"/>
          <w:szCs w:val="24"/>
        </w:rPr>
        <w:t>tiotropiumbromid</w:t>
      </w:r>
      <w:proofErr w:type="spellEnd"/>
      <w:r>
        <w:rPr>
          <w:sz w:val="24"/>
          <w:szCs w:val="24"/>
        </w:rPr>
        <w:t xml:space="preserve"> kan føre til </w:t>
      </w:r>
      <w:proofErr w:type="spellStart"/>
      <w:r>
        <w:rPr>
          <w:sz w:val="24"/>
          <w:szCs w:val="24"/>
        </w:rPr>
        <w:t>antikolinerge</w:t>
      </w:r>
      <w:proofErr w:type="spellEnd"/>
      <w:r>
        <w:rPr>
          <w:sz w:val="24"/>
          <w:szCs w:val="24"/>
        </w:rPr>
        <w:t xml:space="preserve"> virkninger og symptomer.</w:t>
      </w:r>
    </w:p>
    <w:p w:rsidR="00AB02F7" w:rsidRDefault="00AB02F7" w:rsidP="00AB02F7">
      <w:pPr>
        <w:ind w:left="851" w:hanging="851"/>
        <w:rPr>
          <w:sz w:val="24"/>
          <w:szCs w:val="24"/>
        </w:rPr>
      </w:pPr>
    </w:p>
    <w:p w:rsidR="00AB02F7" w:rsidRDefault="00AB02F7" w:rsidP="00AB02F7">
      <w:pPr>
        <w:ind w:left="851"/>
        <w:rPr>
          <w:sz w:val="24"/>
          <w:szCs w:val="24"/>
        </w:rPr>
      </w:pPr>
      <w:r>
        <w:rPr>
          <w:sz w:val="24"/>
          <w:szCs w:val="24"/>
        </w:rPr>
        <w:t xml:space="preserve">Hos raske, frivillige forsøgspersoner sås dog ingen systemiske </w:t>
      </w:r>
      <w:proofErr w:type="spellStart"/>
      <w:r>
        <w:rPr>
          <w:sz w:val="24"/>
          <w:szCs w:val="24"/>
        </w:rPr>
        <w:t>antikolinerge</w:t>
      </w:r>
      <w:proofErr w:type="spellEnd"/>
      <w:r>
        <w:rPr>
          <w:sz w:val="24"/>
          <w:szCs w:val="24"/>
        </w:rPr>
        <w:t xml:space="preserve"> bivirkninger efter en enkelt inhaleret dosis på op til 340 mikrogram </w:t>
      </w:r>
      <w:proofErr w:type="spellStart"/>
      <w:r>
        <w:rPr>
          <w:sz w:val="24"/>
          <w:szCs w:val="24"/>
        </w:rPr>
        <w:t>tiotropiumbromid</w:t>
      </w:r>
      <w:proofErr w:type="spellEnd"/>
      <w:r>
        <w:rPr>
          <w:sz w:val="24"/>
          <w:szCs w:val="24"/>
        </w:rPr>
        <w:t xml:space="preserve">. Der sås heller ingen relevante bivirkninger ud over mundtørhed efter 7 dage med en dosering på op til 170 mikrogram </w:t>
      </w:r>
      <w:proofErr w:type="spellStart"/>
      <w:r>
        <w:rPr>
          <w:sz w:val="24"/>
          <w:szCs w:val="24"/>
        </w:rPr>
        <w:t>tiotropiumbromid</w:t>
      </w:r>
      <w:proofErr w:type="spellEnd"/>
      <w:r>
        <w:rPr>
          <w:sz w:val="24"/>
          <w:szCs w:val="24"/>
        </w:rPr>
        <w:t xml:space="preserve"> hos raske, frivillige forsøgspersoner. I et multidosisforsøg med KOL-patienter med en maksimal daglig dosis på 43 mikrogram </w:t>
      </w:r>
      <w:proofErr w:type="spellStart"/>
      <w:r>
        <w:rPr>
          <w:sz w:val="24"/>
          <w:szCs w:val="24"/>
        </w:rPr>
        <w:t>tiotropiumbromid</w:t>
      </w:r>
      <w:proofErr w:type="spellEnd"/>
      <w:r>
        <w:rPr>
          <w:sz w:val="24"/>
          <w:szCs w:val="24"/>
        </w:rPr>
        <w:t xml:space="preserve"> givet i 4 uger sås ingen signifikante bivirkninger.</w:t>
      </w:r>
    </w:p>
    <w:p w:rsidR="00AB02F7" w:rsidRDefault="00AB02F7" w:rsidP="00AB02F7">
      <w:pPr>
        <w:ind w:left="851" w:hanging="851"/>
        <w:rPr>
          <w:sz w:val="24"/>
          <w:szCs w:val="24"/>
        </w:rPr>
      </w:pPr>
    </w:p>
    <w:p w:rsidR="00AB02F7" w:rsidRDefault="00AB02F7" w:rsidP="00AB02F7">
      <w:pPr>
        <w:ind w:left="851"/>
        <w:rPr>
          <w:sz w:val="24"/>
          <w:szCs w:val="24"/>
        </w:rPr>
      </w:pPr>
      <w:r>
        <w:rPr>
          <w:sz w:val="24"/>
          <w:szCs w:val="24"/>
        </w:rPr>
        <w:t xml:space="preserve">På grund af lav oral biotilgængelighed er akut forgiftning ved utilsigtet oral indtagelse af </w:t>
      </w:r>
      <w:proofErr w:type="spellStart"/>
      <w:r>
        <w:rPr>
          <w:sz w:val="24"/>
          <w:szCs w:val="24"/>
        </w:rPr>
        <w:t>tiotropiumbromid</w:t>
      </w:r>
      <w:proofErr w:type="spellEnd"/>
      <w:r>
        <w:rPr>
          <w:sz w:val="24"/>
          <w:szCs w:val="24"/>
        </w:rPr>
        <w:t>-kapsler usandsynlig.</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4.10</w:t>
      </w:r>
      <w:r w:rsidRPr="00C84483">
        <w:rPr>
          <w:b/>
          <w:sz w:val="24"/>
          <w:szCs w:val="24"/>
        </w:rPr>
        <w:tab/>
        <w:t>Udlevering</w:t>
      </w:r>
    </w:p>
    <w:p w:rsidR="00AB02F7" w:rsidRPr="00C84483" w:rsidRDefault="00AB02F7" w:rsidP="00AB02F7">
      <w:pPr>
        <w:tabs>
          <w:tab w:val="left" w:pos="851"/>
        </w:tabs>
        <w:ind w:left="851"/>
        <w:rPr>
          <w:sz w:val="24"/>
          <w:szCs w:val="24"/>
        </w:rPr>
      </w:pPr>
      <w:r>
        <w:rPr>
          <w:sz w:val="24"/>
          <w:szCs w:val="24"/>
        </w:rPr>
        <w:t>B</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AB02F7" w:rsidRDefault="00AB02F7" w:rsidP="00AB02F7">
      <w:pPr>
        <w:suppressAutoHyphens/>
        <w:ind w:left="851"/>
        <w:rPr>
          <w:sz w:val="24"/>
          <w:szCs w:val="24"/>
        </w:rPr>
      </w:pPr>
      <w:r>
        <w:rPr>
          <w:sz w:val="24"/>
          <w:szCs w:val="24"/>
        </w:rPr>
        <w:t xml:space="preserve">ATC-kode: R 03 BB 04. Andre lægemiddelstoffer til obstruktive luftvejssygdomme, inhalationsmidler, </w:t>
      </w:r>
      <w:proofErr w:type="spellStart"/>
      <w:r>
        <w:rPr>
          <w:sz w:val="24"/>
          <w:szCs w:val="24"/>
        </w:rPr>
        <w:t>antikolinergika</w:t>
      </w:r>
      <w:proofErr w:type="spellEnd"/>
      <w:r>
        <w:rPr>
          <w:sz w:val="24"/>
          <w:szCs w:val="24"/>
        </w:rPr>
        <w:t>.</w:t>
      </w:r>
    </w:p>
    <w:p w:rsidR="00AB02F7" w:rsidRPr="00C84483" w:rsidRDefault="00AB02F7" w:rsidP="00AB02F7">
      <w:pPr>
        <w:tabs>
          <w:tab w:val="left" w:pos="851"/>
        </w:tabs>
        <w:ind w:left="851"/>
        <w:rPr>
          <w:sz w:val="24"/>
          <w:szCs w:val="24"/>
        </w:rPr>
      </w:pPr>
    </w:p>
    <w:p w:rsidR="00AB02F7" w:rsidRPr="00C84483" w:rsidRDefault="00AB02F7" w:rsidP="00AB02F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B02F7" w:rsidRDefault="00AB02F7" w:rsidP="00AB02F7">
      <w:pPr>
        <w:ind w:left="851"/>
        <w:rPr>
          <w:sz w:val="24"/>
          <w:szCs w:val="24"/>
          <w:u w:val="single"/>
        </w:rPr>
      </w:pPr>
    </w:p>
    <w:p w:rsidR="00AB02F7" w:rsidRDefault="00AB02F7" w:rsidP="00AB02F7">
      <w:pPr>
        <w:ind w:left="851"/>
        <w:rPr>
          <w:b/>
          <w:sz w:val="24"/>
          <w:szCs w:val="24"/>
          <w:u w:val="single"/>
        </w:rPr>
      </w:pPr>
      <w:r>
        <w:rPr>
          <w:sz w:val="24"/>
          <w:szCs w:val="24"/>
          <w:u w:val="single"/>
        </w:rPr>
        <w:t>Virkningsmekanisme</w:t>
      </w:r>
    </w:p>
    <w:p w:rsidR="00AB02F7" w:rsidRDefault="00AB02F7" w:rsidP="00AB02F7">
      <w:pPr>
        <w:ind w:left="851"/>
        <w:rPr>
          <w:sz w:val="24"/>
          <w:szCs w:val="24"/>
        </w:rPr>
      </w:pPr>
      <w:proofErr w:type="spellStart"/>
      <w:r>
        <w:rPr>
          <w:sz w:val="24"/>
          <w:szCs w:val="24"/>
        </w:rPr>
        <w:t>Tiotropiumbromid</w:t>
      </w:r>
      <w:proofErr w:type="spellEnd"/>
      <w:r>
        <w:rPr>
          <w:sz w:val="24"/>
          <w:szCs w:val="24"/>
        </w:rPr>
        <w:t xml:space="preserve"> er en langtidsvirkende, specifik </w:t>
      </w:r>
      <w:proofErr w:type="spellStart"/>
      <w:r>
        <w:rPr>
          <w:sz w:val="24"/>
          <w:szCs w:val="24"/>
        </w:rPr>
        <w:t>muscarin</w:t>
      </w:r>
      <w:proofErr w:type="spellEnd"/>
      <w:r>
        <w:rPr>
          <w:sz w:val="24"/>
          <w:szCs w:val="24"/>
        </w:rPr>
        <w:t xml:space="preserve">-receptorantagonist, i klinikken ofte benævnt som et </w:t>
      </w:r>
      <w:proofErr w:type="spellStart"/>
      <w:r>
        <w:rPr>
          <w:sz w:val="24"/>
          <w:szCs w:val="24"/>
        </w:rPr>
        <w:t>antikolinergikum</w:t>
      </w:r>
      <w:proofErr w:type="spellEnd"/>
      <w:r>
        <w:rPr>
          <w:sz w:val="24"/>
          <w:szCs w:val="24"/>
        </w:rPr>
        <w:t xml:space="preserve">. Ved at binde sig til de </w:t>
      </w:r>
      <w:proofErr w:type="spellStart"/>
      <w:r>
        <w:rPr>
          <w:sz w:val="24"/>
          <w:szCs w:val="24"/>
        </w:rPr>
        <w:t>muskarine</w:t>
      </w:r>
      <w:proofErr w:type="spellEnd"/>
      <w:r>
        <w:rPr>
          <w:sz w:val="24"/>
          <w:szCs w:val="24"/>
        </w:rPr>
        <w:t xml:space="preserve"> receptorer i </w:t>
      </w:r>
      <w:proofErr w:type="spellStart"/>
      <w:r>
        <w:rPr>
          <w:sz w:val="24"/>
          <w:szCs w:val="24"/>
        </w:rPr>
        <w:t>brokiernes</w:t>
      </w:r>
      <w:proofErr w:type="spellEnd"/>
      <w:r>
        <w:rPr>
          <w:sz w:val="24"/>
          <w:szCs w:val="24"/>
        </w:rPr>
        <w:t xml:space="preserve"> glatte muskulatur hæmmes den </w:t>
      </w:r>
      <w:proofErr w:type="spellStart"/>
      <w:r>
        <w:rPr>
          <w:sz w:val="24"/>
          <w:szCs w:val="24"/>
        </w:rPr>
        <w:t>kolinerge</w:t>
      </w:r>
      <w:proofErr w:type="spellEnd"/>
      <w:r>
        <w:rPr>
          <w:sz w:val="24"/>
          <w:szCs w:val="24"/>
        </w:rPr>
        <w:t xml:space="preserve"> (</w:t>
      </w:r>
      <w:proofErr w:type="spellStart"/>
      <w:r>
        <w:rPr>
          <w:sz w:val="24"/>
          <w:szCs w:val="24"/>
        </w:rPr>
        <w:t>bronkokontriktive</w:t>
      </w:r>
      <w:proofErr w:type="spellEnd"/>
      <w:r>
        <w:rPr>
          <w:sz w:val="24"/>
          <w:szCs w:val="24"/>
        </w:rPr>
        <w:t>) effekt af acetylkolin frigivet fra de parasympatiske nerveender. Det har sammenlignelig affinitet over for undertyperne M</w:t>
      </w:r>
      <w:r>
        <w:rPr>
          <w:sz w:val="24"/>
          <w:szCs w:val="24"/>
          <w:vertAlign w:val="subscript"/>
        </w:rPr>
        <w:t>1</w:t>
      </w:r>
      <w:r>
        <w:rPr>
          <w:sz w:val="24"/>
          <w:szCs w:val="24"/>
        </w:rPr>
        <w:t>-M</w:t>
      </w:r>
      <w:r>
        <w:rPr>
          <w:sz w:val="24"/>
          <w:szCs w:val="24"/>
          <w:vertAlign w:val="subscript"/>
        </w:rPr>
        <w:t>5</w:t>
      </w:r>
      <w:r>
        <w:rPr>
          <w:sz w:val="24"/>
          <w:szCs w:val="24"/>
        </w:rPr>
        <w:t xml:space="preserve">. I luftvejene binder </w:t>
      </w:r>
      <w:proofErr w:type="spellStart"/>
      <w:r>
        <w:rPr>
          <w:sz w:val="24"/>
          <w:szCs w:val="24"/>
        </w:rPr>
        <w:t>tiotropiumbromid</w:t>
      </w:r>
      <w:proofErr w:type="spellEnd"/>
      <w:r>
        <w:rPr>
          <w:sz w:val="24"/>
          <w:szCs w:val="24"/>
        </w:rPr>
        <w:t xml:space="preserve"> sig </w:t>
      </w:r>
      <w:proofErr w:type="spellStart"/>
      <w:r>
        <w:rPr>
          <w:sz w:val="24"/>
          <w:szCs w:val="24"/>
        </w:rPr>
        <w:t>kompetitivt</w:t>
      </w:r>
      <w:proofErr w:type="spellEnd"/>
      <w:r>
        <w:rPr>
          <w:sz w:val="24"/>
          <w:szCs w:val="24"/>
        </w:rPr>
        <w:t xml:space="preserve"> og reversibelt til M</w:t>
      </w:r>
      <w:r>
        <w:rPr>
          <w:sz w:val="24"/>
          <w:szCs w:val="24"/>
          <w:vertAlign w:val="subscript"/>
        </w:rPr>
        <w:t>3</w:t>
      </w:r>
      <w:r>
        <w:rPr>
          <w:sz w:val="24"/>
          <w:szCs w:val="24"/>
        </w:rPr>
        <w:t xml:space="preserve">-receptorerne, hvilket resulterer i en relaksation af den glatte bronkiemuskulatur. Virkningen er dosisafhængig og varer mere end 24 timer. </w:t>
      </w:r>
      <w:proofErr w:type="spellStart"/>
      <w:r>
        <w:rPr>
          <w:sz w:val="24"/>
          <w:szCs w:val="24"/>
        </w:rPr>
        <w:t>Tiotropiums</w:t>
      </w:r>
      <w:proofErr w:type="spellEnd"/>
      <w:r>
        <w:rPr>
          <w:sz w:val="24"/>
          <w:szCs w:val="24"/>
        </w:rPr>
        <w:t xml:space="preserve"> lange virkningstid skyldes formodentlig, at dissociationen fra M</w:t>
      </w:r>
      <w:r>
        <w:rPr>
          <w:sz w:val="24"/>
          <w:szCs w:val="24"/>
          <w:vertAlign w:val="subscript"/>
        </w:rPr>
        <w:t>3</w:t>
      </w:r>
      <w:r>
        <w:rPr>
          <w:sz w:val="24"/>
          <w:szCs w:val="24"/>
        </w:rPr>
        <w:t xml:space="preserve">-receptorerne er meget langsom med en væsentlig længere dissociationshalveringstid end </w:t>
      </w:r>
      <w:proofErr w:type="spellStart"/>
      <w:r>
        <w:rPr>
          <w:sz w:val="24"/>
          <w:szCs w:val="24"/>
        </w:rPr>
        <w:t>ipratropiums</w:t>
      </w:r>
      <w:proofErr w:type="spellEnd"/>
      <w:r>
        <w:rPr>
          <w:sz w:val="24"/>
          <w:szCs w:val="24"/>
        </w:rPr>
        <w:t xml:space="preserve">. Som et N-kvaternært </w:t>
      </w:r>
      <w:proofErr w:type="spellStart"/>
      <w:r>
        <w:rPr>
          <w:sz w:val="24"/>
          <w:szCs w:val="24"/>
        </w:rPr>
        <w:t>antikolinergikum</w:t>
      </w:r>
      <w:proofErr w:type="spellEnd"/>
      <w:r>
        <w:rPr>
          <w:sz w:val="24"/>
          <w:szCs w:val="24"/>
        </w:rPr>
        <w:t xml:space="preserve"> er </w:t>
      </w:r>
      <w:proofErr w:type="spellStart"/>
      <w:r>
        <w:rPr>
          <w:sz w:val="24"/>
          <w:szCs w:val="24"/>
        </w:rPr>
        <w:t>tiotropiumbromid</w:t>
      </w:r>
      <w:proofErr w:type="spellEnd"/>
      <w:r>
        <w:rPr>
          <w:sz w:val="24"/>
          <w:szCs w:val="24"/>
        </w:rPr>
        <w:t xml:space="preserve"> </w:t>
      </w:r>
      <w:proofErr w:type="spellStart"/>
      <w:r>
        <w:rPr>
          <w:sz w:val="24"/>
          <w:szCs w:val="24"/>
        </w:rPr>
        <w:t>topikalt</w:t>
      </w:r>
      <w:proofErr w:type="spellEnd"/>
      <w:r>
        <w:rPr>
          <w:sz w:val="24"/>
          <w:szCs w:val="24"/>
        </w:rPr>
        <w:t xml:space="preserve"> (</w:t>
      </w:r>
      <w:proofErr w:type="spellStart"/>
      <w:r>
        <w:rPr>
          <w:sz w:val="24"/>
          <w:szCs w:val="24"/>
        </w:rPr>
        <w:t>bronko</w:t>
      </w:r>
      <w:proofErr w:type="spellEnd"/>
      <w:r>
        <w:rPr>
          <w:sz w:val="24"/>
          <w:szCs w:val="24"/>
        </w:rPr>
        <w:t xml:space="preserve">-) selektivt, når det gives ved inhalation og viser et acceptabelt, terapeutisk interval, før systemisk </w:t>
      </w:r>
      <w:proofErr w:type="spellStart"/>
      <w:r>
        <w:rPr>
          <w:sz w:val="24"/>
          <w:szCs w:val="24"/>
        </w:rPr>
        <w:t>antikolinerg</w:t>
      </w:r>
      <w:proofErr w:type="spellEnd"/>
      <w:r>
        <w:rPr>
          <w:sz w:val="24"/>
          <w:szCs w:val="24"/>
        </w:rPr>
        <w:t xml:space="preserve"> virkning kan forekomme. </w:t>
      </w:r>
    </w:p>
    <w:p w:rsidR="00AB02F7" w:rsidRDefault="00AB02F7" w:rsidP="00AB02F7">
      <w:pPr>
        <w:suppressAutoHyphens/>
        <w:ind w:left="851"/>
        <w:rPr>
          <w:sz w:val="24"/>
          <w:szCs w:val="24"/>
        </w:rPr>
      </w:pPr>
    </w:p>
    <w:p w:rsidR="00AB02F7" w:rsidRDefault="00AB02F7" w:rsidP="00AB02F7">
      <w:pPr>
        <w:ind w:left="851"/>
        <w:rPr>
          <w:sz w:val="24"/>
          <w:szCs w:val="24"/>
          <w:u w:val="single"/>
        </w:rPr>
      </w:pPr>
      <w:proofErr w:type="spellStart"/>
      <w:r>
        <w:rPr>
          <w:sz w:val="24"/>
          <w:szCs w:val="24"/>
          <w:u w:val="single"/>
        </w:rPr>
        <w:t>Farmakodynamisk</w:t>
      </w:r>
      <w:proofErr w:type="spellEnd"/>
      <w:r>
        <w:rPr>
          <w:sz w:val="24"/>
          <w:szCs w:val="24"/>
          <w:u w:val="single"/>
        </w:rPr>
        <w:t xml:space="preserve"> virkning</w:t>
      </w:r>
    </w:p>
    <w:p w:rsidR="00AB02F7" w:rsidRDefault="00AB02F7" w:rsidP="00AB02F7">
      <w:pPr>
        <w:ind w:left="851"/>
        <w:rPr>
          <w:sz w:val="24"/>
          <w:szCs w:val="24"/>
        </w:rPr>
      </w:pPr>
      <w:proofErr w:type="spellStart"/>
      <w:r>
        <w:rPr>
          <w:sz w:val="24"/>
          <w:szCs w:val="24"/>
        </w:rPr>
        <w:t>Bronkodilatationen</w:t>
      </w:r>
      <w:proofErr w:type="spellEnd"/>
      <w:r>
        <w:rPr>
          <w:sz w:val="24"/>
          <w:szCs w:val="24"/>
        </w:rPr>
        <w:t xml:space="preserve"> er primært en lokal virkning (på luftvejene) snarere end en systemisk virkning. Dissociation fra M</w:t>
      </w:r>
      <w:r>
        <w:rPr>
          <w:sz w:val="24"/>
          <w:szCs w:val="24"/>
          <w:vertAlign w:val="subscript"/>
        </w:rPr>
        <w:t>2</w:t>
      </w:r>
      <w:r>
        <w:rPr>
          <w:sz w:val="24"/>
          <w:szCs w:val="24"/>
        </w:rPr>
        <w:t>-receptorer er hurtigere end fra M</w:t>
      </w:r>
      <w:r>
        <w:rPr>
          <w:sz w:val="24"/>
          <w:szCs w:val="24"/>
          <w:vertAlign w:val="subscript"/>
        </w:rPr>
        <w:t>3</w:t>
      </w:r>
      <w:r>
        <w:rPr>
          <w:sz w:val="24"/>
          <w:szCs w:val="24"/>
        </w:rPr>
        <w:t xml:space="preserve">-receptorer, som i funktionelle </w:t>
      </w:r>
      <w:r>
        <w:rPr>
          <w:i/>
          <w:sz w:val="24"/>
          <w:szCs w:val="24"/>
        </w:rPr>
        <w:t xml:space="preserve">in </w:t>
      </w:r>
      <w:proofErr w:type="spellStart"/>
      <w:r>
        <w:rPr>
          <w:i/>
          <w:sz w:val="24"/>
          <w:szCs w:val="24"/>
        </w:rPr>
        <w:t>vitro</w:t>
      </w:r>
      <w:proofErr w:type="spellEnd"/>
      <w:r>
        <w:rPr>
          <w:sz w:val="24"/>
          <w:szCs w:val="24"/>
        </w:rPr>
        <w:t>-forsøg (med kinetisk kontrol) udviste en receptor-undertype-selektivitet for M</w:t>
      </w:r>
      <w:r>
        <w:rPr>
          <w:sz w:val="24"/>
          <w:szCs w:val="24"/>
          <w:vertAlign w:val="subscript"/>
        </w:rPr>
        <w:t>3</w:t>
      </w:r>
      <w:r>
        <w:rPr>
          <w:sz w:val="24"/>
          <w:szCs w:val="24"/>
        </w:rPr>
        <w:t>, der var større end for M</w:t>
      </w:r>
      <w:r>
        <w:rPr>
          <w:sz w:val="24"/>
          <w:szCs w:val="24"/>
          <w:vertAlign w:val="subscript"/>
        </w:rPr>
        <w:t>2</w:t>
      </w:r>
      <w:r>
        <w:rPr>
          <w:sz w:val="24"/>
          <w:szCs w:val="24"/>
        </w:rPr>
        <w:t xml:space="preserve">. Den høje potens og meget langsomme receptor-dissociation korrelerer klinisk med en signifikant og langtidsvirkende </w:t>
      </w:r>
      <w:proofErr w:type="spellStart"/>
      <w:r>
        <w:rPr>
          <w:sz w:val="24"/>
          <w:szCs w:val="24"/>
        </w:rPr>
        <w:t>bronkodilatation</w:t>
      </w:r>
      <w:proofErr w:type="spellEnd"/>
      <w:r>
        <w:rPr>
          <w:sz w:val="24"/>
          <w:szCs w:val="24"/>
        </w:rPr>
        <w:t xml:space="preserve"> hos patienter med KOL.</w:t>
      </w:r>
    </w:p>
    <w:p w:rsidR="00AB02F7" w:rsidRDefault="00AB02F7" w:rsidP="00AB02F7">
      <w:pPr>
        <w:rPr>
          <w:sz w:val="24"/>
          <w:szCs w:val="24"/>
        </w:rPr>
      </w:pPr>
      <w:r>
        <w:rPr>
          <w:sz w:val="24"/>
          <w:szCs w:val="24"/>
        </w:rPr>
        <w:br w:type="page"/>
      </w:r>
    </w:p>
    <w:p w:rsidR="00AB02F7" w:rsidRDefault="00AB02F7" w:rsidP="00AB02F7">
      <w:pPr>
        <w:ind w:left="851"/>
        <w:rPr>
          <w:sz w:val="24"/>
          <w:szCs w:val="24"/>
        </w:rPr>
      </w:pPr>
    </w:p>
    <w:p w:rsidR="00AB02F7" w:rsidRDefault="00AB02F7" w:rsidP="00AB02F7">
      <w:pPr>
        <w:ind w:left="851"/>
        <w:rPr>
          <w:sz w:val="24"/>
          <w:szCs w:val="24"/>
        </w:rPr>
      </w:pPr>
      <w:r>
        <w:rPr>
          <w:i/>
          <w:sz w:val="24"/>
          <w:szCs w:val="24"/>
        </w:rPr>
        <w:t>Kardiologisk elektrofysiologi</w:t>
      </w:r>
    </w:p>
    <w:p w:rsidR="00AB02F7" w:rsidRDefault="00AB02F7" w:rsidP="00AB02F7">
      <w:pPr>
        <w:ind w:left="851"/>
        <w:rPr>
          <w:sz w:val="24"/>
          <w:szCs w:val="24"/>
        </w:rPr>
      </w:pPr>
      <w:r>
        <w:rPr>
          <w:sz w:val="24"/>
          <w:szCs w:val="24"/>
        </w:rPr>
        <w:t xml:space="preserve">Elektrofysiologi: </w:t>
      </w:r>
      <w:proofErr w:type="spellStart"/>
      <w:r>
        <w:rPr>
          <w:sz w:val="24"/>
          <w:szCs w:val="24"/>
        </w:rPr>
        <w:t>Tiotropium</w:t>
      </w:r>
      <w:proofErr w:type="spellEnd"/>
      <w:r>
        <w:rPr>
          <w:sz w:val="24"/>
          <w:szCs w:val="24"/>
        </w:rPr>
        <w:t xml:space="preserve"> 18 </w:t>
      </w:r>
      <w:proofErr w:type="spellStart"/>
      <w:r>
        <w:rPr>
          <w:sz w:val="24"/>
          <w:szCs w:val="24"/>
        </w:rPr>
        <w:t>mikrog</w:t>
      </w:r>
      <w:proofErr w:type="spellEnd"/>
      <w:r>
        <w:rPr>
          <w:sz w:val="24"/>
          <w:szCs w:val="24"/>
        </w:rPr>
        <w:t xml:space="preserve"> og 54 </w:t>
      </w:r>
      <w:proofErr w:type="spellStart"/>
      <w:r>
        <w:rPr>
          <w:sz w:val="24"/>
          <w:szCs w:val="24"/>
        </w:rPr>
        <w:t>mikrog</w:t>
      </w:r>
      <w:proofErr w:type="spellEnd"/>
      <w:r>
        <w:rPr>
          <w:sz w:val="24"/>
          <w:szCs w:val="24"/>
        </w:rPr>
        <w:t xml:space="preserve"> (dvs. 3 gange terapeutisk dosis) i 12 dage forlængede ikke signifikant QT intervallet i </w:t>
      </w:r>
      <w:proofErr w:type="spellStart"/>
      <w:r>
        <w:rPr>
          <w:sz w:val="24"/>
          <w:szCs w:val="24"/>
        </w:rPr>
        <w:t>EKG’et</w:t>
      </w:r>
      <w:proofErr w:type="spellEnd"/>
      <w:r>
        <w:rPr>
          <w:sz w:val="24"/>
          <w:szCs w:val="24"/>
        </w:rPr>
        <w:t>, i et studie til belysning af QT med 53 raske, frivillige forsøgspersoner.</w:t>
      </w:r>
    </w:p>
    <w:p w:rsidR="00AB02F7" w:rsidRDefault="00AB02F7" w:rsidP="00AB02F7">
      <w:pPr>
        <w:ind w:left="851"/>
        <w:rPr>
          <w:sz w:val="24"/>
          <w:szCs w:val="24"/>
        </w:rPr>
      </w:pPr>
    </w:p>
    <w:p w:rsidR="00AB02F7" w:rsidRDefault="00AB02F7" w:rsidP="00AB02F7">
      <w:pPr>
        <w:ind w:left="851"/>
        <w:rPr>
          <w:sz w:val="24"/>
          <w:szCs w:val="24"/>
          <w:u w:val="single"/>
        </w:rPr>
      </w:pPr>
      <w:r>
        <w:rPr>
          <w:sz w:val="24"/>
          <w:szCs w:val="24"/>
          <w:u w:val="single"/>
        </w:rPr>
        <w:t>Klinisk virkning og sikkerhed</w:t>
      </w:r>
    </w:p>
    <w:p w:rsidR="00AB02F7" w:rsidRDefault="00AB02F7" w:rsidP="00AB02F7">
      <w:pPr>
        <w:ind w:left="851"/>
        <w:rPr>
          <w:sz w:val="24"/>
          <w:szCs w:val="24"/>
        </w:rPr>
      </w:pPr>
      <w:r>
        <w:rPr>
          <w:sz w:val="24"/>
          <w:szCs w:val="24"/>
        </w:rPr>
        <w:t xml:space="preserve">Det kliniske udviklingsprogram omfattede fire </w:t>
      </w:r>
      <w:proofErr w:type="spellStart"/>
      <w:r>
        <w:rPr>
          <w:sz w:val="24"/>
          <w:szCs w:val="24"/>
        </w:rPr>
        <w:t>et-års</w:t>
      </w:r>
      <w:proofErr w:type="spellEnd"/>
      <w:r>
        <w:rPr>
          <w:sz w:val="24"/>
          <w:szCs w:val="24"/>
        </w:rPr>
        <w:t xml:space="preserve"> forsøg og to 6-måneders randomiserede, dobbeltblinde forsøg med 2.663 patienter (1.308 fik </w:t>
      </w:r>
      <w:proofErr w:type="spellStart"/>
      <w:r>
        <w:rPr>
          <w:sz w:val="24"/>
          <w:szCs w:val="24"/>
        </w:rPr>
        <w:t>tiotropiumbromid</w:t>
      </w:r>
      <w:proofErr w:type="spellEnd"/>
      <w:r>
        <w:rPr>
          <w:sz w:val="24"/>
          <w:szCs w:val="24"/>
        </w:rPr>
        <w:t xml:space="preserve">). Det </w:t>
      </w:r>
      <w:proofErr w:type="spellStart"/>
      <w:r>
        <w:rPr>
          <w:sz w:val="24"/>
          <w:szCs w:val="24"/>
        </w:rPr>
        <w:t>et-årige</w:t>
      </w:r>
      <w:proofErr w:type="spellEnd"/>
      <w:r>
        <w:rPr>
          <w:sz w:val="24"/>
          <w:szCs w:val="24"/>
        </w:rPr>
        <w:t xml:space="preserve"> program bestod af to placebokontrollerede forsøg og to forsøg med en aktiv kontrolgruppe (</w:t>
      </w:r>
      <w:proofErr w:type="spellStart"/>
      <w:r>
        <w:rPr>
          <w:sz w:val="24"/>
          <w:szCs w:val="24"/>
        </w:rPr>
        <w:t>ipratropium</w:t>
      </w:r>
      <w:proofErr w:type="spellEnd"/>
      <w:r>
        <w:rPr>
          <w:sz w:val="24"/>
          <w:szCs w:val="24"/>
        </w:rPr>
        <w:t xml:space="preserve">). De to 6-måneders forsøg var både </w:t>
      </w:r>
      <w:proofErr w:type="spellStart"/>
      <w:r>
        <w:rPr>
          <w:sz w:val="24"/>
          <w:szCs w:val="24"/>
        </w:rPr>
        <w:t>salmeterol</w:t>
      </w:r>
      <w:proofErr w:type="spellEnd"/>
      <w:r>
        <w:rPr>
          <w:sz w:val="24"/>
          <w:szCs w:val="24"/>
        </w:rPr>
        <w:t xml:space="preserve">- og placebokontrollerede. Alle forsøgene omfattede lungefunktionsmåling og helbredsevalueringer baseret på dyspnø, </w:t>
      </w:r>
      <w:proofErr w:type="spellStart"/>
      <w:r>
        <w:rPr>
          <w:sz w:val="24"/>
          <w:szCs w:val="24"/>
        </w:rPr>
        <w:t>eksacerbationer</w:t>
      </w:r>
      <w:proofErr w:type="spellEnd"/>
      <w:r>
        <w:rPr>
          <w:sz w:val="24"/>
          <w:szCs w:val="24"/>
        </w:rPr>
        <w:t xml:space="preserve"> og helbredsrelateret livskvalitet.</w:t>
      </w:r>
    </w:p>
    <w:p w:rsidR="00AB02F7" w:rsidRDefault="00AB02F7" w:rsidP="00AB02F7">
      <w:pPr>
        <w:ind w:left="851"/>
        <w:rPr>
          <w:sz w:val="24"/>
          <w:szCs w:val="24"/>
        </w:rPr>
      </w:pPr>
    </w:p>
    <w:p w:rsidR="00AB02F7" w:rsidRDefault="00AB02F7" w:rsidP="00AB02F7">
      <w:pPr>
        <w:keepNext/>
        <w:keepLines/>
        <w:widowControl w:val="0"/>
        <w:ind w:left="851"/>
        <w:rPr>
          <w:i/>
          <w:sz w:val="24"/>
          <w:szCs w:val="24"/>
        </w:rPr>
      </w:pPr>
      <w:r>
        <w:rPr>
          <w:i/>
          <w:sz w:val="24"/>
          <w:szCs w:val="24"/>
        </w:rPr>
        <w:t>Lungefunktion</w:t>
      </w:r>
    </w:p>
    <w:p w:rsidR="00AB02F7" w:rsidRDefault="00AB02F7" w:rsidP="00AB02F7">
      <w:pPr>
        <w:ind w:left="851"/>
        <w:rPr>
          <w:sz w:val="24"/>
          <w:szCs w:val="24"/>
        </w:rPr>
      </w:pPr>
      <w:proofErr w:type="spellStart"/>
      <w:r>
        <w:rPr>
          <w:sz w:val="24"/>
          <w:szCs w:val="24"/>
        </w:rPr>
        <w:t>Tiotropiumbromid</w:t>
      </w:r>
      <w:proofErr w:type="spellEnd"/>
      <w:r>
        <w:rPr>
          <w:sz w:val="24"/>
          <w:szCs w:val="24"/>
        </w:rPr>
        <w:t xml:space="preserve">, givet en gang daglig medførte signifikant forbedring af lungefunktion (forceret </w:t>
      </w:r>
      <w:proofErr w:type="spellStart"/>
      <w:r>
        <w:rPr>
          <w:sz w:val="24"/>
          <w:szCs w:val="24"/>
        </w:rPr>
        <w:t>eksspiratorisk</w:t>
      </w:r>
      <w:proofErr w:type="spellEnd"/>
      <w:r>
        <w:rPr>
          <w:sz w:val="24"/>
          <w:szCs w:val="24"/>
        </w:rPr>
        <w:t xml:space="preserve"> volumen i første sekund, FEV</w:t>
      </w:r>
      <w:r>
        <w:rPr>
          <w:sz w:val="24"/>
          <w:szCs w:val="24"/>
          <w:vertAlign w:val="subscript"/>
        </w:rPr>
        <w:t>1</w:t>
      </w:r>
      <w:r>
        <w:rPr>
          <w:sz w:val="24"/>
          <w:szCs w:val="24"/>
        </w:rPr>
        <w:t xml:space="preserve">, og forceret vitalkapacitet FVC) inden for 30 minutter efter den første dosis som varede i 24 timer. </w:t>
      </w:r>
      <w:proofErr w:type="spellStart"/>
      <w:r>
        <w:rPr>
          <w:sz w:val="24"/>
          <w:szCs w:val="24"/>
        </w:rPr>
        <w:t>Farmakodynamisk</w:t>
      </w:r>
      <w:proofErr w:type="spellEnd"/>
      <w:r>
        <w:rPr>
          <w:sz w:val="24"/>
          <w:szCs w:val="24"/>
        </w:rPr>
        <w:t xml:space="preserve"> </w:t>
      </w:r>
      <w:proofErr w:type="spellStart"/>
      <w:r>
        <w:rPr>
          <w:i/>
          <w:sz w:val="24"/>
          <w:szCs w:val="24"/>
        </w:rPr>
        <w:t>steady-state</w:t>
      </w:r>
      <w:proofErr w:type="spellEnd"/>
      <w:r>
        <w:rPr>
          <w:sz w:val="24"/>
          <w:szCs w:val="24"/>
        </w:rPr>
        <w:t xml:space="preserve"> nås i løbet af 1 uge, hvor den højeste grad af </w:t>
      </w:r>
      <w:proofErr w:type="spellStart"/>
      <w:r>
        <w:rPr>
          <w:sz w:val="24"/>
          <w:szCs w:val="24"/>
        </w:rPr>
        <w:t>bronkodilatation</w:t>
      </w:r>
      <w:proofErr w:type="spellEnd"/>
      <w:r>
        <w:rPr>
          <w:sz w:val="24"/>
          <w:szCs w:val="24"/>
        </w:rPr>
        <w:t xml:space="preserve"> ses fra tredjedagen. </w:t>
      </w:r>
      <w:proofErr w:type="spellStart"/>
      <w:r>
        <w:rPr>
          <w:sz w:val="24"/>
          <w:szCs w:val="24"/>
        </w:rPr>
        <w:t>Tiotropiumbromid</w:t>
      </w:r>
      <w:proofErr w:type="spellEnd"/>
      <w:r>
        <w:rPr>
          <w:sz w:val="24"/>
          <w:szCs w:val="24"/>
        </w:rPr>
        <w:t xml:space="preserve"> forbedrede morgen- og aften-PEFR (</w:t>
      </w:r>
      <w:r>
        <w:rPr>
          <w:i/>
          <w:sz w:val="24"/>
          <w:szCs w:val="24"/>
        </w:rPr>
        <w:t xml:space="preserve">peak </w:t>
      </w:r>
      <w:proofErr w:type="spellStart"/>
      <w:r>
        <w:rPr>
          <w:i/>
          <w:sz w:val="24"/>
          <w:szCs w:val="24"/>
        </w:rPr>
        <w:t>expiratory</w:t>
      </w:r>
      <w:proofErr w:type="spellEnd"/>
      <w:r>
        <w:rPr>
          <w:i/>
          <w:sz w:val="24"/>
          <w:szCs w:val="24"/>
        </w:rPr>
        <w:t xml:space="preserve"> flow rate</w:t>
      </w:r>
      <w:r>
        <w:rPr>
          <w:sz w:val="24"/>
          <w:szCs w:val="24"/>
        </w:rPr>
        <w:t xml:space="preserve">) signifikant målt ved patientens daglige noteringer. </w:t>
      </w:r>
      <w:proofErr w:type="spellStart"/>
      <w:r>
        <w:rPr>
          <w:sz w:val="24"/>
          <w:szCs w:val="24"/>
        </w:rPr>
        <w:t>Tiotropiumbromids</w:t>
      </w:r>
      <w:proofErr w:type="spellEnd"/>
      <w:r>
        <w:rPr>
          <w:sz w:val="24"/>
          <w:szCs w:val="24"/>
        </w:rPr>
        <w:t xml:space="preserve"> </w:t>
      </w:r>
      <w:proofErr w:type="spellStart"/>
      <w:r>
        <w:rPr>
          <w:sz w:val="24"/>
          <w:szCs w:val="24"/>
        </w:rPr>
        <w:t>bronkodilaterende</w:t>
      </w:r>
      <w:proofErr w:type="spellEnd"/>
      <w:r>
        <w:rPr>
          <w:sz w:val="24"/>
          <w:szCs w:val="24"/>
        </w:rPr>
        <w:t xml:space="preserve"> virkning opretholdes i hele perioden på 1 år uden tegn på toleranceudvikling.</w:t>
      </w:r>
    </w:p>
    <w:p w:rsidR="00AB02F7" w:rsidRDefault="00AB02F7" w:rsidP="00AB02F7">
      <w:pPr>
        <w:ind w:left="851" w:hanging="851"/>
        <w:rPr>
          <w:sz w:val="24"/>
          <w:szCs w:val="24"/>
        </w:rPr>
      </w:pPr>
    </w:p>
    <w:p w:rsidR="00AB02F7" w:rsidRDefault="00AB02F7" w:rsidP="00AB02F7">
      <w:pPr>
        <w:ind w:left="851"/>
        <w:rPr>
          <w:sz w:val="24"/>
          <w:szCs w:val="24"/>
        </w:rPr>
      </w:pPr>
      <w:r>
        <w:rPr>
          <w:sz w:val="24"/>
          <w:szCs w:val="24"/>
        </w:rPr>
        <w:t xml:space="preserve">Et randomiseret, placebokontrolleret klinisk forsøg med 105 KOL-patienter viste, at </w:t>
      </w:r>
      <w:proofErr w:type="spellStart"/>
      <w:r>
        <w:rPr>
          <w:sz w:val="24"/>
          <w:szCs w:val="24"/>
        </w:rPr>
        <w:t>bronkodilatation</w:t>
      </w:r>
      <w:proofErr w:type="spellEnd"/>
      <w:r>
        <w:rPr>
          <w:sz w:val="24"/>
          <w:szCs w:val="24"/>
        </w:rPr>
        <w:t xml:space="preserve"> blev opretholdt i hele doseringsintervallet på 24 timer sammenlignet med placebo, uanset om lægemidlet blev givet om morgenen eller om aftenen.</w:t>
      </w:r>
    </w:p>
    <w:p w:rsidR="00AB02F7" w:rsidRDefault="00AB02F7" w:rsidP="00AB02F7">
      <w:pPr>
        <w:ind w:left="851" w:hanging="851"/>
        <w:rPr>
          <w:sz w:val="24"/>
          <w:szCs w:val="24"/>
        </w:rPr>
      </w:pPr>
    </w:p>
    <w:p w:rsidR="00AB02F7" w:rsidRDefault="00AB02F7" w:rsidP="00AB02F7">
      <w:pPr>
        <w:keepNext/>
        <w:keepLines/>
        <w:ind w:left="851"/>
        <w:rPr>
          <w:sz w:val="24"/>
          <w:szCs w:val="24"/>
          <w:u w:val="single"/>
        </w:rPr>
      </w:pPr>
      <w:r>
        <w:rPr>
          <w:sz w:val="24"/>
          <w:szCs w:val="24"/>
          <w:u w:val="single"/>
        </w:rPr>
        <w:t>Kliniske studier (op til 12 måneder)</w:t>
      </w:r>
    </w:p>
    <w:p w:rsidR="00AB02F7" w:rsidRDefault="00AB02F7" w:rsidP="00AB02F7">
      <w:pPr>
        <w:keepNext/>
        <w:keepLines/>
        <w:ind w:left="851"/>
        <w:rPr>
          <w:i/>
          <w:sz w:val="24"/>
          <w:szCs w:val="24"/>
        </w:rPr>
      </w:pPr>
    </w:p>
    <w:p w:rsidR="00AB02F7" w:rsidRDefault="00AB02F7" w:rsidP="00AB02F7">
      <w:pPr>
        <w:keepNext/>
        <w:keepLines/>
        <w:ind w:left="851"/>
        <w:rPr>
          <w:i/>
          <w:sz w:val="24"/>
          <w:szCs w:val="24"/>
        </w:rPr>
      </w:pPr>
      <w:r>
        <w:rPr>
          <w:i/>
          <w:sz w:val="24"/>
          <w:szCs w:val="24"/>
        </w:rPr>
        <w:t>Dyspnø, fysisk udholdenhed</w:t>
      </w:r>
    </w:p>
    <w:p w:rsidR="00AB02F7" w:rsidRDefault="00AB02F7" w:rsidP="00AB02F7">
      <w:pPr>
        <w:tabs>
          <w:tab w:val="left" w:pos="851"/>
        </w:tabs>
        <w:ind w:left="851"/>
        <w:rPr>
          <w:sz w:val="24"/>
          <w:szCs w:val="24"/>
        </w:rPr>
      </w:pPr>
      <w:r>
        <w:rPr>
          <w:sz w:val="24"/>
          <w:szCs w:val="24"/>
        </w:rPr>
        <w:t xml:space="preserve">Dyspnø blev signifikant forbedret med </w:t>
      </w:r>
      <w:proofErr w:type="spellStart"/>
      <w:r>
        <w:rPr>
          <w:sz w:val="24"/>
          <w:szCs w:val="24"/>
        </w:rPr>
        <w:t>tiotropiumbromid</w:t>
      </w:r>
      <w:proofErr w:type="spellEnd"/>
      <w:r>
        <w:rPr>
          <w:sz w:val="24"/>
          <w:szCs w:val="24"/>
        </w:rPr>
        <w:t xml:space="preserve"> (vurderet vha. </w:t>
      </w:r>
      <w:r>
        <w:rPr>
          <w:i/>
          <w:sz w:val="24"/>
          <w:szCs w:val="24"/>
        </w:rPr>
        <w:t xml:space="preserve">Transition </w:t>
      </w:r>
      <w:proofErr w:type="spellStart"/>
      <w:r>
        <w:rPr>
          <w:i/>
          <w:sz w:val="24"/>
          <w:szCs w:val="24"/>
        </w:rPr>
        <w:t>Dyspnoea</w:t>
      </w:r>
      <w:proofErr w:type="spellEnd"/>
      <w:r>
        <w:rPr>
          <w:i/>
          <w:sz w:val="24"/>
          <w:szCs w:val="24"/>
        </w:rPr>
        <w:t xml:space="preserve"> Index</w:t>
      </w:r>
      <w:r>
        <w:rPr>
          <w:sz w:val="24"/>
          <w:szCs w:val="24"/>
        </w:rPr>
        <w:t>). Denne forbedring blev opretholdt i hele behandlingsperioden.</w:t>
      </w:r>
    </w:p>
    <w:p w:rsidR="00AB02F7" w:rsidRDefault="00AB02F7" w:rsidP="00AB02F7">
      <w:pPr>
        <w:tabs>
          <w:tab w:val="left" w:pos="851"/>
        </w:tabs>
        <w:ind w:left="851"/>
        <w:rPr>
          <w:sz w:val="24"/>
          <w:szCs w:val="24"/>
        </w:rPr>
      </w:pPr>
      <w:r>
        <w:rPr>
          <w:sz w:val="24"/>
          <w:szCs w:val="24"/>
        </w:rPr>
        <w:t xml:space="preserve">Effekten af forbedringen på dyspnø i relation til udholdenhed ved fysisk anstrengelse blev undersøgt i to randomiserede dobbelt-blinde placebokontrollerede forsøg hos 433 patienter med moderat til svær KOL. I disse forsøg, forbedrede 6 ugers behandling med </w:t>
      </w:r>
      <w:proofErr w:type="spellStart"/>
      <w:r>
        <w:rPr>
          <w:sz w:val="24"/>
          <w:szCs w:val="24"/>
        </w:rPr>
        <w:t>tiotropium</w:t>
      </w:r>
      <w:proofErr w:type="spellEnd"/>
      <w:r>
        <w:rPr>
          <w:sz w:val="24"/>
          <w:szCs w:val="24"/>
        </w:rPr>
        <w:t xml:space="preserve"> signifikant symptom-limiteret udholdenhedstid ved </w:t>
      </w:r>
      <w:proofErr w:type="spellStart"/>
      <w:r>
        <w:rPr>
          <w:sz w:val="24"/>
          <w:szCs w:val="24"/>
        </w:rPr>
        <w:t>cykelergometri</w:t>
      </w:r>
      <w:proofErr w:type="spellEnd"/>
      <w:r>
        <w:rPr>
          <w:sz w:val="24"/>
          <w:szCs w:val="24"/>
        </w:rPr>
        <w:t xml:space="preserve"> på 75 % af maksimal arbejdskapacitet, med hhv. 19,7 % (forsøg A) og 28,3 % (forsøg B) sammenlignet med placebo. </w:t>
      </w:r>
    </w:p>
    <w:p w:rsidR="00AB02F7" w:rsidRDefault="00AB02F7" w:rsidP="00AB02F7">
      <w:pPr>
        <w:tabs>
          <w:tab w:val="left" w:pos="851"/>
        </w:tabs>
        <w:ind w:left="851" w:hanging="851"/>
        <w:rPr>
          <w:sz w:val="24"/>
          <w:szCs w:val="24"/>
        </w:rPr>
      </w:pPr>
      <w:r>
        <w:rPr>
          <w:sz w:val="24"/>
          <w:szCs w:val="24"/>
        </w:rPr>
        <w:tab/>
      </w:r>
    </w:p>
    <w:p w:rsidR="00AB02F7" w:rsidRDefault="00AB02F7" w:rsidP="00AB02F7">
      <w:pPr>
        <w:keepNext/>
        <w:keepLines/>
        <w:widowControl w:val="0"/>
        <w:tabs>
          <w:tab w:val="left" w:pos="851"/>
        </w:tabs>
        <w:ind w:left="851"/>
        <w:rPr>
          <w:sz w:val="24"/>
          <w:szCs w:val="24"/>
        </w:rPr>
      </w:pPr>
      <w:r>
        <w:rPr>
          <w:i/>
          <w:sz w:val="24"/>
          <w:szCs w:val="24"/>
        </w:rPr>
        <w:t>Helbredsrelateret livskvalitet</w:t>
      </w:r>
      <w:r>
        <w:rPr>
          <w:sz w:val="24"/>
          <w:szCs w:val="24"/>
        </w:rPr>
        <w:t xml:space="preserve">  </w:t>
      </w:r>
    </w:p>
    <w:p w:rsidR="00AB02F7" w:rsidRDefault="00AB02F7" w:rsidP="00AB02F7">
      <w:pPr>
        <w:ind w:left="851"/>
        <w:rPr>
          <w:sz w:val="24"/>
          <w:szCs w:val="24"/>
        </w:rPr>
      </w:pPr>
      <w:proofErr w:type="spellStart"/>
      <w:r>
        <w:rPr>
          <w:sz w:val="24"/>
          <w:szCs w:val="24"/>
        </w:rPr>
        <w:t>Tiotropium</w:t>
      </w:r>
      <w:proofErr w:type="spellEnd"/>
      <w:r>
        <w:rPr>
          <w:sz w:val="24"/>
          <w:szCs w:val="24"/>
        </w:rPr>
        <w:t xml:space="preserve"> forbedrede den helbredsrelaterede livskvalitet, bedømt ved total score i </w:t>
      </w:r>
      <w:r>
        <w:rPr>
          <w:i/>
          <w:sz w:val="24"/>
          <w:szCs w:val="24"/>
        </w:rPr>
        <w:t xml:space="preserve">St. George’s </w:t>
      </w:r>
      <w:proofErr w:type="spellStart"/>
      <w:r>
        <w:rPr>
          <w:i/>
          <w:sz w:val="24"/>
          <w:szCs w:val="24"/>
        </w:rPr>
        <w:t>Respiratory</w:t>
      </w:r>
      <w:proofErr w:type="spellEnd"/>
      <w:r>
        <w:rPr>
          <w:i/>
          <w:sz w:val="24"/>
          <w:szCs w:val="24"/>
        </w:rPr>
        <w:t xml:space="preserve"> </w:t>
      </w:r>
      <w:proofErr w:type="spellStart"/>
      <w:r>
        <w:rPr>
          <w:i/>
          <w:sz w:val="24"/>
          <w:szCs w:val="24"/>
        </w:rPr>
        <w:t>Questionaire</w:t>
      </w:r>
      <w:proofErr w:type="spellEnd"/>
      <w:r>
        <w:rPr>
          <w:sz w:val="24"/>
          <w:szCs w:val="24"/>
        </w:rPr>
        <w:t xml:space="preserve"> (SGRQ) i et randomiseret, dobbeltblindt placebokontrolleret studie over 9 måneder med 492 patienter. Andelen af patienter, der opnåede en betydelig forbedring i SGRQ total score (dvs. mere end 4 enheder), var 10,9 % højere hos patienter behandlet med </w:t>
      </w:r>
      <w:proofErr w:type="spellStart"/>
      <w:r>
        <w:rPr>
          <w:sz w:val="24"/>
          <w:szCs w:val="24"/>
        </w:rPr>
        <w:t>tiotropium</w:t>
      </w:r>
      <w:proofErr w:type="spellEnd"/>
      <w:r>
        <w:rPr>
          <w:sz w:val="24"/>
          <w:szCs w:val="24"/>
        </w:rPr>
        <w:t xml:space="preserve"> sammenlignet med placebo (59,1 % i </w:t>
      </w:r>
      <w:proofErr w:type="spellStart"/>
      <w:r>
        <w:rPr>
          <w:sz w:val="24"/>
          <w:szCs w:val="24"/>
        </w:rPr>
        <w:t>tiotropium</w:t>
      </w:r>
      <w:proofErr w:type="spellEnd"/>
      <w:r>
        <w:rPr>
          <w:sz w:val="24"/>
          <w:szCs w:val="24"/>
        </w:rPr>
        <w:t>-gruppen mod 48,2 % i placebogruppen (p=0,029)).</w:t>
      </w:r>
    </w:p>
    <w:p w:rsidR="00AB02F7" w:rsidRDefault="00AB02F7" w:rsidP="00AB02F7">
      <w:pPr>
        <w:ind w:left="851"/>
        <w:rPr>
          <w:sz w:val="24"/>
          <w:szCs w:val="24"/>
        </w:rPr>
      </w:pPr>
      <w:r>
        <w:rPr>
          <w:sz w:val="24"/>
          <w:szCs w:val="24"/>
        </w:rPr>
        <w:t>Den gennemsnitlige forskel mellem grupperne var 4,19 enheder (p=0,001; konfidensinterval: 1,69 6,68). Forbedringen i SGRQ subdomæne scoren var 8,19 enheder for ”symptomer”, 3,91 enheder for ”aktivitet” og 3,61 enheder for ”indvirkning på daglige aktiviteter (</w:t>
      </w:r>
      <w:proofErr w:type="spellStart"/>
      <w:r>
        <w:rPr>
          <w:i/>
          <w:sz w:val="24"/>
          <w:szCs w:val="24"/>
        </w:rPr>
        <w:t>impact</w:t>
      </w:r>
      <w:proofErr w:type="spellEnd"/>
      <w:r>
        <w:rPr>
          <w:sz w:val="24"/>
          <w:szCs w:val="24"/>
        </w:rPr>
        <w:t xml:space="preserve">)” - alle statistisk signifikante forbedringer. </w:t>
      </w:r>
    </w:p>
    <w:p w:rsidR="00AB02F7" w:rsidRDefault="00AB02F7" w:rsidP="00AB02F7">
      <w:pPr>
        <w:numPr>
          <w:ilvl w:val="12"/>
          <w:numId w:val="0"/>
        </w:numPr>
        <w:ind w:left="851" w:right="-2"/>
        <w:rPr>
          <w:iCs/>
          <w:sz w:val="24"/>
          <w:szCs w:val="24"/>
        </w:rPr>
      </w:pPr>
    </w:p>
    <w:p w:rsidR="00AB02F7" w:rsidRDefault="00AB02F7" w:rsidP="00AB02F7">
      <w:pPr>
        <w:keepNext/>
        <w:keepLines/>
        <w:widowControl w:val="0"/>
        <w:numPr>
          <w:ilvl w:val="12"/>
          <w:numId w:val="0"/>
        </w:numPr>
        <w:ind w:left="851"/>
        <w:rPr>
          <w:i/>
          <w:iCs/>
          <w:sz w:val="24"/>
          <w:szCs w:val="24"/>
        </w:rPr>
      </w:pPr>
      <w:r>
        <w:rPr>
          <w:i/>
          <w:iCs/>
          <w:sz w:val="24"/>
          <w:szCs w:val="24"/>
        </w:rPr>
        <w:t>KOL-</w:t>
      </w:r>
      <w:proofErr w:type="spellStart"/>
      <w:r>
        <w:rPr>
          <w:i/>
          <w:iCs/>
          <w:sz w:val="24"/>
          <w:szCs w:val="24"/>
        </w:rPr>
        <w:t>eksacerbationer</w:t>
      </w:r>
      <w:proofErr w:type="spellEnd"/>
    </w:p>
    <w:p w:rsidR="00AB02F7" w:rsidRDefault="00AB02F7" w:rsidP="00AB02F7">
      <w:pPr>
        <w:numPr>
          <w:ilvl w:val="12"/>
          <w:numId w:val="0"/>
        </w:numPr>
        <w:ind w:left="851" w:right="-2"/>
        <w:rPr>
          <w:rFonts w:ascii="(Asiatische Schriftart verwende" w:hAnsi="(Asiatische Schriftart verwende"/>
          <w:sz w:val="24"/>
          <w:szCs w:val="24"/>
        </w:rPr>
      </w:pPr>
      <w:r>
        <w:rPr>
          <w:sz w:val="24"/>
          <w:szCs w:val="24"/>
        </w:rPr>
        <w:t xml:space="preserve">I et randomiseret dobbelt-blindt, placebokontrolleret forsøg med 1829 patienter med moderat til meget svær KOL, reducerede </w:t>
      </w:r>
      <w:proofErr w:type="spellStart"/>
      <w:r>
        <w:rPr>
          <w:sz w:val="24"/>
          <w:szCs w:val="24"/>
        </w:rPr>
        <w:t>tiotropiumbromid</w:t>
      </w:r>
      <w:proofErr w:type="spellEnd"/>
      <w:r>
        <w:rPr>
          <w:sz w:val="24"/>
          <w:szCs w:val="24"/>
        </w:rPr>
        <w:t xml:space="preserve">, statistisk signifikant den andel af patienter, der fik KOL </w:t>
      </w:r>
      <w:proofErr w:type="spellStart"/>
      <w:r>
        <w:rPr>
          <w:sz w:val="24"/>
          <w:szCs w:val="24"/>
        </w:rPr>
        <w:t>eksacerbationer</w:t>
      </w:r>
      <w:proofErr w:type="spellEnd"/>
      <w:r>
        <w:rPr>
          <w:sz w:val="24"/>
          <w:szCs w:val="24"/>
        </w:rPr>
        <w:t xml:space="preserve"> (32,2 % til 27,8 %) og statistisk </w:t>
      </w:r>
      <w:proofErr w:type="gramStart"/>
      <w:r>
        <w:rPr>
          <w:sz w:val="24"/>
          <w:szCs w:val="24"/>
        </w:rPr>
        <w:t>signifikant antallet</w:t>
      </w:r>
      <w:proofErr w:type="gramEnd"/>
      <w:r>
        <w:rPr>
          <w:sz w:val="24"/>
          <w:szCs w:val="24"/>
        </w:rPr>
        <w:t xml:space="preserve"> af </w:t>
      </w:r>
      <w:proofErr w:type="spellStart"/>
      <w:r>
        <w:rPr>
          <w:sz w:val="24"/>
          <w:szCs w:val="24"/>
        </w:rPr>
        <w:t>eksacerbationer</w:t>
      </w:r>
      <w:proofErr w:type="spellEnd"/>
      <w:r>
        <w:rPr>
          <w:sz w:val="24"/>
          <w:szCs w:val="24"/>
        </w:rPr>
        <w:t xml:space="preserve"> med 19 % (1,05 til 0,85 hændelser pr. patient-år). Derudover blev 7,0 % af patienterne i </w:t>
      </w:r>
      <w:proofErr w:type="spellStart"/>
      <w:r>
        <w:rPr>
          <w:sz w:val="24"/>
          <w:szCs w:val="24"/>
        </w:rPr>
        <w:t>tiotropiumbromid</w:t>
      </w:r>
      <w:proofErr w:type="spellEnd"/>
      <w:r>
        <w:rPr>
          <w:sz w:val="24"/>
          <w:szCs w:val="24"/>
        </w:rPr>
        <w:t xml:space="preserve">-gruppen og 9,5 % af patienterne i placebogruppen indlagt på grund af en KOL </w:t>
      </w:r>
      <w:proofErr w:type="spellStart"/>
      <w:r>
        <w:rPr>
          <w:sz w:val="24"/>
          <w:szCs w:val="24"/>
        </w:rPr>
        <w:t>exacerbation</w:t>
      </w:r>
      <w:proofErr w:type="spellEnd"/>
      <w:r>
        <w:rPr>
          <w:sz w:val="24"/>
          <w:szCs w:val="24"/>
        </w:rPr>
        <w:t xml:space="preserve"> (p=0,056). Antallet af indlæggelser på grund af KOL blev reduceret med 30 % (0,25 til 0,18 hændelser pr patient-år).</w:t>
      </w:r>
    </w:p>
    <w:p w:rsidR="00AB02F7" w:rsidRDefault="00AB02F7" w:rsidP="00AB02F7">
      <w:pPr>
        <w:numPr>
          <w:ilvl w:val="12"/>
          <w:numId w:val="0"/>
        </w:numPr>
        <w:ind w:left="851" w:right="-2"/>
        <w:rPr>
          <w:rFonts w:ascii="(Asiatische Schriftart verwende" w:hAnsi="(Asiatische Schriftart verwende"/>
          <w:sz w:val="24"/>
          <w:szCs w:val="24"/>
        </w:rPr>
      </w:pPr>
    </w:p>
    <w:p w:rsidR="00AB02F7" w:rsidRDefault="00AB02F7" w:rsidP="00AB02F7">
      <w:pPr>
        <w:numPr>
          <w:ilvl w:val="12"/>
          <w:numId w:val="0"/>
        </w:numPr>
        <w:ind w:left="851" w:right="-2"/>
        <w:rPr>
          <w:bCs/>
          <w:iCs/>
          <w:sz w:val="24"/>
          <w:szCs w:val="24"/>
        </w:rPr>
      </w:pPr>
      <w:r>
        <w:rPr>
          <w:bCs/>
          <w:iCs/>
          <w:sz w:val="24"/>
          <w:szCs w:val="24"/>
        </w:rPr>
        <w:t xml:space="preserve">Et </w:t>
      </w:r>
      <w:proofErr w:type="spellStart"/>
      <w:r>
        <w:rPr>
          <w:bCs/>
          <w:iCs/>
          <w:sz w:val="24"/>
          <w:szCs w:val="24"/>
        </w:rPr>
        <w:t>et-årigt</w:t>
      </w:r>
      <w:proofErr w:type="spellEnd"/>
      <w:r>
        <w:rPr>
          <w:bCs/>
          <w:iCs/>
          <w:sz w:val="24"/>
          <w:szCs w:val="24"/>
        </w:rPr>
        <w:t xml:space="preserve"> randomiseret, dobbelt-blind, dobbelt-dummy, parallel-gruppe studie med 7.376 KOL- patienter og forekomst af </w:t>
      </w:r>
      <w:proofErr w:type="spellStart"/>
      <w:r>
        <w:rPr>
          <w:bCs/>
          <w:iCs/>
          <w:sz w:val="24"/>
          <w:szCs w:val="24"/>
        </w:rPr>
        <w:t>eksacerbationer</w:t>
      </w:r>
      <w:proofErr w:type="spellEnd"/>
      <w:r>
        <w:rPr>
          <w:bCs/>
          <w:iCs/>
          <w:sz w:val="24"/>
          <w:szCs w:val="24"/>
        </w:rPr>
        <w:t xml:space="preserve"> i det foregående år, sammenlignede virkningen på forekomst af moderate og svære </w:t>
      </w:r>
      <w:proofErr w:type="spellStart"/>
      <w:r>
        <w:rPr>
          <w:bCs/>
          <w:iCs/>
          <w:sz w:val="24"/>
          <w:szCs w:val="24"/>
        </w:rPr>
        <w:t>eksacerbationer</w:t>
      </w:r>
      <w:proofErr w:type="spellEnd"/>
      <w:r>
        <w:rPr>
          <w:bCs/>
          <w:iCs/>
          <w:sz w:val="24"/>
          <w:szCs w:val="24"/>
        </w:rPr>
        <w:t xml:space="preserve"> af behandling med 18 mikrogram af </w:t>
      </w:r>
      <w:proofErr w:type="spellStart"/>
      <w:r>
        <w:rPr>
          <w:sz w:val="24"/>
          <w:szCs w:val="24"/>
        </w:rPr>
        <w:t>tiotropium</w:t>
      </w:r>
      <w:proofErr w:type="spellEnd"/>
      <w:r>
        <w:rPr>
          <w:bCs/>
          <w:iCs/>
          <w:sz w:val="24"/>
          <w:szCs w:val="24"/>
        </w:rPr>
        <w:t xml:space="preserve"> en gang daglig i forhold til behandling med 50 mikrogram </w:t>
      </w:r>
      <w:proofErr w:type="spellStart"/>
      <w:r>
        <w:rPr>
          <w:bCs/>
          <w:iCs/>
          <w:sz w:val="24"/>
          <w:szCs w:val="24"/>
        </w:rPr>
        <w:t>salmeterol</w:t>
      </w:r>
      <w:proofErr w:type="spellEnd"/>
      <w:r>
        <w:rPr>
          <w:bCs/>
          <w:iCs/>
          <w:sz w:val="24"/>
          <w:szCs w:val="24"/>
        </w:rPr>
        <w:t xml:space="preserve"> HFA inhalationsspray 2 gange daglig.</w:t>
      </w:r>
    </w:p>
    <w:p w:rsidR="00AB02F7" w:rsidRDefault="00AB02F7" w:rsidP="00AB02F7">
      <w:pPr>
        <w:numPr>
          <w:ilvl w:val="12"/>
          <w:numId w:val="0"/>
        </w:numPr>
        <w:ind w:left="851" w:right="-2"/>
        <w:rPr>
          <w:bCs/>
          <w:iCs/>
          <w:sz w:val="24"/>
          <w:szCs w:val="24"/>
        </w:rPr>
      </w:pPr>
    </w:p>
    <w:p w:rsidR="00AB02F7" w:rsidRDefault="00AB02F7" w:rsidP="00AB02F7">
      <w:pPr>
        <w:numPr>
          <w:ilvl w:val="12"/>
          <w:numId w:val="0"/>
        </w:numPr>
        <w:ind w:left="851" w:right="-2"/>
        <w:rPr>
          <w:sz w:val="24"/>
          <w:szCs w:val="24"/>
        </w:rPr>
      </w:pPr>
      <w:r>
        <w:rPr>
          <w:sz w:val="24"/>
          <w:szCs w:val="24"/>
        </w:rPr>
        <w:t xml:space="preserve">Tabel 1: Sammendrag af </w:t>
      </w:r>
      <w:proofErr w:type="spellStart"/>
      <w:r>
        <w:rPr>
          <w:sz w:val="24"/>
          <w:szCs w:val="24"/>
        </w:rPr>
        <w:t>exacerbationsendepunkter</w:t>
      </w:r>
      <w:proofErr w:type="spellEnd"/>
    </w:p>
    <w:p w:rsidR="00AB02F7" w:rsidRDefault="00AB02F7" w:rsidP="00AB02F7">
      <w:pPr>
        <w:numPr>
          <w:ilvl w:val="12"/>
          <w:numId w:val="0"/>
        </w:numPr>
        <w:ind w:left="851" w:right="-2"/>
        <w:rPr>
          <w:bCs/>
          <w:iCs/>
          <w:sz w:val="24"/>
          <w:szCs w:val="24"/>
        </w:rPr>
      </w:pPr>
    </w:p>
    <w:tbl>
      <w:tblPr>
        <w:tblW w:w="0" w:type="auto"/>
        <w:tblInd w:w="841" w:type="dxa"/>
        <w:tblLayout w:type="fixed"/>
        <w:tblCellMar>
          <w:left w:w="0" w:type="dxa"/>
          <w:right w:w="0" w:type="dxa"/>
        </w:tblCellMar>
        <w:tblLook w:val="01E0" w:firstRow="1" w:lastRow="1" w:firstColumn="1" w:lastColumn="1" w:noHBand="0" w:noVBand="0"/>
      </w:tblPr>
      <w:tblGrid>
        <w:gridCol w:w="2310"/>
        <w:gridCol w:w="1702"/>
        <w:gridCol w:w="1852"/>
        <w:gridCol w:w="1507"/>
        <w:gridCol w:w="1120"/>
      </w:tblGrid>
      <w:tr w:rsidR="00AB02F7" w:rsidTr="003B4BCE">
        <w:trPr>
          <w:trHeight w:hRule="exact" w:val="1829"/>
        </w:trPr>
        <w:tc>
          <w:tcPr>
            <w:tcW w:w="2310" w:type="dxa"/>
            <w:tcBorders>
              <w:top w:val="single" w:sz="12" w:space="0" w:color="7F7F7F"/>
              <w:left w:val="single" w:sz="8" w:space="0" w:color="D4D0C8"/>
              <w:bottom w:val="single" w:sz="12" w:space="0" w:color="7F7F7F"/>
              <w:right w:val="single" w:sz="12" w:space="0" w:color="7F7F7F"/>
            </w:tcBorders>
            <w:hideMark/>
          </w:tcPr>
          <w:p w:rsidR="00AB02F7" w:rsidRDefault="00AB02F7" w:rsidP="003B4BCE">
            <w:pPr>
              <w:widowControl w:val="0"/>
              <w:ind w:left="31"/>
              <w:rPr>
                <w:sz w:val="24"/>
                <w:szCs w:val="24"/>
              </w:rPr>
            </w:pPr>
            <w:r>
              <w:rPr>
                <w:rFonts w:hAnsi="Calibri"/>
                <w:b/>
                <w:sz w:val="24"/>
                <w:szCs w:val="24"/>
              </w:rPr>
              <w:t>Endepunkt</w:t>
            </w:r>
          </w:p>
        </w:tc>
        <w:tc>
          <w:tcPr>
            <w:tcW w:w="1702" w:type="dxa"/>
            <w:tcBorders>
              <w:top w:val="single" w:sz="12" w:space="0" w:color="7F7F7F"/>
              <w:left w:val="single" w:sz="12" w:space="0" w:color="7F7F7F"/>
              <w:bottom w:val="single" w:sz="12" w:space="0" w:color="7F7F7F"/>
              <w:right w:val="single" w:sz="12" w:space="0" w:color="7F7F7F"/>
            </w:tcBorders>
            <w:hideMark/>
          </w:tcPr>
          <w:p w:rsidR="00AB02F7" w:rsidRDefault="00AB02F7" w:rsidP="003B4BCE">
            <w:pPr>
              <w:widowControl w:val="0"/>
              <w:ind w:left="131"/>
              <w:rPr>
                <w:sz w:val="24"/>
                <w:szCs w:val="24"/>
              </w:rPr>
            </w:pPr>
            <w:proofErr w:type="spellStart"/>
            <w:r>
              <w:rPr>
                <w:rFonts w:hAnsi="Calibri"/>
                <w:b/>
                <w:sz w:val="24"/>
                <w:szCs w:val="24"/>
              </w:rPr>
              <w:t>Tiotropium</w:t>
            </w:r>
            <w:proofErr w:type="spellEnd"/>
          </w:p>
          <w:p w:rsidR="00AB02F7" w:rsidRDefault="00AB02F7" w:rsidP="003B4BCE">
            <w:pPr>
              <w:widowControl w:val="0"/>
              <w:ind w:left="131"/>
              <w:rPr>
                <w:sz w:val="24"/>
                <w:szCs w:val="24"/>
              </w:rPr>
            </w:pPr>
            <w:r>
              <w:rPr>
                <w:rFonts w:hAnsi="Calibri"/>
                <w:b/>
                <w:spacing w:val="-1"/>
                <w:sz w:val="24"/>
                <w:szCs w:val="24"/>
              </w:rPr>
              <w:t>18</w:t>
            </w:r>
            <w:r>
              <w:rPr>
                <w:rFonts w:hAnsi="Calibri"/>
                <w:b/>
                <w:spacing w:val="-2"/>
                <w:sz w:val="24"/>
                <w:szCs w:val="24"/>
              </w:rPr>
              <w:t xml:space="preserve"> </w:t>
            </w:r>
            <w:r>
              <w:rPr>
                <w:rFonts w:hAnsi="Calibri"/>
                <w:b/>
                <w:spacing w:val="-1"/>
                <w:sz w:val="24"/>
                <w:szCs w:val="24"/>
              </w:rPr>
              <w:t>mikrogram</w:t>
            </w:r>
          </w:p>
          <w:p w:rsidR="00AB02F7" w:rsidRDefault="00AB02F7" w:rsidP="003B4BCE">
            <w:pPr>
              <w:widowControl w:val="0"/>
              <w:ind w:left="131"/>
              <w:rPr>
                <w:sz w:val="24"/>
                <w:szCs w:val="24"/>
              </w:rPr>
            </w:pPr>
            <w:r>
              <w:rPr>
                <w:rFonts w:hAnsi="Calibri"/>
                <w:b/>
                <w:sz w:val="24"/>
                <w:szCs w:val="24"/>
              </w:rPr>
              <w:t>N</w:t>
            </w:r>
            <w:r>
              <w:rPr>
                <w:rFonts w:hAnsi="Calibri"/>
                <w:b/>
                <w:spacing w:val="-1"/>
                <w:sz w:val="24"/>
                <w:szCs w:val="24"/>
              </w:rPr>
              <w:t xml:space="preserve"> </w:t>
            </w:r>
            <w:r>
              <w:rPr>
                <w:rFonts w:hAnsi="Calibri"/>
                <w:b/>
                <w:sz w:val="24"/>
                <w:szCs w:val="24"/>
              </w:rPr>
              <w:t>=</w:t>
            </w:r>
            <w:r>
              <w:rPr>
                <w:rFonts w:hAnsi="Calibri"/>
                <w:b/>
                <w:spacing w:val="-1"/>
                <w:sz w:val="24"/>
                <w:szCs w:val="24"/>
              </w:rPr>
              <w:t xml:space="preserve"> 3.707</w:t>
            </w:r>
          </w:p>
        </w:tc>
        <w:tc>
          <w:tcPr>
            <w:tcW w:w="1852" w:type="dxa"/>
            <w:tcBorders>
              <w:top w:val="single" w:sz="12" w:space="0" w:color="7F7F7F"/>
              <w:left w:val="single" w:sz="12" w:space="0" w:color="7F7F7F"/>
              <w:bottom w:val="single" w:sz="12" w:space="0" w:color="7F7F7F"/>
              <w:right w:val="single" w:sz="12" w:space="0" w:color="7F7F7F"/>
            </w:tcBorders>
            <w:hideMark/>
          </w:tcPr>
          <w:p w:rsidR="00AB02F7" w:rsidRDefault="00AB02F7" w:rsidP="003B4BCE">
            <w:pPr>
              <w:widowControl w:val="0"/>
              <w:ind w:left="130"/>
              <w:rPr>
                <w:sz w:val="24"/>
                <w:szCs w:val="24"/>
              </w:rPr>
            </w:pPr>
            <w:proofErr w:type="spellStart"/>
            <w:r>
              <w:rPr>
                <w:rFonts w:hAnsi="Calibri"/>
                <w:b/>
                <w:spacing w:val="-1"/>
                <w:sz w:val="24"/>
                <w:szCs w:val="24"/>
              </w:rPr>
              <w:t>Salmeterol</w:t>
            </w:r>
            <w:proofErr w:type="spellEnd"/>
          </w:p>
          <w:p w:rsidR="00AB02F7" w:rsidRDefault="00AB02F7" w:rsidP="003B4BCE">
            <w:pPr>
              <w:widowControl w:val="0"/>
              <w:ind w:left="130" w:right="217"/>
              <w:rPr>
                <w:rFonts w:hAnsi="Calibri"/>
                <w:b/>
                <w:spacing w:val="-1"/>
                <w:sz w:val="24"/>
                <w:szCs w:val="24"/>
              </w:rPr>
            </w:pPr>
            <w:r>
              <w:rPr>
                <w:rFonts w:hAnsi="Calibri"/>
                <w:b/>
                <w:spacing w:val="-1"/>
                <w:sz w:val="24"/>
                <w:szCs w:val="24"/>
              </w:rPr>
              <w:t xml:space="preserve">50 </w:t>
            </w:r>
            <w:r>
              <w:rPr>
                <w:rFonts w:hAnsi="Calibri"/>
                <w:b/>
                <w:spacing w:val="-2"/>
                <w:sz w:val="24"/>
                <w:szCs w:val="24"/>
              </w:rPr>
              <w:t>m</w:t>
            </w:r>
            <w:r>
              <w:rPr>
                <w:rFonts w:hAnsi="Calibri"/>
                <w:b/>
                <w:spacing w:val="-1"/>
                <w:sz w:val="24"/>
                <w:szCs w:val="24"/>
              </w:rPr>
              <w:t>ikrogram</w:t>
            </w:r>
          </w:p>
          <w:p w:rsidR="00AB02F7" w:rsidRDefault="00AB02F7" w:rsidP="003B4BCE">
            <w:pPr>
              <w:widowControl w:val="0"/>
              <w:ind w:left="130" w:right="217"/>
              <w:rPr>
                <w:rFonts w:hAnsi="Calibri"/>
                <w:b/>
                <w:spacing w:val="-1"/>
                <w:sz w:val="24"/>
                <w:szCs w:val="24"/>
              </w:rPr>
            </w:pPr>
            <w:r>
              <w:rPr>
                <w:rFonts w:hAnsi="Calibri"/>
                <w:b/>
                <w:spacing w:val="-1"/>
                <w:sz w:val="24"/>
                <w:szCs w:val="24"/>
              </w:rPr>
              <w:t xml:space="preserve">HFA </w:t>
            </w:r>
            <w:proofErr w:type="spellStart"/>
            <w:r>
              <w:rPr>
                <w:rFonts w:hAnsi="Calibri"/>
                <w:b/>
                <w:spacing w:val="-1"/>
                <w:sz w:val="24"/>
                <w:szCs w:val="24"/>
              </w:rPr>
              <w:t>pMDI</w:t>
            </w:r>
            <w:proofErr w:type="spellEnd"/>
            <w:r>
              <w:rPr>
                <w:rFonts w:hAnsi="Calibri"/>
                <w:b/>
                <w:spacing w:val="-1"/>
                <w:sz w:val="24"/>
                <w:szCs w:val="24"/>
              </w:rPr>
              <w:t>)</w:t>
            </w:r>
          </w:p>
          <w:p w:rsidR="00AB02F7" w:rsidRDefault="00AB02F7" w:rsidP="003B4BCE">
            <w:pPr>
              <w:widowControl w:val="0"/>
              <w:ind w:left="130" w:right="217"/>
              <w:rPr>
                <w:sz w:val="24"/>
                <w:szCs w:val="24"/>
              </w:rPr>
            </w:pPr>
            <w:r>
              <w:rPr>
                <w:rFonts w:hAnsi="Calibri"/>
                <w:b/>
                <w:sz w:val="24"/>
                <w:szCs w:val="24"/>
              </w:rPr>
              <w:t>N</w:t>
            </w:r>
            <w:r>
              <w:rPr>
                <w:rFonts w:hAnsi="Calibri"/>
                <w:b/>
                <w:spacing w:val="-1"/>
                <w:sz w:val="24"/>
                <w:szCs w:val="24"/>
              </w:rPr>
              <w:t xml:space="preserve"> </w:t>
            </w:r>
            <w:r>
              <w:rPr>
                <w:rFonts w:hAnsi="Calibri"/>
                <w:b/>
                <w:sz w:val="24"/>
                <w:szCs w:val="24"/>
              </w:rPr>
              <w:t>=</w:t>
            </w:r>
            <w:r>
              <w:rPr>
                <w:rFonts w:hAnsi="Calibri"/>
                <w:b/>
                <w:spacing w:val="-1"/>
                <w:sz w:val="24"/>
                <w:szCs w:val="24"/>
              </w:rPr>
              <w:t xml:space="preserve"> 3.669</w:t>
            </w:r>
          </w:p>
        </w:tc>
        <w:tc>
          <w:tcPr>
            <w:tcW w:w="1507" w:type="dxa"/>
            <w:tcBorders>
              <w:top w:val="single" w:sz="12" w:space="0" w:color="7F7F7F"/>
              <w:left w:val="single" w:sz="12" w:space="0" w:color="7F7F7F"/>
              <w:bottom w:val="single" w:sz="12" w:space="0" w:color="7F7F7F"/>
              <w:right w:val="single" w:sz="12" w:space="0" w:color="7F7F7F"/>
            </w:tcBorders>
            <w:hideMark/>
          </w:tcPr>
          <w:p w:rsidR="00AB02F7" w:rsidRDefault="00AB02F7" w:rsidP="003B4BCE">
            <w:pPr>
              <w:keepNext/>
              <w:keepLines/>
              <w:widowControl w:val="0"/>
              <w:tabs>
                <w:tab w:val="left" w:pos="144"/>
              </w:tabs>
              <w:ind w:left="121"/>
              <w:rPr>
                <w:b/>
                <w:sz w:val="24"/>
                <w:szCs w:val="24"/>
                <w:lang w:eastAsia="de-DE"/>
              </w:rPr>
            </w:pPr>
            <w:r>
              <w:rPr>
                <w:b/>
                <w:sz w:val="24"/>
                <w:szCs w:val="24"/>
                <w:lang w:eastAsia="de-DE"/>
              </w:rPr>
              <w:t xml:space="preserve">Ratio </w:t>
            </w:r>
          </w:p>
          <w:p w:rsidR="00AB02F7" w:rsidRDefault="00AB02F7" w:rsidP="003B4BCE">
            <w:pPr>
              <w:keepNext/>
              <w:keepLines/>
              <w:widowControl w:val="0"/>
              <w:tabs>
                <w:tab w:val="left" w:pos="144"/>
              </w:tabs>
              <w:ind w:left="121"/>
              <w:rPr>
                <w:sz w:val="24"/>
                <w:szCs w:val="24"/>
                <w:lang w:eastAsia="de-DE"/>
              </w:rPr>
            </w:pPr>
            <w:r>
              <w:rPr>
                <w:b/>
                <w:sz w:val="24"/>
                <w:szCs w:val="24"/>
                <w:lang w:eastAsia="de-DE"/>
              </w:rPr>
              <w:t>(95 % CI)</w:t>
            </w:r>
          </w:p>
        </w:tc>
        <w:tc>
          <w:tcPr>
            <w:tcW w:w="1120" w:type="dxa"/>
            <w:tcBorders>
              <w:top w:val="single" w:sz="12" w:space="0" w:color="7F7F7F"/>
              <w:left w:val="single" w:sz="12" w:space="0" w:color="7F7F7F"/>
              <w:bottom w:val="single" w:sz="12" w:space="0" w:color="7F7F7F"/>
              <w:right w:val="single" w:sz="8" w:space="0" w:color="7F7F7F"/>
            </w:tcBorders>
            <w:hideMark/>
          </w:tcPr>
          <w:p w:rsidR="00AB02F7" w:rsidRDefault="00AB02F7" w:rsidP="003B4BCE">
            <w:pPr>
              <w:widowControl w:val="0"/>
              <w:ind w:left="122"/>
              <w:rPr>
                <w:sz w:val="24"/>
                <w:szCs w:val="24"/>
              </w:rPr>
            </w:pPr>
            <w:proofErr w:type="spellStart"/>
            <w:r>
              <w:rPr>
                <w:b/>
                <w:spacing w:val="-1"/>
                <w:sz w:val="24"/>
                <w:szCs w:val="24"/>
              </w:rPr>
              <w:t>p-værdi</w:t>
            </w:r>
            <w:proofErr w:type="spellEnd"/>
          </w:p>
        </w:tc>
      </w:tr>
      <w:tr w:rsidR="00AB02F7" w:rsidTr="003B4BCE">
        <w:trPr>
          <w:trHeight w:hRule="exact" w:val="1061"/>
        </w:trPr>
        <w:tc>
          <w:tcPr>
            <w:tcW w:w="2310" w:type="dxa"/>
            <w:tcBorders>
              <w:top w:val="single" w:sz="12" w:space="0" w:color="7F7F7F"/>
              <w:left w:val="single" w:sz="8" w:space="0" w:color="D4D0C8"/>
              <w:bottom w:val="single" w:sz="12" w:space="0" w:color="7F7F7F"/>
              <w:right w:val="single" w:sz="12" w:space="0" w:color="7F7F7F"/>
            </w:tcBorders>
            <w:hideMark/>
          </w:tcPr>
          <w:p w:rsidR="00AB02F7" w:rsidRDefault="00AB02F7" w:rsidP="003B4BCE">
            <w:pPr>
              <w:widowControl w:val="0"/>
              <w:ind w:left="31" w:right="402"/>
              <w:rPr>
                <w:sz w:val="24"/>
                <w:szCs w:val="24"/>
              </w:rPr>
            </w:pPr>
            <w:r>
              <w:rPr>
                <w:sz w:val="24"/>
                <w:szCs w:val="24"/>
              </w:rPr>
              <w:t xml:space="preserve">Tid [dage] til første </w:t>
            </w:r>
            <w:proofErr w:type="spellStart"/>
            <w:r>
              <w:rPr>
                <w:sz w:val="24"/>
                <w:szCs w:val="24"/>
              </w:rPr>
              <w:t>exacerbation</w:t>
            </w:r>
            <w:proofErr w:type="spellEnd"/>
            <w:r>
              <w:rPr>
                <w:sz w:val="24"/>
                <w:szCs w:val="24"/>
                <w:vertAlign w:val="superscript"/>
              </w:rPr>
              <w:t>†</w:t>
            </w:r>
          </w:p>
        </w:tc>
        <w:tc>
          <w:tcPr>
            <w:tcW w:w="1702" w:type="dxa"/>
            <w:tcBorders>
              <w:top w:val="single" w:sz="12" w:space="0" w:color="7F7F7F"/>
              <w:left w:val="single" w:sz="12" w:space="0" w:color="7F7F7F"/>
              <w:bottom w:val="single" w:sz="12" w:space="0" w:color="7F7F7F"/>
              <w:right w:val="single" w:sz="12" w:space="0" w:color="7F7F7F"/>
            </w:tcBorders>
            <w:hideMark/>
          </w:tcPr>
          <w:p w:rsidR="00AB02F7" w:rsidRDefault="00AB02F7" w:rsidP="003B4BCE">
            <w:pPr>
              <w:widowControl w:val="0"/>
              <w:ind w:left="131"/>
              <w:rPr>
                <w:sz w:val="24"/>
                <w:szCs w:val="24"/>
              </w:rPr>
            </w:pPr>
            <w:r>
              <w:rPr>
                <w:rFonts w:hAnsi="Calibri"/>
                <w:sz w:val="24"/>
                <w:szCs w:val="24"/>
              </w:rPr>
              <w:t>187</w:t>
            </w:r>
          </w:p>
        </w:tc>
        <w:tc>
          <w:tcPr>
            <w:tcW w:w="1852" w:type="dxa"/>
            <w:tcBorders>
              <w:top w:val="single" w:sz="12" w:space="0" w:color="7F7F7F"/>
              <w:left w:val="single" w:sz="12" w:space="0" w:color="7F7F7F"/>
              <w:bottom w:val="single" w:sz="12" w:space="0" w:color="7F7F7F"/>
              <w:right w:val="single" w:sz="12" w:space="0" w:color="7F7F7F"/>
            </w:tcBorders>
            <w:hideMark/>
          </w:tcPr>
          <w:p w:rsidR="00AB02F7" w:rsidRDefault="00AB02F7" w:rsidP="003B4BCE">
            <w:pPr>
              <w:widowControl w:val="0"/>
              <w:ind w:left="130"/>
              <w:rPr>
                <w:sz w:val="24"/>
                <w:szCs w:val="24"/>
              </w:rPr>
            </w:pPr>
            <w:r>
              <w:rPr>
                <w:rFonts w:hAnsi="Calibri"/>
                <w:sz w:val="24"/>
                <w:szCs w:val="24"/>
              </w:rPr>
              <w:t>145</w:t>
            </w:r>
          </w:p>
        </w:tc>
        <w:tc>
          <w:tcPr>
            <w:tcW w:w="1507" w:type="dxa"/>
            <w:tcBorders>
              <w:top w:val="single" w:sz="12" w:space="0" w:color="7F7F7F"/>
              <w:left w:val="single" w:sz="12" w:space="0" w:color="7F7F7F"/>
              <w:bottom w:val="single" w:sz="12" w:space="0" w:color="7F7F7F"/>
              <w:right w:val="single" w:sz="12" w:space="0" w:color="7F7F7F"/>
            </w:tcBorders>
            <w:hideMark/>
          </w:tcPr>
          <w:p w:rsidR="00AB02F7" w:rsidRDefault="00AB02F7" w:rsidP="003B4BCE">
            <w:pPr>
              <w:widowControl w:val="0"/>
              <w:ind w:left="121"/>
              <w:rPr>
                <w:sz w:val="24"/>
                <w:szCs w:val="24"/>
              </w:rPr>
            </w:pPr>
            <w:r>
              <w:rPr>
                <w:rFonts w:hAnsi="Calibri"/>
                <w:sz w:val="24"/>
                <w:szCs w:val="24"/>
              </w:rPr>
              <w:t>0,83</w:t>
            </w:r>
          </w:p>
          <w:p w:rsidR="00AB02F7" w:rsidRDefault="00AB02F7" w:rsidP="003B4BCE">
            <w:pPr>
              <w:widowControl w:val="0"/>
              <w:ind w:left="121"/>
              <w:rPr>
                <w:sz w:val="24"/>
                <w:szCs w:val="24"/>
              </w:rPr>
            </w:pPr>
            <w:r>
              <w:rPr>
                <w:rFonts w:hAnsi="Calibri"/>
                <w:spacing w:val="-1"/>
                <w:sz w:val="24"/>
                <w:szCs w:val="24"/>
              </w:rPr>
              <w:t>(0,77-0,90)</w:t>
            </w:r>
          </w:p>
        </w:tc>
        <w:tc>
          <w:tcPr>
            <w:tcW w:w="1120" w:type="dxa"/>
            <w:tcBorders>
              <w:top w:val="single" w:sz="12" w:space="0" w:color="7F7F7F"/>
              <w:left w:val="single" w:sz="12" w:space="0" w:color="7F7F7F"/>
              <w:bottom w:val="single" w:sz="12" w:space="0" w:color="7F7F7F"/>
              <w:right w:val="single" w:sz="8" w:space="0" w:color="7F7F7F"/>
            </w:tcBorders>
            <w:hideMark/>
          </w:tcPr>
          <w:p w:rsidR="00AB02F7" w:rsidRDefault="00AB02F7" w:rsidP="003B4BCE">
            <w:pPr>
              <w:widowControl w:val="0"/>
              <w:ind w:left="122"/>
              <w:rPr>
                <w:sz w:val="24"/>
                <w:szCs w:val="24"/>
              </w:rPr>
            </w:pPr>
            <w:r>
              <w:rPr>
                <w:rFonts w:hAnsi="Calibri"/>
                <w:spacing w:val="-1"/>
                <w:sz w:val="24"/>
                <w:szCs w:val="24"/>
              </w:rPr>
              <w:t>&lt;0,001</w:t>
            </w:r>
          </w:p>
        </w:tc>
      </w:tr>
      <w:tr w:rsidR="00AB02F7" w:rsidTr="003B4BCE">
        <w:trPr>
          <w:trHeight w:hRule="exact" w:val="1751"/>
        </w:trPr>
        <w:tc>
          <w:tcPr>
            <w:tcW w:w="2310" w:type="dxa"/>
            <w:tcBorders>
              <w:top w:val="single" w:sz="12" w:space="0" w:color="7F7F7F"/>
              <w:left w:val="single" w:sz="8" w:space="0" w:color="D4D0C8"/>
              <w:bottom w:val="single" w:sz="12" w:space="0" w:color="7F7F7F"/>
              <w:right w:val="single" w:sz="12" w:space="0" w:color="7F7F7F"/>
            </w:tcBorders>
            <w:hideMark/>
          </w:tcPr>
          <w:p w:rsidR="00AB02F7" w:rsidRDefault="00AB02F7" w:rsidP="003B4BCE">
            <w:pPr>
              <w:widowControl w:val="0"/>
              <w:ind w:left="31" w:right="402"/>
              <w:rPr>
                <w:sz w:val="24"/>
                <w:szCs w:val="24"/>
              </w:rPr>
            </w:pPr>
            <w:r>
              <w:rPr>
                <w:sz w:val="24"/>
                <w:szCs w:val="24"/>
              </w:rPr>
              <w:t xml:space="preserve">Tid til første alvorlig </w:t>
            </w:r>
            <w:proofErr w:type="spellStart"/>
            <w:r>
              <w:rPr>
                <w:sz w:val="24"/>
                <w:szCs w:val="24"/>
              </w:rPr>
              <w:t>exacerbation</w:t>
            </w:r>
            <w:proofErr w:type="spellEnd"/>
            <w:r>
              <w:rPr>
                <w:sz w:val="24"/>
                <w:szCs w:val="24"/>
                <w:vertAlign w:val="superscript"/>
              </w:rPr>
              <w:t>§</w:t>
            </w:r>
            <w:r>
              <w:rPr>
                <w:sz w:val="24"/>
                <w:szCs w:val="24"/>
              </w:rPr>
              <w:t xml:space="preserve"> (</w:t>
            </w:r>
            <w:proofErr w:type="spellStart"/>
            <w:r>
              <w:rPr>
                <w:sz w:val="24"/>
                <w:szCs w:val="24"/>
              </w:rPr>
              <w:t>hospitals-indlæggelse</w:t>
            </w:r>
            <w:proofErr w:type="spellEnd"/>
            <w:r>
              <w:rPr>
                <w:sz w:val="24"/>
                <w:szCs w:val="24"/>
              </w:rPr>
              <w:t>)</w:t>
            </w:r>
          </w:p>
        </w:tc>
        <w:tc>
          <w:tcPr>
            <w:tcW w:w="1702" w:type="dxa"/>
            <w:tcBorders>
              <w:top w:val="single" w:sz="12" w:space="0" w:color="7F7F7F"/>
              <w:left w:val="single" w:sz="12" w:space="0" w:color="7F7F7F"/>
              <w:bottom w:val="single" w:sz="12" w:space="0" w:color="7F7F7F"/>
              <w:right w:val="single" w:sz="12" w:space="0" w:color="7F7F7F"/>
            </w:tcBorders>
            <w:hideMark/>
          </w:tcPr>
          <w:p w:rsidR="00AB02F7" w:rsidRDefault="00AB02F7" w:rsidP="003B4BCE">
            <w:pPr>
              <w:widowControl w:val="0"/>
              <w:ind w:left="131"/>
              <w:rPr>
                <w:sz w:val="24"/>
                <w:szCs w:val="24"/>
              </w:rPr>
            </w:pPr>
            <w:r>
              <w:rPr>
                <w:rFonts w:hAnsi="Calibri"/>
                <w:sz w:val="24"/>
                <w:szCs w:val="24"/>
              </w:rPr>
              <w:t>-</w:t>
            </w:r>
          </w:p>
        </w:tc>
        <w:tc>
          <w:tcPr>
            <w:tcW w:w="1852" w:type="dxa"/>
            <w:tcBorders>
              <w:top w:val="single" w:sz="12" w:space="0" w:color="7F7F7F"/>
              <w:left w:val="single" w:sz="12" w:space="0" w:color="7F7F7F"/>
              <w:bottom w:val="single" w:sz="12" w:space="0" w:color="7F7F7F"/>
              <w:right w:val="single" w:sz="12" w:space="0" w:color="7F7F7F"/>
            </w:tcBorders>
            <w:hideMark/>
          </w:tcPr>
          <w:p w:rsidR="00AB02F7" w:rsidRDefault="00AB02F7" w:rsidP="003B4BCE">
            <w:pPr>
              <w:widowControl w:val="0"/>
              <w:ind w:left="130"/>
              <w:rPr>
                <w:sz w:val="24"/>
                <w:szCs w:val="24"/>
              </w:rPr>
            </w:pPr>
            <w:r>
              <w:rPr>
                <w:rFonts w:hAnsi="Calibri"/>
                <w:sz w:val="24"/>
                <w:szCs w:val="24"/>
              </w:rPr>
              <w:t>-</w:t>
            </w:r>
          </w:p>
        </w:tc>
        <w:tc>
          <w:tcPr>
            <w:tcW w:w="1507" w:type="dxa"/>
            <w:tcBorders>
              <w:top w:val="single" w:sz="12" w:space="0" w:color="7F7F7F"/>
              <w:left w:val="single" w:sz="12" w:space="0" w:color="7F7F7F"/>
              <w:bottom w:val="single" w:sz="12" w:space="0" w:color="7F7F7F"/>
              <w:right w:val="single" w:sz="12" w:space="0" w:color="7F7F7F"/>
            </w:tcBorders>
            <w:hideMark/>
          </w:tcPr>
          <w:p w:rsidR="00AB02F7" w:rsidRDefault="00AB02F7" w:rsidP="003B4BCE">
            <w:pPr>
              <w:widowControl w:val="0"/>
              <w:ind w:left="121"/>
              <w:rPr>
                <w:sz w:val="24"/>
                <w:szCs w:val="24"/>
              </w:rPr>
            </w:pPr>
            <w:r>
              <w:rPr>
                <w:rFonts w:hAnsi="Calibri"/>
                <w:sz w:val="24"/>
                <w:szCs w:val="24"/>
              </w:rPr>
              <w:t>0,72</w:t>
            </w:r>
          </w:p>
          <w:p w:rsidR="00AB02F7" w:rsidRDefault="00AB02F7" w:rsidP="003B4BCE">
            <w:pPr>
              <w:widowControl w:val="0"/>
              <w:ind w:left="121"/>
              <w:rPr>
                <w:sz w:val="24"/>
                <w:szCs w:val="24"/>
              </w:rPr>
            </w:pPr>
            <w:r>
              <w:rPr>
                <w:rFonts w:hAnsi="Calibri"/>
                <w:spacing w:val="-1"/>
                <w:sz w:val="24"/>
                <w:szCs w:val="24"/>
              </w:rPr>
              <w:t>(0,61-0,85)</w:t>
            </w:r>
          </w:p>
        </w:tc>
        <w:tc>
          <w:tcPr>
            <w:tcW w:w="1120" w:type="dxa"/>
            <w:tcBorders>
              <w:top w:val="single" w:sz="12" w:space="0" w:color="7F7F7F"/>
              <w:left w:val="single" w:sz="12" w:space="0" w:color="7F7F7F"/>
              <w:bottom w:val="single" w:sz="12" w:space="0" w:color="7F7F7F"/>
              <w:right w:val="single" w:sz="8" w:space="0" w:color="7F7F7F"/>
            </w:tcBorders>
            <w:hideMark/>
          </w:tcPr>
          <w:p w:rsidR="00AB02F7" w:rsidRDefault="00AB02F7" w:rsidP="003B4BCE">
            <w:pPr>
              <w:widowControl w:val="0"/>
              <w:ind w:left="122"/>
              <w:rPr>
                <w:sz w:val="24"/>
                <w:szCs w:val="24"/>
              </w:rPr>
            </w:pPr>
            <w:r>
              <w:rPr>
                <w:rFonts w:hAnsi="Calibri"/>
                <w:spacing w:val="-1"/>
                <w:sz w:val="24"/>
                <w:szCs w:val="24"/>
              </w:rPr>
              <w:t>&lt;0,001</w:t>
            </w:r>
          </w:p>
        </w:tc>
      </w:tr>
      <w:tr w:rsidR="00AB02F7" w:rsidTr="003B4BCE">
        <w:trPr>
          <w:trHeight w:hRule="exact" w:val="1751"/>
        </w:trPr>
        <w:tc>
          <w:tcPr>
            <w:tcW w:w="2310" w:type="dxa"/>
            <w:tcBorders>
              <w:top w:val="single" w:sz="12" w:space="0" w:color="7F7F7F"/>
              <w:left w:val="single" w:sz="8" w:space="0" w:color="D4D0C8"/>
              <w:bottom w:val="single" w:sz="12" w:space="0" w:color="7F7F7F"/>
              <w:right w:val="single" w:sz="12" w:space="0" w:color="7F7F7F"/>
            </w:tcBorders>
            <w:hideMark/>
          </w:tcPr>
          <w:p w:rsidR="00AB02F7" w:rsidRDefault="00AB02F7" w:rsidP="003B4BCE">
            <w:pPr>
              <w:keepNext/>
              <w:keepLines/>
              <w:widowControl w:val="0"/>
              <w:tabs>
                <w:tab w:val="left" w:pos="144"/>
              </w:tabs>
              <w:ind w:left="31"/>
              <w:rPr>
                <w:sz w:val="24"/>
                <w:szCs w:val="24"/>
                <w:highlight w:val="yellow"/>
                <w:lang w:eastAsia="de-DE"/>
              </w:rPr>
            </w:pPr>
            <w:r>
              <w:rPr>
                <w:sz w:val="24"/>
                <w:szCs w:val="24"/>
                <w:lang w:eastAsia="de-DE"/>
              </w:rPr>
              <w:t xml:space="preserve">Patienter med ≥1 </w:t>
            </w:r>
            <w:proofErr w:type="spellStart"/>
            <w:r>
              <w:rPr>
                <w:sz w:val="24"/>
                <w:szCs w:val="24"/>
                <w:lang w:eastAsia="de-DE"/>
              </w:rPr>
              <w:t>exacerbation</w:t>
            </w:r>
            <w:proofErr w:type="spellEnd"/>
            <w:r>
              <w:rPr>
                <w:sz w:val="24"/>
                <w:szCs w:val="24"/>
                <w:lang w:eastAsia="de-DE"/>
              </w:rPr>
              <w:t xml:space="preserve">, n </w:t>
            </w:r>
            <w:proofErr w:type="gramStart"/>
            <w:r>
              <w:rPr>
                <w:sz w:val="24"/>
                <w:szCs w:val="24"/>
                <w:lang w:eastAsia="de-DE"/>
              </w:rPr>
              <w:t>( %</w:t>
            </w:r>
            <w:proofErr w:type="gramEnd"/>
            <w:r>
              <w:rPr>
                <w:sz w:val="24"/>
                <w:szCs w:val="24"/>
                <w:lang w:eastAsia="de-DE"/>
              </w:rPr>
              <w:t>)*</w:t>
            </w:r>
          </w:p>
        </w:tc>
        <w:tc>
          <w:tcPr>
            <w:tcW w:w="1702" w:type="dxa"/>
            <w:tcBorders>
              <w:top w:val="single" w:sz="12" w:space="0" w:color="7F7F7F"/>
              <w:left w:val="single" w:sz="12" w:space="0" w:color="7F7F7F"/>
              <w:bottom w:val="single" w:sz="12" w:space="0" w:color="7F7F7F"/>
              <w:right w:val="single" w:sz="12" w:space="0" w:color="7F7F7F"/>
            </w:tcBorders>
            <w:hideMark/>
          </w:tcPr>
          <w:p w:rsidR="00AB02F7" w:rsidRDefault="00AB02F7" w:rsidP="003B4BCE">
            <w:pPr>
              <w:keepNext/>
              <w:keepLines/>
              <w:widowControl w:val="0"/>
              <w:tabs>
                <w:tab w:val="left" w:pos="144"/>
              </w:tabs>
              <w:ind w:left="131"/>
              <w:rPr>
                <w:sz w:val="24"/>
                <w:szCs w:val="24"/>
                <w:lang w:eastAsia="de-DE"/>
              </w:rPr>
            </w:pPr>
            <w:r>
              <w:rPr>
                <w:sz w:val="24"/>
                <w:szCs w:val="24"/>
                <w:lang w:eastAsia="de-DE"/>
              </w:rPr>
              <w:t>1.277 (34,4)</w:t>
            </w:r>
          </w:p>
        </w:tc>
        <w:tc>
          <w:tcPr>
            <w:tcW w:w="1852" w:type="dxa"/>
            <w:tcBorders>
              <w:top w:val="single" w:sz="12" w:space="0" w:color="7F7F7F"/>
              <w:left w:val="single" w:sz="12" w:space="0" w:color="7F7F7F"/>
              <w:bottom w:val="single" w:sz="12" w:space="0" w:color="7F7F7F"/>
              <w:right w:val="single" w:sz="12" w:space="0" w:color="7F7F7F"/>
            </w:tcBorders>
            <w:hideMark/>
          </w:tcPr>
          <w:p w:rsidR="00AB02F7" w:rsidRDefault="00AB02F7" w:rsidP="003B4BCE">
            <w:pPr>
              <w:keepNext/>
              <w:keepLines/>
              <w:widowControl w:val="0"/>
              <w:tabs>
                <w:tab w:val="left" w:pos="144"/>
              </w:tabs>
              <w:ind w:left="130"/>
              <w:rPr>
                <w:sz w:val="24"/>
                <w:szCs w:val="24"/>
                <w:lang w:eastAsia="de-DE"/>
              </w:rPr>
            </w:pPr>
            <w:r>
              <w:rPr>
                <w:sz w:val="24"/>
                <w:szCs w:val="24"/>
                <w:lang w:eastAsia="de-DE"/>
              </w:rPr>
              <w:t>1.414 (38,5)</w:t>
            </w:r>
          </w:p>
        </w:tc>
        <w:tc>
          <w:tcPr>
            <w:tcW w:w="1507" w:type="dxa"/>
            <w:tcBorders>
              <w:top w:val="single" w:sz="12" w:space="0" w:color="7F7F7F"/>
              <w:left w:val="single" w:sz="12" w:space="0" w:color="7F7F7F"/>
              <w:bottom w:val="single" w:sz="12" w:space="0" w:color="7F7F7F"/>
              <w:right w:val="single" w:sz="12" w:space="0" w:color="7F7F7F"/>
            </w:tcBorders>
            <w:hideMark/>
          </w:tcPr>
          <w:p w:rsidR="00AB02F7" w:rsidRDefault="00AB02F7" w:rsidP="003B4BCE">
            <w:pPr>
              <w:keepNext/>
              <w:keepLines/>
              <w:widowControl w:val="0"/>
              <w:tabs>
                <w:tab w:val="left" w:pos="144"/>
              </w:tabs>
              <w:ind w:left="121"/>
              <w:rPr>
                <w:sz w:val="24"/>
                <w:szCs w:val="24"/>
                <w:lang w:eastAsia="de-DE"/>
              </w:rPr>
            </w:pPr>
            <w:r>
              <w:rPr>
                <w:sz w:val="24"/>
                <w:szCs w:val="24"/>
                <w:lang w:eastAsia="de-DE"/>
              </w:rPr>
              <w:t>0,90</w:t>
            </w:r>
            <w:r>
              <w:rPr>
                <w:sz w:val="24"/>
                <w:szCs w:val="24"/>
                <w:lang w:eastAsia="de-DE"/>
              </w:rPr>
              <w:br/>
              <w:t>(0,85-0,95)</w:t>
            </w:r>
          </w:p>
        </w:tc>
        <w:tc>
          <w:tcPr>
            <w:tcW w:w="1120" w:type="dxa"/>
            <w:tcBorders>
              <w:top w:val="single" w:sz="12" w:space="0" w:color="7F7F7F"/>
              <w:left w:val="single" w:sz="12" w:space="0" w:color="7F7F7F"/>
              <w:bottom w:val="single" w:sz="12" w:space="0" w:color="7F7F7F"/>
              <w:right w:val="single" w:sz="8" w:space="0" w:color="7F7F7F"/>
            </w:tcBorders>
            <w:hideMark/>
          </w:tcPr>
          <w:p w:rsidR="00AB02F7" w:rsidRDefault="00AB02F7" w:rsidP="003B4BCE">
            <w:pPr>
              <w:keepNext/>
              <w:keepLines/>
              <w:widowControl w:val="0"/>
              <w:tabs>
                <w:tab w:val="left" w:pos="144"/>
              </w:tabs>
              <w:ind w:left="122"/>
              <w:rPr>
                <w:sz w:val="24"/>
                <w:szCs w:val="24"/>
                <w:lang w:eastAsia="de-DE"/>
              </w:rPr>
            </w:pPr>
            <w:r>
              <w:rPr>
                <w:sz w:val="24"/>
                <w:szCs w:val="24"/>
                <w:lang w:eastAsia="de-DE"/>
              </w:rPr>
              <w:t>&lt;0,001</w:t>
            </w:r>
          </w:p>
        </w:tc>
      </w:tr>
      <w:tr w:rsidR="00AB02F7" w:rsidTr="003B4BCE">
        <w:trPr>
          <w:trHeight w:hRule="exact" w:val="1751"/>
        </w:trPr>
        <w:tc>
          <w:tcPr>
            <w:tcW w:w="2310" w:type="dxa"/>
            <w:tcBorders>
              <w:top w:val="single" w:sz="12" w:space="0" w:color="7F7F7F"/>
              <w:left w:val="single" w:sz="8" w:space="0" w:color="D4D0C8"/>
              <w:bottom w:val="single" w:sz="12" w:space="0" w:color="7F7F7F"/>
              <w:right w:val="single" w:sz="12" w:space="0" w:color="7F7F7F"/>
            </w:tcBorders>
            <w:hideMark/>
          </w:tcPr>
          <w:p w:rsidR="00AB02F7" w:rsidRDefault="00AB02F7" w:rsidP="003B4BCE">
            <w:pPr>
              <w:keepNext/>
              <w:keepLines/>
              <w:widowControl w:val="0"/>
              <w:tabs>
                <w:tab w:val="left" w:pos="144"/>
              </w:tabs>
              <w:ind w:left="31"/>
              <w:rPr>
                <w:sz w:val="24"/>
                <w:szCs w:val="24"/>
                <w:lang w:eastAsia="de-DE"/>
              </w:rPr>
            </w:pPr>
            <w:r>
              <w:rPr>
                <w:sz w:val="24"/>
                <w:szCs w:val="24"/>
                <w:lang w:eastAsia="de-DE"/>
              </w:rPr>
              <w:t xml:space="preserve">Patienter med ≥1 alvorlig (hospitalsindlæggelse) </w:t>
            </w:r>
            <w:proofErr w:type="spellStart"/>
            <w:r>
              <w:rPr>
                <w:sz w:val="24"/>
                <w:szCs w:val="24"/>
                <w:lang w:eastAsia="de-DE"/>
              </w:rPr>
              <w:t>exacerbation</w:t>
            </w:r>
            <w:proofErr w:type="spellEnd"/>
            <w:r>
              <w:rPr>
                <w:sz w:val="24"/>
                <w:szCs w:val="24"/>
                <w:lang w:eastAsia="de-DE"/>
              </w:rPr>
              <w:t xml:space="preserve">, n </w:t>
            </w:r>
            <w:proofErr w:type="gramStart"/>
            <w:r>
              <w:rPr>
                <w:sz w:val="24"/>
                <w:szCs w:val="24"/>
                <w:lang w:eastAsia="de-DE"/>
              </w:rPr>
              <w:t>( %</w:t>
            </w:r>
            <w:proofErr w:type="gramEnd"/>
            <w:r>
              <w:rPr>
                <w:sz w:val="24"/>
                <w:szCs w:val="24"/>
                <w:lang w:eastAsia="de-DE"/>
              </w:rPr>
              <w:t>)*</w:t>
            </w:r>
          </w:p>
        </w:tc>
        <w:tc>
          <w:tcPr>
            <w:tcW w:w="1702" w:type="dxa"/>
            <w:tcBorders>
              <w:top w:val="single" w:sz="12" w:space="0" w:color="7F7F7F"/>
              <w:left w:val="single" w:sz="12" w:space="0" w:color="7F7F7F"/>
              <w:bottom w:val="single" w:sz="12" w:space="0" w:color="7F7F7F"/>
              <w:right w:val="single" w:sz="12" w:space="0" w:color="7F7F7F"/>
            </w:tcBorders>
            <w:hideMark/>
          </w:tcPr>
          <w:p w:rsidR="00AB02F7" w:rsidRDefault="00AB02F7" w:rsidP="003B4BCE">
            <w:pPr>
              <w:keepNext/>
              <w:keepLines/>
              <w:widowControl w:val="0"/>
              <w:tabs>
                <w:tab w:val="left" w:pos="144"/>
              </w:tabs>
              <w:ind w:left="131"/>
              <w:rPr>
                <w:sz w:val="24"/>
                <w:szCs w:val="24"/>
                <w:lang w:eastAsia="de-DE"/>
              </w:rPr>
            </w:pPr>
            <w:r>
              <w:rPr>
                <w:sz w:val="24"/>
                <w:szCs w:val="24"/>
                <w:lang w:eastAsia="de-DE"/>
              </w:rPr>
              <w:t>262 (7,1)</w:t>
            </w:r>
          </w:p>
        </w:tc>
        <w:tc>
          <w:tcPr>
            <w:tcW w:w="1852" w:type="dxa"/>
            <w:tcBorders>
              <w:top w:val="single" w:sz="12" w:space="0" w:color="7F7F7F"/>
              <w:left w:val="single" w:sz="12" w:space="0" w:color="7F7F7F"/>
              <w:bottom w:val="single" w:sz="12" w:space="0" w:color="7F7F7F"/>
              <w:right w:val="single" w:sz="12" w:space="0" w:color="7F7F7F"/>
            </w:tcBorders>
            <w:hideMark/>
          </w:tcPr>
          <w:p w:rsidR="00AB02F7" w:rsidRDefault="00AB02F7" w:rsidP="003B4BCE">
            <w:pPr>
              <w:keepNext/>
              <w:keepLines/>
              <w:widowControl w:val="0"/>
              <w:tabs>
                <w:tab w:val="left" w:pos="144"/>
              </w:tabs>
              <w:ind w:left="130"/>
              <w:rPr>
                <w:sz w:val="24"/>
                <w:szCs w:val="24"/>
                <w:lang w:eastAsia="de-DE"/>
              </w:rPr>
            </w:pPr>
            <w:r>
              <w:rPr>
                <w:sz w:val="24"/>
                <w:szCs w:val="24"/>
                <w:lang w:eastAsia="de-DE"/>
              </w:rPr>
              <w:t>336 (9,2)</w:t>
            </w:r>
          </w:p>
        </w:tc>
        <w:tc>
          <w:tcPr>
            <w:tcW w:w="1507" w:type="dxa"/>
            <w:tcBorders>
              <w:top w:val="single" w:sz="12" w:space="0" w:color="7F7F7F"/>
              <w:left w:val="single" w:sz="12" w:space="0" w:color="7F7F7F"/>
              <w:bottom w:val="single" w:sz="12" w:space="0" w:color="7F7F7F"/>
              <w:right w:val="single" w:sz="12" w:space="0" w:color="7F7F7F"/>
            </w:tcBorders>
            <w:hideMark/>
          </w:tcPr>
          <w:p w:rsidR="00AB02F7" w:rsidRDefault="00AB02F7" w:rsidP="003B4BCE">
            <w:pPr>
              <w:keepNext/>
              <w:keepLines/>
              <w:widowControl w:val="0"/>
              <w:tabs>
                <w:tab w:val="left" w:pos="144"/>
              </w:tabs>
              <w:ind w:left="121"/>
              <w:rPr>
                <w:sz w:val="24"/>
                <w:szCs w:val="24"/>
                <w:lang w:eastAsia="de-DE"/>
              </w:rPr>
            </w:pPr>
            <w:r>
              <w:rPr>
                <w:sz w:val="24"/>
                <w:szCs w:val="24"/>
                <w:lang w:eastAsia="de-DE"/>
              </w:rPr>
              <w:t>0,77</w:t>
            </w:r>
          </w:p>
          <w:p w:rsidR="00AB02F7" w:rsidRDefault="00AB02F7" w:rsidP="003B4BCE">
            <w:pPr>
              <w:keepNext/>
              <w:keepLines/>
              <w:widowControl w:val="0"/>
              <w:tabs>
                <w:tab w:val="left" w:pos="144"/>
              </w:tabs>
              <w:ind w:left="121"/>
              <w:rPr>
                <w:sz w:val="24"/>
                <w:szCs w:val="24"/>
                <w:lang w:eastAsia="de-DE"/>
              </w:rPr>
            </w:pPr>
            <w:r>
              <w:rPr>
                <w:sz w:val="24"/>
                <w:szCs w:val="24"/>
                <w:lang w:eastAsia="de-DE"/>
              </w:rPr>
              <w:t>(0,66-0,89)</w:t>
            </w:r>
          </w:p>
        </w:tc>
        <w:tc>
          <w:tcPr>
            <w:tcW w:w="1120" w:type="dxa"/>
            <w:tcBorders>
              <w:top w:val="single" w:sz="12" w:space="0" w:color="7F7F7F"/>
              <w:left w:val="single" w:sz="12" w:space="0" w:color="7F7F7F"/>
              <w:bottom w:val="single" w:sz="12" w:space="0" w:color="7F7F7F"/>
              <w:right w:val="single" w:sz="8" w:space="0" w:color="7F7F7F"/>
            </w:tcBorders>
            <w:hideMark/>
          </w:tcPr>
          <w:p w:rsidR="00AB02F7" w:rsidRDefault="00AB02F7" w:rsidP="003B4BCE">
            <w:pPr>
              <w:keepNext/>
              <w:keepLines/>
              <w:widowControl w:val="0"/>
              <w:tabs>
                <w:tab w:val="left" w:pos="144"/>
              </w:tabs>
              <w:ind w:left="122"/>
              <w:rPr>
                <w:sz w:val="24"/>
                <w:szCs w:val="24"/>
                <w:lang w:eastAsia="de-DE"/>
              </w:rPr>
            </w:pPr>
            <w:r>
              <w:rPr>
                <w:sz w:val="24"/>
                <w:szCs w:val="24"/>
                <w:lang w:eastAsia="de-DE"/>
              </w:rPr>
              <w:t>&lt;0,001</w:t>
            </w:r>
          </w:p>
        </w:tc>
      </w:tr>
    </w:tbl>
    <w:p w:rsidR="00AB02F7" w:rsidRDefault="00AB02F7" w:rsidP="00AB02F7">
      <w:pPr>
        <w:ind w:left="851"/>
        <w:rPr>
          <w:sz w:val="24"/>
          <w:szCs w:val="24"/>
        </w:rPr>
      </w:pPr>
    </w:p>
    <w:p w:rsidR="00AB02F7" w:rsidRPr="00F61885" w:rsidRDefault="00AB02F7" w:rsidP="00AB02F7">
      <w:pPr>
        <w:keepNext/>
        <w:keepLines/>
        <w:widowControl w:val="0"/>
        <w:ind w:left="1134" w:hanging="283"/>
        <w:rPr>
          <w:sz w:val="20"/>
        </w:rPr>
      </w:pPr>
      <w:r w:rsidRPr="00F61885">
        <w:rPr>
          <w:sz w:val="20"/>
        </w:rPr>
        <w:t>†</w:t>
      </w:r>
      <w:r w:rsidRPr="00F61885">
        <w:rPr>
          <w:sz w:val="20"/>
          <w:vertAlign w:val="superscript"/>
        </w:rPr>
        <w:tab/>
      </w:r>
      <w:r w:rsidRPr="00F61885">
        <w:rPr>
          <w:bCs/>
          <w:sz w:val="20"/>
        </w:rPr>
        <w:t xml:space="preserve">Tiden [dage] refererer til 1. kvartil af patienter. Tiden til eventanalyse blev foretaget ved hjælp af </w:t>
      </w:r>
      <w:proofErr w:type="spellStart"/>
      <w:r w:rsidRPr="00F61885">
        <w:rPr>
          <w:bCs/>
          <w:sz w:val="20"/>
        </w:rPr>
        <w:t>Cox’s</w:t>
      </w:r>
      <w:proofErr w:type="spellEnd"/>
      <w:r w:rsidRPr="00F61885">
        <w:rPr>
          <w:bCs/>
          <w:sz w:val="20"/>
        </w:rPr>
        <w:t xml:space="preserve"> proportionel risiko regressionsmodel med (</w:t>
      </w:r>
      <w:proofErr w:type="spellStart"/>
      <w:r w:rsidRPr="00F61885">
        <w:rPr>
          <w:bCs/>
          <w:sz w:val="20"/>
        </w:rPr>
        <w:t>poolede</w:t>
      </w:r>
      <w:proofErr w:type="spellEnd"/>
      <w:r w:rsidRPr="00F61885">
        <w:rPr>
          <w:bCs/>
          <w:sz w:val="20"/>
        </w:rPr>
        <w:t xml:space="preserve">) behandlingscentre og behandling som </w:t>
      </w:r>
      <w:proofErr w:type="spellStart"/>
      <w:r w:rsidRPr="00F61885">
        <w:rPr>
          <w:bCs/>
          <w:sz w:val="20"/>
        </w:rPr>
        <w:t>kovariat</w:t>
      </w:r>
      <w:proofErr w:type="spellEnd"/>
      <w:r w:rsidRPr="00F61885">
        <w:rPr>
          <w:bCs/>
          <w:sz w:val="20"/>
        </w:rPr>
        <w:t xml:space="preserve">; ratio refererer til </w:t>
      </w:r>
      <w:proofErr w:type="spellStart"/>
      <w:r w:rsidRPr="00F61885">
        <w:rPr>
          <w:bCs/>
          <w:sz w:val="20"/>
        </w:rPr>
        <w:t>hazard</w:t>
      </w:r>
      <w:proofErr w:type="spellEnd"/>
      <w:r w:rsidRPr="00F61885">
        <w:rPr>
          <w:bCs/>
          <w:sz w:val="20"/>
        </w:rPr>
        <w:t xml:space="preserve"> ratio.</w:t>
      </w:r>
    </w:p>
    <w:p w:rsidR="00AB02F7" w:rsidRPr="00F61885" w:rsidRDefault="00AB02F7" w:rsidP="00AB02F7">
      <w:pPr>
        <w:keepNext/>
        <w:keepLines/>
        <w:widowControl w:val="0"/>
        <w:ind w:left="1134" w:hanging="283"/>
        <w:rPr>
          <w:sz w:val="20"/>
        </w:rPr>
      </w:pPr>
      <w:r w:rsidRPr="00F61885">
        <w:rPr>
          <w:sz w:val="20"/>
        </w:rPr>
        <w:t>§</w:t>
      </w:r>
      <w:r w:rsidRPr="00F61885">
        <w:rPr>
          <w:sz w:val="20"/>
        </w:rPr>
        <w:tab/>
        <w:t xml:space="preserve">Tiden til eventanalyse </w:t>
      </w:r>
      <w:r w:rsidRPr="00F61885">
        <w:rPr>
          <w:bCs/>
          <w:sz w:val="20"/>
        </w:rPr>
        <w:t>blev foretaget ved hjælp af Cox proportionel risiko regressionsmodel med (</w:t>
      </w:r>
      <w:proofErr w:type="spellStart"/>
      <w:r w:rsidRPr="00F61885">
        <w:rPr>
          <w:bCs/>
          <w:sz w:val="20"/>
        </w:rPr>
        <w:t>poolede</w:t>
      </w:r>
      <w:proofErr w:type="spellEnd"/>
      <w:r w:rsidRPr="00F61885">
        <w:rPr>
          <w:bCs/>
          <w:sz w:val="20"/>
        </w:rPr>
        <w:t xml:space="preserve">) behandlingscentre og behandling som </w:t>
      </w:r>
      <w:proofErr w:type="spellStart"/>
      <w:r w:rsidRPr="00F61885">
        <w:rPr>
          <w:bCs/>
          <w:sz w:val="20"/>
        </w:rPr>
        <w:t>kovariat</w:t>
      </w:r>
      <w:proofErr w:type="spellEnd"/>
      <w:r w:rsidRPr="00F61885">
        <w:rPr>
          <w:bCs/>
          <w:sz w:val="20"/>
        </w:rPr>
        <w:t xml:space="preserve">; ratio refererer til </w:t>
      </w:r>
      <w:proofErr w:type="spellStart"/>
      <w:r w:rsidRPr="00F61885">
        <w:rPr>
          <w:bCs/>
          <w:sz w:val="20"/>
        </w:rPr>
        <w:t>hazard</w:t>
      </w:r>
      <w:proofErr w:type="spellEnd"/>
      <w:r w:rsidRPr="00F61885">
        <w:rPr>
          <w:bCs/>
          <w:sz w:val="20"/>
        </w:rPr>
        <w:t xml:space="preserve"> ratio</w:t>
      </w:r>
      <w:r w:rsidRPr="00F61885">
        <w:rPr>
          <w:sz w:val="20"/>
        </w:rPr>
        <w:t xml:space="preserve">. Tiden [dage] </w:t>
      </w:r>
      <w:r w:rsidRPr="00F61885">
        <w:rPr>
          <w:bCs/>
          <w:sz w:val="20"/>
        </w:rPr>
        <w:t>til 1. kvartil af patienter</w:t>
      </w:r>
      <w:r w:rsidRPr="00F61885">
        <w:rPr>
          <w:sz w:val="20"/>
        </w:rPr>
        <w:t xml:space="preserve"> kan ikke beregnes, da andelen af patienter med alvorlige </w:t>
      </w:r>
      <w:proofErr w:type="spellStart"/>
      <w:r w:rsidRPr="00F61885">
        <w:rPr>
          <w:sz w:val="20"/>
        </w:rPr>
        <w:t>exacerbationer</w:t>
      </w:r>
      <w:proofErr w:type="spellEnd"/>
      <w:r w:rsidRPr="00F61885">
        <w:rPr>
          <w:sz w:val="20"/>
        </w:rPr>
        <w:t xml:space="preserve"> er for lille.</w:t>
      </w:r>
    </w:p>
    <w:p w:rsidR="00AB02F7" w:rsidRPr="00F61885" w:rsidRDefault="00AB02F7" w:rsidP="00AB02F7">
      <w:pPr>
        <w:ind w:left="1134" w:hanging="283"/>
        <w:rPr>
          <w:sz w:val="20"/>
        </w:rPr>
      </w:pPr>
      <w:r w:rsidRPr="00F61885">
        <w:rPr>
          <w:sz w:val="20"/>
        </w:rPr>
        <w:t>*</w:t>
      </w:r>
      <w:r w:rsidRPr="00F61885">
        <w:rPr>
          <w:sz w:val="20"/>
        </w:rPr>
        <w:tab/>
      </w:r>
      <w:r w:rsidRPr="00F61885">
        <w:rPr>
          <w:bCs/>
          <w:sz w:val="20"/>
        </w:rPr>
        <w:t xml:space="preserve">Antallet af patienter som oplevede et event blev analyseret ved anvendelse </w:t>
      </w:r>
      <w:proofErr w:type="spellStart"/>
      <w:r w:rsidRPr="00F61885">
        <w:rPr>
          <w:bCs/>
          <w:sz w:val="20"/>
        </w:rPr>
        <w:t>Cochran</w:t>
      </w:r>
      <w:proofErr w:type="spellEnd"/>
      <w:r w:rsidRPr="00F61885">
        <w:rPr>
          <w:bCs/>
          <w:sz w:val="20"/>
        </w:rPr>
        <w:t>-</w:t>
      </w:r>
      <w:proofErr w:type="spellStart"/>
      <w:r w:rsidRPr="00F61885">
        <w:rPr>
          <w:bCs/>
          <w:sz w:val="20"/>
        </w:rPr>
        <w:t>Mantel</w:t>
      </w:r>
      <w:proofErr w:type="spellEnd"/>
      <w:r w:rsidRPr="00F61885">
        <w:rPr>
          <w:bCs/>
          <w:sz w:val="20"/>
        </w:rPr>
        <w:t>-</w:t>
      </w:r>
      <w:proofErr w:type="spellStart"/>
      <w:r w:rsidRPr="00F61885">
        <w:rPr>
          <w:bCs/>
          <w:sz w:val="20"/>
        </w:rPr>
        <w:t>Haenszel</w:t>
      </w:r>
      <w:proofErr w:type="spellEnd"/>
      <w:r w:rsidRPr="00F61885">
        <w:rPr>
          <w:bCs/>
          <w:sz w:val="20"/>
        </w:rPr>
        <w:t xml:space="preserve">-test stratificeret ved hjælp af </w:t>
      </w:r>
      <w:proofErr w:type="spellStart"/>
      <w:r w:rsidRPr="00F61885">
        <w:rPr>
          <w:bCs/>
          <w:sz w:val="20"/>
        </w:rPr>
        <w:t>poolede</w:t>
      </w:r>
      <w:proofErr w:type="spellEnd"/>
      <w:r w:rsidRPr="00F61885">
        <w:rPr>
          <w:bCs/>
          <w:sz w:val="20"/>
        </w:rPr>
        <w:t xml:space="preserve"> behandlingscentre; ratio henviser til ratio mellem fordele og ulemper.</w:t>
      </w:r>
    </w:p>
    <w:p w:rsidR="00AB02F7" w:rsidRDefault="00AB02F7" w:rsidP="00AB02F7">
      <w:pPr>
        <w:ind w:left="851"/>
        <w:rPr>
          <w:sz w:val="24"/>
          <w:szCs w:val="24"/>
        </w:rPr>
      </w:pPr>
    </w:p>
    <w:p w:rsidR="00AB02F7" w:rsidRDefault="00AB02F7" w:rsidP="00AB02F7">
      <w:pPr>
        <w:numPr>
          <w:ilvl w:val="12"/>
          <w:numId w:val="0"/>
        </w:numPr>
        <w:ind w:left="851" w:right="-2"/>
        <w:rPr>
          <w:sz w:val="24"/>
          <w:szCs w:val="24"/>
        </w:rPr>
      </w:pPr>
      <w:r>
        <w:rPr>
          <w:bCs/>
          <w:sz w:val="24"/>
          <w:szCs w:val="24"/>
        </w:rPr>
        <w:t xml:space="preserve">Sammenlignet med </w:t>
      </w:r>
      <w:proofErr w:type="spellStart"/>
      <w:r>
        <w:rPr>
          <w:bCs/>
          <w:sz w:val="24"/>
          <w:szCs w:val="24"/>
        </w:rPr>
        <w:t>salmeterol</w:t>
      </w:r>
      <w:proofErr w:type="spellEnd"/>
      <w:r>
        <w:rPr>
          <w:bCs/>
          <w:sz w:val="24"/>
          <w:szCs w:val="24"/>
        </w:rPr>
        <w:t xml:space="preserve"> øgede </w:t>
      </w:r>
      <w:proofErr w:type="spellStart"/>
      <w:r>
        <w:rPr>
          <w:sz w:val="24"/>
          <w:szCs w:val="24"/>
        </w:rPr>
        <w:t>tiotropium</w:t>
      </w:r>
      <w:proofErr w:type="spellEnd"/>
      <w:r>
        <w:rPr>
          <w:bCs/>
          <w:sz w:val="24"/>
          <w:szCs w:val="24"/>
        </w:rPr>
        <w:t xml:space="preserve"> tiden til den første </w:t>
      </w:r>
      <w:proofErr w:type="spellStart"/>
      <w:r>
        <w:rPr>
          <w:bCs/>
          <w:sz w:val="24"/>
          <w:szCs w:val="24"/>
        </w:rPr>
        <w:t>exacerbation</w:t>
      </w:r>
      <w:proofErr w:type="spellEnd"/>
      <w:r>
        <w:rPr>
          <w:bCs/>
          <w:sz w:val="24"/>
          <w:szCs w:val="24"/>
        </w:rPr>
        <w:t xml:space="preserve"> (187 dage </w:t>
      </w:r>
      <w:r>
        <w:rPr>
          <w:bCs/>
          <w:i/>
          <w:sz w:val="24"/>
          <w:szCs w:val="24"/>
        </w:rPr>
        <w:t>versus</w:t>
      </w:r>
      <w:r>
        <w:rPr>
          <w:bCs/>
          <w:sz w:val="24"/>
          <w:szCs w:val="24"/>
        </w:rPr>
        <w:t xml:space="preserve"> 145 dage), med 17 % reduktion af risiko (</w:t>
      </w:r>
      <w:proofErr w:type="spellStart"/>
      <w:r>
        <w:rPr>
          <w:bCs/>
          <w:i/>
          <w:sz w:val="24"/>
          <w:szCs w:val="24"/>
        </w:rPr>
        <w:t>hazard</w:t>
      </w:r>
      <w:proofErr w:type="spellEnd"/>
      <w:r>
        <w:rPr>
          <w:bCs/>
          <w:i/>
          <w:sz w:val="24"/>
          <w:szCs w:val="24"/>
        </w:rPr>
        <w:t xml:space="preserve"> ratio</w:t>
      </w:r>
      <w:r>
        <w:rPr>
          <w:bCs/>
          <w:sz w:val="24"/>
          <w:szCs w:val="24"/>
        </w:rPr>
        <w:t>, 0,83; 95</w:t>
      </w:r>
      <w:r>
        <w:rPr>
          <w:sz w:val="24"/>
          <w:szCs w:val="24"/>
        </w:rPr>
        <w:t xml:space="preserve"> %</w:t>
      </w:r>
      <w:r>
        <w:rPr>
          <w:bCs/>
          <w:sz w:val="24"/>
          <w:szCs w:val="24"/>
        </w:rPr>
        <w:t xml:space="preserve"> konfidensinterval [CI], fra 0,77 til </w:t>
      </w:r>
      <w:r>
        <w:rPr>
          <w:sz w:val="24"/>
          <w:szCs w:val="24"/>
        </w:rPr>
        <w:t xml:space="preserve">0,90; P&lt;0,001). </w:t>
      </w:r>
      <w:proofErr w:type="spellStart"/>
      <w:r>
        <w:rPr>
          <w:sz w:val="24"/>
          <w:szCs w:val="24"/>
        </w:rPr>
        <w:t>Tiotropium</w:t>
      </w:r>
      <w:proofErr w:type="spellEnd"/>
      <w:r>
        <w:rPr>
          <w:sz w:val="24"/>
          <w:szCs w:val="24"/>
        </w:rPr>
        <w:t xml:space="preserve"> øgede også tiden til den første alvorlige </w:t>
      </w:r>
      <w:proofErr w:type="spellStart"/>
      <w:r>
        <w:rPr>
          <w:sz w:val="24"/>
          <w:szCs w:val="24"/>
        </w:rPr>
        <w:t>exacerbation</w:t>
      </w:r>
      <w:proofErr w:type="spellEnd"/>
      <w:r>
        <w:rPr>
          <w:sz w:val="24"/>
          <w:szCs w:val="24"/>
        </w:rPr>
        <w:t xml:space="preserve"> (</w:t>
      </w:r>
      <w:proofErr w:type="spellStart"/>
      <w:r>
        <w:rPr>
          <w:i/>
          <w:sz w:val="24"/>
          <w:szCs w:val="24"/>
        </w:rPr>
        <w:t>hazard</w:t>
      </w:r>
      <w:proofErr w:type="spellEnd"/>
      <w:r>
        <w:rPr>
          <w:i/>
          <w:sz w:val="24"/>
          <w:szCs w:val="24"/>
        </w:rPr>
        <w:t xml:space="preserve"> ratio</w:t>
      </w:r>
      <w:r>
        <w:rPr>
          <w:sz w:val="24"/>
          <w:szCs w:val="24"/>
        </w:rPr>
        <w:t>, 0,72; 95 % CI, 0,61 til 0,85, P&lt;0,001).</w:t>
      </w:r>
    </w:p>
    <w:p w:rsidR="00AB02F7" w:rsidRDefault="00AB02F7" w:rsidP="00AB02F7">
      <w:pPr>
        <w:keepNext/>
        <w:keepLines/>
        <w:widowControl w:val="0"/>
        <w:numPr>
          <w:ilvl w:val="12"/>
          <w:numId w:val="0"/>
        </w:numPr>
        <w:ind w:left="851"/>
        <w:rPr>
          <w:iCs/>
          <w:sz w:val="24"/>
          <w:szCs w:val="24"/>
        </w:rPr>
      </w:pPr>
    </w:p>
    <w:p w:rsidR="00AB02F7" w:rsidRDefault="00AB02F7" w:rsidP="00AB02F7">
      <w:pPr>
        <w:keepNext/>
        <w:keepLines/>
        <w:widowControl w:val="0"/>
        <w:numPr>
          <w:ilvl w:val="12"/>
          <w:numId w:val="0"/>
        </w:numPr>
        <w:ind w:left="851"/>
        <w:rPr>
          <w:iCs/>
          <w:sz w:val="24"/>
          <w:szCs w:val="24"/>
        </w:rPr>
      </w:pPr>
      <w:r>
        <w:rPr>
          <w:sz w:val="24"/>
          <w:szCs w:val="24"/>
          <w:u w:val="single"/>
        </w:rPr>
        <w:t>Kliniske langtidsforsøg (over 1 år, op til 4 år)</w:t>
      </w:r>
    </w:p>
    <w:p w:rsidR="00AB02F7" w:rsidRDefault="00AB02F7" w:rsidP="00AB02F7">
      <w:pPr>
        <w:numPr>
          <w:ilvl w:val="12"/>
          <w:numId w:val="0"/>
        </w:numPr>
        <w:ind w:left="851" w:right="-2"/>
        <w:rPr>
          <w:iCs/>
          <w:sz w:val="24"/>
          <w:szCs w:val="24"/>
        </w:rPr>
      </w:pPr>
      <w:r>
        <w:rPr>
          <w:iCs/>
          <w:sz w:val="24"/>
          <w:szCs w:val="24"/>
        </w:rPr>
        <w:t xml:space="preserve">I et 4-årigt randomiseret, dobbelt-blindt, placebokontrolleret klinisk forsøg med 5.993 randomiserede patienter (3.006 i placebogruppen og 2.987 i </w:t>
      </w:r>
      <w:proofErr w:type="spellStart"/>
      <w:r>
        <w:rPr>
          <w:sz w:val="24"/>
          <w:szCs w:val="24"/>
        </w:rPr>
        <w:t>tiotropium</w:t>
      </w:r>
      <w:r>
        <w:rPr>
          <w:iCs/>
          <w:sz w:val="24"/>
          <w:szCs w:val="24"/>
        </w:rPr>
        <w:t>gruppen</w:t>
      </w:r>
      <w:proofErr w:type="spellEnd"/>
      <w:r>
        <w:rPr>
          <w:iCs/>
          <w:sz w:val="24"/>
          <w:szCs w:val="24"/>
        </w:rPr>
        <w:t>) forblev forbedringen af FEV</w:t>
      </w:r>
      <w:r>
        <w:rPr>
          <w:iCs/>
          <w:sz w:val="24"/>
          <w:szCs w:val="24"/>
          <w:vertAlign w:val="subscript"/>
        </w:rPr>
        <w:t>1</w:t>
      </w:r>
      <w:r>
        <w:rPr>
          <w:iCs/>
          <w:sz w:val="24"/>
          <w:szCs w:val="24"/>
        </w:rPr>
        <w:t xml:space="preserve"> i </w:t>
      </w:r>
      <w:proofErr w:type="spellStart"/>
      <w:r>
        <w:rPr>
          <w:sz w:val="24"/>
          <w:szCs w:val="24"/>
        </w:rPr>
        <w:t>tiotropium</w:t>
      </w:r>
      <w:r>
        <w:rPr>
          <w:iCs/>
          <w:sz w:val="24"/>
          <w:szCs w:val="24"/>
        </w:rPr>
        <w:t>gruppen</w:t>
      </w:r>
      <w:proofErr w:type="spellEnd"/>
      <w:r>
        <w:rPr>
          <w:iCs/>
          <w:sz w:val="24"/>
          <w:szCs w:val="24"/>
        </w:rPr>
        <w:t xml:space="preserve"> konstant i alle 4 år. Flere patienter i </w:t>
      </w:r>
      <w:proofErr w:type="spellStart"/>
      <w:r>
        <w:rPr>
          <w:sz w:val="24"/>
          <w:szCs w:val="24"/>
        </w:rPr>
        <w:t>tiotropium</w:t>
      </w:r>
      <w:r>
        <w:rPr>
          <w:iCs/>
          <w:sz w:val="24"/>
          <w:szCs w:val="24"/>
        </w:rPr>
        <w:t>gruppen</w:t>
      </w:r>
      <w:proofErr w:type="spellEnd"/>
      <w:r>
        <w:rPr>
          <w:iCs/>
          <w:sz w:val="24"/>
          <w:szCs w:val="24"/>
        </w:rPr>
        <w:t xml:space="preserve"> i forhold til placebogruppen </w:t>
      </w:r>
      <w:r>
        <w:rPr>
          <w:bCs/>
          <w:sz w:val="24"/>
          <w:szCs w:val="24"/>
          <w:lang w:eastAsia="de-DE"/>
        </w:rPr>
        <w:t xml:space="preserve">(63,8 % </w:t>
      </w:r>
      <w:r>
        <w:rPr>
          <w:bCs/>
          <w:i/>
          <w:iCs/>
          <w:sz w:val="24"/>
          <w:szCs w:val="24"/>
          <w:lang w:eastAsia="de-DE"/>
        </w:rPr>
        <w:t xml:space="preserve">versus </w:t>
      </w:r>
      <w:r>
        <w:rPr>
          <w:bCs/>
          <w:sz w:val="24"/>
          <w:szCs w:val="24"/>
          <w:lang w:eastAsia="de-DE"/>
        </w:rPr>
        <w:t xml:space="preserve">55,4 %, p&lt;0,001) gennemførte ≥ 45 måneders behandling. Det årlige fald i </w:t>
      </w:r>
      <w:r>
        <w:rPr>
          <w:iCs/>
          <w:sz w:val="24"/>
          <w:szCs w:val="24"/>
        </w:rPr>
        <w:t>FEV</w:t>
      </w:r>
      <w:r>
        <w:rPr>
          <w:iCs/>
          <w:sz w:val="24"/>
          <w:szCs w:val="24"/>
          <w:vertAlign w:val="subscript"/>
        </w:rPr>
        <w:t>1</w:t>
      </w:r>
      <w:r>
        <w:rPr>
          <w:bCs/>
          <w:sz w:val="24"/>
          <w:szCs w:val="24"/>
          <w:lang w:eastAsia="de-DE"/>
        </w:rPr>
        <w:t xml:space="preserve"> var sammenligneligt i de to behandlingsgrupper. I behandlingsperioden sås en reduktion på 16 % i risikoen for død. </w:t>
      </w:r>
      <w:proofErr w:type="spellStart"/>
      <w:r>
        <w:rPr>
          <w:bCs/>
          <w:sz w:val="24"/>
          <w:szCs w:val="24"/>
          <w:lang w:eastAsia="de-DE"/>
        </w:rPr>
        <w:t>Incidensen</w:t>
      </w:r>
      <w:proofErr w:type="spellEnd"/>
      <w:r>
        <w:rPr>
          <w:bCs/>
          <w:sz w:val="24"/>
          <w:szCs w:val="24"/>
          <w:lang w:eastAsia="de-DE"/>
        </w:rPr>
        <w:t xml:space="preserve"> for død var 4,79 pr 100 </w:t>
      </w:r>
      <w:proofErr w:type="spellStart"/>
      <w:r>
        <w:rPr>
          <w:bCs/>
          <w:sz w:val="24"/>
          <w:szCs w:val="24"/>
          <w:lang w:eastAsia="de-DE"/>
        </w:rPr>
        <w:t>patientår</w:t>
      </w:r>
      <w:proofErr w:type="spellEnd"/>
      <w:r>
        <w:rPr>
          <w:bCs/>
          <w:sz w:val="24"/>
          <w:szCs w:val="24"/>
          <w:lang w:eastAsia="de-DE"/>
        </w:rPr>
        <w:t xml:space="preserve"> i placebogruppen mod 4,10 pr 100 </w:t>
      </w:r>
      <w:proofErr w:type="spellStart"/>
      <w:r>
        <w:rPr>
          <w:bCs/>
          <w:sz w:val="24"/>
          <w:szCs w:val="24"/>
          <w:lang w:eastAsia="de-DE"/>
        </w:rPr>
        <w:t>patientår</w:t>
      </w:r>
      <w:proofErr w:type="spellEnd"/>
      <w:r>
        <w:rPr>
          <w:bCs/>
          <w:sz w:val="24"/>
          <w:szCs w:val="24"/>
          <w:lang w:eastAsia="de-DE"/>
        </w:rPr>
        <w:t xml:space="preserve"> i </w:t>
      </w:r>
      <w:proofErr w:type="spellStart"/>
      <w:r>
        <w:rPr>
          <w:bCs/>
          <w:sz w:val="24"/>
          <w:szCs w:val="24"/>
          <w:lang w:eastAsia="de-DE"/>
        </w:rPr>
        <w:t>tiotropiumgruppen</w:t>
      </w:r>
      <w:proofErr w:type="spellEnd"/>
      <w:r>
        <w:rPr>
          <w:bCs/>
          <w:sz w:val="24"/>
          <w:szCs w:val="24"/>
          <w:lang w:eastAsia="de-DE"/>
        </w:rPr>
        <w:t xml:space="preserve"> (</w:t>
      </w:r>
      <w:proofErr w:type="spellStart"/>
      <w:r>
        <w:rPr>
          <w:bCs/>
          <w:i/>
          <w:sz w:val="24"/>
          <w:szCs w:val="24"/>
          <w:lang w:eastAsia="de-DE"/>
        </w:rPr>
        <w:t>hazard</w:t>
      </w:r>
      <w:proofErr w:type="spellEnd"/>
      <w:r>
        <w:rPr>
          <w:bCs/>
          <w:i/>
          <w:sz w:val="24"/>
          <w:szCs w:val="24"/>
          <w:lang w:eastAsia="de-DE"/>
        </w:rPr>
        <w:t xml:space="preserve"> ratio </w:t>
      </w:r>
      <w:r>
        <w:rPr>
          <w:bCs/>
          <w:sz w:val="24"/>
          <w:szCs w:val="24"/>
          <w:lang w:eastAsia="de-DE"/>
        </w:rPr>
        <w:t>(</w:t>
      </w:r>
      <w:proofErr w:type="spellStart"/>
      <w:r>
        <w:rPr>
          <w:rFonts w:ascii="(Asiatische Schriftart verwende" w:hAnsi="(Asiatische Schriftart verwende"/>
          <w:sz w:val="24"/>
          <w:szCs w:val="24"/>
          <w:lang w:bidi="bn-IN"/>
        </w:rPr>
        <w:t>tiotropium</w:t>
      </w:r>
      <w:proofErr w:type="spellEnd"/>
      <w:r>
        <w:rPr>
          <w:rFonts w:ascii="(Asiatische Schriftart verwende" w:hAnsi="(Asiatische Schriftart verwende"/>
          <w:sz w:val="24"/>
          <w:szCs w:val="24"/>
          <w:lang w:bidi="bn-IN"/>
        </w:rPr>
        <w:t xml:space="preserve">/placebo) = 0,84; 95 % CI = 0,73 til 0,97). Behandling med </w:t>
      </w:r>
      <w:proofErr w:type="spellStart"/>
      <w:r>
        <w:rPr>
          <w:rFonts w:ascii="(Asiatische Schriftart verwende" w:hAnsi="(Asiatische Schriftart verwende"/>
          <w:sz w:val="24"/>
          <w:szCs w:val="24"/>
          <w:lang w:bidi="bn-IN"/>
        </w:rPr>
        <w:t>tiotropium</w:t>
      </w:r>
      <w:proofErr w:type="spellEnd"/>
      <w:r>
        <w:rPr>
          <w:rFonts w:ascii="(Asiatische Schriftart verwende" w:hAnsi="(Asiatische Schriftart verwende"/>
          <w:sz w:val="24"/>
          <w:szCs w:val="24"/>
          <w:lang w:bidi="bn-IN"/>
        </w:rPr>
        <w:t xml:space="preserve"> reducerede risikoen for respirationssvigt (registreret som rapporterede bivirkninger) med </w:t>
      </w:r>
      <w:r>
        <w:rPr>
          <w:rFonts w:ascii="(Asiatische Schriftart verwende" w:hAnsi="(Asiatische Schriftart verwende"/>
          <w:sz w:val="24"/>
          <w:szCs w:val="24"/>
        </w:rPr>
        <w:t xml:space="preserve">19 % (2,09 </w:t>
      </w:r>
      <w:r>
        <w:rPr>
          <w:rFonts w:ascii="(Asiatische Schriftart verwende" w:hAnsi="(Asiatische Schriftart verwende"/>
          <w:i/>
          <w:iCs/>
          <w:sz w:val="24"/>
          <w:szCs w:val="24"/>
        </w:rPr>
        <w:t>vs</w:t>
      </w:r>
      <w:r>
        <w:rPr>
          <w:rFonts w:ascii="(Asiatische Schriftart verwende" w:hAnsi="(Asiatische Schriftart verwende"/>
          <w:sz w:val="24"/>
          <w:szCs w:val="24"/>
        </w:rPr>
        <w:t xml:space="preserve">. 1,68 tilfælde per 100 </w:t>
      </w:r>
      <w:proofErr w:type="spellStart"/>
      <w:r>
        <w:rPr>
          <w:rFonts w:ascii="(Asiatische Schriftart verwende" w:hAnsi="(Asiatische Schriftart verwende"/>
          <w:sz w:val="24"/>
          <w:szCs w:val="24"/>
        </w:rPr>
        <w:t>patientår</w:t>
      </w:r>
      <w:proofErr w:type="spellEnd"/>
      <w:r>
        <w:rPr>
          <w:rFonts w:ascii="(Asiatische Schriftart verwende" w:hAnsi="(Asiatische Schriftart verwende"/>
          <w:sz w:val="24"/>
          <w:szCs w:val="24"/>
        </w:rPr>
        <w:t>, relativ risiko (</w:t>
      </w:r>
      <w:proofErr w:type="spellStart"/>
      <w:r>
        <w:rPr>
          <w:rFonts w:ascii="(Asiatische Schriftart verwende" w:hAnsi="(Asiatische Schriftart verwende"/>
          <w:sz w:val="24"/>
          <w:szCs w:val="24"/>
        </w:rPr>
        <w:t>tiotropium</w:t>
      </w:r>
      <w:proofErr w:type="spellEnd"/>
      <w:r>
        <w:rPr>
          <w:rFonts w:ascii="(Asiatische Schriftart verwende" w:hAnsi="(Asiatische Schriftart verwende"/>
          <w:sz w:val="24"/>
          <w:szCs w:val="24"/>
        </w:rPr>
        <w:t>/placebo) = 0,81; 95 % CI = 0,65 til</w:t>
      </w:r>
      <w:r>
        <w:rPr>
          <w:rFonts w:ascii="(Asiatische Schriftart verwende" w:hAnsi="(Asiatische Schriftart verwende"/>
          <w:bCs/>
          <w:sz w:val="24"/>
          <w:szCs w:val="24"/>
        </w:rPr>
        <w:t xml:space="preserve"> </w:t>
      </w:r>
      <w:r>
        <w:rPr>
          <w:rFonts w:ascii="(Asiatische Schriftart verwende" w:hAnsi="(Asiatische Schriftart verwende"/>
          <w:sz w:val="24"/>
          <w:szCs w:val="24"/>
        </w:rPr>
        <w:t>0,999).</w:t>
      </w:r>
    </w:p>
    <w:p w:rsidR="00AB02F7" w:rsidRDefault="00AB02F7" w:rsidP="00AB02F7">
      <w:pPr>
        <w:numPr>
          <w:ilvl w:val="12"/>
          <w:numId w:val="0"/>
        </w:numPr>
        <w:ind w:left="851" w:right="-2"/>
        <w:rPr>
          <w:iCs/>
          <w:sz w:val="24"/>
          <w:szCs w:val="24"/>
        </w:rPr>
      </w:pPr>
    </w:p>
    <w:p w:rsidR="00AB02F7" w:rsidRPr="00361489" w:rsidRDefault="00AB02F7" w:rsidP="00AB02F7">
      <w:pPr>
        <w:keepNext/>
        <w:keepLines/>
        <w:widowControl w:val="0"/>
        <w:numPr>
          <w:ilvl w:val="12"/>
          <w:numId w:val="0"/>
        </w:numPr>
        <w:ind w:left="851"/>
        <w:rPr>
          <w:iCs/>
          <w:sz w:val="24"/>
          <w:szCs w:val="24"/>
        </w:rPr>
      </w:pPr>
      <w:r w:rsidRPr="00361489">
        <w:rPr>
          <w:iCs/>
          <w:sz w:val="24"/>
          <w:szCs w:val="24"/>
          <w:u w:val="single"/>
        </w:rPr>
        <w:t xml:space="preserve">Aktivt-kontrolleret forsøg med </w:t>
      </w:r>
      <w:proofErr w:type="spellStart"/>
      <w:r w:rsidRPr="00361489">
        <w:rPr>
          <w:iCs/>
          <w:sz w:val="24"/>
          <w:szCs w:val="24"/>
          <w:u w:val="single"/>
        </w:rPr>
        <w:t>tiotropium</w:t>
      </w:r>
      <w:proofErr w:type="spellEnd"/>
    </w:p>
    <w:p w:rsidR="00AB02F7" w:rsidRDefault="00AB02F7" w:rsidP="00AB02F7">
      <w:pPr>
        <w:numPr>
          <w:ilvl w:val="12"/>
          <w:numId w:val="0"/>
        </w:numPr>
        <w:ind w:left="851" w:right="-2"/>
        <w:rPr>
          <w:iCs/>
          <w:sz w:val="24"/>
          <w:szCs w:val="24"/>
        </w:rPr>
      </w:pPr>
      <w:r>
        <w:rPr>
          <w:iCs/>
          <w:sz w:val="24"/>
          <w:szCs w:val="24"/>
        </w:rPr>
        <w:t xml:space="preserve">Der er udført et stort, randomiseret, dobbeltblindet og aktivt-kontrolleret langtidsstudie med en observationsperiode på op til 3 år for at sammenligne virkningen og sikkerheden af </w:t>
      </w:r>
      <w:proofErr w:type="spellStart"/>
      <w:r>
        <w:rPr>
          <w:sz w:val="24"/>
          <w:szCs w:val="24"/>
        </w:rPr>
        <w:t>tiotropiumbromid</w:t>
      </w:r>
      <w:proofErr w:type="spellEnd"/>
      <w:r>
        <w:rPr>
          <w:sz w:val="24"/>
          <w:szCs w:val="24"/>
        </w:rPr>
        <w:t xml:space="preserve"> </w:t>
      </w:r>
      <w:r>
        <w:rPr>
          <w:iCs/>
          <w:sz w:val="24"/>
          <w:szCs w:val="24"/>
        </w:rPr>
        <w:t xml:space="preserve">som inhalationspulver og </w:t>
      </w:r>
      <w:proofErr w:type="spellStart"/>
      <w:r>
        <w:rPr>
          <w:sz w:val="24"/>
          <w:szCs w:val="24"/>
        </w:rPr>
        <w:t>tiotropiumbromid</w:t>
      </w:r>
      <w:proofErr w:type="spellEnd"/>
      <w:r>
        <w:rPr>
          <w:sz w:val="24"/>
          <w:szCs w:val="24"/>
        </w:rPr>
        <w:t xml:space="preserve"> som inhalationsvæske </w:t>
      </w:r>
      <w:r>
        <w:rPr>
          <w:iCs/>
          <w:sz w:val="24"/>
          <w:szCs w:val="24"/>
        </w:rPr>
        <w:t xml:space="preserve">(5.694 patienter fik </w:t>
      </w:r>
      <w:proofErr w:type="spellStart"/>
      <w:r>
        <w:rPr>
          <w:sz w:val="24"/>
          <w:szCs w:val="24"/>
        </w:rPr>
        <w:t>tiotropiumbromid</w:t>
      </w:r>
      <w:proofErr w:type="spellEnd"/>
      <w:r>
        <w:rPr>
          <w:iCs/>
          <w:sz w:val="24"/>
          <w:szCs w:val="24"/>
        </w:rPr>
        <w:t xml:space="preserve"> som inhalationspulver og 5.711 patienter fik </w:t>
      </w:r>
      <w:proofErr w:type="spellStart"/>
      <w:r>
        <w:rPr>
          <w:sz w:val="24"/>
          <w:szCs w:val="24"/>
        </w:rPr>
        <w:t>tiotropiumbromid</w:t>
      </w:r>
      <w:proofErr w:type="spellEnd"/>
      <w:r>
        <w:rPr>
          <w:sz w:val="24"/>
          <w:szCs w:val="24"/>
        </w:rPr>
        <w:t xml:space="preserve"> som inhalationsvæske</w:t>
      </w:r>
      <w:r>
        <w:rPr>
          <w:iCs/>
          <w:sz w:val="24"/>
          <w:szCs w:val="24"/>
        </w:rPr>
        <w:t>). De primære endepunkter var tid til første KOL-</w:t>
      </w:r>
      <w:proofErr w:type="spellStart"/>
      <w:r>
        <w:rPr>
          <w:iCs/>
          <w:sz w:val="24"/>
          <w:szCs w:val="24"/>
        </w:rPr>
        <w:t>eksacerbation</w:t>
      </w:r>
      <w:proofErr w:type="spellEnd"/>
      <w:r>
        <w:rPr>
          <w:iCs/>
          <w:sz w:val="24"/>
          <w:szCs w:val="24"/>
        </w:rPr>
        <w:t xml:space="preserve"> og tid til mortalitet af alle årsager, og i et delforsøg (906 patienter) dal FEV</w:t>
      </w:r>
      <w:r>
        <w:rPr>
          <w:iCs/>
          <w:sz w:val="24"/>
          <w:szCs w:val="24"/>
          <w:vertAlign w:val="subscript"/>
        </w:rPr>
        <w:t xml:space="preserve">1 </w:t>
      </w:r>
      <w:r>
        <w:rPr>
          <w:iCs/>
          <w:sz w:val="24"/>
          <w:szCs w:val="24"/>
        </w:rPr>
        <w:t>(før dosis).</w:t>
      </w:r>
    </w:p>
    <w:p w:rsidR="00AB02F7" w:rsidRDefault="00AB02F7" w:rsidP="00AB02F7">
      <w:pPr>
        <w:numPr>
          <w:ilvl w:val="12"/>
          <w:numId w:val="0"/>
        </w:numPr>
        <w:ind w:left="851" w:right="-2"/>
        <w:rPr>
          <w:iCs/>
          <w:sz w:val="24"/>
          <w:szCs w:val="24"/>
        </w:rPr>
      </w:pPr>
    </w:p>
    <w:p w:rsidR="00AB02F7" w:rsidRDefault="00AB02F7" w:rsidP="00AB02F7">
      <w:pPr>
        <w:numPr>
          <w:ilvl w:val="12"/>
          <w:numId w:val="0"/>
        </w:numPr>
        <w:ind w:left="851" w:right="-2"/>
        <w:rPr>
          <w:iCs/>
          <w:sz w:val="24"/>
          <w:szCs w:val="24"/>
        </w:rPr>
      </w:pPr>
      <w:r>
        <w:rPr>
          <w:iCs/>
          <w:sz w:val="24"/>
          <w:szCs w:val="24"/>
        </w:rPr>
        <w:t>Tid til første KOL-</w:t>
      </w:r>
      <w:proofErr w:type="spellStart"/>
      <w:r>
        <w:rPr>
          <w:iCs/>
          <w:sz w:val="24"/>
          <w:szCs w:val="24"/>
        </w:rPr>
        <w:t>eksacerbation</w:t>
      </w:r>
      <w:proofErr w:type="spellEnd"/>
      <w:r>
        <w:rPr>
          <w:iCs/>
          <w:sz w:val="24"/>
          <w:szCs w:val="24"/>
        </w:rPr>
        <w:t xml:space="preserve"> var numerisk af samme størrelsesorden i forsøget med </w:t>
      </w:r>
      <w:proofErr w:type="spellStart"/>
      <w:r>
        <w:rPr>
          <w:sz w:val="24"/>
          <w:szCs w:val="24"/>
        </w:rPr>
        <w:t>tiotropiumbromid</w:t>
      </w:r>
      <w:proofErr w:type="spellEnd"/>
      <w:r>
        <w:rPr>
          <w:iCs/>
          <w:sz w:val="24"/>
          <w:szCs w:val="24"/>
        </w:rPr>
        <w:t xml:space="preserve"> som inhalationspulver og </w:t>
      </w:r>
      <w:proofErr w:type="spellStart"/>
      <w:r>
        <w:rPr>
          <w:sz w:val="24"/>
          <w:szCs w:val="24"/>
        </w:rPr>
        <w:t>tiotropiumbromid</w:t>
      </w:r>
      <w:proofErr w:type="spellEnd"/>
      <w:r>
        <w:rPr>
          <w:sz w:val="24"/>
          <w:szCs w:val="24"/>
        </w:rPr>
        <w:t xml:space="preserve"> som inhalationsvæske</w:t>
      </w:r>
      <w:r>
        <w:rPr>
          <w:iCs/>
          <w:sz w:val="24"/>
          <w:szCs w:val="24"/>
        </w:rPr>
        <w:t xml:space="preserve"> (</w:t>
      </w:r>
      <w:proofErr w:type="spellStart"/>
      <w:r>
        <w:rPr>
          <w:i/>
          <w:iCs/>
          <w:sz w:val="24"/>
          <w:szCs w:val="24"/>
        </w:rPr>
        <w:t>hazard</w:t>
      </w:r>
      <w:proofErr w:type="spellEnd"/>
      <w:r>
        <w:rPr>
          <w:i/>
          <w:iCs/>
          <w:sz w:val="24"/>
          <w:szCs w:val="24"/>
        </w:rPr>
        <w:t xml:space="preserve"> ratio</w:t>
      </w:r>
      <w:r>
        <w:rPr>
          <w:iCs/>
          <w:sz w:val="24"/>
          <w:szCs w:val="24"/>
        </w:rPr>
        <w:t xml:space="preserve"> (</w:t>
      </w:r>
      <w:proofErr w:type="spellStart"/>
      <w:r>
        <w:rPr>
          <w:sz w:val="24"/>
          <w:szCs w:val="24"/>
        </w:rPr>
        <w:t>tiotropiumbromid</w:t>
      </w:r>
      <w:proofErr w:type="spellEnd"/>
      <w:r>
        <w:rPr>
          <w:iCs/>
          <w:sz w:val="24"/>
          <w:szCs w:val="24"/>
        </w:rPr>
        <w:t xml:space="preserve"> inhalationspulver /</w:t>
      </w:r>
      <w:r>
        <w:rPr>
          <w:sz w:val="24"/>
          <w:szCs w:val="24"/>
        </w:rPr>
        <w:t xml:space="preserve"> </w:t>
      </w:r>
      <w:proofErr w:type="spellStart"/>
      <w:r>
        <w:rPr>
          <w:sz w:val="24"/>
          <w:szCs w:val="24"/>
        </w:rPr>
        <w:t>tiotropiumbromid</w:t>
      </w:r>
      <w:proofErr w:type="spellEnd"/>
      <w:r>
        <w:rPr>
          <w:sz w:val="24"/>
          <w:szCs w:val="24"/>
        </w:rPr>
        <w:t xml:space="preserve"> inhalationsvæske</w:t>
      </w:r>
      <w:r>
        <w:rPr>
          <w:iCs/>
          <w:sz w:val="24"/>
          <w:szCs w:val="24"/>
        </w:rPr>
        <w:t xml:space="preserve">) 1,02 med et 95 % CI = 0,97 til 1,08). Det </w:t>
      </w:r>
      <w:proofErr w:type="spellStart"/>
      <w:r>
        <w:rPr>
          <w:iCs/>
          <w:sz w:val="24"/>
          <w:szCs w:val="24"/>
        </w:rPr>
        <w:t>mediane</w:t>
      </w:r>
      <w:proofErr w:type="spellEnd"/>
      <w:r>
        <w:rPr>
          <w:iCs/>
          <w:sz w:val="24"/>
          <w:szCs w:val="24"/>
        </w:rPr>
        <w:t xml:space="preserve"> antal dage til den første KOL-</w:t>
      </w:r>
      <w:proofErr w:type="spellStart"/>
      <w:r>
        <w:rPr>
          <w:iCs/>
          <w:sz w:val="24"/>
          <w:szCs w:val="24"/>
        </w:rPr>
        <w:t>eksacerbation</w:t>
      </w:r>
      <w:proofErr w:type="spellEnd"/>
      <w:r>
        <w:rPr>
          <w:iCs/>
          <w:sz w:val="24"/>
          <w:szCs w:val="24"/>
        </w:rPr>
        <w:t xml:space="preserve"> var 719 dage for </w:t>
      </w:r>
      <w:proofErr w:type="spellStart"/>
      <w:r>
        <w:rPr>
          <w:sz w:val="24"/>
          <w:szCs w:val="24"/>
        </w:rPr>
        <w:t>tiotropiumbromid</w:t>
      </w:r>
      <w:proofErr w:type="spellEnd"/>
      <w:r>
        <w:rPr>
          <w:iCs/>
          <w:sz w:val="24"/>
          <w:szCs w:val="24"/>
        </w:rPr>
        <w:t xml:space="preserve"> inhalationspulver og 756 dage for </w:t>
      </w:r>
      <w:proofErr w:type="spellStart"/>
      <w:r>
        <w:rPr>
          <w:sz w:val="24"/>
          <w:szCs w:val="24"/>
        </w:rPr>
        <w:t>tiotropiumbromid</w:t>
      </w:r>
      <w:proofErr w:type="spellEnd"/>
      <w:r>
        <w:rPr>
          <w:sz w:val="24"/>
          <w:szCs w:val="24"/>
        </w:rPr>
        <w:t xml:space="preserve"> inhalationsvæske</w:t>
      </w:r>
      <w:r>
        <w:rPr>
          <w:iCs/>
          <w:sz w:val="24"/>
          <w:szCs w:val="24"/>
        </w:rPr>
        <w:t>.</w:t>
      </w:r>
    </w:p>
    <w:p w:rsidR="00AB02F7" w:rsidRDefault="00AB02F7" w:rsidP="00AB02F7">
      <w:pPr>
        <w:numPr>
          <w:ilvl w:val="12"/>
          <w:numId w:val="0"/>
        </w:numPr>
        <w:ind w:left="851" w:right="-2"/>
        <w:rPr>
          <w:iCs/>
          <w:sz w:val="24"/>
          <w:szCs w:val="24"/>
        </w:rPr>
      </w:pPr>
    </w:p>
    <w:p w:rsidR="00AB02F7" w:rsidRDefault="00AB02F7" w:rsidP="00AB02F7">
      <w:pPr>
        <w:numPr>
          <w:ilvl w:val="12"/>
          <w:numId w:val="0"/>
        </w:numPr>
        <w:ind w:left="851" w:right="-2"/>
        <w:rPr>
          <w:iCs/>
          <w:sz w:val="24"/>
          <w:szCs w:val="24"/>
        </w:rPr>
      </w:pPr>
      <w:r>
        <w:rPr>
          <w:iCs/>
          <w:sz w:val="24"/>
          <w:szCs w:val="24"/>
        </w:rPr>
        <w:t xml:space="preserve">Den </w:t>
      </w:r>
      <w:proofErr w:type="spellStart"/>
      <w:r>
        <w:rPr>
          <w:iCs/>
          <w:sz w:val="24"/>
          <w:szCs w:val="24"/>
        </w:rPr>
        <w:t>bronkodilaterende</w:t>
      </w:r>
      <w:proofErr w:type="spellEnd"/>
      <w:r>
        <w:rPr>
          <w:iCs/>
          <w:sz w:val="24"/>
          <w:szCs w:val="24"/>
        </w:rPr>
        <w:t xml:space="preserve"> virkning af </w:t>
      </w:r>
      <w:proofErr w:type="spellStart"/>
      <w:r>
        <w:rPr>
          <w:sz w:val="24"/>
          <w:szCs w:val="24"/>
        </w:rPr>
        <w:t>tiotropiumbromid</w:t>
      </w:r>
      <w:proofErr w:type="spellEnd"/>
      <w:r>
        <w:rPr>
          <w:iCs/>
          <w:sz w:val="24"/>
          <w:szCs w:val="24"/>
        </w:rPr>
        <w:t xml:space="preserve"> inhalationspulver blev opretholdt over 120 uger og var af samme størrelsesorden som for </w:t>
      </w:r>
      <w:proofErr w:type="spellStart"/>
      <w:r>
        <w:rPr>
          <w:sz w:val="24"/>
          <w:szCs w:val="24"/>
        </w:rPr>
        <w:t>tiotropiumbromid</w:t>
      </w:r>
      <w:proofErr w:type="spellEnd"/>
      <w:r>
        <w:rPr>
          <w:sz w:val="24"/>
          <w:szCs w:val="24"/>
        </w:rPr>
        <w:t xml:space="preserve"> inhalationsvæske</w:t>
      </w:r>
      <w:r>
        <w:rPr>
          <w:iCs/>
          <w:sz w:val="24"/>
          <w:szCs w:val="24"/>
        </w:rPr>
        <w:t>. Den gennemsnitlige forskel i dal FEV</w:t>
      </w:r>
      <w:r>
        <w:rPr>
          <w:iCs/>
          <w:sz w:val="24"/>
          <w:szCs w:val="24"/>
          <w:vertAlign w:val="subscript"/>
        </w:rPr>
        <w:t>1</w:t>
      </w:r>
      <w:r>
        <w:rPr>
          <w:iCs/>
          <w:sz w:val="24"/>
          <w:szCs w:val="24"/>
        </w:rPr>
        <w:t xml:space="preserve"> for </w:t>
      </w:r>
      <w:proofErr w:type="spellStart"/>
      <w:r>
        <w:rPr>
          <w:sz w:val="24"/>
          <w:szCs w:val="24"/>
        </w:rPr>
        <w:t>tiotropiumbromid</w:t>
      </w:r>
      <w:proofErr w:type="spellEnd"/>
      <w:r>
        <w:rPr>
          <w:iCs/>
          <w:sz w:val="24"/>
          <w:szCs w:val="24"/>
        </w:rPr>
        <w:t xml:space="preserve"> inhalationspulver </w:t>
      </w:r>
      <w:r>
        <w:rPr>
          <w:i/>
          <w:iCs/>
          <w:sz w:val="24"/>
          <w:szCs w:val="24"/>
        </w:rPr>
        <w:t>versus</w:t>
      </w:r>
      <w:r>
        <w:rPr>
          <w:iCs/>
          <w:sz w:val="24"/>
          <w:szCs w:val="24"/>
        </w:rPr>
        <w:t xml:space="preserve"> </w:t>
      </w:r>
      <w:proofErr w:type="spellStart"/>
      <w:r>
        <w:rPr>
          <w:sz w:val="24"/>
          <w:szCs w:val="24"/>
        </w:rPr>
        <w:t>tiotropiumbromid</w:t>
      </w:r>
      <w:proofErr w:type="spellEnd"/>
      <w:r>
        <w:rPr>
          <w:sz w:val="24"/>
          <w:szCs w:val="24"/>
        </w:rPr>
        <w:t xml:space="preserve"> inhalationsvæske</w:t>
      </w:r>
      <w:r>
        <w:rPr>
          <w:iCs/>
          <w:sz w:val="24"/>
          <w:szCs w:val="24"/>
        </w:rPr>
        <w:t xml:space="preserve"> var 0,010 liter (95 % CI = -0,018 til 0,038 liter).</w:t>
      </w:r>
    </w:p>
    <w:p w:rsidR="00AB02F7" w:rsidRDefault="00AB02F7" w:rsidP="00AB02F7">
      <w:pPr>
        <w:numPr>
          <w:ilvl w:val="12"/>
          <w:numId w:val="0"/>
        </w:numPr>
        <w:ind w:left="851" w:right="-2"/>
        <w:rPr>
          <w:iCs/>
          <w:sz w:val="24"/>
          <w:szCs w:val="24"/>
        </w:rPr>
      </w:pPr>
    </w:p>
    <w:p w:rsidR="00AB02F7" w:rsidRDefault="00AB02F7" w:rsidP="00AB02F7">
      <w:pPr>
        <w:numPr>
          <w:ilvl w:val="12"/>
          <w:numId w:val="0"/>
        </w:numPr>
        <w:ind w:left="851" w:right="-2"/>
        <w:rPr>
          <w:iCs/>
          <w:sz w:val="24"/>
          <w:szCs w:val="24"/>
        </w:rPr>
      </w:pPr>
      <w:r>
        <w:rPr>
          <w:iCs/>
          <w:sz w:val="24"/>
          <w:szCs w:val="24"/>
        </w:rPr>
        <w:t xml:space="preserve">I postmarketingforsøget, der sammenlignede </w:t>
      </w:r>
      <w:proofErr w:type="spellStart"/>
      <w:r>
        <w:rPr>
          <w:sz w:val="24"/>
          <w:szCs w:val="24"/>
        </w:rPr>
        <w:t>tiotropiumbromid</w:t>
      </w:r>
      <w:proofErr w:type="spellEnd"/>
      <w:r>
        <w:rPr>
          <w:sz w:val="24"/>
          <w:szCs w:val="24"/>
        </w:rPr>
        <w:t xml:space="preserve"> inhalationsvæske</w:t>
      </w:r>
      <w:r>
        <w:rPr>
          <w:iCs/>
          <w:sz w:val="24"/>
          <w:szCs w:val="24"/>
        </w:rPr>
        <w:t xml:space="preserve"> og </w:t>
      </w:r>
      <w:proofErr w:type="spellStart"/>
      <w:r>
        <w:rPr>
          <w:sz w:val="24"/>
          <w:szCs w:val="24"/>
        </w:rPr>
        <w:t>tiotropiumbromid</w:t>
      </w:r>
      <w:proofErr w:type="spellEnd"/>
      <w:r>
        <w:rPr>
          <w:iCs/>
          <w:sz w:val="24"/>
          <w:szCs w:val="24"/>
        </w:rPr>
        <w:t xml:space="preserve"> inhalationspulver, var mortalitet af alle årsager (herunder opfølgning på vitalstatus) af samme størrelsesorden i forsøget med </w:t>
      </w:r>
      <w:proofErr w:type="spellStart"/>
      <w:r>
        <w:rPr>
          <w:sz w:val="24"/>
          <w:szCs w:val="24"/>
        </w:rPr>
        <w:t>tiotropiumbromid</w:t>
      </w:r>
      <w:proofErr w:type="spellEnd"/>
      <w:r>
        <w:rPr>
          <w:iCs/>
          <w:sz w:val="24"/>
          <w:szCs w:val="24"/>
        </w:rPr>
        <w:t xml:space="preserve"> inhalationspulver og </w:t>
      </w:r>
      <w:proofErr w:type="spellStart"/>
      <w:r>
        <w:rPr>
          <w:sz w:val="24"/>
          <w:szCs w:val="24"/>
        </w:rPr>
        <w:t>tiotropiumbromid</w:t>
      </w:r>
      <w:proofErr w:type="spellEnd"/>
      <w:r>
        <w:rPr>
          <w:sz w:val="24"/>
          <w:szCs w:val="24"/>
        </w:rPr>
        <w:t xml:space="preserve"> inhalationsvæske</w:t>
      </w:r>
      <w:r>
        <w:rPr>
          <w:iCs/>
          <w:sz w:val="24"/>
          <w:szCs w:val="24"/>
        </w:rPr>
        <w:t xml:space="preserve"> (</w:t>
      </w:r>
      <w:proofErr w:type="spellStart"/>
      <w:r>
        <w:rPr>
          <w:i/>
          <w:iCs/>
          <w:sz w:val="24"/>
          <w:szCs w:val="24"/>
        </w:rPr>
        <w:t>hazard</w:t>
      </w:r>
      <w:proofErr w:type="spellEnd"/>
      <w:r>
        <w:rPr>
          <w:i/>
          <w:iCs/>
          <w:sz w:val="24"/>
          <w:szCs w:val="24"/>
        </w:rPr>
        <w:t xml:space="preserve"> ratio</w:t>
      </w:r>
      <w:r>
        <w:rPr>
          <w:iCs/>
          <w:sz w:val="24"/>
          <w:szCs w:val="24"/>
        </w:rPr>
        <w:t xml:space="preserve"> (</w:t>
      </w:r>
      <w:proofErr w:type="spellStart"/>
      <w:r>
        <w:rPr>
          <w:sz w:val="24"/>
          <w:szCs w:val="24"/>
        </w:rPr>
        <w:t>tiotropiumbromid</w:t>
      </w:r>
      <w:proofErr w:type="spellEnd"/>
      <w:r>
        <w:rPr>
          <w:iCs/>
          <w:sz w:val="24"/>
          <w:szCs w:val="24"/>
        </w:rPr>
        <w:t xml:space="preserve"> inhalationspulver /</w:t>
      </w:r>
      <w:r>
        <w:rPr>
          <w:sz w:val="24"/>
          <w:szCs w:val="24"/>
        </w:rPr>
        <w:t xml:space="preserve"> </w:t>
      </w:r>
      <w:proofErr w:type="spellStart"/>
      <w:r>
        <w:rPr>
          <w:sz w:val="24"/>
          <w:szCs w:val="24"/>
        </w:rPr>
        <w:t>tiotropiumbromid</w:t>
      </w:r>
      <w:proofErr w:type="spellEnd"/>
      <w:r>
        <w:rPr>
          <w:sz w:val="24"/>
          <w:szCs w:val="24"/>
        </w:rPr>
        <w:t xml:space="preserve"> inhalationsvæske</w:t>
      </w:r>
      <w:r>
        <w:rPr>
          <w:iCs/>
          <w:sz w:val="24"/>
          <w:szCs w:val="24"/>
        </w:rPr>
        <w:t>) 1,04 med et 95 % CI = 0,91 til 1,19).</w:t>
      </w:r>
    </w:p>
    <w:p w:rsidR="00AB02F7" w:rsidRDefault="00AB02F7" w:rsidP="00AB02F7">
      <w:pPr>
        <w:numPr>
          <w:ilvl w:val="12"/>
          <w:numId w:val="0"/>
        </w:numPr>
        <w:ind w:left="851" w:right="-2"/>
        <w:rPr>
          <w:iCs/>
          <w:sz w:val="24"/>
          <w:szCs w:val="24"/>
        </w:rPr>
      </w:pPr>
    </w:p>
    <w:p w:rsidR="00AB02F7" w:rsidRDefault="00AB02F7" w:rsidP="00AB02F7">
      <w:pPr>
        <w:numPr>
          <w:ilvl w:val="12"/>
          <w:numId w:val="0"/>
        </w:numPr>
        <w:ind w:left="851" w:right="-2"/>
        <w:rPr>
          <w:iCs/>
          <w:sz w:val="24"/>
          <w:szCs w:val="24"/>
          <w:u w:val="single"/>
        </w:rPr>
      </w:pPr>
      <w:r>
        <w:rPr>
          <w:iCs/>
          <w:sz w:val="24"/>
          <w:szCs w:val="24"/>
          <w:u w:val="single"/>
        </w:rPr>
        <w:t>Pædiatrisk population</w:t>
      </w:r>
    </w:p>
    <w:p w:rsidR="00AB02F7" w:rsidRDefault="00AB02F7" w:rsidP="00AB02F7">
      <w:pPr>
        <w:numPr>
          <w:ilvl w:val="12"/>
          <w:numId w:val="0"/>
        </w:numPr>
        <w:ind w:left="851" w:right="-2"/>
        <w:rPr>
          <w:iCs/>
          <w:sz w:val="24"/>
          <w:szCs w:val="24"/>
        </w:rPr>
      </w:pPr>
      <w:r>
        <w:rPr>
          <w:bCs/>
          <w:sz w:val="24"/>
          <w:szCs w:val="24"/>
        </w:rPr>
        <w:t xml:space="preserve">Det Europæiske Lægemiddelagentur har dispenseret fra kravet om at fremlægge resultaterne af studier med </w:t>
      </w:r>
      <w:r>
        <w:rPr>
          <w:sz w:val="24"/>
          <w:szCs w:val="24"/>
        </w:rPr>
        <w:t>referencelægemidlet, som indeholder</w:t>
      </w:r>
      <w:r>
        <w:rPr>
          <w:bCs/>
          <w:sz w:val="24"/>
          <w:szCs w:val="24"/>
        </w:rPr>
        <w:t xml:space="preserve"> </w:t>
      </w:r>
      <w:proofErr w:type="spellStart"/>
      <w:r>
        <w:rPr>
          <w:sz w:val="24"/>
          <w:szCs w:val="24"/>
        </w:rPr>
        <w:t>tiotropiumbromid</w:t>
      </w:r>
      <w:proofErr w:type="spellEnd"/>
      <w:r>
        <w:rPr>
          <w:sz w:val="24"/>
          <w:szCs w:val="24"/>
        </w:rPr>
        <w:t xml:space="preserve"> </w:t>
      </w:r>
      <w:r>
        <w:rPr>
          <w:rFonts w:eastAsia="SimSun"/>
          <w:sz w:val="24"/>
          <w:szCs w:val="24"/>
          <w:lang w:eastAsia="zh-CN"/>
        </w:rPr>
        <w:t>i alle undergrupper af den pædiatriske population</w:t>
      </w:r>
      <w:r>
        <w:rPr>
          <w:bCs/>
          <w:sz w:val="24"/>
          <w:szCs w:val="24"/>
        </w:rPr>
        <w:t xml:space="preserve"> ved KOL og cystisk fibrose (se pkt. 4,2 for </w:t>
      </w:r>
      <w:r>
        <w:rPr>
          <w:sz w:val="24"/>
          <w:szCs w:val="24"/>
        </w:rPr>
        <w:t>oplysninger</w:t>
      </w:r>
      <w:r>
        <w:rPr>
          <w:rFonts w:eastAsia="SimSun"/>
          <w:sz w:val="24"/>
          <w:szCs w:val="24"/>
          <w:lang w:eastAsia="zh-CN"/>
        </w:rPr>
        <w:t xml:space="preserve"> om pædiatrisk anvendelse</w:t>
      </w:r>
      <w:r>
        <w:rPr>
          <w:bCs/>
          <w:sz w:val="24"/>
          <w:szCs w:val="24"/>
        </w:rPr>
        <w:t>).</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AB02F7" w:rsidRDefault="00AB02F7" w:rsidP="00AB02F7">
      <w:pPr>
        <w:widowControl w:val="0"/>
        <w:tabs>
          <w:tab w:val="left" w:pos="302"/>
        </w:tabs>
        <w:ind w:left="851"/>
        <w:rPr>
          <w:spacing w:val="-1"/>
          <w:sz w:val="24"/>
          <w:szCs w:val="24"/>
          <w:u w:val="single" w:color="000000"/>
        </w:rPr>
      </w:pPr>
    </w:p>
    <w:p w:rsidR="00AB02F7" w:rsidRDefault="00AB02F7" w:rsidP="00AB02F7">
      <w:pPr>
        <w:widowControl w:val="0"/>
        <w:tabs>
          <w:tab w:val="left" w:pos="302"/>
        </w:tabs>
        <w:ind w:left="851"/>
        <w:rPr>
          <w:sz w:val="24"/>
          <w:szCs w:val="24"/>
        </w:rPr>
      </w:pPr>
      <w:r>
        <w:rPr>
          <w:spacing w:val="-1"/>
          <w:sz w:val="24"/>
          <w:szCs w:val="24"/>
          <w:u w:val="single" w:color="000000"/>
        </w:rPr>
        <w:t>a) Generel introduktion</w:t>
      </w:r>
    </w:p>
    <w:p w:rsidR="00AB02F7" w:rsidRDefault="00AB02F7" w:rsidP="00AB02F7">
      <w:pPr>
        <w:ind w:left="851"/>
        <w:rPr>
          <w:sz w:val="24"/>
          <w:szCs w:val="24"/>
        </w:rPr>
      </w:pPr>
      <w:proofErr w:type="spellStart"/>
      <w:r>
        <w:rPr>
          <w:sz w:val="24"/>
          <w:szCs w:val="24"/>
        </w:rPr>
        <w:t>Tiotropiumbromid</w:t>
      </w:r>
      <w:proofErr w:type="spellEnd"/>
      <w:r>
        <w:rPr>
          <w:sz w:val="24"/>
          <w:szCs w:val="24"/>
        </w:rPr>
        <w:t xml:space="preserve"> er en ikke-</w:t>
      </w:r>
      <w:proofErr w:type="spellStart"/>
      <w:r>
        <w:rPr>
          <w:sz w:val="24"/>
          <w:szCs w:val="24"/>
        </w:rPr>
        <w:t>chiral</w:t>
      </w:r>
      <w:proofErr w:type="spellEnd"/>
      <w:r>
        <w:rPr>
          <w:sz w:val="24"/>
          <w:szCs w:val="24"/>
        </w:rPr>
        <w:t xml:space="preserve"> kvaternær ammoniumforbindelse, som har en lav opløselighed i vand. </w:t>
      </w:r>
      <w:proofErr w:type="spellStart"/>
      <w:r>
        <w:rPr>
          <w:sz w:val="24"/>
          <w:szCs w:val="24"/>
        </w:rPr>
        <w:t>Tiotropiumbromid</w:t>
      </w:r>
      <w:proofErr w:type="spellEnd"/>
      <w:r>
        <w:rPr>
          <w:sz w:val="24"/>
          <w:szCs w:val="24"/>
        </w:rPr>
        <w:t xml:space="preserve"> administreres ved pulverinhalation. Ved inhalation ses generelt, at det meste af den afgivne dosis kommer ned i mave-tarm-kanalen og at en mindre mængde når lungerne, som er målorganet. Mange af de nedenfor anførte </w:t>
      </w:r>
      <w:proofErr w:type="spellStart"/>
      <w:r>
        <w:rPr>
          <w:sz w:val="24"/>
          <w:szCs w:val="24"/>
        </w:rPr>
        <w:t>farmakokinetiske</w:t>
      </w:r>
      <w:proofErr w:type="spellEnd"/>
      <w:r>
        <w:rPr>
          <w:sz w:val="24"/>
          <w:szCs w:val="24"/>
        </w:rPr>
        <w:t xml:space="preserve"> data blev opnået ved indgift af højere doser end anbefalet til behandling.</w:t>
      </w:r>
    </w:p>
    <w:p w:rsidR="00AB02F7" w:rsidRDefault="00AB02F7" w:rsidP="00AB02F7">
      <w:pPr>
        <w:ind w:left="851"/>
        <w:rPr>
          <w:sz w:val="24"/>
          <w:szCs w:val="24"/>
          <w:u w:val="single"/>
        </w:rPr>
      </w:pPr>
    </w:p>
    <w:p w:rsidR="00AB02F7" w:rsidRDefault="00AB02F7" w:rsidP="00AB02F7">
      <w:pPr>
        <w:ind w:left="851"/>
        <w:rPr>
          <w:sz w:val="24"/>
          <w:szCs w:val="24"/>
          <w:u w:val="single"/>
        </w:rPr>
      </w:pPr>
      <w:r>
        <w:rPr>
          <w:sz w:val="24"/>
          <w:szCs w:val="24"/>
          <w:u w:val="single"/>
        </w:rPr>
        <w:t>b) Generelle karakteristika ved den aktive substans efter administration af lægemidlet</w:t>
      </w:r>
    </w:p>
    <w:p w:rsidR="00AB02F7" w:rsidRDefault="00AB02F7" w:rsidP="00AB02F7">
      <w:pPr>
        <w:ind w:left="851"/>
        <w:rPr>
          <w:i/>
          <w:sz w:val="24"/>
          <w:szCs w:val="24"/>
        </w:rPr>
      </w:pPr>
    </w:p>
    <w:p w:rsidR="00AB02F7" w:rsidRDefault="00AB02F7" w:rsidP="00AB02F7">
      <w:pPr>
        <w:ind w:left="851"/>
        <w:rPr>
          <w:i/>
          <w:sz w:val="24"/>
          <w:szCs w:val="24"/>
        </w:rPr>
      </w:pPr>
      <w:r>
        <w:rPr>
          <w:i/>
          <w:sz w:val="24"/>
          <w:szCs w:val="24"/>
        </w:rPr>
        <w:t>Absorption</w:t>
      </w:r>
    </w:p>
    <w:p w:rsidR="00AB02F7" w:rsidRDefault="00AB02F7" w:rsidP="00AB02F7">
      <w:pPr>
        <w:ind w:left="851"/>
        <w:rPr>
          <w:sz w:val="24"/>
          <w:szCs w:val="24"/>
        </w:rPr>
      </w:pPr>
      <w:r>
        <w:rPr>
          <w:sz w:val="24"/>
          <w:szCs w:val="24"/>
        </w:rPr>
        <w:t xml:space="preserve">Den absolutte biotilgængelighed på 19,5 % efter pulverinhalation hos unge, raske, frivillige forsøgspersoner antyder, at den del, der når lungerne har en høj biotilgængelighed. Orale opløsninger af </w:t>
      </w:r>
      <w:proofErr w:type="spellStart"/>
      <w:r>
        <w:rPr>
          <w:sz w:val="24"/>
          <w:szCs w:val="24"/>
        </w:rPr>
        <w:t>tiotropium</w:t>
      </w:r>
      <w:proofErr w:type="spellEnd"/>
      <w:r>
        <w:rPr>
          <w:sz w:val="24"/>
          <w:szCs w:val="24"/>
        </w:rPr>
        <w:t xml:space="preserve"> har en absolut biotilgængelighed på 2-3 %.</w:t>
      </w:r>
    </w:p>
    <w:p w:rsidR="00AB02F7" w:rsidRDefault="00AB02F7" w:rsidP="00AB02F7">
      <w:pPr>
        <w:ind w:left="851"/>
        <w:rPr>
          <w:sz w:val="24"/>
          <w:szCs w:val="24"/>
        </w:rPr>
      </w:pPr>
      <w:r>
        <w:rPr>
          <w:sz w:val="24"/>
          <w:szCs w:val="24"/>
        </w:rPr>
        <w:t xml:space="preserve">Maksimale </w:t>
      </w:r>
      <w:proofErr w:type="spellStart"/>
      <w:r>
        <w:rPr>
          <w:sz w:val="24"/>
          <w:szCs w:val="24"/>
        </w:rPr>
        <w:t>tiotropium</w:t>
      </w:r>
      <w:proofErr w:type="spellEnd"/>
      <w:r>
        <w:rPr>
          <w:sz w:val="24"/>
          <w:szCs w:val="24"/>
        </w:rPr>
        <w:t xml:space="preserve"> plasmakoncentrationer blev set 5-7 minutter efter inhalationen.</w:t>
      </w:r>
    </w:p>
    <w:p w:rsidR="00AB02F7" w:rsidRDefault="00AB02F7" w:rsidP="00AB02F7">
      <w:pPr>
        <w:ind w:left="851"/>
        <w:rPr>
          <w:sz w:val="24"/>
          <w:szCs w:val="24"/>
        </w:rPr>
      </w:pPr>
    </w:p>
    <w:p w:rsidR="00AB02F7" w:rsidRDefault="00AB02F7" w:rsidP="00AB02F7">
      <w:pPr>
        <w:ind w:left="851"/>
        <w:rPr>
          <w:sz w:val="24"/>
          <w:szCs w:val="24"/>
        </w:rPr>
      </w:pPr>
      <w:r>
        <w:rPr>
          <w:sz w:val="24"/>
          <w:szCs w:val="24"/>
        </w:rPr>
        <w:t xml:space="preserve">Ved </w:t>
      </w:r>
      <w:proofErr w:type="spellStart"/>
      <w:r>
        <w:rPr>
          <w:i/>
          <w:sz w:val="24"/>
          <w:szCs w:val="24"/>
        </w:rPr>
        <w:t>steady-state</w:t>
      </w:r>
      <w:proofErr w:type="spellEnd"/>
      <w:r>
        <w:rPr>
          <w:sz w:val="24"/>
          <w:szCs w:val="24"/>
        </w:rPr>
        <w:t xml:space="preserve"> var maksimal plasmakoncentration for </w:t>
      </w:r>
      <w:proofErr w:type="spellStart"/>
      <w:r>
        <w:rPr>
          <w:sz w:val="24"/>
          <w:szCs w:val="24"/>
        </w:rPr>
        <w:t>tiotropium</w:t>
      </w:r>
      <w:proofErr w:type="spellEnd"/>
      <w:r>
        <w:rPr>
          <w:sz w:val="24"/>
          <w:szCs w:val="24"/>
        </w:rPr>
        <w:t xml:space="preserve"> hos KOL-patienter 12,9 </w:t>
      </w:r>
      <w:proofErr w:type="spellStart"/>
      <w:r>
        <w:rPr>
          <w:sz w:val="24"/>
          <w:szCs w:val="24"/>
        </w:rPr>
        <w:t>pg</w:t>
      </w:r>
      <w:proofErr w:type="spellEnd"/>
      <w:r>
        <w:rPr>
          <w:sz w:val="24"/>
          <w:szCs w:val="24"/>
        </w:rPr>
        <w:t xml:space="preserve">/ml, og det faldt hurtigt i et </w:t>
      </w:r>
      <w:proofErr w:type="spellStart"/>
      <w:r>
        <w:rPr>
          <w:sz w:val="24"/>
          <w:szCs w:val="24"/>
        </w:rPr>
        <w:t>multi-compartment</w:t>
      </w:r>
      <w:proofErr w:type="spellEnd"/>
      <w:r>
        <w:rPr>
          <w:sz w:val="24"/>
          <w:szCs w:val="24"/>
        </w:rPr>
        <w:t xml:space="preserve"> forløb. </w:t>
      </w:r>
      <w:proofErr w:type="spellStart"/>
      <w:r>
        <w:rPr>
          <w:i/>
          <w:sz w:val="24"/>
          <w:szCs w:val="24"/>
        </w:rPr>
        <w:t>Steady</w:t>
      </w:r>
      <w:proofErr w:type="spellEnd"/>
      <w:r>
        <w:rPr>
          <w:i/>
          <w:sz w:val="24"/>
          <w:szCs w:val="24"/>
        </w:rPr>
        <w:t xml:space="preserve"> </w:t>
      </w:r>
      <w:proofErr w:type="spellStart"/>
      <w:r>
        <w:rPr>
          <w:i/>
          <w:sz w:val="24"/>
          <w:szCs w:val="24"/>
        </w:rPr>
        <w:t>state</w:t>
      </w:r>
      <w:proofErr w:type="spellEnd"/>
      <w:r>
        <w:rPr>
          <w:sz w:val="24"/>
          <w:szCs w:val="24"/>
        </w:rPr>
        <w:t xml:space="preserve"> dal-plasmakoncentrationer var 1,71 </w:t>
      </w:r>
      <w:proofErr w:type="spellStart"/>
      <w:r>
        <w:rPr>
          <w:sz w:val="24"/>
          <w:szCs w:val="24"/>
        </w:rPr>
        <w:t>pg</w:t>
      </w:r>
      <w:proofErr w:type="spellEnd"/>
      <w:r>
        <w:rPr>
          <w:sz w:val="24"/>
          <w:szCs w:val="24"/>
        </w:rPr>
        <w:t xml:space="preserve">/ml. Den systemiske eksponering efter inhalation af </w:t>
      </w:r>
      <w:proofErr w:type="spellStart"/>
      <w:r>
        <w:rPr>
          <w:sz w:val="24"/>
          <w:szCs w:val="24"/>
        </w:rPr>
        <w:t>tiotropium</w:t>
      </w:r>
      <w:proofErr w:type="spellEnd"/>
      <w:r>
        <w:rPr>
          <w:sz w:val="24"/>
          <w:szCs w:val="24"/>
        </w:rPr>
        <w:t xml:space="preserve"> via pulverinhalatoren var af samme størrelsesorden som for </w:t>
      </w:r>
      <w:proofErr w:type="spellStart"/>
      <w:r>
        <w:rPr>
          <w:sz w:val="24"/>
          <w:szCs w:val="24"/>
        </w:rPr>
        <w:t>tiotropium</w:t>
      </w:r>
      <w:proofErr w:type="spellEnd"/>
      <w:r>
        <w:rPr>
          <w:sz w:val="24"/>
          <w:szCs w:val="24"/>
        </w:rPr>
        <w:t xml:space="preserve"> inhaleret via inhalatoren med inhalationsvæske.</w:t>
      </w:r>
    </w:p>
    <w:p w:rsidR="00AB02F7" w:rsidRDefault="00AB02F7" w:rsidP="00AB02F7">
      <w:pPr>
        <w:ind w:left="851"/>
        <w:rPr>
          <w:sz w:val="24"/>
          <w:szCs w:val="24"/>
        </w:rPr>
      </w:pPr>
    </w:p>
    <w:p w:rsidR="00AB02F7" w:rsidRDefault="00AB02F7" w:rsidP="00AB02F7">
      <w:pPr>
        <w:keepNext/>
        <w:keepLines/>
        <w:widowControl w:val="0"/>
        <w:ind w:left="851"/>
        <w:rPr>
          <w:i/>
          <w:sz w:val="24"/>
          <w:szCs w:val="24"/>
        </w:rPr>
      </w:pPr>
      <w:r>
        <w:rPr>
          <w:i/>
          <w:sz w:val="24"/>
          <w:szCs w:val="24"/>
        </w:rPr>
        <w:t>Fordeling</w:t>
      </w:r>
    </w:p>
    <w:p w:rsidR="00AB02F7" w:rsidRDefault="00AB02F7" w:rsidP="00AB02F7">
      <w:pPr>
        <w:ind w:left="851"/>
        <w:rPr>
          <w:b/>
          <w:sz w:val="24"/>
          <w:szCs w:val="24"/>
        </w:rPr>
      </w:pPr>
      <w:proofErr w:type="spellStart"/>
      <w:r>
        <w:rPr>
          <w:sz w:val="24"/>
          <w:szCs w:val="24"/>
        </w:rPr>
        <w:t>Tiotropium</w:t>
      </w:r>
      <w:proofErr w:type="spellEnd"/>
      <w:r>
        <w:rPr>
          <w:sz w:val="24"/>
          <w:szCs w:val="24"/>
        </w:rPr>
        <w:t xml:space="preserve"> har en plasmaproteinbinding på 72 % og fordelingsvolumen er 32 l/kg. Koncentrationen i lungerne kendes ikke, men administrationsmåden tyder på væsentligt højere koncentrationer i lungerne. Rotteforsøg har vist, at </w:t>
      </w:r>
      <w:proofErr w:type="spellStart"/>
      <w:r>
        <w:rPr>
          <w:sz w:val="24"/>
          <w:szCs w:val="24"/>
        </w:rPr>
        <w:t>tiotropiumbromid</w:t>
      </w:r>
      <w:proofErr w:type="spellEnd"/>
      <w:r>
        <w:rPr>
          <w:sz w:val="24"/>
          <w:szCs w:val="24"/>
        </w:rPr>
        <w:t xml:space="preserve"> ikke passerer blod/hjerne-barrieren i nogen relevant grad.</w:t>
      </w:r>
    </w:p>
    <w:p w:rsidR="00AB02F7" w:rsidRDefault="00AB02F7" w:rsidP="00AB02F7">
      <w:pPr>
        <w:ind w:left="851"/>
        <w:rPr>
          <w:i/>
          <w:sz w:val="24"/>
          <w:szCs w:val="24"/>
        </w:rPr>
      </w:pPr>
    </w:p>
    <w:p w:rsidR="00AB02F7" w:rsidRDefault="00AB02F7" w:rsidP="00AB02F7">
      <w:pPr>
        <w:ind w:left="851"/>
        <w:rPr>
          <w:i/>
          <w:sz w:val="24"/>
          <w:szCs w:val="24"/>
        </w:rPr>
      </w:pPr>
      <w:r>
        <w:rPr>
          <w:i/>
          <w:sz w:val="24"/>
          <w:szCs w:val="24"/>
        </w:rPr>
        <w:t>Biotransformation</w:t>
      </w:r>
    </w:p>
    <w:p w:rsidR="00AB02F7" w:rsidRDefault="00AB02F7" w:rsidP="00AB02F7">
      <w:pPr>
        <w:ind w:left="851"/>
        <w:rPr>
          <w:sz w:val="24"/>
          <w:szCs w:val="24"/>
        </w:rPr>
      </w:pPr>
      <w:r>
        <w:rPr>
          <w:sz w:val="24"/>
          <w:szCs w:val="24"/>
        </w:rPr>
        <w:t xml:space="preserve">Omfanget af biotransformation er lille. Dette er vist ved, at 74 % af en intravenøst administreret dosis til unge, raske, frivillige forsøgspersoner udskilles </w:t>
      </w:r>
      <w:proofErr w:type="spellStart"/>
      <w:r>
        <w:rPr>
          <w:sz w:val="24"/>
          <w:szCs w:val="24"/>
        </w:rPr>
        <w:t>uomdannet</w:t>
      </w:r>
      <w:proofErr w:type="spellEnd"/>
      <w:r>
        <w:rPr>
          <w:sz w:val="24"/>
          <w:szCs w:val="24"/>
        </w:rPr>
        <w:t xml:space="preserve"> med urinen. Esteren </w:t>
      </w:r>
      <w:proofErr w:type="spellStart"/>
      <w:r>
        <w:rPr>
          <w:sz w:val="24"/>
          <w:szCs w:val="24"/>
        </w:rPr>
        <w:t>tiotropiumbromid</w:t>
      </w:r>
      <w:proofErr w:type="spellEnd"/>
      <w:r>
        <w:rPr>
          <w:sz w:val="24"/>
          <w:szCs w:val="24"/>
        </w:rPr>
        <w:t xml:space="preserve"> spaltes ikke-enzymatisk til alkohol (N-</w:t>
      </w:r>
      <w:proofErr w:type="spellStart"/>
      <w:r>
        <w:rPr>
          <w:sz w:val="24"/>
          <w:szCs w:val="24"/>
        </w:rPr>
        <w:t>methylskopin</w:t>
      </w:r>
      <w:proofErr w:type="spellEnd"/>
      <w:r>
        <w:rPr>
          <w:sz w:val="24"/>
          <w:szCs w:val="24"/>
        </w:rPr>
        <w:t>) og syre (</w:t>
      </w:r>
      <w:proofErr w:type="spellStart"/>
      <w:r>
        <w:rPr>
          <w:sz w:val="24"/>
          <w:szCs w:val="24"/>
        </w:rPr>
        <w:t>dithienylglykolsyre</w:t>
      </w:r>
      <w:proofErr w:type="spellEnd"/>
      <w:r>
        <w:rPr>
          <w:sz w:val="24"/>
          <w:szCs w:val="24"/>
        </w:rPr>
        <w:t xml:space="preserve">), som ikke er aktive på </w:t>
      </w:r>
      <w:proofErr w:type="spellStart"/>
      <w:r>
        <w:rPr>
          <w:sz w:val="24"/>
          <w:szCs w:val="24"/>
        </w:rPr>
        <w:t>muscarinerge</w:t>
      </w:r>
      <w:proofErr w:type="spellEnd"/>
      <w:r>
        <w:rPr>
          <w:sz w:val="24"/>
          <w:szCs w:val="24"/>
        </w:rPr>
        <w:t xml:space="preserve"> receptorer. </w:t>
      </w:r>
      <w:r>
        <w:rPr>
          <w:i/>
          <w:sz w:val="24"/>
          <w:szCs w:val="24"/>
        </w:rPr>
        <w:t xml:space="preserve">In </w:t>
      </w:r>
      <w:proofErr w:type="spellStart"/>
      <w:r>
        <w:rPr>
          <w:i/>
          <w:sz w:val="24"/>
          <w:szCs w:val="24"/>
        </w:rPr>
        <w:t>vitro</w:t>
      </w:r>
      <w:proofErr w:type="spellEnd"/>
      <w:r>
        <w:rPr>
          <w:sz w:val="24"/>
          <w:szCs w:val="24"/>
        </w:rPr>
        <w:t xml:space="preserve">-eksperimenter med humane </w:t>
      </w:r>
      <w:proofErr w:type="spellStart"/>
      <w:r>
        <w:rPr>
          <w:sz w:val="24"/>
          <w:szCs w:val="24"/>
        </w:rPr>
        <w:t>levermikrosomer</w:t>
      </w:r>
      <w:proofErr w:type="spellEnd"/>
      <w:r>
        <w:rPr>
          <w:sz w:val="24"/>
          <w:szCs w:val="24"/>
        </w:rPr>
        <w:t xml:space="preserve"> og humane </w:t>
      </w:r>
      <w:proofErr w:type="spellStart"/>
      <w:r>
        <w:rPr>
          <w:sz w:val="24"/>
          <w:szCs w:val="24"/>
        </w:rPr>
        <w:t>hepatocytter</w:t>
      </w:r>
      <w:proofErr w:type="spellEnd"/>
      <w:r>
        <w:rPr>
          <w:sz w:val="24"/>
          <w:szCs w:val="24"/>
        </w:rPr>
        <w:t xml:space="preserve"> tyder på, at noget af lægemidlet (&lt;20 % af dosis efter intravenøs indgift) </w:t>
      </w:r>
      <w:proofErr w:type="spellStart"/>
      <w:r>
        <w:rPr>
          <w:sz w:val="24"/>
          <w:szCs w:val="24"/>
        </w:rPr>
        <w:t>metaboliseres</w:t>
      </w:r>
      <w:proofErr w:type="spellEnd"/>
      <w:r>
        <w:rPr>
          <w:sz w:val="24"/>
          <w:szCs w:val="24"/>
        </w:rPr>
        <w:t xml:space="preserve"> via </w:t>
      </w:r>
      <w:proofErr w:type="spellStart"/>
      <w:r>
        <w:rPr>
          <w:sz w:val="24"/>
          <w:szCs w:val="24"/>
        </w:rPr>
        <w:t>cytokrom</w:t>
      </w:r>
      <w:proofErr w:type="spellEnd"/>
      <w:r>
        <w:rPr>
          <w:sz w:val="24"/>
          <w:szCs w:val="24"/>
        </w:rPr>
        <w:t xml:space="preserve"> P450-(CYP)-afhængig oxidering og efterfølgende </w:t>
      </w:r>
      <w:proofErr w:type="spellStart"/>
      <w:r>
        <w:rPr>
          <w:sz w:val="24"/>
          <w:szCs w:val="24"/>
        </w:rPr>
        <w:t>glutathion</w:t>
      </w:r>
      <w:proofErr w:type="spellEnd"/>
      <w:r>
        <w:rPr>
          <w:sz w:val="24"/>
          <w:szCs w:val="24"/>
        </w:rPr>
        <w:t>-konjugation til en række fase II-metabolitter.</w:t>
      </w:r>
    </w:p>
    <w:p w:rsidR="00AB02F7" w:rsidRDefault="00AB02F7" w:rsidP="00AB02F7">
      <w:pPr>
        <w:ind w:left="851"/>
        <w:rPr>
          <w:sz w:val="24"/>
          <w:szCs w:val="24"/>
        </w:rPr>
      </w:pPr>
    </w:p>
    <w:p w:rsidR="00AB02F7" w:rsidRDefault="00AB02F7" w:rsidP="00AB02F7">
      <w:pPr>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-forsøg med </w:t>
      </w:r>
      <w:proofErr w:type="spellStart"/>
      <w:r>
        <w:rPr>
          <w:sz w:val="24"/>
          <w:szCs w:val="24"/>
        </w:rPr>
        <w:t>levermikrosomer</w:t>
      </w:r>
      <w:proofErr w:type="spellEnd"/>
      <w:r>
        <w:rPr>
          <w:sz w:val="24"/>
          <w:szCs w:val="24"/>
        </w:rPr>
        <w:t xml:space="preserve"> viser, at den enzymatiske nedbrydning kan hæmmes af CYP 2D6- (og 3A</w:t>
      </w:r>
      <w:proofErr w:type="gramStart"/>
      <w:r>
        <w:rPr>
          <w:sz w:val="24"/>
          <w:szCs w:val="24"/>
        </w:rPr>
        <w:t>4)-</w:t>
      </w:r>
      <w:proofErr w:type="gramEnd"/>
      <w:r>
        <w:rPr>
          <w:sz w:val="24"/>
          <w:szCs w:val="24"/>
        </w:rPr>
        <w:t xml:space="preserve">inhibitorer, </w:t>
      </w:r>
      <w:proofErr w:type="spellStart"/>
      <w:r>
        <w:rPr>
          <w:sz w:val="24"/>
          <w:szCs w:val="24"/>
        </w:rPr>
        <w:t>quinidin</w:t>
      </w:r>
      <w:proofErr w:type="spellEnd"/>
      <w:r>
        <w:rPr>
          <w:sz w:val="24"/>
          <w:szCs w:val="24"/>
        </w:rPr>
        <w:t xml:space="preserve">, </w:t>
      </w:r>
      <w:proofErr w:type="spellStart"/>
      <w:r>
        <w:rPr>
          <w:sz w:val="24"/>
          <w:szCs w:val="24"/>
        </w:rPr>
        <w:t>ketoconazol</w:t>
      </w:r>
      <w:proofErr w:type="spellEnd"/>
      <w:r>
        <w:rPr>
          <w:sz w:val="24"/>
          <w:szCs w:val="24"/>
        </w:rPr>
        <w:t xml:space="preserve"> og gestoden. CYP 2D6 og 3A4 er således involveret i den metaboliske nedbrydning, og derved ansvarlig for udskillelsen af en mindre del af dosis. </w:t>
      </w:r>
      <w:proofErr w:type="spellStart"/>
      <w:r>
        <w:rPr>
          <w:sz w:val="24"/>
          <w:szCs w:val="24"/>
        </w:rPr>
        <w:t>Tiotropiumbromid</w:t>
      </w:r>
      <w:proofErr w:type="spellEnd"/>
      <w:r>
        <w:rPr>
          <w:sz w:val="24"/>
          <w:szCs w:val="24"/>
        </w:rPr>
        <w:t xml:space="preserve">, endda i doser over terapeutiske koncentrationer, hæmmer ikke CYP 1A1, 1A2, 2B6, 2C9, 2C19, 2D6, 2E1 eller 3A i humane </w:t>
      </w:r>
      <w:proofErr w:type="spellStart"/>
      <w:r>
        <w:rPr>
          <w:sz w:val="24"/>
          <w:szCs w:val="24"/>
        </w:rPr>
        <w:t>levermikrosomer</w:t>
      </w:r>
      <w:proofErr w:type="spellEnd"/>
      <w:r>
        <w:rPr>
          <w:sz w:val="24"/>
          <w:szCs w:val="24"/>
        </w:rPr>
        <w:t>.</w:t>
      </w:r>
    </w:p>
    <w:p w:rsidR="00AB02F7" w:rsidRDefault="00AB02F7" w:rsidP="00AB02F7">
      <w:pPr>
        <w:ind w:left="851" w:hanging="851"/>
        <w:rPr>
          <w:sz w:val="24"/>
          <w:szCs w:val="24"/>
        </w:rPr>
      </w:pPr>
    </w:p>
    <w:p w:rsidR="00AB02F7" w:rsidRDefault="00AB02F7" w:rsidP="00AB02F7">
      <w:pPr>
        <w:ind w:left="851"/>
        <w:rPr>
          <w:i/>
          <w:sz w:val="24"/>
          <w:szCs w:val="24"/>
        </w:rPr>
      </w:pPr>
      <w:r>
        <w:rPr>
          <w:i/>
          <w:sz w:val="24"/>
          <w:szCs w:val="24"/>
        </w:rPr>
        <w:t>Elimination</w:t>
      </w:r>
    </w:p>
    <w:p w:rsidR="00AB02F7" w:rsidRDefault="00AB02F7" w:rsidP="00AB02F7">
      <w:pPr>
        <w:ind w:left="851"/>
        <w:rPr>
          <w:sz w:val="24"/>
          <w:szCs w:val="24"/>
        </w:rPr>
      </w:pPr>
      <w:r>
        <w:rPr>
          <w:sz w:val="24"/>
          <w:szCs w:val="24"/>
        </w:rPr>
        <w:t xml:space="preserve">Hos KOL-patienter varierer den effektive halveringstid for </w:t>
      </w:r>
      <w:proofErr w:type="spellStart"/>
      <w:r>
        <w:rPr>
          <w:sz w:val="24"/>
          <w:szCs w:val="24"/>
        </w:rPr>
        <w:t>tiotropium</w:t>
      </w:r>
      <w:proofErr w:type="spellEnd"/>
      <w:r>
        <w:rPr>
          <w:sz w:val="24"/>
          <w:szCs w:val="24"/>
        </w:rPr>
        <w:t xml:space="preserve"> fra 27 til 45 timer. Total </w:t>
      </w:r>
      <w:proofErr w:type="spellStart"/>
      <w:r>
        <w:rPr>
          <w:i/>
          <w:sz w:val="24"/>
          <w:szCs w:val="24"/>
        </w:rPr>
        <w:t>clearanc</w:t>
      </w:r>
      <w:r>
        <w:rPr>
          <w:sz w:val="24"/>
          <w:szCs w:val="24"/>
        </w:rPr>
        <w:t>e</w:t>
      </w:r>
      <w:proofErr w:type="spellEnd"/>
      <w:r>
        <w:rPr>
          <w:sz w:val="24"/>
          <w:szCs w:val="24"/>
        </w:rPr>
        <w:t xml:space="preserve"> er 880 ml/min efter en intravenøs dosis givet til unge, raske, frivillige forsøgspersoner. Intravenøst administreret </w:t>
      </w:r>
      <w:proofErr w:type="spellStart"/>
      <w:r>
        <w:rPr>
          <w:sz w:val="24"/>
          <w:szCs w:val="24"/>
        </w:rPr>
        <w:t>tiotropium</w:t>
      </w:r>
      <w:proofErr w:type="spellEnd"/>
      <w:r>
        <w:rPr>
          <w:sz w:val="24"/>
          <w:szCs w:val="24"/>
        </w:rPr>
        <w:t xml:space="preserve"> udskilles hovedsageligt uændret i urinen (74 %). Hos KOL-patienter, efter inhalation af pulver indtil </w:t>
      </w:r>
      <w:proofErr w:type="spellStart"/>
      <w:r>
        <w:rPr>
          <w:i/>
          <w:sz w:val="24"/>
          <w:szCs w:val="24"/>
        </w:rPr>
        <w:t>steady</w:t>
      </w:r>
      <w:proofErr w:type="spellEnd"/>
      <w:r>
        <w:rPr>
          <w:i/>
          <w:sz w:val="24"/>
          <w:szCs w:val="24"/>
        </w:rPr>
        <w:t xml:space="preserve"> </w:t>
      </w:r>
      <w:proofErr w:type="spellStart"/>
      <w:r>
        <w:rPr>
          <w:i/>
          <w:sz w:val="24"/>
          <w:szCs w:val="24"/>
        </w:rPr>
        <w:t>state</w:t>
      </w:r>
      <w:proofErr w:type="spellEnd"/>
      <w:r>
        <w:rPr>
          <w:sz w:val="24"/>
          <w:szCs w:val="24"/>
        </w:rPr>
        <w:t xml:space="preserve">, er urinudskillelsen 7 % (1,3 µg) af </w:t>
      </w:r>
      <w:proofErr w:type="spellStart"/>
      <w:r>
        <w:rPr>
          <w:sz w:val="24"/>
          <w:szCs w:val="24"/>
        </w:rPr>
        <w:t>uomdannet</w:t>
      </w:r>
      <w:proofErr w:type="spellEnd"/>
      <w:r>
        <w:rPr>
          <w:sz w:val="24"/>
          <w:szCs w:val="24"/>
        </w:rPr>
        <w:t xml:space="preserve"> lægemiddel i løbet af 24 timer, og resten, hovedsageligt ikke-absorberet lægemiddel, udskilles med fæces. Den </w:t>
      </w:r>
      <w:proofErr w:type="spellStart"/>
      <w:r>
        <w:rPr>
          <w:sz w:val="24"/>
          <w:szCs w:val="24"/>
        </w:rPr>
        <w:t>renale</w:t>
      </w:r>
      <w:proofErr w:type="spellEnd"/>
      <w:r>
        <w:rPr>
          <w:sz w:val="24"/>
          <w:szCs w:val="24"/>
        </w:rPr>
        <w:t xml:space="preserve"> </w:t>
      </w:r>
      <w:proofErr w:type="spellStart"/>
      <w:r>
        <w:rPr>
          <w:i/>
          <w:sz w:val="24"/>
          <w:szCs w:val="24"/>
        </w:rPr>
        <w:t>clearance</w:t>
      </w:r>
      <w:proofErr w:type="spellEnd"/>
      <w:r>
        <w:rPr>
          <w:sz w:val="24"/>
          <w:szCs w:val="24"/>
        </w:rPr>
        <w:t xml:space="preserve"> af </w:t>
      </w:r>
      <w:proofErr w:type="spellStart"/>
      <w:r>
        <w:rPr>
          <w:sz w:val="24"/>
          <w:szCs w:val="24"/>
        </w:rPr>
        <w:t>tiotropium</w:t>
      </w:r>
      <w:proofErr w:type="spellEnd"/>
      <w:r>
        <w:rPr>
          <w:sz w:val="24"/>
          <w:szCs w:val="24"/>
        </w:rPr>
        <w:t xml:space="preserve"> overstiger </w:t>
      </w:r>
      <w:proofErr w:type="spellStart"/>
      <w:r>
        <w:rPr>
          <w:sz w:val="24"/>
          <w:szCs w:val="24"/>
        </w:rPr>
        <w:t>kreatinin-</w:t>
      </w:r>
      <w:r>
        <w:rPr>
          <w:i/>
          <w:sz w:val="24"/>
          <w:szCs w:val="24"/>
        </w:rPr>
        <w:t>clearance</w:t>
      </w:r>
      <w:proofErr w:type="spellEnd"/>
      <w:r>
        <w:rPr>
          <w:sz w:val="24"/>
          <w:szCs w:val="24"/>
        </w:rPr>
        <w:t xml:space="preserve">, hvilket tyder på sekretion via nyrerne. Hos KOL-patienter, efter langvarig administration af 1 daglig inhalation, blev </w:t>
      </w:r>
      <w:proofErr w:type="spellStart"/>
      <w:r>
        <w:rPr>
          <w:sz w:val="24"/>
          <w:szCs w:val="24"/>
        </w:rPr>
        <w:t>farmakokinetisk</w:t>
      </w:r>
      <w:proofErr w:type="spellEnd"/>
      <w:r>
        <w:rPr>
          <w:sz w:val="24"/>
          <w:szCs w:val="24"/>
        </w:rPr>
        <w:t xml:space="preserve"> </w:t>
      </w:r>
      <w:proofErr w:type="spellStart"/>
      <w:r>
        <w:rPr>
          <w:i/>
          <w:sz w:val="24"/>
          <w:szCs w:val="24"/>
        </w:rPr>
        <w:t>steady-state</w:t>
      </w:r>
      <w:proofErr w:type="spellEnd"/>
      <w:r>
        <w:rPr>
          <w:sz w:val="24"/>
          <w:szCs w:val="24"/>
        </w:rPr>
        <w:t xml:space="preserve"> opnået på dag 7 uden senere akkumulation.</w:t>
      </w:r>
    </w:p>
    <w:p w:rsidR="00AB02F7" w:rsidRDefault="00AB02F7" w:rsidP="00AB02F7">
      <w:pPr>
        <w:ind w:left="851" w:hanging="851"/>
        <w:rPr>
          <w:sz w:val="24"/>
          <w:szCs w:val="24"/>
        </w:rPr>
      </w:pPr>
    </w:p>
    <w:p w:rsidR="00AB02F7" w:rsidRDefault="00AB02F7" w:rsidP="00AB02F7">
      <w:pPr>
        <w:keepNext/>
        <w:keepLines/>
        <w:widowControl w:val="0"/>
        <w:ind w:left="851"/>
        <w:rPr>
          <w:i/>
          <w:sz w:val="24"/>
          <w:szCs w:val="24"/>
        </w:rPr>
      </w:pPr>
      <w:r>
        <w:rPr>
          <w:i/>
          <w:sz w:val="24"/>
          <w:szCs w:val="24"/>
        </w:rPr>
        <w:t>Linearitet / non-linearitet</w:t>
      </w:r>
    </w:p>
    <w:p w:rsidR="00AB02F7" w:rsidRDefault="00AB02F7" w:rsidP="00AB02F7">
      <w:pPr>
        <w:ind w:left="851"/>
        <w:rPr>
          <w:sz w:val="24"/>
          <w:szCs w:val="24"/>
        </w:rPr>
      </w:pPr>
      <w:proofErr w:type="spellStart"/>
      <w:r>
        <w:rPr>
          <w:sz w:val="24"/>
          <w:szCs w:val="24"/>
        </w:rPr>
        <w:t>Tiotropium</w:t>
      </w:r>
      <w:proofErr w:type="spellEnd"/>
      <w:r>
        <w:rPr>
          <w:sz w:val="24"/>
          <w:szCs w:val="24"/>
        </w:rPr>
        <w:t xml:space="preserve"> har lineær farmakokinetik i det terapeutiske interval uafhængigt af formuleringen.</w:t>
      </w:r>
    </w:p>
    <w:p w:rsidR="00AB02F7" w:rsidRDefault="00AB02F7" w:rsidP="00AB02F7">
      <w:pPr>
        <w:ind w:left="851" w:hanging="851"/>
        <w:rPr>
          <w:sz w:val="24"/>
          <w:szCs w:val="24"/>
        </w:rPr>
      </w:pPr>
    </w:p>
    <w:p w:rsidR="00AB02F7" w:rsidRDefault="00AB02F7" w:rsidP="00AB02F7">
      <w:pPr>
        <w:ind w:left="851"/>
        <w:rPr>
          <w:sz w:val="24"/>
          <w:szCs w:val="24"/>
          <w:u w:val="single"/>
        </w:rPr>
      </w:pPr>
      <w:r>
        <w:rPr>
          <w:sz w:val="24"/>
          <w:szCs w:val="24"/>
          <w:u w:val="single"/>
        </w:rPr>
        <w:t>c) Patientkarakteristika</w:t>
      </w:r>
    </w:p>
    <w:p w:rsidR="00AB02F7" w:rsidRDefault="00AB02F7" w:rsidP="00AB02F7">
      <w:pPr>
        <w:ind w:left="851" w:hanging="851"/>
        <w:rPr>
          <w:sz w:val="24"/>
          <w:szCs w:val="24"/>
        </w:rPr>
      </w:pPr>
    </w:p>
    <w:p w:rsidR="00AB02F7" w:rsidRDefault="00AB02F7" w:rsidP="00AB02F7">
      <w:pPr>
        <w:keepNext/>
        <w:keepLines/>
        <w:widowControl w:val="0"/>
        <w:ind w:left="851"/>
        <w:rPr>
          <w:i/>
          <w:sz w:val="24"/>
          <w:szCs w:val="24"/>
        </w:rPr>
      </w:pPr>
      <w:r>
        <w:rPr>
          <w:i/>
          <w:sz w:val="24"/>
          <w:szCs w:val="24"/>
        </w:rPr>
        <w:t>Ældre patienter</w:t>
      </w:r>
    </w:p>
    <w:p w:rsidR="00AB02F7" w:rsidRDefault="00AB02F7" w:rsidP="00AB02F7">
      <w:pPr>
        <w:ind w:left="851"/>
        <w:rPr>
          <w:sz w:val="24"/>
          <w:szCs w:val="24"/>
        </w:rPr>
      </w:pPr>
      <w:r>
        <w:rPr>
          <w:sz w:val="24"/>
          <w:szCs w:val="24"/>
        </w:rPr>
        <w:t xml:space="preserve">Som for alle lægemidler, der hovedsageligt udskilles </w:t>
      </w:r>
      <w:proofErr w:type="spellStart"/>
      <w:r>
        <w:rPr>
          <w:sz w:val="24"/>
          <w:szCs w:val="24"/>
        </w:rPr>
        <w:t>renalt</w:t>
      </w:r>
      <w:proofErr w:type="spellEnd"/>
      <w:r>
        <w:rPr>
          <w:sz w:val="24"/>
          <w:szCs w:val="24"/>
        </w:rPr>
        <w:t xml:space="preserve">, sker der ved stigende alder et fald i den </w:t>
      </w:r>
      <w:proofErr w:type="spellStart"/>
      <w:r>
        <w:rPr>
          <w:sz w:val="24"/>
          <w:szCs w:val="24"/>
        </w:rPr>
        <w:t>renale</w:t>
      </w:r>
      <w:proofErr w:type="spellEnd"/>
      <w:r>
        <w:rPr>
          <w:sz w:val="24"/>
          <w:szCs w:val="24"/>
        </w:rPr>
        <w:t xml:space="preserve"> </w:t>
      </w:r>
      <w:proofErr w:type="spellStart"/>
      <w:r>
        <w:rPr>
          <w:i/>
          <w:sz w:val="24"/>
          <w:szCs w:val="24"/>
        </w:rPr>
        <w:t>clearance</w:t>
      </w:r>
      <w:proofErr w:type="spellEnd"/>
      <w:r>
        <w:rPr>
          <w:sz w:val="24"/>
          <w:szCs w:val="24"/>
        </w:rPr>
        <w:t xml:space="preserve"> af </w:t>
      </w:r>
      <w:proofErr w:type="spellStart"/>
      <w:r>
        <w:rPr>
          <w:sz w:val="24"/>
          <w:szCs w:val="24"/>
        </w:rPr>
        <w:t>tiotropium</w:t>
      </w:r>
      <w:proofErr w:type="spellEnd"/>
      <w:r>
        <w:rPr>
          <w:sz w:val="24"/>
          <w:szCs w:val="24"/>
        </w:rPr>
        <w:t xml:space="preserve"> (365 ml/min hos KOL-patienter &lt; 65 år til 271 ml/min hos KOL-patienter ≥ 65 år). Dette medførte ikke en tilsvarende forøgelse af værdierne for AUC</w:t>
      </w:r>
      <w:r>
        <w:rPr>
          <w:sz w:val="24"/>
          <w:szCs w:val="24"/>
          <w:vertAlign w:val="subscript"/>
        </w:rPr>
        <w:t>0-</w:t>
      </w:r>
      <w:proofErr w:type="gramStart"/>
      <w:r>
        <w:rPr>
          <w:sz w:val="24"/>
          <w:szCs w:val="24"/>
          <w:vertAlign w:val="subscript"/>
        </w:rPr>
        <w:t>6,steady</w:t>
      </w:r>
      <w:proofErr w:type="gramEnd"/>
      <w:r>
        <w:rPr>
          <w:sz w:val="24"/>
          <w:szCs w:val="24"/>
          <w:vertAlign w:val="subscript"/>
        </w:rPr>
        <w:t xml:space="preserve"> </w:t>
      </w:r>
      <w:proofErr w:type="spellStart"/>
      <w:r>
        <w:rPr>
          <w:sz w:val="24"/>
          <w:szCs w:val="24"/>
          <w:vertAlign w:val="subscript"/>
        </w:rPr>
        <w:t>state</w:t>
      </w:r>
      <w:proofErr w:type="spellEnd"/>
      <w:r>
        <w:rPr>
          <w:sz w:val="24"/>
          <w:szCs w:val="24"/>
          <w:vertAlign w:val="subscript"/>
        </w:rPr>
        <w:t xml:space="preserve"> (</w:t>
      </w:r>
      <w:proofErr w:type="spellStart"/>
      <w:r>
        <w:rPr>
          <w:sz w:val="24"/>
          <w:szCs w:val="24"/>
          <w:vertAlign w:val="subscript"/>
        </w:rPr>
        <w:t>ss</w:t>
      </w:r>
      <w:proofErr w:type="spellEnd"/>
      <w:r>
        <w:rPr>
          <w:sz w:val="24"/>
          <w:szCs w:val="24"/>
          <w:vertAlign w:val="subscript"/>
        </w:rPr>
        <w:t xml:space="preserve">) </w:t>
      </w:r>
      <w:r>
        <w:rPr>
          <w:sz w:val="24"/>
          <w:szCs w:val="24"/>
        </w:rPr>
        <w:t xml:space="preserve"> eller </w:t>
      </w:r>
      <w:proofErr w:type="spellStart"/>
      <w:r>
        <w:rPr>
          <w:sz w:val="24"/>
          <w:szCs w:val="24"/>
        </w:rPr>
        <w:t>C</w:t>
      </w:r>
      <w:r>
        <w:rPr>
          <w:sz w:val="24"/>
          <w:szCs w:val="24"/>
          <w:vertAlign w:val="subscript"/>
        </w:rPr>
        <w:t>max,ss</w:t>
      </w:r>
      <w:proofErr w:type="spellEnd"/>
      <w:r>
        <w:rPr>
          <w:sz w:val="24"/>
          <w:szCs w:val="24"/>
        </w:rPr>
        <w:t>.</w:t>
      </w:r>
    </w:p>
    <w:p w:rsidR="00AB02F7" w:rsidRDefault="00AB02F7" w:rsidP="00AB02F7">
      <w:pPr>
        <w:ind w:left="851" w:hanging="851"/>
        <w:rPr>
          <w:sz w:val="24"/>
          <w:szCs w:val="24"/>
        </w:rPr>
      </w:pPr>
      <w:r>
        <w:rPr>
          <w:sz w:val="24"/>
          <w:szCs w:val="24"/>
        </w:rPr>
        <w:tab/>
      </w:r>
    </w:p>
    <w:p w:rsidR="00AB02F7" w:rsidRDefault="00AB02F7" w:rsidP="00AB02F7">
      <w:pPr>
        <w:keepNext/>
        <w:keepLines/>
        <w:widowControl w:val="0"/>
        <w:ind w:left="851"/>
        <w:rPr>
          <w:sz w:val="24"/>
          <w:szCs w:val="24"/>
        </w:rPr>
      </w:pPr>
      <w:r>
        <w:rPr>
          <w:i/>
          <w:sz w:val="24"/>
          <w:szCs w:val="24"/>
        </w:rPr>
        <w:t>Patienter med nedsat nyrefunktion</w:t>
      </w:r>
      <w:r>
        <w:rPr>
          <w:sz w:val="24"/>
          <w:szCs w:val="24"/>
        </w:rPr>
        <w:t xml:space="preserve"> </w:t>
      </w:r>
    </w:p>
    <w:p w:rsidR="00AB02F7" w:rsidRDefault="00AB02F7" w:rsidP="00AB02F7">
      <w:pPr>
        <w:ind w:left="851"/>
        <w:rPr>
          <w:sz w:val="24"/>
          <w:szCs w:val="24"/>
        </w:rPr>
      </w:pPr>
      <w:r>
        <w:rPr>
          <w:sz w:val="24"/>
          <w:szCs w:val="24"/>
        </w:rPr>
        <w:t xml:space="preserve">Hos KOL-patienter, efter administration af </w:t>
      </w:r>
      <w:proofErr w:type="spellStart"/>
      <w:r>
        <w:rPr>
          <w:sz w:val="24"/>
          <w:szCs w:val="24"/>
        </w:rPr>
        <w:t>tiotropium</w:t>
      </w:r>
      <w:proofErr w:type="spellEnd"/>
      <w:r>
        <w:rPr>
          <w:sz w:val="24"/>
          <w:szCs w:val="24"/>
        </w:rPr>
        <w:t xml:space="preserve"> en gang daglig som inhalation indtil </w:t>
      </w:r>
      <w:proofErr w:type="spellStart"/>
      <w:r>
        <w:rPr>
          <w:i/>
          <w:sz w:val="24"/>
          <w:szCs w:val="24"/>
        </w:rPr>
        <w:t>steady</w:t>
      </w:r>
      <w:proofErr w:type="spellEnd"/>
      <w:r>
        <w:rPr>
          <w:i/>
          <w:sz w:val="24"/>
          <w:szCs w:val="24"/>
        </w:rPr>
        <w:t xml:space="preserve"> </w:t>
      </w:r>
      <w:proofErr w:type="spellStart"/>
      <w:r>
        <w:rPr>
          <w:i/>
          <w:sz w:val="24"/>
          <w:szCs w:val="24"/>
        </w:rPr>
        <w:t>state</w:t>
      </w:r>
      <w:proofErr w:type="spellEnd"/>
      <w:r>
        <w:rPr>
          <w:sz w:val="24"/>
          <w:szCs w:val="24"/>
        </w:rPr>
        <w:t>, så man, at let nedsat nyrefunktion (CL</w:t>
      </w:r>
      <w:r>
        <w:rPr>
          <w:sz w:val="24"/>
          <w:szCs w:val="24"/>
          <w:vertAlign w:val="subscript"/>
        </w:rPr>
        <w:t xml:space="preserve">CR </w:t>
      </w:r>
      <w:r>
        <w:rPr>
          <w:sz w:val="24"/>
          <w:szCs w:val="24"/>
        </w:rPr>
        <w:t>50 - 80 ml/min) medførte lidt højere værdier for AUC</w:t>
      </w:r>
      <w:r>
        <w:rPr>
          <w:sz w:val="24"/>
          <w:szCs w:val="24"/>
          <w:vertAlign w:val="subscript"/>
        </w:rPr>
        <w:t>0-</w:t>
      </w:r>
      <w:proofErr w:type="gramStart"/>
      <w:r>
        <w:rPr>
          <w:sz w:val="24"/>
          <w:szCs w:val="24"/>
          <w:vertAlign w:val="subscript"/>
        </w:rPr>
        <w:t>6,ss</w:t>
      </w:r>
      <w:proofErr w:type="gramEnd"/>
      <w:r>
        <w:rPr>
          <w:sz w:val="24"/>
          <w:szCs w:val="24"/>
          <w:vertAlign w:val="subscript"/>
        </w:rPr>
        <w:t xml:space="preserve"> </w:t>
      </w:r>
      <w:r>
        <w:rPr>
          <w:sz w:val="24"/>
          <w:szCs w:val="24"/>
        </w:rPr>
        <w:t xml:space="preserve">(mellem 1,8 og 30 % højere), og tilsvarende for </w:t>
      </w:r>
      <w:proofErr w:type="spellStart"/>
      <w:r>
        <w:rPr>
          <w:sz w:val="24"/>
          <w:szCs w:val="24"/>
        </w:rPr>
        <w:t>C</w:t>
      </w:r>
      <w:r>
        <w:rPr>
          <w:sz w:val="24"/>
          <w:szCs w:val="24"/>
          <w:vertAlign w:val="subscript"/>
        </w:rPr>
        <w:t>max,ss</w:t>
      </w:r>
      <w:proofErr w:type="spellEnd"/>
      <w:r>
        <w:rPr>
          <w:sz w:val="24"/>
          <w:szCs w:val="24"/>
        </w:rPr>
        <w:t>, sammenlignet med patienter med normal nyrefunktion (CL</w:t>
      </w:r>
      <w:r>
        <w:rPr>
          <w:sz w:val="24"/>
          <w:szCs w:val="24"/>
          <w:vertAlign w:val="subscript"/>
        </w:rPr>
        <w:t>CR</w:t>
      </w:r>
      <w:r>
        <w:rPr>
          <w:sz w:val="24"/>
          <w:szCs w:val="24"/>
        </w:rPr>
        <w:t xml:space="preserve"> &gt;80 ml/min).</w:t>
      </w:r>
    </w:p>
    <w:p w:rsidR="00AB02F7" w:rsidRDefault="00AB02F7" w:rsidP="00AB02F7">
      <w:pPr>
        <w:ind w:left="851"/>
        <w:rPr>
          <w:sz w:val="24"/>
          <w:szCs w:val="24"/>
        </w:rPr>
      </w:pPr>
    </w:p>
    <w:p w:rsidR="00AB02F7" w:rsidRDefault="00AB02F7" w:rsidP="00AB02F7">
      <w:pPr>
        <w:ind w:left="851"/>
        <w:rPr>
          <w:sz w:val="24"/>
          <w:szCs w:val="24"/>
        </w:rPr>
      </w:pPr>
      <w:r>
        <w:rPr>
          <w:sz w:val="24"/>
          <w:szCs w:val="24"/>
        </w:rPr>
        <w:t>Hos KOL-patienter med moderat til svært nedsat nyrefunktion (CL</w:t>
      </w:r>
      <w:r>
        <w:rPr>
          <w:sz w:val="24"/>
          <w:szCs w:val="24"/>
          <w:vertAlign w:val="subscript"/>
        </w:rPr>
        <w:t>CR</w:t>
      </w:r>
      <w:r>
        <w:rPr>
          <w:sz w:val="24"/>
          <w:szCs w:val="24"/>
        </w:rPr>
        <w:t xml:space="preserve"> &lt; 50 ml/min) medførte intravenøs administration af </w:t>
      </w:r>
      <w:proofErr w:type="spellStart"/>
      <w:r>
        <w:rPr>
          <w:sz w:val="24"/>
          <w:szCs w:val="24"/>
        </w:rPr>
        <w:t>tiotropium</w:t>
      </w:r>
      <w:proofErr w:type="spellEnd"/>
      <w:r>
        <w:rPr>
          <w:sz w:val="24"/>
          <w:szCs w:val="24"/>
        </w:rPr>
        <w:t xml:space="preserve"> en fordobling af den totale eksponering (82 % højere AUC</w:t>
      </w:r>
      <w:r>
        <w:rPr>
          <w:sz w:val="24"/>
          <w:szCs w:val="24"/>
          <w:vertAlign w:val="subscript"/>
        </w:rPr>
        <w:t>0-4t</w:t>
      </w:r>
      <w:r>
        <w:rPr>
          <w:sz w:val="24"/>
          <w:szCs w:val="24"/>
        </w:rPr>
        <w:t xml:space="preserve"> og 52 % højere </w:t>
      </w:r>
      <w:proofErr w:type="spellStart"/>
      <w:r>
        <w:rPr>
          <w:sz w:val="24"/>
          <w:szCs w:val="24"/>
        </w:rPr>
        <w:t>C</w:t>
      </w:r>
      <w:r>
        <w:rPr>
          <w:sz w:val="24"/>
          <w:szCs w:val="24"/>
          <w:vertAlign w:val="subscript"/>
        </w:rPr>
        <w:t>max</w:t>
      </w:r>
      <w:proofErr w:type="spellEnd"/>
      <w:r>
        <w:rPr>
          <w:sz w:val="24"/>
          <w:szCs w:val="24"/>
        </w:rPr>
        <w:t>) sammenlignet med KOL-patienter med normal nyrefunktion, hvilket blev bekræftet ved måling af plasmakoncentrationer efter inhalation af pulver.</w:t>
      </w:r>
    </w:p>
    <w:p w:rsidR="00AB02F7" w:rsidRDefault="00AB02F7" w:rsidP="00AB02F7">
      <w:pPr>
        <w:keepNext/>
        <w:keepLines/>
        <w:widowControl w:val="0"/>
        <w:ind w:left="851"/>
        <w:rPr>
          <w:sz w:val="24"/>
          <w:szCs w:val="24"/>
        </w:rPr>
      </w:pPr>
    </w:p>
    <w:p w:rsidR="00AB02F7" w:rsidRDefault="00AB02F7" w:rsidP="00AB02F7">
      <w:pPr>
        <w:keepNext/>
        <w:keepLines/>
        <w:widowControl w:val="0"/>
        <w:ind w:left="851"/>
        <w:rPr>
          <w:i/>
          <w:sz w:val="24"/>
          <w:szCs w:val="24"/>
        </w:rPr>
      </w:pPr>
      <w:r>
        <w:rPr>
          <w:i/>
          <w:sz w:val="24"/>
          <w:szCs w:val="24"/>
        </w:rPr>
        <w:t>Patienter med nedsat leverfunktion</w:t>
      </w:r>
    </w:p>
    <w:p w:rsidR="00AB02F7" w:rsidRDefault="00AB02F7" w:rsidP="00AB02F7">
      <w:pPr>
        <w:keepNext/>
        <w:keepLines/>
        <w:widowControl w:val="0"/>
        <w:ind w:left="851"/>
        <w:rPr>
          <w:sz w:val="24"/>
          <w:szCs w:val="24"/>
        </w:rPr>
      </w:pPr>
      <w:r>
        <w:rPr>
          <w:sz w:val="24"/>
          <w:szCs w:val="24"/>
        </w:rPr>
        <w:t xml:space="preserve">Leverinsufficiens forventes ikke at have nogen relevant indflydelse på farmakokinetikken af </w:t>
      </w:r>
      <w:proofErr w:type="spellStart"/>
      <w:r>
        <w:rPr>
          <w:sz w:val="24"/>
          <w:szCs w:val="24"/>
        </w:rPr>
        <w:t>tiotropium</w:t>
      </w:r>
      <w:proofErr w:type="spellEnd"/>
      <w:r>
        <w:rPr>
          <w:sz w:val="24"/>
          <w:szCs w:val="24"/>
        </w:rPr>
        <w:t xml:space="preserve">. </w:t>
      </w:r>
      <w:proofErr w:type="spellStart"/>
      <w:r>
        <w:rPr>
          <w:sz w:val="24"/>
          <w:szCs w:val="24"/>
        </w:rPr>
        <w:t>Tiotropium</w:t>
      </w:r>
      <w:proofErr w:type="spellEnd"/>
      <w:r>
        <w:rPr>
          <w:sz w:val="24"/>
          <w:szCs w:val="24"/>
        </w:rPr>
        <w:t xml:space="preserve"> udskilles hovedsageligt </w:t>
      </w:r>
      <w:proofErr w:type="spellStart"/>
      <w:r>
        <w:rPr>
          <w:sz w:val="24"/>
          <w:szCs w:val="24"/>
        </w:rPr>
        <w:t>renalt</w:t>
      </w:r>
      <w:proofErr w:type="spellEnd"/>
      <w:r>
        <w:rPr>
          <w:sz w:val="24"/>
          <w:szCs w:val="24"/>
        </w:rPr>
        <w:t xml:space="preserve"> (74 % for unge, raske, frivillige forsøgspersoner) og via simpel, ikke-enzymatisk esterspaltning til farmakologisk inaktive produkter.</w:t>
      </w:r>
    </w:p>
    <w:p w:rsidR="00AB02F7" w:rsidRDefault="00AB02F7" w:rsidP="00AB02F7">
      <w:pPr>
        <w:ind w:left="851"/>
        <w:rPr>
          <w:sz w:val="24"/>
          <w:szCs w:val="24"/>
        </w:rPr>
      </w:pPr>
    </w:p>
    <w:p w:rsidR="00AB02F7" w:rsidRDefault="00AB02F7" w:rsidP="00AB02F7">
      <w:pPr>
        <w:ind w:left="851"/>
        <w:rPr>
          <w:i/>
          <w:iCs/>
          <w:sz w:val="24"/>
          <w:szCs w:val="24"/>
        </w:rPr>
      </w:pPr>
      <w:r>
        <w:rPr>
          <w:i/>
          <w:iCs/>
          <w:sz w:val="24"/>
          <w:szCs w:val="24"/>
        </w:rPr>
        <w:t>Japanske KOL-patienter</w:t>
      </w:r>
    </w:p>
    <w:p w:rsidR="00AB02F7" w:rsidRDefault="00AB02F7" w:rsidP="00AB02F7">
      <w:pPr>
        <w:ind w:left="851"/>
        <w:rPr>
          <w:sz w:val="24"/>
          <w:szCs w:val="24"/>
        </w:rPr>
      </w:pPr>
      <w:r>
        <w:rPr>
          <w:sz w:val="24"/>
          <w:szCs w:val="24"/>
        </w:rPr>
        <w:t xml:space="preserve">I en sammenligning på tværs af flere forsøg var de gennemsnitlige maksimale plasmakoncentrationer af </w:t>
      </w:r>
      <w:proofErr w:type="spellStart"/>
      <w:r>
        <w:rPr>
          <w:sz w:val="24"/>
          <w:szCs w:val="24"/>
        </w:rPr>
        <w:t>tiotropium</w:t>
      </w:r>
      <w:proofErr w:type="spellEnd"/>
      <w:r>
        <w:rPr>
          <w:sz w:val="24"/>
          <w:szCs w:val="24"/>
        </w:rPr>
        <w:t xml:space="preserve"> 10 minutter efter dosering ved </w:t>
      </w:r>
      <w:proofErr w:type="spellStart"/>
      <w:r>
        <w:rPr>
          <w:i/>
          <w:sz w:val="24"/>
          <w:szCs w:val="24"/>
        </w:rPr>
        <w:t>steady</w:t>
      </w:r>
      <w:proofErr w:type="spellEnd"/>
      <w:r>
        <w:rPr>
          <w:i/>
          <w:sz w:val="24"/>
          <w:szCs w:val="24"/>
        </w:rPr>
        <w:t xml:space="preserve"> </w:t>
      </w:r>
      <w:proofErr w:type="spellStart"/>
      <w:r>
        <w:rPr>
          <w:i/>
          <w:sz w:val="24"/>
          <w:szCs w:val="24"/>
        </w:rPr>
        <w:t>state</w:t>
      </w:r>
      <w:proofErr w:type="spellEnd"/>
      <w:r>
        <w:rPr>
          <w:sz w:val="24"/>
          <w:szCs w:val="24"/>
        </w:rPr>
        <w:t xml:space="preserve"> 20 % til 70 % højere hos japanske KOL-patienter end hos kaukasiske KOL-patienter efter inhalation af </w:t>
      </w:r>
      <w:proofErr w:type="spellStart"/>
      <w:r>
        <w:rPr>
          <w:sz w:val="24"/>
          <w:szCs w:val="24"/>
        </w:rPr>
        <w:t>tiotropium</w:t>
      </w:r>
      <w:proofErr w:type="spellEnd"/>
      <w:r>
        <w:rPr>
          <w:sz w:val="24"/>
          <w:szCs w:val="24"/>
        </w:rPr>
        <w:t xml:space="preserve">, men der var ingen tegn på højere mortalitet eller kardial risiko hos japanske patienter sammenlignet med kaukasiske patienter. Der foreligger utilstrækkelige </w:t>
      </w:r>
      <w:proofErr w:type="spellStart"/>
      <w:r>
        <w:rPr>
          <w:sz w:val="24"/>
          <w:szCs w:val="24"/>
        </w:rPr>
        <w:t>farmakokinetiske</w:t>
      </w:r>
      <w:proofErr w:type="spellEnd"/>
      <w:r>
        <w:rPr>
          <w:sz w:val="24"/>
          <w:szCs w:val="24"/>
        </w:rPr>
        <w:t xml:space="preserve"> data vedrørende andre etniciteter eller racer.</w:t>
      </w:r>
    </w:p>
    <w:p w:rsidR="00AB02F7" w:rsidRDefault="00AB02F7" w:rsidP="00AB02F7">
      <w:pPr>
        <w:ind w:left="851" w:hanging="851"/>
        <w:rPr>
          <w:sz w:val="24"/>
          <w:szCs w:val="24"/>
        </w:rPr>
      </w:pPr>
    </w:p>
    <w:p w:rsidR="00AB02F7" w:rsidRDefault="00AB02F7" w:rsidP="00AB02F7">
      <w:pPr>
        <w:ind w:left="851"/>
        <w:rPr>
          <w:i/>
          <w:sz w:val="24"/>
          <w:szCs w:val="24"/>
        </w:rPr>
      </w:pPr>
      <w:r>
        <w:rPr>
          <w:i/>
          <w:sz w:val="24"/>
          <w:szCs w:val="24"/>
        </w:rPr>
        <w:t>Pædiatriske patienter</w:t>
      </w:r>
    </w:p>
    <w:p w:rsidR="00AB02F7" w:rsidRDefault="00AB02F7" w:rsidP="00AB02F7">
      <w:pPr>
        <w:ind w:left="851"/>
        <w:rPr>
          <w:sz w:val="24"/>
          <w:szCs w:val="24"/>
        </w:rPr>
      </w:pPr>
      <w:r>
        <w:rPr>
          <w:sz w:val="24"/>
          <w:szCs w:val="24"/>
        </w:rPr>
        <w:t>Se pkt. 4.2.</w:t>
      </w:r>
    </w:p>
    <w:p w:rsidR="00AB02F7" w:rsidRDefault="00AB02F7" w:rsidP="00AB02F7">
      <w:pPr>
        <w:ind w:left="851" w:hanging="851"/>
        <w:rPr>
          <w:sz w:val="24"/>
          <w:szCs w:val="24"/>
        </w:rPr>
      </w:pPr>
    </w:p>
    <w:p w:rsidR="00AB02F7" w:rsidRDefault="00AB02F7" w:rsidP="00AB02F7">
      <w:pPr>
        <w:ind w:left="851"/>
        <w:rPr>
          <w:sz w:val="24"/>
          <w:szCs w:val="24"/>
          <w:u w:val="single"/>
        </w:rPr>
      </w:pPr>
      <w:r>
        <w:rPr>
          <w:sz w:val="24"/>
          <w:szCs w:val="24"/>
          <w:u w:val="single"/>
        </w:rPr>
        <w:t xml:space="preserve">d) </w:t>
      </w:r>
      <w:proofErr w:type="spellStart"/>
      <w:r>
        <w:rPr>
          <w:sz w:val="24"/>
          <w:szCs w:val="24"/>
          <w:u w:val="single"/>
        </w:rPr>
        <w:t>Farmakokinetiske</w:t>
      </w:r>
      <w:proofErr w:type="spellEnd"/>
      <w:r>
        <w:rPr>
          <w:sz w:val="24"/>
          <w:szCs w:val="24"/>
          <w:u w:val="single"/>
        </w:rPr>
        <w:t xml:space="preserve"> / </w:t>
      </w:r>
      <w:proofErr w:type="spellStart"/>
      <w:r>
        <w:rPr>
          <w:sz w:val="24"/>
          <w:szCs w:val="24"/>
          <w:u w:val="single"/>
        </w:rPr>
        <w:t>Farmakodynamiske</w:t>
      </w:r>
      <w:proofErr w:type="spellEnd"/>
      <w:r>
        <w:rPr>
          <w:sz w:val="24"/>
          <w:szCs w:val="24"/>
          <w:u w:val="single"/>
        </w:rPr>
        <w:t xml:space="preserve"> forhold</w:t>
      </w:r>
    </w:p>
    <w:p w:rsidR="00AB02F7" w:rsidRDefault="00AB02F7" w:rsidP="00AB02F7">
      <w:pPr>
        <w:tabs>
          <w:tab w:val="left" w:pos="851"/>
        </w:tabs>
        <w:ind w:left="851"/>
        <w:rPr>
          <w:sz w:val="24"/>
          <w:szCs w:val="24"/>
        </w:rPr>
      </w:pPr>
      <w:r>
        <w:rPr>
          <w:sz w:val="24"/>
          <w:szCs w:val="24"/>
        </w:rPr>
        <w:t xml:space="preserve">Der er ingen direkte sammenhæng mellem farmakokinetik og </w:t>
      </w:r>
      <w:proofErr w:type="spellStart"/>
      <w:r>
        <w:rPr>
          <w:sz w:val="24"/>
          <w:szCs w:val="24"/>
        </w:rPr>
        <w:t>farmakodynamik</w:t>
      </w:r>
      <w:proofErr w:type="spellEnd"/>
      <w:r>
        <w:rPr>
          <w:sz w:val="24"/>
          <w:szCs w:val="24"/>
        </w:rPr>
        <w:t>.</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AB02F7" w:rsidRDefault="00AB02F7" w:rsidP="00AB02F7">
      <w:pPr>
        <w:ind w:left="851"/>
        <w:rPr>
          <w:sz w:val="24"/>
          <w:szCs w:val="24"/>
        </w:rPr>
      </w:pPr>
      <w:proofErr w:type="spellStart"/>
      <w:r>
        <w:rPr>
          <w:sz w:val="24"/>
          <w:szCs w:val="24"/>
        </w:rPr>
        <w:t>Tiotropiumbromids</w:t>
      </w:r>
      <w:proofErr w:type="spellEnd"/>
      <w:r>
        <w:rPr>
          <w:sz w:val="24"/>
          <w:szCs w:val="24"/>
        </w:rPr>
        <w:t xml:space="preserve"> </w:t>
      </w:r>
      <w:proofErr w:type="spellStart"/>
      <w:r>
        <w:rPr>
          <w:sz w:val="24"/>
          <w:szCs w:val="24"/>
        </w:rPr>
        <w:t>antikolinerge</w:t>
      </w:r>
      <w:proofErr w:type="spellEnd"/>
      <w:r>
        <w:rPr>
          <w:sz w:val="24"/>
          <w:szCs w:val="24"/>
        </w:rPr>
        <w:t xml:space="preserve"> egenskaber kan forklare mange af de virkninger, som er set i konventionelle undersøgelser af sikkerhedsfarmakologi, toksicitet efter gentagne doser og reproduktionstoksicitet. Hos dyr har man typisk set nedsat fødeindtagelse, hæmmet vægtøgning, tør mund og næse, reduceret tåreflåd og spytproduktion, </w:t>
      </w:r>
      <w:proofErr w:type="spellStart"/>
      <w:r>
        <w:rPr>
          <w:sz w:val="24"/>
          <w:szCs w:val="24"/>
        </w:rPr>
        <w:t>mydriasis</w:t>
      </w:r>
      <w:proofErr w:type="spellEnd"/>
      <w:r>
        <w:rPr>
          <w:sz w:val="24"/>
          <w:szCs w:val="24"/>
        </w:rPr>
        <w:t xml:space="preserve"> og forøget hjertefrekvens. Andre relevante virkninger set ved forsøg med gentagne doser var: Mild irritation i luftvejene hos rotter og mus, som viste sig som </w:t>
      </w:r>
      <w:proofErr w:type="spellStart"/>
      <w:r>
        <w:rPr>
          <w:sz w:val="24"/>
          <w:szCs w:val="24"/>
        </w:rPr>
        <w:t>rhinitis</w:t>
      </w:r>
      <w:proofErr w:type="spellEnd"/>
      <w:r>
        <w:rPr>
          <w:sz w:val="24"/>
          <w:szCs w:val="24"/>
        </w:rPr>
        <w:t xml:space="preserve"> og epitelændringer i nasalkaviteten og </w:t>
      </w:r>
      <w:proofErr w:type="spellStart"/>
      <w:r>
        <w:rPr>
          <w:sz w:val="24"/>
          <w:szCs w:val="24"/>
        </w:rPr>
        <w:t>larynx</w:t>
      </w:r>
      <w:proofErr w:type="spellEnd"/>
      <w:r>
        <w:rPr>
          <w:sz w:val="24"/>
          <w:szCs w:val="24"/>
        </w:rPr>
        <w:t xml:space="preserve">, samt </w:t>
      </w:r>
      <w:proofErr w:type="spellStart"/>
      <w:r>
        <w:rPr>
          <w:sz w:val="24"/>
          <w:szCs w:val="24"/>
        </w:rPr>
        <w:t>prostatitis</w:t>
      </w:r>
      <w:proofErr w:type="spellEnd"/>
      <w:r>
        <w:rPr>
          <w:sz w:val="24"/>
          <w:szCs w:val="24"/>
        </w:rPr>
        <w:t xml:space="preserve"> tillige med proteinholdige aflejringer og sten i blæren hos rotter.</w:t>
      </w:r>
    </w:p>
    <w:p w:rsidR="00AB02F7" w:rsidRDefault="00AB02F7" w:rsidP="00AB02F7">
      <w:pPr>
        <w:ind w:left="851"/>
        <w:outlineLvl w:val="0"/>
        <w:rPr>
          <w:sz w:val="24"/>
          <w:szCs w:val="24"/>
        </w:rPr>
      </w:pPr>
    </w:p>
    <w:p w:rsidR="00AB02F7" w:rsidRDefault="00AB02F7" w:rsidP="00AB02F7">
      <w:pPr>
        <w:ind w:left="851"/>
        <w:outlineLvl w:val="0"/>
        <w:rPr>
          <w:sz w:val="24"/>
          <w:szCs w:val="24"/>
        </w:rPr>
      </w:pPr>
      <w:r>
        <w:rPr>
          <w:sz w:val="24"/>
          <w:szCs w:val="24"/>
        </w:rPr>
        <w:t xml:space="preserve">Skadelige virkninger på graviditet, fosterudvikling, fødsel og </w:t>
      </w:r>
      <w:proofErr w:type="spellStart"/>
      <w:r>
        <w:rPr>
          <w:sz w:val="24"/>
          <w:szCs w:val="24"/>
        </w:rPr>
        <w:t>postnatal</w:t>
      </w:r>
      <w:proofErr w:type="spellEnd"/>
      <w:r>
        <w:rPr>
          <w:sz w:val="24"/>
          <w:szCs w:val="24"/>
        </w:rPr>
        <w:t xml:space="preserve"> udvikling kunne kun påvises ved doser, der var toksiske for moderen. </w:t>
      </w:r>
      <w:proofErr w:type="spellStart"/>
      <w:r>
        <w:rPr>
          <w:sz w:val="24"/>
          <w:szCs w:val="24"/>
        </w:rPr>
        <w:t>Tiotropiumbromid</w:t>
      </w:r>
      <w:proofErr w:type="spellEnd"/>
      <w:r>
        <w:rPr>
          <w:sz w:val="24"/>
          <w:szCs w:val="24"/>
        </w:rPr>
        <w:t xml:space="preserve"> var ikke </w:t>
      </w:r>
      <w:proofErr w:type="spellStart"/>
      <w:r>
        <w:rPr>
          <w:sz w:val="24"/>
          <w:szCs w:val="24"/>
        </w:rPr>
        <w:t>teratogent</w:t>
      </w:r>
      <w:proofErr w:type="spellEnd"/>
      <w:r>
        <w:rPr>
          <w:sz w:val="24"/>
          <w:szCs w:val="24"/>
        </w:rPr>
        <w:t xml:space="preserve"> hos rotter eller kaniner. I et alment reproduktions- og fertilitetsforsøg med rotter var der ingen tegn på fertilitetsbivirkninger eller nedsat parringsevne, hverken hos forældre eller afkom ved hvilken som helst dosis.</w:t>
      </w:r>
    </w:p>
    <w:p w:rsidR="00AB02F7" w:rsidRDefault="00AB02F7" w:rsidP="00AB02F7">
      <w:pPr>
        <w:ind w:left="851"/>
        <w:rPr>
          <w:sz w:val="24"/>
          <w:szCs w:val="24"/>
        </w:rPr>
      </w:pPr>
    </w:p>
    <w:p w:rsidR="00AB02F7" w:rsidRDefault="00AB02F7" w:rsidP="00AB02F7">
      <w:pPr>
        <w:ind w:left="851"/>
        <w:rPr>
          <w:sz w:val="24"/>
          <w:szCs w:val="24"/>
        </w:rPr>
      </w:pPr>
      <w:r>
        <w:rPr>
          <w:sz w:val="24"/>
          <w:szCs w:val="24"/>
        </w:rPr>
        <w:t>De respiratoriske (irritation) og urogenitale (</w:t>
      </w:r>
      <w:proofErr w:type="spellStart"/>
      <w:r>
        <w:rPr>
          <w:sz w:val="24"/>
          <w:szCs w:val="24"/>
        </w:rPr>
        <w:t>prostatitis</w:t>
      </w:r>
      <w:proofErr w:type="spellEnd"/>
      <w:r>
        <w:rPr>
          <w:sz w:val="24"/>
          <w:szCs w:val="24"/>
        </w:rPr>
        <w:t xml:space="preserve">) ændringer og reproduktionstoksicitet sås ved lokale eller systemiske eksponeringer med mere end 5 gange den terapeutiske eksponering. Forsøg med genotoksicitet og </w:t>
      </w:r>
      <w:proofErr w:type="spellStart"/>
      <w:r>
        <w:rPr>
          <w:sz w:val="24"/>
          <w:szCs w:val="24"/>
        </w:rPr>
        <w:t>karcinogenicitet</w:t>
      </w:r>
      <w:proofErr w:type="spellEnd"/>
      <w:r>
        <w:rPr>
          <w:sz w:val="24"/>
          <w:szCs w:val="24"/>
        </w:rPr>
        <w:t xml:space="preserve"> viser ingen særlig risiko for mennesker.</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AB02F7" w:rsidRPr="00BA09F1"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6.1</w:t>
      </w:r>
      <w:r w:rsidRPr="00C84483">
        <w:rPr>
          <w:b/>
          <w:sz w:val="24"/>
          <w:szCs w:val="24"/>
        </w:rPr>
        <w:tab/>
        <w:t>Hjælpestoffer</w:t>
      </w:r>
    </w:p>
    <w:p w:rsidR="00AB02F7" w:rsidRDefault="00AB02F7" w:rsidP="00AB02F7">
      <w:pPr>
        <w:ind w:left="851"/>
        <w:rPr>
          <w:sz w:val="24"/>
          <w:szCs w:val="24"/>
        </w:rPr>
      </w:pPr>
    </w:p>
    <w:p w:rsidR="00AB02F7" w:rsidRDefault="00AB02F7" w:rsidP="00AB02F7">
      <w:pPr>
        <w:ind w:left="851"/>
        <w:rPr>
          <w:sz w:val="24"/>
          <w:szCs w:val="24"/>
        </w:rPr>
      </w:pPr>
      <w:r>
        <w:rPr>
          <w:sz w:val="24"/>
          <w:szCs w:val="24"/>
          <w:u w:val="single" w:color="000000"/>
        </w:rPr>
        <w:t>Kapselindhold</w:t>
      </w:r>
    </w:p>
    <w:p w:rsidR="00AB02F7" w:rsidRDefault="00AB02F7" w:rsidP="00AB02F7">
      <w:pPr>
        <w:ind w:left="851"/>
        <w:rPr>
          <w:sz w:val="24"/>
          <w:szCs w:val="24"/>
        </w:rPr>
      </w:pPr>
      <w:proofErr w:type="spellStart"/>
      <w:r>
        <w:rPr>
          <w:sz w:val="24"/>
          <w:szCs w:val="24"/>
        </w:rPr>
        <w:t>Lactose</w:t>
      </w:r>
      <w:proofErr w:type="spellEnd"/>
      <w:r>
        <w:rPr>
          <w:sz w:val="24"/>
          <w:szCs w:val="24"/>
        </w:rPr>
        <w:t xml:space="preserve"> (indeholder mælkeprotein)</w:t>
      </w:r>
    </w:p>
    <w:p w:rsidR="00AB02F7" w:rsidRDefault="00AB02F7" w:rsidP="00AB02F7">
      <w:pPr>
        <w:ind w:left="851"/>
        <w:rPr>
          <w:sz w:val="24"/>
          <w:szCs w:val="24"/>
        </w:rPr>
      </w:pPr>
    </w:p>
    <w:p w:rsidR="00AB02F7" w:rsidRDefault="00AB02F7" w:rsidP="00AB02F7">
      <w:pPr>
        <w:ind w:left="851" w:right="6542"/>
        <w:rPr>
          <w:sz w:val="24"/>
          <w:szCs w:val="24"/>
          <w:u w:val="single" w:color="000000"/>
        </w:rPr>
      </w:pPr>
      <w:r>
        <w:rPr>
          <w:sz w:val="24"/>
          <w:szCs w:val="24"/>
          <w:u w:val="single" w:color="000000"/>
        </w:rPr>
        <w:t>Kapselskal</w:t>
      </w:r>
    </w:p>
    <w:p w:rsidR="00AB02F7" w:rsidRDefault="00AB02F7" w:rsidP="00AB02F7">
      <w:pPr>
        <w:ind w:left="851" w:right="6542"/>
        <w:rPr>
          <w:sz w:val="24"/>
          <w:szCs w:val="24"/>
        </w:rPr>
      </w:pPr>
      <w:proofErr w:type="spellStart"/>
      <w:r>
        <w:rPr>
          <w:spacing w:val="-1"/>
          <w:sz w:val="24"/>
          <w:szCs w:val="24"/>
        </w:rPr>
        <w:t>Hypromellose</w:t>
      </w:r>
      <w:proofErr w:type="spellEnd"/>
    </w:p>
    <w:p w:rsidR="00AB02F7" w:rsidRDefault="00AB02F7" w:rsidP="00AB02F7">
      <w:pPr>
        <w:ind w:left="851" w:right="6413"/>
        <w:rPr>
          <w:sz w:val="24"/>
          <w:szCs w:val="24"/>
        </w:rPr>
      </w:pPr>
      <w:r>
        <w:rPr>
          <w:sz w:val="24"/>
          <w:szCs w:val="24"/>
        </w:rPr>
        <w:t>Titandioxid (E171)</w:t>
      </w:r>
    </w:p>
    <w:p w:rsidR="00AB02F7" w:rsidRDefault="00AB02F7" w:rsidP="00AB02F7">
      <w:pPr>
        <w:ind w:left="851" w:right="6413"/>
        <w:rPr>
          <w:sz w:val="24"/>
          <w:szCs w:val="24"/>
        </w:rPr>
      </w:pPr>
      <w:r>
        <w:rPr>
          <w:spacing w:val="-1"/>
          <w:sz w:val="24"/>
          <w:szCs w:val="24"/>
        </w:rPr>
        <w:t>Sort blæk</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6.2</w:t>
      </w:r>
      <w:r w:rsidRPr="00C84483">
        <w:rPr>
          <w:b/>
          <w:sz w:val="24"/>
          <w:szCs w:val="24"/>
        </w:rPr>
        <w:tab/>
        <w:t>Uforligeligheder</w:t>
      </w:r>
    </w:p>
    <w:p w:rsidR="00AB02F7" w:rsidRDefault="00AB02F7" w:rsidP="00AB02F7">
      <w:pPr>
        <w:ind w:left="851"/>
        <w:rPr>
          <w:sz w:val="24"/>
          <w:szCs w:val="24"/>
        </w:rPr>
      </w:pPr>
      <w:r>
        <w:rPr>
          <w:sz w:val="24"/>
          <w:szCs w:val="24"/>
        </w:rPr>
        <w:t>Ikke relevant.</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6.3</w:t>
      </w:r>
      <w:r w:rsidRPr="00C84483">
        <w:rPr>
          <w:b/>
          <w:sz w:val="24"/>
          <w:szCs w:val="24"/>
        </w:rPr>
        <w:tab/>
        <w:t>Opbevaringstid</w:t>
      </w:r>
    </w:p>
    <w:p w:rsidR="00AB02F7" w:rsidRDefault="00AB02F7" w:rsidP="00AB02F7">
      <w:pPr>
        <w:ind w:left="851"/>
        <w:rPr>
          <w:sz w:val="24"/>
          <w:szCs w:val="24"/>
        </w:rPr>
      </w:pPr>
      <w:r>
        <w:rPr>
          <w:sz w:val="24"/>
          <w:szCs w:val="24"/>
        </w:rPr>
        <w:t>2 år.</w:t>
      </w:r>
    </w:p>
    <w:p w:rsidR="00AB02F7" w:rsidRDefault="00AB02F7" w:rsidP="00AB02F7">
      <w:pPr>
        <w:ind w:left="851"/>
        <w:rPr>
          <w:spacing w:val="-3"/>
          <w:sz w:val="24"/>
          <w:szCs w:val="24"/>
        </w:rPr>
      </w:pPr>
    </w:p>
    <w:p w:rsidR="00AB02F7" w:rsidRDefault="00AB02F7" w:rsidP="00AB02F7">
      <w:pPr>
        <w:ind w:left="851"/>
        <w:rPr>
          <w:sz w:val="24"/>
          <w:szCs w:val="24"/>
        </w:rPr>
      </w:pPr>
      <w:r>
        <w:rPr>
          <w:sz w:val="24"/>
          <w:szCs w:val="24"/>
        </w:rPr>
        <w:t xml:space="preserve">Efter åbning: </w:t>
      </w:r>
      <w:proofErr w:type="spellStart"/>
      <w:r>
        <w:rPr>
          <w:sz w:val="24"/>
          <w:szCs w:val="24"/>
        </w:rPr>
        <w:t>NeumoHaler</w:t>
      </w:r>
      <w:proofErr w:type="spellEnd"/>
      <w:r>
        <w:rPr>
          <w:sz w:val="24"/>
          <w:szCs w:val="24"/>
        </w:rPr>
        <w:t xml:space="preserve"> kasseres, når lægemidlet i æsken er brugt (højst 3 måneder efter åbning).</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B02F7" w:rsidRDefault="00AB02F7" w:rsidP="00AB02F7">
      <w:pPr>
        <w:ind w:left="851"/>
        <w:rPr>
          <w:sz w:val="24"/>
          <w:szCs w:val="24"/>
        </w:rPr>
      </w:pPr>
      <w:r>
        <w:rPr>
          <w:sz w:val="24"/>
          <w:szCs w:val="24"/>
        </w:rPr>
        <w:t xml:space="preserve">Må ikke opbevares ved temperaturer over 30 </w:t>
      </w:r>
      <w:r>
        <w:rPr>
          <w:sz w:val="24"/>
          <w:szCs w:val="24"/>
        </w:rPr>
        <w:sym w:font="Symbol" w:char="F0B0"/>
      </w:r>
      <w:r>
        <w:rPr>
          <w:sz w:val="24"/>
          <w:szCs w:val="24"/>
        </w:rPr>
        <w:t>C.</w:t>
      </w:r>
    </w:p>
    <w:p w:rsidR="00AB02F7" w:rsidRDefault="00AB02F7" w:rsidP="00AB02F7">
      <w:pPr>
        <w:tabs>
          <w:tab w:val="left" w:pos="851"/>
        </w:tabs>
        <w:ind w:left="851"/>
        <w:rPr>
          <w:sz w:val="24"/>
          <w:szCs w:val="24"/>
        </w:rPr>
      </w:pPr>
      <w:r>
        <w:rPr>
          <w:sz w:val="24"/>
          <w:szCs w:val="24"/>
        </w:rPr>
        <w:t>Opbevares i den originale emballage for at beskytte mod fugt.</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AB02F7" w:rsidRDefault="00AB02F7" w:rsidP="00AB02F7">
      <w:pPr>
        <w:ind w:left="851"/>
        <w:rPr>
          <w:sz w:val="24"/>
          <w:szCs w:val="24"/>
        </w:rPr>
      </w:pPr>
      <w:r>
        <w:rPr>
          <w:spacing w:val="-1"/>
          <w:sz w:val="24"/>
          <w:szCs w:val="24"/>
        </w:rPr>
        <w:t>Aluminium</w:t>
      </w:r>
      <w:r>
        <w:rPr>
          <w:sz w:val="24"/>
          <w:szCs w:val="24"/>
        </w:rPr>
        <w:t>/</w:t>
      </w:r>
      <w:r>
        <w:rPr>
          <w:spacing w:val="-2"/>
          <w:sz w:val="24"/>
          <w:szCs w:val="24"/>
        </w:rPr>
        <w:t>Aluminium-PVC</w:t>
      </w:r>
      <w:r>
        <w:rPr>
          <w:spacing w:val="-1"/>
          <w:sz w:val="24"/>
          <w:szCs w:val="24"/>
        </w:rPr>
        <w:t xml:space="preserve"> </w:t>
      </w:r>
      <w:r>
        <w:rPr>
          <w:sz w:val="24"/>
          <w:szCs w:val="24"/>
        </w:rPr>
        <w:t>blisterark.</w:t>
      </w:r>
    </w:p>
    <w:p w:rsidR="00AB02F7" w:rsidRDefault="00AB02F7" w:rsidP="00AB02F7">
      <w:pPr>
        <w:ind w:left="851"/>
        <w:rPr>
          <w:sz w:val="24"/>
          <w:szCs w:val="24"/>
        </w:rPr>
      </w:pPr>
    </w:p>
    <w:p w:rsidR="00AB02F7" w:rsidRDefault="00AB02F7" w:rsidP="00AB02F7">
      <w:pPr>
        <w:ind w:left="851"/>
        <w:rPr>
          <w:sz w:val="24"/>
          <w:szCs w:val="24"/>
        </w:rPr>
      </w:pPr>
      <w:proofErr w:type="spellStart"/>
      <w:r>
        <w:rPr>
          <w:spacing w:val="-1"/>
          <w:sz w:val="24"/>
          <w:szCs w:val="24"/>
        </w:rPr>
        <w:t>NeumoHaler</w:t>
      </w:r>
      <w:proofErr w:type="spellEnd"/>
      <w:r>
        <w:rPr>
          <w:sz w:val="24"/>
          <w:szCs w:val="24"/>
        </w:rPr>
        <w:t xml:space="preserve"> </w:t>
      </w:r>
      <w:r>
        <w:rPr>
          <w:spacing w:val="-1"/>
          <w:sz w:val="24"/>
          <w:szCs w:val="24"/>
        </w:rPr>
        <w:t>er et enkeltdosis inhalationssystem</w:t>
      </w:r>
      <w:r>
        <w:rPr>
          <w:sz w:val="24"/>
          <w:szCs w:val="24"/>
        </w:rPr>
        <w:t xml:space="preserve"> med en grøn over- og underdel og en hvid trykknap fremstillet af plastmateriale (ABS) og rustfrit stål.</w:t>
      </w:r>
    </w:p>
    <w:p w:rsidR="00AB02F7" w:rsidRDefault="00AB02F7" w:rsidP="00AB02F7">
      <w:pPr>
        <w:ind w:left="851"/>
        <w:rPr>
          <w:sz w:val="24"/>
          <w:szCs w:val="24"/>
        </w:rPr>
      </w:pPr>
    </w:p>
    <w:p w:rsidR="00AB02F7" w:rsidRPr="00221801" w:rsidRDefault="00AB02F7" w:rsidP="00AB02F7">
      <w:pPr>
        <w:ind w:left="851"/>
        <w:rPr>
          <w:sz w:val="24"/>
          <w:szCs w:val="24"/>
          <w:u w:val="single"/>
        </w:rPr>
      </w:pPr>
      <w:r>
        <w:rPr>
          <w:sz w:val="24"/>
          <w:szCs w:val="24"/>
          <w:u w:val="single"/>
        </w:rPr>
        <w:t>Pakningsstørrelser og inhalator</w:t>
      </w:r>
    </w:p>
    <w:p w:rsidR="00AB02F7" w:rsidRDefault="00AB02F7" w:rsidP="00AB02F7">
      <w:pPr>
        <w:widowControl w:val="0"/>
        <w:tabs>
          <w:tab w:val="left" w:pos="248"/>
        </w:tabs>
        <w:ind w:left="851"/>
        <w:rPr>
          <w:sz w:val="24"/>
          <w:szCs w:val="24"/>
        </w:rPr>
      </w:pPr>
      <w:r>
        <w:rPr>
          <w:sz w:val="24"/>
          <w:szCs w:val="24"/>
        </w:rPr>
        <w:t xml:space="preserve">30, 60 og 90 kapsler, i kartonæske. </w:t>
      </w:r>
      <w:proofErr w:type="spellStart"/>
      <w:r>
        <w:rPr>
          <w:spacing w:val="-1"/>
          <w:sz w:val="24"/>
          <w:szCs w:val="24"/>
        </w:rPr>
        <w:t>NeumoHaler</w:t>
      </w:r>
      <w:proofErr w:type="spellEnd"/>
      <w:r>
        <w:rPr>
          <w:spacing w:val="-1"/>
          <w:sz w:val="24"/>
          <w:szCs w:val="24"/>
        </w:rPr>
        <w:t xml:space="preserve"> inhalator medfølger i hver æske</w:t>
      </w:r>
      <w:r>
        <w:rPr>
          <w:sz w:val="24"/>
          <w:szCs w:val="24"/>
        </w:rPr>
        <w:t>.</w:t>
      </w:r>
    </w:p>
    <w:p w:rsidR="00AB02F7" w:rsidRDefault="00AB02F7" w:rsidP="00AB02F7">
      <w:pPr>
        <w:suppressAutoHyphens/>
        <w:ind w:left="851"/>
        <w:rPr>
          <w:sz w:val="24"/>
          <w:szCs w:val="24"/>
        </w:rPr>
      </w:pPr>
      <w:r>
        <w:rPr>
          <w:sz w:val="24"/>
          <w:szCs w:val="24"/>
        </w:rPr>
        <w:t>Ikke alle pakningsstørrelser er nødvendigvis markedsført.</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AB02F7" w:rsidRDefault="00AB02F7" w:rsidP="00AB02F7">
      <w:pPr>
        <w:ind w:left="851"/>
        <w:rPr>
          <w:sz w:val="24"/>
          <w:szCs w:val="24"/>
        </w:rPr>
      </w:pPr>
      <w:r>
        <w:rPr>
          <w:sz w:val="24"/>
          <w:szCs w:val="24"/>
        </w:rPr>
        <w:t>Ikke anvendt lægemiddel samt affald heraf skal bortskaffes i henhold til lokale retningslinjer.</w:t>
      </w:r>
    </w:p>
    <w:p w:rsidR="00AB02F7" w:rsidRPr="00C84483" w:rsidRDefault="00AB02F7" w:rsidP="00AB02F7">
      <w:pPr>
        <w:tabs>
          <w:tab w:val="left" w:pos="851"/>
        </w:tabs>
        <w:ind w:left="851"/>
        <w:jc w:val="both"/>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F4C60" w:rsidRPr="002F4C60" w:rsidRDefault="002F4C60" w:rsidP="002F4C60">
      <w:pPr>
        <w:ind w:left="851"/>
        <w:rPr>
          <w:spacing w:val="-3"/>
          <w:sz w:val="24"/>
          <w:szCs w:val="24"/>
          <w:lang w:val="en-US"/>
        </w:rPr>
      </w:pPr>
      <w:proofErr w:type="spellStart"/>
      <w:r w:rsidRPr="002F4C60">
        <w:rPr>
          <w:spacing w:val="-3"/>
          <w:sz w:val="24"/>
          <w:szCs w:val="24"/>
          <w:lang w:val="en-US"/>
        </w:rPr>
        <w:t>Viatris</w:t>
      </w:r>
      <w:proofErr w:type="spellEnd"/>
      <w:r w:rsidRPr="002F4C60">
        <w:rPr>
          <w:spacing w:val="-3"/>
          <w:sz w:val="24"/>
          <w:szCs w:val="24"/>
          <w:lang w:val="en-US"/>
        </w:rPr>
        <w:t xml:space="preserve"> Limited</w:t>
      </w:r>
    </w:p>
    <w:p w:rsidR="002F4C60" w:rsidRPr="002F4C60" w:rsidRDefault="002F4C60" w:rsidP="002F4C60">
      <w:pPr>
        <w:ind w:left="851"/>
        <w:rPr>
          <w:spacing w:val="-3"/>
          <w:sz w:val="24"/>
          <w:szCs w:val="24"/>
          <w:lang w:val="en-US"/>
        </w:rPr>
      </w:pPr>
      <w:proofErr w:type="spellStart"/>
      <w:r w:rsidRPr="002F4C60">
        <w:rPr>
          <w:spacing w:val="-3"/>
          <w:sz w:val="24"/>
          <w:szCs w:val="24"/>
          <w:lang w:val="en-US"/>
        </w:rPr>
        <w:t>Damastown</w:t>
      </w:r>
      <w:proofErr w:type="spellEnd"/>
      <w:r w:rsidRPr="002F4C60">
        <w:rPr>
          <w:spacing w:val="-3"/>
          <w:sz w:val="24"/>
          <w:szCs w:val="24"/>
          <w:lang w:val="en-US"/>
        </w:rPr>
        <w:t xml:space="preserve"> Industrial Park</w:t>
      </w:r>
    </w:p>
    <w:p w:rsidR="002F4C60" w:rsidRPr="002F4C60" w:rsidRDefault="002F4C60" w:rsidP="002F4C60">
      <w:pPr>
        <w:ind w:left="851"/>
        <w:rPr>
          <w:spacing w:val="-3"/>
          <w:sz w:val="24"/>
          <w:szCs w:val="24"/>
          <w:lang w:val="en-US"/>
        </w:rPr>
      </w:pPr>
      <w:proofErr w:type="spellStart"/>
      <w:r w:rsidRPr="002F4C60">
        <w:rPr>
          <w:spacing w:val="-3"/>
          <w:sz w:val="24"/>
          <w:szCs w:val="24"/>
          <w:lang w:val="en-US"/>
        </w:rPr>
        <w:t>Mulhuddart</w:t>
      </w:r>
      <w:proofErr w:type="spellEnd"/>
      <w:r w:rsidRPr="002F4C60">
        <w:rPr>
          <w:spacing w:val="-3"/>
          <w:sz w:val="24"/>
          <w:szCs w:val="24"/>
          <w:lang w:val="en-US"/>
        </w:rPr>
        <w:t>,</w:t>
      </w:r>
    </w:p>
    <w:p w:rsidR="002F4C60" w:rsidRPr="002F4C60" w:rsidRDefault="002F4C60" w:rsidP="002F4C60">
      <w:pPr>
        <w:ind w:left="851"/>
        <w:rPr>
          <w:spacing w:val="-3"/>
          <w:sz w:val="24"/>
          <w:szCs w:val="24"/>
        </w:rPr>
      </w:pPr>
      <w:r w:rsidRPr="002F4C60">
        <w:rPr>
          <w:spacing w:val="-3"/>
          <w:sz w:val="24"/>
          <w:szCs w:val="24"/>
        </w:rPr>
        <w:t>Dublin 15</w:t>
      </w:r>
    </w:p>
    <w:p w:rsidR="002F4C60" w:rsidRPr="002F4C60" w:rsidRDefault="002F4C60" w:rsidP="002F4C60">
      <w:pPr>
        <w:ind w:left="851"/>
        <w:rPr>
          <w:spacing w:val="-3"/>
          <w:sz w:val="24"/>
          <w:szCs w:val="24"/>
        </w:rPr>
      </w:pPr>
      <w:r w:rsidRPr="002F4C60">
        <w:rPr>
          <w:spacing w:val="-3"/>
          <w:sz w:val="24"/>
          <w:szCs w:val="24"/>
        </w:rPr>
        <w:t>Dublin</w:t>
      </w:r>
    </w:p>
    <w:p w:rsidR="00AB02F7" w:rsidRDefault="002F4C60" w:rsidP="002F4C60">
      <w:pPr>
        <w:ind w:left="851"/>
        <w:rPr>
          <w:sz w:val="24"/>
          <w:szCs w:val="24"/>
        </w:rPr>
      </w:pPr>
      <w:r w:rsidRPr="002F4C60">
        <w:rPr>
          <w:spacing w:val="-3"/>
          <w:sz w:val="24"/>
          <w:szCs w:val="24"/>
        </w:rPr>
        <w:t>Irland</w:t>
      </w:r>
    </w:p>
    <w:p w:rsidR="00AB02F7" w:rsidRDefault="00AB02F7" w:rsidP="00AB02F7">
      <w:pPr>
        <w:ind w:left="851"/>
        <w:rPr>
          <w:sz w:val="24"/>
          <w:szCs w:val="24"/>
        </w:rPr>
      </w:pPr>
    </w:p>
    <w:p w:rsidR="00AB02F7" w:rsidRPr="00F3767B" w:rsidRDefault="00AB02F7" w:rsidP="00AB02F7">
      <w:pPr>
        <w:ind w:left="851"/>
        <w:rPr>
          <w:b/>
          <w:sz w:val="24"/>
          <w:szCs w:val="24"/>
          <w:lang w:eastAsia="sv-SE"/>
        </w:rPr>
      </w:pPr>
      <w:r w:rsidRPr="00F3767B">
        <w:rPr>
          <w:b/>
          <w:sz w:val="24"/>
          <w:szCs w:val="24"/>
        </w:rPr>
        <w:t>Repræsentant</w:t>
      </w:r>
    </w:p>
    <w:p w:rsidR="002F4C60" w:rsidRPr="002F4C60" w:rsidRDefault="002F4C60" w:rsidP="002F4C60">
      <w:pPr>
        <w:ind w:left="851"/>
        <w:rPr>
          <w:sz w:val="24"/>
          <w:szCs w:val="24"/>
        </w:rPr>
      </w:pPr>
      <w:proofErr w:type="spellStart"/>
      <w:r w:rsidRPr="002F4C60">
        <w:rPr>
          <w:sz w:val="24"/>
          <w:szCs w:val="24"/>
        </w:rPr>
        <w:t>Viatris</w:t>
      </w:r>
      <w:proofErr w:type="spellEnd"/>
      <w:r w:rsidRPr="002F4C60">
        <w:rPr>
          <w:sz w:val="24"/>
          <w:szCs w:val="24"/>
        </w:rPr>
        <w:t xml:space="preserve"> ApS</w:t>
      </w:r>
    </w:p>
    <w:p w:rsidR="002F4C60" w:rsidRPr="002F4C60" w:rsidRDefault="002F4C60" w:rsidP="002F4C60">
      <w:pPr>
        <w:ind w:left="851"/>
        <w:rPr>
          <w:sz w:val="24"/>
          <w:szCs w:val="24"/>
        </w:rPr>
      </w:pPr>
      <w:r w:rsidRPr="002F4C60">
        <w:rPr>
          <w:sz w:val="24"/>
          <w:szCs w:val="24"/>
        </w:rPr>
        <w:t>Borupvang 1</w:t>
      </w:r>
    </w:p>
    <w:p w:rsidR="00AB02F7" w:rsidRDefault="002F4C60" w:rsidP="002F4C60">
      <w:pPr>
        <w:ind w:left="851"/>
        <w:rPr>
          <w:sz w:val="24"/>
          <w:szCs w:val="24"/>
        </w:rPr>
      </w:pPr>
      <w:r w:rsidRPr="002F4C60">
        <w:rPr>
          <w:sz w:val="24"/>
          <w:szCs w:val="24"/>
        </w:rPr>
        <w:t>2750 Ballerup</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AB02F7" w:rsidRPr="00C84483" w:rsidRDefault="00AB02F7" w:rsidP="00AB02F7">
      <w:pPr>
        <w:tabs>
          <w:tab w:val="left" w:pos="851"/>
        </w:tabs>
        <w:ind w:left="851"/>
        <w:rPr>
          <w:sz w:val="24"/>
          <w:szCs w:val="24"/>
        </w:rPr>
      </w:pPr>
      <w:r>
        <w:rPr>
          <w:sz w:val="24"/>
          <w:szCs w:val="24"/>
        </w:rPr>
        <w:t>59432</w:t>
      </w:r>
    </w:p>
    <w:p w:rsidR="00AB02F7" w:rsidRPr="00C84483" w:rsidRDefault="00AB02F7" w:rsidP="00AB02F7">
      <w:pPr>
        <w:tabs>
          <w:tab w:val="left" w:pos="851"/>
        </w:tabs>
        <w:ind w:left="851"/>
        <w:jc w:val="both"/>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AB02F7" w:rsidRPr="00C84483" w:rsidRDefault="00AB02F7" w:rsidP="00AB02F7">
      <w:pPr>
        <w:tabs>
          <w:tab w:val="left" w:pos="851"/>
        </w:tabs>
        <w:ind w:left="851"/>
        <w:rPr>
          <w:sz w:val="24"/>
          <w:szCs w:val="24"/>
        </w:rPr>
      </w:pPr>
      <w:r>
        <w:rPr>
          <w:sz w:val="24"/>
          <w:szCs w:val="24"/>
        </w:rPr>
        <w:t>9. januar 2019</w:t>
      </w:r>
    </w:p>
    <w:p w:rsidR="00AB02F7" w:rsidRPr="00C84483" w:rsidRDefault="00AB02F7" w:rsidP="00AB02F7">
      <w:pPr>
        <w:tabs>
          <w:tab w:val="left" w:pos="851"/>
        </w:tabs>
        <w:ind w:left="851"/>
        <w:rPr>
          <w:sz w:val="24"/>
          <w:szCs w:val="24"/>
        </w:rPr>
      </w:pPr>
    </w:p>
    <w:p w:rsidR="00AB02F7" w:rsidRPr="00C84483" w:rsidRDefault="00AB02F7" w:rsidP="00AB02F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AB02F7" w:rsidRPr="00C84483" w:rsidRDefault="002F4C60" w:rsidP="00AB02F7">
      <w:pPr>
        <w:tabs>
          <w:tab w:val="left" w:pos="851"/>
        </w:tabs>
        <w:ind w:left="851"/>
        <w:rPr>
          <w:sz w:val="24"/>
          <w:szCs w:val="24"/>
        </w:rPr>
      </w:pPr>
      <w:r>
        <w:rPr>
          <w:sz w:val="24"/>
          <w:szCs w:val="24"/>
        </w:rPr>
        <w:t>8. november 2021</w:t>
      </w:r>
    </w:p>
    <w:p w:rsidR="00AB02F7" w:rsidRPr="00DC3A5A" w:rsidRDefault="00AB02F7" w:rsidP="00AB02F7"/>
    <w:p w:rsidR="00AB02F7" w:rsidRPr="000C1E2D" w:rsidRDefault="00AB02F7" w:rsidP="00AB02F7"/>
    <w:p w:rsidR="009260DE" w:rsidRPr="00AB02F7" w:rsidRDefault="009260DE" w:rsidP="00AB02F7"/>
    <w:sectPr w:rsidR="009260DE" w:rsidRPr="00AB02F7" w:rsidSect="000259B9">
      <w:footerReference w:type="default" r:id="rId2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2F7" w:rsidRDefault="00AB02F7">
      <w:r>
        <w:separator/>
      </w:r>
    </w:p>
  </w:endnote>
  <w:endnote w:type="continuationSeparator" w:id="0">
    <w:p w:rsidR="00AB02F7" w:rsidRDefault="00AB0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siatische Schriftart verwende">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737D5">
      <w:rPr>
        <w:i/>
        <w:noProof/>
        <w:sz w:val="18"/>
        <w:szCs w:val="18"/>
      </w:rPr>
      <w:t>Sirkava, inhalationspulver, hårde kapsler 18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2F7" w:rsidRDefault="00AB02F7">
      <w:r>
        <w:separator/>
      </w:r>
    </w:p>
  </w:footnote>
  <w:footnote w:type="continuationSeparator" w:id="0">
    <w:p w:rsidR="00AB02F7" w:rsidRDefault="00AB0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9D4"/>
    <w:multiLevelType w:val="hybridMultilevel"/>
    <w:tmpl w:val="8E303832"/>
    <w:lvl w:ilvl="0" w:tplc="2138C6E6">
      <w:start w:val="1"/>
      <w:numFmt w:val="decimal"/>
      <w:lvlText w:val="%1."/>
      <w:lvlJc w:val="left"/>
      <w:pPr>
        <w:ind w:left="4652" w:hanging="425"/>
      </w:pPr>
      <w:rPr>
        <w:rFonts w:ascii="Times New Roman" w:eastAsia="Times New Roman" w:hAnsi="Times New Roman" w:cs="Times New Roman" w:hint="default"/>
        <w:sz w:val="22"/>
        <w:szCs w:val="22"/>
      </w:rPr>
    </w:lvl>
    <w:lvl w:ilvl="1" w:tplc="FF726ED0">
      <w:start w:val="5"/>
      <w:numFmt w:val="decimal"/>
      <w:lvlText w:val="%2."/>
      <w:lvlJc w:val="left"/>
      <w:pPr>
        <w:ind w:left="4652" w:hanging="425"/>
      </w:pPr>
      <w:rPr>
        <w:rFonts w:ascii="Times New Roman" w:eastAsia="Times New Roman" w:hAnsi="Times New Roman" w:cs="Times New Roman" w:hint="default"/>
        <w:sz w:val="22"/>
        <w:szCs w:val="22"/>
      </w:rPr>
    </w:lvl>
    <w:lvl w:ilvl="2" w:tplc="B4C2F748">
      <w:start w:val="1"/>
      <w:numFmt w:val="bullet"/>
      <w:lvlText w:val="•"/>
      <w:lvlJc w:val="left"/>
      <w:pPr>
        <w:ind w:left="5733" w:hanging="425"/>
      </w:pPr>
    </w:lvl>
    <w:lvl w:ilvl="3" w:tplc="19040420">
      <w:start w:val="1"/>
      <w:numFmt w:val="bullet"/>
      <w:lvlText w:val="•"/>
      <w:lvlJc w:val="left"/>
      <w:pPr>
        <w:ind w:left="6273" w:hanging="425"/>
      </w:pPr>
    </w:lvl>
    <w:lvl w:ilvl="4" w:tplc="879CEBAE">
      <w:start w:val="1"/>
      <w:numFmt w:val="bullet"/>
      <w:lvlText w:val="•"/>
      <w:lvlJc w:val="left"/>
      <w:pPr>
        <w:ind w:left="6814" w:hanging="425"/>
      </w:pPr>
    </w:lvl>
    <w:lvl w:ilvl="5" w:tplc="09E4E684">
      <w:start w:val="1"/>
      <w:numFmt w:val="bullet"/>
      <w:lvlText w:val="•"/>
      <w:lvlJc w:val="left"/>
      <w:pPr>
        <w:ind w:left="7354" w:hanging="425"/>
      </w:pPr>
    </w:lvl>
    <w:lvl w:ilvl="6" w:tplc="D722BF6A">
      <w:start w:val="1"/>
      <w:numFmt w:val="bullet"/>
      <w:lvlText w:val="•"/>
      <w:lvlJc w:val="left"/>
      <w:pPr>
        <w:ind w:left="7894" w:hanging="425"/>
      </w:pPr>
    </w:lvl>
    <w:lvl w:ilvl="7" w:tplc="EDE299D4">
      <w:start w:val="1"/>
      <w:numFmt w:val="bullet"/>
      <w:lvlText w:val="•"/>
      <w:lvlJc w:val="left"/>
      <w:pPr>
        <w:ind w:left="8435" w:hanging="425"/>
      </w:pPr>
    </w:lvl>
    <w:lvl w:ilvl="8" w:tplc="DF927722">
      <w:start w:val="1"/>
      <w:numFmt w:val="bullet"/>
      <w:lvlText w:val="•"/>
      <w:lvlJc w:val="left"/>
      <w:pPr>
        <w:ind w:left="8975" w:hanging="425"/>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E6540A1"/>
    <w:multiLevelType w:val="hybridMultilevel"/>
    <w:tmpl w:val="38A6A612"/>
    <w:lvl w:ilvl="0" w:tplc="6CE0242C">
      <w:start w:val="1"/>
      <w:numFmt w:val="decimal"/>
      <w:lvlText w:val="%1."/>
      <w:lvlJc w:val="left"/>
      <w:pPr>
        <w:ind w:left="475" w:hanging="360"/>
        <w:jc w:val="right"/>
      </w:pPr>
      <w:rPr>
        <w:rFonts w:ascii="Times New Roman" w:eastAsia="Times New Roman" w:hAnsi="Times New Roman" w:hint="default"/>
        <w:sz w:val="24"/>
        <w:szCs w:val="24"/>
      </w:rPr>
    </w:lvl>
    <w:lvl w:ilvl="1" w:tplc="003AF23E">
      <w:start w:val="1"/>
      <w:numFmt w:val="bullet"/>
      <w:lvlText w:val="•"/>
      <w:lvlJc w:val="left"/>
      <w:pPr>
        <w:ind w:left="1015" w:hanging="360"/>
      </w:pPr>
      <w:rPr>
        <w:rFonts w:hint="default"/>
      </w:rPr>
    </w:lvl>
    <w:lvl w:ilvl="2" w:tplc="E5464D82">
      <w:start w:val="1"/>
      <w:numFmt w:val="bullet"/>
      <w:lvlText w:val="•"/>
      <w:lvlJc w:val="left"/>
      <w:pPr>
        <w:ind w:left="1555" w:hanging="360"/>
      </w:pPr>
      <w:rPr>
        <w:rFonts w:hint="default"/>
      </w:rPr>
    </w:lvl>
    <w:lvl w:ilvl="3" w:tplc="E6525F8C">
      <w:start w:val="1"/>
      <w:numFmt w:val="bullet"/>
      <w:lvlText w:val="•"/>
      <w:lvlJc w:val="left"/>
      <w:pPr>
        <w:ind w:left="2096" w:hanging="360"/>
      </w:pPr>
      <w:rPr>
        <w:rFonts w:hint="default"/>
      </w:rPr>
    </w:lvl>
    <w:lvl w:ilvl="4" w:tplc="1C2290DA">
      <w:start w:val="1"/>
      <w:numFmt w:val="bullet"/>
      <w:lvlText w:val="•"/>
      <w:lvlJc w:val="left"/>
      <w:pPr>
        <w:ind w:left="2636" w:hanging="360"/>
      </w:pPr>
      <w:rPr>
        <w:rFonts w:hint="default"/>
      </w:rPr>
    </w:lvl>
    <w:lvl w:ilvl="5" w:tplc="6608A6CC">
      <w:start w:val="1"/>
      <w:numFmt w:val="bullet"/>
      <w:lvlText w:val="•"/>
      <w:lvlJc w:val="left"/>
      <w:pPr>
        <w:ind w:left="3177" w:hanging="360"/>
      </w:pPr>
      <w:rPr>
        <w:rFonts w:hint="default"/>
      </w:rPr>
    </w:lvl>
    <w:lvl w:ilvl="6" w:tplc="5512FC4C">
      <w:start w:val="1"/>
      <w:numFmt w:val="bullet"/>
      <w:lvlText w:val="•"/>
      <w:lvlJc w:val="left"/>
      <w:pPr>
        <w:ind w:left="3717" w:hanging="360"/>
      </w:pPr>
      <w:rPr>
        <w:rFonts w:hint="default"/>
      </w:rPr>
    </w:lvl>
    <w:lvl w:ilvl="7" w:tplc="A198F4DC">
      <w:start w:val="1"/>
      <w:numFmt w:val="bullet"/>
      <w:lvlText w:val="•"/>
      <w:lvlJc w:val="left"/>
      <w:pPr>
        <w:ind w:left="4257" w:hanging="360"/>
      </w:pPr>
      <w:rPr>
        <w:rFonts w:hint="default"/>
      </w:rPr>
    </w:lvl>
    <w:lvl w:ilvl="8" w:tplc="1EA61B4A">
      <w:start w:val="1"/>
      <w:numFmt w:val="bullet"/>
      <w:lvlText w:val="•"/>
      <w:lvlJc w:val="left"/>
      <w:pPr>
        <w:ind w:left="4798" w:hanging="36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5"/>
    </w:lvlOverride>
    <w:lvlOverride w:ilvl="2"/>
    <w:lvlOverride w:ilvl="3"/>
    <w:lvlOverride w:ilvl="4"/>
    <w:lvlOverride w:ilvl="5"/>
    <w:lvlOverride w:ilvl="6"/>
    <w:lvlOverride w:ilvl="7"/>
    <w:lvlOverride w:ilv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F7"/>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F4C60"/>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37D5"/>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B02F7"/>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61CA0"/>
    <w:rsid w:val="00E7285B"/>
    <w:rsid w:val="00E7437F"/>
    <w:rsid w:val="00E865B8"/>
    <w:rsid w:val="00EC0B9B"/>
    <w:rsid w:val="00ED5E9F"/>
    <w:rsid w:val="00F66D4F"/>
    <w:rsid w:val="00F95F3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6044A"/>
  <w15:chartTrackingRefBased/>
  <w15:docId w15:val="{02E52A76-9053-4BA9-801F-86813A7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99"/>
    <w:semiHidden/>
    <w:unhideWhenUsed/>
    <w:rsid w:val="00AB02F7"/>
    <w:pPr>
      <w:spacing w:after="120"/>
    </w:pPr>
  </w:style>
  <w:style w:type="character" w:customStyle="1" w:styleId="BrdtekstTegn">
    <w:name w:val="Brødtekst Tegn"/>
    <w:basedOn w:val="Standardskrifttypeiafsnit"/>
    <w:link w:val="Brdtekst"/>
    <w:uiPriority w:val="99"/>
    <w:semiHidden/>
    <w:rsid w:val="00AB02F7"/>
    <w:rPr>
      <w:sz w:val="23"/>
      <w:lang w:eastAsia="en-US"/>
    </w:rPr>
  </w:style>
  <w:style w:type="character" w:styleId="Hyperlink">
    <w:name w:val="Hyperlink"/>
    <w:basedOn w:val="Standardskrifttypeiafsnit"/>
    <w:uiPriority w:val="99"/>
    <w:unhideWhenUsed/>
    <w:rsid w:val="002F4C60"/>
    <w:rPr>
      <w:color w:val="0563C1" w:themeColor="hyperlink"/>
      <w:u w:val="single"/>
    </w:rPr>
  </w:style>
  <w:style w:type="character" w:styleId="Ulstomtale">
    <w:name w:val="Unresolved Mention"/>
    <w:basedOn w:val="Standardskrifttypeiafsnit"/>
    <w:uiPriority w:val="99"/>
    <w:semiHidden/>
    <w:unhideWhenUsed/>
    <w:rsid w:val="002F4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www.meldenbivirkning.dk"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17</Pages>
  <Words>4275</Words>
  <Characters>28069</Characters>
  <Application>Microsoft Office Word</Application>
  <DocSecurity>0</DocSecurity>
  <Lines>233</Lines>
  <Paragraphs>64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2021101943_x000d_
Skift af MAH fra Mylan AB + ny repræsentant</dc:description>
  <cp:lastModifiedBy>Marianne Ott Jensen</cp:lastModifiedBy>
  <cp:revision>3</cp:revision>
  <cp:lastPrinted>2012-08-22T08:53:00Z</cp:lastPrinted>
  <dcterms:created xsi:type="dcterms:W3CDTF">2021-11-08T12:24:00Z</dcterms:created>
  <dcterms:modified xsi:type="dcterms:W3CDTF">2021-11-08T12:25:00Z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