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FD3B4" w14:textId="13C0C228"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02C66BA" wp14:editId="726DE8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5795572" w14:textId="77777777" w:rsidR="009260DE" w:rsidRPr="00C84483" w:rsidRDefault="009260DE" w:rsidP="009260DE">
      <w:pPr>
        <w:pStyle w:val="Titel"/>
        <w:tabs>
          <w:tab w:val="right" w:pos="9356"/>
        </w:tabs>
        <w:jc w:val="left"/>
        <w:rPr>
          <w:b w:val="0"/>
          <w:szCs w:val="24"/>
          <w:lang w:eastAsia="en-US"/>
        </w:rPr>
      </w:pPr>
    </w:p>
    <w:p w14:paraId="1ACF9A9B" w14:textId="75043D3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E120A">
        <w:rPr>
          <w:szCs w:val="24"/>
        </w:rPr>
        <w:t>4</w:t>
      </w:r>
      <w:r w:rsidR="0030235A">
        <w:rPr>
          <w:szCs w:val="24"/>
        </w:rPr>
        <w:t xml:space="preserve">. </w:t>
      </w:r>
      <w:r w:rsidR="00DE120A">
        <w:rPr>
          <w:szCs w:val="24"/>
        </w:rPr>
        <w:t>marts</w:t>
      </w:r>
      <w:r w:rsidR="0030235A">
        <w:rPr>
          <w:szCs w:val="24"/>
        </w:rPr>
        <w:t xml:space="preserve"> 2025</w:t>
      </w:r>
    </w:p>
    <w:p w14:paraId="296AFBE2" w14:textId="77777777" w:rsidR="009260DE" w:rsidRPr="00C84483" w:rsidRDefault="009260DE" w:rsidP="009260DE">
      <w:pPr>
        <w:pStyle w:val="Titel"/>
        <w:tabs>
          <w:tab w:val="left" w:pos="8222"/>
        </w:tabs>
        <w:jc w:val="left"/>
        <w:rPr>
          <w:b w:val="0"/>
          <w:szCs w:val="24"/>
        </w:rPr>
      </w:pPr>
    </w:p>
    <w:p w14:paraId="084DE333" w14:textId="77777777" w:rsidR="009260DE" w:rsidRPr="00C84483" w:rsidRDefault="009260DE" w:rsidP="009260DE">
      <w:pPr>
        <w:pStyle w:val="Titel"/>
        <w:jc w:val="left"/>
        <w:rPr>
          <w:b w:val="0"/>
          <w:szCs w:val="24"/>
        </w:rPr>
      </w:pPr>
    </w:p>
    <w:p w14:paraId="2F11C3B1" w14:textId="77777777" w:rsidR="009260DE" w:rsidRPr="00C84483" w:rsidRDefault="009260DE" w:rsidP="009260DE">
      <w:pPr>
        <w:pStyle w:val="Titel"/>
        <w:jc w:val="left"/>
        <w:rPr>
          <w:b w:val="0"/>
          <w:szCs w:val="24"/>
        </w:rPr>
      </w:pPr>
    </w:p>
    <w:p w14:paraId="578D1E90" w14:textId="77777777" w:rsidR="009260DE" w:rsidRPr="00C84483" w:rsidRDefault="009260DE" w:rsidP="009260DE">
      <w:pPr>
        <w:jc w:val="center"/>
        <w:rPr>
          <w:b/>
          <w:sz w:val="24"/>
          <w:szCs w:val="24"/>
        </w:rPr>
      </w:pPr>
      <w:r w:rsidRPr="00C84483">
        <w:rPr>
          <w:b/>
          <w:sz w:val="24"/>
          <w:szCs w:val="24"/>
        </w:rPr>
        <w:t>PRODUKTRESUMÉ</w:t>
      </w:r>
    </w:p>
    <w:p w14:paraId="5BDA5C2B" w14:textId="77777777" w:rsidR="009260DE" w:rsidRPr="00C84483" w:rsidRDefault="009260DE" w:rsidP="009260DE">
      <w:pPr>
        <w:jc w:val="center"/>
        <w:rPr>
          <w:b/>
          <w:sz w:val="24"/>
          <w:szCs w:val="24"/>
        </w:rPr>
      </w:pPr>
    </w:p>
    <w:p w14:paraId="630EC000" w14:textId="77777777" w:rsidR="009260DE" w:rsidRDefault="009260DE" w:rsidP="009260DE">
      <w:pPr>
        <w:jc w:val="center"/>
        <w:rPr>
          <w:b/>
          <w:sz w:val="24"/>
          <w:szCs w:val="24"/>
        </w:rPr>
      </w:pPr>
      <w:r w:rsidRPr="00C84483">
        <w:rPr>
          <w:b/>
          <w:sz w:val="24"/>
          <w:szCs w:val="24"/>
        </w:rPr>
        <w:t>for</w:t>
      </w:r>
    </w:p>
    <w:p w14:paraId="47E8ACCC" w14:textId="77777777" w:rsidR="000B058C" w:rsidRPr="00C84483" w:rsidRDefault="000B058C" w:rsidP="009260DE">
      <w:pPr>
        <w:jc w:val="center"/>
        <w:rPr>
          <w:b/>
          <w:sz w:val="24"/>
          <w:szCs w:val="24"/>
        </w:rPr>
      </w:pPr>
    </w:p>
    <w:p w14:paraId="4439DE0F" w14:textId="326CFACA" w:rsidR="009260DE" w:rsidRPr="00C84483" w:rsidRDefault="006E5873" w:rsidP="009260DE">
      <w:pPr>
        <w:jc w:val="center"/>
        <w:rPr>
          <w:b/>
          <w:sz w:val="24"/>
          <w:szCs w:val="24"/>
        </w:rPr>
      </w:pPr>
      <w:proofErr w:type="spellStart"/>
      <w:r>
        <w:rPr>
          <w:b/>
          <w:sz w:val="24"/>
          <w:szCs w:val="24"/>
        </w:rPr>
        <w:t>Sitagliptin</w:t>
      </w:r>
      <w:proofErr w:type="spellEnd"/>
      <w:r>
        <w:rPr>
          <w:b/>
          <w:sz w:val="24"/>
          <w:szCs w:val="24"/>
        </w:rPr>
        <w:t xml:space="preserve"> "</w:t>
      </w:r>
      <w:proofErr w:type="spellStart"/>
      <w:r>
        <w:rPr>
          <w:b/>
          <w:sz w:val="24"/>
          <w:szCs w:val="24"/>
        </w:rPr>
        <w:t>Zentiva</w:t>
      </w:r>
      <w:proofErr w:type="spellEnd"/>
      <w:r w:rsidR="000F5472">
        <w:rPr>
          <w:b/>
          <w:sz w:val="24"/>
          <w:szCs w:val="24"/>
        </w:rPr>
        <w:t xml:space="preserve"> ApS</w:t>
      </w:r>
      <w:r>
        <w:rPr>
          <w:b/>
          <w:sz w:val="24"/>
          <w:szCs w:val="24"/>
        </w:rPr>
        <w:t>"</w:t>
      </w:r>
      <w:r w:rsidR="000F4998">
        <w:rPr>
          <w:b/>
          <w:sz w:val="24"/>
          <w:szCs w:val="24"/>
        </w:rPr>
        <w:t>, filmovertrukne tabletter</w:t>
      </w:r>
    </w:p>
    <w:p w14:paraId="7B08B804" w14:textId="77777777" w:rsidR="009260DE" w:rsidRPr="00C84483" w:rsidRDefault="009260DE" w:rsidP="009260DE">
      <w:pPr>
        <w:jc w:val="both"/>
        <w:rPr>
          <w:sz w:val="24"/>
          <w:szCs w:val="24"/>
        </w:rPr>
      </w:pPr>
    </w:p>
    <w:p w14:paraId="1888781A" w14:textId="77777777" w:rsidR="009260DE" w:rsidRPr="00C84483" w:rsidRDefault="009260DE" w:rsidP="009260DE">
      <w:pPr>
        <w:jc w:val="both"/>
        <w:rPr>
          <w:sz w:val="24"/>
          <w:szCs w:val="24"/>
        </w:rPr>
      </w:pPr>
    </w:p>
    <w:p w14:paraId="467440A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4E1443F" w14:textId="498BD35A" w:rsidR="009260DE" w:rsidRPr="00C84483" w:rsidRDefault="00195257" w:rsidP="009260DE">
      <w:pPr>
        <w:tabs>
          <w:tab w:val="left" w:pos="851"/>
        </w:tabs>
        <w:ind w:left="851"/>
        <w:rPr>
          <w:sz w:val="24"/>
          <w:szCs w:val="24"/>
        </w:rPr>
      </w:pPr>
      <w:r>
        <w:rPr>
          <w:sz w:val="24"/>
          <w:szCs w:val="24"/>
        </w:rPr>
        <w:t>32915</w:t>
      </w:r>
    </w:p>
    <w:p w14:paraId="01040F37" w14:textId="77777777" w:rsidR="009260DE" w:rsidRPr="00C84483" w:rsidRDefault="009260DE" w:rsidP="009260DE">
      <w:pPr>
        <w:tabs>
          <w:tab w:val="left" w:pos="851"/>
        </w:tabs>
        <w:ind w:left="851"/>
        <w:rPr>
          <w:sz w:val="24"/>
          <w:szCs w:val="24"/>
        </w:rPr>
      </w:pPr>
    </w:p>
    <w:p w14:paraId="13C85AD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852BEBC" w14:textId="5FA84BEF" w:rsidR="009260DE" w:rsidRPr="00C84483" w:rsidRDefault="000F5472" w:rsidP="009260DE">
      <w:pPr>
        <w:tabs>
          <w:tab w:val="left" w:pos="851"/>
        </w:tabs>
        <w:ind w:left="851"/>
        <w:rPr>
          <w:sz w:val="24"/>
          <w:szCs w:val="24"/>
        </w:rPr>
      </w:pP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p>
    <w:p w14:paraId="696BE73B" w14:textId="77777777" w:rsidR="009260DE" w:rsidRPr="00C84483" w:rsidRDefault="009260DE" w:rsidP="009260DE">
      <w:pPr>
        <w:tabs>
          <w:tab w:val="left" w:pos="851"/>
        </w:tabs>
        <w:ind w:left="851"/>
        <w:rPr>
          <w:sz w:val="24"/>
          <w:szCs w:val="24"/>
        </w:rPr>
      </w:pPr>
    </w:p>
    <w:p w14:paraId="6B92BC1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DE93C18" w14:textId="77777777" w:rsidR="00B60ACD" w:rsidRDefault="00B60ACD" w:rsidP="00B60ACD">
      <w:pPr>
        <w:tabs>
          <w:tab w:val="left" w:pos="851"/>
        </w:tabs>
        <w:ind w:left="851"/>
        <w:rPr>
          <w:sz w:val="24"/>
          <w:szCs w:val="24"/>
          <w:u w:val="single"/>
        </w:rPr>
      </w:pPr>
    </w:p>
    <w:p w14:paraId="5A09726B" w14:textId="0649BCA6"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Pr>
          <w:sz w:val="24"/>
          <w:szCs w:val="24"/>
          <w:u w:val="single"/>
        </w:rPr>
        <w:t xml:space="preserve"> </w:t>
      </w:r>
      <w:r w:rsidR="00B60ACD" w:rsidRPr="00B60ACD">
        <w:rPr>
          <w:sz w:val="24"/>
          <w:szCs w:val="24"/>
          <w:u w:val="single"/>
        </w:rPr>
        <w:t>25 mg</w:t>
      </w:r>
    </w:p>
    <w:p w14:paraId="37774DC3" w14:textId="77777777" w:rsidR="00B60ACD" w:rsidRPr="00B60ACD" w:rsidRDefault="00B60ACD" w:rsidP="00B60ACD">
      <w:pPr>
        <w:tabs>
          <w:tab w:val="left" w:pos="851"/>
        </w:tabs>
        <w:ind w:left="851"/>
        <w:rPr>
          <w:sz w:val="24"/>
          <w:szCs w:val="24"/>
        </w:rPr>
      </w:pPr>
      <w:r w:rsidRPr="00B60ACD">
        <w:rPr>
          <w:sz w:val="24"/>
          <w:szCs w:val="24"/>
        </w:rPr>
        <w:t xml:space="preserve">Hver filmovertrukket tablet indeholder </w:t>
      </w:r>
      <w:proofErr w:type="spellStart"/>
      <w:r w:rsidRPr="00B60ACD">
        <w:rPr>
          <w:sz w:val="24"/>
          <w:szCs w:val="24"/>
        </w:rPr>
        <w:t>sitagliptinphosphatmonohydratsvarende</w:t>
      </w:r>
      <w:proofErr w:type="spellEnd"/>
      <w:r w:rsidRPr="00B60ACD">
        <w:rPr>
          <w:sz w:val="24"/>
          <w:szCs w:val="24"/>
        </w:rPr>
        <w:t xml:space="preserve"> til 25 mg </w:t>
      </w:r>
      <w:proofErr w:type="spellStart"/>
      <w:r w:rsidRPr="00B60ACD">
        <w:rPr>
          <w:sz w:val="24"/>
          <w:szCs w:val="24"/>
        </w:rPr>
        <w:t>sitagliptin</w:t>
      </w:r>
      <w:proofErr w:type="spellEnd"/>
      <w:r w:rsidRPr="00B60ACD">
        <w:rPr>
          <w:sz w:val="24"/>
          <w:szCs w:val="24"/>
        </w:rPr>
        <w:t>.</w:t>
      </w:r>
    </w:p>
    <w:p w14:paraId="76EEF1FA" w14:textId="77777777" w:rsidR="00B60ACD" w:rsidRPr="00B60ACD" w:rsidRDefault="00B60ACD" w:rsidP="00B60ACD">
      <w:pPr>
        <w:tabs>
          <w:tab w:val="left" w:pos="851"/>
        </w:tabs>
        <w:ind w:left="851"/>
        <w:rPr>
          <w:sz w:val="24"/>
          <w:szCs w:val="24"/>
        </w:rPr>
      </w:pPr>
    </w:p>
    <w:p w14:paraId="47C5F03E" w14:textId="2CC18AF2"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sidRPr="00B60ACD">
        <w:rPr>
          <w:sz w:val="24"/>
          <w:szCs w:val="24"/>
          <w:u w:val="single"/>
        </w:rPr>
        <w:t xml:space="preserve"> 50 mg</w:t>
      </w:r>
    </w:p>
    <w:p w14:paraId="0F9E4E12" w14:textId="77777777" w:rsidR="00B60ACD" w:rsidRPr="00B60ACD" w:rsidRDefault="00B60ACD" w:rsidP="00B60ACD">
      <w:pPr>
        <w:tabs>
          <w:tab w:val="left" w:pos="851"/>
        </w:tabs>
        <w:ind w:left="851"/>
        <w:rPr>
          <w:sz w:val="24"/>
          <w:szCs w:val="24"/>
        </w:rPr>
      </w:pPr>
      <w:r w:rsidRPr="00B60ACD">
        <w:rPr>
          <w:sz w:val="24"/>
          <w:szCs w:val="24"/>
        </w:rPr>
        <w:t xml:space="preserve">Hver filmovertrukket tablet indeholder </w:t>
      </w:r>
      <w:proofErr w:type="spellStart"/>
      <w:r w:rsidRPr="00B60ACD">
        <w:rPr>
          <w:sz w:val="24"/>
          <w:szCs w:val="24"/>
        </w:rPr>
        <w:t>sitagliptinphosphatmonohydratsvarende</w:t>
      </w:r>
      <w:proofErr w:type="spellEnd"/>
      <w:r w:rsidRPr="00B60ACD">
        <w:rPr>
          <w:sz w:val="24"/>
          <w:szCs w:val="24"/>
        </w:rPr>
        <w:t xml:space="preserve"> til 50 mg </w:t>
      </w:r>
      <w:proofErr w:type="spellStart"/>
      <w:r w:rsidRPr="00B60ACD">
        <w:rPr>
          <w:sz w:val="24"/>
          <w:szCs w:val="24"/>
        </w:rPr>
        <w:t>sitagliptin</w:t>
      </w:r>
      <w:proofErr w:type="spellEnd"/>
      <w:r w:rsidRPr="00B60ACD">
        <w:rPr>
          <w:sz w:val="24"/>
          <w:szCs w:val="24"/>
        </w:rPr>
        <w:t>.</w:t>
      </w:r>
    </w:p>
    <w:p w14:paraId="4725D052" w14:textId="77777777" w:rsidR="00B60ACD" w:rsidRPr="00B60ACD" w:rsidRDefault="00B60ACD" w:rsidP="00B60ACD">
      <w:pPr>
        <w:tabs>
          <w:tab w:val="left" w:pos="851"/>
        </w:tabs>
        <w:ind w:left="851"/>
        <w:rPr>
          <w:sz w:val="24"/>
          <w:szCs w:val="24"/>
        </w:rPr>
      </w:pPr>
    </w:p>
    <w:p w14:paraId="10B5B415" w14:textId="40C81C13"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sidRPr="00B60ACD">
        <w:rPr>
          <w:sz w:val="24"/>
          <w:szCs w:val="24"/>
          <w:u w:val="single"/>
        </w:rPr>
        <w:t xml:space="preserve"> 100 mg</w:t>
      </w:r>
    </w:p>
    <w:p w14:paraId="25CA3863" w14:textId="37B4D7C3" w:rsidR="00B60ACD" w:rsidRDefault="00B60ACD" w:rsidP="00B60ACD">
      <w:pPr>
        <w:tabs>
          <w:tab w:val="left" w:pos="851"/>
        </w:tabs>
        <w:ind w:left="851"/>
        <w:rPr>
          <w:sz w:val="24"/>
          <w:szCs w:val="24"/>
        </w:rPr>
      </w:pPr>
      <w:r w:rsidRPr="00B60ACD">
        <w:rPr>
          <w:sz w:val="24"/>
          <w:szCs w:val="24"/>
        </w:rPr>
        <w:t xml:space="preserve">Hver filmovertrukket tablet indeholder </w:t>
      </w:r>
      <w:proofErr w:type="spellStart"/>
      <w:r w:rsidRPr="00B60ACD">
        <w:rPr>
          <w:sz w:val="24"/>
          <w:szCs w:val="24"/>
        </w:rPr>
        <w:t>sitagliptinphosphatmonohydratsvarende</w:t>
      </w:r>
      <w:proofErr w:type="spellEnd"/>
      <w:r w:rsidRPr="00B60ACD">
        <w:rPr>
          <w:sz w:val="24"/>
          <w:szCs w:val="24"/>
        </w:rPr>
        <w:t xml:space="preserve"> til 100 mg </w:t>
      </w:r>
      <w:proofErr w:type="spellStart"/>
      <w:r w:rsidRPr="00B60ACD">
        <w:rPr>
          <w:sz w:val="24"/>
          <w:szCs w:val="24"/>
        </w:rPr>
        <w:t>sitagliptin</w:t>
      </w:r>
      <w:proofErr w:type="spellEnd"/>
      <w:r w:rsidRPr="00B60ACD">
        <w:rPr>
          <w:sz w:val="24"/>
          <w:szCs w:val="24"/>
        </w:rPr>
        <w:t>.</w:t>
      </w:r>
    </w:p>
    <w:p w14:paraId="2FC636AC" w14:textId="622C2E5D" w:rsidR="0030235A" w:rsidRDefault="0030235A" w:rsidP="00B60ACD">
      <w:pPr>
        <w:tabs>
          <w:tab w:val="left" w:pos="851"/>
        </w:tabs>
        <w:ind w:left="851"/>
        <w:rPr>
          <w:sz w:val="24"/>
          <w:szCs w:val="24"/>
        </w:rPr>
      </w:pPr>
    </w:p>
    <w:p w14:paraId="02CAC030" w14:textId="77777777" w:rsidR="0030235A" w:rsidRPr="0030235A" w:rsidRDefault="0030235A" w:rsidP="0030235A">
      <w:pPr>
        <w:tabs>
          <w:tab w:val="left" w:pos="851"/>
        </w:tabs>
        <w:ind w:left="851"/>
        <w:rPr>
          <w:sz w:val="24"/>
          <w:szCs w:val="24"/>
        </w:rPr>
      </w:pPr>
      <w:r w:rsidRPr="0030235A">
        <w:rPr>
          <w:sz w:val="24"/>
          <w:szCs w:val="24"/>
        </w:rPr>
        <w:t>Alle hjælpestoffer er anført under pkt. 6.1.</w:t>
      </w:r>
    </w:p>
    <w:p w14:paraId="5B4C147C" w14:textId="77777777" w:rsidR="009260DE" w:rsidRPr="00C84483" w:rsidRDefault="009260DE" w:rsidP="009260DE">
      <w:pPr>
        <w:tabs>
          <w:tab w:val="left" w:pos="851"/>
        </w:tabs>
        <w:ind w:left="851"/>
        <w:rPr>
          <w:sz w:val="24"/>
          <w:szCs w:val="24"/>
        </w:rPr>
      </w:pPr>
    </w:p>
    <w:p w14:paraId="10BAC22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D6E3CB8" w14:textId="77777777" w:rsidR="00B60ACD" w:rsidRPr="00B60ACD" w:rsidRDefault="00B60ACD" w:rsidP="00B60ACD">
      <w:pPr>
        <w:tabs>
          <w:tab w:val="left" w:pos="851"/>
        </w:tabs>
        <w:ind w:left="851"/>
        <w:rPr>
          <w:sz w:val="24"/>
          <w:szCs w:val="24"/>
        </w:rPr>
      </w:pPr>
      <w:r w:rsidRPr="00B60ACD">
        <w:rPr>
          <w:sz w:val="24"/>
          <w:szCs w:val="24"/>
        </w:rPr>
        <w:t>Filmovertrukne tabletter</w:t>
      </w:r>
    </w:p>
    <w:p w14:paraId="291C2675" w14:textId="77777777" w:rsidR="00B60ACD" w:rsidRPr="00B60ACD" w:rsidRDefault="00B60ACD" w:rsidP="00B60ACD">
      <w:pPr>
        <w:tabs>
          <w:tab w:val="left" w:pos="851"/>
        </w:tabs>
        <w:ind w:left="851"/>
        <w:rPr>
          <w:sz w:val="24"/>
          <w:szCs w:val="24"/>
        </w:rPr>
      </w:pPr>
    </w:p>
    <w:p w14:paraId="37FC2AB9" w14:textId="40162796"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sidRPr="00B60ACD">
        <w:rPr>
          <w:sz w:val="24"/>
          <w:szCs w:val="24"/>
          <w:u w:val="single"/>
        </w:rPr>
        <w:t xml:space="preserve"> 25 mg</w:t>
      </w:r>
    </w:p>
    <w:p w14:paraId="5FFFDB57" w14:textId="1342087D" w:rsidR="00B60ACD" w:rsidRPr="00B60ACD" w:rsidRDefault="00B60ACD" w:rsidP="00B60ACD">
      <w:pPr>
        <w:tabs>
          <w:tab w:val="left" w:pos="851"/>
        </w:tabs>
        <w:ind w:left="851"/>
        <w:rPr>
          <w:sz w:val="24"/>
          <w:szCs w:val="24"/>
        </w:rPr>
      </w:pPr>
      <w:r w:rsidRPr="00B60ACD">
        <w:rPr>
          <w:sz w:val="24"/>
          <w:szCs w:val="24"/>
        </w:rPr>
        <w:t xml:space="preserve">Rund, </w:t>
      </w:r>
      <w:proofErr w:type="spellStart"/>
      <w:r w:rsidRPr="00B60ACD">
        <w:rPr>
          <w:sz w:val="24"/>
          <w:szCs w:val="24"/>
        </w:rPr>
        <w:t>bikonveks</w:t>
      </w:r>
      <w:proofErr w:type="spellEnd"/>
      <w:r w:rsidRPr="00B60ACD">
        <w:rPr>
          <w:sz w:val="24"/>
          <w:szCs w:val="24"/>
        </w:rPr>
        <w:t>, lyserød filmovertrukket tablet med en diameter på ca. 5,6 mm</w:t>
      </w:r>
      <w:r>
        <w:rPr>
          <w:sz w:val="24"/>
          <w:szCs w:val="24"/>
        </w:rPr>
        <w:t>.</w:t>
      </w:r>
    </w:p>
    <w:p w14:paraId="758E742A" w14:textId="77777777" w:rsidR="00B60ACD" w:rsidRPr="00B60ACD" w:rsidRDefault="00B60ACD" w:rsidP="00B60ACD">
      <w:pPr>
        <w:tabs>
          <w:tab w:val="left" w:pos="851"/>
        </w:tabs>
        <w:ind w:left="851"/>
        <w:rPr>
          <w:sz w:val="24"/>
          <w:szCs w:val="24"/>
        </w:rPr>
      </w:pPr>
    </w:p>
    <w:p w14:paraId="750B6E1C" w14:textId="7A99916B"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sidRPr="00B60ACD">
        <w:rPr>
          <w:sz w:val="24"/>
          <w:szCs w:val="24"/>
          <w:u w:val="single"/>
        </w:rPr>
        <w:t xml:space="preserve"> 50 mg</w:t>
      </w:r>
    </w:p>
    <w:p w14:paraId="528C15F1" w14:textId="55D05D38" w:rsidR="00B60ACD" w:rsidRPr="00B60ACD" w:rsidRDefault="00B60ACD" w:rsidP="00B60ACD">
      <w:pPr>
        <w:tabs>
          <w:tab w:val="left" w:pos="851"/>
        </w:tabs>
        <w:ind w:left="851"/>
        <w:rPr>
          <w:sz w:val="24"/>
          <w:szCs w:val="24"/>
        </w:rPr>
      </w:pPr>
      <w:r w:rsidRPr="00B60ACD">
        <w:rPr>
          <w:sz w:val="24"/>
          <w:szCs w:val="24"/>
        </w:rPr>
        <w:t xml:space="preserve">Rund, </w:t>
      </w:r>
      <w:proofErr w:type="spellStart"/>
      <w:r w:rsidRPr="00B60ACD">
        <w:rPr>
          <w:sz w:val="24"/>
          <w:szCs w:val="24"/>
        </w:rPr>
        <w:t>bikonveks</w:t>
      </w:r>
      <w:proofErr w:type="spellEnd"/>
      <w:r w:rsidRPr="00B60ACD">
        <w:rPr>
          <w:sz w:val="24"/>
          <w:szCs w:val="24"/>
        </w:rPr>
        <w:t>, beige filmovertrukket tablet præget med ”Z” på en side og med en diameter på ca. 7,1 mm</w:t>
      </w:r>
      <w:r>
        <w:rPr>
          <w:sz w:val="24"/>
          <w:szCs w:val="24"/>
        </w:rPr>
        <w:t>.</w:t>
      </w:r>
    </w:p>
    <w:p w14:paraId="63329C6F" w14:textId="77777777" w:rsidR="00B60ACD" w:rsidRPr="00B60ACD" w:rsidRDefault="00B60ACD" w:rsidP="00B60ACD">
      <w:pPr>
        <w:tabs>
          <w:tab w:val="left" w:pos="851"/>
        </w:tabs>
        <w:ind w:left="851"/>
        <w:rPr>
          <w:sz w:val="24"/>
          <w:szCs w:val="24"/>
        </w:rPr>
      </w:pPr>
    </w:p>
    <w:p w14:paraId="27A83F05" w14:textId="14E2709E" w:rsidR="00B60ACD" w:rsidRPr="00B60ACD" w:rsidRDefault="000F5472" w:rsidP="00B60ACD">
      <w:pPr>
        <w:tabs>
          <w:tab w:val="left" w:pos="851"/>
        </w:tabs>
        <w:ind w:left="851"/>
        <w:rPr>
          <w:sz w:val="24"/>
          <w:szCs w:val="24"/>
          <w:u w:val="single"/>
        </w:rPr>
      </w:pPr>
      <w:proofErr w:type="spellStart"/>
      <w:r>
        <w:rPr>
          <w:sz w:val="24"/>
          <w:szCs w:val="24"/>
          <w:u w:val="single"/>
        </w:rPr>
        <w:t>Sitagliptin</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ApS"</w:t>
      </w:r>
      <w:r w:rsidR="00B60ACD" w:rsidRPr="00B60ACD">
        <w:rPr>
          <w:sz w:val="24"/>
          <w:szCs w:val="24"/>
          <w:u w:val="single"/>
        </w:rPr>
        <w:t xml:space="preserve"> 100 mg</w:t>
      </w:r>
    </w:p>
    <w:p w14:paraId="7C865D7B" w14:textId="77777777" w:rsidR="00B60ACD" w:rsidRPr="00B60ACD" w:rsidRDefault="00B60ACD" w:rsidP="00B60ACD">
      <w:pPr>
        <w:tabs>
          <w:tab w:val="left" w:pos="851"/>
        </w:tabs>
        <w:ind w:left="851"/>
        <w:rPr>
          <w:sz w:val="24"/>
          <w:szCs w:val="24"/>
        </w:rPr>
      </w:pPr>
      <w:r w:rsidRPr="00B60ACD">
        <w:rPr>
          <w:sz w:val="24"/>
          <w:szCs w:val="24"/>
        </w:rPr>
        <w:t xml:space="preserve">Rund, </w:t>
      </w:r>
      <w:proofErr w:type="spellStart"/>
      <w:r w:rsidRPr="00B60ACD">
        <w:rPr>
          <w:sz w:val="24"/>
          <w:szCs w:val="24"/>
        </w:rPr>
        <w:t>bikonveks</w:t>
      </w:r>
      <w:proofErr w:type="spellEnd"/>
      <w:r w:rsidRPr="00B60ACD">
        <w:rPr>
          <w:sz w:val="24"/>
          <w:szCs w:val="24"/>
        </w:rPr>
        <w:t>, orange til brun filmovertrukket tablet med en diameter på ca. 9,1 mm.</w:t>
      </w:r>
    </w:p>
    <w:p w14:paraId="14F5F9CD" w14:textId="77777777" w:rsidR="009260DE" w:rsidRPr="00C84483" w:rsidRDefault="009260DE" w:rsidP="009260DE">
      <w:pPr>
        <w:tabs>
          <w:tab w:val="left" w:pos="851"/>
        </w:tabs>
        <w:ind w:left="851"/>
        <w:rPr>
          <w:sz w:val="24"/>
          <w:szCs w:val="24"/>
        </w:rPr>
      </w:pPr>
    </w:p>
    <w:p w14:paraId="3B7CFB66" w14:textId="77777777" w:rsidR="009260DE" w:rsidRPr="00C84483" w:rsidRDefault="009260DE" w:rsidP="009260DE">
      <w:pPr>
        <w:tabs>
          <w:tab w:val="left" w:pos="851"/>
        </w:tabs>
        <w:ind w:left="851"/>
        <w:rPr>
          <w:sz w:val="24"/>
          <w:szCs w:val="24"/>
        </w:rPr>
      </w:pPr>
    </w:p>
    <w:p w14:paraId="44C54E4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0599612" w14:textId="77777777" w:rsidR="009260DE" w:rsidRPr="00C84483" w:rsidRDefault="009260DE" w:rsidP="009260DE">
      <w:pPr>
        <w:tabs>
          <w:tab w:val="left" w:pos="851"/>
        </w:tabs>
        <w:ind w:left="851"/>
        <w:rPr>
          <w:b/>
          <w:sz w:val="24"/>
          <w:szCs w:val="24"/>
        </w:rPr>
      </w:pPr>
    </w:p>
    <w:p w14:paraId="67DF0FE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BD4A32A" w14:textId="7F953940" w:rsidR="000F5472" w:rsidRPr="000F5472" w:rsidRDefault="000F5472" w:rsidP="000F5472">
      <w:pPr>
        <w:tabs>
          <w:tab w:val="left" w:pos="851"/>
        </w:tabs>
        <w:ind w:left="851"/>
        <w:rPr>
          <w:sz w:val="24"/>
          <w:szCs w:val="24"/>
        </w:rPr>
      </w:pPr>
      <w:r w:rsidRPr="000F5472">
        <w:rPr>
          <w:sz w:val="24"/>
          <w:szCs w:val="24"/>
        </w:rPr>
        <w:t xml:space="preserve">Til voksne patienter med type 2-diabetes mellitus. </w:t>
      </w: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0F5472">
        <w:rPr>
          <w:sz w:val="24"/>
          <w:szCs w:val="24"/>
        </w:rPr>
        <w:t xml:space="preserve"> er indiceret til at forbedre den </w:t>
      </w:r>
      <w:proofErr w:type="spellStart"/>
      <w:r w:rsidRPr="000F5472">
        <w:rPr>
          <w:sz w:val="24"/>
          <w:szCs w:val="24"/>
        </w:rPr>
        <w:t>glykæmiske</w:t>
      </w:r>
      <w:proofErr w:type="spellEnd"/>
      <w:r w:rsidRPr="000F5472">
        <w:rPr>
          <w:sz w:val="24"/>
          <w:szCs w:val="24"/>
        </w:rPr>
        <w:t xml:space="preserve"> kontrol:</w:t>
      </w:r>
    </w:p>
    <w:p w14:paraId="27847F17" w14:textId="77777777" w:rsidR="000F5472" w:rsidRPr="000F5472" w:rsidRDefault="000F5472" w:rsidP="000F5472">
      <w:pPr>
        <w:tabs>
          <w:tab w:val="left" w:pos="851"/>
        </w:tabs>
        <w:ind w:left="851"/>
        <w:rPr>
          <w:sz w:val="24"/>
          <w:szCs w:val="24"/>
        </w:rPr>
      </w:pPr>
    </w:p>
    <w:p w14:paraId="210C6083" w14:textId="77777777" w:rsidR="000F5472" w:rsidRPr="000F5472" w:rsidRDefault="000F5472" w:rsidP="000F5472">
      <w:pPr>
        <w:tabs>
          <w:tab w:val="left" w:pos="851"/>
        </w:tabs>
        <w:ind w:left="851"/>
        <w:rPr>
          <w:sz w:val="24"/>
          <w:szCs w:val="24"/>
        </w:rPr>
      </w:pPr>
      <w:r w:rsidRPr="000F5472">
        <w:rPr>
          <w:sz w:val="24"/>
          <w:szCs w:val="24"/>
        </w:rPr>
        <w:t>som monoterapi:</w:t>
      </w:r>
    </w:p>
    <w:p w14:paraId="72DF3C2E" w14:textId="77777777" w:rsidR="000F5472" w:rsidRPr="000F5472" w:rsidRDefault="000F5472" w:rsidP="000F5472">
      <w:pPr>
        <w:numPr>
          <w:ilvl w:val="0"/>
          <w:numId w:val="6"/>
        </w:numPr>
        <w:tabs>
          <w:tab w:val="left" w:pos="851"/>
        </w:tabs>
        <w:ind w:left="1134" w:hanging="283"/>
        <w:rPr>
          <w:sz w:val="24"/>
          <w:szCs w:val="24"/>
        </w:rPr>
      </w:pPr>
      <w:r w:rsidRPr="000F5472">
        <w:rPr>
          <w:sz w:val="24"/>
          <w:szCs w:val="24"/>
        </w:rPr>
        <w:t xml:space="preserve">hos patienter, der ikke er tilstrækkeligt kontrolleret ved diæt og motion alene, og når </w:t>
      </w:r>
      <w:proofErr w:type="spellStart"/>
      <w:r w:rsidRPr="000F5472">
        <w:rPr>
          <w:sz w:val="24"/>
          <w:szCs w:val="24"/>
        </w:rPr>
        <w:t>metformin</w:t>
      </w:r>
      <w:proofErr w:type="spellEnd"/>
      <w:r w:rsidRPr="000F5472">
        <w:rPr>
          <w:sz w:val="24"/>
          <w:szCs w:val="24"/>
        </w:rPr>
        <w:t xml:space="preserve"> ikke er hensigtsmæssigt pga. kontraindikationer eller intolerance.</w:t>
      </w:r>
    </w:p>
    <w:p w14:paraId="7914B28F" w14:textId="77777777" w:rsidR="000F5472" w:rsidRPr="000F5472" w:rsidRDefault="000F5472" w:rsidP="000F5472">
      <w:pPr>
        <w:tabs>
          <w:tab w:val="left" w:pos="851"/>
        </w:tabs>
        <w:ind w:left="851"/>
        <w:rPr>
          <w:sz w:val="24"/>
          <w:szCs w:val="24"/>
        </w:rPr>
      </w:pPr>
    </w:p>
    <w:p w14:paraId="2A130FE9" w14:textId="77777777" w:rsidR="000F5472" w:rsidRPr="000F5472" w:rsidRDefault="000F5472" w:rsidP="000F5472">
      <w:pPr>
        <w:tabs>
          <w:tab w:val="left" w:pos="851"/>
        </w:tabs>
        <w:ind w:left="851"/>
        <w:rPr>
          <w:sz w:val="24"/>
          <w:szCs w:val="24"/>
        </w:rPr>
      </w:pPr>
      <w:r w:rsidRPr="000F5472">
        <w:rPr>
          <w:sz w:val="24"/>
          <w:szCs w:val="24"/>
        </w:rPr>
        <w:t xml:space="preserve">som </w:t>
      </w:r>
      <w:proofErr w:type="spellStart"/>
      <w:r w:rsidRPr="000F5472">
        <w:rPr>
          <w:sz w:val="24"/>
          <w:szCs w:val="24"/>
        </w:rPr>
        <w:t>dual</w:t>
      </w:r>
      <w:proofErr w:type="spellEnd"/>
      <w:r w:rsidRPr="000F5472">
        <w:rPr>
          <w:sz w:val="24"/>
          <w:szCs w:val="24"/>
        </w:rPr>
        <w:t xml:space="preserve"> oral behandling sammen med:</w:t>
      </w:r>
    </w:p>
    <w:p w14:paraId="38563024" w14:textId="77777777" w:rsidR="000F5472" w:rsidRPr="000F5472" w:rsidRDefault="000F5472" w:rsidP="000F5472">
      <w:pPr>
        <w:numPr>
          <w:ilvl w:val="0"/>
          <w:numId w:val="6"/>
        </w:numPr>
        <w:tabs>
          <w:tab w:val="left" w:pos="851"/>
        </w:tabs>
        <w:ind w:left="1134" w:hanging="283"/>
        <w:rPr>
          <w:sz w:val="24"/>
          <w:szCs w:val="24"/>
        </w:rPr>
      </w:pPr>
      <w:proofErr w:type="spellStart"/>
      <w:r w:rsidRPr="000F5472">
        <w:rPr>
          <w:sz w:val="24"/>
          <w:szCs w:val="24"/>
        </w:rPr>
        <w:t>metformin</w:t>
      </w:r>
      <w:proofErr w:type="spellEnd"/>
      <w:r w:rsidRPr="000F5472">
        <w:rPr>
          <w:sz w:val="24"/>
          <w:szCs w:val="24"/>
        </w:rPr>
        <w:t xml:space="preserve">, i de tilfælde hvor diæt og motion plus </w:t>
      </w:r>
      <w:proofErr w:type="spellStart"/>
      <w:r w:rsidRPr="000F5472">
        <w:rPr>
          <w:sz w:val="24"/>
          <w:szCs w:val="24"/>
        </w:rPr>
        <w:t>metformin</w:t>
      </w:r>
      <w:proofErr w:type="spellEnd"/>
      <w:r w:rsidRPr="000F5472">
        <w:rPr>
          <w:sz w:val="24"/>
          <w:szCs w:val="24"/>
        </w:rPr>
        <w:t xml:space="preserve"> alene ikke giver tilstrækkelig </w:t>
      </w:r>
      <w:proofErr w:type="spellStart"/>
      <w:r w:rsidRPr="000F5472">
        <w:rPr>
          <w:sz w:val="24"/>
          <w:szCs w:val="24"/>
        </w:rPr>
        <w:t>glykæmisk</w:t>
      </w:r>
      <w:proofErr w:type="spellEnd"/>
      <w:r w:rsidRPr="000F5472">
        <w:rPr>
          <w:sz w:val="24"/>
          <w:szCs w:val="24"/>
        </w:rPr>
        <w:t xml:space="preserve"> kontrol.</w:t>
      </w:r>
    </w:p>
    <w:p w14:paraId="5D81AE64" w14:textId="77777777" w:rsidR="000F5472" w:rsidRPr="000F5472" w:rsidRDefault="000F5472" w:rsidP="000F5472">
      <w:pPr>
        <w:numPr>
          <w:ilvl w:val="0"/>
          <w:numId w:val="6"/>
        </w:numPr>
        <w:tabs>
          <w:tab w:val="left" w:pos="851"/>
        </w:tabs>
        <w:ind w:left="1134" w:hanging="283"/>
        <w:rPr>
          <w:sz w:val="24"/>
          <w:szCs w:val="24"/>
        </w:rPr>
      </w:pPr>
      <w:r w:rsidRPr="000F5472">
        <w:rPr>
          <w:sz w:val="24"/>
          <w:szCs w:val="24"/>
        </w:rPr>
        <w:t xml:space="preserve">et </w:t>
      </w:r>
      <w:proofErr w:type="spellStart"/>
      <w:r w:rsidRPr="000F5472">
        <w:rPr>
          <w:sz w:val="24"/>
          <w:szCs w:val="24"/>
        </w:rPr>
        <w:t>sulfonylurinstof</w:t>
      </w:r>
      <w:proofErr w:type="spellEnd"/>
      <w:r w:rsidRPr="000F5472">
        <w:rPr>
          <w:sz w:val="24"/>
          <w:szCs w:val="24"/>
        </w:rPr>
        <w:t xml:space="preserve">, når diæt og motion plus maksimal tolereret dosis af et </w:t>
      </w:r>
      <w:proofErr w:type="spellStart"/>
      <w:r w:rsidRPr="000F5472">
        <w:rPr>
          <w:sz w:val="24"/>
          <w:szCs w:val="24"/>
        </w:rPr>
        <w:t>sulfonylurinstof</w:t>
      </w:r>
      <w:proofErr w:type="spellEnd"/>
      <w:r w:rsidRPr="000F5472">
        <w:rPr>
          <w:sz w:val="24"/>
          <w:szCs w:val="24"/>
        </w:rPr>
        <w:t xml:space="preserve"> alene ikke giver tilstrækkelig </w:t>
      </w:r>
      <w:proofErr w:type="spellStart"/>
      <w:r w:rsidRPr="000F5472">
        <w:rPr>
          <w:sz w:val="24"/>
          <w:szCs w:val="24"/>
        </w:rPr>
        <w:t>glykæmisk</w:t>
      </w:r>
      <w:proofErr w:type="spellEnd"/>
      <w:r w:rsidRPr="000F5472">
        <w:rPr>
          <w:sz w:val="24"/>
          <w:szCs w:val="24"/>
        </w:rPr>
        <w:t xml:space="preserve"> kontrol, og når </w:t>
      </w:r>
      <w:proofErr w:type="spellStart"/>
      <w:r w:rsidRPr="000F5472">
        <w:rPr>
          <w:sz w:val="24"/>
          <w:szCs w:val="24"/>
        </w:rPr>
        <w:t>metformin</w:t>
      </w:r>
      <w:proofErr w:type="spellEnd"/>
      <w:r w:rsidRPr="000F5472">
        <w:rPr>
          <w:sz w:val="24"/>
          <w:szCs w:val="24"/>
        </w:rPr>
        <w:t xml:space="preserve"> ikke er hensigtsmæssigt pga. af kontraindikationer eller intolerance.</w:t>
      </w:r>
    </w:p>
    <w:p w14:paraId="530C1FF3" w14:textId="77777777" w:rsidR="000F5472" w:rsidRPr="000F5472" w:rsidRDefault="000F5472" w:rsidP="000F5472">
      <w:pPr>
        <w:numPr>
          <w:ilvl w:val="0"/>
          <w:numId w:val="6"/>
        </w:numPr>
        <w:tabs>
          <w:tab w:val="left" w:pos="851"/>
        </w:tabs>
        <w:ind w:left="1134" w:hanging="283"/>
        <w:rPr>
          <w:sz w:val="24"/>
          <w:szCs w:val="24"/>
        </w:rPr>
      </w:pPr>
      <w:r w:rsidRPr="000F5472">
        <w:rPr>
          <w:sz w:val="24"/>
          <w:szCs w:val="24"/>
        </w:rPr>
        <w:t xml:space="preserve">en </w:t>
      </w:r>
      <w:proofErr w:type="spellStart"/>
      <w:r w:rsidRPr="000F5472">
        <w:rPr>
          <w:sz w:val="24"/>
          <w:szCs w:val="24"/>
        </w:rPr>
        <w:t>peroxisom</w:t>
      </w:r>
      <w:proofErr w:type="spellEnd"/>
      <w:r w:rsidRPr="000F5472">
        <w:rPr>
          <w:sz w:val="24"/>
          <w:szCs w:val="24"/>
        </w:rPr>
        <w:t xml:space="preserve"> </w:t>
      </w:r>
      <w:proofErr w:type="spellStart"/>
      <w:r w:rsidRPr="000F5472">
        <w:rPr>
          <w:sz w:val="24"/>
          <w:szCs w:val="24"/>
        </w:rPr>
        <w:t>proliferator</w:t>
      </w:r>
      <w:proofErr w:type="spellEnd"/>
      <w:r w:rsidRPr="000F5472">
        <w:rPr>
          <w:sz w:val="24"/>
          <w:szCs w:val="24"/>
        </w:rPr>
        <w:t>-aktiveret receptor-gamma (</w:t>
      </w:r>
      <w:proofErr w:type="spellStart"/>
      <w:r w:rsidRPr="000F5472">
        <w:rPr>
          <w:sz w:val="24"/>
          <w:szCs w:val="24"/>
        </w:rPr>
        <w:t>PPAR</w:t>
      </w:r>
      <w:proofErr w:type="gramStart"/>
      <w:r w:rsidRPr="000F5472">
        <w:rPr>
          <w:sz w:val="24"/>
          <w:szCs w:val="24"/>
        </w:rPr>
        <w:t>γ</w:t>
      </w:r>
      <w:proofErr w:type="spellEnd"/>
      <w:r w:rsidRPr="000F5472">
        <w:rPr>
          <w:sz w:val="24"/>
          <w:szCs w:val="24"/>
        </w:rPr>
        <w:t>)-</w:t>
      </w:r>
      <w:proofErr w:type="gramEnd"/>
      <w:r w:rsidRPr="000F5472">
        <w:rPr>
          <w:sz w:val="24"/>
          <w:szCs w:val="24"/>
        </w:rPr>
        <w:t xml:space="preserve">agonist (dvs. et </w:t>
      </w:r>
      <w:proofErr w:type="spellStart"/>
      <w:r w:rsidRPr="000F5472">
        <w:rPr>
          <w:sz w:val="24"/>
          <w:szCs w:val="24"/>
        </w:rPr>
        <w:t>glitazon</w:t>
      </w:r>
      <w:proofErr w:type="spellEnd"/>
      <w:r w:rsidRPr="000F5472">
        <w:rPr>
          <w:sz w:val="24"/>
          <w:szCs w:val="24"/>
        </w:rPr>
        <w:t xml:space="preserve">), når anvendelse af en </w:t>
      </w:r>
      <w:proofErr w:type="spellStart"/>
      <w:r w:rsidRPr="000F5472">
        <w:rPr>
          <w:sz w:val="24"/>
          <w:szCs w:val="24"/>
        </w:rPr>
        <w:t>PPARγ</w:t>
      </w:r>
      <w:proofErr w:type="spellEnd"/>
      <w:r w:rsidRPr="000F5472">
        <w:rPr>
          <w:sz w:val="24"/>
          <w:szCs w:val="24"/>
        </w:rPr>
        <w:t xml:space="preserve">-agonist er hensigtsmæssig, og når diæt og motion plus </w:t>
      </w:r>
      <w:proofErr w:type="spellStart"/>
      <w:r w:rsidRPr="000F5472">
        <w:rPr>
          <w:sz w:val="24"/>
          <w:szCs w:val="24"/>
        </w:rPr>
        <w:t>PPARγ</w:t>
      </w:r>
      <w:proofErr w:type="spellEnd"/>
      <w:r w:rsidRPr="000F5472">
        <w:rPr>
          <w:sz w:val="24"/>
          <w:szCs w:val="24"/>
        </w:rPr>
        <w:t xml:space="preserve">-agonisten alene ikke giver tilstrækkelig </w:t>
      </w:r>
      <w:proofErr w:type="spellStart"/>
      <w:r w:rsidRPr="000F5472">
        <w:rPr>
          <w:sz w:val="24"/>
          <w:szCs w:val="24"/>
        </w:rPr>
        <w:t>glykæmisk</w:t>
      </w:r>
      <w:proofErr w:type="spellEnd"/>
      <w:r w:rsidRPr="000F5472">
        <w:rPr>
          <w:sz w:val="24"/>
          <w:szCs w:val="24"/>
        </w:rPr>
        <w:t xml:space="preserve"> kontrol.</w:t>
      </w:r>
    </w:p>
    <w:p w14:paraId="13327D27" w14:textId="77777777" w:rsidR="000F5472" w:rsidRPr="000F5472" w:rsidRDefault="000F5472" w:rsidP="000F5472">
      <w:pPr>
        <w:tabs>
          <w:tab w:val="left" w:pos="851"/>
        </w:tabs>
        <w:ind w:left="851"/>
        <w:rPr>
          <w:sz w:val="24"/>
          <w:szCs w:val="24"/>
        </w:rPr>
      </w:pPr>
    </w:p>
    <w:p w14:paraId="12F80CC6" w14:textId="77777777" w:rsidR="000F5472" w:rsidRPr="000F5472" w:rsidRDefault="000F5472" w:rsidP="000F5472">
      <w:pPr>
        <w:tabs>
          <w:tab w:val="left" w:pos="851"/>
        </w:tabs>
        <w:ind w:left="851"/>
        <w:rPr>
          <w:sz w:val="24"/>
          <w:szCs w:val="24"/>
        </w:rPr>
      </w:pPr>
      <w:r w:rsidRPr="000F5472">
        <w:rPr>
          <w:sz w:val="24"/>
          <w:szCs w:val="24"/>
        </w:rPr>
        <w:t xml:space="preserve">som </w:t>
      </w:r>
      <w:proofErr w:type="spellStart"/>
      <w:r w:rsidRPr="000F5472">
        <w:rPr>
          <w:sz w:val="24"/>
          <w:szCs w:val="24"/>
        </w:rPr>
        <w:t>tripel</w:t>
      </w:r>
      <w:proofErr w:type="spellEnd"/>
      <w:r w:rsidRPr="000F5472">
        <w:rPr>
          <w:sz w:val="24"/>
          <w:szCs w:val="24"/>
        </w:rPr>
        <w:t xml:space="preserve"> oral behandling sammen med:</w:t>
      </w:r>
    </w:p>
    <w:p w14:paraId="510EC5F8" w14:textId="77777777" w:rsidR="000F5472" w:rsidRPr="000F5472" w:rsidRDefault="000F5472" w:rsidP="000F5472">
      <w:pPr>
        <w:numPr>
          <w:ilvl w:val="0"/>
          <w:numId w:val="6"/>
        </w:numPr>
        <w:tabs>
          <w:tab w:val="left" w:pos="851"/>
        </w:tabs>
        <w:ind w:left="1134" w:hanging="283"/>
        <w:rPr>
          <w:sz w:val="24"/>
          <w:szCs w:val="24"/>
        </w:rPr>
      </w:pPr>
      <w:r w:rsidRPr="000F5472">
        <w:rPr>
          <w:sz w:val="24"/>
          <w:szCs w:val="24"/>
        </w:rPr>
        <w:t xml:space="preserve">et </w:t>
      </w:r>
      <w:proofErr w:type="spellStart"/>
      <w:r w:rsidRPr="000F5472">
        <w:rPr>
          <w:sz w:val="24"/>
          <w:szCs w:val="24"/>
        </w:rPr>
        <w:t>sulfonylurinstof</w:t>
      </w:r>
      <w:proofErr w:type="spellEnd"/>
      <w:r w:rsidRPr="000F5472">
        <w:rPr>
          <w:sz w:val="24"/>
          <w:szCs w:val="24"/>
        </w:rPr>
        <w:t xml:space="preserve"> og </w:t>
      </w:r>
      <w:proofErr w:type="spellStart"/>
      <w:r w:rsidRPr="000F5472">
        <w:rPr>
          <w:sz w:val="24"/>
          <w:szCs w:val="24"/>
        </w:rPr>
        <w:t>metformin</w:t>
      </w:r>
      <w:proofErr w:type="spellEnd"/>
      <w:r w:rsidRPr="000F5472">
        <w:rPr>
          <w:sz w:val="24"/>
          <w:szCs w:val="24"/>
        </w:rPr>
        <w:t xml:space="preserve">, når diæt og motion plus </w:t>
      </w:r>
      <w:proofErr w:type="spellStart"/>
      <w:r w:rsidRPr="000F5472">
        <w:rPr>
          <w:sz w:val="24"/>
          <w:szCs w:val="24"/>
        </w:rPr>
        <w:t>dual</w:t>
      </w:r>
      <w:proofErr w:type="spellEnd"/>
      <w:r w:rsidRPr="000F5472">
        <w:rPr>
          <w:sz w:val="24"/>
          <w:szCs w:val="24"/>
        </w:rPr>
        <w:t xml:space="preserve"> behandling med disse lægemidler ikke giver tilstrækkelig </w:t>
      </w:r>
      <w:proofErr w:type="spellStart"/>
      <w:r w:rsidRPr="000F5472">
        <w:rPr>
          <w:sz w:val="24"/>
          <w:szCs w:val="24"/>
        </w:rPr>
        <w:t>glykæmisk</w:t>
      </w:r>
      <w:proofErr w:type="spellEnd"/>
      <w:r w:rsidRPr="000F5472">
        <w:rPr>
          <w:sz w:val="24"/>
          <w:szCs w:val="24"/>
        </w:rPr>
        <w:t xml:space="preserve"> kontrol.</w:t>
      </w:r>
    </w:p>
    <w:p w14:paraId="3ECDA438" w14:textId="77777777" w:rsidR="000F5472" w:rsidRPr="000F5472" w:rsidRDefault="000F5472" w:rsidP="000F5472">
      <w:pPr>
        <w:numPr>
          <w:ilvl w:val="0"/>
          <w:numId w:val="6"/>
        </w:numPr>
        <w:tabs>
          <w:tab w:val="left" w:pos="851"/>
        </w:tabs>
        <w:ind w:left="1134" w:hanging="283"/>
        <w:rPr>
          <w:sz w:val="24"/>
          <w:szCs w:val="24"/>
        </w:rPr>
      </w:pPr>
      <w:r w:rsidRPr="000F5472">
        <w:rPr>
          <w:sz w:val="24"/>
          <w:szCs w:val="24"/>
        </w:rPr>
        <w:t xml:space="preserve">en </w:t>
      </w:r>
      <w:proofErr w:type="spellStart"/>
      <w:r w:rsidRPr="000F5472">
        <w:rPr>
          <w:sz w:val="24"/>
          <w:szCs w:val="24"/>
        </w:rPr>
        <w:t>PPARγ</w:t>
      </w:r>
      <w:proofErr w:type="spellEnd"/>
      <w:r w:rsidRPr="000F5472">
        <w:rPr>
          <w:sz w:val="24"/>
          <w:szCs w:val="24"/>
        </w:rPr>
        <w:t xml:space="preserve">-agonist og </w:t>
      </w:r>
      <w:proofErr w:type="spellStart"/>
      <w:r w:rsidRPr="000F5472">
        <w:rPr>
          <w:sz w:val="24"/>
          <w:szCs w:val="24"/>
        </w:rPr>
        <w:t>metformin</w:t>
      </w:r>
      <w:proofErr w:type="spellEnd"/>
      <w:r w:rsidRPr="000F5472">
        <w:rPr>
          <w:sz w:val="24"/>
          <w:szCs w:val="24"/>
        </w:rPr>
        <w:t xml:space="preserve">, når anvendelse af en </w:t>
      </w:r>
      <w:proofErr w:type="spellStart"/>
      <w:r w:rsidRPr="000F5472">
        <w:rPr>
          <w:sz w:val="24"/>
          <w:szCs w:val="24"/>
        </w:rPr>
        <w:t>PPARγ</w:t>
      </w:r>
      <w:proofErr w:type="spellEnd"/>
      <w:r w:rsidRPr="000F5472">
        <w:rPr>
          <w:sz w:val="24"/>
          <w:szCs w:val="24"/>
        </w:rPr>
        <w:t xml:space="preserve">-agonist er hensigtsmæssig, og når diæt og motion plus </w:t>
      </w:r>
      <w:proofErr w:type="spellStart"/>
      <w:r w:rsidRPr="000F5472">
        <w:rPr>
          <w:sz w:val="24"/>
          <w:szCs w:val="24"/>
        </w:rPr>
        <w:t>dual</w:t>
      </w:r>
      <w:proofErr w:type="spellEnd"/>
      <w:r w:rsidRPr="000F5472">
        <w:rPr>
          <w:sz w:val="24"/>
          <w:szCs w:val="24"/>
        </w:rPr>
        <w:t xml:space="preserve"> behandling med disse lægemidler ikke giver tilstrækkelig </w:t>
      </w:r>
      <w:proofErr w:type="spellStart"/>
      <w:r w:rsidRPr="000F5472">
        <w:rPr>
          <w:sz w:val="24"/>
          <w:szCs w:val="24"/>
        </w:rPr>
        <w:t>glykæmisk</w:t>
      </w:r>
      <w:proofErr w:type="spellEnd"/>
      <w:r w:rsidRPr="000F5472">
        <w:rPr>
          <w:sz w:val="24"/>
          <w:szCs w:val="24"/>
        </w:rPr>
        <w:t xml:space="preserve"> kontrol.</w:t>
      </w:r>
    </w:p>
    <w:p w14:paraId="7221CC1C" w14:textId="77777777" w:rsidR="000F5472" w:rsidRPr="000F5472" w:rsidRDefault="000F5472" w:rsidP="000F5472">
      <w:pPr>
        <w:tabs>
          <w:tab w:val="left" w:pos="851"/>
        </w:tabs>
        <w:ind w:left="851"/>
        <w:rPr>
          <w:sz w:val="24"/>
          <w:szCs w:val="24"/>
        </w:rPr>
      </w:pPr>
    </w:p>
    <w:p w14:paraId="15A05139" w14:textId="2BD08652" w:rsidR="000F5472" w:rsidRPr="000F5472" w:rsidRDefault="000F5472" w:rsidP="000F5472">
      <w:pPr>
        <w:tabs>
          <w:tab w:val="left" w:pos="851"/>
        </w:tabs>
        <w:ind w:left="851"/>
        <w:rPr>
          <w:sz w:val="24"/>
          <w:szCs w:val="24"/>
        </w:rPr>
      </w:pP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0F5472">
        <w:rPr>
          <w:sz w:val="24"/>
          <w:szCs w:val="24"/>
        </w:rPr>
        <w:t xml:space="preserve"> er også indiceret som tillægsbehandling til insulin (med eller uden </w:t>
      </w:r>
      <w:proofErr w:type="spellStart"/>
      <w:r w:rsidRPr="000F5472">
        <w:rPr>
          <w:sz w:val="24"/>
          <w:szCs w:val="24"/>
        </w:rPr>
        <w:t>metformin</w:t>
      </w:r>
      <w:proofErr w:type="spellEnd"/>
      <w:r w:rsidRPr="000F5472">
        <w:rPr>
          <w:sz w:val="24"/>
          <w:szCs w:val="24"/>
        </w:rPr>
        <w:t xml:space="preserve">), når diæt og motion plus stabil dosering af insulin ikke giver tilstrækkelig </w:t>
      </w:r>
      <w:proofErr w:type="spellStart"/>
      <w:r w:rsidRPr="000F5472">
        <w:rPr>
          <w:sz w:val="24"/>
          <w:szCs w:val="24"/>
        </w:rPr>
        <w:t>glykæmisk</w:t>
      </w:r>
      <w:proofErr w:type="spellEnd"/>
      <w:r w:rsidRPr="000F5472">
        <w:rPr>
          <w:sz w:val="24"/>
          <w:szCs w:val="24"/>
        </w:rPr>
        <w:t xml:space="preserve"> kontrol.</w:t>
      </w:r>
    </w:p>
    <w:p w14:paraId="1256EBF2" w14:textId="77777777" w:rsidR="009260DE" w:rsidRPr="00C84483" w:rsidRDefault="009260DE" w:rsidP="009260DE">
      <w:pPr>
        <w:tabs>
          <w:tab w:val="left" w:pos="851"/>
        </w:tabs>
        <w:ind w:left="851"/>
        <w:rPr>
          <w:sz w:val="24"/>
          <w:szCs w:val="24"/>
        </w:rPr>
      </w:pPr>
    </w:p>
    <w:p w14:paraId="2BA6669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4B7369B" w14:textId="77777777" w:rsidR="000F5472" w:rsidRPr="000F5472" w:rsidRDefault="000F5472" w:rsidP="000F5472">
      <w:pPr>
        <w:tabs>
          <w:tab w:val="left" w:pos="851"/>
        </w:tabs>
        <w:ind w:left="851"/>
        <w:rPr>
          <w:sz w:val="24"/>
          <w:szCs w:val="24"/>
          <w:u w:val="single"/>
        </w:rPr>
      </w:pPr>
    </w:p>
    <w:p w14:paraId="33B6C9AD" w14:textId="77777777" w:rsidR="000F5472" w:rsidRPr="000F5472" w:rsidRDefault="000F5472" w:rsidP="000F5472">
      <w:pPr>
        <w:tabs>
          <w:tab w:val="left" w:pos="851"/>
        </w:tabs>
        <w:ind w:left="851"/>
        <w:rPr>
          <w:sz w:val="24"/>
          <w:szCs w:val="24"/>
          <w:u w:val="single"/>
        </w:rPr>
      </w:pPr>
      <w:r w:rsidRPr="000F5472">
        <w:rPr>
          <w:sz w:val="24"/>
          <w:szCs w:val="24"/>
          <w:u w:val="single"/>
        </w:rPr>
        <w:t>Dosering</w:t>
      </w:r>
    </w:p>
    <w:p w14:paraId="0663C4F2" w14:textId="77777777" w:rsidR="000F5472" w:rsidRPr="000F5472" w:rsidRDefault="000F5472" w:rsidP="000F5472">
      <w:pPr>
        <w:tabs>
          <w:tab w:val="left" w:pos="851"/>
        </w:tabs>
        <w:ind w:left="851"/>
        <w:rPr>
          <w:sz w:val="24"/>
          <w:szCs w:val="24"/>
        </w:rPr>
      </w:pPr>
      <w:r w:rsidRPr="000F5472">
        <w:rPr>
          <w:sz w:val="24"/>
          <w:szCs w:val="24"/>
        </w:rPr>
        <w:t xml:space="preserve">Dosis er 100 mg </w:t>
      </w:r>
      <w:proofErr w:type="spellStart"/>
      <w:r w:rsidRPr="000F5472">
        <w:rPr>
          <w:sz w:val="24"/>
          <w:szCs w:val="24"/>
        </w:rPr>
        <w:t>sitagliptin</w:t>
      </w:r>
      <w:proofErr w:type="spellEnd"/>
      <w:r w:rsidRPr="000F5472">
        <w:rPr>
          <w:sz w:val="24"/>
          <w:szCs w:val="24"/>
        </w:rPr>
        <w:t xml:space="preserve"> en gang dagligt. Ved anvendelse sammen med </w:t>
      </w:r>
      <w:proofErr w:type="spellStart"/>
      <w:r w:rsidRPr="000F5472">
        <w:rPr>
          <w:sz w:val="24"/>
          <w:szCs w:val="24"/>
        </w:rPr>
        <w:t>metformin</w:t>
      </w:r>
      <w:proofErr w:type="spellEnd"/>
      <w:r w:rsidRPr="000F5472">
        <w:rPr>
          <w:sz w:val="24"/>
          <w:szCs w:val="24"/>
        </w:rPr>
        <w:t xml:space="preserve"> og/eller en </w:t>
      </w:r>
      <w:proofErr w:type="spellStart"/>
      <w:r w:rsidRPr="000F5472">
        <w:rPr>
          <w:sz w:val="24"/>
          <w:szCs w:val="24"/>
        </w:rPr>
        <w:t>PPARγ</w:t>
      </w:r>
      <w:proofErr w:type="spellEnd"/>
      <w:r w:rsidRPr="000F5472">
        <w:rPr>
          <w:sz w:val="24"/>
          <w:szCs w:val="24"/>
        </w:rPr>
        <w:t xml:space="preserve">-agonist bør dosis af </w:t>
      </w:r>
      <w:proofErr w:type="spellStart"/>
      <w:r w:rsidRPr="000F5472">
        <w:rPr>
          <w:sz w:val="24"/>
          <w:szCs w:val="24"/>
        </w:rPr>
        <w:t>metformin</w:t>
      </w:r>
      <w:proofErr w:type="spellEnd"/>
      <w:r w:rsidRPr="000F5472">
        <w:rPr>
          <w:sz w:val="24"/>
          <w:szCs w:val="24"/>
        </w:rPr>
        <w:t xml:space="preserve"> og/eller </w:t>
      </w:r>
      <w:proofErr w:type="spellStart"/>
      <w:r w:rsidRPr="000F5472">
        <w:rPr>
          <w:sz w:val="24"/>
          <w:szCs w:val="24"/>
        </w:rPr>
        <w:t>PPARγ</w:t>
      </w:r>
      <w:proofErr w:type="spellEnd"/>
      <w:r w:rsidRPr="000F5472">
        <w:rPr>
          <w:sz w:val="24"/>
          <w:szCs w:val="24"/>
        </w:rPr>
        <w:t xml:space="preserve">-agonisten opretholdes, og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administreres samtidigt.</w:t>
      </w:r>
    </w:p>
    <w:p w14:paraId="3C873C40" w14:textId="77777777" w:rsidR="000F5472" w:rsidRPr="000F5472" w:rsidRDefault="000F5472" w:rsidP="000F5472">
      <w:pPr>
        <w:tabs>
          <w:tab w:val="left" w:pos="851"/>
        </w:tabs>
        <w:ind w:left="851"/>
        <w:rPr>
          <w:sz w:val="24"/>
          <w:szCs w:val="24"/>
        </w:rPr>
      </w:pPr>
    </w:p>
    <w:p w14:paraId="2B1F2FE7" w14:textId="77777777" w:rsidR="000F5472" w:rsidRPr="000F5472" w:rsidRDefault="000F5472" w:rsidP="000F5472">
      <w:pPr>
        <w:tabs>
          <w:tab w:val="left" w:pos="851"/>
        </w:tabs>
        <w:ind w:left="851"/>
        <w:rPr>
          <w:sz w:val="24"/>
          <w:szCs w:val="24"/>
        </w:rPr>
      </w:pPr>
      <w:r w:rsidRPr="000F5472">
        <w:rPr>
          <w:sz w:val="24"/>
          <w:szCs w:val="24"/>
        </w:rPr>
        <w:t xml:space="preserve">Når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anvendes i kombination med et </w:t>
      </w:r>
      <w:proofErr w:type="spellStart"/>
      <w:r w:rsidRPr="000F5472">
        <w:rPr>
          <w:sz w:val="24"/>
          <w:szCs w:val="24"/>
        </w:rPr>
        <w:t>sulfonylurinstof</w:t>
      </w:r>
      <w:proofErr w:type="spellEnd"/>
      <w:r w:rsidRPr="000F5472">
        <w:rPr>
          <w:sz w:val="24"/>
          <w:szCs w:val="24"/>
        </w:rPr>
        <w:t xml:space="preserve"> eller sammen med insulin, kan en lavere dosis af </w:t>
      </w:r>
      <w:proofErr w:type="spellStart"/>
      <w:r w:rsidRPr="000F5472">
        <w:rPr>
          <w:sz w:val="24"/>
          <w:szCs w:val="24"/>
        </w:rPr>
        <w:t>sulfonylurinstof</w:t>
      </w:r>
      <w:proofErr w:type="spellEnd"/>
      <w:r w:rsidRPr="000F5472">
        <w:rPr>
          <w:sz w:val="24"/>
          <w:szCs w:val="24"/>
        </w:rPr>
        <w:t xml:space="preserve"> eller insulin overvejes for at reducere risikoen for hypoglykæmi (se pkt. 4.4).</w:t>
      </w:r>
    </w:p>
    <w:p w14:paraId="667D83C9" w14:textId="77777777" w:rsidR="000F5472" w:rsidRPr="000F5472" w:rsidRDefault="000F5472" w:rsidP="000F5472">
      <w:pPr>
        <w:tabs>
          <w:tab w:val="left" w:pos="851"/>
        </w:tabs>
        <w:ind w:left="851"/>
        <w:rPr>
          <w:sz w:val="24"/>
          <w:szCs w:val="24"/>
        </w:rPr>
      </w:pPr>
    </w:p>
    <w:p w14:paraId="7835B22C" w14:textId="77777777" w:rsidR="000F5472" w:rsidRPr="000F5472" w:rsidRDefault="000F5472" w:rsidP="000F5472">
      <w:pPr>
        <w:tabs>
          <w:tab w:val="left" w:pos="851"/>
        </w:tabs>
        <w:ind w:left="851"/>
        <w:rPr>
          <w:sz w:val="24"/>
          <w:szCs w:val="24"/>
        </w:rPr>
      </w:pPr>
      <w:r w:rsidRPr="000F5472">
        <w:rPr>
          <w:sz w:val="24"/>
          <w:szCs w:val="24"/>
        </w:rPr>
        <w:t xml:space="preserve">Hvis en dosis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glemmes, bør den tages, så snart patienten kommer i tanke om det. Patienten bør ikke tage en dobbeltdosis på den samme dag.</w:t>
      </w:r>
    </w:p>
    <w:p w14:paraId="3F01415D" w14:textId="690CDF2A" w:rsidR="0030235A" w:rsidRDefault="0030235A">
      <w:pPr>
        <w:rPr>
          <w:sz w:val="24"/>
          <w:szCs w:val="24"/>
        </w:rPr>
      </w:pPr>
      <w:r>
        <w:rPr>
          <w:sz w:val="24"/>
          <w:szCs w:val="24"/>
        </w:rPr>
        <w:br w:type="page"/>
      </w:r>
    </w:p>
    <w:p w14:paraId="2DDA48EB" w14:textId="77777777" w:rsidR="000F5472" w:rsidRPr="000F5472" w:rsidRDefault="000F5472" w:rsidP="000F5472">
      <w:pPr>
        <w:tabs>
          <w:tab w:val="left" w:pos="851"/>
        </w:tabs>
        <w:ind w:left="851"/>
        <w:rPr>
          <w:sz w:val="24"/>
          <w:szCs w:val="24"/>
        </w:rPr>
      </w:pPr>
    </w:p>
    <w:p w14:paraId="2E355E89" w14:textId="77777777" w:rsidR="000F5472" w:rsidRPr="000F5472" w:rsidRDefault="000F5472" w:rsidP="000F5472">
      <w:pPr>
        <w:tabs>
          <w:tab w:val="left" w:pos="851"/>
        </w:tabs>
        <w:ind w:left="851"/>
        <w:rPr>
          <w:sz w:val="24"/>
          <w:szCs w:val="24"/>
          <w:u w:val="single"/>
        </w:rPr>
      </w:pPr>
      <w:r w:rsidRPr="000F5472">
        <w:rPr>
          <w:sz w:val="24"/>
          <w:szCs w:val="24"/>
          <w:u w:val="single"/>
        </w:rPr>
        <w:t>Særlige populationer</w:t>
      </w:r>
    </w:p>
    <w:p w14:paraId="507867C3" w14:textId="77777777" w:rsidR="000F5472" w:rsidRPr="000F5472" w:rsidRDefault="000F5472" w:rsidP="000F5472">
      <w:pPr>
        <w:tabs>
          <w:tab w:val="left" w:pos="851"/>
        </w:tabs>
        <w:ind w:left="851"/>
        <w:rPr>
          <w:i/>
          <w:iCs/>
          <w:sz w:val="24"/>
          <w:szCs w:val="24"/>
        </w:rPr>
      </w:pPr>
    </w:p>
    <w:p w14:paraId="3631944F" w14:textId="77777777" w:rsidR="000F5472" w:rsidRPr="000F5472" w:rsidRDefault="000F5472" w:rsidP="000F5472">
      <w:pPr>
        <w:tabs>
          <w:tab w:val="left" w:pos="851"/>
        </w:tabs>
        <w:ind w:left="851"/>
        <w:rPr>
          <w:i/>
          <w:iCs/>
          <w:sz w:val="24"/>
          <w:szCs w:val="24"/>
        </w:rPr>
      </w:pPr>
      <w:r w:rsidRPr="000F5472">
        <w:rPr>
          <w:i/>
          <w:iCs/>
          <w:sz w:val="24"/>
          <w:szCs w:val="24"/>
        </w:rPr>
        <w:t>Nyreinsufficiens</w:t>
      </w:r>
    </w:p>
    <w:p w14:paraId="271366D4" w14:textId="77777777" w:rsidR="000F5472" w:rsidRPr="000F5472" w:rsidRDefault="000F5472" w:rsidP="000F5472">
      <w:pPr>
        <w:tabs>
          <w:tab w:val="left" w:pos="851"/>
        </w:tabs>
        <w:ind w:left="851"/>
        <w:rPr>
          <w:sz w:val="24"/>
          <w:szCs w:val="24"/>
        </w:rPr>
      </w:pPr>
      <w:r w:rsidRPr="000F5472">
        <w:rPr>
          <w:sz w:val="24"/>
          <w:szCs w:val="24"/>
        </w:rPr>
        <w:t xml:space="preserve">Når anvendelse af </w:t>
      </w:r>
      <w:proofErr w:type="spellStart"/>
      <w:r w:rsidRPr="000F5472">
        <w:rPr>
          <w:sz w:val="24"/>
          <w:szCs w:val="24"/>
        </w:rPr>
        <w:t>sitagliptin</w:t>
      </w:r>
      <w:proofErr w:type="spellEnd"/>
      <w:r w:rsidRPr="000F5472">
        <w:rPr>
          <w:sz w:val="24"/>
          <w:szCs w:val="24"/>
        </w:rPr>
        <w:t xml:space="preserve"> sammen med et andet </w:t>
      </w:r>
      <w:proofErr w:type="spellStart"/>
      <w:r w:rsidRPr="000F5472">
        <w:rPr>
          <w:sz w:val="24"/>
          <w:szCs w:val="24"/>
        </w:rPr>
        <w:t>antidiabetikum</w:t>
      </w:r>
      <w:proofErr w:type="spellEnd"/>
      <w:r w:rsidRPr="000F5472">
        <w:rPr>
          <w:sz w:val="24"/>
          <w:szCs w:val="24"/>
        </w:rPr>
        <w:t xml:space="preserve"> påtænkes, bør betingelserne for anvendelse til patienter med nyreinsufficiens undersøges.</w:t>
      </w:r>
    </w:p>
    <w:p w14:paraId="2E5C9B79" w14:textId="77777777" w:rsidR="000F5472" w:rsidRPr="000F5472" w:rsidRDefault="000F5472" w:rsidP="000F5472">
      <w:pPr>
        <w:tabs>
          <w:tab w:val="left" w:pos="851"/>
        </w:tabs>
        <w:ind w:left="851"/>
        <w:rPr>
          <w:sz w:val="24"/>
          <w:szCs w:val="24"/>
        </w:rPr>
      </w:pPr>
    </w:p>
    <w:p w14:paraId="31C53D3C" w14:textId="77777777" w:rsidR="000F5472" w:rsidRPr="000F5472" w:rsidRDefault="000F5472" w:rsidP="000F5472">
      <w:pPr>
        <w:tabs>
          <w:tab w:val="left" w:pos="851"/>
        </w:tabs>
        <w:ind w:left="851"/>
        <w:rPr>
          <w:sz w:val="24"/>
          <w:szCs w:val="24"/>
        </w:rPr>
      </w:pPr>
      <w:r w:rsidRPr="000F5472">
        <w:rPr>
          <w:sz w:val="24"/>
          <w:szCs w:val="24"/>
        </w:rPr>
        <w:t>Til patienter med let nyreinsufficiens (</w:t>
      </w:r>
      <w:proofErr w:type="spellStart"/>
      <w:r w:rsidRPr="000F5472">
        <w:rPr>
          <w:sz w:val="24"/>
          <w:szCs w:val="24"/>
        </w:rPr>
        <w:t>glomerulær</w:t>
      </w:r>
      <w:proofErr w:type="spellEnd"/>
      <w:r w:rsidRPr="000F5472">
        <w:rPr>
          <w:sz w:val="24"/>
          <w:szCs w:val="24"/>
        </w:rPr>
        <w:t xml:space="preserve"> filtrationsrate [GFR] ≥ 60 til &lt; 90 ml/min) er dosisjustering ikke nødvendig.</w:t>
      </w:r>
    </w:p>
    <w:p w14:paraId="76CAFD30" w14:textId="77777777" w:rsidR="000F5472" w:rsidRPr="000F5472" w:rsidRDefault="000F5472" w:rsidP="000F5472">
      <w:pPr>
        <w:tabs>
          <w:tab w:val="left" w:pos="851"/>
        </w:tabs>
        <w:ind w:left="851"/>
        <w:rPr>
          <w:sz w:val="24"/>
          <w:szCs w:val="24"/>
        </w:rPr>
      </w:pPr>
    </w:p>
    <w:p w14:paraId="646004D5" w14:textId="77777777" w:rsidR="000F5472" w:rsidRPr="000F5472" w:rsidRDefault="000F5472" w:rsidP="000F5472">
      <w:pPr>
        <w:tabs>
          <w:tab w:val="left" w:pos="851"/>
        </w:tabs>
        <w:ind w:left="851"/>
        <w:rPr>
          <w:sz w:val="24"/>
          <w:szCs w:val="24"/>
        </w:rPr>
      </w:pPr>
      <w:r w:rsidRPr="000F5472">
        <w:rPr>
          <w:sz w:val="24"/>
          <w:szCs w:val="24"/>
        </w:rPr>
        <w:t>Til patienter med moderat nyreinsufficiens (GFR ≥ 45 til &lt; 60 ml/min) er dosisjustering ikke nødvendig.</w:t>
      </w:r>
    </w:p>
    <w:p w14:paraId="52A65CE2" w14:textId="77777777" w:rsidR="000F5472" w:rsidRPr="000F5472" w:rsidRDefault="000F5472" w:rsidP="000F5472">
      <w:pPr>
        <w:tabs>
          <w:tab w:val="left" w:pos="851"/>
        </w:tabs>
        <w:ind w:left="851"/>
        <w:rPr>
          <w:sz w:val="24"/>
          <w:szCs w:val="24"/>
        </w:rPr>
      </w:pPr>
    </w:p>
    <w:p w14:paraId="53462D75" w14:textId="77777777" w:rsidR="000F5472" w:rsidRPr="000F5472" w:rsidRDefault="000F5472" w:rsidP="000F5472">
      <w:pPr>
        <w:tabs>
          <w:tab w:val="left" w:pos="851"/>
        </w:tabs>
        <w:ind w:left="851"/>
        <w:rPr>
          <w:sz w:val="24"/>
          <w:szCs w:val="24"/>
        </w:rPr>
      </w:pPr>
      <w:r w:rsidRPr="000F5472">
        <w:rPr>
          <w:sz w:val="24"/>
          <w:szCs w:val="24"/>
        </w:rPr>
        <w:t xml:space="preserve">Til patienter med moderat nyreinsufficiens (GFR ≥ 30 til &lt; 45 ml/min) er dosis 50 mg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en gang dagligt.</w:t>
      </w:r>
    </w:p>
    <w:p w14:paraId="464AB5CC" w14:textId="77777777" w:rsidR="000F5472" w:rsidRPr="000F5472" w:rsidRDefault="000F5472" w:rsidP="000F5472">
      <w:pPr>
        <w:tabs>
          <w:tab w:val="left" w:pos="851"/>
        </w:tabs>
        <w:ind w:left="851"/>
        <w:rPr>
          <w:sz w:val="24"/>
          <w:szCs w:val="24"/>
        </w:rPr>
      </w:pPr>
    </w:p>
    <w:p w14:paraId="3B2D3A36" w14:textId="77777777" w:rsidR="000F5472" w:rsidRPr="000F5472" w:rsidRDefault="000F5472" w:rsidP="000F5472">
      <w:pPr>
        <w:tabs>
          <w:tab w:val="left" w:pos="851"/>
        </w:tabs>
        <w:ind w:left="851"/>
        <w:rPr>
          <w:sz w:val="24"/>
          <w:szCs w:val="24"/>
        </w:rPr>
      </w:pPr>
      <w:r w:rsidRPr="000F5472">
        <w:rPr>
          <w:sz w:val="24"/>
          <w:szCs w:val="24"/>
        </w:rPr>
        <w:t xml:space="preserve">Til patienter med svær nyreinsufficiens (GFR ≥ 15 til &lt; 30 ml/min) eller med nyresygdom i slutstadiet (ESRD) (GFR &lt; 15 ml/min), inklusive patienter som har behov for hæmodialyse eller </w:t>
      </w:r>
      <w:proofErr w:type="spellStart"/>
      <w:r w:rsidRPr="000F5472">
        <w:rPr>
          <w:sz w:val="24"/>
          <w:szCs w:val="24"/>
        </w:rPr>
        <w:t>peritonealdialyse</w:t>
      </w:r>
      <w:proofErr w:type="spellEnd"/>
      <w:r w:rsidRPr="000F5472">
        <w:rPr>
          <w:sz w:val="24"/>
          <w:szCs w:val="24"/>
        </w:rPr>
        <w:t xml:space="preserve">, er dosis 25 mg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en gang dagligt. Behandlingen kan administreres uden at tage hensyn til tidspunktet for dialyse.</w:t>
      </w:r>
    </w:p>
    <w:p w14:paraId="511F010F" w14:textId="77777777" w:rsidR="000F5472" w:rsidRPr="000F5472" w:rsidRDefault="000F5472" w:rsidP="000F5472">
      <w:pPr>
        <w:tabs>
          <w:tab w:val="left" w:pos="851"/>
        </w:tabs>
        <w:ind w:left="851"/>
        <w:rPr>
          <w:sz w:val="24"/>
          <w:szCs w:val="24"/>
        </w:rPr>
      </w:pPr>
    </w:p>
    <w:p w14:paraId="2D787551" w14:textId="77777777" w:rsidR="000F5472" w:rsidRPr="000F5472" w:rsidRDefault="000F5472" w:rsidP="000F5472">
      <w:pPr>
        <w:tabs>
          <w:tab w:val="left" w:pos="851"/>
        </w:tabs>
        <w:ind w:left="851"/>
        <w:rPr>
          <w:sz w:val="24"/>
          <w:szCs w:val="24"/>
        </w:rPr>
      </w:pPr>
      <w:r w:rsidRPr="000F5472">
        <w:rPr>
          <w:sz w:val="24"/>
          <w:szCs w:val="24"/>
        </w:rPr>
        <w:t xml:space="preserve">Da der er dosisjustering på baggrund af nyrefunktionen, anbefales det at vurdere nyrefunktionen før initiering af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og med mellemrum derefter.</w:t>
      </w:r>
    </w:p>
    <w:p w14:paraId="0139683D" w14:textId="77777777" w:rsidR="000F5472" w:rsidRPr="000F5472" w:rsidRDefault="000F5472" w:rsidP="000F5472">
      <w:pPr>
        <w:tabs>
          <w:tab w:val="left" w:pos="851"/>
        </w:tabs>
        <w:ind w:left="851"/>
        <w:rPr>
          <w:sz w:val="24"/>
          <w:szCs w:val="24"/>
        </w:rPr>
      </w:pPr>
    </w:p>
    <w:p w14:paraId="1260AE66" w14:textId="77777777" w:rsidR="000F5472" w:rsidRPr="000F5472" w:rsidRDefault="000F5472" w:rsidP="000F5472">
      <w:pPr>
        <w:tabs>
          <w:tab w:val="left" w:pos="851"/>
        </w:tabs>
        <w:ind w:left="851"/>
        <w:rPr>
          <w:i/>
          <w:iCs/>
          <w:sz w:val="24"/>
          <w:szCs w:val="24"/>
        </w:rPr>
      </w:pPr>
      <w:r w:rsidRPr="000F5472">
        <w:rPr>
          <w:i/>
          <w:iCs/>
          <w:sz w:val="24"/>
          <w:szCs w:val="24"/>
        </w:rPr>
        <w:t>Leverinsufficiens</w:t>
      </w:r>
    </w:p>
    <w:p w14:paraId="220F486A" w14:textId="77777777" w:rsidR="000F5472" w:rsidRPr="000F5472" w:rsidRDefault="000F5472" w:rsidP="000F5472">
      <w:pPr>
        <w:tabs>
          <w:tab w:val="left" w:pos="851"/>
        </w:tabs>
        <w:ind w:left="851"/>
        <w:rPr>
          <w:sz w:val="24"/>
          <w:szCs w:val="24"/>
        </w:rPr>
      </w:pPr>
      <w:r w:rsidRPr="000F5472">
        <w:rPr>
          <w:sz w:val="24"/>
          <w:szCs w:val="24"/>
        </w:rPr>
        <w:t xml:space="preserve">Dosisjustering er ikke nødvendig til patienter med let til moderat leverinsufficiens.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er ikke undersøgt hos patienter med svær leverinsufficiens, og der bør udvises forsigtighed (se pkt. 5.2).</w:t>
      </w:r>
    </w:p>
    <w:p w14:paraId="3F59C2D1" w14:textId="77777777" w:rsidR="000F5472" w:rsidRPr="000F5472" w:rsidRDefault="000F5472" w:rsidP="000F5472">
      <w:pPr>
        <w:tabs>
          <w:tab w:val="left" w:pos="851"/>
        </w:tabs>
        <w:ind w:left="851"/>
        <w:rPr>
          <w:sz w:val="24"/>
          <w:szCs w:val="24"/>
        </w:rPr>
      </w:pPr>
      <w:r w:rsidRPr="000F5472">
        <w:rPr>
          <w:sz w:val="24"/>
          <w:szCs w:val="24"/>
        </w:rPr>
        <w:t xml:space="preserve"> </w:t>
      </w:r>
    </w:p>
    <w:p w14:paraId="7193A5E0" w14:textId="77777777" w:rsidR="000F5472" w:rsidRPr="000F5472" w:rsidRDefault="000F5472" w:rsidP="000F5472">
      <w:pPr>
        <w:tabs>
          <w:tab w:val="left" w:pos="851"/>
        </w:tabs>
        <w:ind w:left="851"/>
        <w:rPr>
          <w:sz w:val="24"/>
          <w:szCs w:val="24"/>
        </w:rPr>
      </w:pPr>
      <w:r w:rsidRPr="000F5472">
        <w:rPr>
          <w:sz w:val="24"/>
          <w:szCs w:val="24"/>
        </w:rPr>
        <w:t xml:space="preserve">Da </w:t>
      </w:r>
      <w:proofErr w:type="spellStart"/>
      <w:r w:rsidRPr="000F5472">
        <w:rPr>
          <w:sz w:val="24"/>
          <w:szCs w:val="24"/>
        </w:rPr>
        <w:t>sitagliptin</w:t>
      </w:r>
      <w:proofErr w:type="spellEnd"/>
      <w:r w:rsidRPr="000F5472">
        <w:rPr>
          <w:sz w:val="24"/>
          <w:szCs w:val="24"/>
        </w:rPr>
        <w:t xml:space="preserve"> primært udskilles via nyrerne, forventes det imidlertid ikke, at svær leverinsufficiens vil påvirke </w:t>
      </w:r>
      <w:proofErr w:type="spellStart"/>
      <w:r w:rsidRPr="000F5472">
        <w:rPr>
          <w:sz w:val="24"/>
          <w:szCs w:val="24"/>
        </w:rPr>
        <w:t>sitagliptins</w:t>
      </w:r>
      <w:proofErr w:type="spellEnd"/>
      <w:r w:rsidRPr="000F5472">
        <w:rPr>
          <w:sz w:val="24"/>
          <w:szCs w:val="24"/>
        </w:rPr>
        <w:t xml:space="preserve"> farmakokinetik.</w:t>
      </w:r>
    </w:p>
    <w:p w14:paraId="484F71B8" w14:textId="77777777" w:rsidR="000F5472" w:rsidRPr="000F5472" w:rsidRDefault="000F5472" w:rsidP="000F5472">
      <w:pPr>
        <w:tabs>
          <w:tab w:val="left" w:pos="851"/>
        </w:tabs>
        <w:ind w:left="851"/>
        <w:rPr>
          <w:sz w:val="24"/>
          <w:szCs w:val="24"/>
        </w:rPr>
      </w:pPr>
    </w:p>
    <w:p w14:paraId="2ACA76B0" w14:textId="77777777" w:rsidR="000F5472" w:rsidRPr="000F5472" w:rsidRDefault="000F5472" w:rsidP="000F5472">
      <w:pPr>
        <w:tabs>
          <w:tab w:val="left" w:pos="851"/>
        </w:tabs>
        <w:ind w:left="851"/>
        <w:rPr>
          <w:i/>
          <w:iCs/>
          <w:sz w:val="24"/>
          <w:szCs w:val="24"/>
        </w:rPr>
      </w:pPr>
      <w:r w:rsidRPr="000F5472">
        <w:rPr>
          <w:i/>
          <w:iCs/>
          <w:sz w:val="24"/>
          <w:szCs w:val="24"/>
        </w:rPr>
        <w:t>Ældre</w:t>
      </w:r>
    </w:p>
    <w:p w14:paraId="3438056C" w14:textId="77777777" w:rsidR="000F5472" w:rsidRPr="000F5472" w:rsidRDefault="000F5472" w:rsidP="000F5472">
      <w:pPr>
        <w:tabs>
          <w:tab w:val="left" w:pos="851"/>
        </w:tabs>
        <w:ind w:left="851"/>
        <w:rPr>
          <w:sz w:val="24"/>
          <w:szCs w:val="24"/>
        </w:rPr>
      </w:pPr>
      <w:r w:rsidRPr="000F5472">
        <w:rPr>
          <w:sz w:val="24"/>
          <w:szCs w:val="24"/>
        </w:rPr>
        <w:t>Dosisjustering er ikke nødvendig på basis af alder.</w:t>
      </w:r>
    </w:p>
    <w:p w14:paraId="6434BEA6" w14:textId="77777777" w:rsidR="000F5472" w:rsidRPr="000F5472" w:rsidRDefault="000F5472" w:rsidP="000F5472">
      <w:pPr>
        <w:tabs>
          <w:tab w:val="left" w:pos="851"/>
        </w:tabs>
        <w:ind w:left="851"/>
        <w:rPr>
          <w:sz w:val="24"/>
          <w:szCs w:val="24"/>
        </w:rPr>
      </w:pPr>
    </w:p>
    <w:p w14:paraId="5682CBE8" w14:textId="77777777" w:rsidR="000F5472" w:rsidRPr="000F5472" w:rsidRDefault="000F5472" w:rsidP="000F5472">
      <w:pPr>
        <w:tabs>
          <w:tab w:val="left" w:pos="851"/>
        </w:tabs>
        <w:ind w:left="851"/>
        <w:rPr>
          <w:i/>
          <w:iCs/>
          <w:sz w:val="24"/>
          <w:szCs w:val="24"/>
        </w:rPr>
      </w:pPr>
      <w:r w:rsidRPr="000F5472">
        <w:rPr>
          <w:i/>
          <w:iCs/>
          <w:sz w:val="24"/>
          <w:szCs w:val="24"/>
        </w:rPr>
        <w:t>Pædiatrisk population</w:t>
      </w:r>
    </w:p>
    <w:p w14:paraId="72D568CE" w14:textId="77777777" w:rsidR="000F5472" w:rsidRPr="000F5472" w:rsidRDefault="000F5472" w:rsidP="000F5472">
      <w:pPr>
        <w:tabs>
          <w:tab w:val="left" w:pos="851"/>
        </w:tabs>
        <w:ind w:left="851"/>
        <w:rPr>
          <w:sz w:val="24"/>
          <w:szCs w:val="24"/>
        </w:rPr>
      </w:pPr>
      <w:proofErr w:type="spellStart"/>
      <w:r w:rsidRPr="000F5472">
        <w:rPr>
          <w:sz w:val="24"/>
          <w:szCs w:val="24"/>
        </w:rPr>
        <w:t>Sitagliptin</w:t>
      </w:r>
      <w:proofErr w:type="spellEnd"/>
      <w:r w:rsidRPr="000F5472">
        <w:rPr>
          <w:sz w:val="24"/>
          <w:szCs w:val="24"/>
        </w:rPr>
        <w:t xml:space="preserve"> må ikke anvendes til børn og unge i alderen 10 til 17 år på grund af utilstrækkelig virkning. De foreliggende data er beskrevet i pkt. 4.8, 5.1 og 5.2. </w:t>
      </w:r>
      <w:proofErr w:type="spellStart"/>
      <w:r w:rsidRPr="000F5472">
        <w:rPr>
          <w:sz w:val="24"/>
          <w:szCs w:val="24"/>
        </w:rPr>
        <w:t>Sitagliptin</w:t>
      </w:r>
      <w:proofErr w:type="spellEnd"/>
      <w:r w:rsidRPr="000F5472">
        <w:rPr>
          <w:sz w:val="24"/>
          <w:szCs w:val="24"/>
        </w:rPr>
        <w:t xml:space="preserve"> er ikke undersøgt hos pædiatriske patienter under 10 år.</w:t>
      </w:r>
    </w:p>
    <w:p w14:paraId="0022ABC3" w14:textId="77777777" w:rsidR="000F5472" w:rsidRPr="000F5472" w:rsidRDefault="000F5472" w:rsidP="000F5472">
      <w:pPr>
        <w:tabs>
          <w:tab w:val="left" w:pos="851"/>
        </w:tabs>
        <w:ind w:left="851"/>
        <w:rPr>
          <w:sz w:val="24"/>
          <w:szCs w:val="24"/>
        </w:rPr>
      </w:pPr>
    </w:p>
    <w:p w14:paraId="4D24144E" w14:textId="77777777" w:rsidR="000F5472" w:rsidRPr="000F5472" w:rsidRDefault="000F5472" w:rsidP="000F5472">
      <w:pPr>
        <w:tabs>
          <w:tab w:val="left" w:pos="851"/>
        </w:tabs>
        <w:ind w:left="851"/>
        <w:rPr>
          <w:sz w:val="24"/>
          <w:szCs w:val="24"/>
          <w:u w:val="single"/>
        </w:rPr>
      </w:pPr>
      <w:r w:rsidRPr="000F5472">
        <w:rPr>
          <w:sz w:val="24"/>
          <w:szCs w:val="24"/>
          <w:u w:val="single"/>
        </w:rPr>
        <w:t>Administration</w:t>
      </w:r>
    </w:p>
    <w:p w14:paraId="7C2BE494" w14:textId="77777777" w:rsidR="000F5472" w:rsidRPr="000F5472" w:rsidRDefault="000F5472" w:rsidP="000F5472">
      <w:pPr>
        <w:tabs>
          <w:tab w:val="left" w:pos="851"/>
        </w:tabs>
        <w:ind w:left="851"/>
        <w:rPr>
          <w:sz w:val="24"/>
          <w:szCs w:val="24"/>
        </w:rPr>
      </w:pP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kan tages med eller uden mad.</w:t>
      </w:r>
    </w:p>
    <w:p w14:paraId="5D3B8DC5" w14:textId="77777777" w:rsidR="009260DE" w:rsidRPr="00C84483" w:rsidRDefault="009260DE" w:rsidP="009260DE">
      <w:pPr>
        <w:tabs>
          <w:tab w:val="left" w:pos="851"/>
        </w:tabs>
        <w:ind w:left="851"/>
        <w:rPr>
          <w:sz w:val="24"/>
          <w:szCs w:val="24"/>
        </w:rPr>
      </w:pPr>
    </w:p>
    <w:p w14:paraId="50BAB75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44B76D8" w14:textId="77777777" w:rsidR="000F5472" w:rsidRPr="000F5472" w:rsidRDefault="000F5472" w:rsidP="000F5472">
      <w:pPr>
        <w:tabs>
          <w:tab w:val="left" w:pos="851"/>
        </w:tabs>
        <w:ind w:left="851"/>
        <w:rPr>
          <w:sz w:val="24"/>
          <w:szCs w:val="24"/>
        </w:rPr>
      </w:pPr>
      <w:r w:rsidRPr="000F5472">
        <w:rPr>
          <w:sz w:val="24"/>
          <w:szCs w:val="24"/>
        </w:rPr>
        <w:t>Overfølsomhed over for det aktive stof eller over for et eller flere af hjælpestofferne anført i pkt. 6.1 (se pkt. 4.4 og 4.8).</w:t>
      </w:r>
    </w:p>
    <w:p w14:paraId="200BD360" w14:textId="2A2C201C" w:rsidR="0030235A" w:rsidRDefault="0030235A">
      <w:pPr>
        <w:rPr>
          <w:sz w:val="24"/>
          <w:szCs w:val="24"/>
        </w:rPr>
      </w:pPr>
      <w:r>
        <w:rPr>
          <w:sz w:val="24"/>
          <w:szCs w:val="24"/>
        </w:rPr>
        <w:br w:type="page"/>
      </w:r>
    </w:p>
    <w:p w14:paraId="79D8A99C" w14:textId="77777777" w:rsidR="009260DE" w:rsidRPr="00C84483" w:rsidRDefault="009260DE" w:rsidP="009260DE">
      <w:pPr>
        <w:tabs>
          <w:tab w:val="left" w:pos="851"/>
        </w:tabs>
        <w:ind w:left="851"/>
        <w:rPr>
          <w:sz w:val="24"/>
          <w:szCs w:val="24"/>
        </w:rPr>
      </w:pPr>
    </w:p>
    <w:p w14:paraId="00B8D96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53F2214" w14:textId="77777777" w:rsidR="000F5472" w:rsidRPr="000F5472" w:rsidRDefault="000F5472" w:rsidP="000F5472">
      <w:pPr>
        <w:tabs>
          <w:tab w:val="left" w:pos="851"/>
        </w:tabs>
        <w:ind w:left="851"/>
        <w:rPr>
          <w:sz w:val="24"/>
          <w:szCs w:val="24"/>
        </w:rPr>
      </w:pPr>
    </w:p>
    <w:p w14:paraId="120B4C22" w14:textId="77777777" w:rsidR="000F5472" w:rsidRPr="000F5472" w:rsidRDefault="000F5472" w:rsidP="000F5472">
      <w:pPr>
        <w:tabs>
          <w:tab w:val="left" w:pos="851"/>
        </w:tabs>
        <w:ind w:left="851"/>
        <w:rPr>
          <w:sz w:val="24"/>
          <w:szCs w:val="24"/>
          <w:u w:val="single"/>
        </w:rPr>
      </w:pPr>
      <w:r w:rsidRPr="000F5472">
        <w:rPr>
          <w:sz w:val="24"/>
          <w:szCs w:val="24"/>
          <w:u w:val="single"/>
        </w:rPr>
        <w:t>Generelt</w:t>
      </w:r>
    </w:p>
    <w:p w14:paraId="5674795C" w14:textId="77777777" w:rsidR="000F5472" w:rsidRPr="000F5472" w:rsidRDefault="000F5472" w:rsidP="000F5472">
      <w:pPr>
        <w:tabs>
          <w:tab w:val="left" w:pos="851"/>
        </w:tabs>
        <w:ind w:left="851"/>
        <w:rPr>
          <w:sz w:val="24"/>
          <w:szCs w:val="24"/>
        </w:rPr>
      </w:pP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bør ikke anvendes til patienter med type 1-diabetes eller til behandling af diabetisk </w:t>
      </w:r>
      <w:proofErr w:type="spellStart"/>
      <w:r w:rsidRPr="000F5472">
        <w:rPr>
          <w:sz w:val="24"/>
          <w:szCs w:val="24"/>
        </w:rPr>
        <w:t>ketoacidose</w:t>
      </w:r>
      <w:proofErr w:type="spellEnd"/>
      <w:r w:rsidRPr="000F5472">
        <w:rPr>
          <w:sz w:val="24"/>
          <w:szCs w:val="24"/>
        </w:rPr>
        <w:t>.</w:t>
      </w:r>
    </w:p>
    <w:p w14:paraId="4D60A36D" w14:textId="77777777" w:rsidR="000F5472" w:rsidRPr="000F5472" w:rsidRDefault="000F5472" w:rsidP="000F5472">
      <w:pPr>
        <w:tabs>
          <w:tab w:val="left" w:pos="851"/>
        </w:tabs>
        <w:ind w:left="851"/>
        <w:rPr>
          <w:sz w:val="24"/>
          <w:szCs w:val="24"/>
        </w:rPr>
      </w:pPr>
    </w:p>
    <w:p w14:paraId="0F6A60BF" w14:textId="77777777" w:rsidR="000F5472" w:rsidRPr="000F5472" w:rsidRDefault="000F5472" w:rsidP="000F5472">
      <w:pPr>
        <w:tabs>
          <w:tab w:val="left" w:pos="851"/>
        </w:tabs>
        <w:ind w:left="851"/>
        <w:rPr>
          <w:sz w:val="24"/>
          <w:szCs w:val="24"/>
          <w:u w:val="single"/>
        </w:rPr>
      </w:pPr>
      <w:r w:rsidRPr="000F5472">
        <w:rPr>
          <w:sz w:val="24"/>
          <w:szCs w:val="24"/>
          <w:u w:val="single"/>
        </w:rPr>
        <w:t xml:space="preserve">Akut </w:t>
      </w:r>
      <w:proofErr w:type="spellStart"/>
      <w:r w:rsidRPr="000F5472">
        <w:rPr>
          <w:sz w:val="24"/>
          <w:szCs w:val="24"/>
          <w:u w:val="single"/>
        </w:rPr>
        <w:t>pankreatitis</w:t>
      </w:r>
      <w:proofErr w:type="spellEnd"/>
    </w:p>
    <w:p w14:paraId="7F0E322F" w14:textId="77777777" w:rsidR="000F5472" w:rsidRPr="000F5472" w:rsidRDefault="000F5472" w:rsidP="000F5472">
      <w:pPr>
        <w:tabs>
          <w:tab w:val="left" w:pos="851"/>
        </w:tabs>
        <w:ind w:left="851"/>
        <w:rPr>
          <w:sz w:val="24"/>
          <w:szCs w:val="24"/>
        </w:rPr>
      </w:pPr>
      <w:r w:rsidRPr="000F5472">
        <w:rPr>
          <w:sz w:val="24"/>
          <w:szCs w:val="24"/>
        </w:rPr>
        <w:t xml:space="preserve">Brug af DPP-4-hæmmere er sat i forbindelse med en risiko for udvikling af akut </w:t>
      </w:r>
      <w:proofErr w:type="spellStart"/>
      <w:r w:rsidRPr="000F5472">
        <w:rPr>
          <w:sz w:val="24"/>
          <w:szCs w:val="24"/>
        </w:rPr>
        <w:t>pankreatitis</w:t>
      </w:r>
      <w:proofErr w:type="spellEnd"/>
      <w:r w:rsidRPr="000F5472">
        <w:rPr>
          <w:sz w:val="24"/>
          <w:szCs w:val="24"/>
        </w:rPr>
        <w:t xml:space="preserve">. Patienterne bør informeres om det karakteristiske symptom på akut </w:t>
      </w:r>
      <w:proofErr w:type="spellStart"/>
      <w:r w:rsidRPr="000F5472">
        <w:rPr>
          <w:sz w:val="24"/>
          <w:szCs w:val="24"/>
        </w:rPr>
        <w:t>pankreatitis</w:t>
      </w:r>
      <w:proofErr w:type="spellEnd"/>
      <w:r w:rsidRPr="000F5472">
        <w:rPr>
          <w:sz w:val="24"/>
          <w:szCs w:val="24"/>
        </w:rPr>
        <w:t xml:space="preserve">: Vedvarende svære mavesmerter. Resolution af </w:t>
      </w:r>
      <w:proofErr w:type="spellStart"/>
      <w:r w:rsidRPr="000F5472">
        <w:rPr>
          <w:sz w:val="24"/>
          <w:szCs w:val="24"/>
        </w:rPr>
        <w:t>pankreatitis</w:t>
      </w:r>
      <w:proofErr w:type="spellEnd"/>
      <w:r w:rsidRPr="000F5472">
        <w:rPr>
          <w:sz w:val="24"/>
          <w:szCs w:val="24"/>
        </w:rPr>
        <w:t xml:space="preserve"> er set efter </w:t>
      </w:r>
      <w:proofErr w:type="spellStart"/>
      <w:r w:rsidRPr="000F5472">
        <w:rPr>
          <w:sz w:val="24"/>
          <w:szCs w:val="24"/>
        </w:rPr>
        <w:t>seponering</w:t>
      </w:r>
      <w:proofErr w:type="spellEnd"/>
      <w:r w:rsidRPr="000F5472">
        <w:rPr>
          <w:sz w:val="24"/>
          <w:szCs w:val="24"/>
        </w:rPr>
        <w:t xml:space="preserve"> af </w:t>
      </w:r>
      <w:proofErr w:type="spellStart"/>
      <w:r w:rsidRPr="000F5472">
        <w:rPr>
          <w:sz w:val="24"/>
          <w:szCs w:val="24"/>
        </w:rPr>
        <w:t>sitagliptin</w:t>
      </w:r>
      <w:proofErr w:type="spellEnd"/>
      <w:r w:rsidRPr="000F5472">
        <w:rPr>
          <w:sz w:val="24"/>
          <w:szCs w:val="24"/>
        </w:rPr>
        <w:t xml:space="preserve"> (med eller uden understøttende behandling), men der er indberettet meget sjældne tilfælde af </w:t>
      </w:r>
      <w:proofErr w:type="spellStart"/>
      <w:r w:rsidRPr="000F5472">
        <w:rPr>
          <w:sz w:val="24"/>
          <w:szCs w:val="24"/>
        </w:rPr>
        <w:t>nekrotiserende</w:t>
      </w:r>
      <w:proofErr w:type="spellEnd"/>
      <w:r w:rsidRPr="000F5472">
        <w:rPr>
          <w:sz w:val="24"/>
          <w:szCs w:val="24"/>
        </w:rPr>
        <w:t xml:space="preserve"> eller </w:t>
      </w:r>
      <w:proofErr w:type="spellStart"/>
      <w:r w:rsidRPr="000F5472">
        <w:rPr>
          <w:sz w:val="24"/>
          <w:szCs w:val="24"/>
        </w:rPr>
        <w:t>hæmoragisk</w:t>
      </w:r>
      <w:proofErr w:type="spellEnd"/>
      <w:r w:rsidRPr="000F5472">
        <w:rPr>
          <w:sz w:val="24"/>
          <w:szCs w:val="24"/>
        </w:rPr>
        <w:t xml:space="preserve"> </w:t>
      </w:r>
      <w:proofErr w:type="spellStart"/>
      <w:r w:rsidRPr="000F5472">
        <w:rPr>
          <w:sz w:val="24"/>
          <w:szCs w:val="24"/>
        </w:rPr>
        <w:t>pankreatitis</w:t>
      </w:r>
      <w:proofErr w:type="spellEnd"/>
      <w:r w:rsidRPr="000F5472">
        <w:rPr>
          <w:sz w:val="24"/>
          <w:szCs w:val="24"/>
        </w:rPr>
        <w:t xml:space="preserve"> og/eller død. Hvis der er mistanke om </w:t>
      </w:r>
      <w:proofErr w:type="spellStart"/>
      <w:r w:rsidRPr="000F5472">
        <w:rPr>
          <w:sz w:val="24"/>
          <w:szCs w:val="24"/>
        </w:rPr>
        <w:t>pankreatitis</w:t>
      </w:r>
      <w:proofErr w:type="spellEnd"/>
      <w:r w:rsidRPr="000F5472">
        <w:rPr>
          <w:sz w:val="24"/>
          <w:szCs w:val="24"/>
        </w:rPr>
        <w:t xml:space="preserve">, bør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og andre potentielt suspekte lægemidler seponeres, og hvis mistanken om akut </w:t>
      </w:r>
      <w:proofErr w:type="spellStart"/>
      <w:r w:rsidRPr="000F5472">
        <w:rPr>
          <w:sz w:val="24"/>
          <w:szCs w:val="24"/>
        </w:rPr>
        <w:t>pankreatitis</w:t>
      </w:r>
      <w:proofErr w:type="spellEnd"/>
      <w:r w:rsidRPr="000F5472">
        <w:rPr>
          <w:sz w:val="24"/>
          <w:szCs w:val="24"/>
        </w:rPr>
        <w:t xml:space="preserve"> bekræftes, må behandlingen med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ikke genoptages.</w:t>
      </w:r>
    </w:p>
    <w:p w14:paraId="5EA83B1F" w14:textId="77777777" w:rsidR="000F5472" w:rsidRPr="000F5472" w:rsidRDefault="000F5472" w:rsidP="000F5472">
      <w:pPr>
        <w:tabs>
          <w:tab w:val="left" w:pos="851"/>
        </w:tabs>
        <w:ind w:left="851"/>
        <w:rPr>
          <w:sz w:val="24"/>
          <w:szCs w:val="24"/>
        </w:rPr>
      </w:pPr>
      <w:r w:rsidRPr="000F5472">
        <w:rPr>
          <w:sz w:val="24"/>
          <w:szCs w:val="24"/>
        </w:rPr>
        <w:t xml:space="preserve">Der skal udvises forsigtighed hos patienter med </w:t>
      </w:r>
      <w:proofErr w:type="spellStart"/>
      <w:r w:rsidRPr="000F5472">
        <w:rPr>
          <w:sz w:val="24"/>
          <w:szCs w:val="24"/>
        </w:rPr>
        <w:t>pankreatitis</w:t>
      </w:r>
      <w:proofErr w:type="spellEnd"/>
      <w:r w:rsidRPr="000F5472">
        <w:rPr>
          <w:sz w:val="24"/>
          <w:szCs w:val="24"/>
        </w:rPr>
        <w:t xml:space="preserve"> i anamnesen.</w:t>
      </w:r>
    </w:p>
    <w:p w14:paraId="76F0EC73" w14:textId="77777777" w:rsidR="000F5472" w:rsidRPr="000F5472" w:rsidRDefault="000F5472" w:rsidP="000F5472">
      <w:pPr>
        <w:tabs>
          <w:tab w:val="left" w:pos="851"/>
        </w:tabs>
        <w:ind w:left="851"/>
        <w:rPr>
          <w:sz w:val="24"/>
          <w:szCs w:val="24"/>
        </w:rPr>
      </w:pPr>
    </w:p>
    <w:p w14:paraId="13ABEFF7" w14:textId="77777777" w:rsidR="000F5472" w:rsidRPr="000F5472" w:rsidRDefault="000F5472" w:rsidP="000F5472">
      <w:pPr>
        <w:tabs>
          <w:tab w:val="left" w:pos="851"/>
        </w:tabs>
        <w:ind w:left="851"/>
        <w:rPr>
          <w:sz w:val="24"/>
          <w:szCs w:val="24"/>
          <w:u w:val="single"/>
        </w:rPr>
      </w:pPr>
      <w:r w:rsidRPr="000F5472">
        <w:rPr>
          <w:sz w:val="24"/>
          <w:szCs w:val="24"/>
          <w:u w:val="single"/>
        </w:rPr>
        <w:t xml:space="preserve">Hypoglykæmi i kombination med andre </w:t>
      </w:r>
      <w:proofErr w:type="spellStart"/>
      <w:r w:rsidRPr="000F5472">
        <w:rPr>
          <w:sz w:val="24"/>
          <w:szCs w:val="24"/>
          <w:u w:val="single"/>
        </w:rPr>
        <w:t>anti-hyperglykæmiske</w:t>
      </w:r>
      <w:proofErr w:type="spellEnd"/>
      <w:r w:rsidRPr="000F5472">
        <w:rPr>
          <w:sz w:val="24"/>
          <w:szCs w:val="24"/>
          <w:u w:val="single"/>
        </w:rPr>
        <w:t xml:space="preserve"> lægemidler</w:t>
      </w:r>
    </w:p>
    <w:p w14:paraId="462197B1" w14:textId="77777777" w:rsidR="000F5472" w:rsidRPr="000F5472" w:rsidRDefault="000F5472" w:rsidP="000F5472">
      <w:pPr>
        <w:tabs>
          <w:tab w:val="left" w:pos="851"/>
        </w:tabs>
        <w:ind w:left="851"/>
        <w:rPr>
          <w:sz w:val="24"/>
          <w:szCs w:val="24"/>
        </w:rPr>
      </w:pPr>
      <w:r w:rsidRPr="000F5472">
        <w:rPr>
          <w:sz w:val="24"/>
          <w:szCs w:val="24"/>
        </w:rPr>
        <w:t xml:space="preserve">Der er foretaget kliniske undersøgelser af </w:t>
      </w:r>
      <w:proofErr w:type="spellStart"/>
      <w:r w:rsidRPr="000F5472">
        <w:rPr>
          <w:sz w:val="24"/>
          <w:szCs w:val="24"/>
        </w:rPr>
        <w:t>sitagliptin</w:t>
      </w:r>
      <w:proofErr w:type="spellEnd"/>
      <w:r w:rsidRPr="000F5472">
        <w:rPr>
          <w:sz w:val="24"/>
          <w:szCs w:val="24"/>
        </w:rPr>
        <w:t xml:space="preserve"> som monoterapi og som del af kombinationsbehandling med lægemidler, der ikke er kendt for at medføre hypoglykæmi (dvs. </w:t>
      </w:r>
      <w:proofErr w:type="spellStart"/>
      <w:r w:rsidRPr="000F5472">
        <w:rPr>
          <w:sz w:val="24"/>
          <w:szCs w:val="24"/>
        </w:rPr>
        <w:t>metformin</w:t>
      </w:r>
      <w:proofErr w:type="spellEnd"/>
      <w:r w:rsidRPr="000F5472">
        <w:rPr>
          <w:sz w:val="24"/>
          <w:szCs w:val="24"/>
        </w:rPr>
        <w:t xml:space="preserve"> og/eller en </w:t>
      </w:r>
      <w:proofErr w:type="spellStart"/>
      <w:r w:rsidRPr="000F5472">
        <w:rPr>
          <w:sz w:val="24"/>
          <w:szCs w:val="24"/>
        </w:rPr>
        <w:t>PPARγ</w:t>
      </w:r>
      <w:proofErr w:type="spellEnd"/>
      <w:r w:rsidRPr="000F5472">
        <w:rPr>
          <w:sz w:val="24"/>
          <w:szCs w:val="24"/>
        </w:rPr>
        <w:t xml:space="preserve">-agonist). Her var hyppigheden for hypoglykæmi, der er rapporteret for de patienter, der fik </w:t>
      </w:r>
      <w:proofErr w:type="spellStart"/>
      <w:r w:rsidRPr="000F5472">
        <w:rPr>
          <w:sz w:val="24"/>
          <w:szCs w:val="24"/>
        </w:rPr>
        <w:t>sitagliptin</w:t>
      </w:r>
      <w:proofErr w:type="spellEnd"/>
      <w:r w:rsidRPr="000F5472">
        <w:rPr>
          <w:sz w:val="24"/>
          <w:szCs w:val="24"/>
        </w:rPr>
        <w:t>, den samme som hos de patienter, der fik placebo.</w:t>
      </w:r>
    </w:p>
    <w:p w14:paraId="11C54DA6" w14:textId="77777777" w:rsidR="000F5472" w:rsidRPr="000F5472" w:rsidRDefault="000F5472" w:rsidP="000F5472">
      <w:pPr>
        <w:tabs>
          <w:tab w:val="left" w:pos="851"/>
        </w:tabs>
        <w:ind w:left="851"/>
        <w:rPr>
          <w:sz w:val="24"/>
          <w:szCs w:val="24"/>
        </w:rPr>
      </w:pPr>
      <w:r w:rsidRPr="000F5472">
        <w:rPr>
          <w:sz w:val="24"/>
          <w:szCs w:val="24"/>
        </w:rPr>
        <w:t xml:space="preserve">Hypoglykæmi er blevet observeret, når </w:t>
      </w:r>
      <w:proofErr w:type="spellStart"/>
      <w:r w:rsidRPr="000F5472">
        <w:rPr>
          <w:sz w:val="24"/>
          <w:szCs w:val="24"/>
        </w:rPr>
        <w:t>sitagliptin</w:t>
      </w:r>
      <w:proofErr w:type="spellEnd"/>
      <w:r w:rsidRPr="000F5472">
        <w:rPr>
          <w:sz w:val="24"/>
          <w:szCs w:val="24"/>
        </w:rPr>
        <w:t xml:space="preserve"> blev anvendt i kombination med insulin eller et </w:t>
      </w:r>
      <w:proofErr w:type="spellStart"/>
      <w:r w:rsidRPr="000F5472">
        <w:rPr>
          <w:sz w:val="24"/>
          <w:szCs w:val="24"/>
        </w:rPr>
        <w:t>sulfonylurinstof</w:t>
      </w:r>
      <w:proofErr w:type="spellEnd"/>
      <w:r w:rsidRPr="000F5472">
        <w:rPr>
          <w:sz w:val="24"/>
          <w:szCs w:val="24"/>
        </w:rPr>
        <w:t xml:space="preserve">. Derfor bør en lavere dosis af </w:t>
      </w:r>
      <w:proofErr w:type="spellStart"/>
      <w:r w:rsidRPr="000F5472">
        <w:rPr>
          <w:sz w:val="24"/>
          <w:szCs w:val="24"/>
        </w:rPr>
        <w:t>sulfonylurinstof</w:t>
      </w:r>
      <w:proofErr w:type="spellEnd"/>
      <w:r w:rsidRPr="000F5472">
        <w:rPr>
          <w:sz w:val="24"/>
          <w:szCs w:val="24"/>
        </w:rPr>
        <w:t xml:space="preserve"> eller insulin overvejes for at reducere risikoen for hypoglykæmi (se pkt. 4.2).</w:t>
      </w:r>
    </w:p>
    <w:p w14:paraId="5940A5CE" w14:textId="77777777" w:rsidR="000F5472" w:rsidRPr="000F5472" w:rsidRDefault="000F5472" w:rsidP="000F5472">
      <w:pPr>
        <w:tabs>
          <w:tab w:val="left" w:pos="851"/>
        </w:tabs>
        <w:ind w:left="851"/>
        <w:rPr>
          <w:sz w:val="24"/>
          <w:szCs w:val="24"/>
        </w:rPr>
      </w:pPr>
    </w:p>
    <w:p w14:paraId="2025BB23" w14:textId="77777777" w:rsidR="000F5472" w:rsidRPr="000F5472" w:rsidRDefault="000F5472" w:rsidP="000F5472">
      <w:pPr>
        <w:tabs>
          <w:tab w:val="left" w:pos="851"/>
        </w:tabs>
        <w:ind w:left="851"/>
        <w:rPr>
          <w:sz w:val="24"/>
          <w:szCs w:val="24"/>
          <w:u w:val="single"/>
        </w:rPr>
      </w:pPr>
      <w:r w:rsidRPr="000F5472">
        <w:rPr>
          <w:sz w:val="24"/>
          <w:szCs w:val="24"/>
          <w:u w:val="single"/>
        </w:rPr>
        <w:t>Nyreinsufficiens</w:t>
      </w:r>
    </w:p>
    <w:p w14:paraId="6288E563" w14:textId="77777777" w:rsidR="000F5472" w:rsidRPr="000F5472" w:rsidRDefault="000F5472" w:rsidP="000F5472">
      <w:pPr>
        <w:tabs>
          <w:tab w:val="left" w:pos="851"/>
        </w:tabs>
        <w:ind w:left="851"/>
        <w:rPr>
          <w:sz w:val="24"/>
          <w:szCs w:val="24"/>
        </w:rPr>
      </w:pPr>
      <w:proofErr w:type="spellStart"/>
      <w:r w:rsidRPr="000F5472">
        <w:rPr>
          <w:sz w:val="24"/>
          <w:szCs w:val="24"/>
        </w:rPr>
        <w:t>Sitagliptin</w:t>
      </w:r>
      <w:proofErr w:type="spellEnd"/>
      <w:r w:rsidRPr="000F5472">
        <w:rPr>
          <w:sz w:val="24"/>
          <w:szCs w:val="24"/>
        </w:rPr>
        <w:t xml:space="preserve"> udskilles via nyrerne. For at opnå den samme plasmakoncentration for </w:t>
      </w:r>
      <w:proofErr w:type="spellStart"/>
      <w:r w:rsidRPr="000F5472">
        <w:rPr>
          <w:sz w:val="24"/>
          <w:szCs w:val="24"/>
        </w:rPr>
        <w:t>sitagliptin</w:t>
      </w:r>
      <w:proofErr w:type="spellEnd"/>
      <w:r w:rsidRPr="000F5472">
        <w:rPr>
          <w:sz w:val="24"/>
          <w:szCs w:val="24"/>
        </w:rPr>
        <w:t xml:space="preserve"> som hos patienter med normal nyrefunktion bør patienter med GFR &lt; 45 ml/min samt ESRD-patienter med behov for hæmodialyse eller </w:t>
      </w:r>
      <w:proofErr w:type="spellStart"/>
      <w:r w:rsidRPr="000F5472">
        <w:rPr>
          <w:sz w:val="24"/>
          <w:szCs w:val="24"/>
        </w:rPr>
        <w:t>peritonealdialyse</w:t>
      </w:r>
      <w:proofErr w:type="spellEnd"/>
      <w:r w:rsidRPr="000F5472">
        <w:rPr>
          <w:sz w:val="24"/>
          <w:szCs w:val="24"/>
        </w:rPr>
        <w:t xml:space="preserve"> have lavere doser (se pkt. 4.2 og 5.2).</w:t>
      </w:r>
    </w:p>
    <w:p w14:paraId="38D4DF3B" w14:textId="77777777" w:rsidR="000F5472" w:rsidRPr="000F5472" w:rsidRDefault="000F5472" w:rsidP="000F5472">
      <w:pPr>
        <w:tabs>
          <w:tab w:val="left" w:pos="851"/>
        </w:tabs>
        <w:ind w:left="851"/>
        <w:rPr>
          <w:sz w:val="24"/>
          <w:szCs w:val="24"/>
        </w:rPr>
      </w:pPr>
    </w:p>
    <w:p w14:paraId="5984B339" w14:textId="77777777" w:rsidR="000F5472" w:rsidRPr="000F5472" w:rsidRDefault="000F5472" w:rsidP="000F5472">
      <w:pPr>
        <w:tabs>
          <w:tab w:val="left" w:pos="851"/>
        </w:tabs>
        <w:ind w:left="851"/>
        <w:rPr>
          <w:sz w:val="24"/>
          <w:szCs w:val="24"/>
        </w:rPr>
      </w:pPr>
      <w:r w:rsidRPr="000F5472">
        <w:rPr>
          <w:sz w:val="24"/>
          <w:szCs w:val="24"/>
        </w:rPr>
        <w:t xml:space="preserve">Når anvendelse af </w:t>
      </w:r>
      <w:proofErr w:type="spellStart"/>
      <w:r w:rsidRPr="000F5472">
        <w:rPr>
          <w:sz w:val="24"/>
          <w:szCs w:val="24"/>
        </w:rPr>
        <w:t>sitagliptin</w:t>
      </w:r>
      <w:proofErr w:type="spellEnd"/>
      <w:r w:rsidRPr="000F5472">
        <w:rPr>
          <w:sz w:val="24"/>
          <w:szCs w:val="24"/>
        </w:rPr>
        <w:t xml:space="preserve"> sammen med et andet </w:t>
      </w:r>
      <w:proofErr w:type="spellStart"/>
      <w:r w:rsidRPr="000F5472">
        <w:rPr>
          <w:sz w:val="24"/>
          <w:szCs w:val="24"/>
        </w:rPr>
        <w:t>antidiabetikum</w:t>
      </w:r>
      <w:proofErr w:type="spellEnd"/>
      <w:r w:rsidRPr="000F5472">
        <w:rPr>
          <w:sz w:val="24"/>
          <w:szCs w:val="24"/>
        </w:rPr>
        <w:t xml:space="preserve"> påtænkes, bør betingelserne for anvendelse til patienter med nyreinsufficiens undersøges.</w:t>
      </w:r>
    </w:p>
    <w:p w14:paraId="52DC74E9" w14:textId="77777777" w:rsidR="000F5472" w:rsidRPr="000F5472" w:rsidRDefault="000F5472" w:rsidP="000F5472">
      <w:pPr>
        <w:tabs>
          <w:tab w:val="left" w:pos="851"/>
        </w:tabs>
        <w:ind w:left="851"/>
        <w:rPr>
          <w:sz w:val="24"/>
          <w:szCs w:val="24"/>
        </w:rPr>
      </w:pPr>
      <w:r w:rsidRPr="000F5472">
        <w:rPr>
          <w:sz w:val="24"/>
          <w:szCs w:val="24"/>
        </w:rPr>
        <w:t xml:space="preserve"> </w:t>
      </w:r>
    </w:p>
    <w:p w14:paraId="6E7DFB5D" w14:textId="77777777" w:rsidR="000F5472" w:rsidRPr="000F5472" w:rsidRDefault="000F5472" w:rsidP="000F5472">
      <w:pPr>
        <w:tabs>
          <w:tab w:val="left" w:pos="851"/>
        </w:tabs>
        <w:ind w:left="851"/>
        <w:rPr>
          <w:sz w:val="24"/>
          <w:szCs w:val="24"/>
          <w:u w:val="single"/>
        </w:rPr>
      </w:pPr>
      <w:r w:rsidRPr="000F5472">
        <w:rPr>
          <w:sz w:val="24"/>
          <w:szCs w:val="24"/>
          <w:u w:val="single"/>
        </w:rPr>
        <w:t>Overfølsomhedsreaktioner</w:t>
      </w:r>
    </w:p>
    <w:p w14:paraId="72210E20" w14:textId="77777777" w:rsidR="000F5472" w:rsidRPr="000F5472" w:rsidRDefault="000F5472" w:rsidP="000F5472">
      <w:pPr>
        <w:tabs>
          <w:tab w:val="left" w:pos="851"/>
        </w:tabs>
        <w:ind w:left="851"/>
        <w:rPr>
          <w:sz w:val="24"/>
          <w:szCs w:val="24"/>
        </w:rPr>
      </w:pPr>
      <w:r w:rsidRPr="000F5472">
        <w:rPr>
          <w:sz w:val="24"/>
          <w:szCs w:val="24"/>
        </w:rPr>
        <w:t xml:space="preserve">Efter markedsføring er der rapporteret om alvorlige overfølsomhedsreaktioner hos patienter, der er blevet behandlet med </w:t>
      </w:r>
      <w:proofErr w:type="spellStart"/>
      <w:r w:rsidRPr="000F5472">
        <w:rPr>
          <w:sz w:val="24"/>
          <w:szCs w:val="24"/>
        </w:rPr>
        <w:t>sitagliptin</w:t>
      </w:r>
      <w:proofErr w:type="spellEnd"/>
      <w:r w:rsidRPr="000F5472">
        <w:rPr>
          <w:sz w:val="24"/>
          <w:szCs w:val="24"/>
        </w:rPr>
        <w:t xml:space="preserve">. Disse reaktioner er anafylaksi, </w:t>
      </w:r>
      <w:proofErr w:type="spellStart"/>
      <w:r w:rsidRPr="000F5472">
        <w:rPr>
          <w:sz w:val="24"/>
          <w:szCs w:val="24"/>
        </w:rPr>
        <w:t>angioødem</w:t>
      </w:r>
      <w:proofErr w:type="spellEnd"/>
      <w:r w:rsidRPr="000F5472">
        <w:rPr>
          <w:sz w:val="24"/>
          <w:szCs w:val="24"/>
        </w:rPr>
        <w:t xml:space="preserve"> og </w:t>
      </w:r>
      <w:proofErr w:type="spellStart"/>
      <w:r w:rsidRPr="000F5472">
        <w:rPr>
          <w:sz w:val="24"/>
          <w:szCs w:val="24"/>
        </w:rPr>
        <w:t>eksfoliative</w:t>
      </w:r>
      <w:proofErr w:type="spellEnd"/>
      <w:r w:rsidRPr="000F5472">
        <w:rPr>
          <w:sz w:val="24"/>
          <w:szCs w:val="24"/>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seponeres. Det skal vurderes, om der er andre potentielle årsager til hændelsen, og alternativ diabetesbehandling skal indledes.</w:t>
      </w:r>
    </w:p>
    <w:p w14:paraId="7927DED4" w14:textId="77777777" w:rsidR="000F5472" w:rsidRPr="000F5472" w:rsidRDefault="000F5472" w:rsidP="000F5472">
      <w:pPr>
        <w:tabs>
          <w:tab w:val="left" w:pos="851"/>
        </w:tabs>
        <w:ind w:left="851"/>
        <w:rPr>
          <w:sz w:val="24"/>
          <w:szCs w:val="24"/>
        </w:rPr>
      </w:pPr>
    </w:p>
    <w:p w14:paraId="099C58F0" w14:textId="77777777" w:rsidR="000F5472" w:rsidRPr="000F5472" w:rsidRDefault="000F5472" w:rsidP="000F5472">
      <w:pPr>
        <w:tabs>
          <w:tab w:val="left" w:pos="851"/>
        </w:tabs>
        <w:ind w:left="851"/>
        <w:rPr>
          <w:sz w:val="24"/>
          <w:szCs w:val="24"/>
          <w:u w:val="single"/>
        </w:rPr>
      </w:pPr>
      <w:proofErr w:type="spellStart"/>
      <w:r w:rsidRPr="000F5472">
        <w:rPr>
          <w:sz w:val="24"/>
          <w:szCs w:val="24"/>
          <w:u w:val="single"/>
        </w:rPr>
        <w:t>Bulløs</w:t>
      </w:r>
      <w:proofErr w:type="spellEnd"/>
      <w:r w:rsidRPr="000F5472">
        <w:rPr>
          <w:sz w:val="24"/>
          <w:szCs w:val="24"/>
          <w:u w:val="single"/>
        </w:rPr>
        <w:t xml:space="preserve"> </w:t>
      </w:r>
      <w:proofErr w:type="spellStart"/>
      <w:r w:rsidRPr="000F5472">
        <w:rPr>
          <w:sz w:val="24"/>
          <w:szCs w:val="24"/>
          <w:u w:val="single"/>
        </w:rPr>
        <w:t>pemfigoid</w:t>
      </w:r>
      <w:proofErr w:type="spellEnd"/>
    </w:p>
    <w:p w14:paraId="4E0CB4A5" w14:textId="77777777" w:rsidR="000F5472" w:rsidRPr="000F5472" w:rsidRDefault="000F5472" w:rsidP="000F5472">
      <w:pPr>
        <w:tabs>
          <w:tab w:val="left" w:pos="851"/>
        </w:tabs>
        <w:ind w:left="851"/>
        <w:rPr>
          <w:sz w:val="24"/>
          <w:szCs w:val="24"/>
        </w:rPr>
      </w:pPr>
      <w:r w:rsidRPr="000F5472">
        <w:rPr>
          <w:sz w:val="24"/>
          <w:szCs w:val="24"/>
        </w:rPr>
        <w:t xml:space="preserve">Efter markedsføring er der rapporteret om </w:t>
      </w:r>
      <w:proofErr w:type="spellStart"/>
      <w:r w:rsidRPr="000F5472">
        <w:rPr>
          <w:sz w:val="24"/>
          <w:szCs w:val="24"/>
        </w:rPr>
        <w:t>bulløs</w:t>
      </w:r>
      <w:proofErr w:type="spellEnd"/>
      <w:r w:rsidRPr="000F5472">
        <w:rPr>
          <w:sz w:val="24"/>
          <w:szCs w:val="24"/>
        </w:rPr>
        <w:t xml:space="preserve"> </w:t>
      </w:r>
      <w:proofErr w:type="spellStart"/>
      <w:r w:rsidRPr="000F5472">
        <w:rPr>
          <w:sz w:val="24"/>
          <w:szCs w:val="24"/>
        </w:rPr>
        <w:t>pemfigoid</w:t>
      </w:r>
      <w:proofErr w:type="spellEnd"/>
      <w:r w:rsidRPr="000F5472">
        <w:rPr>
          <w:sz w:val="24"/>
          <w:szCs w:val="24"/>
        </w:rPr>
        <w:t xml:space="preserve"> hos patienter, der tog DPP-4-hæmmere inklusive </w:t>
      </w:r>
      <w:proofErr w:type="spellStart"/>
      <w:r w:rsidRPr="000F5472">
        <w:rPr>
          <w:sz w:val="24"/>
          <w:szCs w:val="24"/>
        </w:rPr>
        <w:t>sitagliptin</w:t>
      </w:r>
      <w:proofErr w:type="spellEnd"/>
      <w:r w:rsidRPr="000F5472">
        <w:rPr>
          <w:sz w:val="24"/>
          <w:szCs w:val="24"/>
        </w:rPr>
        <w:t xml:space="preserve">. Hvis der er mistanke om </w:t>
      </w:r>
      <w:proofErr w:type="spellStart"/>
      <w:r w:rsidRPr="000F5472">
        <w:rPr>
          <w:sz w:val="24"/>
          <w:szCs w:val="24"/>
        </w:rPr>
        <w:t>bulløs</w:t>
      </w:r>
      <w:proofErr w:type="spellEnd"/>
      <w:r w:rsidRPr="000F5472">
        <w:rPr>
          <w:sz w:val="24"/>
          <w:szCs w:val="24"/>
        </w:rPr>
        <w:t xml:space="preserve"> </w:t>
      </w:r>
      <w:proofErr w:type="spellStart"/>
      <w:r w:rsidRPr="000F5472">
        <w:rPr>
          <w:sz w:val="24"/>
          <w:szCs w:val="24"/>
        </w:rPr>
        <w:t>pemfigoid</w:t>
      </w:r>
      <w:proofErr w:type="spellEnd"/>
      <w:r w:rsidRPr="000F5472">
        <w:rPr>
          <w:sz w:val="24"/>
          <w:szCs w:val="24"/>
        </w:rPr>
        <w:t xml:space="preserve">, skal </w:t>
      </w:r>
      <w:proofErr w:type="spellStart"/>
      <w:r w:rsidRPr="000F5472">
        <w:rPr>
          <w:sz w:val="24"/>
          <w:szCs w:val="24"/>
        </w:rPr>
        <w:t>Sitagliptin</w:t>
      </w:r>
      <w:proofErr w:type="spellEnd"/>
      <w:r w:rsidRPr="000F5472">
        <w:rPr>
          <w:sz w:val="24"/>
          <w:szCs w:val="24"/>
        </w:rPr>
        <w:t xml:space="preserve"> "</w:t>
      </w:r>
      <w:proofErr w:type="spellStart"/>
      <w:r w:rsidRPr="000F5472">
        <w:rPr>
          <w:sz w:val="24"/>
          <w:szCs w:val="24"/>
        </w:rPr>
        <w:t>Zentiva</w:t>
      </w:r>
      <w:proofErr w:type="spellEnd"/>
      <w:r w:rsidRPr="000F5472">
        <w:rPr>
          <w:sz w:val="24"/>
          <w:szCs w:val="24"/>
        </w:rPr>
        <w:t xml:space="preserve"> ApS" seponeres.</w:t>
      </w:r>
    </w:p>
    <w:p w14:paraId="587B0664" w14:textId="77777777" w:rsidR="000F5472" w:rsidRPr="000F5472" w:rsidRDefault="000F5472" w:rsidP="000F5472">
      <w:pPr>
        <w:tabs>
          <w:tab w:val="left" w:pos="851"/>
        </w:tabs>
        <w:ind w:left="851"/>
        <w:rPr>
          <w:sz w:val="24"/>
          <w:szCs w:val="24"/>
        </w:rPr>
      </w:pPr>
    </w:p>
    <w:p w14:paraId="02B10C1D" w14:textId="77777777" w:rsidR="000F5472" w:rsidRPr="000F5472" w:rsidRDefault="000F5472" w:rsidP="000F5472">
      <w:pPr>
        <w:tabs>
          <w:tab w:val="left" w:pos="851"/>
        </w:tabs>
        <w:ind w:left="851"/>
        <w:rPr>
          <w:sz w:val="24"/>
          <w:szCs w:val="24"/>
          <w:u w:val="single"/>
        </w:rPr>
      </w:pPr>
      <w:r w:rsidRPr="000F5472">
        <w:rPr>
          <w:sz w:val="24"/>
          <w:szCs w:val="24"/>
          <w:u w:val="single"/>
        </w:rPr>
        <w:lastRenderedPageBreak/>
        <w:t>Hjælpestoffer</w:t>
      </w:r>
    </w:p>
    <w:p w14:paraId="5D2A6995" w14:textId="77777777" w:rsidR="000F5472" w:rsidRPr="000F5472" w:rsidRDefault="000F5472" w:rsidP="000F5472">
      <w:pPr>
        <w:tabs>
          <w:tab w:val="left" w:pos="851"/>
        </w:tabs>
        <w:ind w:left="851"/>
        <w:rPr>
          <w:sz w:val="24"/>
          <w:szCs w:val="24"/>
        </w:rPr>
      </w:pPr>
      <w:r w:rsidRPr="000F5472">
        <w:rPr>
          <w:sz w:val="24"/>
          <w:szCs w:val="24"/>
        </w:rPr>
        <w:t>Dette lægemiddel indeholder mindre end 1 mmol (23 mg) natrium pr. tablet, dvs. det er i det væsentlige natriumfrit.</w:t>
      </w:r>
    </w:p>
    <w:p w14:paraId="6DB15DA5" w14:textId="77777777" w:rsidR="009260DE" w:rsidRPr="00C84483" w:rsidRDefault="009260DE" w:rsidP="009260DE">
      <w:pPr>
        <w:tabs>
          <w:tab w:val="left" w:pos="851"/>
        </w:tabs>
        <w:ind w:left="851"/>
        <w:rPr>
          <w:sz w:val="24"/>
          <w:szCs w:val="24"/>
        </w:rPr>
      </w:pPr>
    </w:p>
    <w:p w14:paraId="486275A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E719CFB" w14:textId="77777777" w:rsidR="00913428" w:rsidRPr="00913428" w:rsidRDefault="00913428" w:rsidP="00913428">
      <w:pPr>
        <w:tabs>
          <w:tab w:val="left" w:pos="851"/>
        </w:tabs>
        <w:ind w:left="851"/>
        <w:rPr>
          <w:sz w:val="24"/>
          <w:szCs w:val="24"/>
          <w:u w:val="single"/>
        </w:rPr>
      </w:pPr>
    </w:p>
    <w:p w14:paraId="17A03169" w14:textId="77777777" w:rsidR="00913428" w:rsidRPr="00913428" w:rsidRDefault="00913428" w:rsidP="00913428">
      <w:pPr>
        <w:tabs>
          <w:tab w:val="left" w:pos="851"/>
        </w:tabs>
        <w:ind w:left="851"/>
        <w:rPr>
          <w:sz w:val="24"/>
          <w:szCs w:val="24"/>
          <w:u w:val="single"/>
        </w:rPr>
      </w:pPr>
      <w:r w:rsidRPr="00913428">
        <w:rPr>
          <w:sz w:val="24"/>
          <w:szCs w:val="24"/>
          <w:u w:val="single"/>
        </w:rPr>
        <w:t xml:space="preserve">Andre lægemidlers indvirkning på </w:t>
      </w:r>
      <w:proofErr w:type="spellStart"/>
      <w:r w:rsidRPr="00913428">
        <w:rPr>
          <w:sz w:val="24"/>
          <w:szCs w:val="24"/>
          <w:u w:val="single"/>
        </w:rPr>
        <w:t>sitagliptin</w:t>
      </w:r>
      <w:proofErr w:type="spellEnd"/>
    </w:p>
    <w:p w14:paraId="77945618" w14:textId="77777777" w:rsidR="00913428" w:rsidRPr="00913428" w:rsidRDefault="00913428" w:rsidP="00913428">
      <w:pPr>
        <w:tabs>
          <w:tab w:val="left" w:pos="851"/>
        </w:tabs>
        <w:ind w:left="851"/>
        <w:rPr>
          <w:sz w:val="24"/>
          <w:szCs w:val="24"/>
        </w:rPr>
      </w:pPr>
      <w:r w:rsidRPr="00913428">
        <w:rPr>
          <w:sz w:val="24"/>
          <w:szCs w:val="24"/>
        </w:rPr>
        <w:t>De kliniske data beskrevet nedenfor tyder på, at risikoen er lav for interaktioner af klinisk betydning mellem lægemidler, der administreres samtidigt.</w:t>
      </w:r>
    </w:p>
    <w:p w14:paraId="10B7C577" w14:textId="77777777" w:rsidR="00913428" w:rsidRPr="00913428" w:rsidRDefault="00913428" w:rsidP="00913428">
      <w:pPr>
        <w:tabs>
          <w:tab w:val="left" w:pos="851"/>
        </w:tabs>
        <w:ind w:left="851"/>
        <w:rPr>
          <w:sz w:val="24"/>
          <w:szCs w:val="24"/>
        </w:rPr>
      </w:pPr>
    </w:p>
    <w:p w14:paraId="751F2BB0" w14:textId="77777777" w:rsidR="00913428" w:rsidRPr="00913428" w:rsidRDefault="00913428" w:rsidP="00913428">
      <w:pPr>
        <w:tabs>
          <w:tab w:val="left" w:pos="851"/>
        </w:tabs>
        <w:ind w:left="851"/>
        <w:rPr>
          <w:sz w:val="24"/>
          <w:szCs w:val="24"/>
        </w:rPr>
      </w:pPr>
      <w:r w:rsidRPr="00913428">
        <w:rPr>
          <w:i/>
          <w:iCs/>
          <w:sz w:val="24"/>
          <w:szCs w:val="24"/>
        </w:rPr>
        <w:t xml:space="preserve">In </w:t>
      </w:r>
      <w:proofErr w:type="spellStart"/>
      <w:r w:rsidRPr="00913428">
        <w:rPr>
          <w:i/>
          <w:iCs/>
          <w:sz w:val="24"/>
          <w:szCs w:val="24"/>
        </w:rPr>
        <w:t>vitro</w:t>
      </w:r>
      <w:proofErr w:type="spellEnd"/>
      <w:r w:rsidRPr="00913428">
        <w:rPr>
          <w:sz w:val="24"/>
          <w:szCs w:val="24"/>
        </w:rPr>
        <w:t xml:space="preserve">-undersøgelser tyder på, at CYP3A4 primært er ansvarlig for </w:t>
      </w:r>
      <w:proofErr w:type="spellStart"/>
      <w:r w:rsidRPr="00913428">
        <w:rPr>
          <w:sz w:val="24"/>
          <w:szCs w:val="24"/>
        </w:rPr>
        <w:t>sitagliptins</w:t>
      </w:r>
      <w:proofErr w:type="spellEnd"/>
      <w:r w:rsidRPr="00913428">
        <w:rPr>
          <w:sz w:val="24"/>
          <w:szCs w:val="24"/>
        </w:rPr>
        <w:t xml:space="preserve"> begrænsede metabolisme, og at CYP2C8 medvirker hertil. Hos patienter med normal nyrefunktion spiller metabolisme, inklusive metabolismen via CYP3A4, kun en lille rolle i </w:t>
      </w:r>
      <w:proofErr w:type="spellStart"/>
      <w:r w:rsidRPr="00913428">
        <w:rPr>
          <w:sz w:val="24"/>
          <w:szCs w:val="24"/>
        </w:rPr>
        <w:t>sitagliptin-clearance</w:t>
      </w:r>
      <w:proofErr w:type="spellEnd"/>
      <w:r w:rsidRPr="00913428">
        <w:rPr>
          <w:sz w:val="24"/>
          <w:szCs w:val="24"/>
        </w:rPr>
        <w:t xml:space="preserve">. Metabolisme kan derimod spille en mere betydningsfuld rolle ved eliminationen af </w:t>
      </w:r>
      <w:proofErr w:type="spellStart"/>
      <w:r w:rsidRPr="00913428">
        <w:rPr>
          <w:sz w:val="24"/>
          <w:szCs w:val="24"/>
        </w:rPr>
        <w:t>sitagliptin</w:t>
      </w:r>
      <w:proofErr w:type="spellEnd"/>
      <w:r w:rsidRPr="00913428">
        <w:rPr>
          <w:sz w:val="24"/>
          <w:szCs w:val="24"/>
        </w:rPr>
        <w:t xml:space="preserve"> ved svær nyreinsufficiens eller nyresygdom i slutstadiet (ESRD). Derfor kan potente CYP3A4-hæmmere (dvs. </w:t>
      </w:r>
      <w:proofErr w:type="spellStart"/>
      <w:r w:rsidRPr="00913428">
        <w:rPr>
          <w:sz w:val="24"/>
          <w:szCs w:val="24"/>
        </w:rPr>
        <w:t>ketoconazol</w:t>
      </w:r>
      <w:proofErr w:type="spellEnd"/>
      <w:r w:rsidRPr="00913428">
        <w:rPr>
          <w:sz w:val="24"/>
          <w:szCs w:val="24"/>
        </w:rPr>
        <w:t xml:space="preserve">, </w:t>
      </w:r>
      <w:proofErr w:type="spellStart"/>
      <w:r w:rsidRPr="00913428">
        <w:rPr>
          <w:sz w:val="24"/>
          <w:szCs w:val="24"/>
        </w:rPr>
        <w:t>itraconazol</w:t>
      </w:r>
      <w:proofErr w:type="spellEnd"/>
      <w:r w:rsidRPr="00913428">
        <w:rPr>
          <w:sz w:val="24"/>
          <w:szCs w:val="24"/>
        </w:rPr>
        <w:t xml:space="preserve">, </w:t>
      </w:r>
      <w:proofErr w:type="spellStart"/>
      <w:r w:rsidRPr="00913428">
        <w:rPr>
          <w:sz w:val="24"/>
          <w:szCs w:val="24"/>
        </w:rPr>
        <w:t>ritonavir</w:t>
      </w:r>
      <w:proofErr w:type="spellEnd"/>
      <w:r w:rsidRPr="00913428">
        <w:rPr>
          <w:sz w:val="24"/>
          <w:szCs w:val="24"/>
        </w:rPr>
        <w:t xml:space="preserve">, </w:t>
      </w:r>
      <w:proofErr w:type="spellStart"/>
      <w:r w:rsidRPr="00913428">
        <w:rPr>
          <w:sz w:val="24"/>
          <w:szCs w:val="24"/>
        </w:rPr>
        <w:t>clarithromycin</w:t>
      </w:r>
      <w:proofErr w:type="spellEnd"/>
      <w:r w:rsidRPr="00913428">
        <w:rPr>
          <w:sz w:val="24"/>
          <w:szCs w:val="24"/>
        </w:rPr>
        <w:t xml:space="preserve">) muligvis ændre </w:t>
      </w:r>
      <w:proofErr w:type="spellStart"/>
      <w:r w:rsidRPr="00913428">
        <w:rPr>
          <w:sz w:val="24"/>
          <w:szCs w:val="24"/>
        </w:rPr>
        <w:t>sitagliptins</w:t>
      </w:r>
      <w:proofErr w:type="spellEnd"/>
      <w:r w:rsidRPr="00913428">
        <w:rPr>
          <w:sz w:val="24"/>
          <w:szCs w:val="24"/>
        </w:rPr>
        <w:t xml:space="preserve"> farmakokinetik hos patienter med svær nyreinsufficiens eller ESRD. Virkningen af potente CYP3A4-hæmmere hos patienter med nyreinsufficiens har ikke været genstand for klinisk undersøgelse.</w:t>
      </w:r>
    </w:p>
    <w:p w14:paraId="47DBE763" w14:textId="77777777" w:rsidR="00913428" w:rsidRPr="00913428" w:rsidRDefault="00913428" w:rsidP="00913428">
      <w:pPr>
        <w:tabs>
          <w:tab w:val="left" w:pos="851"/>
        </w:tabs>
        <w:ind w:left="851"/>
        <w:rPr>
          <w:sz w:val="24"/>
          <w:szCs w:val="24"/>
        </w:rPr>
      </w:pPr>
    </w:p>
    <w:p w14:paraId="5A48A2E5" w14:textId="77777777" w:rsidR="00913428" w:rsidRPr="00913428" w:rsidRDefault="00913428" w:rsidP="00913428">
      <w:pPr>
        <w:tabs>
          <w:tab w:val="left" w:pos="851"/>
        </w:tabs>
        <w:ind w:left="851"/>
        <w:rPr>
          <w:sz w:val="24"/>
          <w:szCs w:val="24"/>
        </w:rPr>
      </w:pPr>
      <w:r w:rsidRPr="00913428">
        <w:rPr>
          <w:i/>
          <w:iCs/>
          <w:sz w:val="24"/>
          <w:szCs w:val="24"/>
        </w:rPr>
        <w:t xml:space="preserve">In </w:t>
      </w:r>
      <w:proofErr w:type="spellStart"/>
      <w:r w:rsidRPr="00913428">
        <w:rPr>
          <w:i/>
          <w:iCs/>
          <w:sz w:val="24"/>
          <w:szCs w:val="24"/>
        </w:rPr>
        <w:t>vitro</w:t>
      </w:r>
      <w:proofErr w:type="spellEnd"/>
      <w:r w:rsidRPr="00913428">
        <w:rPr>
          <w:sz w:val="24"/>
          <w:szCs w:val="24"/>
        </w:rPr>
        <w:t xml:space="preserve">-transportundersøgelser har vist, at </w:t>
      </w:r>
      <w:proofErr w:type="spellStart"/>
      <w:r w:rsidRPr="00913428">
        <w:rPr>
          <w:sz w:val="24"/>
          <w:szCs w:val="24"/>
        </w:rPr>
        <w:t>sitagliptin</w:t>
      </w:r>
      <w:proofErr w:type="spellEnd"/>
      <w:r w:rsidRPr="00913428">
        <w:rPr>
          <w:sz w:val="24"/>
          <w:szCs w:val="24"/>
        </w:rPr>
        <w:t xml:space="preserve"> er et substrat for P-</w:t>
      </w:r>
      <w:proofErr w:type="spellStart"/>
      <w:r w:rsidRPr="00913428">
        <w:rPr>
          <w:sz w:val="24"/>
          <w:szCs w:val="24"/>
        </w:rPr>
        <w:t>glykoprotein</w:t>
      </w:r>
      <w:proofErr w:type="spellEnd"/>
      <w:r w:rsidRPr="00913428">
        <w:rPr>
          <w:sz w:val="24"/>
          <w:szCs w:val="24"/>
        </w:rPr>
        <w:t xml:space="preserve"> og organisk aniontransporter-3 (OAT3). OAT3-medieret transport af </w:t>
      </w:r>
      <w:proofErr w:type="spellStart"/>
      <w:r w:rsidRPr="00913428">
        <w:rPr>
          <w:sz w:val="24"/>
          <w:szCs w:val="24"/>
        </w:rPr>
        <w:t>sitagliptin</w:t>
      </w:r>
      <w:proofErr w:type="spellEnd"/>
      <w:r w:rsidRPr="00913428">
        <w:rPr>
          <w:sz w:val="24"/>
          <w:szCs w:val="24"/>
        </w:rPr>
        <w:t xml:space="preserve"> hæmmes </w:t>
      </w:r>
      <w:r w:rsidRPr="00913428">
        <w:rPr>
          <w:i/>
          <w:iCs/>
          <w:sz w:val="24"/>
          <w:szCs w:val="24"/>
        </w:rPr>
        <w:t xml:space="preserve">in </w:t>
      </w:r>
      <w:proofErr w:type="spellStart"/>
      <w:r w:rsidRPr="00913428">
        <w:rPr>
          <w:i/>
          <w:iCs/>
          <w:sz w:val="24"/>
          <w:szCs w:val="24"/>
        </w:rPr>
        <w:t>vitro</w:t>
      </w:r>
      <w:proofErr w:type="spellEnd"/>
      <w:r w:rsidRPr="00913428">
        <w:rPr>
          <w:i/>
          <w:iCs/>
          <w:sz w:val="24"/>
          <w:szCs w:val="24"/>
        </w:rPr>
        <w:t xml:space="preserve"> </w:t>
      </w:r>
      <w:r w:rsidRPr="00913428">
        <w:rPr>
          <w:sz w:val="24"/>
          <w:szCs w:val="24"/>
        </w:rPr>
        <w:t xml:space="preserve">af </w:t>
      </w:r>
      <w:proofErr w:type="spellStart"/>
      <w:r w:rsidRPr="00913428">
        <w:rPr>
          <w:sz w:val="24"/>
          <w:szCs w:val="24"/>
        </w:rPr>
        <w:t>probenecid</w:t>
      </w:r>
      <w:proofErr w:type="spellEnd"/>
      <w:r w:rsidRPr="00913428">
        <w:rPr>
          <w:sz w:val="24"/>
          <w:szCs w:val="24"/>
        </w:rPr>
        <w:t xml:space="preserve">, selvom risikoen for klinisk relevante interaktioner anses for at være lav. Samtidig administration af OAT3-hæmmere er ikke vurderet </w:t>
      </w:r>
      <w:r w:rsidRPr="00913428">
        <w:rPr>
          <w:i/>
          <w:iCs/>
          <w:sz w:val="24"/>
          <w:szCs w:val="24"/>
        </w:rPr>
        <w:t xml:space="preserve">in </w:t>
      </w:r>
      <w:proofErr w:type="spellStart"/>
      <w:r w:rsidRPr="00913428">
        <w:rPr>
          <w:i/>
          <w:iCs/>
          <w:sz w:val="24"/>
          <w:szCs w:val="24"/>
        </w:rPr>
        <w:t>vivo</w:t>
      </w:r>
      <w:proofErr w:type="spellEnd"/>
      <w:r w:rsidRPr="00913428">
        <w:rPr>
          <w:sz w:val="24"/>
          <w:szCs w:val="24"/>
        </w:rPr>
        <w:t>.</w:t>
      </w:r>
    </w:p>
    <w:p w14:paraId="2F9E148B" w14:textId="77777777" w:rsidR="00913428" w:rsidRPr="00913428" w:rsidRDefault="00913428" w:rsidP="00913428">
      <w:pPr>
        <w:tabs>
          <w:tab w:val="left" w:pos="851"/>
        </w:tabs>
        <w:ind w:left="851"/>
        <w:rPr>
          <w:sz w:val="24"/>
          <w:szCs w:val="24"/>
        </w:rPr>
      </w:pPr>
    </w:p>
    <w:p w14:paraId="5E86DACE" w14:textId="77777777" w:rsidR="00913428" w:rsidRPr="00913428" w:rsidRDefault="00913428" w:rsidP="00913428">
      <w:pPr>
        <w:tabs>
          <w:tab w:val="left" w:pos="851"/>
        </w:tabs>
        <w:ind w:left="851"/>
        <w:rPr>
          <w:i/>
          <w:iCs/>
          <w:sz w:val="24"/>
          <w:szCs w:val="24"/>
        </w:rPr>
      </w:pPr>
      <w:proofErr w:type="spellStart"/>
      <w:r w:rsidRPr="00913428">
        <w:rPr>
          <w:i/>
          <w:iCs/>
          <w:sz w:val="24"/>
          <w:szCs w:val="24"/>
        </w:rPr>
        <w:t>Metformin</w:t>
      </w:r>
      <w:proofErr w:type="spellEnd"/>
    </w:p>
    <w:p w14:paraId="76850785" w14:textId="77777777" w:rsidR="00913428" w:rsidRPr="00913428" w:rsidRDefault="00913428" w:rsidP="00913428">
      <w:pPr>
        <w:tabs>
          <w:tab w:val="left" w:pos="851"/>
        </w:tabs>
        <w:ind w:left="851"/>
        <w:rPr>
          <w:sz w:val="24"/>
          <w:szCs w:val="24"/>
        </w:rPr>
      </w:pPr>
      <w:r w:rsidRPr="00913428">
        <w:rPr>
          <w:sz w:val="24"/>
          <w:szCs w:val="24"/>
        </w:rPr>
        <w:t xml:space="preserve">Samtidig administration af multiple doser af 1 000 mg </w:t>
      </w:r>
      <w:proofErr w:type="spellStart"/>
      <w:r w:rsidRPr="00913428">
        <w:rPr>
          <w:sz w:val="24"/>
          <w:szCs w:val="24"/>
        </w:rPr>
        <w:t>metformin</w:t>
      </w:r>
      <w:proofErr w:type="spellEnd"/>
      <w:r w:rsidRPr="00913428">
        <w:rPr>
          <w:sz w:val="24"/>
          <w:szCs w:val="24"/>
        </w:rPr>
        <w:t xml:space="preserve"> to gange om dagen og 50 mg </w:t>
      </w:r>
      <w:proofErr w:type="spellStart"/>
      <w:r w:rsidRPr="00913428">
        <w:rPr>
          <w:sz w:val="24"/>
          <w:szCs w:val="24"/>
        </w:rPr>
        <w:t>sitagliptin</w:t>
      </w:r>
      <w:proofErr w:type="spellEnd"/>
      <w:r w:rsidRPr="00913428">
        <w:rPr>
          <w:sz w:val="24"/>
          <w:szCs w:val="24"/>
        </w:rPr>
        <w:t xml:space="preserve"> ændrede ikke </w:t>
      </w:r>
      <w:proofErr w:type="spellStart"/>
      <w:r w:rsidRPr="00913428">
        <w:rPr>
          <w:sz w:val="24"/>
          <w:szCs w:val="24"/>
        </w:rPr>
        <w:t>sitagliptins</w:t>
      </w:r>
      <w:proofErr w:type="spellEnd"/>
      <w:r w:rsidRPr="00913428">
        <w:rPr>
          <w:sz w:val="24"/>
          <w:szCs w:val="24"/>
        </w:rPr>
        <w:t xml:space="preserve"> farmakokinetik betydeligt hos patienter med type 2- diabetes.</w:t>
      </w:r>
    </w:p>
    <w:p w14:paraId="687E6EBA" w14:textId="77777777" w:rsidR="00913428" w:rsidRPr="00913428" w:rsidRDefault="00913428" w:rsidP="00913428">
      <w:pPr>
        <w:tabs>
          <w:tab w:val="left" w:pos="851"/>
        </w:tabs>
        <w:ind w:left="851"/>
        <w:rPr>
          <w:sz w:val="24"/>
          <w:szCs w:val="24"/>
        </w:rPr>
      </w:pPr>
    </w:p>
    <w:p w14:paraId="556AC7AF" w14:textId="77777777" w:rsidR="00913428" w:rsidRPr="00913428" w:rsidRDefault="00913428" w:rsidP="00913428">
      <w:pPr>
        <w:tabs>
          <w:tab w:val="left" w:pos="851"/>
        </w:tabs>
        <w:ind w:left="851"/>
        <w:rPr>
          <w:i/>
          <w:iCs/>
          <w:sz w:val="24"/>
          <w:szCs w:val="24"/>
        </w:rPr>
      </w:pPr>
      <w:proofErr w:type="spellStart"/>
      <w:r w:rsidRPr="00913428">
        <w:rPr>
          <w:i/>
          <w:iCs/>
          <w:sz w:val="24"/>
          <w:szCs w:val="24"/>
        </w:rPr>
        <w:t>Ciclosporin</w:t>
      </w:r>
      <w:proofErr w:type="spellEnd"/>
    </w:p>
    <w:p w14:paraId="7C7B76E9" w14:textId="77777777" w:rsidR="00913428" w:rsidRPr="00913428" w:rsidRDefault="00913428" w:rsidP="00913428">
      <w:pPr>
        <w:tabs>
          <w:tab w:val="left" w:pos="851"/>
        </w:tabs>
        <w:ind w:left="851"/>
        <w:rPr>
          <w:sz w:val="24"/>
          <w:szCs w:val="24"/>
        </w:rPr>
      </w:pPr>
      <w:r w:rsidRPr="00913428">
        <w:rPr>
          <w:sz w:val="24"/>
          <w:szCs w:val="24"/>
        </w:rPr>
        <w:t xml:space="preserve">Der er udført en undersøgelse til vurdering af </w:t>
      </w:r>
      <w:proofErr w:type="spellStart"/>
      <w:r w:rsidRPr="00913428">
        <w:rPr>
          <w:sz w:val="24"/>
          <w:szCs w:val="24"/>
        </w:rPr>
        <w:t>ciclosporins</w:t>
      </w:r>
      <w:proofErr w:type="spellEnd"/>
      <w:r w:rsidRPr="00913428">
        <w:rPr>
          <w:sz w:val="24"/>
          <w:szCs w:val="24"/>
        </w:rPr>
        <w:t xml:space="preserve"> (en potent hæmmer af P-</w:t>
      </w:r>
      <w:proofErr w:type="spellStart"/>
      <w:r w:rsidRPr="00913428">
        <w:rPr>
          <w:sz w:val="24"/>
          <w:szCs w:val="24"/>
        </w:rPr>
        <w:t>glykoprotein</w:t>
      </w:r>
      <w:proofErr w:type="spellEnd"/>
      <w:r w:rsidRPr="00913428">
        <w:rPr>
          <w:sz w:val="24"/>
          <w:szCs w:val="24"/>
        </w:rPr>
        <w:t xml:space="preserve">) effekt på </w:t>
      </w:r>
      <w:proofErr w:type="spellStart"/>
      <w:r w:rsidRPr="00913428">
        <w:rPr>
          <w:sz w:val="24"/>
          <w:szCs w:val="24"/>
        </w:rPr>
        <w:t>sitagliptins</w:t>
      </w:r>
      <w:proofErr w:type="spellEnd"/>
      <w:r w:rsidRPr="00913428">
        <w:rPr>
          <w:sz w:val="24"/>
          <w:szCs w:val="24"/>
        </w:rPr>
        <w:t xml:space="preserve"> farmakokinetik. Samtidig administration af en enkelt oral 100 mg dosis </w:t>
      </w:r>
      <w:proofErr w:type="spellStart"/>
      <w:r w:rsidRPr="00913428">
        <w:rPr>
          <w:sz w:val="24"/>
          <w:szCs w:val="24"/>
        </w:rPr>
        <w:t>sitagliptin</w:t>
      </w:r>
      <w:proofErr w:type="spellEnd"/>
      <w:r w:rsidRPr="00913428">
        <w:rPr>
          <w:sz w:val="24"/>
          <w:szCs w:val="24"/>
        </w:rPr>
        <w:t xml:space="preserve"> og en enkelt oral 600 mg-dosis </w:t>
      </w:r>
      <w:proofErr w:type="spellStart"/>
      <w:r w:rsidRPr="00913428">
        <w:rPr>
          <w:sz w:val="24"/>
          <w:szCs w:val="24"/>
        </w:rPr>
        <w:t>ciclosporin</w:t>
      </w:r>
      <w:proofErr w:type="spellEnd"/>
      <w:r w:rsidRPr="00913428">
        <w:rPr>
          <w:sz w:val="24"/>
          <w:szCs w:val="24"/>
        </w:rPr>
        <w:t xml:space="preserve"> øgede </w:t>
      </w:r>
      <w:proofErr w:type="spellStart"/>
      <w:r w:rsidRPr="00913428">
        <w:rPr>
          <w:sz w:val="24"/>
          <w:szCs w:val="24"/>
        </w:rPr>
        <w:t>sitagliptins</w:t>
      </w:r>
      <w:proofErr w:type="spellEnd"/>
      <w:r w:rsidRPr="00913428">
        <w:rPr>
          <w:sz w:val="24"/>
          <w:szCs w:val="24"/>
        </w:rPr>
        <w:t xml:space="preserve"> AUC og </w:t>
      </w:r>
      <w:proofErr w:type="spellStart"/>
      <w:r w:rsidRPr="00913428">
        <w:rPr>
          <w:sz w:val="24"/>
          <w:szCs w:val="24"/>
        </w:rPr>
        <w:t>C</w:t>
      </w:r>
      <w:r w:rsidRPr="00913428">
        <w:rPr>
          <w:sz w:val="24"/>
          <w:szCs w:val="24"/>
          <w:vertAlign w:val="subscript"/>
        </w:rPr>
        <w:t>max</w:t>
      </w:r>
      <w:proofErr w:type="spellEnd"/>
      <w:r w:rsidRPr="00913428">
        <w:rPr>
          <w:sz w:val="24"/>
          <w:szCs w:val="24"/>
          <w:vertAlign w:val="subscript"/>
        </w:rPr>
        <w:t xml:space="preserve"> </w:t>
      </w:r>
      <w:r w:rsidRPr="00913428">
        <w:rPr>
          <w:sz w:val="24"/>
          <w:szCs w:val="24"/>
        </w:rPr>
        <w:t xml:space="preserve">med henholdsvis ca. 29 % og 68 %. Disse ændringer i </w:t>
      </w:r>
      <w:proofErr w:type="spellStart"/>
      <w:r w:rsidRPr="00913428">
        <w:rPr>
          <w:sz w:val="24"/>
          <w:szCs w:val="24"/>
        </w:rPr>
        <w:t>sitagliptins</w:t>
      </w:r>
      <w:proofErr w:type="spellEnd"/>
      <w:r w:rsidRPr="00913428">
        <w:rPr>
          <w:sz w:val="24"/>
          <w:szCs w:val="24"/>
        </w:rPr>
        <w:t xml:space="preserve"> farmakokinetik blev ikke vurderet til at have klinisk relevans. </w:t>
      </w:r>
      <w:proofErr w:type="spellStart"/>
      <w:r w:rsidRPr="00913428">
        <w:rPr>
          <w:sz w:val="24"/>
          <w:szCs w:val="24"/>
        </w:rPr>
        <w:t>Sitagliptins</w:t>
      </w:r>
      <w:proofErr w:type="spellEnd"/>
      <w:r w:rsidRPr="00913428">
        <w:rPr>
          <w:sz w:val="24"/>
          <w:szCs w:val="24"/>
        </w:rPr>
        <w:t xml:space="preserve"> </w:t>
      </w:r>
      <w:proofErr w:type="spellStart"/>
      <w:r w:rsidRPr="00913428">
        <w:rPr>
          <w:sz w:val="24"/>
          <w:szCs w:val="24"/>
        </w:rPr>
        <w:t>renale</w:t>
      </w:r>
      <w:proofErr w:type="spellEnd"/>
      <w:r w:rsidRPr="00913428">
        <w:rPr>
          <w:sz w:val="24"/>
          <w:szCs w:val="24"/>
        </w:rPr>
        <w:t xml:space="preserve"> </w:t>
      </w:r>
      <w:proofErr w:type="spellStart"/>
      <w:r w:rsidRPr="00913428">
        <w:rPr>
          <w:sz w:val="24"/>
          <w:szCs w:val="24"/>
        </w:rPr>
        <w:t>clearance</w:t>
      </w:r>
      <w:proofErr w:type="spellEnd"/>
      <w:r w:rsidRPr="00913428">
        <w:rPr>
          <w:sz w:val="24"/>
          <w:szCs w:val="24"/>
        </w:rPr>
        <w:t xml:space="preserve"> ændredes ikke signifikant. Der forventes derfor ingen klinisk betydende interaktioner med andre P-</w:t>
      </w:r>
      <w:proofErr w:type="spellStart"/>
      <w:r w:rsidRPr="00913428">
        <w:rPr>
          <w:sz w:val="24"/>
          <w:szCs w:val="24"/>
        </w:rPr>
        <w:t>glykoproteinhæmmere</w:t>
      </w:r>
      <w:proofErr w:type="spellEnd"/>
      <w:r w:rsidRPr="00913428">
        <w:rPr>
          <w:sz w:val="24"/>
          <w:szCs w:val="24"/>
        </w:rPr>
        <w:t>.</w:t>
      </w:r>
    </w:p>
    <w:p w14:paraId="278DCFE4" w14:textId="77777777" w:rsidR="00913428" w:rsidRPr="00913428" w:rsidRDefault="00913428" w:rsidP="00913428">
      <w:pPr>
        <w:tabs>
          <w:tab w:val="left" w:pos="851"/>
        </w:tabs>
        <w:ind w:left="851"/>
        <w:rPr>
          <w:sz w:val="24"/>
          <w:szCs w:val="24"/>
        </w:rPr>
      </w:pPr>
      <w:r w:rsidRPr="00913428">
        <w:rPr>
          <w:sz w:val="24"/>
          <w:szCs w:val="24"/>
        </w:rPr>
        <w:t xml:space="preserve"> </w:t>
      </w:r>
    </w:p>
    <w:p w14:paraId="066D326D" w14:textId="77777777" w:rsidR="00913428" w:rsidRPr="00913428" w:rsidRDefault="00913428" w:rsidP="00913428">
      <w:pPr>
        <w:tabs>
          <w:tab w:val="left" w:pos="851"/>
        </w:tabs>
        <w:ind w:left="851"/>
        <w:rPr>
          <w:sz w:val="24"/>
          <w:szCs w:val="24"/>
          <w:u w:val="single"/>
        </w:rPr>
      </w:pPr>
      <w:proofErr w:type="spellStart"/>
      <w:r w:rsidRPr="00913428">
        <w:rPr>
          <w:sz w:val="24"/>
          <w:szCs w:val="24"/>
          <w:u w:val="single"/>
        </w:rPr>
        <w:t>Sitagliptins</w:t>
      </w:r>
      <w:proofErr w:type="spellEnd"/>
      <w:r w:rsidRPr="00913428">
        <w:rPr>
          <w:sz w:val="24"/>
          <w:szCs w:val="24"/>
          <w:u w:val="single"/>
        </w:rPr>
        <w:t xml:space="preserve"> indvirkning på andre lægemidler</w:t>
      </w:r>
    </w:p>
    <w:p w14:paraId="263435D9" w14:textId="77777777" w:rsidR="00913428" w:rsidRPr="00913428" w:rsidRDefault="00913428" w:rsidP="00913428">
      <w:pPr>
        <w:tabs>
          <w:tab w:val="left" w:pos="851"/>
        </w:tabs>
        <w:ind w:left="851"/>
        <w:rPr>
          <w:i/>
          <w:iCs/>
          <w:sz w:val="24"/>
          <w:szCs w:val="24"/>
        </w:rPr>
      </w:pPr>
    </w:p>
    <w:p w14:paraId="3C028CCA" w14:textId="77777777" w:rsidR="00913428" w:rsidRPr="00913428" w:rsidRDefault="00913428" w:rsidP="00913428">
      <w:pPr>
        <w:tabs>
          <w:tab w:val="left" w:pos="851"/>
        </w:tabs>
        <w:ind w:left="851"/>
        <w:rPr>
          <w:i/>
          <w:iCs/>
          <w:sz w:val="24"/>
          <w:szCs w:val="24"/>
        </w:rPr>
      </w:pPr>
      <w:proofErr w:type="spellStart"/>
      <w:r w:rsidRPr="00913428">
        <w:rPr>
          <w:i/>
          <w:iCs/>
          <w:sz w:val="24"/>
          <w:szCs w:val="24"/>
        </w:rPr>
        <w:t>Digoxin</w:t>
      </w:r>
      <w:proofErr w:type="spellEnd"/>
    </w:p>
    <w:p w14:paraId="48DFFBBF" w14:textId="77777777" w:rsidR="00913428" w:rsidRPr="00913428" w:rsidRDefault="00913428" w:rsidP="00913428">
      <w:pPr>
        <w:tabs>
          <w:tab w:val="left" w:pos="851"/>
        </w:tabs>
        <w:ind w:left="851"/>
        <w:rPr>
          <w:sz w:val="24"/>
          <w:szCs w:val="24"/>
        </w:rPr>
      </w:pPr>
      <w:proofErr w:type="spellStart"/>
      <w:r w:rsidRPr="00913428">
        <w:rPr>
          <w:sz w:val="24"/>
          <w:szCs w:val="24"/>
        </w:rPr>
        <w:t>Sitagliptin</w:t>
      </w:r>
      <w:proofErr w:type="spellEnd"/>
      <w:r w:rsidRPr="00913428">
        <w:rPr>
          <w:sz w:val="24"/>
          <w:szCs w:val="24"/>
        </w:rPr>
        <w:t xml:space="preserve"> havde en lille effekt på </w:t>
      </w:r>
      <w:proofErr w:type="spellStart"/>
      <w:r w:rsidRPr="00913428">
        <w:rPr>
          <w:sz w:val="24"/>
          <w:szCs w:val="24"/>
        </w:rPr>
        <w:t>digoxinkoncentrationen</w:t>
      </w:r>
      <w:proofErr w:type="spellEnd"/>
      <w:r w:rsidRPr="00913428">
        <w:rPr>
          <w:sz w:val="24"/>
          <w:szCs w:val="24"/>
        </w:rPr>
        <w:t xml:space="preserve"> i plasma. Efter administration af 0,25 mg </w:t>
      </w:r>
      <w:proofErr w:type="spellStart"/>
      <w:r w:rsidRPr="00913428">
        <w:rPr>
          <w:sz w:val="24"/>
          <w:szCs w:val="24"/>
        </w:rPr>
        <w:t>digoxin</w:t>
      </w:r>
      <w:proofErr w:type="spellEnd"/>
      <w:r w:rsidRPr="00913428">
        <w:rPr>
          <w:sz w:val="24"/>
          <w:szCs w:val="24"/>
        </w:rPr>
        <w:t xml:space="preserve"> samtidig med 100 mg </w:t>
      </w:r>
      <w:proofErr w:type="spellStart"/>
      <w:r w:rsidRPr="00913428">
        <w:rPr>
          <w:sz w:val="24"/>
          <w:szCs w:val="24"/>
        </w:rPr>
        <w:t>sitagliptin</w:t>
      </w:r>
      <w:proofErr w:type="spellEnd"/>
      <w:r w:rsidRPr="00913428">
        <w:rPr>
          <w:sz w:val="24"/>
          <w:szCs w:val="24"/>
        </w:rPr>
        <w:t xml:space="preserve"> dagligt i 10 dage øgedes plasma AUC for </w:t>
      </w:r>
      <w:proofErr w:type="spellStart"/>
      <w:r w:rsidRPr="00913428">
        <w:rPr>
          <w:sz w:val="24"/>
          <w:szCs w:val="24"/>
        </w:rPr>
        <w:t>digoxin</w:t>
      </w:r>
      <w:proofErr w:type="spellEnd"/>
      <w:r w:rsidRPr="00913428">
        <w:rPr>
          <w:sz w:val="24"/>
          <w:szCs w:val="24"/>
        </w:rPr>
        <w:t xml:space="preserve"> gennemsnitligt med 11 % og plasma </w:t>
      </w:r>
      <w:proofErr w:type="spellStart"/>
      <w:r w:rsidRPr="00913428">
        <w:rPr>
          <w:sz w:val="24"/>
          <w:szCs w:val="24"/>
        </w:rPr>
        <w:t>C</w:t>
      </w:r>
      <w:r w:rsidRPr="00913428">
        <w:rPr>
          <w:sz w:val="24"/>
          <w:szCs w:val="24"/>
          <w:vertAlign w:val="subscript"/>
        </w:rPr>
        <w:t>max</w:t>
      </w:r>
      <w:proofErr w:type="spellEnd"/>
      <w:r w:rsidRPr="00913428">
        <w:rPr>
          <w:sz w:val="24"/>
          <w:szCs w:val="24"/>
        </w:rPr>
        <w:t xml:space="preserve"> med gennemsnitligt 18 %. Der anbefales ingen dosisjustering af </w:t>
      </w:r>
      <w:proofErr w:type="spellStart"/>
      <w:r w:rsidRPr="00913428">
        <w:rPr>
          <w:sz w:val="24"/>
          <w:szCs w:val="24"/>
        </w:rPr>
        <w:t>digoxin</w:t>
      </w:r>
      <w:proofErr w:type="spellEnd"/>
      <w:r w:rsidRPr="00913428">
        <w:rPr>
          <w:sz w:val="24"/>
          <w:szCs w:val="24"/>
        </w:rPr>
        <w:t xml:space="preserve">. Patienter, der har risiko for </w:t>
      </w:r>
      <w:proofErr w:type="spellStart"/>
      <w:r w:rsidRPr="00913428">
        <w:rPr>
          <w:sz w:val="24"/>
          <w:szCs w:val="24"/>
        </w:rPr>
        <w:t>digoxinforgiftning</w:t>
      </w:r>
      <w:proofErr w:type="spellEnd"/>
      <w:r w:rsidRPr="00913428">
        <w:rPr>
          <w:sz w:val="24"/>
          <w:szCs w:val="24"/>
        </w:rPr>
        <w:t xml:space="preserve">, bør dog monitoreres for dette, når </w:t>
      </w:r>
      <w:proofErr w:type="spellStart"/>
      <w:r w:rsidRPr="00913428">
        <w:rPr>
          <w:sz w:val="24"/>
          <w:szCs w:val="24"/>
        </w:rPr>
        <w:t>sitagliptin</w:t>
      </w:r>
      <w:proofErr w:type="spellEnd"/>
      <w:r w:rsidRPr="00913428">
        <w:rPr>
          <w:sz w:val="24"/>
          <w:szCs w:val="24"/>
        </w:rPr>
        <w:t xml:space="preserve"> og </w:t>
      </w:r>
      <w:proofErr w:type="spellStart"/>
      <w:r w:rsidRPr="00913428">
        <w:rPr>
          <w:sz w:val="24"/>
          <w:szCs w:val="24"/>
        </w:rPr>
        <w:t>digoxin</w:t>
      </w:r>
      <w:proofErr w:type="spellEnd"/>
      <w:r w:rsidRPr="00913428">
        <w:rPr>
          <w:sz w:val="24"/>
          <w:szCs w:val="24"/>
        </w:rPr>
        <w:t xml:space="preserve"> administreres samtidigt.</w:t>
      </w:r>
    </w:p>
    <w:p w14:paraId="53C9AA79" w14:textId="77777777" w:rsidR="00913428" w:rsidRPr="00913428" w:rsidRDefault="00913428" w:rsidP="00913428">
      <w:pPr>
        <w:tabs>
          <w:tab w:val="left" w:pos="851"/>
        </w:tabs>
        <w:ind w:left="851"/>
        <w:rPr>
          <w:sz w:val="24"/>
          <w:szCs w:val="24"/>
        </w:rPr>
      </w:pPr>
    </w:p>
    <w:p w14:paraId="7A9DC6DC" w14:textId="77777777" w:rsidR="00913428" w:rsidRPr="00913428" w:rsidRDefault="00913428" w:rsidP="00913428">
      <w:pPr>
        <w:tabs>
          <w:tab w:val="left" w:pos="851"/>
        </w:tabs>
        <w:ind w:left="851"/>
        <w:rPr>
          <w:sz w:val="24"/>
          <w:szCs w:val="24"/>
        </w:rPr>
      </w:pPr>
      <w:r w:rsidRPr="00913428">
        <w:rPr>
          <w:i/>
          <w:iCs/>
          <w:sz w:val="24"/>
          <w:szCs w:val="24"/>
        </w:rPr>
        <w:t xml:space="preserve">In </w:t>
      </w:r>
      <w:proofErr w:type="spellStart"/>
      <w:r w:rsidRPr="00913428">
        <w:rPr>
          <w:i/>
          <w:iCs/>
          <w:sz w:val="24"/>
          <w:szCs w:val="24"/>
        </w:rPr>
        <w:t>vitro</w:t>
      </w:r>
      <w:proofErr w:type="spellEnd"/>
      <w:r w:rsidRPr="00913428">
        <w:rPr>
          <w:sz w:val="24"/>
          <w:szCs w:val="24"/>
        </w:rPr>
        <w:t xml:space="preserve">-data tyder på, at </w:t>
      </w:r>
      <w:proofErr w:type="spellStart"/>
      <w:r w:rsidRPr="00913428">
        <w:rPr>
          <w:sz w:val="24"/>
          <w:szCs w:val="24"/>
        </w:rPr>
        <w:t>sitagliptin</w:t>
      </w:r>
      <w:proofErr w:type="spellEnd"/>
      <w:r w:rsidRPr="00913428">
        <w:rPr>
          <w:sz w:val="24"/>
          <w:szCs w:val="24"/>
        </w:rPr>
        <w:t xml:space="preserve"> hverken hæmmer eller inducerer CYP450-isoenzymer. I kliniske undersøgelser ændrede </w:t>
      </w:r>
      <w:proofErr w:type="spellStart"/>
      <w:r w:rsidRPr="00913428">
        <w:rPr>
          <w:sz w:val="24"/>
          <w:szCs w:val="24"/>
        </w:rPr>
        <w:t>sitagliptin</w:t>
      </w:r>
      <w:proofErr w:type="spellEnd"/>
      <w:r w:rsidRPr="00913428">
        <w:rPr>
          <w:sz w:val="24"/>
          <w:szCs w:val="24"/>
        </w:rPr>
        <w:t xml:space="preserve"> ikke farmakokinetikken for </w:t>
      </w:r>
      <w:proofErr w:type="spellStart"/>
      <w:r w:rsidRPr="00913428">
        <w:rPr>
          <w:sz w:val="24"/>
          <w:szCs w:val="24"/>
        </w:rPr>
        <w:t>metformin</w:t>
      </w:r>
      <w:proofErr w:type="spellEnd"/>
      <w:r w:rsidRPr="00913428">
        <w:rPr>
          <w:sz w:val="24"/>
          <w:szCs w:val="24"/>
        </w:rPr>
        <w:t xml:space="preserve">, </w:t>
      </w:r>
      <w:proofErr w:type="spellStart"/>
      <w:r w:rsidRPr="00913428">
        <w:rPr>
          <w:sz w:val="24"/>
          <w:szCs w:val="24"/>
        </w:rPr>
        <w:t>glyburid</w:t>
      </w:r>
      <w:proofErr w:type="spellEnd"/>
      <w:r w:rsidRPr="00913428">
        <w:rPr>
          <w:sz w:val="24"/>
          <w:szCs w:val="24"/>
        </w:rPr>
        <w:t xml:space="preserve">, </w:t>
      </w:r>
      <w:proofErr w:type="spellStart"/>
      <w:r w:rsidRPr="00913428">
        <w:rPr>
          <w:sz w:val="24"/>
          <w:szCs w:val="24"/>
        </w:rPr>
        <w:t>simvastatin</w:t>
      </w:r>
      <w:proofErr w:type="spellEnd"/>
      <w:r w:rsidRPr="00913428">
        <w:rPr>
          <w:sz w:val="24"/>
          <w:szCs w:val="24"/>
        </w:rPr>
        <w:t xml:space="preserve">, </w:t>
      </w:r>
      <w:proofErr w:type="spellStart"/>
      <w:r w:rsidRPr="00913428">
        <w:rPr>
          <w:sz w:val="24"/>
          <w:szCs w:val="24"/>
        </w:rPr>
        <w:t>rosiglitazon</w:t>
      </w:r>
      <w:proofErr w:type="spellEnd"/>
      <w:r w:rsidRPr="00913428">
        <w:rPr>
          <w:sz w:val="24"/>
          <w:szCs w:val="24"/>
        </w:rPr>
        <w:t xml:space="preserve">, </w:t>
      </w:r>
      <w:proofErr w:type="spellStart"/>
      <w:r w:rsidRPr="00913428">
        <w:rPr>
          <w:sz w:val="24"/>
          <w:szCs w:val="24"/>
        </w:rPr>
        <w:t>warfarin</w:t>
      </w:r>
      <w:proofErr w:type="spellEnd"/>
      <w:r w:rsidRPr="00913428">
        <w:rPr>
          <w:sz w:val="24"/>
          <w:szCs w:val="24"/>
        </w:rPr>
        <w:t xml:space="preserve"> eller orale </w:t>
      </w:r>
      <w:proofErr w:type="spellStart"/>
      <w:r w:rsidRPr="00913428">
        <w:rPr>
          <w:sz w:val="24"/>
          <w:szCs w:val="24"/>
        </w:rPr>
        <w:t>kontraceptiva</w:t>
      </w:r>
      <w:proofErr w:type="spellEnd"/>
      <w:r w:rsidRPr="00913428">
        <w:rPr>
          <w:sz w:val="24"/>
          <w:szCs w:val="24"/>
        </w:rPr>
        <w:t xml:space="preserve"> signifikant. Dette </w:t>
      </w:r>
      <w:r w:rsidRPr="00913428">
        <w:rPr>
          <w:sz w:val="24"/>
          <w:szCs w:val="24"/>
        </w:rPr>
        <w:lastRenderedPageBreak/>
        <w:t xml:space="preserve">giver </w:t>
      </w:r>
      <w:r w:rsidRPr="00913428">
        <w:rPr>
          <w:i/>
          <w:iCs/>
          <w:sz w:val="24"/>
          <w:szCs w:val="24"/>
        </w:rPr>
        <w:t xml:space="preserve">in </w:t>
      </w:r>
      <w:proofErr w:type="spellStart"/>
      <w:r w:rsidRPr="00913428">
        <w:rPr>
          <w:i/>
          <w:iCs/>
          <w:sz w:val="24"/>
          <w:szCs w:val="24"/>
        </w:rPr>
        <w:t>vivo</w:t>
      </w:r>
      <w:proofErr w:type="spellEnd"/>
      <w:r w:rsidRPr="00913428">
        <w:rPr>
          <w:sz w:val="24"/>
          <w:szCs w:val="24"/>
        </w:rPr>
        <w:t xml:space="preserve"> evidens for lav tilbøjelighed til at forårsage interaktion med substrater for CYP3A4, CYP2C8, CYP2C9 og organisk kationtransportør. </w:t>
      </w:r>
      <w:proofErr w:type="spellStart"/>
      <w:r w:rsidRPr="00913428">
        <w:rPr>
          <w:sz w:val="24"/>
          <w:szCs w:val="24"/>
        </w:rPr>
        <w:t>Sitagliptin</w:t>
      </w:r>
      <w:proofErr w:type="spellEnd"/>
      <w:r w:rsidRPr="00913428">
        <w:rPr>
          <w:sz w:val="24"/>
          <w:szCs w:val="24"/>
        </w:rPr>
        <w:t xml:space="preserve"> kan være en svag hæmmer af P-</w:t>
      </w:r>
      <w:proofErr w:type="spellStart"/>
      <w:r w:rsidRPr="00913428">
        <w:rPr>
          <w:sz w:val="24"/>
          <w:szCs w:val="24"/>
        </w:rPr>
        <w:t>glykoprotein</w:t>
      </w:r>
      <w:proofErr w:type="spellEnd"/>
      <w:r w:rsidRPr="00913428">
        <w:rPr>
          <w:sz w:val="24"/>
          <w:szCs w:val="24"/>
        </w:rPr>
        <w:t xml:space="preserve"> </w:t>
      </w:r>
      <w:r w:rsidRPr="00913428">
        <w:rPr>
          <w:i/>
          <w:iCs/>
          <w:sz w:val="24"/>
          <w:szCs w:val="24"/>
        </w:rPr>
        <w:t xml:space="preserve">in </w:t>
      </w:r>
      <w:proofErr w:type="spellStart"/>
      <w:r w:rsidRPr="00913428">
        <w:rPr>
          <w:i/>
          <w:iCs/>
          <w:sz w:val="24"/>
          <w:szCs w:val="24"/>
        </w:rPr>
        <w:t>vivo</w:t>
      </w:r>
      <w:proofErr w:type="spellEnd"/>
      <w:r w:rsidRPr="00913428">
        <w:rPr>
          <w:sz w:val="24"/>
          <w:szCs w:val="24"/>
        </w:rPr>
        <w:t>.</w:t>
      </w:r>
    </w:p>
    <w:p w14:paraId="6E1B4179" w14:textId="77777777" w:rsidR="009260DE" w:rsidRPr="00C84483" w:rsidRDefault="009260DE" w:rsidP="009260DE">
      <w:pPr>
        <w:tabs>
          <w:tab w:val="left" w:pos="851"/>
        </w:tabs>
        <w:ind w:left="851"/>
        <w:rPr>
          <w:sz w:val="24"/>
          <w:szCs w:val="24"/>
        </w:rPr>
      </w:pPr>
    </w:p>
    <w:p w14:paraId="26ABB8B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0464018" w14:textId="77777777" w:rsidR="0071403C" w:rsidRPr="0071403C" w:rsidRDefault="0071403C" w:rsidP="0071403C">
      <w:pPr>
        <w:tabs>
          <w:tab w:val="left" w:pos="851"/>
        </w:tabs>
        <w:ind w:left="851"/>
        <w:rPr>
          <w:sz w:val="24"/>
          <w:szCs w:val="24"/>
        </w:rPr>
      </w:pPr>
    </w:p>
    <w:p w14:paraId="3215AF1D" w14:textId="77777777" w:rsidR="0071403C" w:rsidRPr="0071403C" w:rsidRDefault="0071403C" w:rsidP="0071403C">
      <w:pPr>
        <w:tabs>
          <w:tab w:val="left" w:pos="851"/>
        </w:tabs>
        <w:ind w:left="851"/>
        <w:rPr>
          <w:sz w:val="24"/>
          <w:szCs w:val="24"/>
          <w:u w:val="single"/>
        </w:rPr>
      </w:pPr>
      <w:r w:rsidRPr="0071403C">
        <w:rPr>
          <w:sz w:val="24"/>
          <w:szCs w:val="24"/>
          <w:u w:val="single"/>
        </w:rPr>
        <w:t>Graviditet</w:t>
      </w:r>
    </w:p>
    <w:p w14:paraId="04EBAF93" w14:textId="77777777" w:rsidR="0071403C" w:rsidRPr="0071403C" w:rsidRDefault="0071403C" w:rsidP="0071403C">
      <w:pPr>
        <w:tabs>
          <w:tab w:val="left" w:pos="851"/>
        </w:tabs>
        <w:ind w:left="851"/>
        <w:rPr>
          <w:sz w:val="24"/>
          <w:szCs w:val="24"/>
        </w:rPr>
      </w:pPr>
      <w:r w:rsidRPr="0071403C">
        <w:rPr>
          <w:sz w:val="24"/>
          <w:szCs w:val="24"/>
        </w:rPr>
        <w:t xml:space="preserve">Der er utilstrækkelige data fra anvendelse af </w:t>
      </w:r>
      <w:proofErr w:type="spellStart"/>
      <w:r w:rsidRPr="0071403C">
        <w:rPr>
          <w:sz w:val="24"/>
          <w:szCs w:val="24"/>
        </w:rPr>
        <w:t>sitagliptin</w:t>
      </w:r>
      <w:proofErr w:type="spellEnd"/>
      <w:r w:rsidRPr="0071403C">
        <w:rPr>
          <w:sz w:val="24"/>
          <w:szCs w:val="24"/>
        </w:rPr>
        <w:t xml:space="preserve"> til gravide kvinder. Dyreforsøg har påvist reproduktionstoksicitet ved høje doser (se pkt. 5.3). Den potentielle risiko for mennesker er ukendt. På grund af mangel på humane data bør </w:t>
      </w:r>
      <w:proofErr w:type="spellStart"/>
      <w:r w:rsidRPr="0071403C">
        <w:rPr>
          <w:sz w:val="24"/>
          <w:szCs w:val="24"/>
        </w:rPr>
        <w:t>Sitagliptin</w:t>
      </w:r>
      <w:proofErr w:type="spellEnd"/>
      <w:r w:rsidRPr="0071403C">
        <w:rPr>
          <w:sz w:val="24"/>
          <w:szCs w:val="24"/>
        </w:rPr>
        <w:t xml:space="preserve"> "</w:t>
      </w:r>
      <w:proofErr w:type="spellStart"/>
      <w:r w:rsidRPr="0071403C">
        <w:rPr>
          <w:sz w:val="24"/>
          <w:szCs w:val="24"/>
        </w:rPr>
        <w:t>Zentiva</w:t>
      </w:r>
      <w:proofErr w:type="spellEnd"/>
      <w:r w:rsidRPr="0071403C">
        <w:rPr>
          <w:sz w:val="24"/>
          <w:szCs w:val="24"/>
        </w:rPr>
        <w:t xml:space="preserve"> ApS" ikke anvendes under graviditet.</w:t>
      </w:r>
    </w:p>
    <w:p w14:paraId="60BB4B2E" w14:textId="77777777" w:rsidR="0071403C" w:rsidRPr="0071403C" w:rsidRDefault="0071403C" w:rsidP="0071403C">
      <w:pPr>
        <w:tabs>
          <w:tab w:val="left" w:pos="851"/>
        </w:tabs>
        <w:ind w:left="851"/>
        <w:rPr>
          <w:sz w:val="24"/>
          <w:szCs w:val="24"/>
        </w:rPr>
      </w:pPr>
    </w:p>
    <w:p w14:paraId="0C400712" w14:textId="77777777" w:rsidR="0071403C" w:rsidRPr="0071403C" w:rsidRDefault="0071403C" w:rsidP="0071403C">
      <w:pPr>
        <w:tabs>
          <w:tab w:val="left" w:pos="851"/>
        </w:tabs>
        <w:ind w:left="851"/>
        <w:rPr>
          <w:sz w:val="24"/>
          <w:szCs w:val="24"/>
          <w:u w:val="single"/>
        </w:rPr>
      </w:pPr>
      <w:r w:rsidRPr="0071403C">
        <w:rPr>
          <w:sz w:val="24"/>
          <w:szCs w:val="24"/>
          <w:u w:val="single"/>
        </w:rPr>
        <w:t>Amning</w:t>
      </w:r>
    </w:p>
    <w:p w14:paraId="0F5BEB79" w14:textId="77777777" w:rsidR="0071403C" w:rsidRPr="0071403C" w:rsidRDefault="0071403C" w:rsidP="0071403C">
      <w:pPr>
        <w:tabs>
          <w:tab w:val="left" w:pos="851"/>
        </w:tabs>
        <w:ind w:left="851"/>
        <w:rPr>
          <w:sz w:val="24"/>
          <w:szCs w:val="24"/>
        </w:rPr>
      </w:pPr>
      <w:r w:rsidRPr="0071403C">
        <w:rPr>
          <w:sz w:val="24"/>
          <w:szCs w:val="24"/>
        </w:rPr>
        <w:t xml:space="preserve">Det er ukendt, om </w:t>
      </w:r>
      <w:proofErr w:type="spellStart"/>
      <w:r w:rsidRPr="0071403C">
        <w:rPr>
          <w:sz w:val="24"/>
          <w:szCs w:val="24"/>
        </w:rPr>
        <w:t>sitagliptin</w:t>
      </w:r>
      <w:proofErr w:type="spellEnd"/>
      <w:r w:rsidRPr="0071403C">
        <w:rPr>
          <w:sz w:val="24"/>
          <w:szCs w:val="24"/>
        </w:rPr>
        <w:t xml:space="preserve"> udskilles i human mælk. Dyreforsøg har vist udskillelse af </w:t>
      </w:r>
      <w:proofErr w:type="spellStart"/>
      <w:r w:rsidRPr="0071403C">
        <w:rPr>
          <w:sz w:val="24"/>
          <w:szCs w:val="24"/>
        </w:rPr>
        <w:t>sitagliptin</w:t>
      </w:r>
      <w:proofErr w:type="spellEnd"/>
      <w:r w:rsidRPr="0071403C">
        <w:rPr>
          <w:sz w:val="24"/>
          <w:szCs w:val="24"/>
        </w:rPr>
        <w:t xml:space="preserve"> i modermælk. </w:t>
      </w:r>
      <w:proofErr w:type="spellStart"/>
      <w:r w:rsidRPr="0071403C">
        <w:rPr>
          <w:sz w:val="24"/>
          <w:szCs w:val="24"/>
        </w:rPr>
        <w:t>Sitagliptin</w:t>
      </w:r>
      <w:proofErr w:type="spellEnd"/>
      <w:r w:rsidRPr="0071403C">
        <w:rPr>
          <w:sz w:val="24"/>
          <w:szCs w:val="24"/>
        </w:rPr>
        <w:t xml:space="preserve"> "</w:t>
      </w:r>
      <w:proofErr w:type="spellStart"/>
      <w:r w:rsidRPr="0071403C">
        <w:rPr>
          <w:sz w:val="24"/>
          <w:szCs w:val="24"/>
        </w:rPr>
        <w:t>Zentiva</w:t>
      </w:r>
      <w:proofErr w:type="spellEnd"/>
      <w:r w:rsidRPr="0071403C">
        <w:rPr>
          <w:sz w:val="24"/>
          <w:szCs w:val="24"/>
        </w:rPr>
        <w:t xml:space="preserve"> ApS" bør ikke anvendes under amning.</w:t>
      </w:r>
    </w:p>
    <w:p w14:paraId="546541B2" w14:textId="77777777" w:rsidR="0071403C" w:rsidRPr="0071403C" w:rsidRDefault="0071403C" w:rsidP="0071403C">
      <w:pPr>
        <w:tabs>
          <w:tab w:val="left" w:pos="851"/>
        </w:tabs>
        <w:ind w:left="851"/>
        <w:rPr>
          <w:sz w:val="24"/>
          <w:szCs w:val="24"/>
        </w:rPr>
      </w:pPr>
    </w:p>
    <w:p w14:paraId="4B96211B" w14:textId="77777777" w:rsidR="0071403C" w:rsidRPr="0071403C" w:rsidRDefault="0071403C" w:rsidP="0071403C">
      <w:pPr>
        <w:tabs>
          <w:tab w:val="left" w:pos="851"/>
        </w:tabs>
        <w:ind w:left="851"/>
        <w:rPr>
          <w:sz w:val="24"/>
          <w:szCs w:val="24"/>
          <w:u w:val="single"/>
        </w:rPr>
      </w:pPr>
      <w:r w:rsidRPr="0071403C">
        <w:rPr>
          <w:sz w:val="24"/>
          <w:szCs w:val="24"/>
          <w:u w:val="single"/>
        </w:rPr>
        <w:t>Fertilitet</w:t>
      </w:r>
    </w:p>
    <w:p w14:paraId="5980E1AC" w14:textId="77777777" w:rsidR="0071403C" w:rsidRPr="0071403C" w:rsidRDefault="0071403C" w:rsidP="0071403C">
      <w:pPr>
        <w:tabs>
          <w:tab w:val="left" w:pos="851"/>
        </w:tabs>
        <w:ind w:left="851"/>
        <w:rPr>
          <w:sz w:val="24"/>
          <w:szCs w:val="24"/>
        </w:rPr>
      </w:pPr>
      <w:r w:rsidRPr="0071403C">
        <w:rPr>
          <w:sz w:val="24"/>
          <w:szCs w:val="24"/>
        </w:rPr>
        <w:t xml:space="preserve">Data fra dyreforsøg viser ingen virkning af </w:t>
      </w:r>
      <w:proofErr w:type="spellStart"/>
      <w:r w:rsidRPr="0071403C">
        <w:rPr>
          <w:sz w:val="24"/>
          <w:szCs w:val="24"/>
        </w:rPr>
        <w:t>sitagliptinbehandling</w:t>
      </w:r>
      <w:proofErr w:type="spellEnd"/>
      <w:r w:rsidRPr="0071403C">
        <w:rPr>
          <w:sz w:val="24"/>
          <w:szCs w:val="24"/>
        </w:rPr>
        <w:t xml:space="preserve"> på fertiliteten hos hanner og hunner. Der findes ikke humane data.</w:t>
      </w:r>
    </w:p>
    <w:p w14:paraId="5FC13656" w14:textId="77777777" w:rsidR="009260DE" w:rsidRPr="00C84483" w:rsidRDefault="009260DE" w:rsidP="009260DE">
      <w:pPr>
        <w:tabs>
          <w:tab w:val="left" w:pos="851"/>
        </w:tabs>
        <w:ind w:left="851"/>
        <w:rPr>
          <w:sz w:val="24"/>
          <w:szCs w:val="24"/>
        </w:rPr>
      </w:pPr>
    </w:p>
    <w:p w14:paraId="124E77D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05AA4AA" w14:textId="77777777" w:rsidR="0071403C" w:rsidRPr="00B206D2" w:rsidRDefault="0071403C" w:rsidP="0071403C">
      <w:pPr>
        <w:tabs>
          <w:tab w:val="left" w:pos="851"/>
        </w:tabs>
        <w:ind w:left="851"/>
        <w:rPr>
          <w:sz w:val="24"/>
          <w:szCs w:val="24"/>
        </w:rPr>
      </w:pPr>
      <w:r w:rsidRPr="00B206D2">
        <w:rPr>
          <w:sz w:val="24"/>
          <w:szCs w:val="24"/>
        </w:rPr>
        <w:t>Ikke mærkning.</w:t>
      </w:r>
    </w:p>
    <w:p w14:paraId="706BE905" w14:textId="77777777" w:rsidR="0071403C" w:rsidRPr="00B206D2" w:rsidRDefault="0071403C" w:rsidP="0071403C">
      <w:pPr>
        <w:tabs>
          <w:tab w:val="left" w:pos="851"/>
        </w:tabs>
        <w:ind w:left="851"/>
        <w:rPr>
          <w:sz w:val="24"/>
          <w:szCs w:val="24"/>
        </w:rPr>
      </w:pP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B206D2">
        <w:rPr>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76D747CB" w14:textId="77777777" w:rsidR="0071403C" w:rsidRPr="00B206D2" w:rsidRDefault="0071403C" w:rsidP="0071403C">
      <w:pPr>
        <w:tabs>
          <w:tab w:val="left" w:pos="851"/>
        </w:tabs>
        <w:ind w:left="851"/>
        <w:rPr>
          <w:sz w:val="24"/>
          <w:szCs w:val="24"/>
        </w:rPr>
      </w:pPr>
      <w:r w:rsidRPr="00B206D2">
        <w:rPr>
          <w:sz w:val="24"/>
          <w:szCs w:val="24"/>
        </w:rPr>
        <w:t xml:space="preserve">Desuden bør patienterne være opmærksomme på risikoen for hypoglykæmi, når </w:t>
      </w: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B206D2">
        <w:rPr>
          <w:sz w:val="24"/>
          <w:szCs w:val="24"/>
        </w:rPr>
        <w:t xml:space="preserve"> anvendes sammen med et </w:t>
      </w:r>
      <w:proofErr w:type="spellStart"/>
      <w:r w:rsidRPr="00B206D2">
        <w:rPr>
          <w:sz w:val="24"/>
          <w:szCs w:val="24"/>
        </w:rPr>
        <w:t>sulfonylurinstof</w:t>
      </w:r>
      <w:proofErr w:type="spellEnd"/>
      <w:r w:rsidRPr="00B206D2">
        <w:rPr>
          <w:sz w:val="24"/>
          <w:szCs w:val="24"/>
        </w:rPr>
        <w:t xml:space="preserve"> eller sammen med insulin.</w:t>
      </w:r>
    </w:p>
    <w:p w14:paraId="55E26760" w14:textId="77777777" w:rsidR="009260DE" w:rsidRPr="00C84483" w:rsidRDefault="009260DE" w:rsidP="009260DE">
      <w:pPr>
        <w:tabs>
          <w:tab w:val="left" w:pos="851"/>
        </w:tabs>
        <w:ind w:left="851"/>
        <w:rPr>
          <w:sz w:val="24"/>
          <w:szCs w:val="24"/>
        </w:rPr>
      </w:pPr>
    </w:p>
    <w:p w14:paraId="69A4B8D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A088082" w14:textId="77777777" w:rsidR="0071403C" w:rsidRDefault="0071403C" w:rsidP="0071403C">
      <w:pPr>
        <w:tabs>
          <w:tab w:val="left" w:pos="851"/>
        </w:tabs>
        <w:ind w:left="851"/>
        <w:rPr>
          <w:sz w:val="24"/>
          <w:szCs w:val="24"/>
          <w:u w:val="single"/>
        </w:rPr>
      </w:pPr>
    </w:p>
    <w:p w14:paraId="7336D836" w14:textId="77777777" w:rsidR="0071403C" w:rsidRPr="00D33728" w:rsidRDefault="0071403C" w:rsidP="0071403C">
      <w:pPr>
        <w:tabs>
          <w:tab w:val="left" w:pos="851"/>
        </w:tabs>
        <w:ind w:left="851"/>
        <w:rPr>
          <w:sz w:val="24"/>
          <w:szCs w:val="24"/>
          <w:u w:val="single"/>
          <w:lang w:eastAsia="da-DK"/>
        </w:rPr>
      </w:pPr>
      <w:r w:rsidRPr="00D33728">
        <w:rPr>
          <w:sz w:val="24"/>
          <w:szCs w:val="24"/>
          <w:u w:val="single"/>
        </w:rPr>
        <w:t>Opsummering af sikkerhedsprofilen</w:t>
      </w:r>
    </w:p>
    <w:p w14:paraId="1A11796B" w14:textId="77777777" w:rsidR="0071403C" w:rsidRPr="00D33728" w:rsidRDefault="0071403C" w:rsidP="0071403C">
      <w:pPr>
        <w:tabs>
          <w:tab w:val="left" w:pos="851"/>
        </w:tabs>
        <w:ind w:left="851"/>
        <w:rPr>
          <w:sz w:val="24"/>
          <w:szCs w:val="24"/>
        </w:rPr>
      </w:pPr>
      <w:r w:rsidRPr="00D33728">
        <w:rPr>
          <w:sz w:val="24"/>
          <w:szCs w:val="24"/>
        </w:rPr>
        <w:t xml:space="preserve">Alvorlige bivirkninger herunder </w:t>
      </w:r>
      <w:proofErr w:type="spellStart"/>
      <w:r w:rsidRPr="00D33728">
        <w:rPr>
          <w:sz w:val="24"/>
          <w:szCs w:val="24"/>
        </w:rPr>
        <w:t>pankreatitis</w:t>
      </w:r>
      <w:proofErr w:type="spellEnd"/>
      <w:r w:rsidRPr="00D33728">
        <w:rPr>
          <w:sz w:val="24"/>
          <w:szCs w:val="24"/>
        </w:rPr>
        <w:t xml:space="preserve"> og overfølsomhed er blevet rapporteret. Hypoglykæmi er blevet rapporteret sammen med </w:t>
      </w:r>
      <w:proofErr w:type="spellStart"/>
      <w:r w:rsidRPr="00D33728">
        <w:rPr>
          <w:sz w:val="24"/>
          <w:szCs w:val="24"/>
        </w:rPr>
        <w:t>sulfonylurinstof</w:t>
      </w:r>
      <w:proofErr w:type="spellEnd"/>
      <w:r w:rsidRPr="00D33728">
        <w:rPr>
          <w:sz w:val="24"/>
          <w:szCs w:val="24"/>
        </w:rPr>
        <w:t xml:space="preserve"> (4,7</w:t>
      </w:r>
      <w:r>
        <w:rPr>
          <w:sz w:val="24"/>
          <w:szCs w:val="24"/>
        </w:rPr>
        <w:t xml:space="preserve"> %</w:t>
      </w:r>
      <w:r w:rsidRPr="00D33728">
        <w:rPr>
          <w:sz w:val="24"/>
          <w:szCs w:val="24"/>
        </w:rPr>
        <w:t>-13,8</w:t>
      </w:r>
      <w:r>
        <w:rPr>
          <w:sz w:val="24"/>
          <w:szCs w:val="24"/>
        </w:rPr>
        <w:t xml:space="preserve"> %</w:t>
      </w:r>
      <w:r w:rsidRPr="00D33728">
        <w:rPr>
          <w:sz w:val="24"/>
          <w:szCs w:val="24"/>
        </w:rPr>
        <w:t>) og insulin (9,6</w:t>
      </w:r>
      <w:r>
        <w:rPr>
          <w:sz w:val="24"/>
          <w:szCs w:val="24"/>
        </w:rPr>
        <w:t xml:space="preserve"> %</w:t>
      </w:r>
      <w:r w:rsidRPr="00D33728">
        <w:rPr>
          <w:sz w:val="24"/>
          <w:szCs w:val="24"/>
        </w:rPr>
        <w:t>) (se pkt. 4.4).</w:t>
      </w:r>
    </w:p>
    <w:p w14:paraId="2B6BC3A2" w14:textId="77777777" w:rsidR="0071403C" w:rsidRPr="00D33728" w:rsidRDefault="0071403C" w:rsidP="0071403C">
      <w:pPr>
        <w:tabs>
          <w:tab w:val="left" w:pos="851"/>
        </w:tabs>
        <w:ind w:left="851"/>
        <w:rPr>
          <w:sz w:val="24"/>
          <w:szCs w:val="24"/>
        </w:rPr>
      </w:pPr>
    </w:p>
    <w:p w14:paraId="603CD572" w14:textId="77777777" w:rsidR="0071403C" w:rsidRPr="00D33728" w:rsidRDefault="0071403C" w:rsidP="0071403C">
      <w:pPr>
        <w:tabs>
          <w:tab w:val="left" w:pos="851"/>
        </w:tabs>
        <w:ind w:left="851"/>
        <w:rPr>
          <w:sz w:val="24"/>
          <w:szCs w:val="24"/>
          <w:u w:val="single"/>
        </w:rPr>
      </w:pPr>
      <w:r w:rsidRPr="00D33728">
        <w:rPr>
          <w:sz w:val="24"/>
          <w:szCs w:val="24"/>
          <w:u w:val="single"/>
        </w:rPr>
        <w:t>Bivirkningstabel</w:t>
      </w:r>
    </w:p>
    <w:p w14:paraId="18D56E14" w14:textId="77777777" w:rsidR="0071403C" w:rsidRPr="00D33728" w:rsidRDefault="0071403C" w:rsidP="0071403C">
      <w:pPr>
        <w:tabs>
          <w:tab w:val="left" w:pos="851"/>
        </w:tabs>
        <w:ind w:left="851"/>
        <w:rPr>
          <w:sz w:val="24"/>
          <w:szCs w:val="24"/>
        </w:rPr>
      </w:pPr>
      <w:r w:rsidRPr="00D33728">
        <w:rPr>
          <w:sz w:val="24"/>
          <w:szCs w:val="24"/>
        </w:rPr>
        <w:t>Bivirkningerne ses nedenfor (tabel 1) inddelt i systemorganklasse og frekvens. Frekvenserne defineres som: Meget almindelig (≥ 1/10); almindelig (≥ 1/100 til &lt; 1/10); ikke almindelig (≥ 1/1 000 til &lt; 1/100); sjælden (≥ 1/10 000 til &lt; 1/1 000); meget sjælden (&lt; 1/10 000) og ikke kendt (kan ikke estimeres ud fra forhåndenværende data).</w:t>
      </w:r>
    </w:p>
    <w:p w14:paraId="4EECABD0" w14:textId="77777777" w:rsidR="0071403C" w:rsidRPr="00D33728" w:rsidRDefault="0071403C" w:rsidP="0071403C">
      <w:pPr>
        <w:tabs>
          <w:tab w:val="left" w:pos="851"/>
        </w:tabs>
        <w:ind w:left="851"/>
        <w:rPr>
          <w:sz w:val="24"/>
          <w:szCs w:val="24"/>
        </w:rPr>
      </w:pPr>
    </w:p>
    <w:p w14:paraId="68882D64" w14:textId="77777777" w:rsidR="0071403C" w:rsidRDefault="0071403C" w:rsidP="0071403C">
      <w:pPr>
        <w:tabs>
          <w:tab w:val="left" w:pos="851"/>
        </w:tabs>
        <w:ind w:left="851"/>
        <w:rPr>
          <w:b/>
          <w:bCs/>
        </w:rPr>
      </w:pPr>
      <w:r>
        <w:rPr>
          <w:b/>
          <w:bCs/>
        </w:rPr>
        <w:t xml:space="preserve">Tabel 1. Bivirkningsfrekvens identificeret i placebo-kontrollerede kliniske undersøgelser med </w:t>
      </w:r>
      <w:proofErr w:type="spellStart"/>
      <w:r>
        <w:rPr>
          <w:b/>
          <w:bCs/>
        </w:rPr>
        <w:t>sitagliptin</w:t>
      </w:r>
      <w:proofErr w:type="spellEnd"/>
      <w:r>
        <w:rPr>
          <w:b/>
          <w:bCs/>
        </w:rPr>
        <w:t>-monoterapi og efter markedsføring</w:t>
      </w:r>
    </w:p>
    <w:p w14:paraId="4B424592" w14:textId="77777777" w:rsidR="0071403C" w:rsidRDefault="0071403C" w:rsidP="0071403C">
      <w:pPr>
        <w:tabs>
          <w:tab w:val="left" w:pos="851"/>
        </w:tabs>
        <w:ind w:left="851"/>
        <w:rPr>
          <w:b/>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4868"/>
      </w:tblGrid>
      <w:tr w:rsidR="0071403C" w14:paraId="41E46C11" w14:textId="77777777" w:rsidTr="00854197">
        <w:trPr>
          <w:tblHeader/>
        </w:trPr>
        <w:tc>
          <w:tcPr>
            <w:tcW w:w="3812" w:type="dxa"/>
            <w:tcBorders>
              <w:top w:val="single" w:sz="4" w:space="0" w:color="auto"/>
              <w:left w:val="single" w:sz="4" w:space="0" w:color="auto"/>
              <w:bottom w:val="single" w:sz="4" w:space="0" w:color="auto"/>
              <w:right w:val="single" w:sz="4" w:space="0" w:color="auto"/>
            </w:tcBorders>
            <w:hideMark/>
          </w:tcPr>
          <w:p w14:paraId="4873CFA0" w14:textId="77777777" w:rsidR="0071403C" w:rsidRDefault="0071403C" w:rsidP="00854197">
            <w:pPr>
              <w:widowControl w:val="0"/>
              <w:rPr>
                <w:rFonts w:eastAsia="Calibri"/>
                <w:sz w:val="22"/>
                <w:szCs w:val="22"/>
                <w:lang w:val="en-GB"/>
              </w:rPr>
            </w:pPr>
            <w:proofErr w:type="spellStart"/>
            <w:r>
              <w:rPr>
                <w:rFonts w:eastAsia="Calibri"/>
                <w:b/>
                <w:bCs/>
                <w:sz w:val="22"/>
                <w:szCs w:val="22"/>
                <w:lang w:val="en-GB"/>
              </w:rPr>
              <w:t>Bivirkning</w:t>
            </w:r>
            <w:proofErr w:type="spellEnd"/>
          </w:p>
        </w:tc>
        <w:tc>
          <w:tcPr>
            <w:tcW w:w="5008" w:type="dxa"/>
            <w:tcBorders>
              <w:top w:val="single" w:sz="4" w:space="0" w:color="auto"/>
              <w:left w:val="single" w:sz="4" w:space="0" w:color="auto"/>
              <w:bottom w:val="single" w:sz="4" w:space="0" w:color="auto"/>
              <w:right w:val="single" w:sz="4" w:space="0" w:color="auto"/>
            </w:tcBorders>
            <w:hideMark/>
          </w:tcPr>
          <w:p w14:paraId="1DF101F2" w14:textId="77777777" w:rsidR="0071403C" w:rsidRDefault="0071403C" w:rsidP="00854197">
            <w:pPr>
              <w:widowControl w:val="0"/>
              <w:jc w:val="center"/>
              <w:rPr>
                <w:rFonts w:eastAsia="Calibri"/>
                <w:sz w:val="22"/>
                <w:szCs w:val="22"/>
                <w:lang w:val="en-GB"/>
              </w:rPr>
            </w:pPr>
            <w:proofErr w:type="spellStart"/>
            <w:r>
              <w:rPr>
                <w:rFonts w:eastAsia="Calibri"/>
                <w:b/>
                <w:bCs/>
                <w:sz w:val="22"/>
                <w:szCs w:val="22"/>
                <w:lang w:val="en-GB"/>
              </w:rPr>
              <w:t>Bivirkningsfrekvens</w:t>
            </w:r>
            <w:proofErr w:type="spellEnd"/>
            <w:r>
              <w:rPr>
                <w:rFonts w:eastAsia="Calibri"/>
                <w:b/>
                <w:bCs/>
                <w:sz w:val="22"/>
                <w:szCs w:val="22"/>
                <w:lang w:val="en-GB"/>
              </w:rPr>
              <w:t xml:space="preserve"> </w:t>
            </w:r>
          </w:p>
        </w:tc>
      </w:tr>
      <w:tr w:rsidR="0071403C" w14:paraId="2DEF58D7"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7312A921" w14:textId="77777777" w:rsidR="0071403C" w:rsidRDefault="0071403C" w:rsidP="00854197">
            <w:pPr>
              <w:widowControl w:val="0"/>
              <w:rPr>
                <w:rFonts w:eastAsia="Calibri"/>
                <w:sz w:val="22"/>
                <w:szCs w:val="22"/>
                <w:lang w:val="en-GB"/>
              </w:rPr>
            </w:pPr>
            <w:proofErr w:type="spellStart"/>
            <w:r>
              <w:rPr>
                <w:rFonts w:eastAsia="Calibri"/>
                <w:b/>
                <w:bCs/>
                <w:sz w:val="22"/>
                <w:szCs w:val="22"/>
                <w:lang w:val="en-GB"/>
              </w:rPr>
              <w:t>Blod</w:t>
            </w:r>
            <w:proofErr w:type="spellEnd"/>
            <w:r>
              <w:rPr>
                <w:rFonts w:eastAsia="Calibri"/>
                <w:b/>
                <w:bCs/>
                <w:sz w:val="22"/>
                <w:szCs w:val="22"/>
                <w:lang w:val="en-GB"/>
              </w:rPr>
              <w:t xml:space="preserve"> </w:t>
            </w:r>
            <w:proofErr w:type="spellStart"/>
            <w:r>
              <w:rPr>
                <w:rFonts w:eastAsia="Calibri"/>
                <w:b/>
                <w:bCs/>
                <w:sz w:val="22"/>
                <w:szCs w:val="22"/>
                <w:lang w:val="en-GB"/>
              </w:rPr>
              <w:t>og</w:t>
            </w:r>
            <w:proofErr w:type="spellEnd"/>
            <w:r>
              <w:rPr>
                <w:rFonts w:eastAsia="Calibri"/>
                <w:b/>
                <w:bCs/>
                <w:sz w:val="22"/>
                <w:szCs w:val="22"/>
                <w:lang w:val="en-GB"/>
              </w:rPr>
              <w:t xml:space="preserve"> </w:t>
            </w:r>
            <w:proofErr w:type="spellStart"/>
            <w:r>
              <w:rPr>
                <w:rFonts w:eastAsia="Calibri"/>
                <w:b/>
                <w:bCs/>
                <w:sz w:val="22"/>
                <w:szCs w:val="22"/>
                <w:lang w:val="en-GB"/>
              </w:rPr>
              <w:t>lymfesystem</w:t>
            </w:r>
            <w:proofErr w:type="spellEnd"/>
          </w:p>
        </w:tc>
      </w:tr>
      <w:tr w:rsidR="0071403C" w14:paraId="183085E9"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523001B4"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Trombocytopeni</w:t>
            </w:r>
            <w:proofErr w:type="spellEnd"/>
          </w:p>
        </w:tc>
        <w:tc>
          <w:tcPr>
            <w:tcW w:w="5008" w:type="dxa"/>
            <w:tcBorders>
              <w:top w:val="single" w:sz="4" w:space="0" w:color="auto"/>
              <w:left w:val="single" w:sz="4" w:space="0" w:color="auto"/>
              <w:bottom w:val="single" w:sz="4" w:space="0" w:color="auto"/>
              <w:right w:val="single" w:sz="4" w:space="0" w:color="auto"/>
            </w:tcBorders>
            <w:hideMark/>
          </w:tcPr>
          <w:p w14:paraId="16BE28D1"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Sjælden</w:t>
            </w:r>
            <w:proofErr w:type="spellEnd"/>
          </w:p>
        </w:tc>
      </w:tr>
      <w:tr w:rsidR="0071403C" w14:paraId="1BB040AE" w14:textId="77777777" w:rsidTr="00854197">
        <w:tc>
          <w:tcPr>
            <w:tcW w:w="8820" w:type="dxa"/>
            <w:gridSpan w:val="2"/>
            <w:tcBorders>
              <w:top w:val="single" w:sz="4" w:space="0" w:color="auto"/>
              <w:left w:val="single" w:sz="4" w:space="0" w:color="auto"/>
              <w:bottom w:val="single" w:sz="4" w:space="0" w:color="auto"/>
              <w:right w:val="single" w:sz="4" w:space="0" w:color="auto"/>
            </w:tcBorders>
          </w:tcPr>
          <w:p w14:paraId="188E0706" w14:textId="77777777" w:rsidR="0071403C" w:rsidRDefault="0071403C" w:rsidP="00854197">
            <w:pPr>
              <w:widowControl w:val="0"/>
              <w:rPr>
                <w:rFonts w:eastAsia="Calibri"/>
                <w:sz w:val="22"/>
                <w:szCs w:val="22"/>
                <w:lang w:val="en-GB"/>
              </w:rPr>
            </w:pPr>
          </w:p>
        </w:tc>
      </w:tr>
      <w:tr w:rsidR="0071403C" w14:paraId="5A680FE3"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53AE2256" w14:textId="77777777" w:rsidR="0071403C" w:rsidRDefault="0071403C" w:rsidP="00854197">
            <w:pPr>
              <w:widowControl w:val="0"/>
              <w:rPr>
                <w:rFonts w:eastAsia="Calibri"/>
                <w:sz w:val="22"/>
                <w:szCs w:val="22"/>
                <w:lang w:val="en-GB"/>
              </w:rPr>
            </w:pPr>
            <w:proofErr w:type="spellStart"/>
            <w:r>
              <w:rPr>
                <w:rFonts w:eastAsia="Calibri"/>
                <w:b/>
                <w:bCs/>
                <w:sz w:val="22"/>
                <w:szCs w:val="22"/>
                <w:lang w:val="en-GB"/>
              </w:rPr>
              <w:t>Immunsystemet</w:t>
            </w:r>
            <w:proofErr w:type="spellEnd"/>
          </w:p>
        </w:tc>
      </w:tr>
      <w:tr w:rsidR="0071403C" w14:paraId="31EF038C"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65365EB7"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Overfølsomhedsreaktioner</w:t>
            </w:r>
            <w:proofErr w:type="spellEnd"/>
            <w:r>
              <w:rPr>
                <w:rFonts w:eastAsia="Calibri"/>
                <w:sz w:val="22"/>
                <w:szCs w:val="22"/>
                <w:lang w:val="en-GB"/>
              </w:rPr>
              <w:t xml:space="preserve"> </w:t>
            </w:r>
            <w:proofErr w:type="spellStart"/>
            <w:r>
              <w:rPr>
                <w:rFonts w:eastAsia="Calibri"/>
                <w:sz w:val="22"/>
                <w:szCs w:val="22"/>
                <w:lang w:val="en-GB"/>
              </w:rPr>
              <w:t>herunder</w:t>
            </w:r>
            <w:proofErr w:type="spellEnd"/>
            <w:r>
              <w:rPr>
                <w:rFonts w:eastAsia="Calibri"/>
                <w:sz w:val="22"/>
                <w:szCs w:val="22"/>
                <w:lang w:val="en-GB"/>
              </w:rPr>
              <w:t xml:space="preserve"> </w:t>
            </w:r>
            <w:proofErr w:type="spellStart"/>
            <w:r>
              <w:rPr>
                <w:rFonts w:eastAsia="Calibri"/>
                <w:sz w:val="22"/>
                <w:szCs w:val="22"/>
                <w:lang w:val="en-GB"/>
              </w:rPr>
              <w:t>anafylaktiske</w:t>
            </w:r>
            <w:proofErr w:type="spellEnd"/>
            <w:r>
              <w:rPr>
                <w:rFonts w:eastAsia="Calibri"/>
                <w:sz w:val="22"/>
                <w:szCs w:val="22"/>
                <w:lang w:val="en-GB"/>
              </w:rPr>
              <w:t xml:space="preserve"> </w:t>
            </w:r>
            <w:proofErr w:type="spellStart"/>
            <w:r>
              <w:rPr>
                <w:rFonts w:eastAsia="Calibri"/>
                <w:sz w:val="22"/>
                <w:szCs w:val="22"/>
                <w:lang w:val="en-GB"/>
              </w:rPr>
              <w:t>reaktioner</w:t>
            </w:r>
            <w:proofErr w:type="spellEnd"/>
            <w:r>
              <w:rPr>
                <w:rFonts w:eastAsia="Calibri"/>
                <w:sz w:val="22"/>
                <w:szCs w:val="22"/>
                <w:vertAlign w:val="superscript"/>
                <w:lang w:val="en-GB"/>
              </w:rPr>
              <w:t>*, †</w:t>
            </w:r>
          </w:p>
        </w:tc>
        <w:tc>
          <w:tcPr>
            <w:tcW w:w="5008" w:type="dxa"/>
            <w:tcBorders>
              <w:top w:val="single" w:sz="4" w:space="0" w:color="auto"/>
              <w:left w:val="single" w:sz="4" w:space="0" w:color="auto"/>
              <w:bottom w:val="single" w:sz="4" w:space="0" w:color="auto"/>
              <w:right w:val="single" w:sz="4" w:space="0" w:color="auto"/>
            </w:tcBorders>
            <w:hideMark/>
          </w:tcPr>
          <w:p w14:paraId="71DC77DB"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5F99A86D" w14:textId="77777777" w:rsidTr="00854197">
        <w:tc>
          <w:tcPr>
            <w:tcW w:w="8820" w:type="dxa"/>
            <w:gridSpan w:val="2"/>
            <w:tcBorders>
              <w:top w:val="single" w:sz="4" w:space="0" w:color="auto"/>
              <w:left w:val="single" w:sz="4" w:space="0" w:color="auto"/>
              <w:bottom w:val="single" w:sz="4" w:space="0" w:color="auto"/>
              <w:right w:val="single" w:sz="4" w:space="0" w:color="auto"/>
            </w:tcBorders>
          </w:tcPr>
          <w:p w14:paraId="3967D66B" w14:textId="77777777" w:rsidR="0071403C" w:rsidRDefault="0071403C" w:rsidP="00854197">
            <w:pPr>
              <w:widowControl w:val="0"/>
              <w:rPr>
                <w:rFonts w:eastAsia="Calibri"/>
                <w:sz w:val="22"/>
                <w:szCs w:val="22"/>
                <w:lang w:val="en-GB"/>
              </w:rPr>
            </w:pPr>
          </w:p>
        </w:tc>
      </w:tr>
      <w:tr w:rsidR="0071403C" w14:paraId="2538B483"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24DF4A78" w14:textId="77777777" w:rsidR="0071403C" w:rsidRDefault="0071403C" w:rsidP="00854197">
            <w:pPr>
              <w:widowControl w:val="0"/>
              <w:rPr>
                <w:rFonts w:eastAsia="Calibri"/>
                <w:b/>
                <w:bCs/>
                <w:sz w:val="22"/>
                <w:szCs w:val="22"/>
                <w:lang w:val="en-GB"/>
              </w:rPr>
            </w:pPr>
            <w:proofErr w:type="spellStart"/>
            <w:r>
              <w:rPr>
                <w:rFonts w:eastAsia="Calibri"/>
                <w:b/>
                <w:bCs/>
                <w:sz w:val="22"/>
                <w:szCs w:val="22"/>
                <w:lang w:val="en-GB"/>
              </w:rPr>
              <w:lastRenderedPageBreak/>
              <w:t>Metabolisme</w:t>
            </w:r>
            <w:proofErr w:type="spellEnd"/>
            <w:r>
              <w:rPr>
                <w:rFonts w:eastAsia="Calibri"/>
                <w:b/>
                <w:bCs/>
                <w:sz w:val="22"/>
                <w:szCs w:val="22"/>
                <w:lang w:val="en-GB"/>
              </w:rPr>
              <w:t xml:space="preserve"> </w:t>
            </w:r>
            <w:proofErr w:type="spellStart"/>
            <w:r>
              <w:rPr>
                <w:rFonts w:eastAsia="Calibri"/>
                <w:b/>
                <w:bCs/>
                <w:sz w:val="22"/>
                <w:szCs w:val="22"/>
                <w:lang w:val="en-GB"/>
              </w:rPr>
              <w:t>og</w:t>
            </w:r>
            <w:proofErr w:type="spellEnd"/>
            <w:r>
              <w:rPr>
                <w:rFonts w:eastAsia="Calibri"/>
                <w:b/>
                <w:bCs/>
                <w:sz w:val="22"/>
                <w:szCs w:val="22"/>
                <w:lang w:val="en-GB"/>
              </w:rPr>
              <w:t xml:space="preserve"> </w:t>
            </w:r>
            <w:proofErr w:type="spellStart"/>
            <w:r>
              <w:rPr>
                <w:rFonts w:eastAsia="Calibri"/>
                <w:b/>
                <w:bCs/>
                <w:sz w:val="22"/>
                <w:szCs w:val="22"/>
                <w:lang w:val="en-GB"/>
              </w:rPr>
              <w:t>ernæring</w:t>
            </w:r>
            <w:proofErr w:type="spellEnd"/>
          </w:p>
        </w:tc>
      </w:tr>
      <w:tr w:rsidR="0071403C" w14:paraId="437450DC"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0B71D40B"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Hypoglykæmi</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28E0644B"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Almindelig</w:t>
            </w:r>
            <w:proofErr w:type="spellEnd"/>
          </w:p>
        </w:tc>
      </w:tr>
      <w:tr w:rsidR="0071403C" w14:paraId="4E71196A" w14:textId="77777777" w:rsidTr="00854197">
        <w:tc>
          <w:tcPr>
            <w:tcW w:w="8820" w:type="dxa"/>
            <w:gridSpan w:val="2"/>
            <w:tcBorders>
              <w:top w:val="single" w:sz="4" w:space="0" w:color="auto"/>
              <w:left w:val="single" w:sz="4" w:space="0" w:color="auto"/>
              <w:bottom w:val="single" w:sz="4" w:space="0" w:color="auto"/>
              <w:right w:val="single" w:sz="4" w:space="0" w:color="auto"/>
            </w:tcBorders>
          </w:tcPr>
          <w:p w14:paraId="604EE9ED" w14:textId="77777777" w:rsidR="0071403C" w:rsidRDefault="0071403C" w:rsidP="00854197">
            <w:pPr>
              <w:widowControl w:val="0"/>
              <w:rPr>
                <w:rFonts w:eastAsia="Calibri"/>
                <w:sz w:val="22"/>
                <w:szCs w:val="22"/>
                <w:lang w:val="en-GB"/>
              </w:rPr>
            </w:pPr>
          </w:p>
        </w:tc>
      </w:tr>
      <w:tr w:rsidR="0071403C" w14:paraId="774F2282"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63E8DC0F" w14:textId="77777777" w:rsidR="0071403C" w:rsidRDefault="0071403C" w:rsidP="00854197">
            <w:pPr>
              <w:keepNext/>
              <w:widowControl w:val="0"/>
              <w:rPr>
                <w:rFonts w:eastAsia="Calibri"/>
                <w:b/>
                <w:bCs/>
                <w:sz w:val="22"/>
                <w:szCs w:val="22"/>
                <w:lang w:val="en-GB"/>
              </w:rPr>
            </w:pPr>
            <w:proofErr w:type="spellStart"/>
            <w:r>
              <w:rPr>
                <w:rFonts w:eastAsia="Calibri"/>
                <w:b/>
                <w:bCs/>
                <w:sz w:val="22"/>
                <w:szCs w:val="22"/>
                <w:lang w:val="en-GB"/>
              </w:rPr>
              <w:t>Nervesystemet</w:t>
            </w:r>
            <w:proofErr w:type="spellEnd"/>
          </w:p>
        </w:tc>
      </w:tr>
      <w:tr w:rsidR="0071403C" w14:paraId="411A5520"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31EBC71E" w14:textId="77777777" w:rsidR="0071403C" w:rsidRDefault="0071403C" w:rsidP="00854197">
            <w:pPr>
              <w:keepNext/>
              <w:widowControl w:val="0"/>
              <w:rPr>
                <w:rFonts w:eastAsia="Calibri"/>
                <w:sz w:val="22"/>
                <w:szCs w:val="22"/>
                <w:lang w:val="en-GB"/>
              </w:rPr>
            </w:pPr>
            <w:proofErr w:type="spellStart"/>
            <w:r>
              <w:rPr>
                <w:rFonts w:eastAsia="Calibri"/>
                <w:sz w:val="22"/>
                <w:szCs w:val="22"/>
                <w:lang w:val="en-GB"/>
              </w:rPr>
              <w:t>Hovedpine</w:t>
            </w:r>
            <w:proofErr w:type="spellEnd"/>
          </w:p>
        </w:tc>
        <w:tc>
          <w:tcPr>
            <w:tcW w:w="5008" w:type="dxa"/>
            <w:tcBorders>
              <w:top w:val="single" w:sz="4" w:space="0" w:color="auto"/>
              <w:left w:val="single" w:sz="4" w:space="0" w:color="auto"/>
              <w:bottom w:val="single" w:sz="4" w:space="0" w:color="auto"/>
              <w:right w:val="single" w:sz="4" w:space="0" w:color="auto"/>
            </w:tcBorders>
            <w:hideMark/>
          </w:tcPr>
          <w:p w14:paraId="3D42A756" w14:textId="77777777" w:rsidR="0071403C" w:rsidRDefault="0071403C" w:rsidP="00854197">
            <w:pPr>
              <w:keepNext/>
              <w:widowControl w:val="0"/>
              <w:jc w:val="center"/>
              <w:rPr>
                <w:rFonts w:eastAsia="Calibri"/>
                <w:sz w:val="22"/>
                <w:szCs w:val="22"/>
                <w:lang w:val="en-GB"/>
              </w:rPr>
            </w:pPr>
            <w:proofErr w:type="spellStart"/>
            <w:r>
              <w:rPr>
                <w:rFonts w:eastAsia="Calibri"/>
                <w:sz w:val="22"/>
                <w:szCs w:val="22"/>
                <w:lang w:val="en-GB"/>
              </w:rPr>
              <w:t>Almindelig</w:t>
            </w:r>
            <w:proofErr w:type="spellEnd"/>
          </w:p>
        </w:tc>
      </w:tr>
      <w:tr w:rsidR="0071403C" w14:paraId="3FE568B6"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2A408006" w14:textId="77777777" w:rsidR="0071403C" w:rsidRDefault="0071403C" w:rsidP="00854197">
            <w:pPr>
              <w:keepNext/>
              <w:widowControl w:val="0"/>
              <w:rPr>
                <w:rFonts w:eastAsia="Calibri"/>
                <w:sz w:val="22"/>
                <w:szCs w:val="22"/>
                <w:lang w:val="en-GB"/>
              </w:rPr>
            </w:pPr>
            <w:proofErr w:type="spellStart"/>
            <w:r>
              <w:rPr>
                <w:rFonts w:eastAsia="Calibri"/>
                <w:sz w:val="22"/>
                <w:szCs w:val="22"/>
                <w:lang w:val="en-GB"/>
              </w:rPr>
              <w:t>Svimmelhed</w:t>
            </w:r>
            <w:proofErr w:type="spellEnd"/>
          </w:p>
        </w:tc>
        <w:tc>
          <w:tcPr>
            <w:tcW w:w="5008" w:type="dxa"/>
            <w:tcBorders>
              <w:top w:val="single" w:sz="4" w:space="0" w:color="auto"/>
              <w:left w:val="single" w:sz="4" w:space="0" w:color="auto"/>
              <w:bottom w:val="single" w:sz="4" w:space="0" w:color="auto"/>
              <w:right w:val="single" w:sz="4" w:space="0" w:color="auto"/>
            </w:tcBorders>
            <w:hideMark/>
          </w:tcPr>
          <w:p w14:paraId="077C2007" w14:textId="77777777" w:rsidR="0071403C" w:rsidRDefault="0071403C" w:rsidP="00854197">
            <w:pPr>
              <w:keepNext/>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almindelig</w:t>
            </w:r>
            <w:proofErr w:type="spellEnd"/>
          </w:p>
        </w:tc>
      </w:tr>
      <w:tr w:rsidR="0071403C" w14:paraId="275F5B38" w14:textId="77777777" w:rsidTr="00854197">
        <w:tc>
          <w:tcPr>
            <w:tcW w:w="3812" w:type="dxa"/>
            <w:tcBorders>
              <w:top w:val="single" w:sz="4" w:space="0" w:color="auto"/>
              <w:left w:val="single" w:sz="4" w:space="0" w:color="auto"/>
              <w:bottom w:val="single" w:sz="4" w:space="0" w:color="auto"/>
              <w:right w:val="single" w:sz="4" w:space="0" w:color="auto"/>
            </w:tcBorders>
          </w:tcPr>
          <w:p w14:paraId="5EEEE27C" w14:textId="77777777" w:rsidR="0071403C" w:rsidRDefault="0071403C" w:rsidP="00854197">
            <w:pPr>
              <w:widowControl w:val="0"/>
              <w:rPr>
                <w:rFonts w:eastAsia="Calibri"/>
                <w:sz w:val="22"/>
                <w:szCs w:val="22"/>
                <w:lang w:val="en-GB"/>
              </w:rPr>
            </w:pPr>
          </w:p>
        </w:tc>
        <w:tc>
          <w:tcPr>
            <w:tcW w:w="5008" w:type="dxa"/>
            <w:tcBorders>
              <w:top w:val="single" w:sz="4" w:space="0" w:color="auto"/>
              <w:left w:val="single" w:sz="4" w:space="0" w:color="auto"/>
              <w:bottom w:val="single" w:sz="4" w:space="0" w:color="auto"/>
              <w:right w:val="single" w:sz="4" w:space="0" w:color="auto"/>
            </w:tcBorders>
          </w:tcPr>
          <w:p w14:paraId="0D739D1F" w14:textId="77777777" w:rsidR="0071403C" w:rsidRDefault="0071403C" w:rsidP="00854197">
            <w:pPr>
              <w:widowControl w:val="0"/>
              <w:rPr>
                <w:rFonts w:eastAsia="Calibri"/>
                <w:sz w:val="22"/>
                <w:szCs w:val="22"/>
                <w:lang w:val="en-GB"/>
              </w:rPr>
            </w:pPr>
          </w:p>
        </w:tc>
      </w:tr>
      <w:tr w:rsidR="0071403C" w14:paraId="4DF5D6C8"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103B4C96" w14:textId="77777777" w:rsidR="0071403C" w:rsidRDefault="0071403C" w:rsidP="00854197">
            <w:pPr>
              <w:widowControl w:val="0"/>
              <w:rPr>
                <w:rFonts w:eastAsia="Calibri"/>
                <w:b/>
                <w:bCs/>
                <w:sz w:val="22"/>
                <w:szCs w:val="22"/>
                <w:lang w:val="en-GB"/>
              </w:rPr>
            </w:pPr>
            <w:proofErr w:type="spellStart"/>
            <w:r>
              <w:rPr>
                <w:rFonts w:eastAsia="Calibri"/>
                <w:b/>
                <w:bCs/>
                <w:sz w:val="22"/>
                <w:szCs w:val="22"/>
                <w:lang w:val="en-GB"/>
              </w:rPr>
              <w:t>Luftveje</w:t>
            </w:r>
            <w:proofErr w:type="spellEnd"/>
            <w:r>
              <w:rPr>
                <w:rFonts w:eastAsia="Calibri"/>
                <w:b/>
                <w:bCs/>
                <w:sz w:val="22"/>
                <w:szCs w:val="22"/>
                <w:lang w:val="en-GB"/>
              </w:rPr>
              <w:t xml:space="preserve">, thorax </w:t>
            </w:r>
            <w:proofErr w:type="spellStart"/>
            <w:r>
              <w:rPr>
                <w:rFonts w:eastAsia="Calibri"/>
                <w:b/>
                <w:bCs/>
                <w:sz w:val="22"/>
                <w:szCs w:val="22"/>
                <w:lang w:val="en-GB"/>
              </w:rPr>
              <w:t>og</w:t>
            </w:r>
            <w:proofErr w:type="spellEnd"/>
            <w:r>
              <w:rPr>
                <w:rFonts w:eastAsia="Calibri"/>
                <w:b/>
                <w:bCs/>
                <w:sz w:val="22"/>
                <w:szCs w:val="22"/>
                <w:lang w:val="en-GB"/>
              </w:rPr>
              <w:t xml:space="preserve"> mediastinum</w:t>
            </w:r>
          </w:p>
        </w:tc>
      </w:tr>
      <w:tr w:rsidR="0071403C" w14:paraId="2D25801E"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6B3D8AA6"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Interstitiel</w:t>
            </w:r>
            <w:proofErr w:type="spellEnd"/>
            <w:r>
              <w:rPr>
                <w:rFonts w:eastAsia="Calibri"/>
                <w:sz w:val="22"/>
                <w:szCs w:val="22"/>
                <w:lang w:val="en-GB"/>
              </w:rPr>
              <w:t xml:space="preserve"> </w:t>
            </w:r>
            <w:proofErr w:type="spellStart"/>
            <w:r>
              <w:rPr>
                <w:rFonts w:eastAsia="Calibri"/>
                <w:sz w:val="22"/>
                <w:szCs w:val="22"/>
                <w:lang w:val="en-GB"/>
              </w:rPr>
              <w:t>lungesygdom</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32FCF3E6"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2518C09A" w14:textId="77777777" w:rsidTr="00854197">
        <w:tc>
          <w:tcPr>
            <w:tcW w:w="8820" w:type="dxa"/>
            <w:gridSpan w:val="2"/>
            <w:tcBorders>
              <w:top w:val="single" w:sz="4" w:space="0" w:color="auto"/>
              <w:left w:val="single" w:sz="4" w:space="0" w:color="auto"/>
              <w:bottom w:val="single" w:sz="4" w:space="0" w:color="auto"/>
              <w:right w:val="single" w:sz="4" w:space="0" w:color="auto"/>
            </w:tcBorders>
          </w:tcPr>
          <w:p w14:paraId="12B0D645" w14:textId="77777777" w:rsidR="0071403C" w:rsidRDefault="0071403C" w:rsidP="00854197">
            <w:pPr>
              <w:widowControl w:val="0"/>
              <w:rPr>
                <w:rFonts w:eastAsia="Calibri"/>
                <w:sz w:val="22"/>
                <w:szCs w:val="22"/>
                <w:lang w:val="en-GB"/>
              </w:rPr>
            </w:pPr>
          </w:p>
        </w:tc>
      </w:tr>
      <w:tr w:rsidR="0071403C" w14:paraId="6FE5C899"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41A19BE0" w14:textId="77777777" w:rsidR="0071403C" w:rsidRDefault="0071403C" w:rsidP="00854197">
            <w:pPr>
              <w:widowControl w:val="0"/>
              <w:rPr>
                <w:rFonts w:eastAsia="Calibri"/>
                <w:sz w:val="22"/>
                <w:szCs w:val="22"/>
                <w:lang w:val="en-GB"/>
              </w:rPr>
            </w:pPr>
            <w:proofErr w:type="spellStart"/>
            <w:r>
              <w:rPr>
                <w:rFonts w:eastAsia="Calibri"/>
                <w:b/>
                <w:bCs/>
                <w:sz w:val="22"/>
                <w:szCs w:val="22"/>
                <w:lang w:val="en-GB"/>
              </w:rPr>
              <w:t>Mave-tarm-kanalen</w:t>
            </w:r>
            <w:proofErr w:type="spellEnd"/>
          </w:p>
        </w:tc>
      </w:tr>
      <w:tr w:rsidR="0071403C" w14:paraId="07BBBD5A"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5D4D88D2" w14:textId="77777777" w:rsidR="0071403C" w:rsidRDefault="0071403C" w:rsidP="00854197">
            <w:pPr>
              <w:widowControl w:val="0"/>
              <w:rPr>
                <w:rFonts w:eastAsia="Calibri"/>
                <w:sz w:val="22"/>
                <w:szCs w:val="22"/>
                <w:lang w:val="en-GB"/>
              </w:rPr>
            </w:pPr>
            <w:r>
              <w:rPr>
                <w:rFonts w:eastAsia="TimesNewRoman"/>
                <w:sz w:val="22"/>
                <w:szCs w:val="22"/>
                <w:lang w:val="en-GB"/>
              </w:rPr>
              <w:t>Obstipation</w:t>
            </w:r>
          </w:p>
        </w:tc>
        <w:tc>
          <w:tcPr>
            <w:tcW w:w="5008" w:type="dxa"/>
            <w:tcBorders>
              <w:top w:val="single" w:sz="4" w:space="0" w:color="auto"/>
              <w:left w:val="single" w:sz="4" w:space="0" w:color="auto"/>
              <w:bottom w:val="single" w:sz="4" w:space="0" w:color="auto"/>
              <w:right w:val="single" w:sz="4" w:space="0" w:color="auto"/>
            </w:tcBorders>
            <w:hideMark/>
          </w:tcPr>
          <w:p w14:paraId="0286C838"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almindelig</w:t>
            </w:r>
            <w:proofErr w:type="spellEnd"/>
          </w:p>
        </w:tc>
      </w:tr>
      <w:tr w:rsidR="0071403C" w14:paraId="3365D04C"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485BD13B"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Opkastning</w:t>
            </w:r>
            <w:proofErr w:type="spellEnd"/>
            <w:r>
              <w:rPr>
                <w:rFonts w:eastAsia="Calibri"/>
                <w:sz w:val="22"/>
                <w:szCs w:val="22"/>
                <w:lang w:val="en-GB"/>
              </w:rPr>
              <w:t xml:space="preserve"> </w:t>
            </w:r>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0576A35D"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3C422BF1"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63F4BF36"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Akut</w:t>
            </w:r>
            <w:proofErr w:type="spellEnd"/>
            <w:r>
              <w:rPr>
                <w:rFonts w:eastAsia="Calibri"/>
                <w:sz w:val="22"/>
                <w:szCs w:val="22"/>
                <w:lang w:val="en-GB"/>
              </w:rPr>
              <w:t xml:space="preserve"> </w:t>
            </w:r>
            <w:proofErr w:type="spellStart"/>
            <w:r>
              <w:rPr>
                <w:rFonts w:eastAsia="Calibri"/>
                <w:sz w:val="22"/>
                <w:szCs w:val="22"/>
                <w:lang w:val="en-GB"/>
              </w:rPr>
              <w:t>pankreatitis</w:t>
            </w:r>
            <w:proofErr w:type="spellEnd"/>
            <w:r>
              <w:rPr>
                <w:rFonts w:eastAsia="Calibri"/>
                <w:sz w:val="22"/>
                <w:szCs w:val="22"/>
                <w:vertAlign w:val="superscript"/>
                <w:lang w:val="en-GB"/>
              </w:rPr>
              <w:t>*, †, ‡</w:t>
            </w:r>
          </w:p>
        </w:tc>
        <w:tc>
          <w:tcPr>
            <w:tcW w:w="5008" w:type="dxa"/>
            <w:tcBorders>
              <w:top w:val="single" w:sz="4" w:space="0" w:color="auto"/>
              <w:left w:val="single" w:sz="4" w:space="0" w:color="auto"/>
              <w:bottom w:val="single" w:sz="4" w:space="0" w:color="auto"/>
              <w:right w:val="single" w:sz="4" w:space="0" w:color="auto"/>
            </w:tcBorders>
            <w:hideMark/>
          </w:tcPr>
          <w:p w14:paraId="3F585F05"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4922F43F"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519C9052" w14:textId="77777777" w:rsidR="0071403C" w:rsidRPr="00DD3BD2" w:rsidRDefault="0071403C" w:rsidP="00854197">
            <w:pPr>
              <w:widowControl w:val="0"/>
              <w:rPr>
                <w:rFonts w:eastAsia="Calibri"/>
                <w:sz w:val="22"/>
                <w:szCs w:val="22"/>
                <w:vertAlign w:val="superscript"/>
              </w:rPr>
            </w:pPr>
            <w:r w:rsidRPr="00DD3BD2">
              <w:rPr>
                <w:rFonts w:eastAsia="Calibri"/>
                <w:sz w:val="22"/>
                <w:szCs w:val="22"/>
              </w:rPr>
              <w:t xml:space="preserve">Letal og ikke-letal </w:t>
            </w:r>
            <w:proofErr w:type="spellStart"/>
            <w:r w:rsidRPr="00DD3BD2">
              <w:rPr>
                <w:rFonts w:eastAsia="Calibri"/>
                <w:sz w:val="22"/>
                <w:szCs w:val="22"/>
              </w:rPr>
              <w:t>hæmoragisk</w:t>
            </w:r>
            <w:proofErr w:type="spellEnd"/>
            <w:r w:rsidRPr="00DD3BD2">
              <w:rPr>
                <w:rFonts w:eastAsia="Calibri"/>
                <w:sz w:val="22"/>
                <w:szCs w:val="22"/>
              </w:rPr>
              <w:t xml:space="preserve"> og </w:t>
            </w:r>
            <w:proofErr w:type="spellStart"/>
            <w:r w:rsidRPr="00DD3BD2">
              <w:rPr>
                <w:rFonts w:eastAsia="Calibri"/>
                <w:sz w:val="22"/>
                <w:szCs w:val="22"/>
              </w:rPr>
              <w:t>nekrotiserende</w:t>
            </w:r>
            <w:proofErr w:type="spellEnd"/>
            <w:r w:rsidRPr="00DD3BD2">
              <w:rPr>
                <w:rFonts w:eastAsia="Calibri"/>
                <w:sz w:val="22"/>
                <w:szCs w:val="22"/>
              </w:rPr>
              <w:t xml:space="preserve"> </w:t>
            </w:r>
            <w:proofErr w:type="spellStart"/>
            <w:r w:rsidRPr="00DD3BD2">
              <w:rPr>
                <w:rFonts w:eastAsia="Calibri"/>
                <w:sz w:val="22"/>
                <w:szCs w:val="22"/>
              </w:rPr>
              <w:t>pankreatitis</w:t>
            </w:r>
            <w:proofErr w:type="spellEnd"/>
            <w:r w:rsidRPr="00DD3BD2">
              <w:rPr>
                <w:rFonts w:eastAsia="Calibri"/>
                <w:sz w:val="22"/>
                <w:szCs w:val="22"/>
                <w:vertAlign w:val="superscript"/>
              </w:rPr>
              <w:t>*, †</w:t>
            </w:r>
          </w:p>
        </w:tc>
        <w:tc>
          <w:tcPr>
            <w:tcW w:w="5008" w:type="dxa"/>
            <w:tcBorders>
              <w:top w:val="single" w:sz="4" w:space="0" w:color="auto"/>
              <w:left w:val="single" w:sz="4" w:space="0" w:color="auto"/>
              <w:bottom w:val="single" w:sz="4" w:space="0" w:color="auto"/>
              <w:right w:val="single" w:sz="4" w:space="0" w:color="auto"/>
            </w:tcBorders>
            <w:hideMark/>
          </w:tcPr>
          <w:p w14:paraId="7E597679"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1D61742A" w14:textId="77777777" w:rsidTr="00854197">
        <w:tc>
          <w:tcPr>
            <w:tcW w:w="3812" w:type="dxa"/>
            <w:tcBorders>
              <w:top w:val="single" w:sz="4" w:space="0" w:color="auto"/>
              <w:left w:val="single" w:sz="4" w:space="0" w:color="auto"/>
              <w:bottom w:val="single" w:sz="4" w:space="0" w:color="auto"/>
              <w:right w:val="single" w:sz="4" w:space="0" w:color="auto"/>
            </w:tcBorders>
          </w:tcPr>
          <w:p w14:paraId="5D00EB21" w14:textId="77777777" w:rsidR="0071403C" w:rsidRDefault="0071403C" w:rsidP="00854197">
            <w:pPr>
              <w:widowControl w:val="0"/>
              <w:rPr>
                <w:rFonts w:eastAsia="Calibri"/>
                <w:sz w:val="22"/>
                <w:szCs w:val="22"/>
                <w:lang w:val="en-GB"/>
              </w:rPr>
            </w:pPr>
          </w:p>
        </w:tc>
        <w:tc>
          <w:tcPr>
            <w:tcW w:w="5008" w:type="dxa"/>
            <w:tcBorders>
              <w:top w:val="single" w:sz="4" w:space="0" w:color="auto"/>
              <w:left w:val="single" w:sz="4" w:space="0" w:color="auto"/>
              <w:bottom w:val="single" w:sz="4" w:space="0" w:color="auto"/>
              <w:right w:val="single" w:sz="4" w:space="0" w:color="auto"/>
            </w:tcBorders>
          </w:tcPr>
          <w:p w14:paraId="07492D74" w14:textId="77777777" w:rsidR="0071403C" w:rsidRDefault="0071403C" w:rsidP="00854197">
            <w:pPr>
              <w:widowControl w:val="0"/>
              <w:rPr>
                <w:rFonts w:eastAsia="Calibri"/>
                <w:sz w:val="22"/>
                <w:szCs w:val="22"/>
                <w:lang w:val="en-GB"/>
              </w:rPr>
            </w:pPr>
          </w:p>
        </w:tc>
      </w:tr>
      <w:tr w:rsidR="0071403C" w14:paraId="543BA8D6"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3EB22B80" w14:textId="77777777" w:rsidR="0071403C" w:rsidRDefault="0071403C" w:rsidP="00854197">
            <w:pPr>
              <w:widowControl w:val="0"/>
              <w:rPr>
                <w:rFonts w:eastAsia="Calibri"/>
                <w:sz w:val="22"/>
                <w:szCs w:val="22"/>
                <w:lang w:val="en-GB"/>
              </w:rPr>
            </w:pPr>
            <w:r>
              <w:rPr>
                <w:rFonts w:eastAsia="Calibri"/>
                <w:b/>
                <w:bCs/>
                <w:sz w:val="22"/>
                <w:szCs w:val="22"/>
                <w:lang w:val="en-GB"/>
              </w:rPr>
              <w:t xml:space="preserve">Hud </w:t>
            </w:r>
            <w:proofErr w:type="spellStart"/>
            <w:r>
              <w:rPr>
                <w:rFonts w:eastAsia="Calibri"/>
                <w:b/>
                <w:bCs/>
                <w:sz w:val="22"/>
                <w:szCs w:val="22"/>
                <w:lang w:val="en-GB"/>
              </w:rPr>
              <w:t>og</w:t>
            </w:r>
            <w:proofErr w:type="spellEnd"/>
            <w:r>
              <w:rPr>
                <w:rFonts w:eastAsia="Calibri"/>
                <w:b/>
                <w:bCs/>
                <w:sz w:val="22"/>
                <w:szCs w:val="22"/>
                <w:lang w:val="en-GB"/>
              </w:rPr>
              <w:t xml:space="preserve"> </w:t>
            </w:r>
            <w:proofErr w:type="spellStart"/>
            <w:r>
              <w:rPr>
                <w:rFonts w:eastAsia="Calibri"/>
                <w:b/>
                <w:bCs/>
                <w:sz w:val="22"/>
                <w:szCs w:val="22"/>
                <w:lang w:val="en-GB"/>
              </w:rPr>
              <w:t>subkutane</w:t>
            </w:r>
            <w:proofErr w:type="spellEnd"/>
            <w:r>
              <w:rPr>
                <w:rFonts w:eastAsia="Calibri"/>
                <w:b/>
                <w:bCs/>
                <w:sz w:val="22"/>
                <w:szCs w:val="22"/>
                <w:lang w:val="en-GB"/>
              </w:rPr>
              <w:t xml:space="preserve"> </w:t>
            </w:r>
            <w:proofErr w:type="spellStart"/>
            <w:r>
              <w:rPr>
                <w:rFonts w:eastAsia="Calibri"/>
                <w:b/>
                <w:bCs/>
                <w:sz w:val="22"/>
                <w:szCs w:val="22"/>
                <w:lang w:val="en-GB"/>
              </w:rPr>
              <w:t>væv</w:t>
            </w:r>
            <w:proofErr w:type="spellEnd"/>
          </w:p>
        </w:tc>
      </w:tr>
      <w:tr w:rsidR="0071403C" w14:paraId="58BEBC5A" w14:textId="77777777" w:rsidTr="00854197">
        <w:trPr>
          <w:trHeight w:val="295"/>
        </w:trPr>
        <w:tc>
          <w:tcPr>
            <w:tcW w:w="3812" w:type="dxa"/>
            <w:tcBorders>
              <w:top w:val="single" w:sz="4" w:space="0" w:color="auto"/>
              <w:left w:val="single" w:sz="4" w:space="0" w:color="auto"/>
              <w:bottom w:val="single" w:sz="4" w:space="0" w:color="auto"/>
              <w:right w:val="single" w:sz="4" w:space="0" w:color="auto"/>
            </w:tcBorders>
            <w:hideMark/>
          </w:tcPr>
          <w:p w14:paraId="0FC903B2" w14:textId="77777777" w:rsidR="0071403C" w:rsidRDefault="0071403C" w:rsidP="00854197">
            <w:pPr>
              <w:widowControl w:val="0"/>
              <w:rPr>
                <w:rFonts w:eastAsia="Calibri"/>
                <w:sz w:val="22"/>
                <w:szCs w:val="22"/>
                <w:vertAlign w:val="superscript"/>
                <w:lang w:val="en-GB"/>
              </w:rPr>
            </w:pPr>
            <w:r>
              <w:rPr>
                <w:rFonts w:eastAsia="Calibri"/>
                <w:sz w:val="22"/>
                <w:szCs w:val="22"/>
                <w:lang w:val="en-GB"/>
              </w:rPr>
              <w:t>Pruritus</w:t>
            </w:r>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2D9F70FF"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almindelig</w:t>
            </w:r>
            <w:proofErr w:type="spellEnd"/>
          </w:p>
        </w:tc>
      </w:tr>
      <w:tr w:rsidR="0071403C" w14:paraId="3F6F12D5" w14:textId="77777777" w:rsidTr="00854197">
        <w:trPr>
          <w:trHeight w:val="272"/>
        </w:trPr>
        <w:tc>
          <w:tcPr>
            <w:tcW w:w="3812" w:type="dxa"/>
            <w:tcBorders>
              <w:top w:val="single" w:sz="4" w:space="0" w:color="auto"/>
              <w:left w:val="single" w:sz="4" w:space="0" w:color="auto"/>
              <w:bottom w:val="single" w:sz="4" w:space="0" w:color="auto"/>
              <w:right w:val="single" w:sz="4" w:space="0" w:color="auto"/>
            </w:tcBorders>
            <w:hideMark/>
          </w:tcPr>
          <w:p w14:paraId="284CC11B" w14:textId="77777777" w:rsidR="0071403C" w:rsidRDefault="0071403C" w:rsidP="00854197">
            <w:pPr>
              <w:pStyle w:val="Brdtekst"/>
              <w:kinsoku w:val="0"/>
              <w:overflowPunct w:val="0"/>
              <w:spacing w:after="0"/>
              <w:rPr>
                <w:rFonts w:ascii="Times New Roman" w:hAnsi="Times New Roman"/>
                <w:vertAlign w:val="superscript"/>
                <w:lang w:val="en-GB"/>
              </w:rPr>
            </w:pPr>
            <w:proofErr w:type="spellStart"/>
            <w:r>
              <w:rPr>
                <w:rFonts w:ascii="Times New Roman" w:hAnsi="Times New Roman"/>
                <w:lang w:val="en-GB"/>
              </w:rPr>
              <w:t>Angioødem</w:t>
            </w:r>
            <w:proofErr w:type="spellEnd"/>
            <w:r>
              <w:rPr>
                <w:rFonts w:ascii="Times New Roman" w:hAnsi="Times New Roman"/>
                <w:vertAlign w:val="superscript"/>
                <w:lang w:val="en-GB"/>
              </w:rPr>
              <w:t>*, †</w:t>
            </w:r>
          </w:p>
        </w:tc>
        <w:tc>
          <w:tcPr>
            <w:tcW w:w="5008" w:type="dxa"/>
            <w:tcBorders>
              <w:top w:val="single" w:sz="4" w:space="0" w:color="auto"/>
              <w:left w:val="single" w:sz="4" w:space="0" w:color="auto"/>
              <w:bottom w:val="single" w:sz="4" w:space="0" w:color="auto"/>
              <w:right w:val="single" w:sz="4" w:space="0" w:color="auto"/>
            </w:tcBorders>
            <w:hideMark/>
          </w:tcPr>
          <w:p w14:paraId="2398FEAE"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18C3ABAB"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23324302"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Udslæt</w:t>
            </w:r>
            <w:proofErr w:type="spellEnd"/>
            <w:r>
              <w:rPr>
                <w:rFonts w:eastAsia="Calibri"/>
                <w:sz w:val="22"/>
                <w:szCs w:val="22"/>
                <w:vertAlign w:val="superscript"/>
                <w:lang w:val="en-GB"/>
              </w:rPr>
              <w:t>*, †</w:t>
            </w:r>
          </w:p>
        </w:tc>
        <w:tc>
          <w:tcPr>
            <w:tcW w:w="5008" w:type="dxa"/>
            <w:tcBorders>
              <w:top w:val="single" w:sz="4" w:space="0" w:color="auto"/>
              <w:left w:val="single" w:sz="4" w:space="0" w:color="auto"/>
              <w:bottom w:val="single" w:sz="4" w:space="0" w:color="auto"/>
              <w:right w:val="single" w:sz="4" w:space="0" w:color="auto"/>
            </w:tcBorders>
            <w:hideMark/>
          </w:tcPr>
          <w:p w14:paraId="5A415E18"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5C0FD219"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259D76A5" w14:textId="77777777" w:rsidR="0071403C" w:rsidRDefault="0071403C" w:rsidP="00854197">
            <w:pPr>
              <w:widowControl w:val="0"/>
              <w:rPr>
                <w:rFonts w:eastAsia="Calibri"/>
                <w:sz w:val="22"/>
                <w:szCs w:val="22"/>
                <w:vertAlign w:val="superscript"/>
                <w:lang w:val="en-GB"/>
              </w:rPr>
            </w:pPr>
            <w:r>
              <w:rPr>
                <w:rFonts w:eastAsia="Calibri"/>
                <w:sz w:val="22"/>
                <w:szCs w:val="22"/>
                <w:lang w:val="en-GB"/>
              </w:rPr>
              <w:t>Urticaria</w:t>
            </w:r>
            <w:r>
              <w:rPr>
                <w:rFonts w:eastAsia="Calibri"/>
                <w:sz w:val="22"/>
                <w:szCs w:val="22"/>
                <w:vertAlign w:val="superscript"/>
                <w:lang w:val="en-GB"/>
              </w:rPr>
              <w:t>*, †</w:t>
            </w:r>
          </w:p>
        </w:tc>
        <w:tc>
          <w:tcPr>
            <w:tcW w:w="5008" w:type="dxa"/>
            <w:tcBorders>
              <w:top w:val="single" w:sz="4" w:space="0" w:color="auto"/>
              <w:left w:val="single" w:sz="4" w:space="0" w:color="auto"/>
              <w:bottom w:val="single" w:sz="4" w:space="0" w:color="auto"/>
              <w:right w:val="single" w:sz="4" w:space="0" w:color="auto"/>
            </w:tcBorders>
            <w:hideMark/>
          </w:tcPr>
          <w:p w14:paraId="24DD6246"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52D78599"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65FBEB89"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Kutan</w:t>
            </w:r>
            <w:proofErr w:type="spellEnd"/>
            <w:r>
              <w:rPr>
                <w:rFonts w:eastAsia="Calibri"/>
                <w:sz w:val="22"/>
                <w:szCs w:val="22"/>
                <w:lang w:val="en-GB"/>
              </w:rPr>
              <w:t xml:space="preserve"> vasculitis</w:t>
            </w:r>
            <w:r>
              <w:rPr>
                <w:rFonts w:eastAsia="Calibri"/>
                <w:sz w:val="22"/>
                <w:szCs w:val="22"/>
                <w:vertAlign w:val="superscript"/>
                <w:lang w:val="en-GB"/>
              </w:rPr>
              <w:t>*, †</w:t>
            </w:r>
          </w:p>
        </w:tc>
        <w:tc>
          <w:tcPr>
            <w:tcW w:w="5008" w:type="dxa"/>
            <w:tcBorders>
              <w:top w:val="single" w:sz="4" w:space="0" w:color="auto"/>
              <w:left w:val="single" w:sz="4" w:space="0" w:color="auto"/>
              <w:bottom w:val="single" w:sz="4" w:space="0" w:color="auto"/>
              <w:right w:val="single" w:sz="4" w:space="0" w:color="auto"/>
            </w:tcBorders>
            <w:hideMark/>
          </w:tcPr>
          <w:p w14:paraId="0C87DA8A"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708A67BA"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312D1187" w14:textId="77777777" w:rsidR="0071403C" w:rsidRPr="00DD3BD2" w:rsidRDefault="0071403C" w:rsidP="00854197">
            <w:pPr>
              <w:widowControl w:val="0"/>
              <w:rPr>
                <w:rFonts w:eastAsia="Calibri"/>
                <w:sz w:val="22"/>
                <w:szCs w:val="22"/>
                <w:vertAlign w:val="superscript"/>
              </w:rPr>
            </w:pPr>
            <w:proofErr w:type="spellStart"/>
            <w:r w:rsidRPr="00DD3BD2">
              <w:rPr>
                <w:rFonts w:eastAsia="Calibri"/>
                <w:sz w:val="22"/>
                <w:szCs w:val="22"/>
              </w:rPr>
              <w:t>Eksfoliative</w:t>
            </w:r>
            <w:proofErr w:type="spellEnd"/>
            <w:r w:rsidRPr="00DD3BD2">
              <w:rPr>
                <w:rFonts w:eastAsia="Calibri"/>
                <w:sz w:val="22"/>
                <w:szCs w:val="22"/>
              </w:rPr>
              <w:t xml:space="preserve"> hudsygdomme herunder Stevens- Johnsons syndrom</w:t>
            </w:r>
            <w:r w:rsidRPr="00DD3BD2">
              <w:rPr>
                <w:rFonts w:eastAsia="Calibri"/>
                <w:sz w:val="22"/>
                <w:szCs w:val="22"/>
                <w:vertAlign w:val="superscript"/>
              </w:rPr>
              <w:t>*, †</w:t>
            </w:r>
          </w:p>
        </w:tc>
        <w:tc>
          <w:tcPr>
            <w:tcW w:w="5008" w:type="dxa"/>
            <w:tcBorders>
              <w:top w:val="single" w:sz="4" w:space="0" w:color="auto"/>
              <w:left w:val="single" w:sz="4" w:space="0" w:color="auto"/>
              <w:bottom w:val="single" w:sz="4" w:space="0" w:color="auto"/>
              <w:right w:val="single" w:sz="4" w:space="0" w:color="auto"/>
            </w:tcBorders>
            <w:hideMark/>
          </w:tcPr>
          <w:p w14:paraId="290644CE"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02B2D59A"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08BA430F"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Bulløs</w:t>
            </w:r>
            <w:proofErr w:type="spellEnd"/>
            <w:r>
              <w:rPr>
                <w:rFonts w:eastAsia="Calibri"/>
                <w:sz w:val="22"/>
                <w:szCs w:val="22"/>
                <w:lang w:val="en-GB"/>
              </w:rPr>
              <w:t xml:space="preserve"> </w:t>
            </w:r>
            <w:proofErr w:type="spellStart"/>
            <w:r>
              <w:rPr>
                <w:rFonts w:eastAsia="Calibri"/>
                <w:sz w:val="22"/>
                <w:szCs w:val="22"/>
                <w:lang w:val="en-GB"/>
              </w:rPr>
              <w:t>pemfigoid</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6CAB4CEB"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14B895BC" w14:textId="77777777" w:rsidTr="00854197">
        <w:tc>
          <w:tcPr>
            <w:tcW w:w="3812" w:type="dxa"/>
            <w:tcBorders>
              <w:top w:val="single" w:sz="4" w:space="0" w:color="auto"/>
              <w:left w:val="single" w:sz="4" w:space="0" w:color="auto"/>
              <w:bottom w:val="single" w:sz="4" w:space="0" w:color="auto"/>
              <w:right w:val="single" w:sz="4" w:space="0" w:color="auto"/>
            </w:tcBorders>
          </w:tcPr>
          <w:p w14:paraId="21B91CBC" w14:textId="77777777" w:rsidR="0071403C" w:rsidRDefault="0071403C" w:rsidP="00854197">
            <w:pPr>
              <w:widowControl w:val="0"/>
              <w:rPr>
                <w:rFonts w:eastAsia="Calibri"/>
                <w:sz w:val="22"/>
                <w:szCs w:val="22"/>
                <w:lang w:val="en-GB"/>
              </w:rPr>
            </w:pPr>
          </w:p>
        </w:tc>
        <w:tc>
          <w:tcPr>
            <w:tcW w:w="5008" w:type="dxa"/>
            <w:tcBorders>
              <w:top w:val="single" w:sz="4" w:space="0" w:color="auto"/>
              <w:left w:val="single" w:sz="4" w:space="0" w:color="auto"/>
              <w:bottom w:val="single" w:sz="4" w:space="0" w:color="auto"/>
              <w:right w:val="single" w:sz="4" w:space="0" w:color="auto"/>
            </w:tcBorders>
          </w:tcPr>
          <w:p w14:paraId="55901D15" w14:textId="77777777" w:rsidR="0071403C" w:rsidRDefault="0071403C" w:rsidP="00854197">
            <w:pPr>
              <w:widowControl w:val="0"/>
              <w:rPr>
                <w:rFonts w:eastAsia="Calibri"/>
                <w:sz w:val="22"/>
                <w:szCs w:val="22"/>
                <w:lang w:val="en-GB"/>
              </w:rPr>
            </w:pPr>
          </w:p>
        </w:tc>
      </w:tr>
      <w:tr w:rsidR="0071403C" w14:paraId="3FAF81BE"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0854FE61" w14:textId="77777777" w:rsidR="0071403C" w:rsidRPr="00DD3BD2" w:rsidRDefault="0071403C" w:rsidP="00854197">
            <w:pPr>
              <w:widowControl w:val="0"/>
              <w:rPr>
                <w:rFonts w:eastAsia="Calibri"/>
                <w:b/>
                <w:bCs/>
                <w:sz w:val="22"/>
                <w:szCs w:val="22"/>
              </w:rPr>
            </w:pPr>
            <w:r w:rsidRPr="00DD3BD2">
              <w:rPr>
                <w:rFonts w:eastAsia="Calibri"/>
                <w:b/>
                <w:bCs/>
                <w:sz w:val="22"/>
                <w:szCs w:val="22"/>
              </w:rPr>
              <w:t>Knogler, led, muskler og bindevæv</w:t>
            </w:r>
          </w:p>
        </w:tc>
      </w:tr>
      <w:tr w:rsidR="0071403C" w14:paraId="58AEAE8A"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4B1119D5"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Artralgi</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6A18E8FA"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7B30BA1B"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406AB74E"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Myalgi</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5906F6A3"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10644DBA"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1760976C"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Rygsmerter</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6F9DB637"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1EE91D51"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730681DA" w14:textId="77777777" w:rsidR="0071403C" w:rsidRDefault="0071403C" w:rsidP="00854197">
            <w:pPr>
              <w:widowControl w:val="0"/>
              <w:rPr>
                <w:rFonts w:eastAsia="Calibri"/>
                <w:sz w:val="22"/>
                <w:szCs w:val="22"/>
                <w:vertAlign w:val="superscript"/>
                <w:lang w:val="en-GB"/>
              </w:rPr>
            </w:pPr>
            <w:proofErr w:type="spellStart"/>
            <w:r>
              <w:rPr>
                <w:rFonts w:eastAsia="Calibri"/>
                <w:sz w:val="22"/>
                <w:szCs w:val="22"/>
                <w:lang w:val="en-GB"/>
              </w:rPr>
              <w:t>Artropati</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5BB08B9E"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75B18151" w14:textId="77777777" w:rsidTr="00854197">
        <w:tc>
          <w:tcPr>
            <w:tcW w:w="3812" w:type="dxa"/>
            <w:tcBorders>
              <w:top w:val="single" w:sz="4" w:space="0" w:color="auto"/>
              <w:left w:val="single" w:sz="4" w:space="0" w:color="auto"/>
              <w:bottom w:val="single" w:sz="4" w:space="0" w:color="auto"/>
              <w:right w:val="single" w:sz="4" w:space="0" w:color="auto"/>
            </w:tcBorders>
          </w:tcPr>
          <w:p w14:paraId="70167BFF" w14:textId="77777777" w:rsidR="0071403C" w:rsidRDefault="0071403C" w:rsidP="00854197">
            <w:pPr>
              <w:widowControl w:val="0"/>
              <w:rPr>
                <w:rFonts w:eastAsia="Calibri"/>
                <w:sz w:val="22"/>
                <w:szCs w:val="22"/>
                <w:lang w:val="en-GB"/>
              </w:rPr>
            </w:pPr>
          </w:p>
        </w:tc>
        <w:tc>
          <w:tcPr>
            <w:tcW w:w="5008" w:type="dxa"/>
            <w:tcBorders>
              <w:top w:val="single" w:sz="4" w:space="0" w:color="auto"/>
              <w:left w:val="single" w:sz="4" w:space="0" w:color="auto"/>
              <w:bottom w:val="single" w:sz="4" w:space="0" w:color="auto"/>
              <w:right w:val="single" w:sz="4" w:space="0" w:color="auto"/>
            </w:tcBorders>
          </w:tcPr>
          <w:p w14:paraId="299FE218" w14:textId="77777777" w:rsidR="0071403C" w:rsidRDefault="0071403C" w:rsidP="00854197">
            <w:pPr>
              <w:widowControl w:val="0"/>
              <w:rPr>
                <w:rFonts w:eastAsia="Calibri"/>
                <w:sz w:val="22"/>
                <w:szCs w:val="22"/>
                <w:lang w:val="en-GB"/>
              </w:rPr>
            </w:pPr>
          </w:p>
        </w:tc>
      </w:tr>
      <w:tr w:rsidR="0071403C" w14:paraId="5F70708D" w14:textId="77777777" w:rsidTr="00854197">
        <w:tc>
          <w:tcPr>
            <w:tcW w:w="8820" w:type="dxa"/>
            <w:gridSpan w:val="2"/>
            <w:tcBorders>
              <w:top w:val="single" w:sz="4" w:space="0" w:color="auto"/>
              <w:left w:val="single" w:sz="4" w:space="0" w:color="auto"/>
              <w:bottom w:val="single" w:sz="4" w:space="0" w:color="auto"/>
              <w:right w:val="single" w:sz="4" w:space="0" w:color="auto"/>
            </w:tcBorders>
            <w:hideMark/>
          </w:tcPr>
          <w:p w14:paraId="35BAEF05" w14:textId="77777777" w:rsidR="0071403C" w:rsidRDefault="0071403C" w:rsidP="00854197">
            <w:pPr>
              <w:widowControl w:val="0"/>
              <w:rPr>
                <w:rFonts w:eastAsia="Calibri"/>
                <w:b/>
                <w:bCs/>
                <w:sz w:val="22"/>
                <w:szCs w:val="22"/>
                <w:lang w:val="en-GB"/>
              </w:rPr>
            </w:pPr>
            <w:proofErr w:type="spellStart"/>
            <w:r>
              <w:rPr>
                <w:rFonts w:eastAsia="Calibri"/>
                <w:b/>
                <w:bCs/>
                <w:sz w:val="22"/>
                <w:szCs w:val="22"/>
                <w:lang w:val="en-GB"/>
              </w:rPr>
              <w:t>Nyrer</w:t>
            </w:r>
            <w:proofErr w:type="spellEnd"/>
            <w:r>
              <w:rPr>
                <w:rFonts w:eastAsia="Calibri"/>
                <w:b/>
                <w:bCs/>
                <w:sz w:val="22"/>
                <w:szCs w:val="22"/>
                <w:lang w:val="en-GB"/>
              </w:rPr>
              <w:t xml:space="preserve"> </w:t>
            </w:r>
            <w:proofErr w:type="spellStart"/>
            <w:r>
              <w:rPr>
                <w:rFonts w:eastAsia="Calibri"/>
                <w:b/>
                <w:bCs/>
                <w:sz w:val="22"/>
                <w:szCs w:val="22"/>
                <w:lang w:val="en-GB"/>
              </w:rPr>
              <w:t>og</w:t>
            </w:r>
            <w:proofErr w:type="spellEnd"/>
            <w:r>
              <w:rPr>
                <w:rFonts w:eastAsia="Calibri"/>
                <w:b/>
                <w:bCs/>
                <w:sz w:val="22"/>
                <w:szCs w:val="22"/>
                <w:lang w:val="en-GB"/>
              </w:rPr>
              <w:t xml:space="preserve"> </w:t>
            </w:r>
            <w:proofErr w:type="spellStart"/>
            <w:r>
              <w:rPr>
                <w:rFonts w:eastAsia="Calibri"/>
                <w:b/>
                <w:bCs/>
                <w:sz w:val="22"/>
                <w:szCs w:val="22"/>
                <w:lang w:val="en-GB"/>
              </w:rPr>
              <w:t>urinveje</w:t>
            </w:r>
            <w:proofErr w:type="spellEnd"/>
          </w:p>
        </w:tc>
      </w:tr>
      <w:tr w:rsidR="0071403C" w14:paraId="223AE581"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779AB3FA"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Nedsat</w:t>
            </w:r>
            <w:proofErr w:type="spellEnd"/>
            <w:r>
              <w:rPr>
                <w:rFonts w:eastAsia="Calibri"/>
                <w:sz w:val="22"/>
                <w:szCs w:val="22"/>
                <w:lang w:val="en-GB"/>
              </w:rPr>
              <w:t xml:space="preserve"> </w:t>
            </w:r>
            <w:proofErr w:type="spellStart"/>
            <w:r>
              <w:rPr>
                <w:rFonts w:eastAsia="Calibri"/>
                <w:sz w:val="22"/>
                <w:szCs w:val="22"/>
                <w:lang w:val="en-GB"/>
              </w:rPr>
              <w:t>nyrefunktion</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04F76719"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r w:rsidR="0071403C" w14:paraId="2CE17CE3" w14:textId="77777777" w:rsidTr="00854197">
        <w:tc>
          <w:tcPr>
            <w:tcW w:w="3812" w:type="dxa"/>
            <w:tcBorders>
              <w:top w:val="single" w:sz="4" w:space="0" w:color="auto"/>
              <w:left w:val="single" w:sz="4" w:space="0" w:color="auto"/>
              <w:bottom w:val="single" w:sz="4" w:space="0" w:color="auto"/>
              <w:right w:val="single" w:sz="4" w:space="0" w:color="auto"/>
            </w:tcBorders>
            <w:hideMark/>
          </w:tcPr>
          <w:p w14:paraId="48833AEA" w14:textId="77777777" w:rsidR="0071403C" w:rsidRDefault="0071403C" w:rsidP="00854197">
            <w:pPr>
              <w:widowControl w:val="0"/>
              <w:rPr>
                <w:rFonts w:eastAsia="Calibri"/>
                <w:sz w:val="22"/>
                <w:szCs w:val="22"/>
                <w:lang w:val="en-GB"/>
              </w:rPr>
            </w:pPr>
            <w:proofErr w:type="spellStart"/>
            <w:r>
              <w:rPr>
                <w:rFonts w:eastAsia="Calibri"/>
                <w:sz w:val="22"/>
                <w:szCs w:val="22"/>
                <w:lang w:val="en-GB"/>
              </w:rPr>
              <w:t>Akut</w:t>
            </w:r>
            <w:proofErr w:type="spellEnd"/>
            <w:r>
              <w:rPr>
                <w:rFonts w:eastAsia="Calibri"/>
                <w:sz w:val="22"/>
                <w:szCs w:val="22"/>
                <w:lang w:val="en-GB"/>
              </w:rPr>
              <w:t xml:space="preserve"> </w:t>
            </w:r>
            <w:proofErr w:type="spellStart"/>
            <w:r>
              <w:rPr>
                <w:rFonts w:eastAsia="Calibri"/>
                <w:sz w:val="22"/>
                <w:szCs w:val="22"/>
                <w:lang w:val="en-GB"/>
              </w:rPr>
              <w:t>nyresvigt</w:t>
            </w:r>
            <w:proofErr w:type="spellEnd"/>
            <w:r>
              <w:rPr>
                <w:rFonts w:eastAsia="Calibri"/>
                <w:sz w:val="22"/>
                <w:szCs w:val="22"/>
                <w:vertAlign w:val="superscript"/>
                <w:lang w:val="en-GB"/>
              </w:rPr>
              <w:t>*</w:t>
            </w:r>
          </w:p>
        </w:tc>
        <w:tc>
          <w:tcPr>
            <w:tcW w:w="5008" w:type="dxa"/>
            <w:tcBorders>
              <w:top w:val="single" w:sz="4" w:space="0" w:color="auto"/>
              <w:left w:val="single" w:sz="4" w:space="0" w:color="auto"/>
              <w:bottom w:val="single" w:sz="4" w:space="0" w:color="auto"/>
              <w:right w:val="single" w:sz="4" w:space="0" w:color="auto"/>
            </w:tcBorders>
            <w:hideMark/>
          </w:tcPr>
          <w:p w14:paraId="6D77ED8F" w14:textId="77777777" w:rsidR="0071403C" w:rsidRDefault="0071403C" w:rsidP="00854197">
            <w:pPr>
              <w:widowControl w:val="0"/>
              <w:jc w:val="center"/>
              <w:rPr>
                <w:rFonts w:eastAsia="Calibri"/>
                <w:sz w:val="22"/>
                <w:szCs w:val="22"/>
                <w:lang w:val="en-GB"/>
              </w:rPr>
            </w:pPr>
            <w:proofErr w:type="spellStart"/>
            <w:r>
              <w:rPr>
                <w:rFonts w:eastAsia="Calibri"/>
                <w:sz w:val="22"/>
                <w:szCs w:val="22"/>
                <w:lang w:val="en-GB"/>
              </w:rPr>
              <w:t>Ikke</w:t>
            </w:r>
            <w:proofErr w:type="spellEnd"/>
            <w:r>
              <w:rPr>
                <w:rFonts w:eastAsia="Calibri"/>
                <w:sz w:val="22"/>
                <w:szCs w:val="22"/>
                <w:lang w:val="en-GB"/>
              </w:rPr>
              <w:t xml:space="preserve"> </w:t>
            </w:r>
            <w:proofErr w:type="spellStart"/>
            <w:r>
              <w:rPr>
                <w:rFonts w:eastAsia="Calibri"/>
                <w:sz w:val="22"/>
                <w:szCs w:val="22"/>
                <w:lang w:val="en-GB"/>
              </w:rPr>
              <w:t>kendt</w:t>
            </w:r>
            <w:proofErr w:type="spellEnd"/>
          </w:p>
        </w:tc>
      </w:tr>
    </w:tbl>
    <w:p w14:paraId="6180E6B5" w14:textId="77777777" w:rsidR="0071403C" w:rsidRPr="00D33728" w:rsidRDefault="0071403C" w:rsidP="0071403C">
      <w:pPr>
        <w:tabs>
          <w:tab w:val="left" w:pos="1134"/>
        </w:tabs>
        <w:ind w:left="993"/>
        <w:rPr>
          <w:sz w:val="20"/>
          <w:lang w:eastAsia="da-DK"/>
        </w:rPr>
      </w:pPr>
      <w:r w:rsidRPr="00D33728">
        <w:rPr>
          <w:sz w:val="20"/>
          <w:vertAlign w:val="superscript"/>
        </w:rPr>
        <w:t>*</w:t>
      </w:r>
      <w:r w:rsidRPr="00D33728">
        <w:rPr>
          <w:sz w:val="20"/>
        </w:rPr>
        <w:t xml:space="preserve"> Bivirkninger identificeret ved bivirkningsovervågning efter markedsføring.</w:t>
      </w:r>
    </w:p>
    <w:p w14:paraId="291F8A38" w14:textId="77777777" w:rsidR="0071403C" w:rsidRPr="00D33728" w:rsidRDefault="0071403C" w:rsidP="0071403C">
      <w:pPr>
        <w:tabs>
          <w:tab w:val="left" w:pos="1134"/>
        </w:tabs>
        <w:ind w:left="993"/>
        <w:rPr>
          <w:sz w:val="20"/>
        </w:rPr>
      </w:pPr>
      <w:r w:rsidRPr="00D33728">
        <w:rPr>
          <w:sz w:val="20"/>
          <w:vertAlign w:val="superscript"/>
        </w:rPr>
        <w:t>†</w:t>
      </w:r>
      <w:r w:rsidRPr="00D33728">
        <w:rPr>
          <w:sz w:val="20"/>
        </w:rPr>
        <w:t xml:space="preserve"> Se pkt. 4.4.</w:t>
      </w:r>
    </w:p>
    <w:p w14:paraId="3A063F5D" w14:textId="77777777" w:rsidR="0071403C" w:rsidRPr="00D33728" w:rsidRDefault="0071403C" w:rsidP="0071403C">
      <w:pPr>
        <w:tabs>
          <w:tab w:val="left" w:pos="1134"/>
        </w:tabs>
        <w:ind w:left="993"/>
        <w:rPr>
          <w:sz w:val="20"/>
        </w:rPr>
      </w:pPr>
      <w:r w:rsidRPr="00D33728">
        <w:rPr>
          <w:sz w:val="20"/>
          <w:vertAlign w:val="superscript"/>
        </w:rPr>
        <w:t>‡</w:t>
      </w:r>
      <w:r w:rsidRPr="00D33728">
        <w:rPr>
          <w:sz w:val="20"/>
        </w:rPr>
        <w:t xml:space="preserve"> Se det </w:t>
      </w:r>
      <w:proofErr w:type="spellStart"/>
      <w:r w:rsidRPr="00D33728">
        <w:rPr>
          <w:sz w:val="20"/>
        </w:rPr>
        <w:t>kardiovaskulære</w:t>
      </w:r>
      <w:proofErr w:type="spellEnd"/>
      <w:r w:rsidRPr="00D33728">
        <w:rPr>
          <w:sz w:val="20"/>
        </w:rPr>
        <w:t xml:space="preserve"> sikkerhedsstudie TECOS nedenfor.</w:t>
      </w:r>
    </w:p>
    <w:p w14:paraId="1CB9B565" w14:textId="77777777" w:rsidR="0071403C" w:rsidRPr="00DD3BD2" w:rsidRDefault="0071403C" w:rsidP="0071403C">
      <w:pPr>
        <w:tabs>
          <w:tab w:val="left" w:pos="851"/>
        </w:tabs>
        <w:ind w:left="851"/>
        <w:rPr>
          <w:sz w:val="24"/>
          <w:szCs w:val="24"/>
        </w:rPr>
      </w:pPr>
    </w:p>
    <w:p w14:paraId="1B7098AB" w14:textId="77777777" w:rsidR="0071403C" w:rsidRPr="00DD3BD2" w:rsidRDefault="0071403C" w:rsidP="0071403C">
      <w:pPr>
        <w:tabs>
          <w:tab w:val="left" w:pos="851"/>
        </w:tabs>
        <w:ind w:left="851"/>
        <w:rPr>
          <w:sz w:val="24"/>
          <w:szCs w:val="24"/>
          <w:u w:val="single"/>
        </w:rPr>
      </w:pPr>
      <w:r w:rsidRPr="00DD3BD2">
        <w:rPr>
          <w:sz w:val="24"/>
          <w:szCs w:val="24"/>
          <w:u w:val="single"/>
        </w:rPr>
        <w:t>Beskrivelse af udvalgte bivirkninger</w:t>
      </w:r>
    </w:p>
    <w:p w14:paraId="499D9BB5" w14:textId="77777777" w:rsidR="0071403C" w:rsidRPr="00DD3BD2" w:rsidRDefault="0071403C" w:rsidP="0071403C">
      <w:pPr>
        <w:tabs>
          <w:tab w:val="left" w:pos="851"/>
        </w:tabs>
        <w:ind w:left="851"/>
        <w:rPr>
          <w:sz w:val="24"/>
          <w:szCs w:val="24"/>
        </w:rPr>
      </w:pPr>
      <w:r w:rsidRPr="00DD3BD2">
        <w:rPr>
          <w:sz w:val="24"/>
          <w:szCs w:val="24"/>
        </w:rPr>
        <w:t xml:space="preserve">Ud over de lægemiddelrelaterede bivirkninger, der er beskrevet ovenfor, var øvre luftvejsinfektioner og </w:t>
      </w:r>
      <w:proofErr w:type="spellStart"/>
      <w:r w:rsidRPr="00DD3BD2">
        <w:rPr>
          <w:sz w:val="24"/>
          <w:szCs w:val="24"/>
        </w:rPr>
        <w:t>nasopharyngitis</w:t>
      </w:r>
      <w:proofErr w:type="spellEnd"/>
      <w:r w:rsidRPr="00DD3BD2">
        <w:rPr>
          <w:sz w:val="24"/>
          <w:szCs w:val="24"/>
        </w:rPr>
        <w:t xml:space="preserve"> medtaget under de bivirkninger, som blev rapporteret uden hensyntagen til årsagssammenhæng med lægemidlet og som forekom hos mindst 5</w:t>
      </w:r>
      <w:r>
        <w:rPr>
          <w:sz w:val="24"/>
          <w:szCs w:val="24"/>
        </w:rPr>
        <w:t xml:space="preserve"> %</w:t>
      </w:r>
      <w:r w:rsidRPr="00DD3BD2">
        <w:rPr>
          <w:sz w:val="24"/>
          <w:szCs w:val="24"/>
        </w:rPr>
        <w:t xml:space="preserve"> og hyppigst hos de patienter, som var i behandling med </w:t>
      </w:r>
      <w:proofErr w:type="spellStart"/>
      <w:r w:rsidRPr="00DD3BD2">
        <w:rPr>
          <w:sz w:val="24"/>
          <w:szCs w:val="24"/>
        </w:rPr>
        <w:t>sitagliptin</w:t>
      </w:r>
      <w:proofErr w:type="spellEnd"/>
      <w:r w:rsidRPr="00DD3BD2">
        <w:rPr>
          <w:sz w:val="24"/>
          <w:szCs w:val="24"/>
        </w:rPr>
        <w:t xml:space="preserve">. Derudover var </w:t>
      </w:r>
      <w:proofErr w:type="spellStart"/>
      <w:r w:rsidRPr="00DD3BD2">
        <w:rPr>
          <w:sz w:val="24"/>
          <w:szCs w:val="24"/>
        </w:rPr>
        <w:t>osteoartritis</w:t>
      </w:r>
      <w:proofErr w:type="spellEnd"/>
      <w:r w:rsidRPr="00DD3BD2">
        <w:rPr>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DD3BD2">
        <w:rPr>
          <w:sz w:val="24"/>
          <w:szCs w:val="24"/>
        </w:rPr>
        <w:t>sitagliptin</w:t>
      </w:r>
      <w:proofErr w:type="spellEnd"/>
      <w:r w:rsidRPr="00DD3BD2">
        <w:rPr>
          <w:sz w:val="24"/>
          <w:szCs w:val="24"/>
        </w:rPr>
        <w:t xml:space="preserve"> (som ikke nåede niveauet på 5</w:t>
      </w:r>
      <w:r>
        <w:rPr>
          <w:sz w:val="24"/>
          <w:szCs w:val="24"/>
        </w:rPr>
        <w:t xml:space="preserve"> %</w:t>
      </w:r>
      <w:r w:rsidRPr="00DD3BD2">
        <w:rPr>
          <w:sz w:val="24"/>
          <w:szCs w:val="24"/>
        </w:rPr>
        <w:t xml:space="preserve">, men som forekom med en </w:t>
      </w:r>
      <w:proofErr w:type="spellStart"/>
      <w:r w:rsidRPr="00DD3BD2">
        <w:rPr>
          <w:sz w:val="24"/>
          <w:szCs w:val="24"/>
        </w:rPr>
        <w:t>incidens</w:t>
      </w:r>
      <w:proofErr w:type="spellEnd"/>
      <w:r w:rsidRPr="00DD3BD2">
        <w:rPr>
          <w:sz w:val="24"/>
          <w:szCs w:val="24"/>
        </w:rPr>
        <w:t>, der var &gt;</w:t>
      </w:r>
      <w:r>
        <w:rPr>
          <w:sz w:val="24"/>
          <w:szCs w:val="24"/>
        </w:rPr>
        <w:t xml:space="preserve"> </w:t>
      </w:r>
      <w:r w:rsidRPr="00DD3BD2">
        <w:rPr>
          <w:sz w:val="24"/>
          <w:szCs w:val="24"/>
        </w:rPr>
        <w:t>0,5</w:t>
      </w:r>
      <w:r>
        <w:rPr>
          <w:sz w:val="24"/>
          <w:szCs w:val="24"/>
        </w:rPr>
        <w:t xml:space="preserve"> %</w:t>
      </w:r>
      <w:r w:rsidRPr="00DD3BD2">
        <w:rPr>
          <w:sz w:val="24"/>
          <w:szCs w:val="24"/>
        </w:rPr>
        <w:t xml:space="preserve"> højere med </w:t>
      </w:r>
      <w:proofErr w:type="spellStart"/>
      <w:r w:rsidRPr="00DD3BD2">
        <w:rPr>
          <w:sz w:val="24"/>
          <w:szCs w:val="24"/>
        </w:rPr>
        <w:t>sitagliptin</w:t>
      </w:r>
      <w:proofErr w:type="spellEnd"/>
      <w:r w:rsidRPr="00DD3BD2">
        <w:rPr>
          <w:sz w:val="24"/>
          <w:szCs w:val="24"/>
        </w:rPr>
        <w:t xml:space="preserve"> i forhold til </w:t>
      </w:r>
      <w:proofErr w:type="spellStart"/>
      <w:r w:rsidRPr="00DD3BD2">
        <w:rPr>
          <w:sz w:val="24"/>
          <w:szCs w:val="24"/>
        </w:rPr>
        <w:t>incidensen</w:t>
      </w:r>
      <w:proofErr w:type="spellEnd"/>
      <w:r w:rsidRPr="00DD3BD2">
        <w:rPr>
          <w:sz w:val="24"/>
          <w:szCs w:val="24"/>
        </w:rPr>
        <w:t xml:space="preserve"> i kontrolgruppen).</w:t>
      </w:r>
    </w:p>
    <w:p w14:paraId="3E6B4273" w14:textId="77777777" w:rsidR="0071403C" w:rsidRPr="00DD3BD2" w:rsidRDefault="0071403C" w:rsidP="0071403C">
      <w:pPr>
        <w:tabs>
          <w:tab w:val="left" w:pos="851"/>
        </w:tabs>
        <w:ind w:left="851"/>
        <w:rPr>
          <w:sz w:val="24"/>
          <w:szCs w:val="24"/>
        </w:rPr>
      </w:pPr>
    </w:p>
    <w:p w14:paraId="33E10B7F" w14:textId="77777777" w:rsidR="0071403C" w:rsidRPr="00DD3BD2" w:rsidRDefault="0071403C" w:rsidP="0071403C">
      <w:pPr>
        <w:tabs>
          <w:tab w:val="left" w:pos="851"/>
        </w:tabs>
        <w:ind w:left="851"/>
        <w:rPr>
          <w:sz w:val="24"/>
          <w:szCs w:val="24"/>
        </w:rPr>
      </w:pPr>
      <w:r w:rsidRPr="00DD3BD2">
        <w:rPr>
          <w:sz w:val="24"/>
          <w:szCs w:val="24"/>
        </w:rPr>
        <w:lastRenderedPageBreak/>
        <w:t xml:space="preserve">Nogle bivirkninger blev observeret hyppigere i undersøgelser med </w:t>
      </w:r>
      <w:proofErr w:type="spellStart"/>
      <w:r w:rsidRPr="00DD3BD2">
        <w:rPr>
          <w:sz w:val="24"/>
          <w:szCs w:val="24"/>
        </w:rPr>
        <w:t>sitagliptin</w:t>
      </w:r>
      <w:proofErr w:type="spellEnd"/>
      <w:r w:rsidRPr="00DD3BD2">
        <w:rPr>
          <w:sz w:val="24"/>
          <w:szCs w:val="24"/>
        </w:rPr>
        <w:t xml:space="preserve"> i kombination med andre </w:t>
      </w:r>
      <w:proofErr w:type="spellStart"/>
      <w:r w:rsidRPr="00DD3BD2">
        <w:rPr>
          <w:sz w:val="24"/>
          <w:szCs w:val="24"/>
        </w:rPr>
        <w:t>antidiabetika</w:t>
      </w:r>
      <w:proofErr w:type="spellEnd"/>
      <w:r w:rsidRPr="00DD3BD2">
        <w:rPr>
          <w:sz w:val="24"/>
          <w:szCs w:val="24"/>
        </w:rPr>
        <w:t xml:space="preserve"> end i undersøgelser med </w:t>
      </w:r>
      <w:proofErr w:type="spellStart"/>
      <w:r w:rsidRPr="00DD3BD2">
        <w:rPr>
          <w:sz w:val="24"/>
          <w:szCs w:val="24"/>
        </w:rPr>
        <w:t>sitagliptin</w:t>
      </w:r>
      <w:proofErr w:type="spellEnd"/>
      <w:r w:rsidRPr="00DD3BD2">
        <w:rPr>
          <w:sz w:val="24"/>
          <w:szCs w:val="24"/>
        </w:rPr>
        <w:t xml:space="preserve"> som monoterapi. Disse omfattede hypoglykæmi (frekvens: meget almindelig ved kombinationsbehandling med </w:t>
      </w:r>
      <w:proofErr w:type="spellStart"/>
      <w:r w:rsidRPr="00DD3BD2">
        <w:rPr>
          <w:sz w:val="24"/>
          <w:szCs w:val="24"/>
        </w:rPr>
        <w:t>sulfonylurinstof</w:t>
      </w:r>
      <w:proofErr w:type="spellEnd"/>
      <w:r w:rsidRPr="00DD3BD2">
        <w:rPr>
          <w:sz w:val="24"/>
          <w:szCs w:val="24"/>
        </w:rPr>
        <w:t xml:space="preserve"> og </w:t>
      </w:r>
      <w:proofErr w:type="spellStart"/>
      <w:r w:rsidRPr="00DD3BD2">
        <w:rPr>
          <w:sz w:val="24"/>
          <w:szCs w:val="24"/>
        </w:rPr>
        <w:t>metformin</w:t>
      </w:r>
      <w:proofErr w:type="spellEnd"/>
      <w:r w:rsidRPr="00DD3BD2">
        <w:rPr>
          <w:sz w:val="24"/>
          <w:szCs w:val="24"/>
        </w:rPr>
        <w:t xml:space="preserve">), influenza (almindelig med insulin (med eller uden </w:t>
      </w:r>
      <w:proofErr w:type="spellStart"/>
      <w:r w:rsidRPr="00DD3BD2">
        <w:rPr>
          <w:sz w:val="24"/>
          <w:szCs w:val="24"/>
        </w:rPr>
        <w:t>metformin</w:t>
      </w:r>
      <w:proofErr w:type="spellEnd"/>
      <w:r w:rsidRPr="00DD3BD2">
        <w:rPr>
          <w:sz w:val="24"/>
          <w:szCs w:val="24"/>
        </w:rPr>
        <w:t xml:space="preserve">)), kvalme og opkastning (almindelig med </w:t>
      </w:r>
      <w:proofErr w:type="spellStart"/>
      <w:r w:rsidRPr="00DD3BD2">
        <w:rPr>
          <w:sz w:val="24"/>
          <w:szCs w:val="24"/>
        </w:rPr>
        <w:t>metformin</w:t>
      </w:r>
      <w:proofErr w:type="spellEnd"/>
      <w:r w:rsidRPr="00DD3BD2">
        <w:rPr>
          <w:sz w:val="24"/>
          <w:szCs w:val="24"/>
        </w:rPr>
        <w:t xml:space="preserve">), </w:t>
      </w:r>
      <w:proofErr w:type="spellStart"/>
      <w:r w:rsidRPr="00DD3BD2">
        <w:rPr>
          <w:sz w:val="24"/>
          <w:szCs w:val="24"/>
        </w:rPr>
        <w:t>flatulens</w:t>
      </w:r>
      <w:proofErr w:type="spellEnd"/>
      <w:r w:rsidRPr="00DD3BD2">
        <w:rPr>
          <w:sz w:val="24"/>
          <w:szCs w:val="24"/>
        </w:rPr>
        <w:t xml:space="preserve"> (almindelig med </w:t>
      </w:r>
      <w:proofErr w:type="spellStart"/>
      <w:r w:rsidRPr="00DD3BD2">
        <w:rPr>
          <w:sz w:val="24"/>
          <w:szCs w:val="24"/>
        </w:rPr>
        <w:t>metformin</w:t>
      </w:r>
      <w:proofErr w:type="spellEnd"/>
      <w:r w:rsidRPr="00DD3BD2">
        <w:rPr>
          <w:sz w:val="24"/>
          <w:szCs w:val="24"/>
        </w:rPr>
        <w:t xml:space="preserve"> eller </w:t>
      </w:r>
      <w:proofErr w:type="spellStart"/>
      <w:r w:rsidRPr="00DD3BD2">
        <w:rPr>
          <w:sz w:val="24"/>
          <w:szCs w:val="24"/>
        </w:rPr>
        <w:t>pioglitazon</w:t>
      </w:r>
      <w:proofErr w:type="spellEnd"/>
      <w:r w:rsidRPr="00DD3BD2">
        <w:rPr>
          <w:sz w:val="24"/>
          <w:szCs w:val="24"/>
        </w:rPr>
        <w:t xml:space="preserve">), obstipation (almindelig ved kombinationsbehandling med </w:t>
      </w:r>
      <w:proofErr w:type="spellStart"/>
      <w:r w:rsidRPr="00DD3BD2">
        <w:rPr>
          <w:sz w:val="24"/>
          <w:szCs w:val="24"/>
        </w:rPr>
        <w:t>sulfonylurinstof</w:t>
      </w:r>
      <w:proofErr w:type="spellEnd"/>
      <w:r w:rsidRPr="00DD3BD2">
        <w:rPr>
          <w:sz w:val="24"/>
          <w:szCs w:val="24"/>
        </w:rPr>
        <w:t xml:space="preserve"> og </w:t>
      </w:r>
      <w:proofErr w:type="spellStart"/>
      <w:r w:rsidRPr="00DD3BD2">
        <w:rPr>
          <w:sz w:val="24"/>
          <w:szCs w:val="24"/>
        </w:rPr>
        <w:t>metformin</w:t>
      </w:r>
      <w:proofErr w:type="spellEnd"/>
      <w:r w:rsidRPr="00DD3BD2">
        <w:rPr>
          <w:sz w:val="24"/>
          <w:szCs w:val="24"/>
        </w:rPr>
        <w:t xml:space="preserve">), perifert ødem (almindelig med </w:t>
      </w:r>
      <w:proofErr w:type="spellStart"/>
      <w:r w:rsidRPr="00DD3BD2">
        <w:rPr>
          <w:sz w:val="24"/>
          <w:szCs w:val="24"/>
        </w:rPr>
        <w:t>pioglitazon</w:t>
      </w:r>
      <w:proofErr w:type="spellEnd"/>
      <w:r w:rsidRPr="00DD3BD2">
        <w:rPr>
          <w:sz w:val="24"/>
          <w:szCs w:val="24"/>
        </w:rPr>
        <w:t xml:space="preserve"> eller ved kombinationsbehandling med </w:t>
      </w:r>
      <w:proofErr w:type="spellStart"/>
      <w:r w:rsidRPr="00DD3BD2">
        <w:rPr>
          <w:sz w:val="24"/>
          <w:szCs w:val="24"/>
        </w:rPr>
        <w:t>pioglitazon</w:t>
      </w:r>
      <w:proofErr w:type="spellEnd"/>
      <w:r w:rsidRPr="00DD3BD2">
        <w:rPr>
          <w:sz w:val="24"/>
          <w:szCs w:val="24"/>
        </w:rPr>
        <w:t xml:space="preserve"> og </w:t>
      </w:r>
      <w:proofErr w:type="spellStart"/>
      <w:r w:rsidRPr="00DD3BD2">
        <w:rPr>
          <w:sz w:val="24"/>
          <w:szCs w:val="24"/>
        </w:rPr>
        <w:t>metformin</w:t>
      </w:r>
      <w:proofErr w:type="spellEnd"/>
      <w:r w:rsidRPr="00DD3BD2">
        <w:rPr>
          <w:sz w:val="24"/>
          <w:szCs w:val="24"/>
        </w:rPr>
        <w:t xml:space="preserve">), døsighed og diarré (ikke almindelig med </w:t>
      </w:r>
      <w:proofErr w:type="spellStart"/>
      <w:r w:rsidRPr="00DD3BD2">
        <w:rPr>
          <w:sz w:val="24"/>
          <w:szCs w:val="24"/>
        </w:rPr>
        <w:t>metformin</w:t>
      </w:r>
      <w:proofErr w:type="spellEnd"/>
      <w:r w:rsidRPr="00DD3BD2">
        <w:rPr>
          <w:sz w:val="24"/>
          <w:szCs w:val="24"/>
        </w:rPr>
        <w:t xml:space="preserve">) og mundtørhed (ikke almindelig med insulin (med eller uden </w:t>
      </w:r>
      <w:proofErr w:type="spellStart"/>
      <w:r w:rsidRPr="00DD3BD2">
        <w:rPr>
          <w:sz w:val="24"/>
          <w:szCs w:val="24"/>
        </w:rPr>
        <w:t>metformin</w:t>
      </w:r>
      <w:proofErr w:type="spellEnd"/>
      <w:r w:rsidRPr="00DD3BD2">
        <w:rPr>
          <w:sz w:val="24"/>
          <w:szCs w:val="24"/>
        </w:rPr>
        <w:t>)).</w:t>
      </w:r>
    </w:p>
    <w:p w14:paraId="0E35B31E" w14:textId="77777777" w:rsidR="0071403C" w:rsidRPr="00DD3BD2" w:rsidRDefault="0071403C" w:rsidP="0071403C">
      <w:pPr>
        <w:tabs>
          <w:tab w:val="left" w:pos="851"/>
        </w:tabs>
        <w:ind w:left="851"/>
        <w:rPr>
          <w:sz w:val="24"/>
          <w:szCs w:val="24"/>
        </w:rPr>
      </w:pPr>
    </w:p>
    <w:p w14:paraId="45D2B5F1" w14:textId="77777777" w:rsidR="0071403C" w:rsidRPr="00DD3BD2" w:rsidRDefault="0071403C" w:rsidP="0071403C">
      <w:pPr>
        <w:tabs>
          <w:tab w:val="left" w:pos="851"/>
        </w:tabs>
        <w:ind w:left="851"/>
        <w:rPr>
          <w:sz w:val="24"/>
          <w:szCs w:val="24"/>
          <w:u w:val="single"/>
        </w:rPr>
      </w:pPr>
      <w:r w:rsidRPr="00DD3BD2">
        <w:rPr>
          <w:sz w:val="24"/>
          <w:szCs w:val="24"/>
          <w:u w:val="single"/>
        </w:rPr>
        <w:t>Pædiatrisk population</w:t>
      </w:r>
    </w:p>
    <w:p w14:paraId="3F9ABE89" w14:textId="77777777" w:rsidR="0071403C" w:rsidRPr="00DD3BD2" w:rsidRDefault="0071403C" w:rsidP="0071403C">
      <w:pPr>
        <w:tabs>
          <w:tab w:val="left" w:pos="851"/>
        </w:tabs>
        <w:ind w:left="851"/>
        <w:rPr>
          <w:sz w:val="24"/>
          <w:szCs w:val="24"/>
        </w:rPr>
      </w:pPr>
      <w:r w:rsidRPr="00DD3BD2">
        <w:rPr>
          <w:sz w:val="24"/>
          <w:szCs w:val="24"/>
        </w:rPr>
        <w:t xml:space="preserve">I kliniske studier med </w:t>
      </w:r>
      <w:proofErr w:type="spellStart"/>
      <w:r w:rsidRPr="00DD3BD2">
        <w:rPr>
          <w:sz w:val="24"/>
          <w:szCs w:val="24"/>
        </w:rPr>
        <w:t>sitagliptin</w:t>
      </w:r>
      <w:proofErr w:type="spellEnd"/>
      <w:r w:rsidRPr="00DD3BD2">
        <w:rPr>
          <w:sz w:val="24"/>
          <w:szCs w:val="24"/>
        </w:rPr>
        <w:t xml:space="preserve"> hos pædiatriske patienter med type 2-diabetes mellitus i alderen 10 til 17 år var bivirkningsprofilen sammenlignelig med den, der blev set hos voksne.</w:t>
      </w:r>
    </w:p>
    <w:p w14:paraId="2E8C5B66" w14:textId="77777777" w:rsidR="0071403C" w:rsidRPr="00DD3BD2" w:rsidRDefault="0071403C" w:rsidP="0071403C">
      <w:pPr>
        <w:tabs>
          <w:tab w:val="left" w:pos="851"/>
        </w:tabs>
        <w:ind w:left="851"/>
        <w:rPr>
          <w:sz w:val="24"/>
          <w:szCs w:val="24"/>
        </w:rPr>
      </w:pPr>
    </w:p>
    <w:p w14:paraId="599B126C" w14:textId="77777777" w:rsidR="0071403C" w:rsidRPr="00DD3BD2" w:rsidRDefault="0071403C" w:rsidP="0071403C">
      <w:pPr>
        <w:tabs>
          <w:tab w:val="left" w:pos="851"/>
        </w:tabs>
        <w:ind w:left="851"/>
        <w:rPr>
          <w:i/>
          <w:iCs/>
          <w:sz w:val="24"/>
          <w:szCs w:val="24"/>
        </w:rPr>
      </w:pPr>
      <w:proofErr w:type="spellStart"/>
      <w:r w:rsidRPr="00DD3BD2">
        <w:rPr>
          <w:i/>
          <w:iCs/>
          <w:sz w:val="24"/>
          <w:szCs w:val="24"/>
        </w:rPr>
        <w:t>Kardiovaskulært</w:t>
      </w:r>
      <w:proofErr w:type="spellEnd"/>
      <w:r w:rsidRPr="00DD3BD2">
        <w:rPr>
          <w:i/>
          <w:iCs/>
          <w:sz w:val="24"/>
          <w:szCs w:val="24"/>
        </w:rPr>
        <w:t xml:space="preserve"> sikkerhedsstudie TECOS</w:t>
      </w:r>
    </w:p>
    <w:p w14:paraId="2D1EA62E" w14:textId="77777777" w:rsidR="0071403C" w:rsidRPr="00DD3BD2" w:rsidRDefault="0071403C" w:rsidP="0071403C">
      <w:pPr>
        <w:tabs>
          <w:tab w:val="left" w:pos="851"/>
        </w:tabs>
        <w:ind w:left="851"/>
        <w:rPr>
          <w:sz w:val="24"/>
          <w:szCs w:val="24"/>
        </w:rPr>
      </w:pPr>
      <w:r w:rsidRPr="00DD3BD2">
        <w:rPr>
          <w:sz w:val="24"/>
          <w:szCs w:val="24"/>
        </w:rPr>
        <w:t>TECOS-studiet (</w:t>
      </w:r>
      <w:r w:rsidRPr="00DD3BD2">
        <w:rPr>
          <w:i/>
          <w:iCs/>
          <w:sz w:val="24"/>
          <w:szCs w:val="24"/>
        </w:rPr>
        <w:t xml:space="preserve">The Trial </w:t>
      </w:r>
      <w:proofErr w:type="spellStart"/>
      <w:r w:rsidRPr="00DD3BD2">
        <w:rPr>
          <w:i/>
          <w:iCs/>
          <w:sz w:val="24"/>
          <w:szCs w:val="24"/>
        </w:rPr>
        <w:t>Evaluating</w:t>
      </w:r>
      <w:proofErr w:type="spellEnd"/>
      <w:r w:rsidRPr="00DD3BD2">
        <w:rPr>
          <w:i/>
          <w:iCs/>
          <w:sz w:val="24"/>
          <w:szCs w:val="24"/>
        </w:rPr>
        <w:t xml:space="preserve"> </w:t>
      </w:r>
      <w:proofErr w:type="spellStart"/>
      <w:r w:rsidRPr="00DD3BD2">
        <w:rPr>
          <w:i/>
          <w:iCs/>
          <w:sz w:val="24"/>
          <w:szCs w:val="24"/>
        </w:rPr>
        <w:t>Cardiovascular</w:t>
      </w:r>
      <w:proofErr w:type="spellEnd"/>
      <w:r w:rsidRPr="00DD3BD2">
        <w:rPr>
          <w:i/>
          <w:iCs/>
          <w:sz w:val="24"/>
          <w:szCs w:val="24"/>
        </w:rPr>
        <w:t xml:space="preserve"> </w:t>
      </w:r>
      <w:proofErr w:type="spellStart"/>
      <w:r w:rsidRPr="00DD3BD2">
        <w:rPr>
          <w:i/>
          <w:iCs/>
          <w:sz w:val="24"/>
          <w:szCs w:val="24"/>
        </w:rPr>
        <w:t>Outcomes</w:t>
      </w:r>
      <w:proofErr w:type="spellEnd"/>
      <w:r w:rsidRPr="00DD3BD2">
        <w:rPr>
          <w:i/>
          <w:iCs/>
          <w:sz w:val="24"/>
          <w:szCs w:val="24"/>
        </w:rPr>
        <w:t xml:space="preserve"> with </w:t>
      </w:r>
      <w:proofErr w:type="spellStart"/>
      <w:r w:rsidRPr="00DD3BD2">
        <w:rPr>
          <w:i/>
          <w:iCs/>
          <w:sz w:val="24"/>
          <w:szCs w:val="24"/>
        </w:rPr>
        <w:t>Sitagliptin</w:t>
      </w:r>
      <w:proofErr w:type="spellEnd"/>
      <w:r w:rsidRPr="00DD3BD2">
        <w:rPr>
          <w:sz w:val="24"/>
          <w:szCs w:val="24"/>
        </w:rPr>
        <w:t>) inkluderede 7</w:t>
      </w:r>
      <w:r>
        <w:rPr>
          <w:sz w:val="24"/>
          <w:szCs w:val="24"/>
        </w:rPr>
        <w:t xml:space="preserve"> </w:t>
      </w:r>
      <w:r w:rsidRPr="00DD3BD2">
        <w:rPr>
          <w:sz w:val="24"/>
          <w:szCs w:val="24"/>
        </w:rPr>
        <w:t xml:space="preserve">332 patienter, som blev behandlet med </w:t>
      </w:r>
      <w:proofErr w:type="spellStart"/>
      <w:r w:rsidRPr="00DD3BD2">
        <w:rPr>
          <w:sz w:val="24"/>
          <w:szCs w:val="24"/>
        </w:rPr>
        <w:t>sitagliptin</w:t>
      </w:r>
      <w:proofErr w:type="spellEnd"/>
      <w:r w:rsidRPr="00DD3BD2">
        <w:rPr>
          <w:sz w:val="24"/>
          <w:szCs w:val="24"/>
        </w:rPr>
        <w:t xml:space="preserve"> 100</w:t>
      </w:r>
      <w:r>
        <w:rPr>
          <w:sz w:val="24"/>
          <w:szCs w:val="24"/>
        </w:rPr>
        <w:t xml:space="preserve"> </w:t>
      </w:r>
      <w:r w:rsidRPr="00DD3BD2">
        <w:rPr>
          <w:sz w:val="24"/>
          <w:szCs w:val="24"/>
        </w:rPr>
        <w:t xml:space="preserve">mg </w:t>
      </w:r>
      <w:r>
        <w:rPr>
          <w:sz w:val="24"/>
          <w:szCs w:val="24"/>
        </w:rPr>
        <w:t>dagligt</w:t>
      </w:r>
      <w:r w:rsidRPr="00DD3BD2">
        <w:rPr>
          <w:sz w:val="24"/>
          <w:szCs w:val="24"/>
        </w:rPr>
        <w:t xml:space="preserve"> (eller 50</w:t>
      </w:r>
      <w:r>
        <w:rPr>
          <w:sz w:val="24"/>
          <w:szCs w:val="24"/>
        </w:rPr>
        <w:t xml:space="preserve"> </w:t>
      </w:r>
      <w:r w:rsidRPr="00DD3BD2">
        <w:rPr>
          <w:sz w:val="24"/>
          <w:szCs w:val="24"/>
        </w:rPr>
        <w:t xml:space="preserve">mg </w:t>
      </w:r>
      <w:r>
        <w:rPr>
          <w:sz w:val="24"/>
          <w:szCs w:val="24"/>
        </w:rPr>
        <w:t>dagligt</w:t>
      </w:r>
      <w:r w:rsidRPr="00DD3BD2">
        <w:rPr>
          <w:sz w:val="24"/>
          <w:szCs w:val="24"/>
        </w:rPr>
        <w:t xml:space="preserve">, hvis </w:t>
      </w:r>
      <w:proofErr w:type="spellStart"/>
      <w:r w:rsidRPr="00DD3BD2">
        <w:rPr>
          <w:sz w:val="24"/>
          <w:szCs w:val="24"/>
        </w:rPr>
        <w:t>eGFR</w:t>
      </w:r>
      <w:proofErr w:type="spellEnd"/>
      <w:r w:rsidRPr="00DD3BD2">
        <w:rPr>
          <w:sz w:val="24"/>
          <w:szCs w:val="24"/>
        </w:rPr>
        <w:t xml:space="preserve"> ved </w:t>
      </w:r>
      <w:r w:rsidRPr="00DD3BD2">
        <w:rPr>
          <w:i/>
          <w:iCs/>
          <w:sz w:val="24"/>
          <w:szCs w:val="24"/>
        </w:rPr>
        <w:t>baseline</w:t>
      </w:r>
      <w:r w:rsidRPr="00DD3BD2">
        <w:rPr>
          <w:sz w:val="24"/>
          <w:szCs w:val="24"/>
        </w:rPr>
        <w:t xml:space="preserve"> var ≥</w:t>
      </w:r>
      <w:r>
        <w:rPr>
          <w:sz w:val="24"/>
          <w:szCs w:val="24"/>
        </w:rPr>
        <w:t xml:space="preserve"> </w:t>
      </w:r>
      <w:r w:rsidRPr="00DD3BD2">
        <w:rPr>
          <w:sz w:val="24"/>
          <w:szCs w:val="24"/>
        </w:rPr>
        <w:t>30 og &lt;</w:t>
      </w:r>
      <w:r>
        <w:rPr>
          <w:sz w:val="24"/>
          <w:szCs w:val="24"/>
        </w:rPr>
        <w:t xml:space="preserve"> </w:t>
      </w:r>
      <w:r w:rsidRPr="00DD3BD2">
        <w:rPr>
          <w:sz w:val="24"/>
          <w:szCs w:val="24"/>
        </w:rPr>
        <w:t>50</w:t>
      </w:r>
      <w:r>
        <w:rPr>
          <w:sz w:val="24"/>
          <w:szCs w:val="24"/>
        </w:rPr>
        <w:t xml:space="preserve"> </w:t>
      </w:r>
      <w:r w:rsidRPr="00DD3BD2">
        <w:rPr>
          <w:sz w:val="24"/>
          <w:szCs w:val="24"/>
        </w:rPr>
        <w:t>ml/min/1,73</w:t>
      </w:r>
      <w:r>
        <w:rPr>
          <w:sz w:val="24"/>
          <w:szCs w:val="24"/>
        </w:rPr>
        <w:t xml:space="preserve"> </w:t>
      </w:r>
      <w:r w:rsidRPr="00DD3BD2">
        <w:rPr>
          <w:sz w:val="24"/>
          <w:szCs w:val="24"/>
        </w:rPr>
        <w:t>m</w:t>
      </w:r>
      <w:r w:rsidRPr="00DD3BD2">
        <w:rPr>
          <w:sz w:val="24"/>
          <w:szCs w:val="24"/>
          <w:vertAlign w:val="superscript"/>
        </w:rPr>
        <w:t>2</w:t>
      </w:r>
      <w:r w:rsidRPr="00DD3BD2">
        <w:rPr>
          <w:sz w:val="24"/>
          <w:szCs w:val="24"/>
        </w:rPr>
        <w:t>), og 7</w:t>
      </w:r>
      <w:r>
        <w:rPr>
          <w:sz w:val="24"/>
          <w:szCs w:val="24"/>
        </w:rPr>
        <w:t xml:space="preserve"> </w:t>
      </w:r>
      <w:r w:rsidRPr="00DD3BD2">
        <w:rPr>
          <w:sz w:val="24"/>
          <w:szCs w:val="24"/>
        </w:rPr>
        <w:t>339</w:t>
      </w:r>
      <w:r>
        <w:rPr>
          <w:sz w:val="24"/>
          <w:szCs w:val="24"/>
        </w:rPr>
        <w:t xml:space="preserve"> </w:t>
      </w:r>
      <w:r w:rsidRPr="00DD3BD2">
        <w:rPr>
          <w:sz w:val="24"/>
          <w:szCs w:val="24"/>
        </w:rPr>
        <w:t xml:space="preserve">patienter, som fik placebo, i </w:t>
      </w:r>
      <w:r w:rsidRPr="00DD3BD2">
        <w:rPr>
          <w:i/>
          <w:iCs/>
          <w:sz w:val="24"/>
          <w:szCs w:val="24"/>
        </w:rPr>
        <w:t xml:space="preserve">intention to </w:t>
      </w:r>
      <w:proofErr w:type="spellStart"/>
      <w:r w:rsidRPr="00DD3BD2">
        <w:rPr>
          <w:i/>
          <w:iCs/>
          <w:sz w:val="24"/>
          <w:szCs w:val="24"/>
        </w:rPr>
        <w:t>treat</w:t>
      </w:r>
      <w:proofErr w:type="spellEnd"/>
      <w:r w:rsidRPr="00DD3BD2">
        <w:rPr>
          <w:sz w:val="24"/>
          <w:szCs w:val="24"/>
        </w:rPr>
        <w:t>-populationen. Begge behandlinger blev givet som supplement til standardbehandling målrettet de regionale standarder for HbA</w:t>
      </w:r>
      <w:r w:rsidRPr="00DD3BD2">
        <w:rPr>
          <w:sz w:val="24"/>
          <w:szCs w:val="24"/>
          <w:vertAlign w:val="subscript"/>
        </w:rPr>
        <w:t>1c</w:t>
      </w:r>
      <w:r w:rsidRPr="00DD3BD2">
        <w:rPr>
          <w:sz w:val="24"/>
          <w:szCs w:val="24"/>
        </w:rPr>
        <w:t xml:space="preserve"> og </w:t>
      </w:r>
      <w:proofErr w:type="spellStart"/>
      <w:r w:rsidRPr="00DD3BD2">
        <w:rPr>
          <w:sz w:val="24"/>
          <w:szCs w:val="24"/>
        </w:rPr>
        <w:t>kardiovaskulære</w:t>
      </w:r>
      <w:proofErr w:type="spellEnd"/>
      <w:r w:rsidRPr="00DD3BD2">
        <w:rPr>
          <w:sz w:val="24"/>
          <w:szCs w:val="24"/>
        </w:rPr>
        <w:t xml:space="preserve"> risikofaktorer. Den samlede </w:t>
      </w:r>
      <w:proofErr w:type="spellStart"/>
      <w:r w:rsidRPr="00DD3BD2">
        <w:rPr>
          <w:sz w:val="24"/>
          <w:szCs w:val="24"/>
        </w:rPr>
        <w:t>incidens</w:t>
      </w:r>
      <w:proofErr w:type="spellEnd"/>
      <w:r w:rsidRPr="00DD3BD2">
        <w:rPr>
          <w:sz w:val="24"/>
          <w:szCs w:val="24"/>
        </w:rPr>
        <w:t xml:space="preserve"> af alvorlige bivirkninger hos patienter i </w:t>
      </w:r>
      <w:proofErr w:type="spellStart"/>
      <w:r w:rsidRPr="00DD3BD2">
        <w:rPr>
          <w:sz w:val="24"/>
          <w:szCs w:val="24"/>
        </w:rPr>
        <w:t>sitagliptin</w:t>
      </w:r>
      <w:proofErr w:type="spellEnd"/>
      <w:r w:rsidRPr="00DD3BD2">
        <w:rPr>
          <w:sz w:val="24"/>
          <w:szCs w:val="24"/>
        </w:rPr>
        <w:t>-armen var den samme som hos patienter i placebo-armen.</w:t>
      </w:r>
    </w:p>
    <w:p w14:paraId="0BDA1099" w14:textId="77777777" w:rsidR="0071403C" w:rsidRPr="00DD3BD2" w:rsidRDefault="0071403C" w:rsidP="0071403C">
      <w:pPr>
        <w:tabs>
          <w:tab w:val="left" w:pos="851"/>
        </w:tabs>
        <w:ind w:left="851"/>
        <w:rPr>
          <w:sz w:val="24"/>
          <w:szCs w:val="24"/>
        </w:rPr>
      </w:pPr>
    </w:p>
    <w:p w14:paraId="47BB87E9" w14:textId="77777777" w:rsidR="0071403C" w:rsidRPr="00DD3BD2" w:rsidRDefault="0071403C" w:rsidP="0071403C">
      <w:pPr>
        <w:tabs>
          <w:tab w:val="left" w:pos="851"/>
        </w:tabs>
        <w:ind w:left="851"/>
        <w:rPr>
          <w:sz w:val="24"/>
          <w:szCs w:val="24"/>
        </w:rPr>
      </w:pPr>
      <w:r w:rsidRPr="00DD3BD2">
        <w:rPr>
          <w:sz w:val="24"/>
          <w:szCs w:val="24"/>
        </w:rPr>
        <w:t xml:space="preserve">I </w:t>
      </w:r>
      <w:r w:rsidRPr="00DD3BD2">
        <w:rPr>
          <w:i/>
          <w:iCs/>
          <w:sz w:val="24"/>
          <w:szCs w:val="24"/>
        </w:rPr>
        <w:t xml:space="preserve">intention to </w:t>
      </w:r>
      <w:proofErr w:type="spellStart"/>
      <w:r w:rsidRPr="00DD3BD2">
        <w:rPr>
          <w:i/>
          <w:iCs/>
          <w:sz w:val="24"/>
          <w:szCs w:val="24"/>
        </w:rPr>
        <w:t>treat</w:t>
      </w:r>
      <w:proofErr w:type="spellEnd"/>
      <w:r w:rsidRPr="00DD3BD2">
        <w:rPr>
          <w:sz w:val="24"/>
          <w:szCs w:val="24"/>
        </w:rPr>
        <w:t xml:space="preserve">-populationen var </w:t>
      </w:r>
      <w:proofErr w:type="spellStart"/>
      <w:r w:rsidRPr="00DD3BD2">
        <w:rPr>
          <w:sz w:val="24"/>
          <w:szCs w:val="24"/>
        </w:rPr>
        <w:t>incidensen</w:t>
      </w:r>
      <w:proofErr w:type="spellEnd"/>
      <w:r w:rsidRPr="00DD3BD2">
        <w:rPr>
          <w:sz w:val="24"/>
          <w:szCs w:val="24"/>
        </w:rPr>
        <w:t xml:space="preserve"> af svær hypoglykæmi blandt patienter, som fik insulin og/eller et </w:t>
      </w:r>
      <w:proofErr w:type="spellStart"/>
      <w:r w:rsidRPr="00DD3BD2">
        <w:rPr>
          <w:sz w:val="24"/>
          <w:szCs w:val="24"/>
        </w:rPr>
        <w:t>sulfonylurinstof</w:t>
      </w:r>
      <w:proofErr w:type="spellEnd"/>
      <w:r w:rsidRPr="00DD3BD2">
        <w:rPr>
          <w:sz w:val="24"/>
          <w:szCs w:val="24"/>
        </w:rPr>
        <w:t xml:space="preserve"> ved </w:t>
      </w:r>
      <w:r w:rsidRPr="00DD3BD2">
        <w:rPr>
          <w:i/>
          <w:iCs/>
          <w:sz w:val="24"/>
          <w:szCs w:val="24"/>
        </w:rPr>
        <w:t>baseline</w:t>
      </w:r>
      <w:r w:rsidRPr="00DD3BD2">
        <w:rPr>
          <w:sz w:val="24"/>
          <w:szCs w:val="24"/>
        </w:rPr>
        <w:t>, 2,7</w:t>
      </w:r>
      <w:r>
        <w:rPr>
          <w:sz w:val="24"/>
          <w:szCs w:val="24"/>
        </w:rPr>
        <w:t xml:space="preserve"> %</w:t>
      </w:r>
      <w:r w:rsidRPr="00DD3BD2">
        <w:rPr>
          <w:sz w:val="24"/>
          <w:szCs w:val="24"/>
        </w:rPr>
        <w:t xml:space="preserve"> hos patienter i </w:t>
      </w:r>
      <w:proofErr w:type="spellStart"/>
      <w:r w:rsidRPr="00DD3BD2">
        <w:rPr>
          <w:sz w:val="24"/>
          <w:szCs w:val="24"/>
        </w:rPr>
        <w:t>sitagliptin</w:t>
      </w:r>
      <w:proofErr w:type="spellEnd"/>
      <w:r w:rsidRPr="00DD3BD2">
        <w:rPr>
          <w:sz w:val="24"/>
          <w:szCs w:val="24"/>
        </w:rPr>
        <w:t>-armen og 2,5</w:t>
      </w:r>
      <w:r>
        <w:rPr>
          <w:sz w:val="24"/>
          <w:szCs w:val="24"/>
        </w:rPr>
        <w:t xml:space="preserve"> %</w:t>
      </w:r>
      <w:r w:rsidRPr="00DD3BD2">
        <w:rPr>
          <w:sz w:val="24"/>
          <w:szCs w:val="24"/>
        </w:rPr>
        <w:t xml:space="preserve"> hos patienter i placebo-armen. Blandt patienter, som ikke fik insulin og/eller et </w:t>
      </w:r>
      <w:proofErr w:type="spellStart"/>
      <w:r w:rsidRPr="00DD3BD2">
        <w:rPr>
          <w:sz w:val="24"/>
          <w:szCs w:val="24"/>
        </w:rPr>
        <w:t>sulfonylurinstof</w:t>
      </w:r>
      <w:proofErr w:type="spellEnd"/>
      <w:r w:rsidRPr="00DD3BD2">
        <w:rPr>
          <w:sz w:val="24"/>
          <w:szCs w:val="24"/>
        </w:rPr>
        <w:t xml:space="preserve"> ved </w:t>
      </w:r>
      <w:r w:rsidRPr="00DD3BD2">
        <w:rPr>
          <w:i/>
          <w:iCs/>
          <w:sz w:val="24"/>
          <w:szCs w:val="24"/>
        </w:rPr>
        <w:t>baseline</w:t>
      </w:r>
      <w:r w:rsidRPr="00DD3BD2">
        <w:rPr>
          <w:sz w:val="24"/>
          <w:szCs w:val="24"/>
        </w:rPr>
        <w:t xml:space="preserve">, var </w:t>
      </w:r>
      <w:proofErr w:type="spellStart"/>
      <w:r w:rsidRPr="00DD3BD2">
        <w:rPr>
          <w:sz w:val="24"/>
          <w:szCs w:val="24"/>
        </w:rPr>
        <w:t>incidensen</w:t>
      </w:r>
      <w:proofErr w:type="spellEnd"/>
      <w:r w:rsidRPr="00DD3BD2">
        <w:rPr>
          <w:sz w:val="24"/>
          <w:szCs w:val="24"/>
        </w:rPr>
        <w:t xml:space="preserve"> af svær hypoglykæmi 1,0</w:t>
      </w:r>
      <w:r>
        <w:rPr>
          <w:sz w:val="24"/>
          <w:szCs w:val="24"/>
        </w:rPr>
        <w:t xml:space="preserve"> %</w:t>
      </w:r>
      <w:r w:rsidRPr="00DD3BD2">
        <w:rPr>
          <w:sz w:val="24"/>
          <w:szCs w:val="24"/>
        </w:rPr>
        <w:t xml:space="preserve"> i </w:t>
      </w:r>
      <w:proofErr w:type="spellStart"/>
      <w:r w:rsidRPr="00DD3BD2">
        <w:rPr>
          <w:sz w:val="24"/>
          <w:szCs w:val="24"/>
        </w:rPr>
        <w:t>sitagliptin</w:t>
      </w:r>
      <w:proofErr w:type="spellEnd"/>
      <w:r w:rsidRPr="00DD3BD2">
        <w:rPr>
          <w:sz w:val="24"/>
          <w:szCs w:val="24"/>
        </w:rPr>
        <w:t>-armen og 0,7</w:t>
      </w:r>
      <w:r>
        <w:rPr>
          <w:sz w:val="24"/>
          <w:szCs w:val="24"/>
        </w:rPr>
        <w:t xml:space="preserve"> %</w:t>
      </w:r>
      <w:r w:rsidRPr="00DD3BD2">
        <w:rPr>
          <w:sz w:val="24"/>
          <w:szCs w:val="24"/>
        </w:rPr>
        <w:t xml:space="preserve"> i placebo-armen. </w:t>
      </w:r>
      <w:proofErr w:type="spellStart"/>
      <w:r w:rsidRPr="00DD3BD2">
        <w:rPr>
          <w:sz w:val="24"/>
          <w:szCs w:val="24"/>
        </w:rPr>
        <w:t>Incidensen</w:t>
      </w:r>
      <w:proofErr w:type="spellEnd"/>
      <w:r w:rsidRPr="00DD3BD2">
        <w:rPr>
          <w:sz w:val="24"/>
          <w:szCs w:val="24"/>
        </w:rPr>
        <w:t xml:space="preserve"> af bekræftede tilfælde af </w:t>
      </w:r>
      <w:proofErr w:type="spellStart"/>
      <w:r w:rsidRPr="00DD3BD2">
        <w:rPr>
          <w:sz w:val="24"/>
          <w:szCs w:val="24"/>
        </w:rPr>
        <w:t>pankreatitis</w:t>
      </w:r>
      <w:proofErr w:type="spellEnd"/>
      <w:r w:rsidRPr="00DD3BD2">
        <w:rPr>
          <w:sz w:val="24"/>
          <w:szCs w:val="24"/>
        </w:rPr>
        <w:t xml:space="preserve"> var 0,3</w:t>
      </w:r>
      <w:r>
        <w:rPr>
          <w:sz w:val="24"/>
          <w:szCs w:val="24"/>
        </w:rPr>
        <w:t xml:space="preserve"> %</w:t>
      </w:r>
      <w:r w:rsidRPr="00DD3BD2">
        <w:rPr>
          <w:sz w:val="24"/>
          <w:szCs w:val="24"/>
        </w:rPr>
        <w:t xml:space="preserve"> i </w:t>
      </w:r>
      <w:proofErr w:type="spellStart"/>
      <w:r w:rsidRPr="00DD3BD2">
        <w:rPr>
          <w:sz w:val="24"/>
          <w:szCs w:val="24"/>
        </w:rPr>
        <w:t>sitagliptin</w:t>
      </w:r>
      <w:proofErr w:type="spellEnd"/>
      <w:r w:rsidRPr="00DD3BD2">
        <w:rPr>
          <w:sz w:val="24"/>
          <w:szCs w:val="24"/>
        </w:rPr>
        <w:t>-armen og 0,2</w:t>
      </w:r>
      <w:r>
        <w:rPr>
          <w:sz w:val="24"/>
          <w:szCs w:val="24"/>
        </w:rPr>
        <w:t xml:space="preserve"> %</w:t>
      </w:r>
      <w:r w:rsidRPr="00DD3BD2">
        <w:rPr>
          <w:sz w:val="24"/>
          <w:szCs w:val="24"/>
        </w:rPr>
        <w:t xml:space="preserve"> i placebo-armen.</w:t>
      </w:r>
    </w:p>
    <w:p w14:paraId="0059D6AE" w14:textId="77777777" w:rsidR="0071403C" w:rsidRPr="00DD3BD2" w:rsidRDefault="0071403C" w:rsidP="0071403C">
      <w:pPr>
        <w:tabs>
          <w:tab w:val="left" w:pos="851"/>
        </w:tabs>
        <w:ind w:left="851"/>
        <w:rPr>
          <w:sz w:val="24"/>
          <w:szCs w:val="24"/>
        </w:rPr>
      </w:pPr>
    </w:p>
    <w:p w14:paraId="118D8D4E" w14:textId="77777777" w:rsidR="0071403C" w:rsidRPr="00DD3BD2" w:rsidRDefault="0071403C" w:rsidP="0071403C">
      <w:pPr>
        <w:tabs>
          <w:tab w:val="left" w:pos="851"/>
        </w:tabs>
        <w:ind w:left="851"/>
        <w:rPr>
          <w:sz w:val="24"/>
          <w:szCs w:val="24"/>
          <w:u w:val="single"/>
        </w:rPr>
      </w:pPr>
      <w:r w:rsidRPr="00DD3BD2">
        <w:rPr>
          <w:sz w:val="24"/>
          <w:szCs w:val="24"/>
          <w:u w:val="single"/>
        </w:rPr>
        <w:t>Indberetning af formodede bivirkninger</w:t>
      </w:r>
    </w:p>
    <w:p w14:paraId="7E72B6BC" w14:textId="77777777" w:rsidR="0071403C" w:rsidRPr="00DD3BD2" w:rsidRDefault="0071403C" w:rsidP="0071403C">
      <w:pPr>
        <w:tabs>
          <w:tab w:val="left" w:pos="851"/>
        </w:tabs>
        <w:ind w:left="851"/>
        <w:rPr>
          <w:sz w:val="24"/>
          <w:szCs w:val="24"/>
        </w:rPr>
      </w:pPr>
      <w:r w:rsidRPr="00DD3BD2">
        <w:rPr>
          <w:sz w:val="24"/>
          <w:szCs w:val="24"/>
        </w:rPr>
        <w:t>Når lægemidlet er godkendt, er indberetning af formodede bivirkninger vigtig. Det muliggør løbende overvågning af benefit/</w:t>
      </w:r>
      <w:proofErr w:type="spellStart"/>
      <w:r w:rsidRPr="00DD3BD2">
        <w:rPr>
          <w:sz w:val="24"/>
          <w:szCs w:val="24"/>
        </w:rPr>
        <w:t>risk</w:t>
      </w:r>
      <w:proofErr w:type="spellEnd"/>
      <w:r w:rsidRPr="00DD3BD2">
        <w:rPr>
          <w:sz w:val="24"/>
          <w:szCs w:val="24"/>
        </w:rPr>
        <w:t xml:space="preserve">-forholdet for lægemidlet. Sundhedspersoner anmodes om at indberette alle formodede bivirkninger via: </w:t>
      </w:r>
    </w:p>
    <w:p w14:paraId="11D94ADC" w14:textId="77777777" w:rsidR="0071403C" w:rsidRPr="00DD3BD2" w:rsidRDefault="0071403C" w:rsidP="0071403C">
      <w:pPr>
        <w:tabs>
          <w:tab w:val="left" w:pos="851"/>
        </w:tabs>
        <w:ind w:left="851"/>
        <w:rPr>
          <w:sz w:val="24"/>
          <w:szCs w:val="24"/>
        </w:rPr>
      </w:pPr>
    </w:p>
    <w:p w14:paraId="581989A6" w14:textId="77777777" w:rsidR="0071403C" w:rsidRPr="00DD3BD2" w:rsidRDefault="0071403C" w:rsidP="0071403C">
      <w:pPr>
        <w:tabs>
          <w:tab w:val="left" w:pos="851"/>
        </w:tabs>
        <w:ind w:left="851"/>
        <w:rPr>
          <w:sz w:val="24"/>
          <w:szCs w:val="24"/>
        </w:rPr>
      </w:pPr>
      <w:r w:rsidRPr="00DD3BD2">
        <w:rPr>
          <w:sz w:val="24"/>
          <w:szCs w:val="24"/>
        </w:rPr>
        <w:t>Lægemiddelstyrelsen</w:t>
      </w:r>
    </w:p>
    <w:p w14:paraId="66C29A31" w14:textId="77777777" w:rsidR="0071403C" w:rsidRPr="00DD3BD2" w:rsidRDefault="0071403C" w:rsidP="0071403C">
      <w:pPr>
        <w:tabs>
          <w:tab w:val="left" w:pos="851"/>
        </w:tabs>
        <w:ind w:left="851"/>
        <w:rPr>
          <w:sz w:val="24"/>
          <w:szCs w:val="24"/>
        </w:rPr>
      </w:pPr>
      <w:r w:rsidRPr="00DD3BD2">
        <w:rPr>
          <w:sz w:val="24"/>
          <w:szCs w:val="24"/>
        </w:rPr>
        <w:t>Axel Heides Gade 1</w:t>
      </w:r>
    </w:p>
    <w:p w14:paraId="52A2316D" w14:textId="77777777" w:rsidR="0071403C" w:rsidRPr="00DD3BD2" w:rsidRDefault="0071403C" w:rsidP="0071403C">
      <w:pPr>
        <w:tabs>
          <w:tab w:val="left" w:pos="851"/>
        </w:tabs>
        <w:ind w:left="851"/>
        <w:rPr>
          <w:sz w:val="24"/>
          <w:szCs w:val="24"/>
        </w:rPr>
      </w:pPr>
      <w:r w:rsidRPr="00DD3BD2">
        <w:rPr>
          <w:sz w:val="24"/>
          <w:szCs w:val="24"/>
        </w:rPr>
        <w:t>DK-2300 København S</w:t>
      </w:r>
    </w:p>
    <w:p w14:paraId="334F0475" w14:textId="569B7A9E" w:rsidR="0071403C" w:rsidRPr="00715B00" w:rsidRDefault="0071403C" w:rsidP="0071403C">
      <w:pPr>
        <w:ind w:left="851"/>
        <w:rPr>
          <w:rStyle w:val="Hyperlink"/>
          <w:color w:val="000000" w:themeColor="text1"/>
          <w:sz w:val="24"/>
          <w:szCs w:val="24"/>
        </w:rPr>
      </w:pPr>
      <w:r w:rsidRPr="00715B00">
        <w:rPr>
          <w:noProof/>
          <w:sz w:val="24"/>
          <w:szCs w:val="24"/>
        </w:rPr>
        <w:t xml:space="preserve">Websted: </w:t>
      </w:r>
      <w:r w:rsidRPr="0071403C">
        <w:rPr>
          <w:sz w:val="24"/>
          <w:szCs w:val="24"/>
        </w:rPr>
        <w:t>www.meldenbivirkning.dk</w:t>
      </w:r>
    </w:p>
    <w:p w14:paraId="31740F85" w14:textId="77777777" w:rsidR="009260DE" w:rsidRPr="00A10294" w:rsidRDefault="009260DE" w:rsidP="00A10294">
      <w:pPr>
        <w:tabs>
          <w:tab w:val="left" w:pos="851"/>
        </w:tabs>
        <w:ind w:left="851"/>
        <w:rPr>
          <w:sz w:val="24"/>
          <w:szCs w:val="24"/>
        </w:rPr>
      </w:pPr>
    </w:p>
    <w:p w14:paraId="4C8438C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8D5D629" w14:textId="77777777" w:rsidR="00DD5979" w:rsidRPr="000136AB" w:rsidRDefault="00DD5979" w:rsidP="00DD5979">
      <w:pPr>
        <w:tabs>
          <w:tab w:val="left" w:pos="851"/>
        </w:tabs>
        <w:ind w:left="851"/>
        <w:rPr>
          <w:sz w:val="24"/>
          <w:szCs w:val="24"/>
        </w:rPr>
      </w:pPr>
      <w:r w:rsidRPr="000136AB">
        <w:rPr>
          <w:sz w:val="24"/>
          <w:szCs w:val="24"/>
        </w:rPr>
        <w:t>I kontrollerede kliniske studier med raske personer blev enkeltdoser på op til 800</w:t>
      </w:r>
      <w:r>
        <w:rPr>
          <w:sz w:val="24"/>
          <w:szCs w:val="24"/>
        </w:rPr>
        <w:t xml:space="preserve"> </w:t>
      </w:r>
      <w:r w:rsidRPr="000136AB">
        <w:rPr>
          <w:sz w:val="24"/>
          <w:szCs w:val="24"/>
        </w:rPr>
        <w:t xml:space="preserve">mg </w:t>
      </w:r>
      <w:proofErr w:type="spellStart"/>
      <w:r w:rsidRPr="000136AB">
        <w:rPr>
          <w:sz w:val="24"/>
          <w:szCs w:val="24"/>
        </w:rPr>
        <w:t>sitagliptin</w:t>
      </w:r>
      <w:proofErr w:type="spellEnd"/>
      <w:r w:rsidRPr="000136AB">
        <w:rPr>
          <w:sz w:val="24"/>
          <w:szCs w:val="24"/>
        </w:rPr>
        <w:t xml:space="preserve"> administreret. Minimale forlængelser af </w:t>
      </w:r>
      <w:proofErr w:type="spellStart"/>
      <w:r w:rsidRPr="000136AB">
        <w:rPr>
          <w:sz w:val="24"/>
          <w:szCs w:val="24"/>
        </w:rPr>
        <w:t>QTc</w:t>
      </w:r>
      <w:proofErr w:type="spellEnd"/>
      <w:r w:rsidRPr="000136AB">
        <w:rPr>
          <w:sz w:val="24"/>
          <w:szCs w:val="24"/>
        </w:rPr>
        <w:t>-intervallet blev observeret i et studie med en 800</w:t>
      </w:r>
      <w:r>
        <w:rPr>
          <w:sz w:val="24"/>
          <w:szCs w:val="24"/>
        </w:rPr>
        <w:t xml:space="preserve"> </w:t>
      </w:r>
      <w:r w:rsidRPr="000136AB">
        <w:rPr>
          <w:sz w:val="24"/>
          <w:szCs w:val="24"/>
        </w:rPr>
        <w:t xml:space="preserve">mg dosis </w:t>
      </w:r>
      <w:proofErr w:type="spellStart"/>
      <w:r w:rsidRPr="000136AB">
        <w:rPr>
          <w:sz w:val="24"/>
          <w:szCs w:val="24"/>
        </w:rPr>
        <w:t>sitagliptin</w:t>
      </w:r>
      <w:proofErr w:type="spellEnd"/>
      <w:r w:rsidRPr="000136AB">
        <w:rPr>
          <w:sz w:val="24"/>
          <w:szCs w:val="24"/>
        </w:rPr>
        <w:t>, men blev ikke anset for at være klinisk relevante. Der er ingen erfaring med doser over 800</w:t>
      </w:r>
      <w:r>
        <w:rPr>
          <w:sz w:val="24"/>
          <w:szCs w:val="24"/>
        </w:rPr>
        <w:t xml:space="preserve"> </w:t>
      </w:r>
      <w:r w:rsidRPr="000136AB">
        <w:rPr>
          <w:sz w:val="24"/>
          <w:szCs w:val="24"/>
        </w:rPr>
        <w:t xml:space="preserve">mg i kliniske studier. I fase I-studier med multiple doser sås ingen dosisrelaterede kliniske bivirkninger, når </w:t>
      </w:r>
      <w:proofErr w:type="spellStart"/>
      <w:r w:rsidRPr="000136AB">
        <w:rPr>
          <w:sz w:val="24"/>
          <w:szCs w:val="24"/>
        </w:rPr>
        <w:t>sitagliptin</w:t>
      </w:r>
      <w:proofErr w:type="spellEnd"/>
      <w:r w:rsidRPr="000136AB">
        <w:rPr>
          <w:sz w:val="24"/>
          <w:szCs w:val="24"/>
        </w:rPr>
        <w:t xml:space="preserve"> blev givet i doser på op til 600</w:t>
      </w:r>
      <w:r>
        <w:rPr>
          <w:sz w:val="24"/>
          <w:szCs w:val="24"/>
        </w:rPr>
        <w:t xml:space="preserve"> </w:t>
      </w:r>
      <w:r w:rsidRPr="000136AB">
        <w:rPr>
          <w:sz w:val="24"/>
          <w:szCs w:val="24"/>
        </w:rPr>
        <w:t xml:space="preserve">mg </w:t>
      </w:r>
      <w:r>
        <w:rPr>
          <w:sz w:val="24"/>
          <w:szCs w:val="24"/>
        </w:rPr>
        <w:t>dagligt</w:t>
      </w:r>
      <w:r w:rsidRPr="000136AB">
        <w:rPr>
          <w:sz w:val="24"/>
          <w:szCs w:val="24"/>
        </w:rPr>
        <w:t xml:space="preserve"> i perioder på op til 10</w:t>
      </w:r>
      <w:r>
        <w:rPr>
          <w:sz w:val="24"/>
          <w:szCs w:val="24"/>
        </w:rPr>
        <w:t xml:space="preserve"> </w:t>
      </w:r>
      <w:r w:rsidRPr="000136AB">
        <w:rPr>
          <w:sz w:val="24"/>
          <w:szCs w:val="24"/>
        </w:rPr>
        <w:t>dage og 400</w:t>
      </w:r>
      <w:r>
        <w:rPr>
          <w:sz w:val="24"/>
          <w:szCs w:val="24"/>
        </w:rPr>
        <w:t xml:space="preserve"> </w:t>
      </w:r>
      <w:r w:rsidRPr="000136AB">
        <w:rPr>
          <w:sz w:val="24"/>
          <w:szCs w:val="24"/>
        </w:rPr>
        <w:t xml:space="preserve">mg </w:t>
      </w:r>
      <w:r>
        <w:rPr>
          <w:sz w:val="24"/>
          <w:szCs w:val="24"/>
        </w:rPr>
        <w:t>dagligt</w:t>
      </w:r>
      <w:r w:rsidRPr="000136AB">
        <w:rPr>
          <w:sz w:val="24"/>
          <w:szCs w:val="24"/>
        </w:rPr>
        <w:t xml:space="preserve"> i perioder på op til 28</w:t>
      </w:r>
      <w:r>
        <w:rPr>
          <w:sz w:val="24"/>
          <w:szCs w:val="24"/>
        </w:rPr>
        <w:t xml:space="preserve"> </w:t>
      </w:r>
      <w:r w:rsidRPr="000136AB">
        <w:rPr>
          <w:sz w:val="24"/>
          <w:szCs w:val="24"/>
        </w:rPr>
        <w:t>dage.</w:t>
      </w:r>
    </w:p>
    <w:p w14:paraId="5E85B2B1" w14:textId="77777777" w:rsidR="00DD5979" w:rsidRPr="000136AB" w:rsidRDefault="00DD5979" w:rsidP="00DD5979">
      <w:pPr>
        <w:tabs>
          <w:tab w:val="left" w:pos="851"/>
        </w:tabs>
        <w:ind w:left="851"/>
        <w:rPr>
          <w:sz w:val="24"/>
          <w:szCs w:val="24"/>
        </w:rPr>
      </w:pPr>
    </w:p>
    <w:p w14:paraId="4A251B4C" w14:textId="77777777" w:rsidR="00DD5979" w:rsidRPr="000136AB" w:rsidRDefault="00DD5979" w:rsidP="00DD5979">
      <w:pPr>
        <w:tabs>
          <w:tab w:val="left" w:pos="851"/>
        </w:tabs>
        <w:ind w:left="851"/>
        <w:rPr>
          <w:sz w:val="24"/>
          <w:szCs w:val="24"/>
        </w:rPr>
      </w:pPr>
      <w:r w:rsidRPr="000136AB">
        <w:rPr>
          <w:sz w:val="24"/>
          <w:szCs w:val="24"/>
        </w:rPr>
        <w:lastRenderedPageBreak/>
        <w:t xml:space="preserve">I tilfælde af overdosering er det hensigtsmæssigt at benytte de sædvanlige understøttende forholdsregler, f.eks. fjerne </w:t>
      </w:r>
      <w:proofErr w:type="spellStart"/>
      <w:r w:rsidRPr="000136AB">
        <w:rPr>
          <w:sz w:val="24"/>
          <w:szCs w:val="24"/>
        </w:rPr>
        <w:t>uabsorberet</w:t>
      </w:r>
      <w:proofErr w:type="spellEnd"/>
      <w:r w:rsidRPr="000136AB">
        <w:rPr>
          <w:sz w:val="24"/>
          <w:szCs w:val="24"/>
        </w:rPr>
        <w:t xml:space="preserve"> materiale fra mave- og tarmkanalen, sørge for klinisk monitorering (inklusive elektrokardiogram) og igangsætte understøttende behandling om nødvendigt.</w:t>
      </w:r>
    </w:p>
    <w:p w14:paraId="0C951B23" w14:textId="77777777" w:rsidR="00DD5979" w:rsidRPr="000136AB" w:rsidRDefault="00DD5979" w:rsidP="00DD5979">
      <w:pPr>
        <w:tabs>
          <w:tab w:val="left" w:pos="851"/>
        </w:tabs>
        <w:ind w:left="851"/>
        <w:rPr>
          <w:sz w:val="24"/>
          <w:szCs w:val="24"/>
        </w:rPr>
      </w:pPr>
      <w:r w:rsidRPr="000136AB">
        <w:rPr>
          <w:sz w:val="24"/>
          <w:szCs w:val="24"/>
        </w:rPr>
        <w:t xml:space="preserve"> </w:t>
      </w:r>
    </w:p>
    <w:p w14:paraId="4F3ED01A" w14:textId="77777777" w:rsidR="00DD5979" w:rsidRPr="000136AB" w:rsidRDefault="00DD5979" w:rsidP="00DD5979">
      <w:pPr>
        <w:tabs>
          <w:tab w:val="left" w:pos="851"/>
        </w:tabs>
        <w:ind w:left="851"/>
        <w:rPr>
          <w:sz w:val="24"/>
          <w:szCs w:val="24"/>
        </w:rPr>
      </w:pPr>
      <w:proofErr w:type="spellStart"/>
      <w:r w:rsidRPr="000136AB">
        <w:rPr>
          <w:sz w:val="24"/>
          <w:szCs w:val="24"/>
        </w:rPr>
        <w:t>Sitagliptin</w:t>
      </w:r>
      <w:proofErr w:type="spellEnd"/>
      <w:r w:rsidRPr="000136AB">
        <w:rPr>
          <w:sz w:val="24"/>
          <w:szCs w:val="24"/>
        </w:rPr>
        <w:t xml:space="preserve"> er kun moderat </w:t>
      </w:r>
      <w:proofErr w:type="spellStart"/>
      <w:r w:rsidRPr="000136AB">
        <w:rPr>
          <w:sz w:val="24"/>
          <w:szCs w:val="24"/>
        </w:rPr>
        <w:t>dialyserbart</w:t>
      </w:r>
      <w:proofErr w:type="spellEnd"/>
      <w:r w:rsidRPr="000136AB">
        <w:rPr>
          <w:sz w:val="24"/>
          <w:szCs w:val="24"/>
        </w:rPr>
        <w:t>. I kliniske studier blev ca. 13,5</w:t>
      </w:r>
      <w:r>
        <w:rPr>
          <w:sz w:val="24"/>
          <w:szCs w:val="24"/>
        </w:rPr>
        <w:t xml:space="preserve"> %</w:t>
      </w:r>
      <w:r w:rsidRPr="000136AB">
        <w:rPr>
          <w:sz w:val="24"/>
          <w:szCs w:val="24"/>
        </w:rPr>
        <w:t xml:space="preserve"> af dosis fjernet i løbet af en hæmodialysesession på 3</w:t>
      </w:r>
      <w:r>
        <w:rPr>
          <w:sz w:val="24"/>
          <w:szCs w:val="24"/>
        </w:rPr>
        <w:t xml:space="preserve"> </w:t>
      </w:r>
      <w:r w:rsidRPr="000136AB">
        <w:rPr>
          <w:sz w:val="24"/>
          <w:szCs w:val="24"/>
        </w:rPr>
        <w:t>-</w:t>
      </w:r>
      <w:r>
        <w:rPr>
          <w:sz w:val="24"/>
          <w:szCs w:val="24"/>
        </w:rPr>
        <w:t xml:space="preserve"> </w:t>
      </w:r>
      <w:r w:rsidRPr="000136AB">
        <w:rPr>
          <w:sz w:val="24"/>
          <w:szCs w:val="24"/>
        </w:rPr>
        <w:t>4</w:t>
      </w:r>
      <w:r>
        <w:rPr>
          <w:sz w:val="24"/>
          <w:szCs w:val="24"/>
        </w:rPr>
        <w:t xml:space="preserve"> </w:t>
      </w:r>
      <w:r w:rsidRPr="000136AB">
        <w:rPr>
          <w:sz w:val="24"/>
          <w:szCs w:val="24"/>
        </w:rPr>
        <w:t xml:space="preserve">timer. Forlænget dialyse kan overvejes, hvis det er klinisk hensigtsmæssigt. Det vides ikke, om </w:t>
      </w:r>
      <w:proofErr w:type="spellStart"/>
      <w:r w:rsidRPr="000136AB">
        <w:rPr>
          <w:sz w:val="24"/>
          <w:szCs w:val="24"/>
        </w:rPr>
        <w:t>sitagliptin</w:t>
      </w:r>
      <w:proofErr w:type="spellEnd"/>
      <w:r w:rsidRPr="000136AB">
        <w:rPr>
          <w:sz w:val="24"/>
          <w:szCs w:val="24"/>
        </w:rPr>
        <w:t xml:space="preserve"> er </w:t>
      </w:r>
      <w:proofErr w:type="spellStart"/>
      <w:r w:rsidRPr="000136AB">
        <w:rPr>
          <w:sz w:val="24"/>
          <w:szCs w:val="24"/>
        </w:rPr>
        <w:t>dialyserbart</w:t>
      </w:r>
      <w:proofErr w:type="spellEnd"/>
      <w:r w:rsidRPr="000136AB">
        <w:rPr>
          <w:sz w:val="24"/>
          <w:szCs w:val="24"/>
        </w:rPr>
        <w:t xml:space="preserve"> ved </w:t>
      </w:r>
      <w:proofErr w:type="spellStart"/>
      <w:r w:rsidRPr="000136AB">
        <w:rPr>
          <w:sz w:val="24"/>
          <w:szCs w:val="24"/>
        </w:rPr>
        <w:t>peritonealdialyse</w:t>
      </w:r>
      <w:proofErr w:type="spellEnd"/>
      <w:r w:rsidRPr="000136AB">
        <w:rPr>
          <w:sz w:val="24"/>
          <w:szCs w:val="24"/>
        </w:rPr>
        <w:t>.</w:t>
      </w:r>
    </w:p>
    <w:p w14:paraId="2B5E4AC8" w14:textId="77777777" w:rsidR="009260DE" w:rsidRPr="00C84483" w:rsidRDefault="009260DE" w:rsidP="009260DE">
      <w:pPr>
        <w:tabs>
          <w:tab w:val="left" w:pos="851"/>
        </w:tabs>
        <w:ind w:left="851"/>
        <w:rPr>
          <w:sz w:val="24"/>
          <w:szCs w:val="24"/>
        </w:rPr>
      </w:pPr>
    </w:p>
    <w:p w14:paraId="5B679CE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0FAC68C" w14:textId="2C19FCE1" w:rsidR="009260DE" w:rsidRPr="00C84483" w:rsidRDefault="00DD5979" w:rsidP="009260DE">
      <w:pPr>
        <w:tabs>
          <w:tab w:val="left" w:pos="851"/>
        </w:tabs>
        <w:ind w:left="851"/>
        <w:rPr>
          <w:sz w:val="24"/>
          <w:szCs w:val="24"/>
        </w:rPr>
      </w:pPr>
      <w:r>
        <w:rPr>
          <w:sz w:val="24"/>
          <w:szCs w:val="24"/>
        </w:rPr>
        <w:t>B</w:t>
      </w:r>
    </w:p>
    <w:p w14:paraId="1F9FBC08" w14:textId="77777777" w:rsidR="009260DE" w:rsidRPr="00C84483" w:rsidRDefault="009260DE" w:rsidP="009260DE">
      <w:pPr>
        <w:tabs>
          <w:tab w:val="left" w:pos="851"/>
        </w:tabs>
        <w:ind w:left="851"/>
        <w:rPr>
          <w:sz w:val="24"/>
          <w:szCs w:val="24"/>
        </w:rPr>
      </w:pPr>
    </w:p>
    <w:p w14:paraId="4DFD4A35" w14:textId="77777777" w:rsidR="009260DE" w:rsidRPr="00C84483" w:rsidRDefault="009260DE" w:rsidP="009260DE">
      <w:pPr>
        <w:tabs>
          <w:tab w:val="left" w:pos="851"/>
        </w:tabs>
        <w:ind w:left="851"/>
        <w:rPr>
          <w:sz w:val="24"/>
          <w:szCs w:val="24"/>
        </w:rPr>
      </w:pPr>
    </w:p>
    <w:p w14:paraId="0914C22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C68FF0C" w14:textId="77777777" w:rsidR="009260DE" w:rsidRPr="00C84483" w:rsidRDefault="009260DE" w:rsidP="009260DE">
      <w:pPr>
        <w:tabs>
          <w:tab w:val="left" w:pos="851"/>
        </w:tabs>
        <w:ind w:left="851"/>
        <w:rPr>
          <w:sz w:val="24"/>
          <w:szCs w:val="24"/>
        </w:rPr>
      </w:pPr>
    </w:p>
    <w:p w14:paraId="630D67F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D8A120F" w14:textId="0D51EB3C" w:rsidR="006519F2" w:rsidRPr="006F1FB6" w:rsidRDefault="00DD5979" w:rsidP="006519F2">
      <w:pPr>
        <w:tabs>
          <w:tab w:val="left" w:pos="851"/>
        </w:tabs>
        <w:ind w:left="851"/>
        <w:rPr>
          <w:sz w:val="24"/>
          <w:szCs w:val="24"/>
        </w:rPr>
      </w:pPr>
      <w:proofErr w:type="spellStart"/>
      <w:r w:rsidRPr="006519F2">
        <w:rPr>
          <w:sz w:val="24"/>
          <w:szCs w:val="24"/>
        </w:rPr>
        <w:t>Farmakoterapeutisk</w:t>
      </w:r>
      <w:proofErr w:type="spellEnd"/>
      <w:r w:rsidRPr="006519F2">
        <w:rPr>
          <w:sz w:val="24"/>
          <w:szCs w:val="24"/>
        </w:rPr>
        <w:t xml:space="preserve"> klassifikation</w:t>
      </w:r>
      <w:r w:rsidR="006519F2" w:rsidRPr="006519F2">
        <w:rPr>
          <w:sz w:val="24"/>
          <w:szCs w:val="24"/>
        </w:rPr>
        <w:t>:</w:t>
      </w:r>
      <w:r w:rsidR="006519F2" w:rsidRPr="006F1FB6">
        <w:rPr>
          <w:sz w:val="24"/>
          <w:szCs w:val="24"/>
        </w:rPr>
        <w:t xml:space="preserve"> </w:t>
      </w:r>
      <w:proofErr w:type="spellStart"/>
      <w:r w:rsidR="006519F2" w:rsidRPr="006F1FB6">
        <w:rPr>
          <w:sz w:val="24"/>
          <w:szCs w:val="24"/>
        </w:rPr>
        <w:t>Antidiabetika</w:t>
      </w:r>
      <w:proofErr w:type="spellEnd"/>
      <w:r w:rsidR="006519F2">
        <w:rPr>
          <w:sz w:val="24"/>
          <w:szCs w:val="24"/>
        </w:rPr>
        <w:t>,</w:t>
      </w:r>
      <w:r w:rsidR="006519F2" w:rsidRPr="006F1FB6">
        <w:rPr>
          <w:sz w:val="24"/>
          <w:szCs w:val="24"/>
        </w:rPr>
        <w:t xml:space="preserve"> </w:t>
      </w:r>
      <w:r w:rsidR="006519F2">
        <w:rPr>
          <w:sz w:val="24"/>
          <w:szCs w:val="24"/>
        </w:rPr>
        <w:t>d</w:t>
      </w:r>
      <w:r w:rsidR="006519F2" w:rsidRPr="006F1FB6">
        <w:rPr>
          <w:sz w:val="24"/>
          <w:szCs w:val="24"/>
        </w:rPr>
        <w:t>ipeptidylpeptidase-4-(DPP-4</w:t>
      </w:r>
      <w:proofErr w:type="gramStart"/>
      <w:r w:rsidR="006519F2" w:rsidRPr="006F1FB6">
        <w:rPr>
          <w:sz w:val="24"/>
          <w:szCs w:val="24"/>
        </w:rPr>
        <w:t>-)-</w:t>
      </w:r>
      <w:proofErr w:type="gramEnd"/>
      <w:r w:rsidR="006519F2" w:rsidRPr="006F1FB6">
        <w:rPr>
          <w:sz w:val="24"/>
          <w:szCs w:val="24"/>
        </w:rPr>
        <w:t>hæmmer</w:t>
      </w:r>
      <w:r w:rsidR="006519F2">
        <w:rPr>
          <w:sz w:val="24"/>
          <w:szCs w:val="24"/>
        </w:rPr>
        <w:t xml:space="preserve">, </w:t>
      </w:r>
      <w:r w:rsidR="006519F2" w:rsidRPr="006F1FB6">
        <w:rPr>
          <w:sz w:val="24"/>
          <w:szCs w:val="24"/>
        </w:rPr>
        <w:t>ATC-kode: A10BH01</w:t>
      </w:r>
      <w:r w:rsidR="006519F2">
        <w:rPr>
          <w:sz w:val="24"/>
          <w:szCs w:val="24"/>
        </w:rPr>
        <w:t>.</w:t>
      </w:r>
    </w:p>
    <w:p w14:paraId="6085EAB5" w14:textId="77777777" w:rsidR="00DD5979" w:rsidRPr="006519F2" w:rsidRDefault="00DD5979" w:rsidP="00DD5979">
      <w:pPr>
        <w:tabs>
          <w:tab w:val="left" w:pos="851"/>
        </w:tabs>
        <w:ind w:left="851"/>
        <w:rPr>
          <w:sz w:val="24"/>
          <w:szCs w:val="24"/>
        </w:rPr>
      </w:pPr>
    </w:p>
    <w:p w14:paraId="7F55B5A5" w14:textId="77777777" w:rsidR="00DD5979" w:rsidRPr="00422503" w:rsidRDefault="00DD5979" w:rsidP="00DD5979">
      <w:pPr>
        <w:tabs>
          <w:tab w:val="left" w:pos="851"/>
        </w:tabs>
        <w:ind w:left="851"/>
        <w:rPr>
          <w:sz w:val="24"/>
          <w:szCs w:val="24"/>
          <w:u w:val="single"/>
          <w:lang w:eastAsia="da-DK"/>
        </w:rPr>
      </w:pPr>
      <w:r w:rsidRPr="00422503">
        <w:rPr>
          <w:sz w:val="24"/>
          <w:szCs w:val="24"/>
          <w:u w:val="single"/>
        </w:rPr>
        <w:t>Virkningsmekanisme</w:t>
      </w:r>
    </w:p>
    <w:p w14:paraId="162688C9" w14:textId="77777777" w:rsidR="00DD5979" w:rsidRPr="00422503" w:rsidRDefault="00DD5979" w:rsidP="00DD5979">
      <w:pPr>
        <w:tabs>
          <w:tab w:val="left" w:pos="851"/>
        </w:tabs>
        <w:ind w:left="851"/>
        <w:rPr>
          <w:sz w:val="24"/>
          <w:szCs w:val="24"/>
        </w:rPr>
      </w:pPr>
      <w:proofErr w:type="spellStart"/>
      <w:r w:rsidRPr="00422503">
        <w:rPr>
          <w:sz w:val="24"/>
          <w:szCs w:val="24"/>
        </w:rPr>
        <w:t>Sitagliptin</w:t>
      </w:r>
      <w:proofErr w:type="spellEnd"/>
      <w:r w:rsidRPr="00422503">
        <w:rPr>
          <w:sz w:val="24"/>
          <w:szCs w:val="24"/>
        </w:rPr>
        <w:t xml:space="preserve"> tilhører en klasse af orale </w:t>
      </w:r>
      <w:proofErr w:type="spellStart"/>
      <w:r w:rsidRPr="00422503">
        <w:rPr>
          <w:sz w:val="24"/>
          <w:szCs w:val="24"/>
        </w:rPr>
        <w:t>anti-hyperglykæmiske</w:t>
      </w:r>
      <w:proofErr w:type="spellEnd"/>
      <w:r w:rsidRPr="00422503">
        <w:rPr>
          <w:sz w:val="24"/>
          <w:szCs w:val="24"/>
        </w:rPr>
        <w:t xml:space="preserve"> lægemidler, der kaldes </w:t>
      </w:r>
      <w:proofErr w:type="spellStart"/>
      <w:r w:rsidRPr="00422503">
        <w:rPr>
          <w:sz w:val="24"/>
          <w:szCs w:val="24"/>
        </w:rPr>
        <w:t>dipeptidylpeptidase</w:t>
      </w:r>
      <w:proofErr w:type="spellEnd"/>
      <w:r w:rsidRPr="00422503">
        <w:rPr>
          <w:sz w:val="24"/>
          <w:szCs w:val="24"/>
        </w:rPr>
        <w:t>- 4-(DPP-</w:t>
      </w:r>
      <w:proofErr w:type="gramStart"/>
      <w:r w:rsidRPr="00422503">
        <w:rPr>
          <w:sz w:val="24"/>
          <w:szCs w:val="24"/>
        </w:rPr>
        <w:t>4)-</w:t>
      </w:r>
      <w:proofErr w:type="spellStart"/>
      <w:proofErr w:type="gramEnd"/>
      <w:r w:rsidRPr="00422503">
        <w:rPr>
          <w:sz w:val="24"/>
          <w:szCs w:val="24"/>
        </w:rPr>
        <w:t>hæmmere</w:t>
      </w:r>
      <w:proofErr w:type="spellEnd"/>
      <w:r w:rsidRPr="00422503">
        <w:rPr>
          <w:sz w:val="24"/>
          <w:szCs w:val="24"/>
        </w:rPr>
        <w:t xml:space="preserve">. Den forbedring i den </w:t>
      </w:r>
      <w:proofErr w:type="spellStart"/>
      <w:r w:rsidRPr="00422503">
        <w:rPr>
          <w:sz w:val="24"/>
          <w:szCs w:val="24"/>
        </w:rPr>
        <w:t>glykæmiske</w:t>
      </w:r>
      <w:proofErr w:type="spellEnd"/>
      <w:r w:rsidRPr="00422503">
        <w:rPr>
          <w:sz w:val="24"/>
          <w:szCs w:val="24"/>
        </w:rPr>
        <w:t xml:space="preserve"> kontrol, som blev observeret med dette lægemiddel, medieres via en stigning i de aktive </w:t>
      </w:r>
      <w:proofErr w:type="spellStart"/>
      <w:r w:rsidRPr="00422503">
        <w:rPr>
          <w:sz w:val="24"/>
          <w:szCs w:val="24"/>
        </w:rPr>
        <w:t>inkretinhormoners</w:t>
      </w:r>
      <w:proofErr w:type="spellEnd"/>
      <w:r w:rsidRPr="00422503">
        <w:rPr>
          <w:sz w:val="24"/>
          <w:szCs w:val="24"/>
        </w:rPr>
        <w:t xml:space="preserve"> niveauer. </w:t>
      </w:r>
      <w:proofErr w:type="spellStart"/>
      <w:r w:rsidRPr="00422503">
        <w:rPr>
          <w:sz w:val="24"/>
          <w:szCs w:val="24"/>
        </w:rPr>
        <w:t>Inkretinhormoner</w:t>
      </w:r>
      <w:proofErr w:type="spellEnd"/>
      <w:r w:rsidRPr="00422503">
        <w:rPr>
          <w:sz w:val="24"/>
          <w:szCs w:val="24"/>
        </w:rPr>
        <w:t xml:space="preserve">, inklusive </w:t>
      </w:r>
      <w:proofErr w:type="spellStart"/>
      <w:r w:rsidRPr="00422503">
        <w:rPr>
          <w:sz w:val="24"/>
          <w:szCs w:val="24"/>
        </w:rPr>
        <w:t>glucagonlignende</w:t>
      </w:r>
      <w:proofErr w:type="spellEnd"/>
      <w:r w:rsidRPr="00422503">
        <w:rPr>
          <w:sz w:val="24"/>
          <w:szCs w:val="24"/>
        </w:rPr>
        <w:t xml:space="preserve"> peptid 1 (GLP</w:t>
      </w:r>
      <w:r w:rsidRPr="00422503">
        <w:rPr>
          <w:sz w:val="24"/>
          <w:szCs w:val="24"/>
        </w:rPr>
        <w:noBreakHyphen/>
        <w:t xml:space="preserve">1) og </w:t>
      </w:r>
      <w:proofErr w:type="spellStart"/>
      <w:r w:rsidRPr="00422503">
        <w:rPr>
          <w:sz w:val="24"/>
          <w:szCs w:val="24"/>
        </w:rPr>
        <w:t>glucoseafhængigt</w:t>
      </w:r>
      <w:proofErr w:type="spellEnd"/>
      <w:r w:rsidRPr="00422503">
        <w:rPr>
          <w:sz w:val="24"/>
          <w:szCs w:val="24"/>
        </w:rPr>
        <w:t xml:space="preserve"> </w:t>
      </w:r>
      <w:proofErr w:type="spellStart"/>
      <w:r w:rsidRPr="00422503">
        <w:rPr>
          <w:sz w:val="24"/>
          <w:szCs w:val="24"/>
        </w:rPr>
        <w:t>insulinotropt</w:t>
      </w:r>
      <w:proofErr w:type="spellEnd"/>
      <w:r w:rsidRPr="00422503">
        <w:rPr>
          <w:sz w:val="24"/>
          <w:szCs w:val="24"/>
        </w:rPr>
        <w:t xml:space="preserve"> polypeptid (GIP), frigives i tarmene i løbet af dagen, og niveauerne øges som reaktion på et måltid. </w:t>
      </w:r>
      <w:proofErr w:type="spellStart"/>
      <w:r w:rsidRPr="00422503">
        <w:rPr>
          <w:sz w:val="24"/>
          <w:szCs w:val="24"/>
        </w:rPr>
        <w:t>Inkretinerne</w:t>
      </w:r>
      <w:proofErr w:type="spellEnd"/>
      <w:r w:rsidRPr="00422503">
        <w:rPr>
          <w:sz w:val="24"/>
          <w:szCs w:val="24"/>
        </w:rPr>
        <w:t xml:space="preserve"> er en del af et endogent system, som er involveret i den fysiologiske regulering af </w:t>
      </w:r>
      <w:proofErr w:type="spellStart"/>
      <w:r w:rsidRPr="00422503">
        <w:rPr>
          <w:sz w:val="24"/>
          <w:szCs w:val="24"/>
        </w:rPr>
        <w:t>glucosehomøostase</w:t>
      </w:r>
      <w:proofErr w:type="spellEnd"/>
      <w:r w:rsidRPr="00422503">
        <w:rPr>
          <w:sz w:val="24"/>
          <w:szCs w:val="24"/>
        </w:rPr>
        <w:t xml:space="preserve">. Når </w:t>
      </w:r>
      <w:proofErr w:type="spellStart"/>
      <w:r w:rsidRPr="00422503">
        <w:rPr>
          <w:sz w:val="24"/>
          <w:szCs w:val="24"/>
        </w:rPr>
        <w:t>blodglucosekoncentrationen</w:t>
      </w:r>
      <w:proofErr w:type="spellEnd"/>
      <w:r w:rsidRPr="00422503">
        <w:rPr>
          <w:sz w:val="24"/>
          <w:szCs w:val="24"/>
        </w:rPr>
        <w:t xml:space="preserve"> er normal eller forhøjet, bevirker GLP-1 og GIP en øget insulinsyntese og frigørelsen af insulin fra de </w:t>
      </w:r>
      <w:proofErr w:type="spellStart"/>
      <w:r w:rsidRPr="00422503">
        <w:rPr>
          <w:sz w:val="24"/>
          <w:szCs w:val="24"/>
        </w:rPr>
        <w:t>pankreatiske</w:t>
      </w:r>
      <w:proofErr w:type="spellEnd"/>
      <w:r w:rsidRPr="00422503">
        <w:rPr>
          <w:sz w:val="24"/>
          <w:szCs w:val="24"/>
        </w:rPr>
        <w:t xml:space="preserve"> betaceller via intracellulære </w:t>
      </w:r>
      <w:proofErr w:type="spellStart"/>
      <w:r w:rsidRPr="00422503">
        <w:rPr>
          <w:sz w:val="24"/>
          <w:szCs w:val="24"/>
        </w:rPr>
        <w:t>signalleringsveje</w:t>
      </w:r>
      <w:proofErr w:type="spellEnd"/>
      <w:r w:rsidRPr="00422503">
        <w:rPr>
          <w:sz w:val="24"/>
          <w:szCs w:val="24"/>
        </w:rPr>
        <w:t xml:space="preserve">, som inddrager cyklisk AMP. Behandling med GLP-1 eller DPP-4-hæmmere i dyremodeller af type 2-diabetes har vist sig at forbedre betacellernes reaktion på </w:t>
      </w:r>
      <w:proofErr w:type="spellStart"/>
      <w:r w:rsidRPr="00422503">
        <w:rPr>
          <w:sz w:val="24"/>
          <w:szCs w:val="24"/>
        </w:rPr>
        <w:t>glucose</w:t>
      </w:r>
      <w:proofErr w:type="spellEnd"/>
      <w:r w:rsidRPr="00422503">
        <w:rPr>
          <w:sz w:val="24"/>
          <w:szCs w:val="24"/>
        </w:rPr>
        <w:t xml:space="preserve"> og at stimulere syntesen samt frigivelsen af insulin. Med højere insulinniveauer fremmes </w:t>
      </w:r>
      <w:proofErr w:type="spellStart"/>
      <w:r w:rsidRPr="00422503">
        <w:rPr>
          <w:sz w:val="24"/>
          <w:szCs w:val="24"/>
        </w:rPr>
        <w:t>glucoseoptagelsen</w:t>
      </w:r>
      <w:proofErr w:type="spellEnd"/>
      <w:r w:rsidRPr="00422503">
        <w:rPr>
          <w:sz w:val="24"/>
          <w:szCs w:val="24"/>
        </w:rPr>
        <w:t xml:space="preserve"> i vævet. Desuden sænker GLP-1 </w:t>
      </w:r>
      <w:proofErr w:type="spellStart"/>
      <w:r w:rsidRPr="00422503">
        <w:rPr>
          <w:sz w:val="24"/>
          <w:szCs w:val="24"/>
        </w:rPr>
        <w:t>glucagonsekretionen</w:t>
      </w:r>
      <w:proofErr w:type="spellEnd"/>
      <w:r w:rsidRPr="00422503">
        <w:rPr>
          <w:sz w:val="24"/>
          <w:szCs w:val="24"/>
        </w:rPr>
        <w:t xml:space="preserve"> fra </w:t>
      </w:r>
      <w:proofErr w:type="spellStart"/>
      <w:r w:rsidRPr="00422503">
        <w:rPr>
          <w:sz w:val="24"/>
          <w:szCs w:val="24"/>
        </w:rPr>
        <w:t>pankreatiske</w:t>
      </w:r>
      <w:proofErr w:type="spellEnd"/>
      <w:r w:rsidRPr="00422503">
        <w:rPr>
          <w:sz w:val="24"/>
          <w:szCs w:val="24"/>
        </w:rPr>
        <w:t xml:space="preserve"> alfaceller. Reducerede </w:t>
      </w:r>
      <w:proofErr w:type="spellStart"/>
      <w:r w:rsidRPr="00422503">
        <w:rPr>
          <w:sz w:val="24"/>
          <w:szCs w:val="24"/>
        </w:rPr>
        <w:t>glucagonkoncentrationer</w:t>
      </w:r>
      <w:proofErr w:type="spellEnd"/>
      <w:r w:rsidRPr="00422503">
        <w:rPr>
          <w:sz w:val="24"/>
          <w:szCs w:val="24"/>
        </w:rPr>
        <w:t xml:space="preserve"> fører, sammen med højere insulinniveauer, til reduceret </w:t>
      </w:r>
      <w:proofErr w:type="spellStart"/>
      <w:r w:rsidRPr="00422503">
        <w:rPr>
          <w:sz w:val="24"/>
          <w:szCs w:val="24"/>
        </w:rPr>
        <w:t>hepatisk</w:t>
      </w:r>
      <w:proofErr w:type="spellEnd"/>
      <w:r w:rsidRPr="00422503">
        <w:rPr>
          <w:sz w:val="24"/>
          <w:szCs w:val="24"/>
        </w:rPr>
        <w:t xml:space="preserve"> </w:t>
      </w:r>
      <w:proofErr w:type="spellStart"/>
      <w:r w:rsidRPr="00422503">
        <w:rPr>
          <w:sz w:val="24"/>
          <w:szCs w:val="24"/>
        </w:rPr>
        <w:t>glucoseproduktion</w:t>
      </w:r>
      <w:proofErr w:type="spellEnd"/>
      <w:r w:rsidRPr="00422503">
        <w:rPr>
          <w:sz w:val="24"/>
          <w:szCs w:val="24"/>
        </w:rPr>
        <w:t xml:space="preserve">, hvilket resulterer i fald i </w:t>
      </w:r>
      <w:proofErr w:type="spellStart"/>
      <w:r w:rsidRPr="00422503">
        <w:rPr>
          <w:sz w:val="24"/>
          <w:szCs w:val="24"/>
        </w:rPr>
        <w:t>blodglucoseniveauerne</w:t>
      </w:r>
      <w:proofErr w:type="spellEnd"/>
      <w:r w:rsidRPr="00422503">
        <w:rPr>
          <w:sz w:val="24"/>
          <w:szCs w:val="24"/>
        </w:rPr>
        <w:t xml:space="preserve">. Effekten af GLP-1 og GIP er </w:t>
      </w:r>
      <w:proofErr w:type="spellStart"/>
      <w:r w:rsidRPr="00422503">
        <w:rPr>
          <w:sz w:val="24"/>
          <w:szCs w:val="24"/>
        </w:rPr>
        <w:t>glucoseafhængig</w:t>
      </w:r>
      <w:proofErr w:type="spellEnd"/>
      <w:r w:rsidRPr="00422503">
        <w:rPr>
          <w:sz w:val="24"/>
          <w:szCs w:val="24"/>
        </w:rPr>
        <w:t xml:space="preserve">, således at når </w:t>
      </w:r>
      <w:proofErr w:type="spellStart"/>
      <w:r w:rsidRPr="00422503">
        <w:rPr>
          <w:sz w:val="24"/>
          <w:szCs w:val="24"/>
        </w:rPr>
        <w:t>blodglucosekoncentrationen</w:t>
      </w:r>
      <w:proofErr w:type="spellEnd"/>
      <w:r w:rsidRPr="00422503">
        <w:rPr>
          <w:sz w:val="24"/>
          <w:szCs w:val="24"/>
        </w:rPr>
        <w:t xml:space="preserve"> er lav, ses der ikke en stimulering af insulinfrigørelse og hæmning af </w:t>
      </w:r>
      <w:proofErr w:type="spellStart"/>
      <w:r w:rsidRPr="00422503">
        <w:rPr>
          <w:sz w:val="24"/>
          <w:szCs w:val="24"/>
        </w:rPr>
        <w:t>glucagonsekretion</w:t>
      </w:r>
      <w:proofErr w:type="spellEnd"/>
      <w:r w:rsidRPr="00422503">
        <w:rPr>
          <w:sz w:val="24"/>
          <w:szCs w:val="24"/>
        </w:rPr>
        <w:t xml:space="preserve"> af GLP-1. Både mht. GLP-1 og GIP øges insulinstimulationen, når </w:t>
      </w:r>
      <w:proofErr w:type="spellStart"/>
      <w:r w:rsidRPr="00422503">
        <w:rPr>
          <w:sz w:val="24"/>
          <w:szCs w:val="24"/>
        </w:rPr>
        <w:t>glucose</w:t>
      </w:r>
      <w:proofErr w:type="spellEnd"/>
      <w:r w:rsidRPr="00422503">
        <w:rPr>
          <w:sz w:val="24"/>
          <w:szCs w:val="24"/>
        </w:rPr>
        <w:t xml:space="preserve"> stiger over de normale koncentrationer. Desuden nedsætter GLP-1 ikke det normale </w:t>
      </w:r>
      <w:proofErr w:type="spellStart"/>
      <w:r w:rsidRPr="00422503">
        <w:rPr>
          <w:sz w:val="24"/>
          <w:szCs w:val="24"/>
        </w:rPr>
        <w:t>glucagonrespons</w:t>
      </w:r>
      <w:proofErr w:type="spellEnd"/>
      <w:r w:rsidRPr="00422503">
        <w:rPr>
          <w:sz w:val="24"/>
          <w:szCs w:val="24"/>
        </w:rPr>
        <w:t xml:space="preserve"> på hypoglykæmi. Aktiviteten af GLP</w:t>
      </w:r>
      <w:r w:rsidRPr="00422503">
        <w:rPr>
          <w:sz w:val="24"/>
          <w:szCs w:val="24"/>
        </w:rPr>
        <w:noBreakHyphen/>
        <w:t xml:space="preserve">1 og GIP begrænses af DPP-4-enzymet, som hurtigt hydrolyserer </w:t>
      </w:r>
      <w:proofErr w:type="spellStart"/>
      <w:r w:rsidRPr="00422503">
        <w:rPr>
          <w:sz w:val="24"/>
          <w:szCs w:val="24"/>
        </w:rPr>
        <w:t>inkretinhormonerne</w:t>
      </w:r>
      <w:proofErr w:type="spellEnd"/>
      <w:r w:rsidRPr="00422503">
        <w:rPr>
          <w:sz w:val="24"/>
          <w:szCs w:val="24"/>
        </w:rPr>
        <w:t xml:space="preserve"> til inaktive produkter. </w:t>
      </w:r>
      <w:proofErr w:type="spellStart"/>
      <w:r w:rsidRPr="00422503">
        <w:rPr>
          <w:sz w:val="24"/>
          <w:szCs w:val="24"/>
        </w:rPr>
        <w:t>Sitagliptin</w:t>
      </w:r>
      <w:proofErr w:type="spellEnd"/>
      <w:r w:rsidRPr="00422503">
        <w:rPr>
          <w:sz w:val="24"/>
          <w:szCs w:val="24"/>
        </w:rPr>
        <w:t xml:space="preserve"> forhindrer DPP-4s hydrolyse af </w:t>
      </w:r>
      <w:proofErr w:type="spellStart"/>
      <w:r w:rsidRPr="00422503">
        <w:rPr>
          <w:sz w:val="24"/>
          <w:szCs w:val="24"/>
        </w:rPr>
        <w:t>inkretinhormoner</w:t>
      </w:r>
      <w:proofErr w:type="spellEnd"/>
      <w:r w:rsidRPr="00422503">
        <w:rPr>
          <w:sz w:val="24"/>
          <w:szCs w:val="24"/>
        </w:rPr>
        <w:t xml:space="preserve">, og øger dermed plasmakoncentrationerne af de aktive former af GLP-1 og GIP. Ved at øge de aktive </w:t>
      </w:r>
      <w:proofErr w:type="spellStart"/>
      <w:r w:rsidRPr="00422503">
        <w:rPr>
          <w:sz w:val="24"/>
          <w:szCs w:val="24"/>
        </w:rPr>
        <w:t>inkretinniveauer</w:t>
      </w:r>
      <w:proofErr w:type="spellEnd"/>
      <w:r w:rsidRPr="00422503">
        <w:rPr>
          <w:sz w:val="24"/>
          <w:szCs w:val="24"/>
        </w:rPr>
        <w:t xml:space="preserve"> øger </w:t>
      </w:r>
      <w:proofErr w:type="spellStart"/>
      <w:r w:rsidRPr="00422503">
        <w:rPr>
          <w:sz w:val="24"/>
          <w:szCs w:val="24"/>
        </w:rPr>
        <w:t>sitagliptin</w:t>
      </w:r>
      <w:proofErr w:type="spellEnd"/>
      <w:r w:rsidRPr="00422503">
        <w:rPr>
          <w:sz w:val="24"/>
          <w:szCs w:val="24"/>
        </w:rPr>
        <w:t xml:space="preserve"> insulinfrigørelsen og reducerer </w:t>
      </w:r>
      <w:proofErr w:type="spellStart"/>
      <w:r w:rsidRPr="00422503">
        <w:rPr>
          <w:sz w:val="24"/>
          <w:szCs w:val="24"/>
        </w:rPr>
        <w:t>glucagonniveauet</w:t>
      </w:r>
      <w:proofErr w:type="spellEnd"/>
      <w:r w:rsidRPr="00422503">
        <w:rPr>
          <w:sz w:val="24"/>
          <w:szCs w:val="24"/>
        </w:rPr>
        <w:t xml:space="preserve"> afhængigt af </w:t>
      </w:r>
      <w:proofErr w:type="spellStart"/>
      <w:r w:rsidRPr="00422503">
        <w:rPr>
          <w:sz w:val="24"/>
          <w:szCs w:val="24"/>
        </w:rPr>
        <w:t>glucosekoncentrationen</w:t>
      </w:r>
      <w:proofErr w:type="spellEnd"/>
      <w:r w:rsidRPr="00422503">
        <w:rPr>
          <w:sz w:val="24"/>
          <w:szCs w:val="24"/>
        </w:rPr>
        <w:t xml:space="preserve">. Hos patienter med type 2-diabetes med </w:t>
      </w:r>
      <w:proofErr w:type="spellStart"/>
      <w:r w:rsidRPr="00422503">
        <w:rPr>
          <w:sz w:val="24"/>
          <w:szCs w:val="24"/>
        </w:rPr>
        <w:t>hyperglykæmi</w:t>
      </w:r>
      <w:proofErr w:type="spellEnd"/>
      <w:r w:rsidRPr="00422503">
        <w:rPr>
          <w:sz w:val="24"/>
          <w:szCs w:val="24"/>
        </w:rPr>
        <w:t xml:space="preserve"> fører disse ændringer i insulin- og </w:t>
      </w:r>
      <w:proofErr w:type="spellStart"/>
      <w:r w:rsidRPr="00422503">
        <w:rPr>
          <w:sz w:val="24"/>
          <w:szCs w:val="24"/>
        </w:rPr>
        <w:t>glucagonniveauer</w:t>
      </w:r>
      <w:proofErr w:type="spellEnd"/>
      <w:r w:rsidRPr="00422503">
        <w:rPr>
          <w:sz w:val="24"/>
          <w:szCs w:val="24"/>
        </w:rPr>
        <w:t xml:space="preserve"> til lavere hæmoglobin A</w:t>
      </w:r>
      <w:r w:rsidRPr="00422503">
        <w:rPr>
          <w:sz w:val="24"/>
          <w:szCs w:val="24"/>
          <w:vertAlign w:val="subscript"/>
        </w:rPr>
        <w:t>1c</w:t>
      </w:r>
      <w:r w:rsidRPr="00422503">
        <w:rPr>
          <w:sz w:val="24"/>
          <w:szCs w:val="24"/>
        </w:rPr>
        <w:t xml:space="preserve"> (HbA</w:t>
      </w:r>
      <w:r w:rsidRPr="00422503">
        <w:rPr>
          <w:sz w:val="24"/>
          <w:szCs w:val="24"/>
          <w:vertAlign w:val="subscript"/>
        </w:rPr>
        <w:t>1c</w:t>
      </w:r>
      <w:r w:rsidRPr="00422503">
        <w:rPr>
          <w:sz w:val="24"/>
          <w:szCs w:val="24"/>
        </w:rPr>
        <w:t xml:space="preserve">) samt lavere koncentration af faste </w:t>
      </w:r>
      <w:proofErr w:type="spellStart"/>
      <w:r w:rsidRPr="00422503">
        <w:rPr>
          <w:sz w:val="24"/>
          <w:szCs w:val="24"/>
        </w:rPr>
        <w:t>plasmaglucose</w:t>
      </w:r>
      <w:proofErr w:type="spellEnd"/>
      <w:r w:rsidRPr="00422503">
        <w:rPr>
          <w:sz w:val="24"/>
          <w:szCs w:val="24"/>
        </w:rPr>
        <w:t xml:space="preserve"> (FPG) og </w:t>
      </w:r>
      <w:proofErr w:type="spellStart"/>
      <w:r w:rsidRPr="00422503">
        <w:rPr>
          <w:sz w:val="24"/>
          <w:szCs w:val="24"/>
        </w:rPr>
        <w:t>postprandial</w:t>
      </w:r>
      <w:proofErr w:type="spellEnd"/>
      <w:r w:rsidRPr="00422503">
        <w:rPr>
          <w:sz w:val="24"/>
          <w:szCs w:val="24"/>
        </w:rPr>
        <w:t xml:space="preserve"> </w:t>
      </w:r>
      <w:proofErr w:type="spellStart"/>
      <w:r w:rsidRPr="00422503">
        <w:rPr>
          <w:sz w:val="24"/>
          <w:szCs w:val="24"/>
        </w:rPr>
        <w:t>glucose</w:t>
      </w:r>
      <w:proofErr w:type="spellEnd"/>
      <w:r w:rsidRPr="00422503">
        <w:rPr>
          <w:sz w:val="24"/>
          <w:szCs w:val="24"/>
        </w:rPr>
        <w:t xml:space="preserve"> (PPG). </w:t>
      </w:r>
      <w:proofErr w:type="spellStart"/>
      <w:r w:rsidRPr="00422503">
        <w:rPr>
          <w:sz w:val="24"/>
          <w:szCs w:val="24"/>
        </w:rPr>
        <w:t>Sitagliptins</w:t>
      </w:r>
      <w:proofErr w:type="spellEnd"/>
      <w:r w:rsidRPr="00422503">
        <w:rPr>
          <w:sz w:val="24"/>
          <w:szCs w:val="24"/>
        </w:rPr>
        <w:t xml:space="preserve"> </w:t>
      </w:r>
      <w:proofErr w:type="spellStart"/>
      <w:r w:rsidRPr="00422503">
        <w:rPr>
          <w:sz w:val="24"/>
          <w:szCs w:val="24"/>
        </w:rPr>
        <w:t>glucoseafhængige</w:t>
      </w:r>
      <w:proofErr w:type="spellEnd"/>
      <w:r w:rsidRPr="00422503">
        <w:rPr>
          <w:sz w:val="24"/>
          <w:szCs w:val="24"/>
        </w:rPr>
        <w:t xml:space="preserve"> mekanisme er forskellig fra </w:t>
      </w:r>
      <w:proofErr w:type="spellStart"/>
      <w:r w:rsidRPr="00422503">
        <w:rPr>
          <w:sz w:val="24"/>
          <w:szCs w:val="24"/>
        </w:rPr>
        <w:t>sulfonylurinstoffers</w:t>
      </w:r>
      <w:proofErr w:type="spellEnd"/>
      <w:r w:rsidRPr="00422503">
        <w:rPr>
          <w:sz w:val="24"/>
          <w:szCs w:val="24"/>
        </w:rPr>
        <w:t xml:space="preserve"> mekanisme, som øger insulinsekretionen, selv når </w:t>
      </w:r>
      <w:proofErr w:type="spellStart"/>
      <w:r w:rsidRPr="00422503">
        <w:rPr>
          <w:sz w:val="24"/>
          <w:szCs w:val="24"/>
        </w:rPr>
        <w:t>glucosekoncentrationerne</w:t>
      </w:r>
      <w:proofErr w:type="spellEnd"/>
      <w:r w:rsidRPr="00422503">
        <w:rPr>
          <w:sz w:val="24"/>
          <w:szCs w:val="24"/>
        </w:rPr>
        <w:t xml:space="preserve"> er lave og kan føre til hypoglykæmi hos patienter med type 2-</w:t>
      </w:r>
      <w:r w:rsidRPr="00422503">
        <w:rPr>
          <w:sz w:val="24"/>
          <w:szCs w:val="24"/>
        </w:rPr>
        <w:lastRenderedPageBreak/>
        <w:t xml:space="preserve">diabetes og hos normale forsøgspersoner. </w:t>
      </w:r>
      <w:proofErr w:type="spellStart"/>
      <w:r w:rsidRPr="00422503">
        <w:rPr>
          <w:sz w:val="24"/>
          <w:szCs w:val="24"/>
        </w:rPr>
        <w:t>Sitagliptin</w:t>
      </w:r>
      <w:proofErr w:type="spellEnd"/>
      <w:r w:rsidRPr="00422503">
        <w:rPr>
          <w:sz w:val="24"/>
          <w:szCs w:val="24"/>
        </w:rPr>
        <w:t xml:space="preserve"> er en potent og høj-</w:t>
      </w:r>
      <w:proofErr w:type="gramStart"/>
      <w:r w:rsidRPr="00422503">
        <w:rPr>
          <w:sz w:val="24"/>
          <w:szCs w:val="24"/>
        </w:rPr>
        <w:t>selektiv</w:t>
      </w:r>
      <w:proofErr w:type="gramEnd"/>
      <w:r w:rsidRPr="00422503">
        <w:rPr>
          <w:sz w:val="24"/>
          <w:szCs w:val="24"/>
        </w:rPr>
        <w:t xml:space="preserve"> hæmmer af enzymet DPP-4 og hæmmer ikke de nært beslægtede enzymer DPP-8 eller DPP-9 ved terapeutiske koncentrationer.</w:t>
      </w:r>
    </w:p>
    <w:p w14:paraId="5F5A34A6" w14:textId="77777777" w:rsidR="00DD5979" w:rsidRPr="00422503" w:rsidRDefault="00DD5979" w:rsidP="00DD5979">
      <w:pPr>
        <w:tabs>
          <w:tab w:val="left" w:pos="851"/>
        </w:tabs>
        <w:ind w:left="851"/>
        <w:rPr>
          <w:sz w:val="24"/>
          <w:szCs w:val="24"/>
        </w:rPr>
      </w:pPr>
    </w:p>
    <w:p w14:paraId="22A2B5E6" w14:textId="77777777" w:rsidR="00DD5979" w:rsidRPr="00422503" w:rsidRDefault="00DD5979" w:rsidP="00DD5979">
      <w:pPr>
        <w:tabs>
          <w:tab w:val="left" w:pos="851"/>
        </w:tabs>
        <w:ind w:left="851"/>
        <w:rPr>
          <w:sz w:val="24"/>
          <w:szCs w:val="24"/>
        </w:rPr>
      </w:pPr>
      <w:r w:rsidRPr="00422503">
        <w:rPr>
          <w:sz w:val="24"/>
          <w:szCs w:val="24"/>
        </w:rPr>
        <w:t xml:space="preserve">I en </w:t>
      </w:r>
      <w:proofErr w:type="spellStart"/>
      <w:r w:rsidRPr="00422503">
        <w:rPr>
          <w:sz w:val="24"/>
          <w:szCs w:val="24"/>
        </w:rPr>
        <w:t>to-dages</w:t>
      </w:r>
      <w:proofErr w:type="spellEnd"/>
      <w:r w:rsidRPr="00422503">
        <w:rPr>
          <w:sz w:val="24"/>
          <w:szCs w:val="24"/>
        </w:rPr>
        <w:t xml:space="preserve"> undersøgelse med raske forsøgspersoner øgede </w:t>
      </w:r>
      <w:proofErr w:type="spellStart"/>
      <w:r w:rsidRPr="00422503">
        <w:rPr>
          <w:sz w:val="24"/>
          <w:szCs w:val="24"/>
        </w:rPr>
        <w:t>sitagliptin</w:t>
      </w:r>
      <w:proofErr w:type="spellEnd"/>
      <w:r w:rsidRPr="00422503">
        <w:rPr>
          <w:sz w:val="24"/>
          <w:szCs w:val="24"/>
        </w:rPr>
        <w:t xml:space="preserve"> alene den aktive GLP-1-koncentration, hvorimod </w:t>
      </w:r>
      <w:proofErr w:type="spellStart"/>
      <w:r w:rsidRPr="00422503">
        <w:rPr>
          <w:sz w:val="24"/>
          <w:szCs w:val="24"/>
        </w:rPr>
        <w:t>metformin</w:t>
      </w:r>
      <w:proofErr w:type="spellEnd"/>
      <w:r w:rsidRPr="00422503">
        <w:rPr>
          <w:sz w:val="24"/>
          <w:szCs w:val="24"/>
        </w:rPr>
        <w:t xml:space="preserve"> alene øgede den aktive og totale GLP-1-koncentration i tilsvarende grad. Samtidig administration af </w:t>
      </w:r>
      <w:proofErr w:type="spellStart"/>
      <w:r w:rsidRPr="00422503">
        <w:rPr>
          <w:sz w:val="24"/>
          <w:szCs w:val="24"/>
        </w:rPr>
        <w:t>sitagliptin</w:t>
      </w:r>
      <w:proofErr w:type="spellEnd"/>
      <w:r w:rsidRPr="00422503">
        <w:rPr>
          <w:sz w:val="24"/>
          <w:szCs w:val="24"/>
        </w:rPr>
        <w:t xml:space="preserve"> og </w:t>
      </w:r>
      <w:proofErr w:type="spellStart"/>
      <w:r w:rsidRPr="00422503">
        <w:rPr>
          <w:sz w:val="24"/>
          <w:szCs w:val="24"/>
        </w:rPr>
        <w:t>metformin</w:t>
      </w:r>
      <w:proofErr w:type="spellEnd"/>
      <w:r w:rsidRPr="00422503">
        <w:rPr>
          <w:sz w:val="24"/>
          <w:szCs w:val="24"/>
        </w:rPr>
        <w:t xml:space="preserve"> havde en </w:t>
      </w:r>
      <w:proofErr w:type="gramStart"/>
      <w:r w:rsidRPr="00422503">
        <w:rPr>
          <w:sz w:val="24"/>
          <w:szCs w:val="24"/>
        </w:rPr>
        <w:t>additiv effekt</w:t>
      </w:r>
      <w:proofErr w:type="gramEnd"/>
      <w:r w:rsidRPr="00422503">
        <w:rPr>
          <w:sz w:val="24"/>
          <w:szCs w:val="24"/>
        </w:rPr>
        <w:t xml:space="preserve"> på den aktive GLP-1-koncentration. </w:t>
      </w:r>
      <w:proofErr w:type="spellStart"/>
      <w:r w:rsidRPr="00422503">
        <w:rPr>
          <w:sz w:val="24"/>
          <w:szCs w:val="24"/>
        </w:rPr>
        <w:t>Sitagliptin</w:t>
      </w:r>
      <w:proofErr w:type="spellEnd"/>
      <w:r w:rsidRPr="00422503">
        <w:rPr>
          <w:sz w:val="24"/>
          <w:szCs w:val="24"/>
        </w:rPr>
        <w:t xml:space="preserve">, men ikke </w:t>
      </w:r>
      <w:proofErr w:type="spellStart"/>
      <w:r w:rsidRPr="00422503">
        <w:rPr>
          <w:sz w:val="24"/>
          <w:szCs w:val="24"/>
        </w:rPr>
        <w:t>metformin</w:t>
      </w:r>
      <w:proofErr w:type="spellEnd"/>
      <w:r w:rsidRPr="00422503">
        <w:rPr>
          <w:sz w:val="24"/>
          <w:szCs w:val="24"/>
        </w:rPr>
        <w:t>, øgede den aktive GIP-koncentration.</w:t>
      </w:r>
    </w:p>
    <w:p w14:paraId="5728FA1E" w14:textId="77777777" w:rsidR="00DD5979" w:rsidRPr="00422503" w:rsidRDefault="00DD5979" w:rsidP="00DD5979">
      <w:pPr>
        <w:tabs>
          <w:tab w:val="left" w:pos="851"/>
        </w:tabs>
        <w:ind w:left="851"/>
        <w:rPr>
          <w:sz w:val="24"/>
          <w:szCs w:val="24"/>
        </w:rPr>
      </w:pPr>
    </w:p>
    <w:p w14:paraId="5A102843" w14:textId="77777777" w:rsidR="00DD5979" w:rsidRPr="00422503" w:rsidRDefault="00DD5979" w:rsidP="00DD5979">
      <w:pPr>
        <w:tabs>
          <w:tab w:val="left" w:pos="851"/>
        </w:tabs>
        <w:ind w:left="851"/>
        <w:rPr>
          <w:sz w:val="24"/>
          <w:szCs w:val="24"/>
          <w:u w:val="single"/>
        </w:rPr>
      </w:pPr>
      <w:r w:rsidRPr="00422503">
        <w:rPr>
          <w:sz w:val="24"/>
          <w:szCs w:val="24"/>
          <w:u w:val="single"/>
        </w:rPr>
        <w:t>Klinisk virkning og sikkerhed</w:t>
      </w:r>
    </w:p>
    <w:p w14:paraId="38E58A9A" w14:textId="77777777" w:rsidR="00DD5979" w:rsidRPr="00422503" w:rsidRDefault="00DD5979" w:rsidP="00DD5979">
      <w:pPr>
        <w:tabs>
          <w:tab w:val="left" w:pos="851"/>
        </w:tabs>
        <w:ind w:left="851"/>
        <w:rPr>
          <w:sz w:val="24"/>
          <w:szCs w:val="24"/>
        </w:rPr>
      </w:pPr>
      <w:proofErr w:type="spellStart"/>
      <w:r w:rsidRPr="00422503">
        <w:rPr>
          <w:sz w:val="24"/>
          <w:szCs w:val="24"/>
        </w:rPr>
        <w:t>Sitagliptin</w:t>
      </w:r>
      <w:proofErr w:type="spellEnd"/>
      <w:r w:rsidRPr="00422503">
        <w:rPr>
          <w:sz w:val="24"/>
          <w:szCs w:val="24"/>
        </w:rPr>
        <w:t xml:space="preserve"> forbedrede totalt set den </w:t>
      </w:r>
      <w:proofErr w:type="spellStart"/>
      <w:r w:rsidRPr="00422503">
        <w:rPr>
          <w:sz w:val="24"/>
          <w:szCs w:val="24"/>
        </w:rPr>
        <w:t>glykæmiske</w:t>
      </w:r>
      <w:proofErr w:type="spellEnd"/>
      <w:r w:rsidRPr="00422503">
        <w:rPr>
          <w:sz w:val="24"/>
          <w:szCs w:val="24"/>
        </w:rPr>
        <w:t xml:space="preserve"> kontrol, når det blev givet som monoterapi eller som kombinationsbehandling hos voksne patienter med type 2-diabetes (se tabel 2).</w:t>
      </w:r>
    </w:p>
    <w:p w14:paraId="5902FDE0" w14:textId="77777777" w:rsidR="00DD5979" w:rsidRPr="00422503" w:rsidRDefault="00DD5979" w:rsidP="00DD5979">
      <w:pPr>
        <w:tabs>
          <w:tab w:val="left" w:pos="851"/>
        </w:tabs>
        <w:ind w:left="851"/>
        <w:rPr>
          <w:sz w:val="24"/>
          <w:szCs w:val="24"/>
        </w:rPr>
      </w:pPr>
    </w:p>
    <w:p w14:paraId="62D26299" w14:textId="77777777" w:rsidR="00DD5979" w:rsidRPr="00422503" w:rsidRDefault="00DD5979" w:rsidP="00DD5979">
      <w:pPr>
        <w:tabs>
          <w:tab w:val="left" w:pos="851"/>
        </w:tabs>
        <w:ind w:left="851"/>
        <w:rPr>
          <w:sz w:val="24"/>
          <w:szCs w:val="24"/>
        </w:rPr>
      </w:pPr>
      <w:r w:rsidRPr="00422503">
        <w:rPr>
          <w:sz w:val="24"/>
          <w:szCs w:val="24"/>
        </w:rPr>
        <w:t xml:space="preserve">Der er udført to undersøgelser, der vurderede effekt og sikkerhed af </w:t>
      </w:r>
      <w:proofErr w:type="spellStart"/>
      <w:r w:rsidRPr="00422503">
        <w:rPr>
          <w:sz w:val="24"/>
          <w:szCs w:val="24"/>
        </w:rPr>
        <w:t>sitagliptin</w:t>
      </w:r>
      <w:proofErr w:type="spellEnd"/>
      <w:r w:rsidRPr="00422503">
        <w:rPr>
          <w:sz w:val="24"/>
          <w:szCs w:val="24"/>
        </w:rPr>
        <w:t xml:space="preserve">-monoterapi. Behandling med </w:t>
      </w:r>
      <w:proofErr w:type="spellStart"/>
      <w:r w:rsidRPr="00422503">
        <w:rPr>
          <w:sz w:val="24"/>
          <w:szCs w:val="24"/>
        </w:rPr>
        <w:t>sitagliptin</w:t>
      </w:r>
      <w:proofErr w:type="spellEnd"/>
      <w:r w:rsidRPr="00422503">
        <w:rPr>
          <w:sz w:val="24"/>
          <w:szCs w:val="24"/>
        </w:rPr>
        <w:t xml:space="preserve"> 100 mg en gang daglig</w:t>
      </w:r>
      <w:r>
        <w:rPr>
          <w:sz w:val="24"/>
          <w:szCs w:val="24"/>
        </w:rPr>
        <w:t>t</w:t>
      </w:r>
      <w:r w:rsidRPr="00422503">
        <w:rPr>
          <w:sz w:val="24"/>
          <w:szCs w:val="24"/>
        </w:rPr>
        <w:t xml:space="preserve"> som monoterapi gav signifikante forbedringer i HbA</w:t>
      </w:r>
      <w:r w:rsidRPr="00422503">
        <w:rPr>
          <w:sz w:val="24"/>
          <w:szCs w:val="24"/>
          <w:vertAlign w:val="subscript"/>
        </w:rPr>
        <w:t>1c</w:t>
      </w:r>
      <w:r w:rsidRPr="00422503">
        <w:rPr>
          <w:sz w:val="24"/>
          <w:szCs w:val="24"/>
        </w:rPr>
        <w:t>, i faste-plasma-</w:t>
      </w:r>
      <w:proofErr w:type="spellStart"/>
      <w:r w:rsidRPr="00422503">
        <w:rPr>
          <w:sz w:val="24"/>
          <w:szCs w:val="24"/>
        </w:rPr>
        <w:t>glucose</w:t>
      </w:r>
      <w:proofErr w:type="spellEnd"/>
      <w:r w:rsidRPr="00422503">
        <w:rPr>
          <w:sz w:val="24"/>
          <w:szCs w:val="24"/>
        </w:rPr>
        <w:t xml:space="preserve"> (FPG) og i 2-timers </w:t>
      </w:r>
      <w:proofErr w:type="spellStart"/>
      <w:r w:rsidRPr="00422503">
        <w:rPr>
          <w:sz w:val="24"/>
          <w:szCs w:val="24"/>
        </w:rPr>
        <w:t>postprandial</w:t>
      </w:r>
      <w:proofErr w:type="spellEnd"/>
      <w:r w:rsidRPr="00422503">
        <w:rPr>
          <w:sz w:val="24"/>
          <w:szCs w:val="24"/>
        </w:rPr>
        <w:t xml:space="preserve"> </w:t>
      </w:r>
      <w:proofErr w:type="spellStart"/>
      <w:r w:rsidRPr="00422503">
        <w:rPr>
          <w:sz w:val="24"/>
          <w:szCs w:val="24"/>
        </w:rPr>
        <w:t>glucose</w:t>
      </w:r>
      <w:proofErr w:type="spellEnd"/>
      <w:r w:rsidRPr="00422503">
        <w:rPr>
          <w:sz w:val="24"/>
          <w:szCs w:val="24"/>
        </w:rPr>
        <w:t xml:space="preserve"> (2</w:t>
      </w:r>
      <w:r w:rsidRPr="00422503">
        <w:rPr>
          <w:sz w:val="24"/>
          <w:szCs w:val="24"/>
        </w:rPr>
        <w:noBreakHyphen/>
        <w:t>timers PPG), når det blev sammenlignet med placebo i to undersøgelser, hvoraf den ene var af 18 ugers varighed og den anden af 24 ugers varighed. Forbedring i surrogatmarkører for betacellefunktionen, inklusive HOMA-β (</w:t>
      </w:r>
      <w:proofErr w:type="spellStart"/>
      <w:r w:rsidRPr="00422503">
        <w:rPr>
          <w:sz w:val="24"/>
          <w:szCs w:val="24"/>
        </w:rPr>
        <w:t>homøostatisk</w:t>
      </w:r>
      <w:proofErr w:type="spellEnd"/>
      <w:r w:rsidRPr="00422503">
        <w:rPr>
          <w:sz w:val="24"/>
          <w:szCs w:val="24"/>
        </w:rPr>
        <w:t xml:space="preserve"> modelvurdering-β), proinsulin/insulin-ratio samt resultater for betacellereaktioner fra en </w:t>
      </w:r>
      <w:proofErr w:type="spellStart"/>
      <w:r w:rsidRPr="00422503">
        <w:rPr>
          <w:i/>
          <w:iCs/>
          <w:sz w:val="24"/>
          <w:szCs w:val="24"/>
        </w:rPr>
        <w:t>frequently</w:t>
      </w:r>
      <w:proofErr w:type="spellEnd"/>
      <w:r w:rsidRPr="00422503">
        <w:rPr>
          <w:i/>
          <w:iCs/>
          <w:sz w:val="24"/>
          <w:szCs w:val="24"/>
        </w:rPr>
        <w:t xml:space="preserve"> </w:t>
      </w:r>
      <w:proofErr w:type="spellStart"/>
      <w:r w:rsidRPr="00422503">
        <w:rPr>
          <w:i/>
          <w:iCs/>
          <w:sz w:val="24"/>
          <w:szCs w:val="24"/>
        </w:rPr>
        <w:t>sampled</w:t>
      </w:r>
      <w:proofErr w:type="spellEnd"/>
      <w:r w:rsidRPr="00422503">
        <w:rPr>
          <w:i/>
          <w:iCs/>
          <w:sz w:val="24"/>
          <w:szCs w:val="24"/>
        </w:rPr>
        <w:t xml:space="preserve"> </w:t>
      </w:r>
      <w:proofErr w:type="spellStart"/>
      <w:r w:rsidRPr="00422503">
        <w:rPr>
          <w:i/>
          <w:iCs/>
          <w:sz w:val="24"/>
          <w:szCs w:val="24"/>
        </w:rPr>
        <w:t>meal</w:t>
      </w:r>
      <w:proofErr w:type="spellEnd"/>
      <w:r w:rsidRPr="00422503">
        <w:rPr>
          <w:i/>
          <w:iCs/>
          <w:sz w:val="24"/>
          <w:szCs w:val="24"/>
        </w:rPr>
        <w:t xml:space="preserve"> tolerance test</w:t>
      </w:r>
      <w:r w:rsidRPr="00422503">
        <w:rPr>
          <w:sz w:val="24"/>
          <w:szCs w:val="24"/>
        </w:rPr>
        <w:t xml:space="preserve"> blev observeret. Den observerede </w:t>
      </w:r>
      <w:proofErr w:type="spellStart"/>
      <w:r w:rsidRPr="00422503">
        <w:rPr>
          <w:sz w:val="24"/>
          <w:szCs w:val="24"/>
        </w:rPr>
        <w:t>incidens</w:t>
      </w:r>
      <w:proofErr w:type="spellEnd"/>
      <w:r w:rsidRPr="00422503">
        <w:rPr>
          <w:sz w:val="24"/>
          <w:szCs w:val="24"/>
        </w:rPr>
        <w:t xml:space="preserve"> af hypoglykæmi hos de patienter, der blev behandlet med </w:t>
      </w:r>
      <w:proofErr w:type="spellStart"/>
      <w:r w:rsidRPr="00422503">
        <w:rPr>
          <w:sz w:val="24"/>
          <w:szCs w:val="24"/>
        </w:rPr>
        <w:t>sitagliptin</w:t>
      </w:r>
      <w:proofErr w:type="spellEnd"/>
      <w:r w:rsidRPr="00422503">
        <w:rPr>
          <w:sz w:val="24"/>
          <w:szCs w:val="24"/>
        </w:rPr>
        <w:t xml:space="preserve">, var den samme som for placebo. I undersøgelserne blev kropsvægten ikke øget fra </w:t>
      </w:r>
      <w:r w:rsidRPr="00422503">
        <w:rPr>
          <w:i/>
          <w:iCs/>
          <w:sz w:val="24"/>
          <w:szCs w:val="24"/>
        </w:rPr>
        <w:t>baseline</w:t>
      </w:r>
      <w:r w:rsidRPr="00422503">
        <w:rPr>
          <w:sz w:val="24"/>
          <w:szCs w:val="24"/>
        </w:rPr>
        <w:t xml:space="preserve"> ved behandling med </w:t>
      </w:r>
      <w:proofErr w:type="spellStart"/>
      <w:r w:rsidRPr="00422503">
        <w:rPr>
          <w:sz w:val="24"/>
          <w:szCs w:val="24"/>
        </w:rPr>
        <w:t>sitagliptin</w:t>
      </w:r>
      <w:proofErr w:type="spellEnd"/>
      <w:r w:rsidRPr="00422503">
        <w:rPr>
          <w:sz w:val="24"/>
          <w:szCs w:val="24"/>
        </w:rPr>
        <w:t>, mens der sås en lille vægtreduktion hos patienter, der fik placebo.</w:t>
      </w:r>
    </w:p>
    <w:p w14:paraId="3C1D7AD3" w14:textId="77777777" w:rsidR="00DD5979" w:rsidRPr="00422503" w:rsidRDefault="00DD5979" w:rsidP="00DD5979">
      <w:pPr>
        <w:tabs>
          <w:tab w:val="left" w:pos="851"/>
        </w:tabs>
        <w:ind w:left="851"/>
        <w:rPr>
          <w:sz w:val="24"/>
          <w:szCs w:val="24"/>
        </w:rPr>
      </w:pPr>
    </w:p>
    <w:p w14:paraId="51FDB210" w14:textId="77777777" w:rsidR="00DD5979" w:rsidRPr="00422503" w:rsidRDefault="00DD5979" w:rsidP="00DD5979">
      <w:pPr>
        <w:tabs>
          <w:tab w:val="left" w:pos="851"/>
        </w:tabs>
        <w:ind w:left="851"/>
        <w:rPr>
          <w:sz w:val="24"/>
          <w:szCs w:val="24"/>
        </w:rPr>
      </w:pPr>
      <w:r w:rsidRPr="00422503">
        <w:rPr>
          <w:sz w:val="24"/>
          <w:szCs w:val="24"/>
        </w:rPr>
        <w:t xml:space="preserve">I to 24-ugers undersøgelser gav </w:t>
      </w:r>
      <w:proofErr w:type="spellStart"/>
      <w:r w:rsidRPr="00422503">
        <w:rPr>
          <w:sz w:val="24"/>
          <w:szCs w:val="24"/>
        </w:rPr>
        <w:t>sitagliptin</w:t>
      </w:r>
      <w:proofErr w:type="spellEnd"/>
      <w:r w:rsidRPr="00422503">
        <w:rPr>
          <w:sz w:val="24"/>
          <w:szCs w:val="24"/>
        </w:rPr>
        <w:t xml:space="preserve"> 100 mg en gang daglig</w:t>
      </w:r>
      <w:r>
        <w:rPr>
          <w:sz w:val="24"/>
          <w:szCs w:val="24"/>
        </w:rPr>
        <w:t>t</w:t>
      </w:r>
      <w:r w:rsidRPr="00422503">
        <w:rPr>
          <w:sz w:val="24"/>
          <w:szCs w:val="24"/>
        </w:rPr>
        <w:t xml:space="preserve"> som supplerende behandling, den ene i kombination med </w:t>
      </w:r>
      <w:proofErr w:type="spellStart"/>
      <w:r w:rsidRPr="00422503">
        <w:rPr>
          <w:sz w:val="24"/>
          <w:szCs w:val="24"/>
        </w:rPr>
        <w:t>metformin</w:t>
      </w:r>
      <w:proofErr w:type="spellEnd"/>
      <w:r w:rsidRPr="00422503">
        <w:rPr>
          <w:sz w:val="24"/>
          <w:szCs w:val="24"/>
        </w:rPr>
        <w:t xml:space="preserve"> og den anden med </w:t>
      </w:r>
      <w:proofErr w:type="spellStart"/>
      <w:r w:rsidRPr="00422503">
        <w:rPr>
          <w:sz w:val="24"/>
          <w:szCs w:val="24"/>
        </w:rPr>
        <w:t>pioglitazon</w:t>
      </w:r>
      <w:proofErr w:type="spellEnd"/>
      <w:r w:rsidRPr="00422503">
        <w:rPr>
          <w:sz w:val="24"/>
          <w:szCs w:val="24"/>
        </w:rPr>
        <w:t xml:space="preserve">, en signifikant </w:t>
      </w:r>
      <w:proofErr w:type="spellStart"/>
      <w:r w:rsidRPr="00422503">
        <w:rPr>
          <w:sz w:val="24"/>
          <w:szCs w:val="24"/>
        </w:rPr>
        <w:t>glykæmisk</w:t>
      </w:r>
      <w:proofErr w:type="spellEnd"/>
      <w:r w:rsidRPr="00422503">
        <w:rPr>
          <w:sz w:val="24"/>
          <w:szCs w:val="24"/>
        </w:rPr>
        <w:t xml:space="preserve"> forbedring, sammenlignet med placebo. Ændringen i kropsvægt i forhold til </w:t>
      </w:r>
      <w:r w:rsidRPr="00422503">
        <w:rPr>
          <w:i/>
          <w:iCs/>
          <w:sz w:val="24"/>
          <w:szCs w:val="24"/>
        </w:rPr>
        <w:t>baseline</w:t>
      </w:r>
      <w:r w:rsidRPr="00422503">
        <w:rPr>
          <w:sz w:val="24"/>
          <w:szCs w:val="24"/>
        </w:rPr>
        <w:t xml:space="preserve"> var den samme for patienter, der blev behandlet med </w:t>
      </w:r>
      <w:proofErr w:type="spellStart"/>
      <w:r w:rsidRPr="00422503">
        <w:rPr>
          <w:sz w:val="24"/>
          <w:szCs w:val="24"/>
        </w:rPr>
        <w:t>sitagliptin</w:t>
      </w:r>
      <w:proofErr w:type="spellEnd"/>
      <w:r w:rsidRPr="00422503">
        <w:rPr>
          <w:sz w:val="24"/>
          <w:szCs w:val="24"/>
        </w:rPr>
        <w:t xml:space="preserve"> i forhold til placebo. I disse undersøgelser var </w:t>
      </w:r>
      <w:proofErr w:type="spellStart"/>
      <w:r w:rsidRPr="00422503">
        <w:rPr>
          <w:sz w:val="24"/>
          <w:szCs w:val="24"/>
        </w:rPr>
        <w:t>incidensen</w:t>
      </w:r>
      <w:proofErr w:type="spellEnd"/>
      <w:r w:rsidRPr="00422503">
        <w:rPr>
          <w:sz w:val="24"/>
          <w:szCs w:val="24"/>
        </w:rPr>
        <w:t xml:space="preserve"> af hypoglykæmi den samme, som blev rapporteret for patienter, der var blevet behandlet med </w:t>
      </w:r>
      <w:proofErr w:type="spellStart"/>
      <w:r w:rsidRPr="00422503">
        <w:rPr>
          <w:sz w:val="24"/>
          <w:szCs w:val="24"/>
        </w:rPr>
        <w:t>sitagliptin</w:t>
      </w:r>
      <w:proofErr w:type="spellEnd"/>
      <w:r w:rsidRPr="00422503">
        <w:rPr>
          <w:sz w:val="24"/>
          <w:szCs w:val="24"/>
        </w:rPr>
        <w:t xml:space="preserve"> eller placebo.</w:t>
      </w:r>
    </w:p>
    <w:p w14:paraId="0CA4FF9C" w14:textId="77777777" w:rsidR="00DD5979" w:rsidRPr="00422503" w:rsidRDefault="00DD5979" w:rsidP="00DD5979">
      <w:pPr>
        <w:tabs>
          <w:tab w:val="left" w:pos="851"/>
        </w:tabs>
        <w:ind w:left="851"/>
        <w:rPr>
          <w:sz w:val="24"/>
          <w:szCs w:val="24"/>
        </w:rPr>
      </w:pPr>
    </w:p>
    <w:p w14:paraId="30EEB773" w14:textId="77777777" w:rsidR="00DD5979" w:rsidRPr="00422503" w:rsidRDefault="00DD5979" w:rsidP="00DD5979">
      <w:pPr>
        <w:tabs>
          <w:tab w:val="left" w:pos="851"/>
        </w:tabs>
        <w:ind w:left="851"/>
        <w:rPr>
          <w:sz w:val="24"/>
          <w:szCs w:val="24"/>
        </w:rPr>
      </w:pPr>
      <w:r w:rsidRPr="00422503">
        <w:rPr>
          <w:sz w:val="24"/>
          <w:szCs w:val="24"/>
        </w:rPr>
        <w:t xml:space="preserve">En 24-ugers placebokontrolleret undersøgelse blev designet til at evaluere effekten samt sikkerheden af </w:t>
      </w:r>
      <w:proofErr w:type="spellStart"/>
      <w:r w:rsidRPr="00422503">
        <w:rPr>
          <w:sz w:val="24"/>
          <w:szCs w:val="24"/>
        </w:rPr>
        <w:t>sitagliptin</w:t>
      </w:r>
      <w:proofErr w:type="spellEnd"/>
      <w:r w:rsidRPr="00422503">
        <w:rPr>
          <w:sz w:val="24"/>
          <w:szCs w:val="24"/>
        </w:rPr>
        <w:t xml:space="preserve"> (100 mg en gang daglig</w:t>
      </w:r>
      <w:r>
        <w:rPr>
          <w:sz w:val="24"/>
          <w:szCs w:val="24"/>
        </w:rPr>
        <w:t>t</w:t>
      </w:r>
      <w:r w:rsidRPr="00422503">
        <w:rPr>
          <w:sz w:val="24"/>
          <w:szCs w:val="24"/>
        </w:rPr>
        <w:t xml:space="preserve">) som supplement til </w:t>
      </w:r>
      <w:proofErr w:type="spellStart"/>
      <w:r w:rsidRPr="00422503">
        <w:rPr>
          <w:sz w:val="24"/>
          <w:szCs w:val="24"/>
        </w:rPr>
        <w:t>glimepirid</w:t>
      </w:r>
      <w:proofErr w:type="spellEnd"/>
      <w:r w:rsidRPr="00422503">
        <w:rPr>
          <w:sz w:val="24"/>
          <w:szCs w:val="24"/>
        </w:rPr>
        <w:t xml:space="preserve"> alene eller </w:t>
      </w:r>
      <w:proofErr w:type="spellStart"/>
      <w:r w:rsidRPr="00422503">
        <w:rPr>
          <w:sz w:val="24"/>
          <w:szCs w:val="24"/>
        </w:rPr>
        <w:t>glimepirid</w:t>
      </w:r>
      <w:proofErr w:type="spellEnd"/>
      <w:r w:rsidRPr="00422503">
        <w:rPr>
          <w:sz w:val="24"/>
          <w:szCs w:val="24"/>
        </w:rPr>
        <w:t xml:space="preserve"> i kombination med </w:t>
      </w:r>
      <w:proofErr w:type="spellStart"/>
      <w:r w:rsidRPr="00422503">
        <w:rPr>
          <w:sz w:val="24"/>
          <w:szCs w:val="24"/>
        </w:rPr>
        <w:t>metformin</w:t>
      </w:r>
      <w:proofErr w:type="spellEnd"/>
      <w:r w:rsidRPr="00422503">
        <w:rPr>
          <w:sz w:val="24"/>
          <w:szCs w:val="24"/>
        </w:rPr>
        <w:t xml:space="preserve">. Supplering af </w:t>
      </w:r>
      <w:proofErr w:type="spellStart"/>
      <w:r w:rsidRPr="00422503">
        <w:rPr>
          <w:sz w:val="24"/>
          <w:szCs w:val="24"/>
        </w:rPr>
        <w:t>sitagliptin</w:t>
      </w:r>
      <w:proofErr w:type="spellEnd"/>
      <w:r w:rsidRPr="00422503">
        <w:rPr>
          <w:sz w:val="24"/>
          <w:szCs w:val="24"/>
        </w:rPr>
        <w:t xml:space="preserve"> til enten </w:t>
      </w:r>
      <w:proofErr w:type="spellStart"/>
      <w:r w:rsidRPr="00422503">
        <w:rPr>
          <w:sz w:val="24"/>
          <w:szCs w:val="24"/>
        </w:rPr>
        <w:t>glimepirid</w:t>
      </w:r>
      <w:proofErr w:type="spellEnd"/>
      <w:r w:rsidRPr="00422503">
        <w:rPr>
          <w:sz w:val="24"/>
          <w:szCs w:val="24"/>
        </w:rPr>
        <w:t xml:space="preserve"> alene eller til </w:t>
      </w:r>
      <w:proofErr w:type="spellStart"/>
      <w:r w:rsidRPr="00422503">
        <w:rPr>
          <w:sz w:val="24"/>
          <w:szCs w:val="24"/>
        </w:rPr>
        <w:t>glimepirid</w:t>
      </w:r>
      <w:proofErr w:type="spellEnd"/>
      <w:r w:rsidRPr="00422503">
        <w:rPr>
          <w:sz w:val="24"/>
          <w:szCs w:val="24"/>
        </w:rPr>
        <w:t xml:space="preserve"> og </w:t>
      </w:r>
      <w:proofErr w:type="spellStart"/>
      <w:r w:rsidRPr="00422503">
        <w:rPr>
          <w:sz w:val="24"/>
          <w:szCs w:val="24"/>
        </w:rPr>
        <w:t>metformin</w:t>
      </w:r>
      <w:proofErr w:type="spellEnd"/>
      <w:r w:rsidRPr="00422503">
        <w:rPr>
          <w:sz w:val="24"/>
          <w:szCs w:val="24"/>
        </w:rPr>
        <w:t xml:space="preserve"> gav signifikant </w:t>
      </w:r>
      <w:proofErr w:type="spellStart"/>
      <w:r w:rsidRPr="00422503">
        <w:rPr>
          <w:sz w:val="24"/>
          <w:szCs w:val="24"/>
        </w:rPr>
        <w:t>glykæmiske</w:t>
      </w:r>
      <w:proofErr w:type="spellEnd"/>
      <w:r w:rsidRPr="00422503">
        <w:rPr>
          <w:sz w:val="24"/>
          <w:szCs w:val="24"/>
        </w:rPr>
        <w:t xml:space="preserve"> forbedringer. Patienter, der blev behandlet med </w:t>
      </w:r>
      <w:proofErr w:type="spellStart"/>
      <w:r w:rsidRPr="00422503">
        <w:rPr>
          <w:sz w:val="24"/>
          <w:szCs w:val="24"/>
        </w:rPr>
        <w:t>sitagliptin</w:t>
      </w:r>
      <w:proofErr w:type="spellEnd"/>
      <w:r w:rsidRPr="00422503">
        <w:rPr>
          <w:sz w:val="24"/>
          <w:szCs w:val="24"/>
        </w:rPr>
        <w:t xml:space="preserve"> havde en moderat vægtøgning sammenlignet med de patienter, der fik placebo.</w:t>
      </w:r>
    </w:p>
    <w:p w14:paraId="51007DF5" w14:textId="77777777" w:rsidR="00DD5979" w:rsidRPr="00422503" w:rsidRDefault="00DD5979" w:rsidP="00DD5979">
      <w:pPr>
        <w:tabs>
          <w:tab w:val="left" w:pos="851"/>
        </w:tabs>
        <w:ind w:left="851"/>
        <w:rPr>
          <w:sz w:val="24"/>
          <w:szCs w:val="24"/>
        </w:rPr>
      </w:pPr>
    </w:p>
    <w:p w14:paraId="1AED0F46" w14:textId="77777777" w:rsidR="00DD5979" w:rsidRPr="00422503" w:rsidRDefault="00DD5979" w:rsidP="00DD5979">
      <w:pPr>
        <w:tabs>
          <w:tab w:val="left" w:pos="851"/>
        </w:tabs>
        <w:ind w:left="851"/>
        <w:rPr>
          <w:sz w:val="24"/>
          <w:szCs w:val="24"/>
        </w:rPr>
      </w:pPr>
      <w:r w:rsidRPr="00422503">
        <w:rPr>
          <w:sz w:val="24"/>
          <w:szCs w:val="24"/>
        </w:rPr>
        <w:t xml:space="preserve">Et 26-ugers placebokontrolleret studie blev designet til at evaluere </w:t>
      </w:r>
      <w:proofErr w:type="spellStart"/>
      <w:r w:rsidRPr="00422503">
        <w:rPr>
          <w:sz w:val="24"/>
          <w:szCs w:val="24"/>
        </w:rPr>
        <w:t>sitagliptins</w:t>
      </w:r>
      <w:proofErr w:type="spellEnd"/>
      <w:r w:rsidRPr="00422503">
        <w:rPr>
          <w:sz w:val="24"/>
          <w:szCs w:val="24"/>
        </w:rPr>
        <w:t xml:space="preserve"> effekt og sikkerhed (100 mg en gang daglig</w:t>
      </w:r>
      <w:r>
        <w:rPr>
          <w:sz w:val="24"/>
          <w:szCs w:val="24"/>
        </w:rPr>
        <w:t>t</w:t>
      </w:r>
      <w:r w:rsidRPr="00422503">
        <w:rPr>
          <w:sz w:val="24"/>
          <w:szCs w:val="24"/>
        </w:rPr>
        <w:t xml:space="preserve">) som supplement til kombinationen </w:t>
      </w:r>
      <w:proofErr w:type="spellStart"/>
      <w:r w:rsidRPr="00422503">
        <w:rPr>
          <w:sz w:val="24"/>
          <w:szCs w:val="24"/>
        </w:rPr>
        <w:t>pioglitazon</w:t>
      </w:r>
      <w:proofErr w:type="spellEnd"/>
      <w:r w:rsidRPr="00422503">
        <w:rPr>
          <w:sz w:val="24"/>
          <w:szCs w:val="24"/>
        </w:rPr>
        <w:t xml:space="preserve"> plus </w:t>
      </w:r>
      <w:proofErr w:type="spellStart"/>
      <w:r w:rsidRPr="00422503">
        <w:rPr>
          <w:sz w:val="24"/>
          <w:szCs w:val="24"/>
        </w:rPr>
        <w:t>metformin</w:t>
      </w:r>
      <w:proofErr w:type="spellEnd"/>
      <w:r w:rsidRPr="00422503">
        <w:rPr>
          <w:sz w:val="24"/>
          <w:szCs w:val="24"/>
        </w:rPr>
        <w:t xml:space="preserve">. </w:t>
      </w:r>
      <w:proofErr w:type="spellStart"/>
      <w:r w:rsidRPr="00422503">
        <w:rPr>
          <w:sz w:val="24"/>
          <w:szCs w:val="24"/>
        </w:rPr>
        <w:t>Sitagliptin</w:t>
      </w:r>
      <w:proofErr w:type="spellEnd"/>
      <w:r w:rsidRPr="00422503">
        <w:rPr>
          <w:sz w:val="24"/>
          <w:szCs w:val="24"/>
        </w:rPr>
        <w:t xml:space="preserve"> som supplement til </w:t>
      </w:r>
      <w:proofErr w:type="spellStart"/>
      <w:r w:rsidRPr="00422503">
        <w:rPr>
          <w:sz w:val="24"/>
          <w:szCs w:val="24"/>
        </w:rPr>
        <w:t>pioglitazon</w:t>
      </w:r>
      <w:proofErr w:type="spellEnd"/>
      <w:r w:rsidRPr="00422503">
        <w:rPr>
          <w:sz w:val="24"/>
          <w:szCs w:val="24"/>
        </w:rPr>
        <w:t xml:space="preserve"> og </w:t>
      </w:r>
      <w:proofErr w:type="spellStart"/>
      <w:r w:rsidRPr="00422503">
        <w:rPr>
          <w:sz w:val="24"/>
          <w:szCs w:val="24"/>
        </w:rPr>
        <w:t>metformin</w:t>
      </w:r>
      <w:proofErr w:type="spellEnd"/>
      <w:r w:rsidRPr="00422503">
        <w:rPr>
          <w:sz w:val="24"/>
          <w:szCs w:val="24"/>
        </w:rPr>
        <w:t xml:space="preserve"> forbedrede de </w:t>
      </w:r>
      <w:proofErr w:type="spellStart"/>
      <w:r w:rsidRPr="00422503">
        <w:rPr>
          <w:sz w:val="24"/>
          <w:szCs w:val="24"/>
        </w:rPr>
        <w:t>glykæmiske</w:t>
      </w:r>
      <w:proofErr w:type="spellEnd"/>
      <w:r w:rsidRPr="00422503">
        <w:rPr>
          <w:sz w:val="24"/>
          <w:szCs w:val="24"/>
        </w:rPr>
        <w:t xml:space="preserve"> parametre signifikant. Ændring i kropsvægt i forhold til </w:t>
      </w:r>
      <w:r w:rsidRPr="00422503">
        <w:rPr>
          <w:i/>
          <w:iCs/>
          <w:sz w:val="24"/>
          <w:szCs w:val="24"/>
        </w:rPr>
        <w:t>baseline</w:t>
      </w:r>
      <w:r w:rsidRPr="00422503">
        <w:rPr>
          <w:sz w:val="24"/>
          <w:szCs w:val="24"/>
        </w:rPr>
        <w:t xml:space="preserve"> var den samme hos patienter, der blev behandlet med </w:t>
      </w:r>
      <w:proofErr w:type="spellStart"/>
      <w:r w:rsidRPr="00422503">
        <w:rPr>
          <w:sz w:val="24"/>
          <w:szCs w:val="24"/>
        </w:rPr>
        <w:t>sitagliptin</w:t>
      </w:r>
      <w:proofErr w:type="spellEnd"/>
      <w:r w:rsidRPr="00422503">
        <w:rPr>
          <w:sz w:val="24"/>
          <w:szCs w:val="24"/>
        </w:rPr>
        <w:t xml:space="preserve"> og hos patienter, der fik placebo. </w:t>
      </w:r>
      <w:proofErr w:type="spellStart"/>
      <w:r w:rsidRPr="00422503">
        <w:rPr>
          <w:sz w:val="24"/>
          <w:szCs w:val="24"/>
        </w:rPr>
        <w:t>Incidensen</w:t>
      </w:r>
      <w:proofErr w:type="spellEnd"/>
      <w:r w:rsidRPr="00422503">
        <w:rPr>
          <w:sz w:val="24"/>
          <w:szCs w:val="24"/>
        </w:rPr>
        <w:t xml:space="preserve"> af hypoglykæmi var også den samme hos </w:t>
      </w:r>
      <w:proofErr w:type="spellStart"/>
      <w:r w:rsidRPr="00422503">
        <w:rPr>
          <w:sz w:val="24"/>
          <w:szCs w:val="24"/>
        </w:rPr>
        <w:t>sitagliptinbehandlede</w:t>
      </w:r>
      <w:proofErr w:type="spellEnd"/>
      <w:r w:rsidRPr="00422503">
        <w:rPr>
          <w:sz w:val="24"/>
          <w:szCs w:val="24"/>
        </w:rPr>
        <w:t xml:space="preserve"> og placebobehandlede patienter.</w:t>
      </w:r>
    </w:p>
    <w:p w14:paraId="136FC028" w14:textId="77777777" w:rsidR="00DD5979" w:rsidRPr="00422503" w:rsidRDefault="00DD5979" w:rsidP="00DD5979">
      <w:pPr>
        <w:tabs>
          <w:tab w:val="left" w:pos="851"/>
        </w:tabs>
        <w:ind w:left="851"/>
        <w:rPr>
          <w:sz w:val="24"/>
          <w:szCs w:val="24"/>
        </w:rPr>
      </w:pPr>
    </w:p>
    <w:p w14:paraId="412B7C33" w14:textId="77777777" w:rsidR="00DD5979" w:rsidRPr="00422503" w:rsidRDefault="00DD5979" w:rsidP="00DD5979">
      <w:pPr>
        <w:tabs>
          <w:tab w:val="left" w:pos="851"/>
        </w:tabs>
        <w:ind w:left="851"/>
        <w:rPr>
          <w:sz w:val="24"/>
          <w:szCs w:val="24"/>
        </w:rPr>
      </w:pPr>
      <w:r w:rsidRPr="00422503">
        <w:rPr>
          <w:sz w:val="24"/>
          <w:szCs w:val="24"/>
        </w:rPr>
        <w:t xml:space="preserve">En 24-ugers placebokontrolleret undersøgelse blev designet til at evaluere effekt og sikkerhed af </w:t>
      </w:r>
      <w:proofErr w:type="spellStart"/>
      <w:r w:rsidRPr="00422503">
        <w:rPr>
          <w:sz w:val="24"/>
          <w:szCs w:val="24"/>
        </w:rPr>
        <w:t>sitagliptin</w:t>
      </w:r>
      <w:proofErr w:type="spellEnd"/>
      <w:r w:rsidRPr="00422503">
        <w:rPr>
          <w:sz w:val="24"/>
          <w:szCs w:val="24"/>
        </w:rPr>
        <w:t xml:space="preserve"> (100 mg en gang daglig</w:t>
      </w:r>
      <w:r>
        <w:rPr>
          <w:sz w:val="24"/>
          <w:szCs w:val="24"/>
        </w:rPr>
        <w:t>t</w:t>
      </w:r>
      <w:r w:rsidRPr="00422503">
        <w:rPr>
          <w:sz w:val="24"/>
          <w:szCs w:val="24"/>
        </w:rPr>
        <w:t xml:space="preserve">) som supplement til insulin (ved en stabil dosis i mindst 10 uger) med eller uden </w:t>
      </w:r>
      <w:proofErr w:type="spellStart"/>
      <w:r w:rsidRPr="00422503">
        <w:rPr>
          <w:sz w:val="24"/>
          <w:szCs w:val="24"/>
        </w:rPr>
        <w:t>metformin</w:t>
      </w:r>
      <w:proofErr w:type="spellEnd"/>
      <w:r w:rsidRPr="00422503">
        <w:rPr>
          <w:sz w:val="24"/>
          <w:szCs w:val="24"/>
        </w:rPr>
        <w:t xml:space="preserve"> (mindst 1 500 mg). Hos patienter, der </w:t>
      </w:r>
      <w:r w:rsidRPr="00422503">
        <w:rPr>
          <w:sz w:val="24"/>
          <w:szCs w:val="24"/>
        </w:rPr>
        <w:lastRenderedPageBreak/>
        <w:t xml:space="preserve">tog forblandet insulin, var den gennemsnitlige daglige dosis 70,9 E/dag. Hos patienter, der tog ikke-forblandet insulin (middellangt-/langtidsvirkende), var den gennemsnitlige daglige dosis 44,3 E/dag. Tillæg af </w:t>
      </w:r>
      <w:proofErr w:type="spellStart"/>
      <w:r w:rsidRPr="00422503">
        <w:rPr>
          <w:sz w:val="24"/>
          <w:szCs w:val="24"/>
        </w:rPr>
        <w:t>sitagliptin</w:t>
      </w:r>
      <w:proofErr w:type="spellEnd"/>
      <w:r w:rsidRPr="00422503">
        <w:rPr>
          <w:sz w:val="24"/>
          <w:szCs w:val="24"/>
        </w:rPr>
        <w:t xml:space="preserve"> til insulin gav signifikante forbedringer i de </w:t>
      </w:r>
      <w:proofErr w:type="spellStart"/>
      <w:r w:rsidRPr="00422503">
        <w:rPr>
          <w:sz w:val="24"/>
          <w:szCs w:val="24"/>
        </w:rPr>
        <w:t>glykæmiske</w:t>
      </w:r>
      <w:proofErr w:type="spellEnd"/>
      <w:r w:rsidRPr="00422503">
        <w:rPr>
          <w:sz w:val="24"/>
          <w:szCs w:val="24"/>
        </w:rPr>
        <w:t xml:space="preserve"> parametre. Med hensyn til kropsvægt var der ingen ændring af betydning i forhold til baseline i nogen af grupperne.</w:t>
      </w:r>
    </w:p>
    <w:p w14:paraId="3C4876D0" w14:textId="77777777" w:rsidR="00DD5979" w:rsidRPr="00422503" w:rsidRDefault="00DD5979" w:rsidP="00DD5979">
      <w:pPr>
        <w:tabs>
          <w:tab w:val="left" w:pos="851"/>
        </w:tabs>
        <w:ind w:left="851"/>
        <w:rPr>
          <w:sz w:val="24"/>
          <w:szCs w:val="24"/>
        </w:rPr>
      </w:pPr>
    </w:p>
    <w:p w14:paraId="4302CB93" w14:textId="77777777" w:rsidR="00DD5979" w:rsidRPr="00422503" w:rsidRDefault="00DD5979" w:rsidP="00DD5979">
      <w:pPr>
        <w:tabs>
          <w:tab w:val="left" w:pos="851"/>
        </w:tabs>
        <w:ind w:left="851"/>
        <w:rPr>
          <w:sz w:val="24"/>
          <w:szCs w:val="24"/>
        </w:rPr>
      </w:pPr>
      <w:r w:rsidRPr="00422503">
        <w:rPr>
          <w:sz w:val="24"/>
          <w:szCs w:val="24"/>
        </w:rPr>
        <w:t xml:space="preserve">I en 24-ugers placebokontrolleret </w:t>
      </w:r>
      <w:proofErr w:type="spellStart"/>
      <w:r w:rsidRPr="00422503">
        <w:rPr>
          <w:sz w:val="24"/>
          <w:szCs w:val="24"/>
        </w:rPr>
        <w:t>faktoriel</w:t>
      </w:r>
      <w:proofErr w:type="spellEnd"/>
      <w:r w:rsidRPr="00422503">
        <w:rPr>
          <w:sz w:val="24"/>
          <w:szCs w:val="24"/>
        </w:rPr>
        <w:t xml:space="preserve"> undersøgelse af initialbehandling gav </w:t>
      </w:r>
      <w:proofErr w:type="spellStart"/>
      <w:r w:rsidRPr="00422503">
        <w:rPr>
          <w:sz w:val="24"/>
          <w:szCs w:val="24"/>
        </w:rPr>
        <w:t>sitagliptin</w:t>
      </w:r>
      <w:proofErr w:type="spellEnd"/>
      <w:r w:rsidRPr="00422503">
        <w:rPr>
          <w:sz w:val="24"/>
          <w:szCs w:val="24"/>
        </w:rPr>
        <w:t xml:space="preserve"> 50 mg to gange daglig</w:t>
      </w:r>
      <w:r>
        <w:rPr>
          <w:sz w:val="24"/>
          <w:szCs w:val="24"/>
        </w:rPr>
        <w:t>t</w:t>
      </w:r>
      <w:r w:rsidRPr="00422503">
        <w:rPr>
          <w:sz w:val="24"/>
          <w:szCs w:val="24"/>
        </w:rPr>
        <w:t xml:space="preserve"> i kombination med </w:t>
      </w:r>
      <w:proofErr w:type="spellStart"/>
      <w:r w:rsidRPr="00422503">
        <w:rPr>
          <w:sz w:val="24"/>
          <w:szCs w:val="24"/>
        </w:rPr>
        <w:t>metformin</w:t>
      </w:r>
      <w:proofErr w:type="spellEnd"/>
      <w:r w:rsidRPr="00422503">
        <w:rPr>
          <w:sz w:val="24"/>
          <w:szCs w:val="24"/>
        </w:rPr>
        <w:t xml:space="preserve"> (500 mg eller 1 000 mg to gange daglig</w:t>
      </w:r>
      <w:r>
        <w:rPr>
          <w:sz w:val="24"/>
          <w:szCs w:val="24"/>
        </w:rPr>
        <w:t>t</w:t>
      </w:r>
      <w:r w:rsidRPr="00422503">
        <w:rPr>
          <w:sz w:val="24"/>
          <w:szCs w:val="24"/>
        </w:rPr>
        <w:t xml:space="preserve">) en signifikant </w:t>
      </w:r>
      <w:proofErr w:type="spellStart"/>
      <w:r w:rsidRPr="00422503">
        <w:rPr>
          <w:sz w:val="24"/>
          <w:szCs w:val="24"/>
        </w:rPr>
        <w:t>glykæmisk</w:t>
      </w:r>
      <w:proofErr w:type="spellEnd"/>
      <w:r w:rsidRPr="00422503">
        <w:rPr>
          <w:sz w:val="24"/>
          <w:szCs w:val="24"/>
        </w:rPr>
        <w:t xml:space="preserve"> forbedring sammenlignet med begge former for monoterapi. Reduktionen i kropsvægt med kombinationen af </w:t>
      </w:r>
      <w:proofErr w:type="spellStart"/>
      <w:r w:rsidRPr="00422503">
        <w:rPr>
          <w:sz w:val="24"/>
          <w:szCs w:val="24"/>
        </w:rPr>
        <w:t>sitagliptin</w:t>
      </w:r>
      <w:proofErr w:type="spellEnd"/>
      <w:r w:rsidRPr="00422503">
        <w:rPr>
          <w:sz w:val="24"/>
          <w:szCs w:val="24"/>
        </w:rPr>
        <w:t xml:space="preserve"> og </w:t>
      </w:r>
      <w:proofErr w:type="spellStart"/>
      <w:r w:rsidRPr="00422503">
        <w:rPr>
          <w:sz w:val="24"/>
          <w:szCs w:val="24"/>
        </w:rPr>
        <w:t>metformin</w:t>
      </w:r>
      <w:proofErr w:type="spellEnd"/>
      <w:r w:rsidRPr="00422503">
        <w:rPr>
          <w:sz w:val="24"/>
          <w:szCs w:val="24"/>
        </w:rPr>
        <w:t xml:space="preserve"> var den samme som den, der blev observeret med </w:t>
      </w:r>
      <w:proofErr w:type="spellStart"/>
      <w:r w:rsidRPr="00422503">
        <w:rPr>
          <w:sz w:val="24"/>
          <w:szCs w:val="24"/>
        </w:rPr>
        <w:t>metformin</w:t>
      </w:r>
      <w:proofErr w:type="spellEnd"/>
      <w:r w:rsidRPr="00422503">
        <w:rPr>
          <w:sz w:val="24"/>
          <w:szCs w:val="24"/>
        </w:rPr>
        <w:t xml:space="preserve"> alene eller placebo. Der var ingen ændring i forhold til </w:t>
      </w:r>
      <w:r w:rsidRPr="00422503">
        <w:rPr>
          <w:i/>
          <w:iCs/>
          <w:sz w:val="24"/>
          <w:szCs w:val="24"/>
        </w:rPr>
        <w:t>baseline</w:t>
      </w:r>
      <w:r w:rsidRPr="00422503">
        <w:rPr>
          <w:sz w:val="24"/>
          <w:szCs w:val="24"/>
        </w:rPr>
        <w:t xml:space="preserve"> for patienter på </w:t>
      </w:r>
      <w:proofErr w:type="spellStart"/>
      <w:r w:rsidRPr="00422503">
        <w:rPr>
          <w:sz w:val="24"/>
          <w:szCs w:val="24"/>
        </w:rPr>
        <w:t>sitagliptin</w:t>
      </w:r>
      <w:proofErr w:type="spellEnd"/>
      <w:r w:rsidRPr="00422503">
        <w:rPr>
          <w:sz w:val="24"/>
          <w:szCs w:val="24"/>
        </w:rPr>
        <w:t xml:space="preserve"> alene. </w:t>
      </w:r>
      <w:proofErr w:type="spellStart"/>
      <w:r w:rsidRPr="00422503">
        <w:rPr>
          <w:sz w:val="24"/>
          <w:szCs w:val="24"/>
        </w:rPr>
        <w:t>Incidensen</w:t>
      </w:r>
      <w:proofErr w:type="spellEnd"/>
      <w:r w:rsidRPr="00422503">
        <w:rPr>
          <w:sz w:val="24"/>
          <w:szCs w:val="24"/>
        </w:rPr>
        <w:t xml:space="preserve"> af hypoglykæmi var den samme på tværs af behandlingsgrupperne.</w:t>
      </w:r>
    </w:p>
    <w:p w14:paraId="5D48A137" w14:textId="77777777" w:rsidR="00DD5979" w:rsidRPr="00422503" w:rsidRDefault="00DD5979" w:rsidP="00DD5979">
      <w:pPr>
        <w:tabs>
          <w:tab w:val="left" w:pos="851"/>
        </w:tabs>
        <w:ind w:left="851"/>
        <w:rPr>
          <w:sz w:val="24"/>
          <w:szCs w:val="24"/>
        </w:rPr>
      </w:pPr>
    </w:p>
    <w:p w14:paraId="465D9A84" w14:textId="77777777" w:rsidR="00DD5979" w:rsidRDefault="00DD5979" w:rsidP="00DD5979">
      <w:pPr>
        <w:tabs>
          <w:tab w:val="left" w:pos="851"/>
        </w:tabs>
        <w:ind w:left="851"/>
        <w:rPr>
          <w:b/>
          <w:bCs/>
          <w:vertAlign w:val="superscript"/>
        </w:rPr>
      </w:pPr>
      <w:r>
        <w:rPr>
          <w:b/>
          <w:bCs/>
        </w:rPr>
        <w:t>Tabel 2. HbA</w:t>
      </w:r>
      <w:r>
        <w:rPr>
          <w:b/>
          <w:bCs/>
          <w:vertAlign w:val="subscript"/>
        </w:rPr>
        <w:t>1c</w:t>
      </w:r>
      <w:r>
        <w:rPr>
          <w:b/>
          <w:bCs/>
        </w:rPr>
        <w:t xml:space="preserve"> resultater i placebo-kontrollerede monoterapi- og kombinationsterapi- undersøgelser</w:t>
      </w:r>
      <w:r>
        <w:rPr>
          <w:b/>
          <w:bCs/>
          <w:vertAlign w:val="superscript"/>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018"/>
        <w:gridCol w:w="1937"/>
        <w:gridCol w:w="2486"/>
      </w:tblGrid>
      <w:tr w:rsidR="00DD5979" w14:paraId="0B0CC522" w14:textId="77777777" w:rsidTr="00854197">
        <w:trPr>
          <w:trHeight w:val="918"/>
          <w:tblHeader/>
        </w:trPr>
        <w:tc>
          <w:tcPr>
            <w:tcW w:w="2274" w:type="dxa"/>
            <w:tcBorders>
              <w:top w:val="single" w:sz="4" w:space="0" w:color="auto"/>
              <w:left w:val="single" w:sz="4" w:space="0" w:color="auto"/>
              <w:bottom w:val="single" w:sz="4" w:space="0" w:color="auto"/>
              <w:right w:val="single" w:sz="4" w:space="0" w:color="auto"/>
            </w:tcBorders>
            <w:vAlign w:val="center"/>
            <w:hideMark/>
          </w:tcPr>
          <w:p w14:paraId="0FFD8423" w14:textId="77777777" w:rsidR="00DD5979" w:rsidRDefault="00DD5979" w:rsidP="00854197">
            <w:pPr>
              <w:widowControl w:val="0"/>
              <w:jc w:val="center"/>
              <w:rPr>
                <w:rFonts w:eastAsia="Calibri"/>
                <w:b/>
                <w:bCs/>
                <w:sz w:val="22"/>
                <w:szCs w:val="22"/>
                <w:lang w:val="en-GB"/>
              </w:rPr>
            </w:pPr>
            <w:proofErr w:type="spellStart"/>
            <w:r>
              <w:rPr>
                <w:rFonts w:eastAsia="Calibri"/>
                <w:b/>
                <w:bCs/>
                <w:sz w:val="22"/>
                <w:szCs w:val="22"/>
                <w:lang w:val="en-GB"/>
              </w:rPr>
              <w:t>Undersøgelse</w:t>
            </w:r>
            <w:proofErr w:type="spellEnd"/>
          </w:p>
        </w:tc>
        <w:tc>
          <w:tcPr>
            <w:tcW w:w="2089" w:type="dxa"/>
            <w:tcBorders>
              <w:top w:val="single" w:sz="4" w:space="0" w:color="auto"/>
              <w:left w:val="single" w:sz="4" w:space="0" w:color="auto"/>
              <w:bottom w:val="single" w:sz="4" w:space="0" w:color="auto"/>
              <w:right w:val="single" w:sz="4" w:space="0" w:color="auto"/>
            </w:tcBorders>
            <w:vAlign w:val="center"/>
            <w:hideMark/>
          </w:tcPr>
          <w:p w14:paraId="0BC2DF73" w14:textId="77777777" w:rsidR="00DD5979" w:rsidRDefault="00DD5979" w:rsidP="00854197">
            <w:pPr>
              <w:widowControl w:val="0"/>
              <w:jc w:val="center"/>
              <w:rPr>
                <w:rFonts w:eastAsia="Calibri"/>
                <w:b/>
                <w:bCs/>
                <w:sz w:val="22"/>
                <w:szCs w:val="22"/>
                <w:lang w:val="en-GB"/>
              </w:rPr>
            </w:pPr>
            <w:proofErr w:type="spellStart"/>
            <w:r>
              <w:rPr>
                <w:rFonts w:eastAsia="Calibri"/>
                <w:b/>
                <w:bCs/>
                <w:sz w:val="22"/>
                <w:szCs w:val="22"/>
                <w:lang w:val="en-GB"/>
              </w:rPr>
              <w:t>Gennemsnitlig</w:t>
            </w:r>
            <w:proofErr w:type="spellEnd"/>
            <w:r>
              <w:rPr>
                <w:rFonts w:eastAsia="Calibri"/>
                <w:b/>
                <w:bCs/>
                <w:sz w:val="22"/>
                <w:szCs w:val="22"/>
                <w:lang w:val="en-GB"/>
              </w:rPr>
              <w:t xml:space="preserve"> </w:t>
            </w:r>
            <w:r>
              <w:rPr>
                <w:rFonts w:eastAsia="Calibri"/>
                <w:b/>
                <w:bCs/>
                <w:i/>
                <w:iCs/>
                <w:sz w:val="22"/>
                <w:szCs w:val="22"/>
                <w:lang w:val="en-GB"/>
              </w:rPr>
              <w:t>baseline</w:t>
            </w:r>
            <w:r>
              <w:rPr>
                <w:rFonts w:eastAsia="Calibri"/>
                <w:b/>
                <w:bCs/>
                <w:sz w:val="22"/>
                <w:szCs w:val="22"/>
                <w:lang w:val="en-GB"/>
              </w:rPr>
              <w:t xml:space="preserve"> HbA</w:t>
            </w:r>
            <w:r>
              <w:rPr>
                <w:rFonts w:eastAsia="Calibri"/>
                <w:b/>
                <w:bCs/>
                <w:sz w:val="22"/>
                <w:szCs w:val="22"/>
                <w:vertAlign w:val="subscript"/>
                <w:lang w:val="en-GB"/>
              </w:rPr>
              <w:t>1c</w:t>
            </w:r>
            <w:r>
              <w:rPr>
                <w:rFonts w:eastAsia="Calibri"/>
                <w:b/>
                <w:bCs/>
                <w:sz w:val="22"/>
                <w:szCs w:val="22"/>
                <w:lang w:val="en-GB"/>
              </w:rPr>
              <w:t xml:space="preserve"> </w:t>
            </w:r>
            <w:proofErr w:type="gramStart"/>
            <w:r>
              <w:rPr>
                <w:rFonts w:eastAsia="Calibri"/>
                <w:b/>
                <w:bCs/>
                <w:sz w:val="22"/>
                <w:szCs w:val="22"/>
                <w:lang w:val="en-GB"/>
              </w:rPr>
              <w:t>( %</w:t>
            </w:r>
            <w:proofErr w:type="gramEnd"/>
            <w:r>
              <w:rPr>
                <w:rFonts w:eastAsia="Calibri"/>
                <w:b/>
                <w:bCs/>
                <w:sz w:val="22"/>
                <w:szCs w:val="22"/>
                <w:lang w:val="en-GB"/>
              </w:rPr>
              <w:t>)</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E03031D" w14:textId="77777777" w:rsidR="00DD5979" w:rsidRPr="006F1FB6" w:rsidRDefault="00DD5979" w:rsidP="00854197">
            <w:pPr>
              <w:widowControl w:val="0"/>
              <w:jc w:val="center"/>
              <w:rPr>
                <w:rFonts w:eastAsia="Calibri"/>
                <w:b/>
                <w:bCs/>
                <w:sz w:val="22"/>
                <w:szCs w:val="22"/>
              </w:rPr>
            </w:pPr>
            <w:r w:rsidRPr="006F1FB6">
              <w:rPr>
                <w:rFonts w:eastAsia="Calibri"/>
                <w:b/>
                <w:bCs/>
                <w:sz w:val="22"/>
                <w:szCs w:val="22"/>
              </w:rPr>
              <w:t xml:space="preserve">Gennemsnitlig ændring fra </w:t>
            </w:r>
            <w:r w:rsidRPr="006F1FB6">
              <w:rPr>
                <w:rFonts w:eastAsia="Calibri"/>
                <w:b/>
                <w:bCs/>
                <w:i/>
                <w:iCs/>
                <w:sz w:val="22"/>
                <w:szCs w:val="22"/>
              </w:rPr>
              <w:t>baseline</w:t>
            </w:r>
          </w:p>
          <w:p w14:paraId="649B3C2F" w14:textId="77777777" w:rsidR="00DD5979" w:rsidRPr="006F1FB6" w:rsidRDefault="00DD5979" w:rsidP="00854197">
            <w:pPr>
              <w:widowControl w:val="0"/>
              <w:jc w:val="center"/>
              <w:rPr>
                <w:rFonts w:eastAsia="Calibri"/>
                <w:sz w:val="22"/>
                <w:szCs w:val="22"/>
                <w:vertAlign w:val="superscript"/>
              </w:rPr>
            </w:pPr>
            <w:r w:rsidRPr="006F1FB6">
              <w:rPr>
                <w:rFonts w:eastAsia="Calibri"/>
                <w:b/>
                <w:bCs/>
                <w:sz w:val="22"/>
                <w:szCs w:val="22"/>
              </w:rPr>
              <w:t>HbA</w:t>
            </w:r>
            <w:r w:rsidRPr="006F1FB6">
              <w:rPr>
                <w:rFonts w:eastAsia="Calibri"/>
                <w:b/>
                <w:bCs/>
                <w:sz w:val="22"/>
                <w:szCs w:val="22"/>
                <w:vertAlign w:val="subscript"/>
              </w:rPr>
              <w:t>1c</w:t>
            </w:r>
            <w:r w:rsidRPr="006F1FB6">
              <w:rPr>
                <w:rFonts w:eastAsia="Calibri"/>
                <w:b/>
                <w:bCs/>
                <w:sz w:val="22"/>
                <w:szCs w:val="22"/>
              </w:rPr>
              <w:t xml:space="preserve"> </w:t>
            </w:r>
            <w:proofErr w:type="gramStart"/>
            <w:r w:rsidRPr="006F1FB6">
              <w:rPr>
                <w:rFonts w:eastAsia="Calibri"/>
                <w:b/>
                <w:bCs/>
                <w:sz w:val="22"/>
                <w:szCs w:val="22"/>
              </w:rPr>
              <w:t>(</w:t>
            </w:r>
            <w:r>
              <w:rPr>
                <w:rFonts w:eastAsia="Calibri"/>
                <w:b/>
                <w:bCs/>
                <w:sz w:val="22"/>
                <w:szCs w:val="22"/>
              </w:rPr>
              <w:t xml:space="preserve"> %</w:t>
            </w:r>
            <w:proofErr w:type="gramEnd"/>
            <w:r w:rsidRPr="006F1FB6">
              <w:rPr>
                <w:rFonts w:eastAsia="Calibri"/>
                <w:b/>
                <w:bCs/>
                <w:sz w:val="22"/>
                <w:szCs w:val="22"/>
              </w:rPr>
              <w:t>)</w:t>
            </w:r>
            <w:r w:rsidRPr="006F1FB6">
              <w:rPr>
                <w:rFonts w:eastAsia="Calibri"/>
                <w:b/>
                <w:bCs/>
                <w:sz w:val="22"/>
                <w:szCs w:val="22"/>
                <w:vertAlign w:val="superscript"/>
              </w:rPr>
              <w:t>†</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260D04F" w14:textId="77777777" w:rsidR="00DD5979" w:rsidRPr="006F1FB6" w:rsidRDefault="00DD5979" w:rsidP="00854197">
            <w:pPr>
              <w:widowControl w:val="0"/>
              <w:jc w:val="center"/>
              <w:rPr>
                <w:rFonts w:eastAsia="Calibri"/>
                <w:b/>
                <w:bCs/>
                <w:sz w:val="22"/>
                <w:szCs w:val="22"/>
              </w:rPr>
            </w:pPr>
            <w:r w:rsidRPr="006F1FB6">
              <w:rPr>
                <w:rFonts w:eastAsia="Calibri"/>
                <w:b/>
                <w:bCs/>
                <w:sz w:val="22"/>
                <w:szCs w:val="22"/>
              </w:rPr>
              <w:t>Placebokorrigeret gennemsnitlig ændring</w:t>
            </w:r>
          </w:p>
          <w:p w14:paraId="47243C7E" w14:textId="77777777" w:rsidR="00DD5979" w:rsidRPr="006F1FB6" w:rsidRDefault="00DD5979" w:rsidP="00854197">
            <w:pPr>
              <w:widowControl w:val="0"/>
              <w:jc w:val="center"/>
              <w:rPr>
                <w:rFonts w:eastAsia="Calibri"/>
                <w:b/>
                <w:bCs/>
                <w:sz w:val="22"/>
                <w:szCs w:val="22"/>
              </w:rPr>
            </w:pPr>
            <w:r w:rsidRPr="006F1FB6">
              <w:rPr>
                <w:rFonts w:eastAsia="Calibri"/>
                <w:b/>
                <w:bCs/>
                <w:sz w:val="22"/>
                <w:szCs w:val="22"/>
              </w:rPr>
              <w:t>i HbA</w:t>
            </w:r>
            <w:r w:rsidRPr="006F1FB6">
              <w:rPr>
                <w:rFonts w:eastAsia="Calibri"/>
                <w:b/>
                <w:bCs/>
                <w:sz w:val="22"/>
                <w:szCs w:val="22"/>
                <w:vertAlign w:val="subscript"/>
              </w:rPr>
              <w:t>1c</w:t>
            </w:r>
            <w:r w:rsidRPr="006F1FB6">
              <w:rPr>
                <w:rFonts w:eastAsia="Calibri"/>
                <w:b/>
                <w:bCs/>
                <w:sz w:val="22"/>
                <w:szCs w:val="22"/>
              </w:rPr>
              <w:t xml:space="preserve"> </w:t>
            </w:r>
            <w:proofErr w:type="gramStart"/>
            <w:r w:rsidRPr="006F1FB6">
              <w:rPr>
                <w:rFonts w:eastAsia="Calibri"/>
                <w:b/>
                <w:bCs/>
                <w:sz w:val="22"/>
                <w:szCs w:val="22"/>
              </w:rPr>
              <w:t>(</w:t>
            </w:r>
            <w:r>
              <w:rPr>
                <w:rFonts w:eastAsia="Calibri"/>
                <w:b/>
                <w:bCs/>
                <w:sz w:val="22"/>
                <w:szCs w:val="22"/>
              </w:rPr>
              <w:t xml:space="preserve"> %</w:t>
            </w:r>
            <w:proofErr w:type="gramEnd"/>
            <w:r w:rsidRPr="006F1FB6">
              <w:rPr>
                <w:rFonts w:eastAsia="Calibri"/>
                <w:b/>
                <w:bCs/>
                <w:sz w:val="22"/>
                <w:szCs w:val="22"/>
              </w:rPr>
              <w:t>)</w:t>
            </w:r>
            <w:r w:rsidRPr="006F1FB6">
              <w:rPr>
                <w:rFonts w:eastAsia="Calibri"/>
                <w:b/>
                <w:bCs/>
                <w:sz w:val="22"/>
                <w:szCs w:val="22"/>
                <w:vertAlign w:val="superscript"/>
              </w:rPr>
              <w:t>†</w:t>
            </w:r>
          </w:p>
          <w:p w14:paraId="543186CA" w14:textId="77777777" w:rsidR="00DD5979" w:rsidRDefault="00DD5979" w:rsidP="00854197">
            <w:pPr>
              <w:widowControl w:val="0"/>
              <w:jc w:val="center"/>
              <w:rPr>
                <w:rFonts w:eastAsia="Calibri"/>
                <w:sz w:val="22"/>
                <w:szCs w:val="22"/>
                <w:vertAlign w:val="superscript"/>
                <w:lang w:val="en-GB"/>
              </w:rPr>
            </w:pPr>
            <w:r>
              <w:rPr>
                <w:rFonts w:eastAsia="Calibri"/>
                <w:b/>
                <w:bCs/>
                <w:sz w:val="22"/>
                <w:szCs w:val="22"/>
                <w:lang w:val="en-GB"/>
              </w:rPr>
              <w:t>(95 % CI)</w:t>
            </w:r>
          </w:p>
        </w:tc>
      </w:tr>
      <w:tr w:rsidR="00DD5979" w14:paraId="2B371770" w14:textId="77777777" w:rsidTr="00854197">
        <w:tc>
          <w:tcPr>
            <w:tcW w:w="8936" w:type="dxa"/>
            <w:gridSpan w:val="4"/>
            <w:tcBorders>
              <w:top w:val="single" w:sz="4" w:space="0" w:color="auto"/>
              <w:left w:val="single" w:sz="4" w:space="0" w:color="auto"/>
              <w:bottom w:val="single" w:sz="4" w:space="0" w:color="auto"/>
              <w:right w:val="single" w:sz="4" w:space="0" w:color="auto"/>
            </w:tcBorders>
            <w:hideMark/>
          </w:tcPr>
          <w:p w14:paraId="03F3635A" w14:textId="77777777" w:rsidR="00DD5979" w:rsidRDefault="00DD5979" w:rsidP="00854197">
            <w:pPr>
              <w:widowControl w:val="0"/>
              <w:rPr>
                <w:rFonts w:eastAsia="Calibri"/>
                <w:b/>
                <w:bCs/>
                <w:sz w:val="22"/>
                <w:szCs w:val="22"/>
                <w:lang w:val="en-GB"/>
              </w:rPr>
            </w:pPr>
            <w:proofErr w:type="spellStart"/>
            <w:r>
              <w:rPr>
                <w:rFonts w:eastAsia="Calibri"/>
                <w:b/>
                <w:bCs/>
                <w:sz w:val="22"/>
                <w:szCs w:val="22"/>
                <w:lang w:val="en-GB"/>
              </w:rPr>
              <w:t>Monoterapiundersøgelser</w:t>
            </w:r>
            <w:proofErr w:type="spellEnd"/>
          </w:p>
        </w:tc>
      </w:tr>
      <w:tr w:rsidR="00DD5979" w14:paraId="0051F589"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7B8AEFD0" w14:textId="77777777" w:rsidR="00DD5979" w:rsidRPr="006F1FB6" w:rsidRDefault="00DD5979" w:rsidP="00854197">
            <w:pPr>
              <w:widowControl w:val="0"/>
              <w:rPr>
                <w:rFonts w:eastAsia="Calibri"/>
                <w:sz w:val="22"/>
                <w:szCs w:val="22"/>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vertAlign w:val="superscript"/>
              </w:rPr>
              <w:t>§</w:t>
            </w:r>
          </w:p>
          <w:p w14:paraId="1C1EED62" w14:textId="77777777" w:rsidR="00DD5979" w:rsidRDefault="00DD5979" w:rsidP="00854197">
            <w:pPr>
              <w:widowControl w:val="0"/>
              <w:rPr>
                <w:rFonts w:eastAsia="Calibri"/>
                <w:sz w:val="22"/>
                <w:szCs w:val="22"/>
                <w:lang w:val="en-GB"/>
              </w:rPr>
            </w:pPr>
            <w:r>
              <w:rPr>
                <w:rFonts w:eastAsia="Calibri"/>
                <w:sz w:val="22"/>
                <w:szCs w:val="22"/>
                <w:lang w:val="en-GB"/>
              </w:rPr>
              <w:t>(N=193)</w:t>
            </w:r>
          </w:p>
        </w:tc>
        <w:tc>
          <w:tcPr>
            <w:tcW w:w="2089" w:type="dxa"/>
            <w:tcBorders>
              <w:top w:val="single" w:sz="4" w:space="0" w:color="auto"/>
              <w:left w:val="single" w:sz="4" w:space="0" w:color="auto"/>
              <w:bottom w:val="single" w:sz="4" w:space="0" w:color="auto"/>
              <w:right w:val="single" w:sz="4" w:space="0" w:color="auto"/>
            </w:tcBorders>
            <w:vAlign w:val="center"/>
            <w:hideMark/>
          </w:tcPr>
          <w:p w14:paraId="698594F4" w14:textId="77777777" w:rsidR="00DD5979" w:rsidRDefault="00DD5979" w:rsidP="00854197">
            <w:pPr>
              <w:widowControl w:val="0"/>
              <w:jc w:val="center"/>
              <w:rPr>
                <w:rFonts w:eastAsia="Calibri"/>
                <w:sz w:val="22"/>
                <w:szCs w:val="22"/>
                <w:lang w:val="en-GB"/>
              </w:rPr>
            </w:pPr>
            <w:r>
              <w:rPr>
                <w:rFonts w:eastAsia="Calibri"/>
                <w:sz w:val="22"/>
                <w:szCs w:val="22"/>
                <w:lang w:val="en-GB"/>
              </w:rPr>
              <w:t>8,0</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4B03200" w14:textId="77777777" w:rsidR="00DD5979" w:rsidRDefault="00DD5979" w:rsidP="00854197">
            <w:pPr>
              <w:widowControl w:val="0"/>
              <w:jc w:val="center"/>
              <w:rPr>
                <w:rFonts w:eastAsia="Calibri"/>
                <w:sz w:val="22"/>
                <w:szCs w:val="22"/>
                <w:lang w:val="en-GB"/>
              </w:rPr>
            </w:pPr>
            <w:r>
              <w:rPr>
                <w:rFonts w:eastAsia="Calibri"/>
                <w:sz w:val="22"/>
                <w:szCs w:val="22"/>
                <w:lang w:val="en-GB"/>
              </w:rPr>
              <w:t>-0,5</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67B1047" w14:textId="77777777" w:rsidR="00DD5979" w:rsidRDefault="00DD5979" w:rsidP="00854197">
            <w:pPr>
              <w:widowControl w:val="0"/>
              <w:jc w:val="center"/>
              <w:rPr>
                <w:rFonts w:eastAsia="Calibri"/>
                <w:sz w:val="22"/>
                <w:szCs w:val="22"/>
                <w:vertAlign w:val="superscript"/>
                <w:lang w:val="en-GB"/>
              </w:rPr>
            </w:pPr>
            <w:r>
              <w:rPr>
                <w:rFonts w:eastAsia="Calibri"/>
                <w:sz w:val="22"/>
                <w:szCs w:val="22"/>
                <w:lang w:val="en-GB"/>
              </w:rPr>
              <w:t>-0,6</w:t>
            </w:r>
            <w:r>
              <w:rPr>
                <w:rFonts w:eastAsia="Calibri"/>
                <w:sz w:val="22"/>
                <w:szCs w:val="22"/>
                <w:vertAlign w:val="superscript"/>
                <w:lang w:val="en-GB"/>
              </w:rPr>
              <w:t>‡</w:t>
            </w:r>
          </w:p>
          <w:p w14:paraId="2A2C4B50" w14:textId="77777777" w:rsidR="00DD5979" w:rsidRDefault="00DD5979" w:rsidP="00854197">
            <w:pPr>
              <w:widowControl w:val="0"/>
              <w:jc w:val="center"/>
              <w:rPr>
                <w:rFonts w:eastAsia="Calibri"/>
                <w:sz w:val="22"/>
                <w:szCs w:val="22"/>
                <w:lang w:val="en-GB"/>
              </w:rPr>
            </w:pPr>
            <w:r>
              <w:rPr>
                <w:rFonts w:eastAsia="Calibri"/>
                <w:sz w:val="22"/>
                <w:szCs w:val="22"/>
                <w:lang w:val="en-GB"/>
              </w:rPr>
              <w:t>(-0,8; -0,4)</w:t>
            </w:r>
          </w:p>
        </w:tc>
      </w:tr>
      <w:tr w:rsidR="00DD5979" w14:paraId="20DDC003"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63454875" w14:textId="77777777" w:rsidR="00DD5979" w:rsidRPr="006F1FB6" w:rsidRDefault="00DD5979" w:rsidP="00854197">
            <w:pPr>
              <w:widowControl w:val="0"/>
              <w:rPr>
                <w:rFonts w:eastAsia="Calibri"/>
                <w:sz w:val="22"/>
                <w:szCs w:val="22"/>
                <w:vertAlign w:val="superscript"/>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rPr>
              <w:t xml:space="preserve"> (N=229)</w:t>
            </w:r>
          </w:p>
        </w:tc>
        <w:tc>
          <w:tcPr>
            <w:tcW w:w="2089" w:type="dxa"/>
            <w:tcBorders>
              <w:top w:val="single" w:sz="4" w:space="0" w:color="auto"/>
              <w:left w:val="single" w:sz="4" w:space="0" w:color="auto"/>
              <w:bottom w:val="single" w:sz="4" w:space="0" w:color="auto"/>
              <w:right w:val="single" w:sz="4" w:space="0" w:color="auto"/>
            </w:tcBorders>
            <w:vAlign w:val="center"/>
            <w:hideMark/>
          </w:tcPr>
          <w:p w14:paraId="73F9997A" w14:textId="77777777" w:rsidR="00DD5979" w:rsidRDefault="00DD5979" w:rsidP="00854197">
            <w:pPr>
              <w:widowControl w:val="0"/>
              <w:jc w:val="center"/>
              <w:rPr>
                <w:rFonts w:eastAsia="Calibri"/>
                <w:sz w:val="22"/>
                <w:szCs w:val="22"/>
                <w:lang w:val="en-GB"/>
              </w:rPr>
            </w:pPr>
            <w:r>
              <w:rPr>
                <w:rFonts w:eastAsia="Calibri"/>
                <w:sz w:val="22"/>
                <w:szCs w:val="22"/>
                <w:lang w:val="en-GB"/>
              </w:rPr>
              <w:t>8,0</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981D7E7" w14:textId="77777777" w:rsidR="00DD5979" w:rsidRDefault="00DD5979" w:rsidP="00854197">
            <w:pPr>
              <w:widowControl w:val="0"/>
              <w:jc w:val="center"/>
              <w:rPr>
                <w:rFonts w:eastAsia="Calibri"/>
                <w:sz w:val="22"/>
                <w:szCs w:val="22"/>
                <w:lang w:val="en-GB"/>
              </w:rPr>
            </w:pPr>
            <w:r>
              <w:rPr>
                <w:rFonts w:eastAsia="Calibri"/>
                <w:sz w:val="22"/>
                <w:szCs w:val="22"/>
                <w:lang w:val="en-GB"/>
              </w:rPr>
              <w:t>-0,6</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544990E" w14:textId="77777777" w:rsidR="00DD5979" w:rsidRDefault="00DD5979" w:rsidP="00854197">
            <w:pPr>
              <w:widowControl w:val="0"/>
              <w:jc w:val="center"/>
              <w:rPr>
                <w:rFonts w:eastAsia="Calibri"/>
                <w:sz w:val="22"/>
                <w:szCs w:val="22"/>
                <w:vertAlign w:val="superscript"/>
                <w:lang w:val="en-GB"/>
              </w:rPr>
            </w:pPr>
            <w:r>
              <w:rPr>
                <w:rFonts w:eastAsia="Calibri"/>
                <w:sz w:val="22"/>
                <w:szCs w:val="22"/>
                <w:lang w:val="en-GB"/>
              </w:rPr>
              <w:t>-0,8</w:t>
            </w:r>
            <w:r>
              <w:rPr>
                <w:rFonts w:eastAsia="Calibri"/>
                <w:sz w:val="22"/>
                <w:szCs w:val="22"/>
                <w:vertAlign w:val="superscript"/>
                <w:lang w:val="en-GB"/>
              </w:rPr>
              <w:t>‡</w:t>
            </w:r>
          </w:p>
          <w:p w14:paraId="03B0634A" w14:textId="77777777" w:rsidR="00DD5979" w:rsidRDefault="00DD5979" w:rsidP="00854197">
            <w:pPr>
              <w:widowControl w:val="0"/>
              <w:jc w:val="center"/>
              <w:rPr>
                <w:rFonts w:eastAsia="Calibri"/>
                <w:sz w:val="22"/>
                <w:szCs w:val="22"/>
                <w:lang w:val="en-GB"/>
              </w:rPr>
            </w:pPr>
            <w:r>
              <w:rPr>
                <w:rFonts w:eastAsia="Calibri"/>
                <w:sz w:val="22"/>
                <w:szCs w:val="22"/>
                <w:lang w:val="en-GB"/>
              </w:rPr>
              <w:t>(-1,0, -0,6)</w:t>
            </w:r>
          </w:p>
        </w:tc>
      </w:tr>
      <w:tr w:rsidR="00DD5979" w14:paraId="2A62D814" w14:textId="77777777" w:rsidTr="00854197">
        <w:tc>
          <w:tcPr>
            <w:tcW w:w="8936" w:type="dxa"/>
            <w:gridSpan w:val="4"/>
            <w:tcBorders>
              <w:top w:val="single" w:sz="4" w:space="0" w:color="auto"/>
              <w:left w:val="single" w:sz="4" w:space="0" w:color="auto"/>
              <w:bottom w:val="single" w:sz="4" w:space="0" w:color="auto"/>
              <w:right w:val="single" w:sz="4" w:space="0" w:color="auto"/>
            </w:tcBorders>
            <w:vAlign w:val="center"/>
            <w:hideMark/>
          </w:tcPr>
          <w:p w14:paraId="761BFA6B" w14:textId="77777777" w:rsidR="00DD5979" w:rsidRDefault="00DD5979" w:rsidP="00854197">
            <w:pPr>
              <w:widowControl w:val="0"/>
              <w:rPr>
                <w:rFonts w:eastAsia="Calibri"/>
                <w:b/>
                <w:bCs/>
                <w:sz w:val="22"/>
                <w:szCs w:val="22"/>
                <w:lang w:val="en-GB"/>
              </w:rPr>
            </w:pPr>
            <w:proofErr w:type="spellStart"/>
            <w:r>
              <w:rPr>
                <w:rFonts w:eastAsia="Calibri"/>
                <w:b/>
                <w:bCs/>
                <w:sz w:val="22"/>
                <w:szCs w:val="22"/>
                <w:lang w:val="en-GB"/>
              </w:rPr>
              <w:t>Kombinationsterapiundersøgelser</w:t>
            </w:r>
            <w:proofErr w:type="spellEnd"/>
          </w:p>
        </w:tc>
      </w:tr>
      <w:tr w:rsidR="00DD5979" w14:paraId="238119D5"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2D083ED3" w14:textId="77777777" w:rsidR="00DD5979" w:rsidRPr="006F1FB6" w:rsidRDefault="00DD5979" w:rsidP="00854197">
            <w:pPr>
              <w:widowControl w:val="0"/>
              <w:rPr>
                <w:rFonts w:eastAsia="Calibri"/>
                <w:sz w:val="22"/>
                <w:szCs w:val="22"/>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w:t>
            </w:r>
            <w:proofErr w:type="spellStart"/>
            <w:r w:rsidRPr="006F1FB6">
              <w:rPr>
                <w:rFonts w:eastAsia="Calibri"/>
                <w:sz w:val="22"/>
                <w:szCs w:val="22"/>
              </w:rPr>
              <w:t>metforminbehandling</w:t>
            </w:r>
            <w:proofErr w:type="spellEnd"/>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vertAlign w:val="superscript"/>
              </w:rPr>
              <w:t xml:space="preserve"> </w:t>
            </w:r>
            <w:r w:rsidRPr="006F1FB6">
              <w:rPr>
                <w:rFonts w:eastAsia="Calibri"/>
                <w:sz w:val="22"/>
                <w:szCs w:val="22"/>
              </w:rPr>
              <w:t>(N=453)</w:t>
            </w:r>
          </w:p>
        </w:tc>
        <w:tc>
          <w:tcPr>
            <w:tcW w:w="2089" w:type="dxa"/>
            <w:tcBorders>
              <w:top w:val="single" w:sz="4" w:space="0" w:color="auto"/>
              <w:left w:val="single" w:sz="4" w:space="0" w:color="auto"/>
              <w:bottom w:val="single" w:sz="4" w:space="0" w:color="auto"/>
              <w:right w:val="single" w:sz="4" w:space="0" w:color="auto"/>
            </w:tcBorders>
            <w:vAlign w:val="center"/>
            <w:hideMark/>
          </w:tcPr>
          <w:p w14:paraId="305EEA0A" w14:textId="77777777" w:rsidR="00DD5979" w:rsidRDefault="00DD5979" w:rsidP="00854197">
            <w:pPr>
              <w:widowControl w:val="0"/>
              <w:jc w:val="center"/>
              <w:rPr>
                <w:rFonts w:eastAsia="Calibri"/>
                <w:sz w:val="22"/>
                <w:szCs w:val="22"/>
                <w:lang w:val="en-GB"/>
              </w:rPr>
            </w:pPr>
            <w:r>
              <w:rPr>
                <w:rFonts w:eastAsia="Calibri"/>
                <w:sz w:val="22"/>
                <w:szCs w:val="22"/>
                <w:lang w:val="en-GB"/>
              </w:rPr>
              <w:t>8,0</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4453CC0" w14:textId="77777777" w:rsidR="00DD5979" w:rsidRDefault="00DD5979" w:rsidP="00854197">
            <w:pPr>
              <w:widowControl w:val="0"/>
              <w:jc w:val="center"/>
              <w:rPr>
                <w:rFonts w:eastAsia="Calibri"/>
                <w:sz w:val="22"/>
                <w:szCs w:val="22"/>
                <w:lang w:val="en-GB"/>
              </w:rPr>
            </w:pPr>
            <w:r>
              <w:rPr>
                <w:rFonts w:eastAsia="Calibri"/>
                <w:sz w:val="22"/>
                <w:szCs w:val="22"/>
                <w:lang w:val="en-GB"/>
              </w:rPr>
              <w:t>-0,7</w:t>
            </w:r>
          </w:p>
        </w:tc>
        <w:tc>
          <w:tcPr>
            <w:tcW w:w="2579" w:type="dxa"/>
            <w:tcBorders>
              <w:top w:val="single" w:sz="4" w:space="0" w:color="auto"/>
              <w:left w:val="single" w:sz="4" w:space="0" w:color="auto"/>
              <w:bottom w:val="single" w:sz="4" w:space="0" w:color="auto"/>
              <w:right w:val="single" w:sz="4" w:space="0" w:color="auto"/>
            </w:tcBorders>
            <w:vAlign w:val="center"/>
            <w:hideMark/>
          </w:tcPr>
          <w:p w14:paraId="2F3877A7"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-0,7</w:t>
            </w:r>
            <w:r>
              <w:rPr>
                <w:rFonts w:ascii="Times New Roman" w:hAnsi="Times New Roman"/>
                <w:vertAlign w:val="superscript"/>
                <w:lang w:val="en-GB"/>
              </w:rPr>
              <w:t>‡</w:t>
            </w:r>
          </w:p>
          <w:p w14:paraId="24531CB5"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(-0,8; -0,5)</w:t>
            </w:r>
          </w:p>
        </w:tc>
      </w:tr>
      <w:tr w:rsidR="00DD5979" w14:paraId="2C7FC5BB"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2AC8BE32" w14:textId="77777777" w:rsidR="00DD5979" w:rsidRPr="006F1FB6" w:rsidRDefault="00DD5979" w:rsidP="00854197">
            <w:pPr>
              <w:widowControl w:val="0"/>
              <w:rPr>
                <w:rFonts w:eastAsia="Calibri"/>
                <w:sz w:val="22"/>
                <w:szCs w:val="22"/>
                <w:vertAlign w:val="superscript"/>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w:t>
            </w:r>
            <w:proofErr w:type="spellStart"/>
            <w:r w:rsidRPr="006F1FB6">
              <w:rPr>
                <w:rFonts w:eastAsia="Calibri"/>
                <w:sz w:val="22"/>
                <w:szCs w:val="22"/>
              </w:rPr>
              <w:t>pioglitazonbehandling</w:t>
            </w:r>
            <w:proofErr w:type="spellEnd"/>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vertAlign w:val="superscript"/>
              </w:rPr>
              <w:t xml:space="preserve"> </w:t>
            </w:r>
            <w:r w:rsidRPr="006F1FB6">
              <w:rPr>
                <w:rFonts w:eastAsia="Calibri"/>
                <w:sz w:val="22"/>
                <w:szCs w:val="22"/>
              </w:rPr>
              <w:t>(N=163)</w:t>
            </w:r>
          </w:p>
        </w:tc>
        <w:tc>
          <w:tcPr>
            <w:tcW w:w="2089" w:type="dxa"/>
            <w:tcBorders>
              <w:top w:val="single" w:sz="4" w:space="0" w:color="auto"/>
              <w:left w:val="single" w:sz="4" w:space="0" w:color="auto"/>
              <w:bottom w:val="single" w:sz="4" w:space="0" w:color="auto"/>
              <w:right w:val="single" w:sz="4" w:space="0" w:color="auto"/>
            </w:tcBorders>
            <w:vAlign w:val="center"/>
            <w:hideMark/>
          </w:tcPr>
          <w:p w14:paraId="72355861" w14:textId="77777777" w:rsidR="00DD5979" w:rsidRDefault="00DD5979" w:rsidP="00854197">
            <w:pPr>
              <w:widowControl w:val="0"/>
              <w:jc w:val="center"/>
              <w:rPr>
                <w:rFonts w:eastAsia="Calibri"/>
                <w:sz w:val="22"/>
                <w:szCs w:val="22"/>
                <w:lang w:val="en-GB"/>
              </w:rPr>
            </w:pPr>
            <w:r>
              <w:rPr>
                <w:rFonts w:eastAsia="Calibri"/>
                <w:sz w:val="22"/>
                <w:szCs w:val="22"/>
                <w:lang w:val="en-GB"/>
              </w:rPr>
              <w:t>8,1</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38C87BD" w14:textId="77777777" w:rsidR="00DD5979" w:rsidRDefault="00DD5979" w:rsidP="00854197">
            <w:pPr>
              <w:widowControl w:val="0"/>
              <w:jc w:val="center"/>
              <w:rPr>
                <w:rFonts w:eastAsia="Calibri"/>
                <w:sz w:val="22"/>
                <w:szCs w:val="22"/>
                <w:lang w:val="en-GB"/>
              </w:rPr>
            </w:pPr>
            <w:r>
              <w:rPr>
                <w:rFonts w:eastAsia="Calibri"/>
                <w:sz w:val="22"/>
                <w:szCs w:val="22"/>
                <w:lang w:val="en-GB"/>
              </w:rPr>
              <w:t>-0,9</w:t>
            </w:r>
          </w:p>
        </w:tc>
        <w:tc>
          <w:tcPr>
            <w:tcW w:w="2579" w:type="dxa"/>
            <w:tcBorders>
              <w:top w:val="single" w:sz="4" w:space="0" w:color="auto"/>
              <w:left w:val="single" w:sz="4" w:space="0" w:color="auto"/>
              <w:bottom w:val="single" w:sz="4" w:space="0" w:color="auto"/>
              <w:right w:val="single" w:sz="4" w:space="0" w:color="auto"/>
            </w:tcBorders>
            <w:vAlign w:val="center"/>
            <w:hideMark/>
          </w:tcPr>
          <w:p w14:paraId="414012EF"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-0,7</w:t>
            </w:r>
            <w:r>
              <w:rPr>
                <w:rFonts w:ascii="Times New Roman" w:hAnsi="Times New Roman"/>
                <w:vertAlign w:val="superscript"/>
                <w:lang w:val="en-GB"/>
              </w:rPr>
              <w:t>‡</w:t>
            </w:r>
          </w:p>
          <w:p w14:paraId="52233A48"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(-0,9; -0,5)</w:t>
            </w:r>
          </w:p>
        </w:tc>
      </w:tr>
      <w:tr w:rsidR="00DD5979" w14:paraId="00AB9E97"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3CD16E27" w14:textId="77777777" w:rsidR="00DD5979" w:rsidRPr="006F1FB6" w:rsidRDefault="00DD5979" w:rsidP="00854197">
            <w:pPr>
              <w:widowControl w:val="0"/>
              <w:rPr>
                <w:rFonts w:eastAsia="Calibri"/>
                <w:sz w:val="22"/>
                <w:szCs w:val="22"/>
                <w:vertAlign w:val="superscript"/>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w:t>
            </w:r>
            <w:proofErr w:type="spellStart"/>
            <w:r w:rsidRPr="006F1FB6">
              <w:rPr>
                <w:rFonts w:eastAsia="Calibri"/>
                <w:sz w:val="22"/>
                <w:szCs w:val="22"/>
              </w:rPr>
              <w:t>glimepiridbehandling</w:t>
            </w:r>
            <w:proofErr w:type="spellEnd"/>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vertAlign w:val="superscript"/>
              </w:rPr>
              <w:t xml:space="preserve"> </w:t>
            </w:r>
            <w:r w:rsidRPr="006F1FB6">
              <w:rPr>
                <w:rFonts w:eastAsia="Calibri"/>
                <w:sz w:val="22"/>
                <w:szCs w:val="22"/>
              </w:rPr>
              <w:t>(N=102)</w:t>
            </w:r>
          </w:p>
        </w:tc>
        <w:tc>
          <w:tcPr>
            <w:tcW w:w="2089" w:type="dxa"/>
            <w:tcBorders>
              <w:top w:val="single" w:sz="4" w:space="0" w:color="auto"/>
              <w:left w:val="single" w:sz="4" w:space="0" w:color="auto"/>
              <w:bottom w:val="single" w:sz="4" w:space="0" w:color="auto"/>
              <w:right w:val="single" w:sz="4" w:space="0" w:color="auto"/>
            </w:tcBorders>
            <w:vAlign w:val="center"/>
            <w:hideMark/>
          </w:tcPr>
          <w:p w14:paraId="497B9221" w14:textId="77777777" w:rsidR="00DD5979" w:rsidRDefault="00DD5979" w:rsidP="00854197">
            <w:pPr>
              <w:widowControl w:val="0"/>
              <w:jc w:val="center"/>
              <w:rPr>
                <w:rFonts w:eastAsia="Calibri"/>
                <w:sz w:val="22"/>
                <w:szCs w:val="22"/>
                <w:lang w:val="en-GB"/>
              </w:rPr>
            </w:pPr>
            <w:r>
              <w:rPr>
                <w:rFonts w:eastAsia="Calibri"/>
                <w:sz w:val="22"/>
                <w:szCs w:val="22"/>
                <w:lang w:val="en-GB"/>
              </w:rPr>
              <w:t>8,4</w:t>
            </w:r>
          </w:p>
        </w:tc>
        <w:tc>
          <w:tcPr>
            <w:tcW w:w="1994" w:type="dxa"/>
            <w:tcBorders>
              <w:top w:val="single" w:sz="4" w:space="0" w:color="auto"/>
              <w:left w:val="single" w:sz="4" w:space="0" w:color="auto"/>
              <w:bottom w:val="single" w:sz="4" w:space="0" w:color="auto"/>
              <w:right w:val="single" w:sz="4" w:space="0" w:color="auto"/>
            </w:tcBorders>
            <w:vAlign w:val="center"/>
            <w:hideMark/>
          </w:tcPr>
          <w:p w14:paraId="24A1CC2A" w14:textId="77777777" w:rsidR="00DD5979" w:rsidRDefault="00DD5979" w:rsidP="00854197">
            <w:pPr>
              <w:widowControl w:val="0"/>
              <w:jc w:val="center"/>
              <w:rPr>
                <w:rFonts w:eastAsia="Calibri"/>
                <w:sz w:val="22"/>
                <w:szCs w:val="22"/>
                <w:lang w:val="en-GB"/>
              </w:rPr>
            </w:pPr>
            <w:r>
              <w:rPr>
                <w:rFonts w:eastAsia="Calibri"/>
                <w:sz w:val="22"/>
                <w:szCs w:val="22"/>
                <w:lang w:val="en-GB"/>
              </w:rPr>
              <w:t>-0,3</w:t>
            </w:r>
          </w:p>
        </w:tc>
        <w:tc>
          <w:tcPr>
            <w:tcW w:w="2579" w:type="dxa"/>
            <w:tcBorders>
              <w:top w:val="single" w:sz="4" w:space="0" w:color="auto"/>
              <w:left w:val="single" w:sz="4" w:space="0" w:color="auto"/>
              <w:bottom w:val="single" w:sz="4" w:space="0" w:color="auto"/>
              <w:right w:val="single" w:sz="4" w:space="0" w:color="auto"/>
            </w:tcBorders>
            <w:vAlign w:val="center"/>
            <w:hideMark/>
          </w:tcPr>
          <w:p w14:paraId="6E22285E"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-0,6</w:t>
            </w:r>
            <w:r>
              <w:rPr>
                <w:rFonts w:ascii="Times New Roman" w:hAnsi="Times New Roman"/>
                <w:vertAlign w:val="superscript"/>
                <w:lang w:val="en-GB"/>
              </w:rPr>
              <w:t>‡</w:t>
            </w:r>
          </w:p>
          <w:p w14:paraId="2F73986F"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(-0,8; -0,3)</w:t>
            </w:r>
          </w:p>
        </w:tc>
      </w:tr>
      <w:tr w:rsidR="00DD5979" w14:paraId="381D1874"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52EFA62D" w14:textId="77777777" w:rsidR="00DD5979" w:rsidRPr="006F1FB6" w:rsidRDefault="00DD5979" w:rsidP="00854197">
            <w:pPr>
              <w:widowControl w:val="0"/>
              <w:rPr>
                <w:rFonts w:eastAsia="Calibri"/>
                <w:sz w:val="22"/>
                <w:szCs w:val="22"/>
                <w:vertAlign w:val="superscript"/>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w:t>
            </w:r>
            <w:proofErr w:type="spellStart"/>
            <w:r w:rsidRPr="006F1FB6">
              <w:rPr>
                <w:rFonts w:eastAsia="Calibri"/>
                <w:sz w:val="22"/>
                <w:szCs w:val="22"/>
              </w:rPr>
              <w:t>glimepirid</w:t>
            </w:r>
            <w:proofErr w:type="spellEnd"/>
            <w:r w:rsidRPr="006F1FB6">
              <w:rPr>
                <w:rFonts w:eastAsia="Calibri"/>
                <w:sz w:val="22"/>
                <w:szCs w:val="22"/>
              </w:rPr>
              <w:t xml:space="preserve"> + </w:t>
            </w:r>
            <w:proofErr w:type="spellStart"/>
            <w:r w:rsidRPr="006F1FB6">
              <w:rPr>
                <w:rFonts w:eastAsia="Calibri"/>
                <w:sz w:val="22"/>
                <w:szCs w:val="22"/>
              </w:rPr>
              <w:t>metforminbehandling</w:t>
            </w:r>
            <w:proofErr w:type="spellEnd"/>
            <w:r>
              <w:rPr>
                <w:rFonts w:eastAsia="Calibri"/>
                <w:sz w:val="22"/>
                <w:szCs w:val="22"/>
                <w:vertAlign w:val="superscript"/>
                <w:lang w:val="en-GB"/>
              </w:rPr>
              <w:sym w:font="Symbol" w:char="F07C"/>
            </w:r>
            <w:r>
              <w:rPr>
                <w:rFonts w:eastAsia="Calibri"/>
                <w:sz w:val="22"/>
                <w:szCs w:val="22"/>
                <w:vertAlign w:val="superscript"/>
                <w:lang w:val="en-GB"/>
              </w:rPr>
              <w:sym w:font="Symbol" w:char="F07C"/>
            </w:r>
          </w:p>
          <w:p w14:paraId="4EC6E357" w14:textId="77777777" w:rsidR="00DD5979" w:rsidRDefault="00DD5979" w:rsidP="00854197">
            <w:pPr>
              <w:widowControl w:val="0"/>
              <w:rPr>
                <w:rFonts w:eastAsia="Calibri"/>
                <w:sz w:val="22"/>
                <w:szCs w:val="22"/>
                <w:lang w:val="en-GB"/>
              </w:rPr>
            </w:pPr>
            <w:r>
              <w:rPr>
                <w:rFonts w:eastAsia="Calibri"/>
                <w:sz w:val="22"/>
                <w:szCs w:val="22"/>
                <w:lang w:val="en-GB"/>
              </w:rPr>
              <w:t>(N=115)</w:t>
            </w:r>
          </w:p>
        </w:tc>
        <w:tc>
          <w:tcPr>
            <w:tcW w:w="2089" w:type="dxa"/>
            <w:tcBorders>
              <w:top w:val="single" w:sz="4" w:space="0" w:color="auto"/>
              <w:left w:val="single" w:sz="4" w:space="0" w:color="auto"/>
              <w:bottom w:val="single" w:sz="4" w:space="0" w:color="auto"/>
              <w:right w:val="single" w:sz="4" w:space="0" w:color="auto"/>
            </w:tcBorders>
            <w:vAlign w:val="center"/>
            <w:hideMark/>
          </w:tcPr>
          <w:p w14:paraId="3F0C617D" w14:textId="77777777" w:rsidR="00DD5979" w:rsidRDefault="00DD5979" w:rsidP="00854197">
            <w:pPr>
              <w:widowControl w:val="0"/>
              <w:jc w:val="center"/>
              <w:rPr>
                <w:rFonts w:eastAsia="Calibri"/>
                <w:sz w:val="22"/>
                <w:szCs w:val="22"/>
                <w:lang w:val="en-GB"/>
              </w:rPr>
            </w:pPr>
            <w:r>
              <w:rPr>
                <w:rFonts w:eastAsia="Calibri"/>
                <w:sz w:val="22"/>
                <w:szCs w:val="22"/>
                <w:lang w:val="en-GB"/>
              </w:rPr>
              <w:t>8,3</w:t>
            </w:r>
          </w:p>
        </w:tc>
        <w:tc>
          <w:tcPr>
            <w:tcW w:w="1994" w:type="dxa"/>
            <w:tcBorders>
              <w:top w:val="single" w:sz="4" w:space="0" w:color="auto"/>
              <w:left w:val="single" w:sz="4" w:space="0" w:color="auto"/>
              <w:bottom w:val="single" w:sz="4" w:space="0" w:color="auto"/>
              <w:right w:val="single" w:sz="4" w:space="0" w:color="auto"/>
            </w:tcBorders>
            <w:vAlign w:val="center"/>
            <w:hideMark/>
          </w:tcPr>
          <w:p w14:paraId="5904CCEE" w14:textId="77777777" w:rsidR="00DD5979" w:rsidRDefault="00DD5979" w:rsidP="00854197">
            <w:pPr>
              <w:widowControl w:val="0"/>
              <w:jc w:val="center"/>
              <w:rPr>
                <w:rFonts w:eastAsia="Calibri"/>
                <w:sz w:val="22"/>
                <w:szCs w:val="22"/>
                <w:lang w:val="en-GB"/>
              </w:rPr>
            </w:pPr>
            <w:r>
              <w:rPr>
                <w:rFonts w:eastAsia="Calibri"/>
                <w:sz w:val="22"/>
                <w:szCs w:val="22"/>
                <w:lang w:val="en-GB"/>
              </w:rPr>
              <w:t>-0,6</w:t>
            </w:r>
          </w:p>
        </w:tc>
        <w:tc>
          <w:tcPr>
            <w:tcW w:w="2579" w:type="dxa"/>
            <w:tcBorders>
              <w:top w:val="single" w:sz="4" w:space="0" w:color="auto"/>
              <w:left w:val="single" w:sz="4" w:space="0" w:color="auto"/>
              <w:bottom w:val="single" w:sz="4" w:space="0" w:color="auto"/>
              <w:right w:val="single" w:sz="4" w:space="0" w:color="auto"/>
            </w:tcBorders>
            <w:vAlign w:val="center"/>
            <w:hideMark/>
          </w:tcPr>
          <w:p w14:paraId="28369C1B"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-0,9</w:t>
            </w:r>
            <w:r>
              <w:rPr>
                <w:rFonts w:ascii="Times New Roman" w:hAnsi="Times New Roman"/>
                <w:vertAlign w:val="superscript"/>
                <w:lang w:val="en-GB"/>
              </w:rPr>
              <w:t>‡</w:t>
            </w:r>
          </w:p>
          <w:p w14:paraId="520F82E3"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(-1,1; -0,7)</w:t>
            </w:r>
          </w:p>
        </w:tc>
      </w:tr>
      <w:tr w:rsidR="00DD5979" w14:paraId="29F297A7"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4F3FF9C0" w14:textId="77777777" w:rsidR="00DD5979" w:rsidRPr="006F1FB6" w:rsidRDefault="00DD5979" w:rsidP="00854197">
            <w:pPr>
              <w:keepNext/>
              <w:keepLines/>
              <w:widowControl w:val="0"/>
              <w:rPr>
                <w:rFonts w:eastAsia="Calibri"/>
                <w:sz w:val="22"/>
                <w:szCs w:val="22"/>
              </w:rPr>
            </w:pPr>
            <w:proofErr w:type="spellStart"/>
            <w:r w:rsidRPr="006F1FB6">
              <w:rPr>
                <w:rFonts w:eastAsia="Calibri"/>
                <w:sz w:val="22"/>
                <w:szCs w:val="22"/>
              </w:rPr>
              <w:lastRenderedPageBreak/>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igangværende behandling</w:t>
            </w:r>
            <w:r w:rsidRPr="006F1FB6">
              <w:rPr>
                <w:rFonts w:eastAsia="Calibri"/>
                <w:sz w:val="22"/>
                <w:szCs w:val="22"/>
                <w:vertAlign w:val="superscript"/>
              </w:rPr>
              <w:t xml:space="preserve"># </w:t>
            </w:r>
            <w:r w:rsidRPr="006F1FB6">
              <w:rPr>
                <w:rFonts w:eastAsia="Calibri"/>
                <w:sz w:val="22"/>
                <w:szCs w:val="22"/>
              </w:rPr>
              <w:t xml:space="preserve">med </w:t>
            </w:r>
            <w:proofErr w:type="spellStart"/>
            <w:r w:rsidRPr="006F1FB6">
              <w:rPr>
                <w:rFonts w:eastAsia="Calibri"/>
                <w:sz w:val="22"/>
                <w:szCs w:val="22"/>
              </w:rPr>
              <w:t>med</w:t>
            </w:r>
            <w:proofErr w:type="spellEnd"/>
            <w:r w:rsidRPr="006F1FB6">
              <w:rPr>
                <w:rFonts w:eastAsia="Calibri"/>
                <w:sz w:val="22"/>
                <w:szCs w:val="22"/>
              </w:rPr>
              <w:t xml:space="preserve"> </w:t>
            </w:r>
            <w:proofErr w:type="spellStart"/>
            <w:r w:rsidRPr="006F1FB6">
              <w:rPr>
                <w:rFonts w:eastAsia="Calibri"/>
                <w:sz w:val="22"/>
                <w:szCs w:val="22"/>
              </w:rPr>
              <w:t>pioglitazon</w:t>
            </w:r>
            <w:proofErr w:type="spellEnd"/>
            <w:r w:rsidRPr="006F1FB6">
              <w:rPr>
                <w:rFonts w:eastAsia="Calibri"/>
                <w:sz w:val="22"/>
                <w:szCs w:val="22"/>
              </w:rPr>
              <w:t xml:space="preserve"> +</w:t>
            </w:r>
          </w:p>
          <w:p w14:paraId="645D0BE5" w14:textId="77777777" w:rsidR="00DD5979" w:rsidRDefault="00DD5979" w:rsidP="00854197">
            <w:pPr>
              <w:keepNext/>
              <w:keepLines/>
              <w:widowControl w:val="0"/>
              <w:rPr>
                <w:rFonts w:eastAsia="Calibri"/>
                <w:sz w:val="22"/>
                <w:szCs w:val="22"/>
                <w:lang w:val="en-GB"/>
              </w:rPr>
            </w:pPr>
            <w:r>
              <w:rPr>
                <w:rFonts w:eastAsia="Calibri"/>
                <w:sz w:val="22"/>
                <w:szCs w:val="22"/>
                <w:lang w:val="en-GB"/>
              </w:rPr>
              <w:t>metformin (N=152)</w:t>
            </w:r>
          </w:p>
        </w:tc>
        <w:tc>
          <w:tcPr>
            <w:tcW w:w="2089" w:type="dxa"/>
            <w:tcBorders>
              <w:top w:val="single" w:sz="4" w:space="0" w:color="auto"/>
              <w:left w:val="single" w:sz="4" w:space="0" w:color="auto"/>
              <w:bottom w:val="single" w:sz="4" w:space="0" w:color="auto"/>
              <w:right w:val="single" w:sz="4" w:space="0" w:color="auto"/>
            </w:tcBorders>
            <w:vAlign w:val="center"/>
            <w:hideMark/>
          </w:tcPr>
          <w:p w14:paraId="609E4587" w14:textId="77777777" w:rsidR="00DD5979" w:rsidRDefault="00DD5979" w:rsidP="00854197">
            <w:pPr>
              <w:keepNext/>
              <w:keepLines/>
              <w:widowControl w:val="0"/>
              <w:jc w:val="center"/>
              <w:rPr>
                <w:rFonts w:eastAsia="Calibri"/>
                <w:sz w:val="22"/>
                <w:szCs w:val="22"/>
                <w:lang w:val="en-GB"/>
              </w:rPr>
            </w:pPr>
            <w:r>
              <w:rPr>
                <w:rFonts w:eastAsia="Calibri"/>
                <w:sz w:val="22"/>
                <w:szCs w:val="22"/>
                <w:lang w:val="en-GB"/>
              </w:rPr>
              <w:t>8,8</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2DE371E" w14:textId="77777777" w:rsidR="00DD5979" w:rsidRDefault="00DD5979" w:rsidP="00854197">
            <w:pPr>
              <w:widowControl w:val="0"/>
              <w:jc w:val="center"/>
              <w:rPr>
                <w:rFonts w:eastAsia="Calibri"/>
                <w:sz w:val="22"/>
                <w:szCs w:val="22"/>
                <w:lang w:val="en-GB"/>
              </w:rPr>
            </w:pPr>
            <w:r>
              <w:rPr>
                <w:rFonts w:eastAsia="Calibri"/>
                <w:sz w:val="22"/>
                <w:szCs w:val="22"/>
                <w:lang w:val="en-GB"/>
              </w:rPr>
              <w:t>-1,2</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1F54308"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-0,7</w:t>
            </w:r>
            <w:r>
              <w:rPr>
                <w:rFonts w:ascii="Times New Roman" w:hAnsi="Times New Roman"/>
                <w:vertAlign w:val="superscript"/>
                <w:lang w:val="en-GB"/>
              </w:rPr>
              <w:t>‡</w:t>
            </w:r>
          </w:p>
          <w:p w14:paraId="0919482D"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(-1,0; -0,5)</w:t>
            </w:r>
          </w:p>
        </w:tc>
      </w:tr>
      <w:tr w:rsidR="00DD5979" w14:paraId="7ECA791C"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5AB0A913" w14:textId="77777777" w:rsidR="00DD5979" w:rsidRPr="006F1FB6" w:rsidRDefault="00DD5979" w:rsidP="00854197">
            <w:pPr>
              <w:widowControl w:val="0"/>
              <w:rPr>
                <w:rFonts w:eastAsia="Calibri"/>
                <w:sz w:val="22"/>
                <w:szCs w:val="22"/>
              </w:rPr>
            </w:pPr>
            <w:r w:rsidRPr="006F1FB6">
              <w:rPr>
                <w:rFonts w:eastAsia="Calibri"/>
                <w:sz w:val="22"/>
                <w:szCs w:val="22"/>
              </w:rPr>
              <w:t xml:space="preserve">Initialbehandling (to gange </w:t>
            </w:r>
            <w:r>
              <w:rPr>
                <w:rFonts w:eastAsia="Calibri"/>
                <w:sz w:val="22"/>
                <w:szCs w:val="22"/>
              </w:rPr>
              <w:t>dagligt</w:t>
            </w:r>
            <w:r w:rsidRPr="006F1FB6">
              <w:rPr>
                <w:rFonts w:eastAsia="Calibri"/>
                <w:sz w:val="22"/>
                <w:szCs w:val="22"/>
              </w:rPr>
              <w:t>)</w:t>
            </w:r>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rPr>
              <w:t xml:space="preserve">: </w:t>
            </w:r>
            <w:proofErr w:type="spellStart"/>
            <w:r w:rsidRPr="006F1FB6">
              <w:rPr>
                <w:rFonts w:eastAsia="Calibri"/>
                <w:sz w:val="22"/>
                <w:szCs w:val="22"/>
              </w:rPr>
              <w:t>Sitagliptin</w:t>
            </w:r>
            <w:proofErr w:type="spellEnd"/>
            <w:r w:rsidRPr="006F1FB6">
              <w:rPr>
                <w:rFonts w:eastAsia="Calibri"/>
                <w:sz w:val="22"/>
                <w:szCs w:val="22"/>
              </w:rPr>
              <w:t xml:space="preserve"> 50 mg + </w:t>
            </w:r>
            <w:proofErr w:type="spellStart"/>
            <w:r w:rsidRPr="006F1FB6">
              <w:rPr>
                <w:rFonts w:eastAsia="Calibri"/>
                <w:sz w:val="22"/>
                <w:szCs w:val="22"/>
              </w:rPr>
              <w:t>metformin</w:t>
            </w:r>
            <w:proofErr w:type="spellEnd"/>
            <w:r w:rsidRPr="006F1FB6">
              <w:rPr>
                <w:rFonts w:eastAsia="Calibri"/>
                <w:sz w:val="22"/>
                <w:szCs w:val="22"/>
              </w:rPr>
              <w:t xml:space="preserve"> 500 mg (N=183)</w:t>
            </w:r>
          </w:p>
        </w:tc>
        <w:tc>
          <w:tcPr>
            <w:tcW w:w="2089" w:type="dxa"/>
            <w:tcBorders>
              <w:top w:val="single" w:sz="4" w:space="0" w:color="auto"/>
              <w:left w:val="single" w:sz="4" w:space="0" w:color="auto"/>
              <w:bottom w:val="single" w:sz="4" w:space="0" w:color="auto"/>
              <w:right w:val="single" w:sz="4" w:space="0" w:color="auto"/>
            </w:tcBorders>
            <w:vAlign w:val="center"/>
            <w:hideMark/>
          </w:tcPr>
          <w:p w14:paraId="46531BB6" w14:textId="77777777" w:rsidR="00DD5979" w:rsidRDefault="00DD5979" w:rsidP="00854197">
            <w:pPr>
              <w:widowControl w:val="0"/>
              <w:jc w:val="center"/>
              <w:rPr>
                <w:rFonts w:eastAsia="Calibri"/>
                <w:sz w:val="22"/>
                <w:szCs w:val="22"/>
                <w:lang w:val="en-GB"/>
              </w:rPr>
            </w:pPr>
            <w:r>
              <w:rPr>
                <w:rFonts w:eastAsia="Calibri"/>
                <w:sz w:val="22"/>
                <w:szCs w:val="22"/>
                <w:lang w:val="en-GB"/>
              </w:rPr>
              <w:t>8,8</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D5AFED6" w14:textId="77777777" w:rsidR="00DD5979" w:rsidRDefault="00DD5979" w:rsidP="00854197">
            <w:pPr>
              <w:widowControl w:val="0"/>
              <w:jc w:val="center"/>
              <w:rPr>
                <w:rFonts w:eastAsia="Calibri"/>
                <w:sz w:val="22"/>
                <w:szCs w:val="22"/>
                <w:lang w:val="en-GB"/>
              </w:rPr>
            </w:pPr>
            <w:r>
              <w:rPr>
                <w:rFonts w:eastAsia="Calibri"/>
                <w:sz w:val="22"/>
                <w:szCs w:val="22"/>
                <w:lang w:val="en-GB"/>
              </w:rPr>
              <w:t>-1,4</w:t>
            </w:r>
          </w:p>
        </w:tc>
        <w:tc>
          <w:tcPr>
            <w:tcW w:w="2579" w:type="dxa"/>
            <w:tcBorders>
              <w:top w:val="single" w:sz="4" w:space="0" w:color="auto"/>
              <w:left w:val="single" w:sz="4" w:space="0" w:color="auto"/>
              <w:bottom w:val="single" w:sz="4" w:space="0" w:color="auto"/>
              <w:right w:val="single" w:sz="4" w:space="0" w:color="auto"/>
            </w:tcBorders>
            <w:vAlign w:val="center"/>
            <w:hideMark/>
          </w:tcPr>
          <w:p w14:paraId="26EF6343"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-1,6</w:t>
            </w:r>
            <w:r>
              <w:rPr>
                <w:rFonts w:ascii="Times New Roman" w:hAnsi="Times New Roman"/>
                <w:vertAlign w:val="superscript"/>
                <w:lang w:val="en-GB"/>
              </w:rPr>
              <w:t>‡</w:t>
            </w:r>
          </w:p>
          <w:p w14:paraId="48BFBD35"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(-1,8; -1,3)</w:t>
            </w:r>
          </w:p>
        </w:tc>
      </w:tr>
      <w:tr w:rsidR="00DD5979" w14:paraId="3973004F"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389525BA" w14:textId="77777777" w:rsidR="00DD5979" w:rsidRPr="006F1FB6" w:rsidRDefault="00DD5979" w:rsidP="00854197">
            <w:pPr>
              <w:widowControl w:val="0"/>
              <w:rPr>
                <w:rFonts w:eastAsia="Calibri"/>
                <w:sz w:val="22"/>
                <w:szCs w:val="22"/>
              </w:rPr>
            </w:pPr>
            <w:r w:rsidRPr="006F1FB6">
              <w:rPr>
                <w:rFonts w:eastAsia="Calibri"/>
                <w:sz w:val="22"/>
                <w:szCs w:val="22"/>
              </w:rPr>
              <w:t xml:space="preserve">Initialbehandling (to gange </w:t>
            </w:r>
            <w:r>
              <w:rPr>
                <w:rFonts w:eastAsia="Calibri"/>
                <w:sz w:val="22"/>
                <w:szCs w:val="22"/>
              </w:rPr>
              <w:t>dagligt</w:t>
            </w:r>
            <w:r w:rsidRPr="006F1FB6">
              <w:rPr>
                <w:rFonts w:eastAsia="Calibri"/>
                <w:sz w:val="22"/>
                <w:szCs w:val="22"/>
              </w:rPr>
              <w:t>)</w:t>
            </w:r>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rPr>
              <w:t xml:space="preserve">: </w:t>
            </w:r>
            <w:proofErr w:type="spellStart"/>
            <w:r w:rsidRPr="006F1FB6">
              <w:rPr>
                <w:rFonts w:eastAsia="Calibri"/>
                <w:sz w:val="22"/>
                <w:szCs w:val="22"/>
              </w:rPr>
              <w:t>Sitagliptin</w:t>
            </w:r>
            <w:proofErr w:type="spellEnd"/>
            <w:r w:rsidRPr="006F1FB6">
              <w:rPr>
                <w:rFonts w:eastAsia="Calibri"/>
                <w:sz w:val="22"/>
                <w:szCs w:val="22"/>
              </w:rPr>
              <w:t xml:space="preserve"> 50 mg + </w:t>
            </w:r>
            <w:proofErr w:type="spellStart"/>
            <w:r w:rsidRPr="006F1FB6">
              <w:rPr>
                <w:rFonts w:eastAsia="Calibri"/>
                <w:sz w:val="22"/>
                <w:szCs w:val="22"/>
              </w:rPr>
              <w:t>metformin</w:t>
            </w:r>
            <w:proofErr w:type="spellEnd"/>
            <w:r w:rsidRPr="006F1FB6">
              <w:rPr>
                <w:rFonts w:eastAsia="Calibri"/>
                <w:sz w:val="22"/>
                <w:szCs w:val="22"/>
              </w:rPr>
              <w:t xml:space="preserve"> 1 000 mg (N=178)</w:t>
            </w:r>
          </w:p>
        </w:tc>
        <w:tc>
          <w:tcPr>
            <w:tcW w:w="2089" w:type="dxa"/>
            <w:tcBorders>
              <w:top w:val="single" w:sz="4" w:space="0" w:color="auto"/>
              <w:left w:val="single" w:sz="4" w:space="0" w:color="auto"/>
              <w:bottom w:val="single" w:sz="4" w:space="0" w:color="auto"/>
              <w:right w:val="single" w:sz="4" w:space="0" w:color="auto"/>
            </w:tcBorders>
            <w:vAlign w:val="center"/>
            <w:hideMark/>
          </w:tcPr>
          <w:p w14:paraId="4CD52277" w14:textId="77777777" w:rsidR="00DD5979" w:rsidRDefault="00DD5979" w:rsidP="00854197">
            <w:pPr>
              <w:widowControl w:val="0"/>
              <w:jc w:val="center"/>
              <w:rPr>
                <w:rFonts w:eastAsia="Calibri"/>
                <w:sz w:val="22"/>
                <w:szCs w:val="22"/>
                <w:lang w:val="en-GB"/>
              </w:rPr>
            </w:pPr>
            <w:r>
              <w:rPr>
                <w:rFonts w:eastAsia="Calibri"/>
                <w:sz w:val="22"/>
                <w:szCs w:val="22"/>
                <w:lang w:val="en-GB"/>
              </w:rPr>
              <w:t>8,8</w:t>
            </w:r>
          </w:p>
        </w:tc>
        <w:tc>
          <w:tcPr>
            <w:tcW w:w="1994" w:type="dxa"/>
            <w:tcBorders>
              <w:top w:val="single" w:sz="4" w:space="0" w:color="auto"/>
              <w:left w:val="single" w:sz="4" w:space="0" w:color="auto"/>
              <w:bottom w:val="single" w:sz="4" w:space="0" w:color="auto"/>
              <w:right w:val="single" w:sz="4" w:space="0" w:color="auto"/>
            </w:tcBorders>
            <w:vAlign w:val="center"/>
            <w:hideMark/>
          </w:tcPr>
          <w:p w14:paraId="27981D87" w14:textId="77777777" w:rsidR="00DD5979" w:rsidRDefault="00DD5979" w:rsidP="00854197">
            <w:pPr>
              <w:widowControl w:val="0"/>
              <w:jc w:val="center"/>
              <w:rPr>
                <w:rFonts w:eastAsia="Calibri"/>
                <w:sz w:val="22"/>
                <w:szCs w:val="22"/>
                <w:lang w:val="en-GB"/>
              </w:rPr>
            </w:pPr>
            <w:r>
              <w:rPr>
                <w:rFonts w:eastAsia="Calibri"/>
                <w:sz w:val="22"/>
                <w:szCs w:val="22"/>
                <w:lang w:val="en-GB"/>
              </w:rPr>
              <w:t>-1,9</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1B185E8"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-2,1</w:t>
            </w:r>
            <w:r>
              <w:rPr>
                <w:rFonts w:ascii="Times New Roman" w:hAnsi="Times New Roman"/>
                <w:vertAlign w:val="superscript"/>
                <w:lang w:val="en-GB"/>
              </w:rPr>
              <w:t>‡</w:t>
            </w:r>
          </w:p>
          <w:p w14:paraId="626AE228"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(-2,3; -1,8)</w:t>
            </w:r>
          </w:p>
        </w:tc>
      </w:tr>
      <w:tr w:rsidR="00DD5979" w14:paraId="39688041" w14:textId="77777777" w:rsidTr="00854197">
        <w:tc>
          <w:tcPr>
            <w:tcW w:w="2274" w:type="dxa"/>
            <w:tcBorders>
              <w:top w:val="single" w:sz="4" w:space="0" w:color="auto"/>
              <w:left w:val="single" w:sz="4" w:space="0" w:color="auto"/>
              <w:bottom w:val="single" w:sz="4" w:space="0" w:color="auto"/>
              <w:right w:val="single" w:sz="4" w:space="0" w:color="auto"/>
            </w:tcBorders>
            <w:hideMark/>
          </w:tcPr>
          <w:p w14:paraId="0BDFA022" w14:textId="77777777" w:rsidR="00DD5979" w:rsidRPr="006F1FB6" w:rsidRDefault="00DD5979" w:rsidP="00854197">
            <w:pPr>
              <w:widowControl w:val="0"/>
              <w:rPr>
                <w:rFonts w:eastAsia="Calibri"/>
                <w:sz w:val="22"/>
                <w:szCs w:val="22"/>
              </w:rPr>
            </w:pPr>
            <w:proofErr w:type="spellStart"/>
            <w:r w:rsidRPr="006F1FB6">
              <w:rPr>
                <w:rFonts w:eastAsia="Calibri"/>
                <w:sz w:val="22"/>
                <w:szCs w:val="22"/>
              </w:rPr>
              <w:t>Sitagliptin</w:t>
            </w:r>
            <w:proofErr w:type="spellEnd"/>
            <w:r w:rsidRPr="006F1FB6">
              <w:rPr>
                <w:rFonts w:eastAsia="Calibri"/>
                <w:sz w:val="22"/>
                <w:szCs w:val="22"/>
              </w:rPr>
              <w:t xml:space="preserve"> 100 mg en gang daglig</w:t>
            </w:r>
            <w:r>
              <w:rPr>
                <w:rFonts w:eastAsia="Calibri"/>
                <w:sz w:val="22"/>
                <w:szCs w:val="22"/>
              </w:rPr>
              <w:t>t</w:t>
            </w:r>
            <w:r w:rsidRPr="006F1FB6">
              <w:rPr>
                <w:rFonts w:eastAsia="Calibri"/>
                <w:sz w:val="22"/>
                <w:szCs w:val="22"/>
              </w:rPr>
              <w:t xml:space="preserve"> som supplement til insulin-(+/- </w:t>
            </w:r>
            <w:proofErr w:type="spellStart"/>
            <w:r w:rsidRPr="006F1FB6">
              <w:rPr>
                <w:rFonts w:eastAsia="Calibri"/>
                <w:sz w:val="22"/>
                <w:szCs w:val="22"/>
              </w:rPr>
              <w:t>metformin</w:t>
            </w:r>
            <w:proofErr w:type="spellEnd"/>
            <w:r w:rsidRPr="006F1FB6">
              <w:rPr>
                <w:rFonts w:eastAsia="Calibri"/>
                <w:sz w:val="22"/>
                <w:szCs w:val="22"/>
              </w:rPr>
              <w:t>) behandling</w:t>
            </w:r>
            <w:r>
              <w:rPr>
                <w:rFonts w:eastAsia="Calibri"/>
                <w:sz w:val="22"/>
                <w:szCs w:val="22"/>
                <w:vertAlign w:val="superscript"/>
                <w:lang w:val="en-GB"/>
              </w:rPr>
              <w:sym w:font="Symbol" w:char="F07C"/>
            </w:r>
            <w:r>
              <w:rPr>
                <w:rFonts w:eastAsia="Calibri"/>
                <w:sz w:val="22"/>
                <w:szCs w:val="22"/>
                <w:vertAlign w:val="superscript"/>
                <w:lang w:val="en-GB"/>
              </w:rPr>
              <w:sym w:font="Symbol" w:char="F07C"/>
            </w:r>
            <w:r w:rsidRPr="006F1FB6">
              <w:rPr>
                <w:rFonts w:eastAsia="Calibri"/>
                <w:sz w:val="22"/>
                <w:szCs w:val="22"/>
                <w:vertAlign w:val="superscript"/>
              </w:rPr>
              <w:t xml:space="preserve"> </w:t>
            </w:r>
            <w:r w:rsidRPr="006F1FB6">
              <w:rPr>
                <w:rFonts w:eastAsia="Calibri"/>
                <w:sz w:val="22"/>
                <w:szCs w:val="22"/>
              </w:rPr>
              <w:t>(N=305)</w:t>
            </w:r>
          </w:p>
        </w:tc>
        <w:tc>
          <w:tcPr>
            <w:tcW w:w="2089" w:type="dxa"/>
            <w:tcBorders>
              <w:top w:val="single" w:sz="4" w:space="0" w:color="auto"/>
              <w:left w:val="single" w:sz="4" w:space="0" w:color="auto"/>
              <w:bottom w:val="single" w:sz="4" w:space="0" w:color="auto"/>
              <w:right w:val="single" w:sz="4" w:space="0" w:color="auto"/>
            </w:tcBorders>
            <w:vAlign w:val="center"/>
            <w:hideMark/>
          </w:tcPr>
          <w:p w14:paraId="1D0EEC21" w14:textId="77777777" w:rsidR="00DD5979" w:rsidRDefault="00DD5979" w:rsidP="00854197">
            <w:pPr>
              <w:widowControl w:val="0"/>
              <w:jc w:val="center"/>
              <w:rPr>
                <w:rFonts w:eastAsia="Calibri"/>
                <w:sz w:val="22"/>
                <w:szCs w:val="22"/>
                <w:lang w:val="en-GB"/>
              </w:rPr>
            </w:pPr>
            <w:r>
              <w:rPr>
                <w:rFonts w:eastAsia="Calibri"/>
                <w:sz w:val="22"/>
                <w:szCs w:val="22"/>
                <w:lang w:val="en-GB"/>
              </w:rPr>
              <w:t>8,7</w:t>
            </w:r>
          </w:p>
        </w:tc>
        <w:tc>
          <w:tcPr>
            <w:tcW w:w="1994" w:type="dxa"/>
            <w:tcBorders>
              <w:top w:val="single" w:sz="4" w:space="0" w:color="auto"/>
              <w:left w:val="single" w:sz="4" w:space="0" w:color="auto"/>
              <w:bottom w:val="single" w:sz="4" w:space="0" w:color="auto"/>
              <w:right w:val="single" w:sz="4" w:space="0" w:color="auto"/>
            </w:tcBorders>
            <w:vAlign w:val="center"/>
            <w:hideMark/>
          </w:tcPr>
          <w:p w14:paraId="6085752B" w14:textId="77777777" w:rsidR="00DD5979" w:rsidRDefault="00DD5979" w:rsidP="00854197">
            <w:pPr>
              <w:widowControl w:val="0"/>
              <w:jc w:val="center"/>
              <w:rPr>
                <w:rFonts w:eastAsia="Calibri"/>
                <w:sz w:val="22"/>
                <w:szCs w:val="22"/>
                <w:lang w:val="en-GB"/>
              </w:rPr>
            </w:pPr>
            <w:r>
              <w:rPr>
                <w:rFonts w:eastAsia="Calibri"/>
                <w:sz w:val="22"/>
                <w:szCs w:val="22"/>
                <w:lang w:val="en-GB"/>
              </w:rPr>
              <w:t>-0,6</w:t>
            </w:r>
          </w:p>
        </w:tc>
        <w:tc>
          <w:tcPr>
            <w:tcW w:w="2579" w:type="dxa"/>
            <w:tcBorders>
              <w:top w:val="single" w:sz="4" w:space="0" w:color="auto"/>
              <w:left w:val="single" w:sz="4" w:space="0" w:color="auto"/>
              <w:bottom w:val="single" w:sz="4" w:space="0" w:color="auto"/>
              <w:right w:val="single" w:sz="4" w:space="0" w:color="auto"/>
            </w:tcBorders>
            <w:vAlign w:val="center"/>
            <w:hideMark/>
          </w:tcPr>
          <w:p w14:paraId="7AECE1E3" w14:textId="77777777" w:rsidR="00DD5979" w:rsidRDefault="00DD5979" w:rsidP="00854197">
            <w:pPr>
              <w:pStyle w:val="Brdtekst"/>
              <w:kinsoku w:val="0"/>
              <w:overflowPunct w:val="0"/>
              <w:spacing w:after="0" w:line="240" w:lineRule="auto"/>
              <w:jc w:val="center"/>
              <w:rPr>
                <w:rFonts w:ascii="Times New Roman" w:hAnsi="Times New Roman"/>
                <w:vertAlign w:val="superscript"/>
                <w:lang w:val="en-GB"/>
              </w:rPr>
            </w:pPr>
            <w:r>
              <w:rPr>
                <w:rFonts w:ascii="Times New Roman" w:hAnsi="Times New Roman"/>
                <w:lang w:val="en-GB"/>
              </w:rPr>
              <w:t>-0,6</w:t>
            </w:r>
            <w:r>
              <w:rPr>
                <w:rFonts w:ascii="Times New Roman" w:hAnsi="Times New Roman"/>
                <w:vertAlign w:val="superscript"/>
                <w:lang w:val="en-GB"/>
              </w:rPr>
              <w:t>‡, ¶</w:t>
            </w:r>
          </w:p>
          <w:p w14:paraId="6CA2B78D" w14:textId="77777777" w:rsidR="00DD5979" w:rsidRDefault="00DD5979" w:rsidP="00854197">
            <w:pPr>
              <w:pStyle w:val="Brdtekst"/>
              <w:kinsoku w:val="0"/>
              <w:overflowPunct w:val="0"/>
              <w:spacing w:after="0" w:line="240" w:lineRule="auto"/>
              <w:jc w:val="center"/>
              <w:rPr>
                <w:rFonts w:ascii="Times New Roman" w:hAnsi="Times New Roman"/>
                <w:lang w:val="en-GB"/>
              </w:rPr>
            </w:pPr>
            <w:r>
              <w:rPr>
                <w:rFonts w:ascii="Times New Roman" w:hAnsi="Times New Roman"/>
                <w:lang w:val="en-GB"/>
              </w:rPr>
              <w:t>(-0,7; -0,4)</w:t>
            </w:r>
          </w:p>
        </w:tc>
      </w:tr>
    </w:tbl>
    <w:p w14:paraId="790D03F8"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Population; alle behandlede patienter (analyse med henblik på behandling, </w:t>
      </w:r>
      <w:r w:rsidRPr="006F1FB6">
        <w:rPr>
          <w:i/>
          <w:sz w:val="20"/>
        </w:rPr>
        <w:t>intention</w:t>
      </w:r>
      <w:r w:rsidRPr="006F1FB6">
        <w:rPr>
          <w:i/>
          <w:sz w:val="20"/>
        </w:rPr>
        <w:noBreakHyphen/>
        <w:t>to</w:t>
      </w:r>
      <w:r w:rsidRPr="006F1FB6">
        <w:rPr>
          <w:i/>
          <w:sz w:val="20"/>
        </w:rPr>
        <w:noBreakHyphen/>
      </w:r>
      <w:proofErr w:type="spellStart"/>
      <w:r w:rsidRPr="006F1FB6">
        <w:rPr>
          <w:i/>
          <w:sz w:val="20"/>
        </w:rPr>
        <w:t>treat</w:t>
      </w:r>
      <w:proofErr w:type="spellEnd"/>
      <w:r w:rsidRPr="006F1FB6">
        <w:rPr>
          <w:sz w:val="20"/>
        </w:rPr>
        <w:t>-analyse)</w:t>
      </w:r>
    </w:p>
    <w:p w14:paraId="035E3071"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Gennemsnit ved mindste kvadraters metode justeret for status for tidligere </w:t>
      </w:r>
      <w:proofErr w:type="spellStart"/>
      <w:r w:rsidRPr="006F1FB6">
        <w:rPr>
          <w:sz w:val="20"/>
        </w:rPr>
        <w:t>antihyperglykæmisk</w:t>
      </w:r>
      <w:proofErr w:type="spellEnd"/>
      <w:r w:rsidRPr="006F1FB6">
        <w:rPr>
          <w:sz w:val="20"/>
        </w:rPr>
        <w:t xml:space="preserve"> behandling og </w:t>
      </w:r>
      <w:r w:rsidRPr="006F1FB6">
        <w:rPr>
          <w:i/>
          <w:iCs/>
          <w:sz w:val="20"/>
        </w:rPr>
        <w:t>baseline</w:t>
      </w:r>
      <w:r w:rsidRPr="006F1FB6">
        <w:rPr>
          <w:sz w:val="20"/>
        </w:rPr>
        <w:t>-værdi.</w:t>
      </w:r>
    </w:p>
    <w:p w14:paraId="4F750F87"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p&lt;0,001 sammenlignet med placebo eller placebo + kombinationsbehandling.</w:t>
      </w:r>
    </w:p>
    <w:p w14:paraId="58E19BE3"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HbA</w:t>
      </w:r>
      <w:r w:rsidRPr="006F1FB6">
        <w:rPr>
          <w:sz w:val="20"/>
          <w:vertAlign w:val="subscript"/>
        </w:rPr>
        <w:t>1c</w:t>
      </w:r>
      <w:r w:rsidRPr="006F1FB6">
        <w:rPr>
          <w:sz w:val="20"/>
        </w:rPr>
        <w:t xml:space="preserve"> </w:t>
      </w:r>
      <w:proofErr w:type="gramStart"/>
      <w:r w:rsidRPr="006F1FB6">
        <w:rPr>
          <w:sz w:val="20"/>
        </w:rPr>
        <w:t>(</w:t>
      </w:r>
      <w:r>
        <w:rPr>
          <w:sz w:val="20"/>
        </w:rPr>
        <w:t xml:space="preserve"> %</w:t>
      </w:r>
      <w:proofErr w:type="gramEnd"/>
      <w:r w:rsidRPr="006F1FB6">
        <w:rPr>
          <w:sz w:val="20"/>
        </w:rPr>
        <w:t>) i 18. uge</w:t>
      </w:r>
    </w:p>
    <w:p w14:paraId="6226383E" w14:textId="77777777" w:rsidR="00DD5979" w:rsidRPr="006F1FB6" w:rsidRDefault="00DD5979" w:rsidP="00DD5979">
      <w:pPr>
        <w:tabs>
          <w:tab w:val="left" w:pos="1134"/>
        </w:tabs>
        <w:ind w:left="993"/>
        <w:rPr>
          <w:sz w:val="20"/>
        </w:rPr>
      </w:pPr>
      <w:r w:rsidRPr="006F1FB6">
        <w:rPr>
          <w:sz w:val="20"/>
          <w:vertAlign w:val="superscript"/>
        </w:rPr>
        <w:sym w:font="Symbol" w:char="F07C"/>
      </w:r>
      <w:r w:rsidRPr="006F1FB6">
        <w:rPr>
          <w:sz w:val="20"/>
          <w:vertAlign w:val="superscript"/>
        </w:rPr>
        <w:sym w:font="Symbol" w:char="F07C"/>
      </w:r>
      <w:r w:rsidRPr="006F1FB6">
        <w:rPr>
          <w:sz w:val="20"/>
        </w:rPr>
        <w:t xml:space="preserve"> HbA</w:t>
      </w:r>
      <w:r w:rsidRPr="006F1FB6">
        <w:rPr>
          <w:sz w:val="20"/>
          <w:vertAlign w:val="subscript"/>
        </w:rPr>
        <w:t>1c</w:t>
      </w:r>
      <w:r w:rsidRPr="006F1FB6">
        <w:rPr>
          <w:sz w:val="20"/>
        </w:rPr>
        <w:t xml:space="preserve"> </w:t>
      </w:r>
      <w:proofErr w:type="gramStart"/>
      <w:r w:rsidRPr="006F1FB6">
        <w:rPr>
          <w:sz w:val="20"/>
        </w:rPr>
        <w:t>(</w:t>
      </w:r>
      <w:r>
        <w:rPr>
          <w:sz w:val="20"/>
        </w:rPr>
        <w:t xml:space="preserve"> %</w:t>
      </w:r>
      <w:proofErr w:type="gramEnd"/>
      <w:r w:rsidRPr="006F1FB6">
        <w:rPr>
          <w:sz w:val="20"/>
        </w:rPr>
        <w:t>) i 24. uge</w:t>
      </w:r>
    </w:p>
    <w:p w14:paraId="6F488820"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HbA</w:t>
      </w:r>
      <w:r w:rsidRPr="006F1FB6">
        <w:rPr>
          <w:sz w:val="20"/>
          <w:vertAlign w:val="subscript"/>
        </w:rPr>
        <w:t>1c</w:t>
      </w:r>
      <w:r w:rsidRPr="006F1FB6">
        <w:rPr>
          <w:sz w:val="20"/>
        </w:rPr>
        <w:t xml:space="preserve"> </w:t>
      </w:r>
      <w:proofErr w:type="gramStart"/>
      <w:r w:rsidRPr="006F1FB6">
        <w:rPr>
          <w:sz w:val="20"/>
        </w:rPr>
        <w:t>(</w:t>
      </w:r>
      <w:r>
        <w:rPr>
          <w:sz w:val="20"/>
        </w:rPr>
        <w:t xml:space="preserve"> %</w:t>
      </w:r>
      <w:proofErr w:type="gramEnd"/>
      <w:r w:rsidRPr="006F1FB6">
        <w:rPr>
          <w:sz w:val="20"/>
        </w:rPr>
        <w:t>) i 26. uge</w:t>
      </w:r>
    </w:p>
    <w:p w14:paraId="4C9B1927" w14:textId="77777777" w:rsidR="00DD5979" w:rsidRPr="006F1FB6" w:rsidRDefault="00DD5979" w:rsidP="00DD5979">
      <w:pPr>
        <w:tabs>
          <w:tab w:val="left" w:pos="1134"/>
        </w:tabs>
        <w:ind w:left="993"/>
        <w:rPr>
          <w:sz w:val="20"/>
        </w:rPr>
      </w:pPr>
      <w:r w:rsidRPr="006F1FB6">
        <w:rPr>
          <w:sz w:val="20"/>
          <w:vertAlign w:val="superscript"/>
        </w:rPr>
        <w:t>¶</w:t>
      </w:r>
      <w:r w:rsidRPr="006F1FB6">
        <w:rPr>
          <w:sz w:val="20"/>
        </w:rPr>
        <w:t xml:space="preserve"> Gennemsnit ved mindste kvadraters metode justeret for anvendelse af </w:t>
      </w:r>
      <w:proofErr w:type="spellStart"/>
      <w:r w:rsidRPr="006F1FB6">
        <w:rPr>
          <w:sz w:val="20"/>
        </w:rPr>
        <w:t>metformin</w:t>
      </w:r>
      <w:proofErr w:type="spellEnd"/>
      <w:r w:rsidRPr="006F1FB6">
        <w:rPr>
          <w:sz w:val="20"/>
        </w:rPr>
        <w:t xml:space="preserve"> ved besøg 1 (ja/nej), anvendelse af insulin ved besøg 1 (forblandet </w:t>
      </w:r>
      <w:r w:rsidRPr="006F1FB6">
        <w:rPr>
          <w:i/>
          <w:iCs/>
          <w:sz w:val="20"/>
        </w:rPr>
        <w:t>versus</w:t>
      </w:r>
      <w:r w:rsidRPr="006F1FB6">
        <w:rPr>
          <w:sz w:val="20"/>
        </w:rPr>
        <w:t xml:space="preserve"> ikke-forblandet [middellangt- eller langtidsvirkende]) samt </w:t>
      </w:r>
      <w:r w:rsidRPr="006F1FB6">
        <w:rPr>
          <w:i/>
          <w:iCs/>
          <w:sz w:val="20"/>
        </w:rPr>
        <w:t>baseline</w:t>
      </w:r>
      <w:r w:rsidRPr="006F1FB6">
        <w:rPr>
          <w:sz w:val="20"/>
        </w:rPr>
        <w:t xml:space="preserve">-værdi. Behandling baseret på stratum- (anvendelse af </w:t>
      </w:r>
      <w:proofErr w:type="spellStart"/>
      <w:r w:rsidRPr="006F1FB6">
        <w:rPr>
          <w:sz w:val="20"/>
        </w:rPr>
        <w:t>metformin</w:t>
      </w:r>
      <w:proofErr w:type="spellEnd"/>
      <w:r w:rsidRPr="006F1FB6">
        <w:rPr>
          <w:sz w:val="20"/>
        </w:rPr>
        <w:t xml:space="preserve"> og insulin) interaktioner var ikke signifikant (p &gt; 0,10).</w:t>
      </w:r>
    </w:p>
    <w:p w14:paraId="7520CBCD" w14:textId="77777777" w:rsidR="00DD5979" w:rsidRPr="006F1FB6" w:rsidRDefault="00DD5979" w:rsidP="00DD5979">
      <w:pPr>
        <w:tabs>
          <w:tab w:val="left" w:pos="1134"/>
        </w:tabs>
        <w:ind w:left="993"/>
        <w:rPr>
          <w:sz w:val="20"/>
        </w:rPr>
      </w:pPr>
    </w:p>
    <w:p w14:paraId="06376120" w14:textId="77777777" w:rsidR="00DD5979" w:rsidRPr="006F1FB6" w:rsidRDefault="00DD5979" w:rsidP="00DD5979">
      <w:pPr>
        <w:tabs>
          <w:tab w:val="left" w:pos="851"/>
        </w:tabs>
        <w:ind w:left="851"/>
        <w:rPr>
          <w:sz w:val="24"/>
          <w:szCs w:val="24"/>
        </w:rPr>
      </w:pPr>
      <w:r w:rsidRPr="006F1FB6">
        <w:rPr>
          <w:sz w:val="24"/>
          <w:szCs w:val="24"/>
        </w:rPr>
        <w:t>En 24-ugers aktiv (</w:t>
      </w:r>
      <w:proofErr w:type="spellStart"/>
      <w:r w:rsidRPr="006F1FB6">
        <w:rPr>
          <w:sz w:val="24"/>
          <w:szCs w:val="24"/>
        </w:rPr>
        <w:t>metformin</w:t>
      </w:r>
      <w:proofErr w:type="spellEnd"/>
      <w:r w:rsidRPr="006F1FB6">
        <w:rPr>
          <w:sz w:val="24"/>
          <w:szCs w:val="24"/>
        </w:rPr>
        <w:t xml:space="preserve">)-kontrolleret undersøgelse blev designet til vurdering af effekt og sikkerhed af </w:t>
      </w:r>
      <w:proofErr w:type="spellStart"/>
      <w:r w:rsidRPr="006F1FB6">
        <w:rPr>
          <w:sz w:val="24"/>
          <w:szCs w:val="24"/>
        </w:rPr>
        <w:t>sitagliptin</w:t>
      </w:r>
      <w:proofErr w:type="spellEnd"/>
      <w:r w:rsidRPr="006F1FB6">
        <w:rPr>
          <w:sz w:val="24"/>
          <w:szCs w:val="24"/>
        </w:rPr>
        <w:t xml:space="preserve"> 100 mg en gang daglig</w:t>
      </w:r>
      <w:r>
        <w:rPr>
          <w:sz w:val="24"/>
          <w:szCs w:val="24"/>
        </w:rPr>
        <w:t>t</w:t>
      </w:r>
      <w:r w:rsidRPr="006F1FB6">
        <w:rPr>
          <w:sz w:val="24"/>
          <w:szCs w:val="24"/>
        </w:rPr>
        <w:t xml:space="preserve"> (N=528) sammenlignet med </w:t>
      </w:r>
      <w:proofErr w:type="spellStart"/>
      <w:r w:rsidRPr="006F1FB6">
        <w:rPr>
          <w:sz w:val="24"/>
          <w:szCs w:val="24"/>
        </w:rPr>
        <w:t>metformin</w:t>
      </w:r>
      <w:proofErr w:type="spellEnd"/>
      <w:r w:rsidRPr="006F1FB6">
        <w:rPr>
          <w:sz w:val="24"/>
          <w:szCs w:val="24"/>
        </w:rPr>
        <w:t xml:space="preserve"> (N=522) hos patienter med utilstrækkelig </w:t>
      </w:r>
      <w:proofErr w:type="spellStart"/>
      <w:r w:rsidRPr="006F1FB6">
        <w:rPr>
          <w:sz w:val="24"/>
          <w:szCs w:val="24"/>
        </w:rPr>
        <w:t>glykæmisk</w:t>
      </w:r>
      <w:proofErr w:type="spellEnd"/>
      <w:r w:rsidRPr="006F1FB6">
        <w:rPr>
          <w:sz w:val="24"/>
          <w:szCs w:val="24"/>
        </w:rPr>
        <w:t xml:space="preserve"> kontrol på diæt og motion, og som ikke var i </w:t>
      </w:r>
      <w:proofErr w:type="spellStart"/>
      <w:r w:rsidRPr="006F1FB6">
        <w:rPr>
          <w:sz w:val="24"/>
          <w:szCs w:val="24"/>
        </w:rPr>
        <w:t>antihyperglykæmisk</w:t>
      </w:r>
      <w:proofErr w:type="spellEnd"/>
      <w:r w:rsidRPr="006F1FB6">
        <w:rPr>
          <w:sz w:val="24"/>
          <w:szCs w:val="24"/>
        </w:rPr>
        <w:t xml:space="preserve"> behandling (uden behandling i mindst 4 måneder). Den gennemsnitlige </w:t>
      </w:r>
      <w:proofErr w:type="spellStart"/>
      <w:r w:rsidRPr="006F1FB6">
        <w:rPr>
          <w:sz w:val="24"/>
          <w:szCs w:val="24"/>
        </w:rPr>
        <w:t>metformindosis</w:t>
      </w:r>
      <w:proofErr w:type="spellEnd"/>
      <w:r w:rsidRPr="006F1FB6">
        <w:rPr>
          <w:sz w:val="24"/>
          <w:szCs w:val="24"/>
        </w:rPr>
        <w:t xml:space="preserve"> var ca. 1900 mg/dag. Reduktionen i HbA</w:t>
      </w:r>
      <w:r w:rsidRPr="006F1FB6">
        <w:rPr>
          <w:sz w:val="24"/>
          <w:szCs w:val="24"/>
          <w:vertAlign w:val="subscript"/>
        </w:rPr>
        <w:t>1c</w:t>
      </w:r>
      <w:r w:rsidRPr="006F1FB6">
        <w:rPr>
          <w:sz w:val="24"/>
          <w:szCs w:val="24"/>
        </w:rPr>
        <w:t xml:space="preserve"> i forhold til de gennemsnitlige </w:t>
      </w:r>
      <w:r w:rsidRPr="006F1FB6">
        <w:rPr>
          <w:i/>
          <w:iCs/>
          <w:sz w:val="24"/>
          <w:szCs w:val="24"/>
        </w:rPr>
        <w:t>baseline</w:t>
      </w:r>
      <w:r w:rsidRPr="006F1FB6">
        <w:rPr>
          <w:sz w:val="24"/>
          <w:szCs w:val="24"/>
        </w:rPr>
        <w:t>-værdier på 7,2</w:t>
      </w:r>
      <w:r>
        <w:rPr>
          <w:sz w:val="24"/>
          <w:szCs w:val="24"/>
        </w:rPr>
        <w:t xml:space="preserve"> %</w:t>
      </w:r>
      <w:r w:rsidRPr="006F1FB6">
        <w:rPr>
          <w:sz w:val="24"/>
          <w:szCs w:val="24"/>
        </w:rPr>
        <w:t xml:space="preserve"> var -0,43</w:t>
      </w:r>
      <w:r>
        <w:rPr>
          <w:sz w:val="24"/>
          <w:szCs w:val="24"/>
        </w:rPr>
        <w:t xml:space="preserve"> %</w:t>
      </w:r>
      <w:r w:rsidRPr="006F1FB6">
        <w:rPr>
          <w:sz w:val="24"/>
          <w:szCs w:val="24"/>
        </w:rPr>
        <w:t xml:space="preserve"> for </w:t>
      </w:r>
      <w:proofErr w:type="spellStart"/>
      <w:r w:rsidRPr="006F1FB6">
        <w:rPr>
          <w:sz w:val="24"/>
          <w:szCs w:val="24"/>
        </w:rPr>
        <w:t>sitagliptin</w:t>
      </w:r>
      <w:proofErr w:type="spellEnd"/>
      <w:r w:rsidRPr="006F1FB6">
        <w:rPr>
          <w:sz w:val="24"/>
          <w:szCs w:val="24"/>
        </w:rPr>
        <w:t xml:space="preserve"> og -0,57</w:t>
      </w:r>
      <w:r>
        <w:rPr>
          <w:sz w:val="24"/>
          <w:szCs w:val="24"/>
        </w:rPr>
        <w:t xml:space="preserve"> %</w:t>
      </w:r>
      <w:r w:rsidRPr="006F1FB6">
        <w:rPr>
          <w:sz w:val="24"/>
          <w:szCs w:val="24"/>
        </w:rPr>
        <w:t xml:space="preserve"> for </w:t>
      </w:r>
      <w:proofErr w:type="spellStart"/>
      <w:r w:rsidRPr="006F1FB6">
        <w:rPr>
          <w:sz w:val="24"/>
          <w:szCs w:val="24"/>
        </w:rPr>
        <w:t>metformin</w:t>
      </w:r>
      <w:proofErr w:type="spellEnd"/>
      <w:r w:rsidRPr="006F1FB6">
        <w:rPr>
          <w:sz w:val="24"/>
          <w:szCs w:val="24"/>
        </w:rPr>
        <w:t xml:space="preserve"> (</w:t>
      </w:r>
      <w:r w:rsidRPr="006F1FB6">
        <w:rPr>
          <w:i/>
          <w:iCs/>
          <w:sz w:val="24"/>
          <w:szCs w:val="24"/>
        </w:rPr>
        <w:t>Per Protocol Analysis</w:t>
      </w:r>
      <w:r w:rsidRPr="006F1FB6">
        <w:rPr>
          <w:sz w:val="24"/>
          <w:szCs w:val="24"/>
        </w:rPr>
        <w:t xml:space="preserve">). Overordnet var </w:t>
      </w:r>
      <w:proofErr w:type="spellStart"/>
      <w:r w:rsidRPr="006F1FB6">
        <w:rPr>
          <w:sz w:val="24"/>
          <w:szCs w:val="24"/>
        </w:rPr>
        <w:t>incidensen</w:t>
      </w:r>
      <w:proofErr w:type="spellEnd"/>
      <w:r w:rsidRPr="006F1FB6">
        <w:rPr>
          <w:sz w:val="24"/>
          <w:szCs w:val="24"/>
        </w:rPr>
        <w:t xml:space="preserve"> for </w:t>
      </w:r>
      <w:proofErr w:type="spellStart"/>
      <w:r w:rsidRPr="006F1FB6">
        <w:rPr>
          <w:sz w:val="24"/>
          <w:szCs w:val="24"/>
        </w:rPr>
        <w:t>gastrointestinale</w:t>
      </w:r>
      <w:proofErr w:type="spellEnd"/>
      <w:r w:rsidRPr="006F1FB6">
        <w:rPr>
          <w:sz w:val="24"/>
          <w:szCs w:val="24"/>
        </w:rPr>
        <w:t xml:space="preserve"> bivirkninger, som blev anset for at være lægemiddelrelaterede, 2,7</w:t>
      </w:r>
      <w:r>
        <w:rPr>
          <w:sz w:val="24"/>
          <w:szCs w:val="24"/>
        </w:rPr>
        <w:t xml:space="preserve"> %</w:t>
      </w:r>
      <w:r w:rsidRPr="006F1FB6">
        <w:rPr>
          <w:sz w:val="24"/>
          <w:szCs w:val="24"/>
        </w:rPr>
        <w:t xml:space="preserve"> hos patienter, der fik </w:t>
      </w:r>
      <w:proofErr w:type="spellStart"/>
      <w:r w:rsidRPr="006F1FB6">
        <w:rPr>
          <w:sz w:val="24"/>
          <w:szCs w:val="24"/>
        </w:rPr>
        <w:t>sitagliptin</w:t>
      </w:r>
      <w:proofErr w:type="spellEnd"/>
      <w:r w:rsidRPr="006F1FB6">
        <w:rPr>
          <w:sz w:val="24"/>
          <w:szCs w:val="24"/>
        </w:rPr>
        <w:t>, sammenlignet med 12,6</w:t>
      </w:r>
      <w:r>
        <w:rPr>
          <w:sz w:val="24"/>
          <w:szCs w:val="24"/>
        </w:rPr>
        <w:t xml:space="preserve"> %</w:t>
      </w:r>
      <w:r w:rsidRPr="006F1FB6">
        <w:rPr>
          <w:sz w:val="24"/>
          <w:szCs w:val="24"/>
        </w:rPr>
        <w:t xml:space="preserve"> hos de patienter, der fik </w:t>
      </w:r>
      <w:proofErr w:type="spellStart"/>
      <w:r w:rsidRPr="006F1FB6">
        <w:rPr>
          <w:sz w:val="24"/>
          <w:szCs w:val="24"/>
        </w:rPr>
        <w:t>metformin</w:t>
      </w:r>
      <w:proofErr w:type="spellEnd"/>
      <w:r w:rsidRPr="006F1FB6">
        <w:rPr>
          <w:sz w:val="24"/>
          <w:szCs w:val="24"/>
        </w:rPr>
        <w:t xml:space="preserve">. </w:t>
      </w:r>
      <w:proofErr w:type="spellStart"/>
      <w:r w:rsidRPr="006F1FB6">
        <w:rPr>
          <w:sz w:val="24"/>
          <w:szCs w:val="24"/>
        </w:rPr>
        <w:t>Incidensen</w:t>
      </w:r>
      <w:proofErr w:type="spellEnd"/>
      <w:r w:rsidRPr="006F1FB6">
        <w:rPr>
          <w:sz w:val="24"/>
          <w:szCs w:val="24"/>
        </w:rPr>
        <w:t xml:space="preserve"> af hypoglykæmi var ikke signifikant forskellig mellem behandlingsgrupperne (</w:t>
      </w:r>
      <w:proofErr w:type="spellStart"/>
      <w:r w:rsidRPr="006F1FB6">
        <w:rPr>
          <w:sz w:val="24"/>
          <w:szCs w:val="24"/>
        </w:rPr>
        <w:t>sitagliptin</w:t>
      </w:r>
      <w:proofErr w:type="spellEnd"/>
      <w:r w:rsidRPr="006F1FB6">
        <w:rPr>
          <w:sz w:val="24"/>
          <w:szCs w:val="24"/>
        </w:rPr>
        <w:t xml:space="preserve"> 1,3</w:t>
      </w:r>
      <w:r>
        <w:rPr>
          <w:sz w:val="24"/>
          <w:szCs w:val="24"/>
        </w:rPr>
        <w:t xml:space="preserve"> %</w:t>
      </w:r>
      <w:r w:rsidRPr="006F1FB6">
        <w:rPr>
          <w:sz w:val="24"/>
          <w:szCs w:val="24"/>
        </w:rPr>
        <w:t xml:space="preserve">; </w:t>
      </w:r>
      <w:proofErr w:type="spellStart"/>
      <w:r w:rsidRPr="006F1FB6">
        <w:rPr>
          <w:sz w:val="24"/>
          <w:szCs w:val="24"/>
        </w:rPr>
        <w:t>metformin</w:t>
      </w:r>
      <w:proofErr w:type="spellEnd"/>
      <w:r w:rsidRPr="006F1FB6">
        <w:rPr>
          <w:sz w:val="24"/>
          <w:szCs w:val="24"/>
        </w:rPr>
        <w:t xml:space="preserve"> 1,9</w:t>
      </w:r>
      <w:r>
        <w:rPr>
          <w:sz w:val="24"/>
          <w:szCs w:val="24"/>
        </w:rPr>
        <w:t xml:space="preserve"> %</w:t>
      </w:r>
      <w:r w:rsidRPr="006F1FB6">
        <w:rPr>
          <w:sz w:val="24"/>
          <w:szCs w:val="24"/>
        </w:rPr>
        <w:t xml:space="preserve">). Kropsvægten faldt i forhold til </w:t>
      </w:r>
      <w:r w:rsidRPr="006F1FB6">
        <w:rPr>
          <w:i/>
          <w:iCs/>
          <w:sz w:val="24"/>
          <w:szCs w:val="24"/>
        </w:rPr>
        <w:t>baseline</w:t>
      </w:r>
      <w:r w:rsidRPr="006F1FB6">
        <w:rPr>
          <w:sz w:val="24"/>
          <w:szCs w:val="24"/>
        </w:rPr>
        <w:t xml:space="preserve"> i begge grupper (</w:t>
      </w:r>
      <w:proofErr w:type="spellStart"/>
      <w:r w:rsidRPr="006F1FB6">
        <w:rPr>
          <w:sz w:val="24"/>
          <w:szCs w:val="24"/>
        </w:rPr>
        <w:t>sitagliptin</w:t>
      </w:r>
      <w:proofErr w:type="spellEnd"/>
      <w:r w:rsidRPr="006F1FB6">
        <w:rPr>
          <w:sz w:val="24"/>
          <w:szCs w:val="24"/>
        </w:rPr>
        <w:t xml:space="preserve"> -0,6 kg; </w:t>
      </w:r>
      <w:proofErr w:type="spellStart"/>
      <w:r w:rsidRPr="006F1FB6">
        <w:rPr>
          <w:sz w:val="24"/>
          <w:szCs w:val="24"/>
        </w:rPr>
        <w:t>metformin</w:t>
      </w:r>
      <w:proofErr w:type="spellEnd"/>
      <w:r w:rsidRPr="006F1FB6">
        <w:rPr>
          <w:sz w:val="24"/>
          <w:szCs w:val="24"/>
        </w:rPr>
        <w:t xml:space="preserve"> -1,9 kg).</w:t>
      </w:r>
    </w:p>
    <w:p w14:paraId="1595C099" w14:textId="77777777" w:rsidR="00DD5979" w:rsidRPr="006F1FB6" w:rsidRDefault="00DD5979" w:rsidP="00DD5979">
      <w:pPr>
        <w:tabs>
          <w:tab w:val="left" w:pos="851"/>
        </w:tabs>
        <w:ind w:left="851"/>
        <w:rPr>
          <w:sz w:val="24"/>
          <w:szCs w:val="24"/>
        </w:rPr>
      </w:pPr>
    </w:p>
    <w:p w14:paraId="2D0A7B5C" w14:textId="77777777" w:rsidR="00DD5979" w:rsidRPr="006F1FB6" w:rsidRDefault="00DD5979" w:rsidP="00DD5979">
      <w:pPr>
        <w:tabs>
          <w:tab w:val="left" w:pos="851"/>
        </w:tabs>
        <w:ind w:left="851"/>
        <w:rPr>
          <w:sz w:val="24"/>
          <w:szCs w:val="24"/>
        </w:rPr>
      </w:pPr>
      <w:r w:rsidRPr="006F1FB6">
        <w:rPr>
          <w:sz w:val="24"/>
          <w:szCs w:val="24"/>
        </w:rPr>
        <w:t xml:space="preserve">I en undersøgelse af effekt og sikkerhed af tillægsbehandling med </w:t>
      </w:r>
      <w:proofErr w:type="spellStart"/>
      <w:r w:rsidRPr="006F1FB6">
        <w:rPr>
          <w:sz w:val="24"/>
          <w:szCs w:val="24"/>
        </w:rPr>
        <w:t>sitagliptin</w:t>
      </w:r>
      <w:proofErr w:type="spellEnd"/>
      <w:r w:rsidRPr="006F1FB6">
        <w:rPr>
          <w:sz w:val="24"/>
          <w:szCs w:val="24"/>
        </w:rPr>
        <w:t xml:space="preserve"> 100 mg en gang daglig</w:t>
      </w:r>
      <w:r>
        <w:rPr>
          <w:sz w:val="24"/>
          <w:szCs w:val="24"/>
        </w:rPr>
        <w:t>t</w:t>
      </w:r>
      <w:r w:rsidRPr="006F1FB6">
        <w:rPr>
          <w:sz w:val="24"/>
          <w:szCs w:val="24"/>
        </w:rPr>
        <w:t xml:space="preserve"> eller </w:t>
      </w:r>
      <w:proofErr w:type="spellStart"/>
      <w:r w:rsidRPr="006F1FB6">
        <w:rPr>
          <w:sz w:val="24"/>
          <w:szCs w:val="24"/>
        </w:rPr>
        <w:t>glipizid</w:t>
      </w:r>
      <w:proofErr w:type="spellEnd"/>
      <w:r w:rsidRPr="006F1FB6">
        <w:rPr>
          <w:sz w:val="24"/>
          <w:szCs w:val="24"/>
        </w:rPr>
        <w:t xml:space="preserve"> (et </w:t>
      </w:r>
      <w:proofErr w:type="spellStart"/>
      <w:r w:rsidRPr="006F1FB6">
        <w:rPr>
          <w:sz w:val="24"/>
          <w:szCs w:val="24"/>
        </w:rPr>
        <w:t>sulfonylurinstof</w:t>
      </w:r>
      <w:proofErr w:type="spellEnd"/>
      <w:r w:rsidRPr="006F1FB6">
        <w:rPr>
          <w:sz w:val="24"/>
          <w:szCs w:val="24"/>
        </w:rPr>
        <w:t xml:space="preserve">) til patienter med utilstrækkelig </w:t>
      </w:r>
      <w:proofErr w:type="spellStart"/>
      <w:r w:rsidRPr="006F1FB6">
        <w:rPr>
          <w:sz w:val="24"/>
          <w:szCs w:val="24"/>
        </w:rPr>
        <w:t>glykæmisk</w:t>
      </w:r>
      <w:proofErr w:type="spellEnd"/>
      <w:r w:rsidRPr="006F1FB6">
        <w:rPr>
          <w:sz w:val="24"/>
          <w:szCs w:val="24"/>
        </w:rPr>
        <w:t xml:space="preserve"> kontrol på </w:t>
      </w:r>
      <w:proofErr w:type="spellStart"/>
      <w:r w:rsidRPr="006F1FB6">
        <w:rPr>
          <w:sz w:val="24"/>
          <w:szCs w:val="24"/>
        </w:rPr>
        <w:t>metforminmonoterapi</w:t>
      </w:r>
      <w:proofErr w:type="spellEnd"/>
      <w:r w:rsidRPr="006F1FB6">
        <w:rPr>
          <w:sz w:val="24"/>
          <w:szCs w:val="24"/>
        </w:rPr>
        <w:t xml:space="preserve">, var </w:t>
      </w:r>
      <w:proofErr w:type="spellStart"/>
      <w:r w:rsidRPr="006F1FB6">
        <w:rPr>
          <w:sz w:val="24"/>
          <w:szCs w:val="24"/>
        </w:rPr>
        <w:t>sitagliptin</w:t>
      </w:r>
      <w:proofErr w:type="spellEnd"/>
      <w:r w:rsidRPr="006F1FB6">
        <w:rPr>
          <w:sz w:val="24"/>
          <w:szCs w:val="24"/>
        </w:rPr>
        <w:t xml:space="preserve"> sammenlignelig med </w:t>
      </w:r>
      <w:proofErr w:type="spellStart"/>
      <w:r w:rsidRPr="006F1FB6">
        <w:rPr>
          <w:sz w:val="24"/>
          <w:szCs w:val="24"/>
        </w:rPr>
        <w:t>glipizid</w:t>
      </w:r>
      <w:proofErr w:type="spellEnd"/>
      <w:r w:rsidRPr="006F1FB6">
        <w:rPr>
          <w:sz w:val="24"/>
          <w:szCs w:val="24"/>
        </w:rPr>
        <w:t xml:space="preserve"> mht. reduktion af HbA</w:t>
      </w:r>
      <w:r w:rsidRPr="006F1FB6">
        <w:rPr>
          <w:sz w:val="24"/>
          <w:szCs w:val="24"/>
          <w:vertAlign w:val="subscript"/>
        </w:rPr>
        <w:t>1c</w:t>
      </w:r>
      <w:r w:rsidRPr="006F1FB6">
        <w:rPr>
          <w:sz w:val="24"/>
          <w:szCs w:val="24"/>
        </w:rPr>
        <w:t xml:space="preserve">. Den gennemsnitligt anvendte </w:t>
      </w:r>
      <w:proofErr w:type="spellStart"/>
      <w:r w:rsidRPr="006F1FB6">
        <w:rPr>
          <w:sz w:val="24"/>
          <w:szCs w:val="24"/>
        </w:rPr>
        <w:t>glipiziddosis</w:t>
      </w:r>
      <w:proofErr w:type="spellEnd"/>
      <w:r w:rsidRPr="006F1FB6">
        <w:rPr>
          <w:sz w:val="24"/>
          <w:szCs w:val="24"/>
        </w:rPr>
        <w:t xml:space="preserve"> var 10 mg </w:t>
      </w:r>
      <w:r>
        <w:rPr>
          <w:sz w:val="24"/>
          <w:szCs w:val="24"/>
        </w:rPr>
        <w:t>dagligt</w:t>
      </w:r>
      <w:r w:rsidRPr="006F1FB6">
        <w:rPr>
          <w:sz w:val="24"/>
          <w:szCs w:val="24"/>
        </w:rPr>
        <w:t xml:space="preserve">, og ca. </w:t>
      </w:r>
      <w:r w:rsidRPr="006F1FB6">
        <w:rPr>
          <w:sz w:val="24"/>
          <w:szCs w:val="24"/>
        </w:rPr>
        <w:lastRenderedPageBreak/>
        <w:t>40</w:t>
      </w:r>
      <w:r>
        <w:rPr>
          <w:sz w:val="24"/>
          <w:szCs w:val="24"/>
        </w:rPr>
        <w:t xml:space="preserve"> %</w:t>
      </w:r>
      <w:r w:rsidRPr="006F1FB6">
        <w:rPr>
          <w:sz w:val="24"/>
          <w:szCs w:val="24"/>
        </w:rPr>
        <w:t xml:space="preserve"> af patienterne havde behov for en </w:t>
      </w:r>
      <w:proofErr w:type="spellStart"/>
      <w:r w:rsidRPr="006F1FB6">
        <w:rPr>
          <w:sz w:val="24"/>
          <w:szCs w:val="24"/>
        </w:rPr>
        <w:t>glipiziddosis</w:t>
      </w:r>
      <w:proofErr w:type="spellEnd"/>
      <w:r w:rsidRPr="006F1FB6">
        <w:rPr>
          <w:sz w:val="24"/>
          <w:szCs w:val="24"/>
        </w:rPr>
        <w:t xml:space="preserve"> på ≤ 5 mg/dag i hele undersøgelses-perioden. Imidlertid ophørte flere patienter i </w:t>
      </w:r>
      <w:proofErr w:type="spellStart"/>
      <w:r w:rsidRPr="006F1FB6">
        <w:rPr>
          <w:sz w:val="24"/>
          <w:szCs w:val="24"/>
        </w:rPr>
        <w:t>sitagliptingruppen</w:t>
      </w:r>
      <w:proofErr w:type="spellEnd"/>
      <w:r w:rsidRPr="006F1FB6">
        <w:rPr>
          <w:sz w:val="24"/>
          <w:szCs w:val="24"/>
        </w:rPr>
        <w:t xml:space="preserve"> med behandling på grund af manglende effekt end i </w:t>
      </w:r>
      <w:proofErr w:type="spellStart"/>
      <w:r w:rsidRPr="006F1FB6">
        <w:rPr>
          <w:sz w:val="24"/>
          <w:szCs w:val="24"/>
        </w:rPr>
        <w:t>glipizidgruppen</w:t>
      </w:r>
      <w:proofErr w:type="spellEnd"/>
      <w:r w:rsidRPr="006F1FB6">
        <w:rPr>
          <w:sz w:val="24"/>
          <w:szCs w:val="24"/>
        </w:rPr>
        <w:t xml:space="preserve">. De patienter, der blev behandlet med </w:t>
      </w:r>
      <w:proofErr w:type="spellStart"/>
      <w:r w:rsidRPr="006F1FB6">
        <w:rPr>
          <w:sz w:val="24"/>
          <w:szCs w:val="24"/>
        </w:rPr>
        <w:t>sitagliptin</w:t>
      </w:r>
      <w:proofErr w:type="spellEnd"/>
      <w:r w:rsidRPr="006F1FB6">
        <w:rPr>
          <w:sz w:val="24"/>
          <w:szCs w:val="24"/>
        </w:rPr>
        <w:t xml:space="preserve">, udviste et signifikant gennemsnitligt fald i kropsvægt i forhold til </w:t>
      </w:r>
      <w:r w:rsidRPr="006F1FB6">
        <w:rPr>
          <w:i/>
          <w:iCs/>
          <w:sz w:val="24"/>
          <w:szCs w:val="24"/>
        </w:rPr>
        <w:t>baseline</w:t>
      </w:r>
      <w:r w:rsidRPr="006F1FB6">
        <w:rPr>
          <w:sz w:val="24"/>
          <w:szCs w:val="24"/>
        </w:rPr>
        <w:t xml:space="preserve"> sammenlignet med en signifikant vægtøgning hos patientgruppen, der fik </w:t>
      </w:r>
      <w:proofErr w:type="spellStart"/>
      <w:r w:rsidRPr="006F1FB6">
        <w:rPr>
          <w:sz w:val="24"/>
          <w:szCs w:val="24"/>
        </w:rPr>
        <w:t>glipizid</w:t>
      </w:r>
      <w:proofErr w:type="spellEnd"/>
      <w:r w:rsidRPr="006F1FB6">
        <w:rPr>
          <w:sz w:val="24"/>
          <w:szCs w:val="24"/>
        </w:rPr>
        <w:t xml:space="preserve"> (-1,5 </w:t>
      </w:r>
      <w:r w:rsidRPr="006F1FB6">
        <w:rPr>
          <w:i/>
          <w:iCs/>
          <w:sz w:val="24"/>
          <w:szCs w:val="24"/>
        </w:rPr>
        <w:t>versus</w:t>
      </w:r>
      <w:r w:rsidRPr="006F1FB6">
        <w:rPr>
          <w:sz w:val="24"/>
          <w:szCs w:val="24"/>
        </w:rPr>
        <w:t xml:space="preserve"> +1,1 kg). I denne undersøgelse forbedredes proinsulin/insulinratioen, der er en markør for effektiviteten af insulinsyntese og -sekretion, med </w:t>
      </w:r>
      <w:proofErr w:type="spellStart"/>
      <w:r w:rsidRPr="006F1FB6">
        <w:rPr>
          <w:sz w:val="24"/>
          <w:szCs w:val="24"/>
        </w:rPr>
        <w:t>sitagliptin</w:t>
      </w:r>
      <w:proofErr w:type="spellEnd"/>
      <w:r w:rsidRPr="006F1FB6">
        <w:rPr>
          <w:sz w:val="24"/>
          <w:szCs w:val="24"/>
        </w:rPr>
        <w:t xml:space="preserve"> og forværredes med </w:t>
      </w:r>
      <w:proofErr w:type="spellStart"/>
      <w:r w:rsidRPr="006F1FB6">
        <w:rPr>
          <w:sz w:val="24"/>
          <w:szCs w:val="24"/>
        </w:rPr>
        <w:t>glipizidbehandling</w:t>
      </w:r>
      <w:proofErr w:type="spellEnd"/>
      <w:r w:rsidRPr="006F1FB6">
        <w:rPr>
          <w:sz w:val="24"/>
          <w:szCs w:val="24"/>
        </w:rPr>
        <w:t xml:space="preserve">. </w:t>
      </w:r>
      <w:proofErr w:type="spellStart"/>
      <w:r w:rsidRPr="006F1FB6">
        <w:rPr>
          <w:sz w:val="24"/>
          <w:szCs w:val="24"/>
        </w:rPr>
        <w:t>Incidensen</w:t>
      </w:r>
      <w:proofErr w:type="spellEnd"/>
      <w:r w:rsidRPr="006F1FB6">
        <w:rPr>
          <w:sz w:val="24"/>
          <w:szCs w:val="24"/>
        </w:rPr>
        <w:t xml:space="preserve"> af hypoglykæmi i gruppen, som blev behandlet med </w:t>
      </w:r>
      <w:proofErr w:type="spellStart"/>
      <w:r w:rsidRPr="006F1FB6">
        <w:rPr>
          <w:sz w:val="24"/>
          <w:szCs w:val="24"/>
        </w:rPr>
        <w:t>sitagliptin</w:t>
      </w:r>
      <w:proofErr w:type="spellEnd"/>
      <w:r w:rsidRPr="006F1FB6">
        <w:rPr>
          <w:sz w:val="24"/>
          <w:szCs w:val="24"/>
        </w:rPr>
        <w:t xml:space="preserve"> (4,9</w:t>
      </w:r>
      <w:r>
        <w:rPr>
          <w:sz w:val="24"/>
          <w:szCs w:val="24"/>
        </w:rPr>
        <w:t xml:space="preserve"> %</w:t>
      </w:r>
      <w:r w:rsidRPr="006F1FB6">
        <w:rPr>
          <w:sz w:val="24"/>
          <w:szCs w:val="24"/>
        </w:rPr>
        <w:t xml:space="preserve">), var signifikant lavere end i </w:t>
      </w:r>
      <w:proofErr w:type="spellStart"/>
      <w:r w:rsidRPr="006F1FB6">
        <w:rPr>
          <w:sz w:val="24"/>
          <w:szCs w:val="24"/>
        </w:rPr>
        <w:t>glipizidgruppen</w:t>
      </w:r>
      <w:proofErr w:type="spellEnd"/>
      <w:r w:rsidRPr="006F1FB6">
        <w:rPr>
          <w:sz w:val="24"/>
          <w:szCs w:val="24"/>
        </w:rPr>
        <w:t xml:space="preserve"> (32,0</w:t>
      </w:r>
      <w:r>
        <w:rPr>
          <w:sz w:val="24"/>
          <w:szCs w:val="24"/>
        </w:rPr>
        <w:t xml:space="preserve"> %</w:t>
      </w:r>
      <w:r w:rsidRPr="006F1FB6">
        <w:rPr>
          <w:sz w:val="24"/>
          <w:szCs w:val="24"/>
        </w:rPr>
        <w:t>).</w:t>
      </w:r>
    </w:p>
    <w:p w14:paraId="062B40BB" w14:textId="77777777" w:rsidR="00DD5979" w:rsidRPr="006F1FB6" w:rsidRDefault="00DD5979" w:rsidP="00DD5979">
      <w:pPr>
        <w:tabs>
          <w:tab w:val="left" w:pos="851"/>
        </w:tabs>
        <w:ind w:left="851"/>
        <w:rPr>
          <w:sz w:val="24"/>
          <w:szCs w:val="24"/>
        </w:rPr>
      </w:pPr>
    </w:p>
    <w:p w14:paraId="445F0446" w14:textId="77777777" w:rsidR="00DD5979" w:rsidRPr="006F1FB6" w:rsidRDefault="00DD5979" w:rsidP="00DD5979">
      <w:pPr>
        <w:tabs>
          <w:tab w:val="left" w:pos="851"/>
        </w:tabs>
        <w:ind w:left="851"/>
        <w:rPr>
          <w:sz w:val="24"/>
          <w:szCs w:val="24"/>
        </w:rPr>
      </w:pPr>
      <w:r w:rsidRPr="006F1FB6">
        <w:rPr>
          <w:sz w:val="24"/>
          <w:szCs w:val="24"/>
        </w:rPr>
        <w:t xml:space="preserve">En 24-ugers placebokontrolleret undersøgelse med 660 patienter blev designet til at vurdere den insulinbesparende effekt og sikkerheden af </w:t>
      </w:r>
      <w:proofErr w:type="spellStart"/>
      <w:r w:rsidRPr="006F1FB6">
        <w:rPr>
          <w:sz w:val="24"/>
          <w:szCs w:val="24"/>
        </w:rPr>
        <w:t>sitagliptin</w:t>
      </w:r>
      <w:proofErr w:type="spellEnd"/>
      <w:r w:rsidRPr="006F1FB6">
        <w:rPr>
          <w:sz w:val="24"/>
          <w:szCs w:val="24"/>
        </w:rPr>
        <w:t xml:space="preserve"> (100 mg en gang daglig</w:t>
      </w:r>
      <w:r>
        <w:rPr>
          <w:sz w:val="24"/>
          <w:szCs w:val="24"/>
        </w:rPr>
        <w:t>t</w:t>
      </w:r>
      <w:r w:rsidRPr="006F1FB6">
        <w:rPr>
          <w:sz w:val="24"/>
          <w:szCs w:val="24"/>
        </w:rPr>
        <w:t xml:space="preserve">) som supplement til insulin </w:t>
      </w:r>
      <w:proofErr w:type="spellStart"/>
      <w:r w:rsidRPr="006F1FB6">
        <w:rPr>
          <w:sz w:val="24"/>
          <w:szCs w:val="24"/>
        </w:rPr>
        <w:t>glargin</w:t>
      </w:r>
      <w:proofErr w:type="spellEnd"/>
      <w:r w:rsidRPr="006F1FB6">
        <w:rPr>
          <w:sz w:val="24"/>
          <w:szCs w:val="24"/>
        </w:rPr>
        <w:t xml:space="preserve"> med eller uden </w:t>
      </w:r>
      <w:proofErr w:type="spellStart"/>
      <w:r w:rsidRPr="006F1FB6">
        <w:rPr>
          <w:sz w:val="24"/>
          <w:szCs w:val="24"/>
        </w:rPr>
        <w:t>metformin</w:t>
      </w:r>
      <w:proofErr w:type="spellEnd"/>
      <w:r w:rsidRPr="006F1FB6">
        <w:rPr>
          <w:sz w:val="24"/>
          <w:szCs w:val="24"/>
        </w:rPr>
        <w:t xml:space="preserve"> (mindst 1 500 mg) under optrapning af insulinbehandling. HbA</w:t>
      </w:r>
      <w:r w:rsidRPr="006F1FB6">
        <w:rPr>
          <w:sz w:val="24"/>
          <w:szCs w:val="24"/>
          <w:vertAlign w:val="subscript"/>
        </w:rPr>
        <w:t>1c</w:t>
      </w:r>
      <w:r w:rsidRPr="006F1FB6">
        <w:rPr>
          <w:sz w:val="24"/>
          <w:szCs w:val="24"/>
        </w:rPr>
        <w:t xml:space="preserve"> ved </w:t>
      </w:r>
      <w:r w:rsidRPr="006F1FB6">
        <w:rPr>
          <w:i/>
          <w:iCs/>
          <w:sz w:val="24"/>
          <w:szCs w:val="24"/>
        </w:rPr>
        <w:t>baseline</w:t>
      </w:r>
      <w:r w:rsidRPr="006F1FB6">
        <w:rPr>
          <w:sz w:val="24"/>
          <w:szCs w:val="24"/>
        </w:rPr>
        <w:t xml:space="preserve"> var 8,74</w:t>
      </w:r>
      <w:r>
        <w:rPr>
          <w:sz w:val="24"/>
          <w:szCs w:val="24"/>
        </w:rPr>
        <w:t xml:space="preserve"> %</w:t>
      </w:r>
      <w:r w:rsidRPr="006F1FB6">
        <w:rPr>
          <w:sz w:val="24"/>
          <w:szCs w:val="24"/>
        </w:rPr>
        <w:t xml:space="preserve">, og insulindosis ved baseline var 37 IE/dag. Patienterne blev instrueret i at titrere deres dosis af insulin </w:t>
      </w:r>
      <w:proofErr w:type="spellStart"/>
      <w:r w:rsidRPr="006F1FB6">
        <w:rPr>
          <w:sz w:val="24"/>
          <w:szCs w:val="24"/>
        </w:rPr>
        <w:t>glargin</w:t>
      </w:r>
      <w:proofErr w:type="spellEnd"/>
      <w:r w:rsidRPr="006F1FB6">
        <w:rPr>
          <w:sz w:val="24"/>
          <w:szCs w:val="24"/>
        </w:rPr>
        <w:t xml:space="preserve"> på basis af </w:t>
      </w:r>
      <w:proofErr w:type="spellStart"/>
      <w:r w:rsidRPr="006F1FB6">
        <w:rPr>
          <w:sz w:val="24"/>
          <w:szCs w:val="24"/>
        </w:rPr>
        <w:t>fasteglucose</w:t>
      </w:r>
      <w:proofErr w:type="spellEnd"/>
      <w:r w:rsidRPr="006F1FB6">
        <w:rPr>
          <w:sz w:val="24"/>
          <w:szCs w:val="24"/>
        </w:rPr>
        <w:t xml:space="preserve"> fra fingerprikmålinger. I uge 24 var stigningen i daglig insulindosis 19 IE/dag hos de patienter, der blev behandlet med </w:t>
      </w:r>
      <w:proofErr w:type="spellStart"/>
      <w:r w:rsidRPr="006F1FB6">
        <w:rPr>
          <w:sz w:val="24"/>
          <w:szCs w:val="24"/>
        </w:rPr>
        <w:t>sitagliptin</w:t>
      </w:r>
      <w:proofErr w:type="spellEnd"/>
      <w:r w:rsidRPr="006F1FB6">
        <w:rPr>
          <w:sz w:val="24"/>
          <w:szCs w:val="24"/>
        </w:rPr>
        <w:t>, og 24 IE/dag hos de patienter, der blev behandlet med placebo. Reduktionen i HbA</w:t>
      </w:r>
      <w:r w:rsidRPr="006F1FB6">
        <w:rPr>
          <w:sz w:val="24"/>
          <w:szCs w:val="24"/>
          <w:vertAlign w:val="subscript"/>
        </w:rPr>
        <w:t>1c</w:t>
      </w:r>
      <w:r w:rsidRPr="006F1FB6">
        <w:rPr>
          <w:sz w:val="24"/>
          <w:szCs w:val="24"/>
        </w:rPr>
        <w:t xml:space="preserve"> hos de patienter, der blev behandlet med </w:t>
      </w:r>
      <w:proofErr w:type="spellStart"/>
      <w:r w:rsidRPr="006F1FB6">
        <w:rPr>
          <w:sz w:val="24"/>
          <w:szCs w:val="24"/>
        </w:rPr>
        <w:t>sitagliptin</w:t>
      </w:r>
      <w:proofErr w:type="spellEnd"/>
      <w:r w:rsidRPr="006F1FB6">
        <w:rPr>
          <w:sz w:val="24"/>
          <w:szCs w:val="24"/>
        </w:rPr>
        <w:t xml:space="preserve"> og insulin (med eller uden </w:t>
      </w:r>
      <w:proofErr w:type="spellStart"/>
      <w:r w:rsidRPr="006F1FB6">
        <w:rPr>
          <w:sz w:val="24"/>
          <w:szCs w:val="24"/>
        </w:rPr>
        <w:t>metformin</w:t>
      </w:r>
      <w:proofErr w:type="spellEnd"/>
      <w:r w:rsidRPr="006F1FB6">
        <w:rPr>
          <w:sz w:val="24"/>
          <w:szCs w:val="24"/>
        </w:rPr>
        <w:t>), var -1,31</w:t>
      </w:r>
      <w:r>
        <w:rPr>
          <w:sz w:val="24"/>
          <w:szCs w:val="24"/>
        </w:rPr>
        <w:t xml:space="preserve"> %</w:t>
      </w:r>
      <w:r w:rsidRPr="006F1FB6">
        <w:rPr>
          <w:sz w:val="24"/>
          <w:szCs w:val="24"/>
        </w:rPr>
        <w:t xml:space="preserve"> sammenlignet med -0,87</w:t>
      </w:r>
      <w:r>
        <w:rPr>
          <w:sz w:val="24"/>
          <w:szCs w:val="24"/>
        </w:rPr>
        <w:t xml:space="preserve"> %</w:t>
      </w:r>
      <w:r w:rsidRPr="006F1FB6">
        <w:rPr>
          <w:sz w:val="24"/>
          <w:szCs w:val="24"/>
        </w:rPr>
        <w:t xml:space="preserve"> hos de patienter, der blev behandlet med placebo og insulin (med eller uden </w:t>
      </w:r>
      <w:proofErr w:type="spellStart"/>
      <w:r w:rsidRPr="006F1FB6">
        <w:rPr>
          <w:sz w:val="24"/>
          <w:szCs w:val="24"/>
        </w:rPr>
        <w:t>metformin</w:t>
      </w:r>
      <w:proofErr w:type="spellEnd"/>
      <w:r w:rsidRPr="006F1FB6">
        <w:rPr>
          <w:sz w:val="24"/>
          <w:szCs w:val="24"/>
        </w:rPr>
        <w:t>), en forskel på -0,45</w:t>
      </w:r>
      <w:r>
        <w:rPr>
          <w:sz w:val="24"/>
          <w:szCs w:val="24"/>
        </w:rPr>
        <w:t xml:space="preserve"> %</w:t>
      </w:r>
      <w:r w:rsidRPr="006F1FB6">
        <w:rPr>
          <w:sz w:val="24"/>
          <w:szCs w:val="24"/>
        </w:rPr>
        <w:t xml:space="preserve"> [95</w:t>
      </w:r>
      <w:r>
        <w:rPr>
          <w:sz w:val="24"/>
          <w:szCs w:val="24"/>
        </w:rPr>
        <w:t xml:space="preserve"> %</w:t>
      </w:r>
      <w:r w:rsidRPr="006F1FB6">
        <w:rPr>
          <w:sz w:val="24"/>
          <w:szCs w:val="24"/>
        </w:rPr>
        <w:t xml:space="preserve"> konfidensinterval: -0,60; -0,29]. </w:t>
      </w:r>
      <w:proofErr w:type="spellStart"/>
      <w:r w:rsidRPr="006F1FB6">
        <w:rPr>
          <w:sz w:val="24"/>
          <w:szCs w:val="24"/>
        </w:rPr>
        <w:t>Incidensen</w:t>
      </w:r>
      <w:proofErr w:type="spellEnd"/>
      <w:r w:rsidRPr="006F1FB6">
        <w:rPr>
          <w:sz w:val="24"/>
          <w:szCs w:val="24"/>
        </w:rPr>
        <w:t xml:space="preserve"> af hypoglykæmi var 25,2</w:t>
      </w:r>
      <w:r>
        <w:rPr>
          <w:sz w:val="24"/>
          <w:szCs w:val="24"/>
        </w:rPr>
        <w:t xml:space="preserve"> %</w:t>
      </w:r>
      <w:r w:rsidRPr="006F1FB6">
        <w:rPr>
          <w:sz w:val="24"/>
          <w:szCs w:val="24"/>
        </w:rPr>
        <w:t xml:space="preserve"> hos de patienter, der blev behandlet med </w:t>
      </w:r>
      <w:proofErr w:type="spellStart"/>
      <w:r w:rsidRPr="006F1FB6">
        <w:rPr>
          <w:sz w:val="24"/>
          <w:szCs w:val="24"/>
        </w:rPr>
        <w:t>sitagliptin</w:t>
      </w:r>
      <w:proofErr w:type="spellEnd"/>
      <w:r w:rsidRPr="006F1FB6">
        <w:rPr>
          <w:sz w:val="24"/>
          <w:szCs w:val="24"/>
        </w:rPr>
        <w:t xml:space="preserve"> og insulin (med eller uden </w:t>
      </w:r>
      <w:proofErr w:type="spellStart"/>
      <w:r w:rsidRPr="006F1FB6">
        <w:rPr>
          <w:sz w:val="24"/>
          <w:szCs w:val="24"/>
        </w:rPr>
        <w:t>metformin</w:t>
      </w:r>
      <w:proofErr w:type="spellEnd"/>
      <w:r w:rsidRPr="006F1FB6">
        <w:rPr>
          <w:sz w:val="24"/>
          <w:szCs w:val="24"/>
        </w:rPr>
        <w:t>), og 36,8</w:t>
      </w:r>
      <w:r>
        <w:rPr>
          <w:sz w:val="24"/>
          <w:szCs w:val="24"/>
        </w:rPr>
        <w:t xml:space="preserve"> %</w:t>
      </w:r>
      <w:r w:rsidRPr="006F1FB6">
        <w:rPr>
          <w:sz w:val="24"/>
          <w:szCs w:val="24"/>
        </w:rPr>
        <w:t xml:space="preserve"> hos de patienter, der blev behandlet med placebo og insulin (med eller uden </w:t>
      </w:r>
      <w:proofErr w:type="spellStart"/>
      <w:r w:rsidRPr="006F1FB6">
        <w:rPr>
          <w:sz w:val="24"/>
          <w:szCs w:val="24"/>
        </w:rPr>
        <w:t>metformin</w:t>
      </w:r>
      <w:proofErr w:type="spellEnd"/>
      <w:r w:rsidRPr="006F1FB6">
        <w:rPr>
          <w:sz w:val="24"/>
          <w:szCs w:val="24"/>
        </w:rPr>
        <w:t xml:space="preserve">). Forskellen skyldtes hovedsageligt en højere procentdel af patienter i placebogruppen, som oplevede 3 eller flere episoder med hypoglykæmi (9,4 </w:t>
      </w:r>
      <w:r w:rsidRPr="006F1FB6">
        <w:rPr>
          <w:i/>
          <w:iCs/>
          <w:sz w:val="24"/>
          <w:szCs w:val="24"/>
        </w:rPr>
        <w:t>versus</w:t>
      </w:r>
      <w:r w:rsidRPr="006F1FB6">
        <w:rPr>
          <w:sz w:val="24"/>
          <w:szCs w:val="24"/>
        </w:rPr>
        <w:t xml:space="preserve"> 19,1</w:t>
      </w:r>
      <w:r>
        <w:rPr>
          <w:sz w:val="24"/>
          <w:szCs w:val="24"/>
        </w:rPr>
        <w:t xml:space="preserve"> %</w:t>
      </w:r>
      <w:r w:rsidRPr="006F1FB6">
        <w:rPr>
          <w:sz w:val="24"/>
          <w:szCs w:val="24"/>
        </w:rPr>
        <w:t xml:space="preserve">). Der var ingen forskel i </w:t>
      </w:r>
      <w:proofErr w:type="spellStart"/>
      <w:r w:rsidRPr="006F1FB6">
        <w:rPr>
          <w:sz w:val="24"/>
          <w:szCs w:val="24"/>
        </w:rPr>
        <w:t>incidensen</w:t>
      </w:r>
      <w:proofErr w:type="spellEnd"/>
      <w:r w:rsidRPr="006F1FB6">
        <w:rPr>
          <w:sz w:val="24"/>
          <w:szCs w:val="24"/>
        </w:rPr>
        <w:t xml:space="preserve"> af svær hypoglykæmi.</w:t>
      </w:r>
    </w:p>
    <w:p w14:paraId="0C33D011" w14:textId="77777777" w:rsidR="00DD5979" w:rsidRPr="006F1FB6" w:rsidRDefault="00DD5979" w:rsidP="00DD5979">
      <w:pPr>
        <w:tabs>
          <w:tab w:val="left" w:pos="851"/>
        </w:tabs>
        <w:ind w:left="851"/>
        <w:rPr>
          <w:sz w:val="24"/>
          <w:szCs w:val="24"/>
        </w:rPr>
      </w:pPr>
    </w:p>
    <w:p w14:paraId="3AC1DF76" w14:textId="77777777" w:rsidR="00DD5979" w:rsidRPr="006F1FB6" w:rsidRDefault="00DD5979" w:rsidP="00DD5979">
      <w:pPr>
        <w:tabs>
          <w:tab w:val="left" w:pos="851"/>
        </w:tabs>
        <w:ind w:left="851"/>
        <w:rPr>
          <w:sz w:val="24"/>
          <w:szCs w:val="24"/>
        </w:rPr>
      </w:pPr>
      <w:r w:rsidRPr="006F1FB6">
        <w:rPr>
          <w:sz w:val="24"/>
          <w:szCs w:val="24"/>
        </w:rPr>
        <w:t xml:space="preserve">Der er hos patienter med moderat til svær nyreinsufficiens udført en undersøgelse, hvor </w:t>
      </w:r>
      <w:proofErr w:type="spellStart"/>
      <w:r w:rsidRPr="006F1FB6">
        <w:rPr>
          <w:sz w:val="24"/>
          <w:szCs w:val="24"/>
        </w:rPr>
        <w:t>sitagliptin</w:t>
      </w:r>
      <w:proofErr w:type="spellEnd"/>
      <w:r w:rsidRPr="006F1FB6">
        <w:rPr>
          <w:sz w:val="24"/>
          <w:szCs w:val="24"/>
        </w:rPr>
        <w:t xml:space="preserve"> 25 mg eller 50 mg </w:t>
      </w:r>
      <w:r>
        <w:rPr>
          <w:sz w:val="24"/>
          <w:szCs w:val="24"/>
        </w:rPr>
        <w:t>dagligt</w:t>
      </w:r>
      <w:r w:rsidRPr="006F1FB6">
        <w:rPr>
          <w:sz w:val="24"/>
          <w:szCs w:val="24"/>
        </w:rPr>
        <w:t xml:space="preserve"> blev sammenlignet med </w:t>
      </w:r>
      <w:proofErr w:type="spellStart"/>
      <w:r w:rsidRPr="006F1FB6">
        <w:rPr>
          <w:sz w:val="24"/>
          <w:szCs w:val="24"/>
        </w:rPr>
        <w:t>glipizid</w:t>
      </w:r>
      <w:proofErr w:type="spellEnd"/>
      <w:r w:rsidRPr="006F1FB6">
        <w:rPr>
          <w:sz w:val="24"/>
          <w:szCs w:val="24"/>
        </w:rPr>
        <w:t xml:space="preserve"> 2,5 mg til 20 mg/dag. Denne undersøgelse omfattede 423 patienter med kronisk nyreinsufficiens (estimeret </w:t>
      </w:r>
      <w:proofErr w:type="spellStart"/>
      <w:r w:rsidRPr="006F1FB6">
        <w:rPr>
          <w:sz w:val="24"/>
          <w:szCs w:val="24"/>
        </w:rPr>
        <w:t>glomerulær</w:t>
      </w:r>
      <w:proofErr w:type="spellEnd"/>
      <w:r w:rsidRPr="006F1FB6">
        <w:rPr>
          <w:sz w:val="24"/>
          <w:szCs w:val="24"/>
        </w:rPr>
        <w:t xml:space="preserve"> filtrationshastighed [</w:t>
      </w:r>
      <w:proofErr w:type="spellStart"/>
      <w:r w:rsidRPr="006F1FB6">
        <w:rPr>
          <w:sz w:val="24"/>
          <w:szCs w:val="24"/>
        </w:rPr>
        <w:t>eGFR</w:t>
      </w:r>
      <w:proofErr w:type="spellEnd"/>
      <w:r w:rsidRPr="006F1FB6">
        <w:rPr>
          <w:sz w:val="24"/>
          <w:szCs w:val="24"/>
        </w:rPr>
        <w:t xml:space="preserve">] &lt; 50 ml/min). Efter 54 uger var den gennemsnitlige reduktion i forhold til </w:t>
      </w:r>
      <w:r w:rsidRPr="006F1FB6">
        <w:rPr>
          <w:i/>
          <w:iCs/>
          <w:sz w:val="24"/>
          <w:szCs w:val="24"/>
        </w:rPr>
        <w:t>baseline</w:t>
      </w:r>
      <w:r w:rsidRPr="006F1FB6">
        <w:rPr>
          <w:sz w:val="24"/>
          <w:szCs w:val="24"/>
        </w:rPr>
        <w:t xml:space="preserve"> i HbA</w:t>
      </w:r>
      <w:r w:rsidRPr="006F1FB6">
        <w:rPr>
          <w:sz w:val="24"/>
          <w:szCs w:val="24"/>
          <w:vertAlign w:val="subscript"/>
        </w:rPr>
        <w:t>1c</w:t>
      </w:r>
      <w:r w:rsidRPr="006F1FB6">
        <w:rPr>
          <w:sz w:val="24"/>
          <w:szCs w:val="24"/>
        </w:rPr>
        <w:t xml:space="preserve"> -0,76</w:t>
      </w:r>
      <w:r>
        <w:rPr>
          <w:sz w:val="24"/>
          <w:szCs w:val="24"/>
        </w:rPr>
        <w:t xml:space="preserve"> %</w:t>
      </w:r>
      <w:r w:rsidRPr="006F1FB6">
        <w:rPr>
          <w:sz w:val="24"/>
          <w:szCs w:val="24"/>
        </w:rPr>
        <w:t xml:space="preserve"> med </w:t>
      </w:r>
      <w:proofErr w:type="spellStart"/>
      <w:r w:rsidRPr="006F1FB6">
        <w:rPr>
          <w:sz w:val="24"/>
          <w:szCs w:val="24"/>
        </w:rPr>
        <w:t>sitagliptin</w:t>
      </w:r>
      <w:proofErr w:type="spellEnd"/>
      <w:r w:rsidRPr="006F1FB6">
        <w:rPr>
          <w:sz w:val="24"/>
          <w:szCs w:val="24"/>
        </w:rPr>
        <w:t xml:space="preserve"> og -0,64</w:t>
      </w:r>
      <w:r>
        <w:rPr>
          <w:sz w:val="24"/>
          <w:szCs w:val="24"/>
        </w:rPr>
        <w:t xml:space="preserve"> %</w:t>
      </w:r>
      <w:r w:rsidRPr="006F1FB6">
        <w:rPr>
          <w:sz w:val="24"/>
          <w:szCs w:val="24"/>
        </w:rPr>
        <w:t xml:space="preserve"> med </w:t>
      </w:r>
      <w:proofErr w:type="spellStart"/>
      <w:r w:rsidRPr="006F1FB6">
        <w:rPr>
          <w:sz w:val="24"/>
          <w:szCs w:val="24"/>
        </w:rPr>
        <w:t>glipizid</w:t>
      </w:r>
      <w:proofErr w:type="spellEnd"/>
      <w:r w:rsidRPr="006F1FB6">
        <w:rPr>
          <w:sz w:val="24"/>
          <w:szCs w:val="24"/>
        </w:rPr>
        <w:t xml:space="preserve"> (</w:t>
      </w:r>
      <w:r w:rsidRPr="006F1FB6">
        <w:rPr>
          <w:i/>
          <w:iCs/>
          <w:sz w:val="24"/>
          <w:szCs w:val="24"/>
        </w:rPr>
        <w:t>Per Protocol Analysis</w:t>
      </w:r>
      <w:r w:rsidRPr="006F1FB6">
        <w:rPr>
          <w:sz w:val="24"/>
          <w:szCs w:val="24"/>
        </w:rPr>
        <w:t xml:space="preserve">). I denne undersøgelse var virknings- og sikkerhedsprofilen for </w:t>
      </w:r>
      <w:proofErr w:type="spellStart"/>
      <w:r w:rsidRPr="006F1FB6">
        <w:rPr>
          <w:sz w:val="24"/>
          <w:szCs w:val="24"/>
        </w:rPr>
        <w:t>sitagliptin</w:t>
      </w:r>
      <w:proofErr w:type="spellEnd"/>
      <w:r w:rsidRPr="006F1FB6">
        <w:rPr>
          <w:sz w:val="24"/>
          <w:szCs w:val="24"/>
        </w:rPr>
        <w:t xml:space="preserve"> 25 mg eller 50 mg en gang daglig</w:t>
      </w:r>
      <w:r>
        <w:rPr>
          <w:sz w:val="24"/>
          <w:szCs w:val="24"/>
        </w:rPr>
        <w:t>t</w:t>
      </w:r>
      <w:r w:rsidRPr="006F1FB6">
        <w:rPr>
          <w:sz w:val="24"/>
          <w:szCs w:val="24"/>
        </w:rPr>
        <w:t xml:space="preserve"> generelt den samme som i andre monoterapiundersøgelser hos patienter med normal nyrefunktion. </w:t>
      </w:r>
      <w:proofErr w:type="spellStart"/>
      <w:r w:rsidRPr="006F1FB6">
        <w:rPr>
          <w:sz w:val="24"/>
          <w:szCs w:val="24"/>
        </w:rPr>
        <w:t>Incidensen</w:t>
      </w:r>
      <w:proofErr w:type="spellEnd"/>
      <w:r w:rsidRPr="006F1FB6">
        <w:rPr>
          <w:sz w:val="24"/>
          <w:szCs w:val="24"/>
        </w:rPr>
        <w:t xml:space="preserve"> af hypoglykæmi i </w:t>
      </w:r>
      <w:proofErr w:type="spellStart"/>
      <w:r w:rsidRPr="006F1FB6">
        <w:rPr>
          <w:sz w:val="24"/>
          <w:szCs w:val="24"/>
        </w:rPr>
        <w:t>sitagliptingruppen</w:t>
      </w:r>
      <w:proofErr w:type="spellEnd"/>
      <w:r w:rsidRPr="006F1FB6">
        <w:rPr>
          <w:sz w:val="24"/>
          <w:szCs w:val="24"/>
        </w:rPr>
        <w:t xml:space="preserve"> (6,2</w:t>
      </w:r>
      <w:r>
        <w:rPr>
          <w:sz w:val="24"/>
          <w:szCs w:val="24"/>
        </w:rPr>
        <w:t xml:space="preserve"> %</w:t>
      </w:r>
      <w:r w:rsidRPr="006F1FB6">
        <w:rPr>
          <w:sz w:val="24"/>
          <w:szCs w:val="24"/>
        </w:rPr>
        <w:t xml:space="preserve">) var signifikant lavere end i </w:t>
      </w:r>
      <w:proofErr w:type="spellStart"/>
      <w:r w:rsidRPr="006F1FB6">
        <w:rPr>
          <w:sz w:val="24"/>
          <w:szCs w:val="24"/>
        </w:rPr>
        <w:t>glipizidgruppen</w:t>
      </w:r>
      <w:proofErr w:type="spellEnd"/>
      <w:r w:rsidRPr="006F1FB6">
        <w:rPr>
          <w:sz w:val="24"/>
          <w:szCs w:val="24"/>
        </w:rPr>
        <w:t xml:space="preserve"> (17,0</w:t>
      </w:r>
      <w:r>
        <w:rPr>
          <w:sz w:val="24"/>
          <w:szCs w:val="24"/>
        </w:rPr>
        <w:t xml:space="preserve"> %</w:t>
      </w:r>
      <w:r w:rsidRPr="006F1FB6">
        <w:rPr>
          <w:sz w:val="24"/>
          <w:szCs w:val="24"/>
        </w:rPr>
        <w:t xml:space="preserve">). Der var også signifikant forskel mellem grupperne med hensyn til ændring i kropsvægt ved </w:t>
      </w:r>
      <w:r w:rsidRPr="006F1FB6">
        <w:rPr>
          <w:i/>
          <w:iCs/>
          <w:sz w:val="24"/>
          <w:szCs w:val="24"/>
        </w:rPr>
        <w:t>baseline</w:t>
      </w:r>
      <w:r w:rsidRPr="006F1FB6">
        <w:rPr>
          <w:sz w:val="24"/>
          <w:szCs w:val="24"/>
        </w:rPr>
        <w:t xml:space="preserve"> (</w:t>
      </w:r>
      <w:proofErr w:type="spellStart"/>
      <w:r w:rsidRPr="006F1FB6">
        <w:rPr>
          <w:sz w:val="24"/>
          <w:szCs w:val="24"/>
        </w:rPr>
        <w:t>sitagliptin</w:t>
      </w:r>
      <w:proofErr w:type="spellEnd"/>
      <w:r w:rsidRPr="006F1FB6">
        <w:rPr>
          <w:sz w:val="24"/>
          <w:szCs w:val="24"/>
        </w:rPr>
        <w:t xml:space="preserve"> -0,6 kg; </w:t>
      </w:r>
      <w:proofErr w:type="spellStart"/>
      <w:r w:rsidRPr="006F1FB6">
        <w:rPr>
          <w:sz w:val="24"/>
          <w:szCs w:val="24"/>
        </w:rPr>
        <w:t>glipizid</w:t>
      </w:r>
      <w:proofErr w:type="spellEnd"/>
      <w:r w:rsidRPr="006F1FB6">
        <w:rPr>
          <w:sz w:val="24"/>
          <w:szCs w:val="24"/>
        </w:rPr>
        <w:t xml:space="preserve"> +1,2 kg).</w:t>
      </w:r>
    </w:p>
    <w:p w14:paraId="3AA6900D" w14:textId="77777777" w:rsidR="00DD5979" w:rsidRPr="006F1FB6" w:rsidRDefault="00DD5979" w:rsidP="00DD5979">
      <w:pPr>
        <w:tabs>
          <w:tab w:val="left" w:pos="851"/>
        </w:tabs>
        <w:ind w:left="851"/>
        <w:rPr>
          <w:sz w:val="24"/>
          <w:szCs w:val="24"/>
        </w:rPr>
      </w:pPr>
    </w:p>
    <w:p w14:paraId="22F128ED" w14:textId="77777777" w:rsidR="00DD5979" w:rsidRPr="006F1FB6" w:rsidRDefault="00DD5979" w:rsidP="00DD5979">
      <w:pPr>
        <w:tabs>
          <w:tab w:val="left" w:pos="851"/>
        </w:tabs>
        <w:ind w:left="851"/>
        <w:rPr>
          <w:sz w:val="24"/>
          <w:szCs w:val="24"/>
        </w:rPr>
      </w:pPr>
      <w:r w:rsidRPr="006F1FB6">
        <w:rPr>
          <w:sz w:val="24"/>
          <w:szCs w:val="24"/>
        </w:rPr>
        <w:t xml:space="preserve">Der er udført endnu en undersøgelse, hvor </w:t>
      </w:r>
      <w:proofErr w:type="spellStart"/>
      <w:r w:rsidRPr="006F1FB6">
        <w:rPr>
          <w:sz w:val="24"/>
          <w:szCs w:val="24"/>
        </w:rPr>
        <w:t>sitagliptin</w:t>
      </w:r>
      <w:proofErr w:type="spellEnd"/>
      <w:r w:rsidRPr="006F1FB6">
        <w:rPr>
          <w:sz w:val="24"/>
          <w:szCs w:val="24"/>
        </w:rPr>
        <w:t xml:space="preserve"> 25 mg en gang daglig</w:t>
      </w:r>
      <w:r>
        <w:rPr>
          <w:sz w:val="24"/>
          <w:szCs w:val="24"/>
        </w:rPr>
        <w:t>t</w:t>
      </w:r>
      <w:r w:rsidRPr="006F1FB6">
        <w:rPr>
          <w:sz w:val="24"/>
          <w:szCs w:val="24"/>
        </w:rPr>
        <w:t xml:space="preserve"> blev sammenlignet med </w:t>
      </w:r>
      <w:proofErr w:type="spellStart"/>
      <w:r w:rsidRPr="006F1FB6">
        <w:rPr>
          <w:sz w:val="24"/>
          <w:szCs w:val="24"/>
        </w:rPr>
        <w:t>glipizid</w:t>
      </w:r>
      <w:proofErr w:type="spellEnd"/>
      <w:r w:rsidRPr="006F1FB6">
        <w:rPr>
          <w:sz w:val="24"/>
          <w:szCs w:val="24"/>
        </w:rPr>
        <w:t xml:space="preserve"> 2,5 mg til 20 mg/dag hos 129 patienter med ESRD, som var i dialyse. Efter 54 uger var den gennemsnitlige reduktion i forhold til </w:t>
      </w:r>
      <w:r w:rsidRPr="006F1FB6">
        <w:rPr>
          <w:i/>
          <w:iCs/>
          <w:sz w:val="24"/>
          <w:szCs w:val="24"/>
        </w:rPr>
        <w:t>baseline</w:t>
      </w:r>
      <w:r w:rsidRPr="006F1FB6">
        <w:rPr>
          <w:sz w:val="24"/>
          <w:szCs w:val="24"/>
        </w:rPr>
        <w:t xml:space="preserve"> i HbA</w:t>
      </w:r>
      <w:r w:rsidRPr="006F1FB6">
        <w:rPr>
          <w:sz w:val="24"/>
          <w:szCs w:val="24"/>
          <w:vertAlign w:val="subscript"/>
        </w:rPr>
        <w:t>1c</w:t>
      </w:r>
      <w:r w:rsidRPr="006F1FB6">
        <w:rPr>
          <w:sz w:val="24"/>
          <w:szCs w:val="24"/>
        </w:rPr>
        <w:t xml:space="preserve"> </w:t>
      </w:r>
      <w:r w:rsidRPr="006F1FB6">
        <w:rPr>
          <w:sz w:val="24"/>
          <w:szCs w:val="24"/>
        </w:rPr>
        <w:noBreakHyphen/>
        <w:t>0,72</w:t>
      </w:r>
      <w:r>
        <w:rPr>
          <w:sz w:val="24"/>
          <w:szCs w:val="24"/>
        </w:rPr>
        <w:t xml:space="preserve"> %</w:t>
      </w:r>
      <w:r w:rsidRPr="006F1FB6">
        <w:rPr>
          <w:sz w:val="24"/>
          <w:szCs w:val="24"/>
        </w:rPr>
        <w:t xml:space="preserve"> med </w:t>
      </w:r>
      <w:proofErr w:type="spellStart"/>
      <w:r w:rsidRPr="006F1FB6">
        <w:rPr>
          <w:sz w:val="24"/>
          <w:szCs w:val="24"/>
        </w:rPr>
        <w:t>sitagliptin</w:t>
      </w:r>
      <w:proofErr w:type="spellEnd"/>
      <w:r w:rsidRPr="006F1FB6">
        <w:rPr>
          <w:sz w:val="24"/>
          <w:szCs w:val="24"/>
        </w:rPr>
        <w:t xml:space="preserve"> og -0,87</w:t>
      </w:r>
      <w:r>
        <w:rPr>
          <w:sz w:val="24"/>
          <w:szCs w:val="24"/>
        </w:rPr>
        <w:t xml:space="preserve"> %</w:t>
      </w:r>
      <w:r w:rsidRPr="006F1FB6">
        <w:rPr>
          <w:sz w:val="24"/>
          <w:szCs w:val="24"/>
        </w:rPr>
        <w:t xml:space="preserve"> med </w:t>
      </w:r>
      <w:proofErr w:type="spellStart"/>
      <w:r w:rsidRPr="006F1FB6">
        <w:rPr>
          <w:sz w:val="24"/>
          <w:szCs w:val="24"/>
        </w:rPr>
        <w:t>glipazid</w:t>
      </w:r>
      <w:proofErr w:type="spellEnd"/>
      <w:r w:rsidRPr="006F1FB6">
        <w:rPr>
          <w:sz w:val="24"/>
          <w:szCs w:val="24"/>
        </w:rPr>
        <w:t xml:space="preserve">. I denne undersøgelse var virknings- og sikkerhedsprofilen for </w:t>
      </w:r>
      <w:proofErr w:type="spellStart"/>
      <w:r w:rsidRPr="006F1FB6">
        <w:rPr>
          <w:sz w:val="24"/>
          <w:szCs w:val="24"/>
        </w:rPr>
        <w:t>sitagliptin</w:t>
      </w:r>
      <w:proofErr w:type="spellEnd"/>
      <w:r w:rsidRPr="006F1FB6">
        <w:rPr>
          <w:sz w:val="24"/>
          <w:szCs w:val="24"/>
        </w:rPr>
        <w:t xml:space="preserve"> 25 mg en gang daglig</w:t>
      </w:r>
      <w:r>
        <w:rPr>
          <w:sz w:val="24"/>
          <w:szCs w:val="24"/>
        </w:rPr>
        <w:t>t</w:t>
      </w:r>
      <w:r w:rsidRPr="006F1FB6">
        <w:rPr>
          <w:sz w:val="24"/>
          <w:szCs w:val="24"/>
        </w:rPr>
        <w:t xml:space="preserve"> generelt den samme som i andre monoterapiundersøgelser hos patienter med normal nyrefunktion. </w:t>
      </w:r>
      <w:proofErr w:type="spellStart"/>
      <w:r w:rsidRPr="006F1FB6">
        <w:rPr>
          <w:sz w:val="24"/>
          <w:szCs w:val="24"/>
        </w:rPr>
        <w:t>Incidensen</w:t>
      </w:r>
      <w:proofErr w:type="spellEnd"/>
      <w:r w:rsidRPr="006F1FB6">
        <w:rPr>
          <w:sz w:val="24"/>
          <w:szCs w:val="24"/>
        </w:rPr>
        <w:t xml:space="preserve"> af hypoglykæmi var ikke signifikant forskellig mellem behandlingsgrupperne (</w:t>
      </w:r>
      <w:proofErr w:type="spellStart"/>
      <w:r w:rsidRPr="006F1FB6">
        <w:rPr>
          <w:sz w:val="24"/>
          <w:szCs w:val="24"/>
        </w:rPr>
        <w:t>sitagliptin</w:t>
      </w:r>
      <w:proofErr w:type="spellEnd"/>
      <w:r w:rsidRPr="006F1FB6">
        <w:rPr>
          <w:sz w:val="24"/>
          <w:szCs w:val="24"/>
        </w:rPr>
        <w:t xml:space="preserve"> 6,3</w:t>
      </w:r>
      <w:r>
        <w:rPr>
          <w:sz w:val="24"/>
          <w:szCs w:val="24"/>
        </w:rPr>
        <w:t xml:space="preserve"> %</w:t>
      </w:r>
      <w:r w:rsidRPr="006F1FB6">
        <w:rPr>
          <w:sz w:val="24"/>
          <w:szCs w:val="24"/>
        </w:rPr>
        <w:t xml:space="preserve">; </w:t>
      </w:r>
      <w:proofErr w:type="spellStart"/>
      <w:r w:rsidRPr="006F1FB6">
        <w:rPr>
          <w:sz w:val="24"/>
          <w:szCs w:val="24"/>
        </w:rPr>
        <w:t>glipizid</w:t>
      </w:r>
      <w:proofErr w:type="spellEnd"/>
      <w:r w:rsidRPr="006F1FB6">
        <w:rPr>
          <w:sz w:val="24"/>
          <w:szCs w:val="24"/>
        </w:rPr>
        <w:t xml:space="preserve"> 10,8</w:t>
      </w:r>
      <w:r>
        <w:rPr>
          <w:sz w:val="24"/>
          <w:szCs w:val="24"/>
        </w:rPr>
        <w:t xml:space="preserve"> %</w:t>
      </w:r>
      <w:r w:rsidRPr="006F1FB6">
        <w:rPr>
          <w:sz w:val="24"/>
          <w:szCs w:val="24"/>
        </w:rPr>
        <w:t>).</w:t>
      </w:r>
    </w:p>
    <w:p w14:paraId="18BBDCA6" w14:textId="77777777" w:rsidR="00DD5979" w:rsidRPr="006F1FB6" w:rsidRDefault="00DD5979" w:rsidP="00DD5979">
      <w:pPr>
        <w:tabs>
          <w:tab w:val="left" w:pos="851"/>
        </w:tabs>
        <w:ind w:left="851"/>
        <w:rPr>
          <w:sz w:val="24"/>
          <w:szCs w:val="24"/>
        </w:rPr>
      </w:pPr>
    </w:p>
    <w:p w14:paraId="7A0C89E4" w14:textId="77777777" w:rsidR="00DD5979" w:rsidRPr="006F1FB6" w:rsidRDefault="00DD5979" w:rsidP="00DD5979">
      <w:pPr>
        <w:tabs>
          <w:tab w:val="left" w:pos="851"/>
        </w:tabs>
        <w:ind w:left="851"/>
        <w:rPr>
          <w:sz w:val="24"/>
          <w:szCs w:val="24"/>
        </w:rPr>
      </w:pPr>
      <w:r w:rsidRPr="006F1FB6">
        <w:rPr>
          <w:sz w:val="24"/>
          <w:szCs w:val="24"/>
        </w:rPr>
        <w:t>I en anden undersøgelse med 91 patienter med type 2-diabetes og kronisk nyreinsufficiens (</w:t>
      </w:r>
      <w:proofErr w:type="spellStart"/>
      <w:r w:rsidRPr="006F1FB6">
        <w:rPr>
          <w:sz w:val="24"/>
          <w:szCs w:val="24"/>
        </w:rPr>
        <w:t>kreatinin-clearance</w:t>
      </w:r>
      <w:proofErr w:type="spellEnd"/>
      <w:r w:rsidRPr="006F1FB6">
        <w:rPr>
          <w:sz w:val="24"/>
          <w:szCs w:val="24"/>
        </w:rPr>
        <w:t xml:space="preserve"> &lt; 50 ml/min) var sikkerhed og </w:t>
      </w:r>
      <w:proofErr w:type="spellStart"/>
      <w:r w:rsidRPr="006F1FB6">
        <w:rPr>
          <w:sz w:val="24"/>
          <w:szCs w:val="24"/>
        </w:rPr>
        <w:t>tolerabilitet</w:t>
      </w:r>
      <w:proofErr w:type="spellEnd"/>
      <w:r w:rsidRPr="006F1FB6">
        <w:rPr>
          <w:sz w:val="24"/>
          <w:szCs w:val="24"/>
        </w:rPr>
        <w:t xml:space="preserve"> for </w:t>
      </w:r>
      <w:proofErr w:type="spellStart"/>
      <w:r w:rsidRPr="006F1FB6">
        <w:rPr>
          <w:sz w:val="24"/>
          <w:szCs w:val="24"/>
        </w:rPr>
        <w:t>sitagliptinbehandling</w:t>
      </w:r>
      <w:proofErr w:type="spellEnd"/>
      <w:r w:rsidRPr="006F1FB6">
        <w:rPr>
          <w:sz w:val="24"/>
          <w:szCs w:val="24"/>
        </w:rPr>
        <w:t xml:space="preserve"> </w:t>
      </w:r>
      <w:r w:rsidRPr="006F1FB6">
        <w:rPr>
          <w:sz w:val="24"/>
          <w:szCs w:val="24"/>
        </w:rPr>
        <w:lastRenderedPageBreak/>
        <w:t>med 25 mg eller 50 mg en gang daglig</w:t>
      </w:r>
      <w:r>
        <w:rPr>
          <w:sz w:val="24"/>
          <w:szCs w:val="24"/>
        </w:rPr>
        <w:t>t</w:t>
      </w:r>
      <w:r w:rsidRPr="006F1FB6">
        <w:rPr>
          <w:sz w:val="24"/>
          <w:szCs w:val="24"/>
        </w:rPr>
        <w:t xml:space="preserve"> generelt den samme som for placebo. Desuden var den gennemsnitlige reduktion i HbA</w:t>
      </w:r>
      <w:r w:rsidRPr="006F1FB6">
        <w:rPr>
          <w:sz w:val="24"/>
          <w:szCs w:val="24"/>
          <w:vertAlign w:val="subscript"/>
        </w:rPr>
        <w:t>1c</w:t>
      </w:r>
      <w:r w:rsidRPr="006F1FB6">
        <w:rPr>
          <w:sz w:val="24"/>
          <w:szCs w:val="24"/>
        </w:rPr>
        <w:t xml:space="preserve"> (</w:t>
      </w:r>
      <w:proofErr w:type="spellStart"/>
      <w:r w:rsidRPr="006F1FB6">
        <w:rPr>
          <w:sz w:val="24"/>
          <w:szCs w:val="24"/>
        </w:rPr>
        <w:t>sitagliptin</w:t>
      </w:r>
      <w:proofErr w:type="spellEnd"/>
      <w:r w:rsidRPr="006F1FB6">
        <w:rPr>
          <w:sz w:val="24"/>
          <w:szCs w:val="24"/>
        </w:rPr>
        <w:t xml:space="preserve"> -0,59</w:t>
      </w:r>
      <w:r>
        <w:rPr>
          <w:sz w:val="24"/>
          <w:szCs w:val="24"/>
        </w:rPr>
        <w:t xml:space="preserve"> %</w:t>
      </w:r>
      <w:r w:rsidRPr="006F1FB6">
        <w:rPr>
          <w:sz w:val="24"/>
          <w:szCs w:val="24"/>
        </w:rPr>
        <w:t>; placebo -0,18</w:t>
      </w:r>
      <w:r>
        <w:rPr>
          <w:sz w:val="24"/>
          <w:szCs w:val="24"/>
        </w:rPr>
        <w:t xml:space="preserve"> %</w:t>
      </w:r>
      <w:r w:rsidRPr="006F1FB6">
        <w:rPr>
          <w:sz w:val="24"/>
          <w:szCs w:val="24"/>
        </w:rPr>
        <w:t>) efter 12 uger og FPG (</w:t>
      </w:r>
      <w:proofErr w:type="spellStart"/>
      <w:r w:rsidRPr="006F1FB6">
        <w:rPr>
          <w:sz w:val="24"/>
          <w:szCs w:val="24"/>
        </w:rPr>
        <w:t>sitagliptin</w:t>
      </w:r>
      <w:proofErr w:type="spellEnd"/>
      <w:r w:rsidRPr="006F1FB6">
        <w:rPr>
          <w:sz w:val="24"/>
          <w:szCs w:val="24"/>
        </w:rPr>
        <w:t xml:space="preserve"> -25,5 mg/dl; placebo </w:t>
      </w:r>
      <w:r w:rsidRPr="006F1FB6">
        <w:rPr>
          <w:sz w:val="24"/>
          <w:szCs w:val="24"/>
        </w:rPr>
        <w:noBreakHyphen/>
        <w:t>3,0 mg/dl) generelt de samme som i andre monoterapiundersøgelser hos patienter med normal nyrefunktion (se pkt. 5.2).</w:t>
      </w:r>
    </w:p>
    <w:p w14:paraId="4E12FBDE" w14:textId="77777777" w:rsidR="00DD5979" w:rsidRPr="006F1FB6" w:rsidRDefault="00DD5979" w:rsidP="00DD5979">
      <w:pPr>
        <w:tabs>
          <w:tab w:val="left" w:pos="851"/>
        </w:tabs>
        <w:ind w:left="851"/>
        <w:rPr>
          <w:sz w:val="24"/>
          <w:szCs w:val="24"/>
        </w:rPr>
      </w:pPr>
    </w:p>
    <w:p w14:paraId="49556038" w14:textId="77777777" w:rsidR="00DD5979" w:rsidRPr="006F1FB6" w:rsidRDefault="00DD5979" w:rsidP="00DD5979">
      <w:pPr>
        <w:tabs>
          <w:tab w:val="left" w:pos="851"/>
        </w:tabs>
        <w:ind w:left="851"/>
        <w:rPr>
          <w:sz w:val="24"/>
          <w:szCs w:val="24"/>
        </w:rPr>
      </w:pPr>
      <w:r w:rsidRPr="006F1FB6">
        <w:rPr>
          <w:sz w:val="24"/>
          <w:szCs w:val="24"/>
        </w:rPr>
        <w:t xml:space="preserve">TECOS var et randomiseret studie med 14 671 patienter i en </w:t>
      </w:r>
      <w:r w:rsidRPr="006F1FB6">
        <w:rPr>
          <w:i/>
          <w:iCs/>
          <w:sz w:val="24"/>
          <w:szCs w:val="24"/>
        </w:rPr>
        <w:t xml:space="preserve">intention to </w:t>
      </w:r>
      <w:proofErr w:type="spellStart"/>
      <w:r w:rsidRPr="006F1FB6">
        <w:rPr>
          <w:i/>
          <w:iCs/>
          <w:sz w:val="24"/>
          <w:szCs w:val="24"/>
        </w:rPr>
        <w:t>treat</w:t>
      </w:r>
      <w:proofErr w:type="spellEnd"/>
      <w:r w:rsidRPr="006F1FB6">
        <w:rPr>
          <w:sz w:val="24"/>
          <w:szCs w:val="24"/>
        </w:rPr>
        <w:t>-population med HbA</w:t>
      </w:r>
      <w:r w:rsidRPr="006F1FB6">
        <w:rPr>
          <w:sz w:val="24"/>
          <w:szCs w:val="24"/>
          <w:vertAlign w:val="subscript"/>
        </w:rPr>
        <w:t>1c</w:t>
      </w:r>
      <w:r w:rsidRPr="006F1FB6">
        <w:rPr>
          <w:sz w:val="24"/>
          <w:szCs w:val="24"/>
        </w:rPr>
        <w:t> ≥ 6,5 til 8,0</w:t>
      </w:r>
      <w:r>
        <w:rPr>
          <w:sz w:val="24"/>
          <w:szCs w:val="24"/>
        </w:rPr>
        <w:t xml:space="preserve"> %</w:t>
      </w:r>
      <w:r w:rsidRPr="006F1FB6">
        <w:rPr>
          <w:sz w:val="24"/>
          <w:szCs w:val="24"/>
        </w:rPr>
        <w:t xml:space="preserve"> med påvist hjerte-kar-sygdom. Patienterne fik </w:t>
      </w:r>
      <w:proofErr w:type="spellStart"/>
      <w:r w:rsidRPr="006F1FB6">
        <w:rPr>
          <w:sz w:val="24"/>
          <w:szCs w:val="24"/>
        </w:rPr>
        <w:t>sitagliptin</w:t>
      </w:r>
      <w:proofErr w:type="spellEnd"/>
      <w:r w:rsidRPr="006F1FB6">
        <w:rPr>
          <w:sz w:val="24"/>
          <w:szCs w:val="24"/>
        </w:rPr>
        <w:t xml:space="preserve"> (7 332) 100 mg </w:t>
      </w:r>
      <w:r>
        <w:rPr>
          <w:sz w:val="24"/>
          <w:szCs w:val="24"/>
        </w:rPr>
        <w:t>dagligt</w:t>
      </w:r>
      <w:r w:rsidRPr="006F1FB6">
        <w:rPr>
          <w:sz w:val="24"/>
          <w:szCs w:val="24"/>
        </w:rPr>
        <w:t xml:space="preserve"> (eller 50 mg </w:t>
      </w:r>
      <w:r>
        <w:rPr>
          <w:sz w:val="24"/>
          <w:szCs w:val="24"/>
        </w:rPr>
        <w:t>dagligt</w:t>
      </w:r>
      <w:r w:rsidRPr="006F1FB6">
        <w:rPr>
          <w:sz w:val="24"/>
          <w:szCs w:val="24"/>
        </w:rPr>
        <w:t xml:space="preserve">, hvis </w:t>
      </w:r>
      <w:proofErr w:type="spellStart"/>
      <w:r w:rsidRPr="006F1FB6">
        <w:rPr>
          <w:sz w:val="24"/>
          <w:szCs w:val="24"/>
        </w:rPr>
        <w:t>eGFR</w:t>
      </w:r>
      <w:proofErr w:type="spellEnd"/>
      <w:r w:rsidRPr="006F1FB6">
        <w:rPr>
          <w:sz w:val="24"/>
          <w:szCs w:val="24"/>
        </w:rPr>
        <w:t xml:space="preserve"> ved </w:t>
      </w:r>
      <w:r w:rsidRPr="006F1FB6">
        <w:rPr>
          <w:i/>
          <w:iCs/>
          <w:sz w:val="24"/>
          <w:szCs w:val="24"/>
        </w:rPr>
        <w:t>baseline</w:t>
      </w:r>
      <w:r w:rsidRPr="006F1FB6">
        <w:rPr>
          <w:sz w:val="24"/>
          <w:szCs w:val="24"/>
        </w:rPr>
        <w:t xml:space="preserve"> var ≥ 30 og &lt; 50 ml/min/1,73 m</w:t>
      </w:r>
      <w:r w:rsidRPr="006F1FB6">
        <w:rPr>
          <w:sz w:val="24"/>
          <w:szCs w:val="24"/>
          <w:vertAlign w:val="superscript"/>
        </w:rPr>
        <w:t>2</w:t>
      </w:r>
      <w:r w:rsidRPr="006F1FB6">
        <w:rPr>
          <w:sz w:val="24"/>
          <w:szCs w:val="24"/>
        </w:rPr>
        <w:t>) eller placebo (7 339) som supplement til standardbehandling målrettet de regionale standarder for HbA</w:t>
      </w:r>
      <w:r w:rsidRPr="006F1FB6">
        <w:rPr>
          <w:sz w:val="24"/>
          <w:szCs w:val="24"/>
          <w:vertAlign w:val="subscript"/>
        </w:rPr>
        <w:t>1c</w:t>
      </w:r>
      <w:r w:rsidRPr="006F1FB6">
        <w:rPr>
          <w:sz w:val="24"/>
          <w:szCs w:val="24"/>
        </w:rPr>
        <w:t xml:space="preserve"> og </w:t>
      </w:r>
      <w:proofErr w:type="spellStart"/>
      <w:r w:rsidRPr="006F1FB6">
        <w:rPr>
          <w:sz w:val="24"/>
          <w:szCs w:val="24"/>
        </w:rPr>
        <w:t>kardiovaskulære</w:t>
      </w:r>
      <w:proofErr w:type="spellEnd"/>
      <w:r w:rsidRPr="006F1FB6">
        <w:rPr>
          <w:sz w:val="24"/>
          <w:szCs w:val="24"/>
        </w:rPr>
        <w:t xml:space="preserve"> risikofaktorer. Patienter med </w:t>
      </w:r>
      <w:proofErr w:type="spellStart"/>
      <w:r w:rsidRPr="006F1FB6">
        <w:rPr>
          <w:sz w:val="24"/>
          <w:szCs w:val="24"/>
        </w:rPr>
        <w:t>eGFR</w:t>
      </w:r>
      <w:proofErr w:type="spellEnd"/>
      <w:r w:rsidRPr="006F1FB6">
        <w:rPr>
          <w:sz w:val="24"/>
          <w:szCs w:val="24"/>
        </w:rPr>
        <w:t xml:space="preserve"> &lt; 30 ml/min/1,73 m</w:t>
      </w:r>
      <w:r w:rsidRPr="006F1FB6">
        <w:rPr>
          <w:sz w:val="24"/>
          <w:szCs w:val="24"/>
          <w:vertAlign w:val="superscript"/>
        </w:rPr>
        <w:t>2</w:t>
      </w:r>
      <w:r w:rsidRPr="006F1FB6">
        <w:rPr>
          <w:sz w:val="24"/>
          <w:szCs w:val="24"/>
        </w:rPr>
        <w:t xml:space="preserve"> blev ikke inkluderet i studiet. Studiepopulationen bestod af 2 004 patienter ≥ 75 år og 3 324 patienter med nedsat nyrefunktion (</w:t>
      </w:r>
      <w:proofErr w:type="spellStart"/>
      <w:r w:rsidRPr="006F1FB6">
        <w:rPr>
          <w:sz w:val="24"/>
          <w:szCs w:val="24"/>
        </w:rPr>
        <w:t>eGFR</w:t>
      </w:r>
      <w:proofErr w:type="spellEnd"/>
      <w:r w:rsidRPr="006F1FB6">
        <w:rPr>
          <w:sz w:val="24"/>
          <w:szCs w:val="24"/>
        </w:rPr>
        <w:t> &lt; 60 ml/min/1,73 m</w:t>
      </w:r>
      <w:r w:rsidRPr="006F1FB6">
        <w:rPr>
          <w:sz w:val="24"/>
          <w:szCs w:val="24"/>
          <w:vertAlign w:val="superscript"/>
        </w:rPr>
        <w:t>2</w:t>
      </w:r>
      <w:r w:rsidRPr="006F1FB6">
        <w:rPr>
          <w:sz w:val="24"/>
          <w:szCs w:val="24"/>
        </w:rPr>
        <w:t>).</w:t>
      </w:r>
    </w:p>
    <w:p w14:paraId="6B5925C0" w14:textId="77777777" w:rsidR="00DD5979" w:rsidRPr="006F1FB6" w:rsidRDefault="00DD5979" w:rsidP="00DD5979">
      <w:pPr>
        <w:tabs>
          <w:tab w:val="left" w:pos="851"/>
        </w:tabs>
        <w:ind w:left="851"/>
        <w:rPr>
          <w:sz w:val="24"/>
          <w:szCs w:val="24"/>
        </w:rPr>
      </w:pPr>
    </w:p>
    <w:p w14:paraId="560A15AF" w14:textId="77777777" w:rsidR="00DD5979" w:rsidRPr="006F1FB6" w:rsidRDefault="00DD5979" w:rsidP="00DD5979">
      <w:pPr>
        <w:tabs>
          <w:tab w:val="left" w:pos="851"/>
        </w:tabs>
        <w:ind w:left="851"/>
        <w:rPr>
          <w:sz w:val="24"/>
          <w:szCs w:val="24"/>
        </w:rPr>
      </w:pPr>
      <w:r w:rsidRPr="006F1FB6">
        <w:rPr>
          <w:sz w:val="24"/>
          <w:szCs w:val="24"/>
        </w:rPr>
        <w:t>I løbet af studiet var den samlede estimerede gennemsnitlige forskel (standardafvigelse (SD)) i HbA</w:t>
      </w:r>
      <w:r w:rsidRPr="006F1FB6">
        <w:rPr>
          <w:sz w:val="24"/>
          <w:szCs w:val="24"/>
          <w:vertAlign w:val="subscript"/>
        </w:rPr>
        <w:t>1c</w:t>
      </w:r>
      <w:r w:rsidRPr="006F1FB6">
        <w:rPr>
          <w:sz w:val="24"/>
          <w:szCs w:val="24"/>
        </w:rPr>
        <w:t xml:space="preserve"> mellem </w:t>
      </w:r>
      <w:proofErr w:type="spellStart"/>
      <w:r w:rsidRPr="006F1FB6">
        <w:rPr>
          <w:sz w:val="24"/>
          <w:szCs w:val="24"/>
        </w:rPr>
        <w:t>sitagliptingruppen</w:t>
      </w:r>
      <w:proofErr w:type="spellEnd"/>
      <w:r w:rsidRPr="006F1FB6">
        <w:rPr>
          <w:sz w:val="24"/>
          <w:szCs w:val="24"/>
        </w:rPr>
        <w:t xml:space="preserve"> og placebogruppen 0,29</w:t>
      </w:r>
      <w:r>
        <w:rPr>
          <w:sz w:val="24"/>
          <w:szCs w:val="24"/>
        </w:rPr>
        <w:t xml:space="preserve"> %</w:t>
      </w:r>
      <w:r w:rsidRPr="006F1FB6">
        <w:rPr>
          <w:sz w:val="24"/>
          <w:szCs w:val="24"/>
        </w:rPr>
        <w:t xml:space="preserve"> (0,01), 95</w:t>
      </w:r>
      <w:r>
        <w:rPr>
          <w:sz w:val="24"/>
          <w:szCs w:val="24"/>
        </w:rPr>
        <w:t xml:space="preserve"> %</w:t>
      </w:r>
      <w:r w:rsidRPr="006F1FB6">
        <w:rPr>
          <w:sz w:val="24"/>
          <w:szCs w:val="24"/>
        </w:rPr>
        <w:t xml:space="preserve"> CI (</w:t>
      </w:r>
      <w:r w:rsidRPr="006F1FB6">
        <w:rPr>
          <w:sz w:val="24"/>
          <w:szCs w:val="24"/>
        </w:rPr>
        <w:noBreakHyphen/>
        <w:t>0,32; -0,27); p &lt; 0,001.</w:t>
      </w:r>
    </w:p>
    <w:p w14:paraId="5BEEB9CF" w14:textId="77777777" w:rsidR="00DD5979" w:rsidRPr="006F1FB6" w:rsidRDefault="00DD5979" w:rsidP="00DD5979">
      <w:pPr>
        <w:tabs>
          <w:tab w:val="left" w:pos="851"/>
        </w:tabs>
        <w:ind w:left="851"/>
        <w:rPr>
          <w:sz w:val="24"/>
          <w:szCs w:val="24"/>
        </w:rPr>
      </w:pPr>
      <w:r w:rsidRPr="006F1FB6">
        <w:rPr>
          <w:sz w:val="24"/>
          <w:szCs w:val="24"/>
        </w:rPr>
        <w:t xml:space="preserve">Det primære </w:t>
      </w:r>
      <w:proofErr w:type="spellStart"/>
      <w:r w:rsidRPr="006F1FB6">
        <w:rPr>
          <w:sz w:val="24"/>
          <w:szCs w:val="24"/>
        </w:rPr>
        <w:t>kardiovaskulære</w:t>
      </w:r>
      <w:proofErr w:type="spellEnd"/>
      <w:r w:rsidRPr="006F1FB6">
        <w:rPr>
          <w:sz w:val="24"/>
          <w:szCs w:val="24"/>
        </w:rPr>
        <w:t xml:space="preserve"> endepunkt var sammensat af første forekomst af </w:t>
      </w:r>
      <w:proofErr w:type="spellStart"/>
      <w:r w:rsidRPr="006F1FB6">
        <w:rPr>
          <w:sz w:val="24"/>
          <w:szCs w:val="24"/>
        </w:rPr>
        <w:t>kardiovaskulær</w:t>
      </w:r>
      <w:proofErr w:type="spellEnd"/>
      <w:r w:rsidRPr="006F1FB6">
        <w:rPr>
          <w:sz w:val="24"/>
          <w:szCs w:val="24"/>
        </w:rPr>
        <w:t xml:space="preserve"> død, ikke-letalt myokardieinfarkt, ikke-letal apopleksi eller hospitalsindlæggelse på grund af ustabil angina. Sekundære </w:t>
      </w:r>
      <w:proofErr w:type="spellStart"/>
      <w:r w:rsidRPr="006F1FB6">
        <w:rPr>
          <w:sz w:val="24"/>
          <w:szCs w:val="24"/>
        </w:rPr>
        <w:t>kardiovaskulære</w:t>
      </w:r>
      <w:proofErr w:type="spellEnd"/>
      <w:r w:rsidRPr="006F1FB6">
        <w:rPr>
          <w:sz w:val="24"/>
          <w:szCs w:val="24"/>
        </w:rPr>
        <w:t xml:space="preserve"> endepunkter bestod af første forekomst af </w:t>
      </w:r>
      <w:proofErr w:type="spellStart"/>
      <w:r w:rsidRPr="006F1FB6">
        <w:rPr>
          <w:sz w:val="24"/>
          <w:szCs w:val="24"/>
        </w:rPr>
        <w:t>kardiovaskulær</w:t>
      </w:r>
      <w:proofErr w:type="spellEnd"/>
      <w:r w:rsidRPr="006F1FB6">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6F1FB6">
        <w:rPr>
          <w:sz w:val="24"/>
          <w:szCs w:val="24"/>
        </w:rPr>
        <w:t>kongestivt</w:t>
      </w:r>
      <w:proofErr w:type="spellEnd"/>
      <w:r w:rsidRPr="006F1FB6">
        <w:rPr>
          <w:sz w:val="24"/>
          <w:szCs w:val="24"/>
        </w:rPr>
        <w:t xml:space="preserve"> hjertesvigt.</w:t>
      </w:r>
    </w:p>
    <w:p w14:paraId="705B0EDE" w14:textId="77777777" w:rsidR="00DD5979" w:rsidRPr="006F1FB6" w:rsidRDefault="00DD5979" w:rsidP="00DD5979">
      <w:pPr>
        <w:tabs>
          <w:tab w:val="left" w:pos="851"/>
        </w:tabs>
        <w:ind w:left="851"/>
        <w:rPr>
          <w:sz w:val="24"/>
          <w:szCs w:val="24"/>
        </w:rPr>
      </w:pPr>
    </w:p>
    <w:p w14:paraId="70563E3A" w14:textId="77777777" w:rsidR="00DD5979" w:rsidRPr="006F1FB6" w:rsidRDefault="00DD5979" w:rsidP="00DD5979">
      <w:pPr>
        <w:tabs>
          <w:tab w:val="left" w:pos="851"/>
        </w:tabs>
        <w:ind w:left="851"/>
        <w:rPr>
          <w:sz w:val="24"/>
          <w:szCs w:val="24"/>
        </w:rPr>
      </w:pPr>
      <w:r w:rsidRPr="006F1FB6">
        <w:rPr>
          <w:sz w:val="24"/>
          <w:szCs w:val="24"/>
        </w:rPr>
        <w:t xml:space="preserve">Med en median opfølgningstid på 3 år øgede </w:t>
      </w:r>
      <w:proofErr w:type="spellStart"/>
      <w:r w:rsidRPr="006F1FB6">
        <w:rPr>
          <w:sz w:val="24"/>
          <w:szCs w:val="24"/>
        </w:rPr>
        <w:t>sitagliptin</w:t>
      </w:r>
      <w:proofErr w:type="spellEnd"/>
      <w:r w:rsidRPr="006F1FB6">
        <w:rPr>
          <w:sz w:val="24"/>
          <w:szCs w:val="24"/>
        </w:rPr>
        <w:t xml:space="preserve"> som supplement til standardbehandling ikke risikoen for alvorlige </w:t>
      </w:r>
      <w:proofErr w:type="spellStart"/>
      <w:r w:rsidRPr="006F1FB6">
        <w:rPr>
          <w:sz w:val="24"/>
          <w:szCs w:val="24"/>
        </w:rPr>
        <w:t>kardiovaskulære</w:t>
      </w:r>
      <w:proofErr w:type="spellEnd"/>
      <w:r w:rsidRPr="006F1FB6">
        <w:rPr>
          <w:sz w:val="24"/>
          <w:szCs w:val="24"/>
        </w:rPr>
        <w:t xml:space="preserve"> bivirkninger (</w:t>
      </w:r>
      <w:r w:rsidRPr="006F1FB6">
        <w:rPr>
          <w:i/>
          <w:iCs/>
          <w:sz w:val="24"/>
          <w:szCs w:val="24"/>
        </w:rPr>
        <w:t xml:space="preserve">major </w:t>
      </w:r>
      <w:proofErr w:type="spellStart"/>
      <w:r w:rsidRPr="006F1FB6">
        <w:rPr>
          <w:i/>
          <w:iCs/>
          <w:sz w:val="24"/>
          <w:szCs w:val="24"/>
        </w:rPr>
        <w:t>adverse</w:t>
      </w:r>
      <w:proofErr w:type="spellEnd"/>
      <w:r w:rsidRPr="006F1FB6">
        <w:rPr>
          <w:i/>
          <w:iCs/>
          <w:sz w:val="24"/>
          <w:szCs w:val="24"/>
        </w:rPr>
        <w:t xml:space="preserve"> </w:t>
      </w:r>
      <w:proofErr w:type="spellStart"/>
      <w:r w:rsidRPr="006F1FB6">
        <w:rPr>
          <w:i/>
          <w:iCs/>
          <w:sz w:val="24"/>
          <w:szCs w:val="24"/>
        </w:rPr>
        <w:t>cardiovascular</w:t>
      </w:r>
      <w:proofErr w:type="spellEnd"/>
      <w:r w:rsidRPr="006F1FB6">
        <w:rPr>
          <w:i/>
          <w:iCs/>
          <w:sz w:val="24"/>
          <w:szCs w:val="24"/>
        </w:rPr>
        <w:t xml:space="preserve"> events</w:t>
      </w:r>
      <w:r w:rsidRPr="006F1FB6">
        <w:rPr>
          <w:sz w:val="24"/>
          <w:szCs w:val="24"/>
        </w:rPr>
        <w:t xml:space="preserve"> - MACE) eller hospitalsindlæggelse på grund af hjertesvigt sammenlignet med standardbehandling uden </w:t>
      </w:r>
      <w:proofErr w:type="spellStart"/>
      <w:r w:rsidRPr="006F1FB6">
        <w:rPr>
          <w:sz w:val="24"/>
          <w:szCs w:val="24"/>
        </w:rPr>
        <w:t>sitagliptin</w:t>
      </w:r>
      <w:proofErr w:type="spellEnd"/>
      <w:r w:rsidRPr="006F1FB6">
        <w:rPr>
          <w:sz w:val="24"/>
          <w:szCs w:val="24"/>
        </w:rPr>
        <w:t xml:space="preserve"> hos patienter med type 2-diabetes (tabel 3).</w:t>
      </w:r>
    </w:p>
    <w:p w14:paraId="379E2058" w14:textId="77777777" w:rsidR="00DD5979" w:rsidRPr="006F1FB6" w:rsidRDefault="00DD5979" w:rsidP="00DD5979">
      <w:pPr>
        <w:tabs>
          <w:tab w:val="left" w:pos="851"/>
        </w:tabs>
        <w:ind w:left="851"/>
        <w:rPr>
          <w:sz w:val="24"/>
          <w:szCs w:val="24"/>
        </w:rPr>
      </w:pPr>
    </w:p>
    <w:p w14:paraId="484BB1C0" w14:textId="77777777" w:rsidR="00DD5979" w:rsidRDefault="00DD5979" w:rsidP="00DD5979">
      <w:pPr>
        <w:keepNext/>
        <w:keepLines/>
        <w:tabs>
          <w:tab w:val="left" w:pos="851"/>
        </w:tabs>
        <w:ind w:left="851"/>
        <w:rPr>
          <w:b/>
          <w:szCs w:val="24"/>
        </w:rPr>
      </w:pPr>
      <w:r>
        <w:rPr>
          <w:b/>
          <w:szCs w:val="24"/>
        </w:rPr>
        <w:t xml:space="preserve">Tabel 3. </w:t>
      </w:r>
      <w:r>
        <w:rPr>
          <w:b/>
          <w:bCs/>
        </w:rPr>
        <w:t>Hyppighed</w:t>
      </w:r>
      <w:r>
        <w:rPr>
          <w:b/>
          <w:szCs w:val="24"/>
        </w:rPr>
        <w:t xml:space="preserve"> af sammensatte </w:t>
      </w:r>
      <w:proofErr w:type="spellStart"/>
      <w:r>
        <w:rPr>
          <w:b/>
          <w:szCs w:val="24"/>
        </w:rPr>
        <w:t>kardiovaskulære</w:t>
      </w:r>
      <w:proofErr w:type="spellEnd"/>
      <w:r>
        <w:rPr>
          <w:b/>
          <w:szCs w:val="24"/>
        </w:rPr>
        <w:t xml:space="preserve"> endepunkter og vigtige sekundære endepunkter</w:t>
      </w:r>
    </w:p>
    <w:tbl>
      <w:tblPr>
        <w:tblW w:w="4561" w:type="pct"/>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3"/>
        <w:gridCol w:w="870"/>
        <w:gridCol w:w="1176"/>
        <w:gridCol w:w="804"/>
        <w:gridCol w:w="1227"/>
        <w:gridCol w:w="927"/>
        <w:gridCol w:w="930"/>
      </w:tblGrid>
      <w:tr w:rsidR="00DD5979" w14:paraId="4489963C" w14:textId="77777777" w:rsidTr="00854197">
        <w:trPr>
          <w:trHeight w:val="210"/>
        </w:trPr>
        <w:tc>
          <w:tcPr>
            <w:tcW w:w="1614" w:type="pct"/>
            <w:vMerge w:val="restart"/>
            <w:tcBorders>
              <w:top w:val="single" w:sz="6" w:space="0" w:color="000000"/>
              <w:left w:val="single" w:sz="6" w:space="0" w:color="000000"/>
              <w:bottom w:val="single" w:sz="6" w:space="0" w:color="000000"/>
              <w:right w:val="single" w:sz="6" w:space="0" w:color="000000"/>
            </w:tcBorders>
          </w:tcPr>
          <w:p w14:paraId="1AEEEE2A" w14:textId="77777777" w:rsidR="00DD5979" w:rsidRDefault="00DD5979" w:rsidP="00854197">
            <w:pPr>
              <w:pStyle w:val="TableParagraph"/>
              <w:keepNext/>
              <w:keepLines/>
              <w:rPr>
                <w:lang w:val="da-DK" w:eastAsia="da-DK"/>
              </w:rPr>
            </w:pPr>
          </w:p>
        </w:tc>
        <w:tc>
          <w:tcPr>
            <w:tcW w:w="1167" w:type="pct"/>
            <w:gridSpan w:val="2"/>
            <w:tcBorders>
              <w:top w:val="single" w:sz="6" w:space="0" w:color="000000"/>
              <w:left w:val="single" w:sz="6" w:space="0" w:color="000000"/>
              <w:bottom w:val="single" w:sz="6" w:space="0" w:color="000000"/>
              <w:right w:val="single" w:sz="6" w:space="0" w:color="000000"/>
            </w:tcBorders>
            <w:vAlign w:val="bottom"/>
            <w:hideMark/>
          </w:tcPr>
          <w:p w14:paraId="5B338BCF" w14:textId="77777777" w:rsidR="00DD5979" w:rsidRDefault="00DD5979" w:rsidP="00854197">
            <w:pPr>
              <w:pStyle w:val="TableParagraph"/>
              <w:keepNext/>
              <w:keepLines/>
              <w:ind w:left="101" w:right="86"/>
              <w:jc w:val="center"/>
              <w:rPr>
                <w:b/>
                <w:lang w:val="da-DK" w:eastAsia="da-DK"/>
              </w:rPr>
            </w:pPr>
            <w:proofErr w:type="spellStart"/>
            <w:r>
              <w:rPr>
                <w:b/>
                <w:lang w:val="da-DK" w:eastAsia="da-DK"/>
              </w:rPr>
              <w:t>Sitagliptin</w:t>
            </w:r>
            <w:proofErr w:type="spellEnd"/>
            <w:r>
              <w:rPr>
                <w:b/>
                <w:lang w:val="da-DK" w:eastAsia="da-DK"/>
              </w:rPr>
              <w:t xml:space="preserve"> 100 mg</w:t>
            </w:r>
          </w:p>
        </w:tc>
        <w:tc>
          <w:tcPr>
            <w:tcW w:w="1165" w:type="pct"/>
            <w:gridSpan w:val="2"/>
            <w:tcBorders>
              <w:top w:val="single" w:sz="6" w:space="0" w:color="000000"/>
              <w:left w:val="single" w:sz="6" w:space="0" w:color="000000"/>
              <w:bottom w:val="single" w:sz="6" w:space="0" w:color="000000"/>
              <w:right w:val="single" w:sz="6" w:space="0" w:color="000000"/>
            </w:tcBorders>
            <w:vAlign w:val="bottom"/>
            <w:hideMark/>
          </w:tcPr>
          <w:p w14:paraId="63877A22" w14:textId="77777777" w:rsidR="00DD5979" w:rsidRDefault="00DD5979" w:rsidP="00854197">
            <w:pPr>
              <w:pStyle w:val="TableParagraph"/>
              <w:keepNext/>
              <w:keepLines/>
              <w:ind w:left="101" w:right="86"/>
              <w:jc w:val="center"/>
              <w:rPr>
                <w:b/>
                <w:lang w:val="da-DK" w:eastAsia="da-DK"/>
              </w:rPr>
            </w:pPr>
            <w:r>
              <w:rPr>
                <w:b/>
                <w:lang w:val="da-DK" w:eastAsia="da-DK"/>
              </w:rPr>
              <w:t>Placebo</w:t>
            </w:r>
          </w:p>
        </w:tc>
        <w:tc>
          <w:tcPr>
            <w:tcW w:w="526" w:type="pct"/>
            <w:vMerge w:val="restart"/>
            <w:tcBorders>
              <w:top w:val="single" w:sz="6" w:space="0" w:color="000000"/>
              <w:left w:val="single" w:sz="6" w:space="0" w:color="000000"/>
              <w:bottom w:val="single" w:sz="6" w:space="0" w:color="000000"/>
              <w:right w:val="single" w:sz="6" w:space="0" w:color="000000"/>
            </w:tcBorders>
            <w:vAlign w:val="bottom"/>
            <w:hideMark/>
          </w:tcPr>
          <w:p w14:paraId="5F6566CE" w14:textId="77777777" w:rsidR="00DD5979" w:rsidRDefault="00DD5979" w:rsidP="00854197">
            <w:pPr>
              <w:pStyle w:val="TableParagraph"/>
              <w:keepNext/>
              <w:keepLines/>
              <w:ind w:left="127" w:right="112"/>
              <w:jc w:val="center"/>
              <w:rPr>
                <w:b/>
                <w:i/>
                <w:lang w:val="da-DK" w:eastAsia="da-DK"/>
              </w:rPr>
            </w:pPr>
            <w:proofErr w:type="spellStart"/>
            <w:r>
              <w:rPr>
                <w:b/>
                <w:i/>
                <w:lang w:val="da-DK" w:eastAsia="da-DK"/>
              </w:rPr>
              <w:t>Hazard</w:t>
            </w:r>
            <w:proofErr w:type="spellEnd"/>
            <w:r>
              <w:rPr>
                <w:b/>
                <w:i/>
                <w:lang w:val="da-DK" w:eastAsia="da-DK"/>
              </w:rPr>
              <w:t xml:space="preserve"> ratio</w:t>
            </w:r>
          </w:p>
          <w:p w14:paraId="5025E1B9" w14:textId="77777777" w:rsidR="00DD5979" w:rsidRDefault="00DD5979" w:rsidP="00854197">
            <w:pPr>
              <w:pStyle w:val="TableParagraph"/>
              <w:keepNext/>
              <w:keepLines/>
              <w:ind w:left="128" w:right="111"/>
              <w:jc w:val="center"/>
              <w:rPr>
                <w:b/>
                <w:lang w:val="da-DK" w:eastAsia="da-DK"/>
              </w:rPr>
            </w:pPr>
            <w:r>
              <w:rPr>
                <w:b/>
                <w:lang w:val="da-DK" w:eastAsia="da-DK"/>
              </w:rPr>
              <w:t>(95 % CI)</w:t>
            </w:r>
          </w:p>
        </w:tc>
        <w:tc>
          <w:tcPr>
            <w:tcW w:w="528" w:type="pct"/>
            <w:vMerge w:val="restart"/>
            <w:tcBorders>
              <w:top w:val="single" w:sz="6" w:space="0" w:color="000000"/>
              <w:left w:val="single" w:sz="6" w:space="0" w:color="000000"/>
              <w:bottom w:val="single" w:sz="6" w:space="0" w:color="000000"/>
              <w:right w:val="single" w:sz="6" w:space="0" w:color="000000"/>
            </w:tcBorders>
            <w:vAlign w:val="bottom"/>
            <w:hideMark/>
          </w:tcPr>
          <w:p w14:paraId="58515DD5" w14:textId="77777777" w:rsidR="00DD5979" w:rsidRDefault="00DD5979" w:rsidP="00854197">
            <w:pPr>
              <w:pStyle w:val="TableParagraph"/>
              <w:keepNext/>
              <w:keepLines/>
              <w:ind w:left="109"/>
              <w:jc w:val="center"/>
              <w:rPr>
                <w:lang w:val="da-DK" w:eastAsia="da-DK"/>
              </w:rPr>
            </w:pPr>
            <w:proofErr w:type="spellStart"/>
            <w:r>
              <w:rPr>
                <w:b/>
                <w:lang w:val="da-DK" w:eastAsia="da-DK"/>
              </w:rPr>
              <w:t>p-værdi</w:t>
            </w:r>
            <w:proofErr w:type="spellEnd"/>
            <w:r>
              <w:rPr>
                <w:vertAlign w:val="superscript"/>
                <w:lang w:val="da-DK" w:eastAsia="da-DK"/>
              </w:rPr>
              <w:t>†</w:t>
            </w:r>
          </w:p>
        </w:tc>
      </w:tr>
      <w:tr w:rsidR="00DD5979" w14:paraId="65250BD1" w14:textId="77777777" w:rsidTr="00854197">
        <w:trPr>
          <w:trHeight w:val="1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55E2D" w14:textId="77777777" w:rsidR="00DD5979" w:rsidRDefault="00DD5979" w:rsidP="00854197">
            <w:pPr>
              <w:rPr>
                <w:sz w:val="22"/>
                <w:szCs w:val="22"/>
              </w:rPr>
            </w:pPr>
          </w:p>
        </w:tc>
        <w:tc>
          <w:tcPr>
            <w:tcW w:w="500" w:type="pct"/>
            <w:tcBorders>
              <w:top w:val="single" w:sz="6" w:space="0" w:color="000000"/>
              <w:left w:val="single" w:sz="6" w:space="0" w:color="000000"/>
              <w:bottom w:val="single" w:sz="6" w:space="0" w:color="000000"/>
              <w:right w:val="single" w:sz="6" w:space="0" w:color="000000"/>
            </w:tcBorders>
            <w:vAlign w:val="bottom"/>
            <w:hideMark/>
          </w:tcPr>
          <w:p w14:paraId="7F0AD124" w14:textId="77777777" w:rsidR="00DD5979" w:rsidRDefault="00DD5979" w:rsidP="00854197">
            <w:pPr>
              <w:pStyle w:val="TableParagraph"/>
              <w:keepNext/>
              <w:keepLines/>
              <w:ind w:left="101" w:right="86"/>
              <w:jc w:val="center"/>
              <w:rPr>
                <w:b/>
                <w:lang w:val="da-DK" w:eastAsia="da-DK"/>
              </w:rPr>
            </w:pPr>
            <w:r>
              <w:rPr>
                <w:b/>
                <w:lang w:val="da-DK" w:eastAsia="da-DK"/>
              </w:rPr>
              <w:t xml:space="preserve">N </w:t>
            </w:r>
            <w:proofErr w:type="gramStart"/>
            <w:r>
              <w:rPr>
                <w:b/>
                <w:lang w:val="da-DK" w:eastAsia="da-DK"/>
              </w:rPr>
              <w:t>( %</w:t>
            </w:r>
            <w:proofErr w:type="gramEnd"/>
            <w:r>
              <w:rPr>
                <w:b/>
                <w:lang w:val="da-DK" w:eastAsia="da-DK"/>
              </w:rPr>
              <w:t>)</w:t>
            </w:r>
          </w:p>
        </w:tc>
        <w:tc>
          <w:tcPr>
            <w:tcW w:w="667" w:type="pct"/>
            <w:tcBorders>
              <w:top w:val="single" w:sz="6" w:space="0" w:color="000000"/>
              <w:left w:val="single" w:sz="6" w:space="0" w:color="000000"/>
              <w:bottom w:val="single" w:sz="6" w:space="0" w:color="000000"/>
              <w:right w:val="single" w:sz="6" w:space="0" w:color="000000"/>
            </w:tcBorders>
            <w:vAlign w:val="bottom"/>
            <w:hideMark/>
          </w:tcPr>
          <w:p w14:paraId="5D064863" w14:textId="77777777" w:rsidR="00DD5979" w:rsidRDefault="00DD5979" w:rsidP="00854197">
            <w:pPr>
              <w:pStyle w:val="TableParagraph"/>
              <w:keepNext/>
              <w:keepLines/>
              <w:ind w:left="99" w:right="82"/>
              <w:jc w:val="center"/>
              <w:rPr>
                <w:b/>
                <w:lang w:val="da-DK" w:eastAsia="da-DK"/>
              </w:rPr>
            </w:pPr>
            <w:proofErr w:type="spellStart"/>
            <w:r>
              <w:rPr>
                <w:b/>
                <w:lang w:val="da-DK" w:eastAsia="da-DK"/>
              </w:rPr>
              <w:t>Incidens</w:t>
            </w:r>
            <w:proofErr w:type="spellEnd"/>
            <w:r>
              <w:rPr>
                <w:b/>
                <w:lang w:val="da-DK" w:eastAsia="da-DK"/>
              </w:rPr>
              <w:t>- rate pr. 100</w:t>
            </w:r>
          </w:p>
          <w:p w14:paraId="5513F6F9" w14:textId="77777777" w:rsidR="00DD5979" w:rsidRDefault="00DD5979" w:rsidP="00854197">
            <w:pPr>
              <w:pStyle w:val="TableParagraph"/>
              <w:keepNext/>
              <w:keepLines/>
              <w:ind w:left="98" w:right="84"/>
              <w:jc w:val="center"/>
              <w:rPr>
                <w:lang w:val="da-DK" w:eastAsia="da-DK"/>
              </w:rPr>
            </w:pPr>
            <w:proofErr w:type="spellStart"/>
            <w:r>
              <w:rPr>
                <w:b/>
                <w:lang w:val="da-DK" w:eastAsia="da-DK"/>
              </w:rPr>
              <w:t>patientår</w:t>
            </w:r>
            <w:proofErr w:type="spellEnd"/>
            <w:r>
              <w:rPr>
                <w:lang w:val="da-DK" w:eastAsia="da-DK"/>
              </w:rPr>
              <w:t>*</w:t>
            </w:r>
          </w:p>
        </w:tc>
        <w:tc>
          <w:tcPr>
            <w:tcW w:w="462" w:type="pct"/>
            <w:tcBorders>
              <w:top w:val="single" w:sz="6" w:space="0" w:color="000000"/>
              <w:left w:val="single" w:sz="6" w:space="0" w:color="000000"/>
              <w:bottom w:val="single" w:sz="6" w:space="0" w:color="000000"/>
              <w:right w:val="single" w:sz="6" w:space="0" w:color="000000"/>
            </w:tcBorders>
            <w:vAlign w:val="bottom"/>
            <w:hideMark/>
          </w:tcPr>
          <w:p w14:paraId="79F695B4" w14:textId="77777777" w:rsidR="00DD5979" w:rsidRDefault="00DD5979" w:rsidP="00854197">
            <w:pPr>
              <w:pStyle w:val="TableParagraph"/>
              <w:keepNext/>
              <w:keepLines/>
              <w:ind w:left="95" w:right="78"/>
              <w:jc w:val="center"/>
              <w:rPr>
                <w:b/>
                <w:lang w:val="da-DK" w:eastAsia="da-DK"/>
              </w:rPr>
            </w:pPr>
            <w:r>
              <w:rPr>
                <w:b/>
                <w:lang w:val="da-DK" w:eastAsia="da-DK"/>
              </w:rPr>
              <w:t xml:space="preserve">N </w:t>
            </w:r>
            <w:proofErr w:type="gramStart"/>
            <w:r>
              <w:rPr>
                <w:b/>
                <w:lang w:val="da-DK" w:eastAsia="da-DK"/>
              </w:rPr>
              <w:t>( %</w:t>
            </w:r>
            <w:proofErr w:type="gramEnd"/>
            <w:r>
              <w:rPr>
                <w:b/>
                <w:lang w:val="da-DK" w:eastAsia="da-DK"/>
              </w:rPr>
              <w:t>)</w:t>
            </w:r>
          </w:p>
        </w:tc>
        <w:tc>
          <w:tcPr>
            <w:tcW w:w="703" w:type="pct"/>
            <w:tcBorders>
              <w:top w:val="single" w:sz="6" w:space="0" w:color="000000"/>
              <w:left w:val="single" w:sz="6" w:space="0" w:color="000000"/>
              <w:bottom w:val="single" w:sz="6" w:space="0" w:color="000000"/>
              <w:right w:val="single" w:sz="6" w:space="0" w:color="000000"/>
            </w:tcBorders>
            <w:vAlign w:val="bottom"/>
            <w:hideMark/>
          </w:tcPr>
          <w:p w14:paraId="03DA2623" w14:textId="77777777" w:rsidR="00DD5979" w:rsidRDefault="00DD5979" w:rsidP="00854197">
            <w:pPr>
              <w:pStyle w:val="TableParagraph"/>
              <w:keepNext/>
              <w:keepLines/>
              <w:ind w:left="96" w:right="78"/>
              <w:jc w:val="center"/>
              <w:rPr>
                <w:b/>
                <w:lang w:val="da-DK" w:eastAsia="da-DK"/>
              </w:rPr>
            </w:pPr>
            <w:proofErr w:type="spellStart"/>
            <w:r>
              <w:rPr>
                <w:b/>
                <w:lang w:val="da-DK" w:eastAsia="da-DK"/>
              </w:rPr>
              <w:t>Incidens</w:t>
            </w:r>
            <w:proofErr w:type="spellEnd"/>
            <w:r>
              <w:rPr>
                <w:b/>
                <w:lang w:val="da-DK" w:eastAsia="da-DK"/>
              </w:rPr>
              <w:t>- rate pr. 100</w:t>
            </w:r>
          </w:p>
          <w:p w14:paraId="62F5B70C" w14:textId="77777777" w:rsidR="00DD5979" w:rsidRDefault="00DD5979" w:rsidP="00854197">
            <w:pPr>
              <w:pStyle w:val="TableParagraph"/>
              <w:keepNext/>
              <w:keepLines/>
              <w:ind w:left="94" w:right="78"/>
              <w:jc w:val="center"/>
              <w:rPr>
                <w:lang w:val="da-DK" w:eastAsia="da-DK"/>
              </w:rPr>
            </w:pPr>
            <w:proofErr w:type="spellStart"/>
            <w:r>
              <w:rPr>
                <w:b/>
                <w:lang w:val="da-DK" w:eastAsia="da-DK"/>
              </w:rPr>
              <w:t>patientår</w:t>
            </w:r>
            <w:proofErr w:type="spellEnd"/>
            <w:r>
              <w:rPr>
                <w:lang w:val="da-DK" w:eastAsia="da-DK"/>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C3941" w14:textId="77777777" w:rsidR="00DD5979" w:rsidRDefault="00DD5979" w:rsidP="00854197">
            <w:pPr>
              <w:rPr>
                <w:b/>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AD29B0" w14:textId="77777777" w:rsidR="00DD5979" w:rsidRDefault="00DD5979" w:rsidP="00854197">
            <w:pPr>
              <w:rPr>
                <w:sz w:val="22"/>
                <w:szCs w:val="22"/>
              </w:rPr>
            </w:pPr>
          </w:p>
        </w:tc>
      </w:tr>
      <w:tr w:rsidR="00DD5979" w14:paraId="0594FBC9" w14:textId="77777777" w:rsidTr="00854197">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59434AAF" w14:textId="77777777" w:rsidR="00DD5979" w:rsidRDefault="00DD5979" w:rsidP="00854197">
            <w:pPr>
              <w:pStyle w:val="TableParagraph"/>
              <w:keepNext/>
              <w:keepLines/>
              <w:ind w:left="107"/>
              <w:rPr>
                <w:b/>
                <w:lang w:val="da-DK" w:eastAsia="da-DK"/>
              </w:rPr>
            </w:pPr>
            <w:r>
              <w:rPr>
                <w:b/>
                <w:lang w:val="da-DK" w:eastAsia="da-DK"/>
              </w:rPr>
              <w:t xml:space="preserve">Analyse i </w:t>
            </w:r>
            <w:r>
              <w:rPr>
                <w:b/>
                <w:i/>
                <w:lang w:val="da-DK" w:eastAsia="da-DK"/>
              </w:rPr>
              <w:t xml:space="preserve">Intention to </w:t>
            </w:r>
            <w:proofErr w:type="spellStart"/>
            <w:r>
              <w:rPr>
                <w:b/>
                <w:i/>
                <w:lang w:val="da-DK" w:eastAsia="da-DK"/>
              </w:rPr>
              <w:t>treat</w:t>
            </w:r>
            <w:proofErr w:type="spellEnd"/>
            <w:r>
              <w:rPr>
                <w:b/>
                <w:lang w:val="da-DK" w:eastAsia="da-DK"/>
              </w:rPr>
              <w:t>-populationen</w:t>
            </w:r>
          </w:p>
        </w:tc>
      </w:tr>
      <w:tr w:rsidR="00DD5979" w14:paraId="4B7F827D" w14:textId="77777777" w:rsidTr="00854197">
        <w:trPr>
          <w:trHeight w:val="272"/>
        </w:trPr>
        <w:tc>
          <w:tcPr>
            <w:tcW w:w="1614" w:type="pct"/>
            <w:tcBorders>
              <w:top w:val="single" w:sz="6" w:space="0" w:color="000000"/>
              <w:left w:val="single" w:sz="6" w:space="0" w:color="000000"/>
              <w:bottom w:val="single" w:sz="6" w:space="0" w:color="000000"/>
              <w:right w:val="single" w:sz="6" w:space="0" w:color="000000"/>
            </w:tcBorders>
            <w:hideMark/>
          </w:tcPr>
          <w:p w14:paraId="3F8C0A30" w14:textId="77777777" w:rsidR="00DD5979" w:rsidRDefault="00DD5979" w:rsidP="00854197">
            <w:pPr>
              <w:pStyle w:val="TableParagraph"/>
              <w:keepNext/>
              <w:keepLines/>
              <w:ind w:left="273"/>
              <w:rPr>
                <w:b/>
                <w:lang w:val="da-DK" w:eastAsia="da-DK"/>
              </w:rPr>
            </w:pPr>
            <w:r>
              <w:rPr>
                <w:b/>
                <w:lang w:val="da-DK" w:eastAsia="da-DK"/>
              </w:rPr>
              <w:t>Antal patienter</w:t>
            </w:r>
          </w:p>
        </w:tc>
        <w:tc>
          <w:tcPr>
            <w:tcW w:w="1167" w:type="pct"/>
            <w:gridSpan w:val="2"/>
            <w:tcBorders>
              <w:top w:val="single" w:sz="6" w:space="0" w:color="000000"/>
              <w:left w:val="single" w:sz="6" w:space="0" w:color="000000"/>
              <w:bottom w:val="single" w:sz="6" w:space="0" w:color="000000"/>
              <w:right w:val="single" w:sz="6" w:space="0" w:color="000000"/>
            </w:tcBorders>
            <w:hideMark/>
          </w:tcPr>
          <w:p w14:paraId="7A6FA7CE" w14:textId="77777777" w:rsidR="00DD5979" w:rsidRDefault="00DD5979" w:rsidP="00854197">
            <w:pPr>
              <w:pStyle w:val="TableParagraph"/>
              <w:keepNext/>
              <w:keepLines/>
              <w:ind w:left="748" w:right="735"/>
              <w:jc w:val="center"/>
              <w:rPr>
                <w:b/>
                <w:lang w:val="da-DK" w:eastAsia="da-DK"/>
              </w:rPr>
            </w:pPr>
            <w:r>
              <w:rPr>
                <w:b/>
                <w:lang w:val="da-DK" w:eastAsia="da-DK"/>
              </w:rPr>
              <w:t>7 332</w:t>
            </w:r>
          </w:p>
        </w:tc>
        <w:tc>
          <w:tcPr>
            <w:tcW w:w="1165" w:type="pct"/>
            <w:gridSpan w:val="2"/>
            <w:tcBorders>
              <w:top w:val="single" w:sz="6" w:space="0" w:color="000000"/>
              <w:left w:val="single" w:sz="6" w:space="0" w:color="000000"/>
              <w:bottom w:val="single" w:sz="6" w:space="0" w:color="000000"/>
              <w:right w:val="single" w:sz="6" w:space="0" w:color="000000"/>
            </w:tcBorders>
            <w:hideMark/>
          </w:tcPr>
          <w:p w14:paraId="288577E8" w14:textId="77777777" w:rsidR="00DD5979" w:rsidRDefault="00DD5979" w:rsidP="00854197">
            <w:pPr>
              <w:pStyle w:val="TableParagraph"/>
              <w:keepNext/>
              <w:keepLines/>
              <w:ind w:left="657" w:right="642"/>
              <w:jc w:val="center"/>
              <w:rPr>
                <w:b/>
                <w:lang w:val="da-DK" w:eastAsia="da-DK"/>
              </w:rPr>
            </w:pPr>
            <w:r>
              <w:rPr>
                <w:b/>
                <w:lang w:val="da-DK" w:eastAsia="da-DK"/>
              </w:rPr>
              <w:t>7 339</w:t>
            </w:r>
          </w:p>
        </w:tc>
        <w:tc>
          <w:tcPr>
            <w:tcW w:w="526" w:type="pct"/>
            <w:vMerge w:val="restart"/>
            <w:tcBorders>
              <w:top w:val="single" w:sz="6" w:space="0" w:color="000000"/>
              <w:left w:val="single" w:sz="6" w:space="0" w:color="000000"/>
              <w:bottom w:val="single" w:sz="6" w:space="0" w:color="000000"/>
              <w:right w:val="single" w:sz="6" w:space="0" w:color="000000"/>
            </w:tcBorders>
          </w:tcPr>
          <w:p w14:paraId="2355D2AE" w14:textId="77777777" w:rsidR="00DD5979" w:rsidRDefault="00DD5979" w:rsidP="00854197">
            <w:pPr>
              <w:pStyle w:val="TableParagraph"/>
              <w:keepNext/>
              <w:keepLines/>
              <w:rPr>
                <w:b/>
                <w:lang w:val="da-DK" w:eastAsia="da-DK"/>
              </w:rPr>
            </w:pPr>
          </w:p>
          <w:p w14:paraId="2E80170F" w14:textId="77777777" w:rsidR="00DD5979" w:rsidRDefault="00DD5979" w:rsidP="00854197">
            <w:pPr>
              <w:pStyle w:val="TableParagraph"/>
              <w:keepNext/>
              <w:keepLines/>
              <w:rPr>
                <w:b/>
                <w:lang w:val="da-DK" w:eastAsia="da-DK"/>
              </w:rPr>
            </w:pPr>
          </w:p>
          <w:p w14:paraId="0301569F" w14:textId="77777777" w:rsidR="00DD5979" w:rsidRDefault="00DD5979" w:rsidP="00854197">
            <w:pPr>
              <w:pStyle w:val="TableParagraph"/>
              <w:keepNext/>
              <w:keepLines/>
              <w:rPr>
                <w:b/>
                <w:lang w:val="da-DK" w:eastAsia="da-DK"/>
              </w:rPr>
            </w:pPr>
          </w:p>
          <w:p w14:paraId="6564BFC4" w14:textId="77777777" w:rsidR="00DD5979" w:rsidRDefault="00DD5979" w:rsidP="00854197">
            <w:pPr>
              <w:pStyle w:val="TableParagraph"/>
              <w:keepNext/>
              <w:keepLines/>
              <w:rPr>
                <w:b/>
                <w:lang w:val="da-DK" w:eastAsia="da-DK"/>
              </w:rPr>
            </w:pPr>
          </w:p>
          <w:p w14:paraId="651DB046" w14:textId="77777777" w:rsidR="00DD5979" w:rsidRDefault="00DD5979" w:rsidP="00854197">
            <w:pPr>
              <w:pStyle w:val="TableParagraph"/>
              <w:keepNext/>
              <w:keepLines/>
              <w:rPr>
                <w:b/>
                <w:lang w:val="da-DK" w:eastAsia="da-DK"/>
              </w:rPr>
            </w:pPr>
          </w:p>
          <w:p w14:paraId="3F0057C1" w14:textId="77777777" w:rsidR="00DD5979" w:rsidRDefault="00DD5979" w:rsidP="00854197">
            <w:pPr>
              <w:pStyle w:val="TableParagraph"/>
              <w:keepNext/>
              <w:keepLines/>
              <w:rPr>
                <w:b/>
                <w:lang w:val="da-DK" w:eastAsia="da-DK"/>
              </w:rPr>
            </w:pPr>
          </w:p>
          <w:p w14:paraId="0B33574A" w14:textId="77777777" w:rsidR="00DD5979" w:rsidRDefault="00DD5979" w:rsidP="00854197">
            <w:pPr>
              <w:pStyle w:val="TableParagraph"/>
              <w:keepNext/>
              <w:keepLines/>
              <w:ind w:left="140"/>
              <w:jc w:val="center"/>
              <w:rPr>
                <w:lang w:val="da-DK" w:eastAsia="da-DK"/>
              </w:rPr>
            </w:pPr>
            <w:r>
              <w:rPr>
                <w:lang w:val="da-DK" w:eastAsia="da-DK"/>
              </w:rPr>
              <w:t>0,98</w:t>
            </w:r>
          </w:p>
          <w:p w14:paraId="4BA872FF" w14:textId="77777777" w:rsidR="00DD5979" w:rsidRDefault="00DD5979" w:rsidP="00854197">
            <w:pPr>
              <w:pStyle w:val="TableParagraph"/>
              <w:keepNext/>
              <w:keepLines/>
              <w:ind w:left="140"/>
              <w:jc w:val="center"/>
              <w:rPr>
                <w:lang w:val="da-DK" w:eastAsia="da-DK"/>
              </w:rPr>
            </w:pPr>
            <w:r>
              <w:rPr>
                <w:lang w:val="da-DK" w:eastAsia="da-DK"/>
              </w:rPr>
              <w:t>(0,89-1,08)</w:t>
            </w:r>
          </w:p>
        </w:tc>
        <w:tc>
          <w:tcPr>
            <w:tcW w:w="528" w:type="pct"/>
            <w:vMerge w:val="restart"/>
            <w:tcBorders>
              <w:top w:val="single" w:sz="6" w:space="0" w:color="000000"/>
              <w:left w:val="single" w:sz="6" w:space="0" w:color="000000"/>
              <w:bottom w:val="single" w:sz="6" w:space="0" w:color="000000"/>
              <w:right w:val="single" w:sz="6" w:space="0" w:color="000000"/>
            </w:tcBorders>
          </w:tcPr>
          <w:p w14:paraId="1850748F" w14:textId="77777777" w:rsidR="00DD5979" w:rsidRDefault="00DD5979" w:rsidP="00854197">
            <w:pPr>
              <w:pStyle w:val="TableParagraph"/>
              <w:keepNext/>
              <w:keepLines/>
              <w:rPr>
                <w:b/>
                <w:lang w:val="da-DK" w:eastAsia="da-DK"/>
              </w:rPr>
            </w:pPr>
          </w:p>
          <w:p w14:paraId="61945635" w14:textId="77777777" w:rsidR="00DD5979" w:rsidRDefault="00DD5979" w:rsidP="00854197">
            <w:pPr>
              <w:pStyle w:val="TableParagraph"/>
              <w:keepNext/>
              <w:keepLines/>
              <w:rPr>
                <w:b/>
                <w:lang w:val="da-DK" w:eastAsia="da-DK"/>
              </w:rPr>
            </w:pPr>
          </w:p>
          <w:p w14:paraId="12BC1B4E" w14:textId="77777777" w:rsidR="00DD5979" w:rsidRDefault="00DD5979" w:rsidP="00854197">
            <w:pPr>
              <w:pStyle w:val="TableParagraph"/>
              <w:keepNext/>
              <w:keepLines/>
              <w:rPr>
                <w:b/>
                <w:lang w:val="da-DK" w:eastAsia="da-DK"/>
              </w:rPr>
            </w:pPr>
          </w:p>
          <w:p w14:paraId="55702FF7" w14:textId="77777777" w:rsidR="00DD5979" w:rsidRDefault="00DD5979" w:rsidP="00854197">
            <w:pPr>
              <w:pStyle w:val="TableParagraph"/>
              <w:keepNext/>
              <w:keepLines/>
              <w:rPr>
                <w:b/>
                <w:lang w:val="da-DK" w:eastAsia="da-DK"/>
              </w:rPr>
            </w:pPr>
          </w:p>
          <w:p w14:paraId="4BECEC26" w14:textId="77777777" w:rsidR="00DD5979" w:rsidRDefault="00DD5979" w:rsidP="00854197">
            <w:pPr>
              <w:pStyle w:val="TableParagraph"/>
              <w:keepNext/>
              <w:keepLines/>
              <w:rPr>
                <w:b/>
                <w:lang w:val="da-DK" w:eastAsia="da-DK"/>
              </w:rPr>
            </w:pPr>
          </w:p>
          <w:p w14:paraId="5B2C4A57" w14:textId="77777777" w:rsidR="00DD5979" w:rsidRDefault="00DD5979" w:rsidP="00854197">
            <w:pPr>
              <w:pStyle w:val="TableParagraph"/>
              <w:keepNext/>
              <w:keepLines/>
              <w:rPr>
                <w:b/>
                <w:lang w:val="da-DK" w:eastAsia="da-DK"/>
              </w:rPr>
            </w:pPr>
          </w:p>
          <w:p w14:paraId="4D2CD1F5" w14:textId="77777777" w:rsidR="00DD5979" w:rsidRDefault="00DD5979" w:rsidP="00854197">
            <w:pPr>
              <w:pStyle w:val="TableParagraph"/>
              <w:keepNext/>
              <w:keepLines/>
              <w:ind w:left="186"/>
              <w:rPr>
                <w:lang w:val="da-DK" w:eastAsia="da-DK"/>
              </w:rPr>
            </w:pPr>
            <w:r>
              <w:rPr>
                <w:lang w:val="da-DK" w:eastAsia="da-DK"/>
              </w:rPr>
              <w:t>&lt;0,001</w:t>
            </w:r>
          </w:p>
        </w:tc>
      </w:tr>
      <w:tr w:rsidR="00DD5979" w14:paraId="5C226C67" w14:textId="77777777" w:rsidTr="00854197">
        <w:trPr>
          <w:trHeight w:val="1268"/>
        </w:trPr>
        <w:tc>
          <w:tcPr>
            <w:tcW w:w="1614" w:type="pct"/>
            <w:tcBorders>
              <w:top w:val="single" w:sz="6" w:space="0" w:color="000000"/>
              <w:left w:val="single" w:sz="6" w:space="0" w:color="000000"/>
              <w:bottom w:val="single" w:sz="6" w:space="0" w:color="000000"/>
              <w:right w:val="single" w:sz="6" w:space="0" w:color="000000"/>
            </w:tcBorders>
            <w:hideMark/>
          </w:tcPr>
          <w:p w14:paraId="75BDD11F" w14:textId="77777777" w:rsidR="00DD5979" w:rsidRDefault="00DD5979" w:rsidP="00854197">
            <w:pPr>
              <w:pStyle w:val="TableParagraph"/>
              <w:ind w:left="273"/>
              <w:rPr>
                <w:b/>
                <w:lang w:val="da-DK" w:eastAsia="da-DK"/>
              </w:rPr>
            </w:pPr>
            <w:r>
              <w:rPr>
                <w:b/>
                <w:lang w:val="da-DK" w:eastAsia="da-DK"/>
              </w:rPr>
              <w:t xml:space="preserve">Primært sammensat endepunkt </w:t>
            </w:r>
          </w:p>
          <w:p w14:paraId="0E0C78B1" w14:textId="77777777" w:rsidR="00DD5979" w:rsidRDefault="00DD5979" w:rsidP="00854197">
            <w:pPr>
              <w:pStyle w:val="TableParagraph"/>
              <w:ind w:left="321"/>
              <w:rPr>
                <w:lang w:val="da-DK" w:eastAsia="da-DK"/>
              </w:rPr>
            </w:pPr>
            <w:r>
              <w:rPr>
                <w:lang w:val="da-DK" w:eastAsia="da-DK"/>
              </w:rPr>
              <w:t>(</w:t>
            </w:r>
            <w:proofErr w:type="spellStart"/>
            <w:r>
              <w:rPr>
                <w:lang w:val="da-DK" w:eastAsia="da-DK"/>
              </w:rPr>
              <w:t>Kardiovaskulær</w:t>
            </w:r>
            <w:proofErr w:type="spellEnd"/>
            <w:r>
              <w:rPr>
                <w:lang w:val="da-DK" w:eastAsia="da-DK"/>
              </w:rPr>
              <w:t xml:space="preserve"> død, ikke-letalt myokardieinfarkt, ikke-letal apopleksi eller hospitalsindlæggelse pga. ustabil angina)</w:t>
            </w:r>
          </w:p>
        </w:tc>
        <w:tc>
          <w:tcPr>
            <w:tcW w:w="500" w:type="pct"/>
            <w:tcBorders>
              <w:top w:val="single" w:sz="6" w:space="0" w:color="000000"/>
              <w:left w:val="single" w:sz="6" w:space="0" w:color="000000"/>
              <w:bottom w:val="single" w:sz="6" w:space="0" w:color="000000"/>
              <w:right w:val="single" w:sz="6" w:space="0" w:color="000000"/>
            </w:tcBorders>
          </w:tcPr>
          <w:p w14:paraId="0F7EDD78" w14:textId="77777777" w:rsidR="00DD5979" w:rsidRDefault="00DD5979" w:rsidP="00854197">
            <w:pPr>
              <w:pStyle w:val="TableParagraph"/>
              <w:rPr>
                <w:b/>
                <w:lang w:val="da-DK" w:eastAsia="da-DK"/>
              </w:rPr>
            </w:pPr>
          </w:p>
          <w:p w14:paraId="1102FCCB" w14:textId="77777777" w:rsidR="00DD5979" w:rsidRDefault="00DD5979" w:rsidP="00854197">
            <w:pPr>
              <w:pStyle w:val="TableParagraph"/>
              <w:rPr>
                <w:b/>
                <w:lang w:val="da-DK" w:eastAsia="da-DK"/>
              </w:rPr>
            </w:pPr>
          </w:p>
          <w:p w14:paraId="3AA8B410" w14:textId="77777777" w:rsidR="00DD5979" w:rsidRDefault="00DD5979" w:rsidP="00854197">
            <w:pPr>
              <w:pStyle w:val="TableParagraph"/>
              <w:rPr>
                <w:b/>
                <w:lang w:val="da-DK" w:eastAsia="da-DK"/>
              </w:rPr>
            </w:pPr>
          </w:p>
          <w:p w14:paraId="7510AC1E" w14:textId="77777777" w:rsidR="00DD5979" w:rsidRDefault="00DD5979" w:rsidP="00854197">
            <w:pPr>
              <w:pStyle w:val="TableParagraph"/>
              <w:rPr>
                <w:b/>
                <w:lang w:val="da-DK" w:eastAsia="da-DK"/>
              </w:rPr>
            </w:pPr>
          </w:p>
          <w:p w14:paraId="1BA7E0BB" w14:textId="77777777" w:rsidR="00DD5979" w:rsidRDefault="00DD5979" w:rsidP="00854197">
            <w:pPr>
              <w:pStyle w:val="TableParagraph"/>
              <w:ind w:left="102" w:right="86"/>
              <w:jc w:val="center"/>
              <w:rPr>
                <w:lang w:val="da-DK" w:eastAsia="da-DK"/>
              </w:rPr>
            </w:pPr>
            <w:r>
              <w:rPr>
                <w:lang w:val="da-DK" w:eastAsia="da-DK"/>
              </w:rPr>
              <w:t>839 (11,4)</w:t>
            </w:r>
          </w:p>
        </w:tc>
        <w:tc>
          <w:tcPr>
            <w:tcW w:w="667" w:type="pct"/>
            <w:tcBorders>
              <w:top w:val="single" w:sz="6" w:space="0" w:color="000000"/>
              <w:left w:val="single" w:sz="6" w:space="0" w:color="000000"/>
              <w:bottom w:val="single" w:sz="6" w:space="0" w:color="000000"/>
              <w:right w:val="single" w:sz="6" w:space="0" w:color="000000"/>
            </w:tcBorders>
          </w:tcPr>
          <w:p w14:paraId="126513B8" w14:textId="77777777" w:rsidR="00DD5979" w:rsidRDefault="00DD5979" w:rsidP="00854197">
            <w:pPr>
              <w:pStyle w:val="TableParagraph"/>
              <w:rPr>
                <w:b/>
                <w:lang w:val="da-DK" w:eastAsia="da-DK"/>
              </w:rPr>
            </w:pPr>
          </w:p>
          <w:p w14:paraId="4AB22CA5" w14:textId="77777777" w:rsidR="00DD5979" w:rsidRDefault="00DD5979" w:rsidP="00854197">
            <w:pPr>
              <w:pStyle w:val="TableParagraph"/>
              <w:rPr>
                <w:b/>
                <w:lang w:val="da-DK" w:eastAsia="da-DK"/>
              </w:rPr>
            </w:pPr>
          </w:p>
          <w:p w14:paraId="306795A0" w14:textId="77777777" w:rsidR="00DD5979" w:rsidRDefault="00DD5979" w:rsidP="00854197">
            <w:pPr>
              <w:pStyle w:val="TableParagraph"/>
              <w:rPr>
                <w:b/>
                <w:lang w:val="da-DK" w:eastAsia="da-DK"/>
              </w:rPr>
            </w:pPr>
          </w:p>
          <w:p w14:paraId="10E3F33E" w14:textId="77777777" w:rsidR="00DD5979" w:rsidRDefault="00DD5979" w:rsidP="00854197">
            <w:pPr>
              <w:pStyle w:val="TableParagraph"/>
              <w:rPr>
                <w:b/>
                <w:lang w:val="da-DK" w:eastAsia="da-DK"/>
              </w:rPr>
            </w:pPr>
          </w:p>
          <w:p w14:paraId="13F75C61" w14:textId="77777777" w:rsidR="00DD5979" w:rsidRDefault="00DD5979" w:rsidP="00854197">
            <w:pPr>
              <w:pStyle w:val="TableParagraph"/>
              <w:ind w:right="345"/>
              <w:jc w:val="right"/>
              <w:rPr>
                <w:lang w:val="da-DK" w:eastAsia="da-DK"/>
              </w:rPr>
            </w:pPr>
            <w:r>
              <w:rPr>
                <w:lang w:val="da-DK" w:eastAsia="da-DK"/>
              </w:rPr>
              <w:t>4,1</w:t>
            </w:r>
          </w:p>
        </w:tc>
        <w:tc>
          <w:tcPr>
            <w:tcW w:w="462" w:type="pct"/>
            <w:tcBorders>
              <w:top w:val="single" w:sz="6" w:space="0" w:color="000000"/>
              <w:left w:val="single" w:sz="6" w:space="0" w:color="000000"/>
              <w:bottom w:val="single" w:sz="6" w:space="0" w:color="000000"/>
              <w:right w:val="single" w:sz="6" w:space="0" w:color="000000"/>
            </w:tcBorders>
          </w:tcPr>
          <w:p w14:paraId="139FBA53" w14:textId="77777777" w:rsidR="00DD5979" w:rsidRDefault="00DD5979" w:rsidP="00854197">
            <w:pPr>
              <w:pStyle w:val="TableParagraph"/>
              <w:rPr>
                <w:b/>
                <w:lang w:val="da-DK" w:eastAsia="da-DK"/>
              </w:rPr>
            </w:pPr>
          </w:p>
          <w:p w14:paraId="71BBC7C2" w14:textId="77777777" w:rsidR="00DD5979" w:rsidRDefault="00DD5979" w:rsidP="00854197">
            <w:pPr>
              <w:pStyle w:val="TableParagraph"/>
              <w:rPr>
                <w:b/>
                <w:lang w:val="da-DK" w:eastAsia="da-DK"/>
              </w:rPr>
            </w:pPr>
          </w:p>
          <w:p w14:paraId="4BEB53DD" w14:textId="77777777" w:rsidR="00DD5979" w:rsidRDefault="00DD5979" w:rsidP="00854197">
            <w:pPr>
              <w:pStyle w:val="TableParagraph"/>
              <w:rPr>
                <w:b/>
                <w:lang w:val="da-DK" w:eastAsia="da-DK"/>
              </w:rPr>
            </w:pPr>
          </w:p>
          <w:p w14:paraId="1DFD1ED4" w14:textId="77777777" w:rsidR="00DD5979" w:rsidRDefault="00DD5979" w:rsidP="00854197">
            <w:pPr>
              <w:pStyle w:val="TableParagraph"/>
              <w:rPr>
                <w:b/>
                <w:lang w:val="da-DK" w:eastAsia="da-DK"/>
              </w:rPr>
            </w:pPr>
          </w:p>
          <w:p w14:paraId="129460D1" w14:textId="77777777" w:rsidR="00DD5979" w:rsidRDefault="00DD5979" w:rsidP="00854197">
            <w:pPr>
              <w:pStyle w:val="TableParagraph"/>
              <w:ind w:left="96" w:right="78"/>
              <w:jc w:val="center"/>
              <w:rPr>
                <w:lang w:val="da-DK" w:eastAsia="da-DK"/>
              </w:rPr>
            </w:pPr>
            <w:r>
              <w:rPr>
                <w:lang w:val="da-DK" w:eastAsia="da-DK"/>
              </w:rPr>
              <w:t>851 (11,6)</w:t>
            </w:r>
          </w:p>
        </w:tc>
        <w:tc>
          <w:tcPr>
            <w:tcW w:w="703" w:type="pct"/>
            <w:tcBorders>
              <w:top w:val="single" w:sz="6" w:space="0" w:color="000000"/>
              <w:left w:val="single" w:sz="6" w:space="0" w:color="000000"/>
              <w:bottom w:val="single" w:sz="6" w:space="0" w:color="000000"/>
              <w:right w:val="single" w:sz="6" w:space="0" w:color="000000"/>
            </w:tcBorders>
          </w:tcPr>
          <w:p w14:paraId="6152F56F" w14:textId="77777777" w:rsidR="00DD5979" w:rsidRDefault="00DD5979" w:rsidP="00854197">
            <w:pPr>
              <w:pStyle w:val="TableParagraph"/>
              <w:rPr>
                <w:b/>
                <w:lang w:val="da-DK" w:eastAsia="da-DK"/>
              </w:rPr>
            </w:pPr>
          </w:p>
          <w:p w14:paraId="469E966A" w14:textId="77777777" w:rsidR="00DD5979" w:rsidRDefault="00DD5979" w:rsidP="00854197">
            <w:pPr>
              <w:pStyle w:val="TableParagraph"/>
              <w:rPr>
                <w:b/>
                <w:lang w:val="da-DK" w:eastAsia="da-DK"/>
              </w:rPr>
            </w:pPr>
          </w:p>
          <w:p w14:paraId="4CFD3A59" w14:textId="77777777" w:rsidR="00DD5979" w:rsidRDefault="00DD5979" w:rsidP="00854197">
            <w:pPr>
              <w:pStyle w:val="TableParagraph"/>
              <w:rPr>
                <w:b/>
                <w:lang w:val="da-DK" w:eastAsia="da-DK"/>
              </w:rPr>
            </w:pPr>
          </w:p>
          <w:p w14:paraId="29B43A01" w14:textId="77777777" w:rsidR="00DD5979" w:rsidRDefault="00DD5979" w:rsidP="00854197">
            <w:pPr>
              <w:pStyle w:val="TableParagraph"/>
              <w:rPr>
                <w:b/>
                <w:lang w:val="da-DK" w:eastAsia="da-DK"/>
              </w:rPr>
            </w:pPr>
          </w:p>
          <w:p w14:paraId="022211C2" w14:textId="77777777" w:rsidR="00DD5979" w:rsidRDefault="00DD5979" w:rsidP="00854197">
            <w:pPr>
              <w:pStyle w:val="TableParagraph"/>
              <w:ind w:left="92" w:right="78"/>
              <w:jc w:val="center"/>
              <w:rPr>
                <w:lang w:val="da-DK" w:eastAsia="da-DK"/>
              </w:rPr>
            </w:pPr>
            <w:r>
              <w:rPr>
                <w:lang w:val="da-DK" w:eastAsia="da-DK"/>
              </w:rPr>
              <w:t>4,2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0FE756" w14:textId="77777777" w:rsidR="00DD5979" w:rsidRDefault="00DD5979" w:rsidP="00854197">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2AC05D" w14:textId="77777777" w:rsidR="00DD5979" w:rsidRDefault="00DD5979" w:rsidP="00854197">
            <w:pPr>
              <w:rPr>
                <w:sz w:val="22"/>
                <w:szCs w:val="22"/>
              </w:rPr>
            </w:pPr>
          </w:p>
        </w:tc>
      </w:tr>
      <w:tr w:rsidR="00DD5979" w14:paraId="69FA7EA8" w14:textId="77777777" w:rsidTr="00854197">
        <w:trPr>
          <w:trHeight w:val="851"/>
        </w:trPr>
        <w:tc>
          <w:tcPr>
            <w:tcW w:w="1614" w:type="pct"/>
            <w:tcBorders>
              <w:top w:val="single" w:sz="6" w:space="0" w:color="000000"/>
              <w:left w:val="single" w:sz="6" w:space="0" w:color="000000"/>
              <w:bottom w:val="single" w:sz="6" w:space="0" w:color="000000"/>
              <w:right w:val="single" w:sz="6" w:space="0" w:color="000000"/>
            </w:tcBorders>
            <w:hideMark/>
          </w:tcPr>
          <w:p w14:paraId="2FA5833C" w14:textId="77777777" w:rsidR="00DD5979" w:rsidRDefault="00DD5979" w:rsidP="00854197">
            <w:pPr>
              <w:pStyle w:val="TableParagraph"/>
              <w:ind w:left="273"/>
              <w:rPr>
                <w:b/>
                <w:spacing w:val="-5"/>
                <w:lang w:val="nb-NO" w:eastAsia="da-DK"/>
              </w:rPr>
            </w:pPr>
            <w:r w:rsidRPr="00567B15">
              <w:rPr>
                <w:b/>
                <w:lang w:val="nb-NO" w:eastAsia="da-DK"/>
              </w:rPr>
              <w:lastRenderedPageBreak/>
              <w:t>Sekundært</w:t>
            </w:r>
            <w:r>
              <w:rPr>
                <w:b/>
                <w:lang w:val="nb-NO" w:eastAsia="da-DK"/>
              </w:rPr>
              <w:t xml:space="preserve"> sammensat </w:t>
            </w:r>
            <w:r>
              <w:rPr>
                <w:b/>
                <w:spacing w:val="-5"/>
                <w:lang w:val="nb-NO" w:eastAsia="da-DK"/>
              </w:rPr>
              <w:t xml:space="preserve">endepunkt </w:t>
            </w:r>
          </w:p>
          <w:p w14:paraId="7BA86A23" w14:textId="77777777" w:rsidR="00DD5979" w:rsidRPr="00567B15" w:rsidRDefault="00DD5979" w:rsidP="00854197">
            <w:pPr>
              <w:pStyle w:val="TableParagraph"/>
              <w:ind w:left="321" w:right="134" w:hanging="2"/>
              <w:rPr>
                <w:lang w:val="nb-NO" w:eastAsia="da-DK"/>
              </w:rPr>
            </w:pPr>
            <w:r>
              <w:rPr>
                <w:lang w:val="nb-NO" w:eastAsia="da-DK"/>
              </w:rPr>
              <w:t>(Kardiovaskulær død, ikke-letalt myokardieinfarkt, ikke-letal</w:t>
            </w:r>
            <w:r w:rsidRPr="00567B15">
              <w:rPr>
                <w:lang w:val="nb-NO" w:eastAsia="da-DK"/>
              </w:rPr>
              <w:t xml:space="preserve"> apopleksi)</w:t>
            </w:r>
          </w:p>
        </w:tc>
        <w:tc>
          <w:tcPr>
            <w:tcW w:w="500" w:type="pct"/>
            <w:tcBorders>
              <w:top w:val="single" w:sz="6" w:space="0" w:color="000000"/>
              <w:left w:val="single" w:sz="6" w:space="0" w:color="000000"/>
              <w:bottom w:val="single" w:sz="6" w:space="0" w:color="000000"/>
              <w:right w:val="single" w:sz="6" w:space="0" w:color="000000"/>
            </w:tcBorders>
          </w:tcPr>
          <w:p w14:paraId="06FCBCA6" w14:textId="77777777" w:rsidR="00DD5979" w:rsidRPr="00567B15" w:rsidRDefault="00DD5979" w:rsidP="00854197">
            <w:pPr>
              <w:pStyle w:val="TableParagraph"/>
              <w:rPr>
                <w:b/>
                <w:lang w:val="nb-NO" w:eastAsia="da-DK"/>
              </w:rPr>
            </w:pPr>
          </w:p>
          <w:p w14:paraId="28DDF091" w14:textId="77777777" w:rsidR="00DD5979" w:rsidRPr="00567B15" w:rsidRDefault="00DD5979" w:rsidP="00854197">
            <w:pPr>
              <w:pStyle w:val="TableParagraph"/>
              <w:rPr>
                <w:b/>
                <w:lang w:val="nb-NO" w:eastAsia="da-DK"/>
              </w:rPr>
            </w:pPr>
          </w:p>
          <w:p w14:paraId="6562B05B" w14:textId="77777777" w:rsidR="00DD5979" w:rsidRPr="00567B15" w:rsidRDefault="00DD5979" w:rsidP="00854197">
            <w:pPr>
              <w:pStyle w:val="TableParagraph"/>
              <w:rPr>
                <w:b/>
                <w:lang w:val="nb-NO" w:eastAsia="da-DK"/>
              </w:rPr>
            </w:pPr>
          </w:p>
          <w:p w14:paraId="1614906B" w14:textId="77777777" w:rsidR="00DD5979" w:rsidRDefault="00DD5979" w:rsidP="00854197">
            <w:pPr>
              <w:pStyle w:val="TableParagraph"/>
              <w:ind w:left="102" w:right="86"/>
              <w:jc w:val="center"/>
              <w:rPr>
                <w:lang w:val="da-DK" w:eastAsia="da-DK"/>
              </w:rPr>
            </w:pPr>
            <w:r>
              <w:rPr>
                <w:lang w:val="da-DK" w:eastAsia="da-DK"/>
              </w:rPr>
              <w:t>745 (10,2)</w:t>
            </w:r>
          </w:p>
        </w:tc>
        <w:tc>
          <w:tcPr>
            <w:tcW w:w="667" w:type="pct"/>
            <w:tcBorders>
              <w:top w:val="single" w:sz="6" w:space="0" w:color="000000"/>
              <w:left w:val="single" w:sz="6" w:space="0" w:color="000000"/>
              <w:bottom w:val="single" w:sz="6" w:space="0" w:color="000000"/>
              <w:right w:val="single" w:sz="6" w:space="0" w:color="000000"/>
            </w:tcBorders>
          </w:tcPr>
          <w:p w14:paraId="2DF507ED" w14:textId="77777777" w:rsidR="00DD5979" w:rsidRDefault="00DD5979" w:rsidP="00854197">
            <w:pPr>
              <w:pStyle w:val="TableParagraph"/>
              <w:rPr>
                <w:b/>
                <w:lang w:val="da-DK" w:eastAsia="da-DK"/>
              </w:rPr>
            </w:pPr>
          </w:p>
          <w:p w14:paraId="2C3DEBA3" w14:textId="77777777" w:rsidR="00DD5979" w:rsidRDefault="00DD5979" w:rsidP="00854197">
            <w:pPr>
              <w:pStyle w:val="TableParagraph"/>
              <w:rPr>
                <w:b/>
                <w:lang w:val="da-DK" w:eastAsia="da-DK"/>
              </w:rPr>
            </w:pPr>
          </w:p>
          <w:p w14:paraId="5E858C34" w14:textId="77777777" w:rsidR="00DD5979" w:rsidRDefault="00DD5979" w:rsidP="00854197">
            <w:pPr>
              <w:pStyle w:val="TableParagraph"/>
              <w:rPr>
                <w:b/>
                <w:lang w:val="da-DK" w:eastAsia="da-DK"/>
              </w:rPr>
            </w:pPr>
          </w:p>
          <w:p w14:paraId="44608560" w14:textId="77777777" w:rsidR="00DD5979" w:rsidRDefault="00DD5979" w:rsidP="00854197">
            <w:pPr>
              <w:pStyle w:val="TableParagraph"/>
              <w:ind w:right="345"/>
              <w:jc w:val="right"/>
              <w:rPr>
                <w:lang w:val="da-DK" w:eastAsia="da-DK"/>
              </w:rPr>
            </w:pPr>
            <w:r>
              <w:rPr>
                <w:lang w:val="da-DK" w:eastAsia="da-DK"/>
              </w:rPr>
              <w:t>3,6</w:t>
            </w:r>
          </w:p>
        </w:tc>
        <w:tc>
          <w:tcPr>
            <w:tcW w:w="462" w:type="pct"/>
            <w:tcBorders>
              <w:top w:val="single" w:sz="6" w:space="0" w:color="000000"/>
              <w:left w:val="single" w:sz="6" w:space="0" w:color="000000"/>
              <w:bottom w:val="single" w:sz="6" w:space="0" w:color="000000"/>
              <w:right w:val="single" w:sz="6" w:space="0" w:color="000000"/>
            </w:tcBorders>
          </w:tcPr>
          <w:p w14:paraId="45E98F96" w14:textId="77777777" w:rsidR="00DD5979" w:rsidRDefault="00DD5979" w:rsidP="00854197">
            <w:pPr>
              <w:pStyle w:val="TableParagraph"/>
              <w:rPr>
                <w:b/>
                <w:lang w:val="da-DK" w:eastAsia="da-DK"/>
              </w:rPr>
            </w:pPr>
          </w:p>
          <w:p w14:paraId="2C3653EC" w14:textId="77777777" w:rsidR="00DD5979" w:rsidRDefault="00DD5979" w:rsidP="00854197">
            <w:pPr>
              <w:pStyle w:val="TableParagraph"/>
              <w:rPr>
                <w:b/>
                <w:lang w:val="da-DK" w:eastAsia="da-DK"/>
              </w:rPr>
            </w:pPr>
          </w:p>
          <w:p w14:paraId="3B3E43D3" w14:textId="77777777" w:rsidR="00DD5979" w:rsidRDefault="00DD5979" w:rsidP="00854197">
            <w:pPr>
              <w:pStyle w:val="TableParagraph"/>
              <w:rPr>
                <w:b/>
                <w:lang w:val="da-DK" w:eastAsia="da-DK"/>
              </w:rPr>
            </w:pPr>
          </w:p>
          <w:p w14:paraId="5EBCCD3E" w14:textId="77777777" w:rsidR="00DD5979" w:rsidRDefault="00DD5979" w:rsidP="00854197">
            <w:pPr>
              <w:pStyle w:val="TableParagraph"/>
              <w:ind w:left="96" w:right="78"/>
              <w:jc w:val="center"/>
              <w:rPr>
                <w:lang w:val="da-DK" w:eastAsia="da-DK"/>
              </w:rPr>
            </w:pPr>
            <w:r>
              <w:rPr>
                <w:lang w:val="da-DK" w:eastAsia="da-DK"/>
              </w:rPr>
              <w:t>746 (10,2)</w:t>
            </w:r>
          </w:p>
        </w:tc>
        <w:tc>
          <w:tcPr>
            <w:tcW w:w="703" w:type="pct"/>
            <w:tcBorders>
              <w:top w:val="single" w:sz="6" w:space="0" w:color="000000"/>
              <w:left w:val="single" w:sz="6" w:space="0" w:color="000000"/>
              <w:bottom w:val="single" w:sz="6" w:space="0" w:color="000000"/>
              <w:right w:val="single" w:sz="6" w:space="0" w:color="000000"/>
            </w:tcBorders>
          </w:tcPr>
          <w:p w14:paraId="0C1AAA54" w14:textId="77777777" w:rsidR="00DD5979" w:rsidRDefault="00DD5979" w:rsidP="00854197">
            <w:pPr>
              <w:pStyle w:val="TableParagraph"/>
              <w:rPr>
                <w:b/>
                <w:lang w:val="da-DK" w:eastAsia="da-DK"/>
              </w:rPr>
            </w:pPr>
          </w:p>
          <w:p w14:paraId="76051415" w14:textId="77777777" w:rsidR="00DD5979" w:rsidRDefault="00DD5979" w:rsidP="00854197">
            <w:pPr>
              <w:pStyle w:val="TableParagraph"/>
              <w:rPr>
                <w:b/>
                <w:lang w:val="da-DK" w:eastAsia="da-DK"/>
              </w:rPr>
            </w:pPr>
          </w:p>
          <w:p w14:paraId="3BE052FB" w14:textId="77777777" w:rsidR="00DD5979" w:rsidRDefault="00DD5979" w:rsidP="00854197">
            <w:pPr>
              <w:pStyle w:val="TableParagraph"/>
              <w:rPr>
                <w:b/>
                <w:lang w:val="da-DK" w:eastAsia="da-DK"/>
              </w:rPr>
            </w:pPr>
          </w:p>
          <w:p w14:paraId="27DC29A6" w14:textId="77777777" w:rsidR="00DD5979" w:rsidRDefault="00DD5979" w:rsidP="00854197">
            <w:pPr>
              <w:pStyle w:val="TableParagraph"/>
              <w:ind w:left="92" w:right="78"/>
              <w:jc w:val="center"/>
              <w:rPr>
                <w:lang w:val="da-DK" w:eastAsia="da-DK"/>
              </w:rPr>
            </w:pPr>
            <w:r>
              <w:rPr>
                <w:lang w:val="da-DK" w:eastAsia="da-DK"/>
              </w:rPr>
              <w:t>3,6</w:t>
            </w:r>
          </w:p>
        </w:tc>
        <w:tc>
          <w:tcPr>
            <w:tcW w:w="526" w:type="pct"/>
            <w:tcBorders>
              <w:top w:val="single" w:sz="6" w:space="0" w:color="000000"/>
              <w:left w:val="single" w:sz="6" w:space="0" w:color="000000"/>
              <w:bottom w:val="single" w:sz="6" w:space="0" w:color="000000"/>
              <w:right w:val="single" w:sz="6" w:space="0" w:color="000000"/>
            </w:tcBorders>
          </w:tcPr>
          <w:p w14:paraId="44367D34" w14:textId="77777777" w:rsidR="00DD5979" w:rsidRDefault="00DD5979" w:rsidP="00854197">
            <w:pPr>
              <w:pStyle w:val="TableParagraph"/>
              <w:rPr>
                <w:b/>
                <w:lang w:val="da-DK" w:eastAsia="da-DK"/>
              </w:rPr>
            </w:pPr>
          </w:p>
          <w:p w14:paraId="796DFAB2" w14:textId="77777777" w:rsidR="00DD5979" w:rsidRDefault="00DD5979" w:rsidP="00854197">
            <w:pPr>
              <w:pStyle w:val="TableParagraph"/>
              <w:rPr>
                <w:b/>
                <w:lang w:val="da-DK" w:eastAsia="da-DK"/>
              </w:rPr>
            </w:pPr>
          </w:p>
          <w:p w14:paraId="0B377175" w14:textId="77777777" w:rsidR="00DD5979" w:rsidRDefault="00DD5979" w:rsidP="00854197">
            <w:pPr>
              <w:pStyle w:val="TableParagraph"/>
              <w:rPr>
                <w:b/>
                <w:lang w:val="da-DK" w:eastAsia="da-DK"/>
              </w:rPr>
            </w:pPr>
          </w:p>
          <w:p w14:paraId="69085378" w14:textId="77777777" w:rsidR="00DD5979" w:rsidRDefault="00DD5979" w:rsidP="00854197">
            <w:pPr>
              <w:pStyle w:val="TableParagraph"/>
              <w:ind w:left="140"/>
              <w:jc w:val="center"/>
              <w:rPr>
                <w:lang w:val="da-DK" w:eastAsia="da-DK"/>
              </w:rPr>
            </w:pPr>
            <w:r>
              <w:rPr>
                <w:lang w:val="da-DK" w:eastAsia="da-DK"/>
              </w:rPr>
              <w:t>0,99</w:t>
            </w:r>
          </w:p>
          <w:p w14:paraId="7F7704BF" w14:textId="77777777" w:rsidR="00DD5979" w:rsidRDefault="00DD5979" w:rsidP="00854197">
            <w:pPr>
              <w:pStyle w:val="TableParagraph"/>
              <w:ind w:left="140"/>
              <w:jc w:val="center"/>
              <w:rPr>
                <w:lang w:val="da-DK" w:eastAsia="da-DK"/>
              </w:rPr>
            </w:pPr>
            <w:r>
              <w:rPr>
                <w:lang w:val="da-DK" w:eastAsia="da-DK"/>
              </w:rPr>
              <w:t>(0,89-1,10)</w:t>
            </w:r>
          </w:p>
        </w:tc>
        <w:tc>
          <w:tcPr>
            <w:tcW w:w="528" w:type="pct"/>
            <w:tcBorders>
              <w:top w:val="single" w:sz="6" w:space="0" w:color="000000"/>
              <w:left w:val="single" w:sz="6" w:space="0" w:color="000000"/>
              <w:bottom w:val="single" w:sz="6" w:space="0" w:color="000000"/>
              <w:right w:val="single" w:sz="6" w:space="0" w:color="000000"/>
            </w:tcBorders>
          </w:tcPr>
          <w:p w14:paraId="13FE11A5" w14:textId="77777777" w:rsidR="00DD5979" w:rsidRDefault="00DD5979" w:rsidP="00854197">
            <w:pPr>
              <w:pStyle w:val="TableParagraph"/>
              <w:rPr>
                <w:b/>
                <w:lang w:val="da-DK" w:eastAsia="da-DK"/>
              </w:rPr>
            </w:pPr>
          </w:p>
          <w:p w14:paraId="14F79CF8" w14:textId="77777777" w:rsidR="00DD5979" w:rsidRDefault="00DD5979" w:rsidP="00854197">
            <w:pPr>
              <w:pStyle w:val="TableParagraph"/>
              <w:rPr>
                <w:b/>
                <w:lang w:val="da-DK" w:eastAsia="da-DK"/>
              </w:rPr>
            </w:pPr>
          </w:p>
          <w:p w14:paraId="7A4D8825" w14:textId="77777777" w:rsidR="00DD5979" w:rsidRDefault="00DD5979" w:rsidP="00854197">
            <w:pPr>
              <w:pStyle w:val="TableParagraph"/>
              <w:rPr>
                <w:b/>
                <w:lang w:val="da-DK" w:eastAsia="da-DK"/>
              </w:rPr>
            </w:pPr>
          </w:p>
          <w:p w14:paraId="0B6CDA2C" w14:textId="77777777" w:rsidR="00DD5979" w:rsidRDefault="00DD5979" w:rsidP="00854197">
            <w:pPr>
              <w:pStyle w:val="TableParagraph"/>
              <w:ind w:left="186"/>
              <w:rPr>
                <w:lang w:val="da-DK" w:eastAsia="da-DK"/>
              </w:rPr>
            </w:pPr>
            <w:r>
              <w:rPr>
                <w:lang w:val="da-DK" w:eastAsia="da-DK"/>
              </w:rPr>
              <w:t>&lt;0,001</w:t>
            </w:r>
          </w:p>
        </w:tc>
      </w:tr>
      <w:tr w:rsidR="00DD5979" w14:paraId="4791CAC6" w14:textId="77777777" w:rsidTr="00854197">
        <w:trPr>
          <w:trHeight w:val="273"/>
        </w:trPr>
        <w:tc>
          <w:tcPr>
            <w:tcW w:w="5000" w:type="pct"/>
            <w:gridSpan w:val="7"/>
            <w:tcBorders>
              <w:top w:val="single" w:sz="6" w:space="0" w:color="000000"/>
              <w:left w:val="single" w:sz="6" w:space="0" w:color="000000"/>
              <w:bottom w:val="single" w:sz="6" w:space="0" w:color="000000"/>
              <w:right w:val="single" w:sz="6" w:space="0" w:color="000000"/>
            </w:tcBorders>
            <w:hideMark/>
          </w:tcPr>
          <w:p w14:paraId="49D9E778" w14:textId="77777777" w:rsidR="00DD5979" w:rsidRDefault="00DD5979" w:rsidP="00854197">
            <w:pPr>
              <w:pStyle w:val="TableParagraph"/>
              <w:ind w:left="107"/>
              <w:rPr>
                <w:b/>
                <w:lang w:val="da-DK" w:eastAsia="da-DK"/>
              </w:rPr>
            </w:pPr>
            <w:r>
              <w:rPr>
                <w:b/>
                <w:lang w:val="da-DK" w:eastAsia="da-DK"/>
              </w:rPr>
              <w:t>Sekundære endepunkter</w:t>
            </w:r>
          </w:p>
        </w:tc>
      </w:tr>
      <w:tr w:rsidR="00DD5979" w14:paraId="4E0C6C7B" w14:textId="77777777" w:rsidTr="00854197">
        <w:trPr>
          <w:trHeight w:val="270"/>
        </w:trPr>
        <w:tc>
          <w:tcPr>
            <w:tcW w:w="1614" w:type="pct"/>
            <w:tcBorders>
              <w:top w:val="single" w:sz="6" w:space="0" w:color="000000"/>
              <w:left w:val="single" w:sz="6" w:space="0" w:color="000000"/>
              <w:bottom w:val="single" w:sz="6" w:space="0" w:color="000000"/>
              <w:right w:val="single" w:sz="6" w:space="0" w:color="000000"/>
            </w:tcBorders>
            <w:hideMark/>
          </w:tcPr>
          <w:p w14:paraId="3F1CE226" w14:textId="77777777" w:rsidR="00DD5979" w:rsidRDefault="00DD5979" w:rsidP="00854197">
            <w:pPr>
              <w:pStyle w:val="TableParagraph"/>
              <w:ind w:left="321" w:right="134" w:hanging="2"/>
              <w:rPr>
                <w:lang w:val="da-DK" w:eastAsia="da-DK"/>
              </w:rPr>
            </w:pPr>
            <w:r>
              <w:rPr>
                <w:lang w:val="nb-NO" w:eastAsia="da-DK"/>
              </w:rPr>
              <w:t>Kardiovaskulær</w:t>
            </w:r>
            <w:r>
              <w:rPr>
                <w:lang w:val="da-DK" w:eastAsia="da-DK"/>
              </w:rPr>
              <w:t xml:space="preserve"> død</w:t>
            </w:r>
          </w:p>
        </w:tc>
        <w:tc>
          <w:tcPr>
            <w:tcW w:w="500" w:type="pct"/>
            <w:tcBorders>
              <w:top w:val="single" w:sz="6" w:space="0" w:color="000000"/>
              <w:left w:val="single" w:sz="6" w:space="0" w:color="000000"/>
              <w:bottom w:val="single" w:sz="6" w:space="0" w:color="000000"/>
              <w:right w:val="single" w:sz="6" w:space="0" w:color="000000"/>
            </w:tcBorders>
            <w:hideMark/>
          </w:tcPr>
          <w:p w14:paraId="521CABF0" w14:textId="77777777" w:rsidR="00DD5979" w:rsidRDefault="00DD5979" w:rsidP="00854197">
            <w:pPr>
              <w:pStyle w:val="TableParagraph"/>
              <w:ind w:left="102" w:right="86"/>
              <w:jc w:val="center"/>
              <w:rPr>
                <w:lang w:val="da-DK" w:eastAsia="da-DK"/>
              </w:rPr>
            </w:pPr>
            <w:r>
              <w:rPr>
                <w:lang w:val="da-DK" w:eastAsia="da-DK"/>
              </w:rPr>
              <w:t>380 (5,2)</w:t>
            </w:r>
          </w:p>
        </w:tc>
        <w:tc>
          <w:tcPr>
            <w:tcW w:w="667" w:type="pct"/>
            <w:tcBorders>
              <w:top w:val="single" w:sz="6" w:space="0" w:color="000000"/>
              <w:left w:val="single" w:sz="6" w:space="0" w:color="000000"/>
              <w:bottom w:val="single" w:sz="6" w:space="0" w:color="000000"/>
              <w:right w:val="single" w:sz="6" w:space="0" w:color="000000"/>
            </w:tcBorders>
            <w:hideMark/>
          </w:tcPr>
          <w:p w14:paraId="30FCF1C0" w14:textId="77777777" w:rsidR="00DD5979" w:rsidRDefault="00DD5979" w:rsidP="00854197">
            <w:pPr>
              <w:pStyle w:val="TableParagraph"/>
              <w:ind w:right="345"/>
              <w:jc w:val="right"/>
              <w:rPr>
                <w:lang w:val="da-DK" w:eastAsia="da-DK"/>
              </w:rPr>
            </w:pPr>
            <w:r>
              <w:rPr>
                <w:lang w:val="da-DK" w:eastAsia="da-DK"/>
              </w:rPr>
              <w:t>1,7</w:t>
            </w:r>
          </w:p>
        </w:tc>
        <w:tc>
          <w:tcPr>
            <w:tcW w:w="462" w:type="pct"/>
            <w:tcBorders>
              <w:top w:val="single" w:sz="6" w:space="0" w:color="000000"/>
              <w:left w:val="single" w:sz="6" w:space="0" w:color="000000"/>
              <w:bottom w:val="single" w:sz="6" w:space="0" w:color="000000"/>
              <w:right w:val="single" w:sz="6" w:space="0" w:color="000000"/>
            </w:tcBorders>
            <w:hideMark/>
          </w:tcPr>
          <w:p w14:paraId="72D32B3D" w14:textId="77777777" w:rsidR="00DD5979" w:rsidRDefault="00DD5979" w:rsidP="00854197">
            <w:pPr>
              <w:pStyle w:val="TableParagraph"/>
              <w:ind w:left="96" w:right="78"/>
              <w:jc w:val="center"/>
              <w:rPr>
                <w:lang w:val="da-DK" w:eastAsia="da-DK"/>
              </w:rPr>
            </w:pPr>
            <w:r>
              <w:rPr>
                <w:lang w:val="da-DK" w:eastAsia="da-DK"/>
              </w:rPr>
              <w:t>366 (5,0)</w:t>
            </w:r>
          </w:p>
        </w:tc>
        <w:tc>
          <w:tcPr>
            <w:tcW w:w="703" w:type="pct"/>
            <w:tcBorders>
              <w:top w:val="single" w:sz="6" w:space="0" w:color="000000"/>
              <w:left w:val="single" w:sz="6" w:space="0" w:color="000000"/>
              <w:bottom w:val="single" w:sz="6" w:space="0" w:color="000000"/>
              <w:right w:val="single" w:sz="6" w:space="0" w:color="000000"/>
            </w:tcBorders>
            <w:hideMark/>
          </w:tcPr>
          <w:p w14:paraId="2A2EB0DB" w14:textId="77777777" w:rsidR="00DD5979" w:rsidRDefault="00DD5979" w:rsidP="00854197">
            <w:pPr>
              <w:pStyle w:val="TableParagraph"/>
              <w:ind w:left="92" w:right="78"/>
              <w:jc w:val="center"/>
              <w:rPr>
                <w:lang w:val="da-DK" w:eastAsia="da-DK"/>
              </w:rPr>
            </w:pPr>
            <w:r>
              <w:rPr>
                <w:lang w:val="da-DK" w:eastAsia="da-DK"/>
              </w:rPr>
              <w:t>1,7</w:t>
            </w:r>
          </w:p>
        </w:tc>
        <w:tc>
          <w:tcPr>
            <w:tcW w:w="526" w:type="pct"/>
            <w:tcBorders>
              <w:top w:val="single" w:sz="6" w:space="0" w:color="000000"/>
              <w:left w:val="single" w:sz="6" w:space="0" w:color="000000"/>
              <w:bottom w:val="single" w:sz="6" w:space="0" w:color="000000"/>
              <w:right w:val="single" w:sz="6" w:space="0" w:color="000000"/>
            </w:tcBorders>
            <w:hideMark/>
          </w:tcPr>
          <w:p w14:paraId="5C439866" w14:textId="77777777" w:rsidR="00DD5979" w:rsidRDefault="00DD5979" w:rsidP="00854197">
            <w:pPr>
              <w:pStyle w:val="TableParagraph"/>
              <w:ind w:left="157"/>
              <w:jc w:val="center"/>
              <w:rPr>
                <w:lang w:val="da-DK" w:eastAsia="da-DK"/>
              </w:rPr>
            </w:pPr>
            <w:r>
              <w:rPr>
                <w:lang w:val="da-DK" w:eastAsia="da-DK"/>
              </w:rPr>
              <w:t>1,03</w:t>
            </w:r>
          </w:p>
          <w:p w14:paraId="283A6EE7" w14:textId="77777777" w:rsidR="00DD5979" w:rsidRDefault="00DD5979" w:rsidP="00854197">
            <w:pPr>
              <w:pStyle w:val="TableParagraph"/>
              <w:ind w:left="157"/>
              <w:jc w:val="center"/>
              <w:rPr>
                <w:lang w:val="da-DK" w:eastAsia="da-DK"/>
              </w:rPr>
            </w:pPr>
            <w:r>
              <w:rPr>
                <w:lang w:val="da-DK" w:eastAsia="da-DK"/>
              </w:rPr>
              <w:t>(0,89-1,19)</w:t>
            </w:r>
          </w:p>
        </w:tc>
        <w:tc>
          <w:tcPr>
            <w:tcW w:w="528" w:type="pct"/>
            <w:tcBorders>
              <w:top w:val="single" w:sz="6" w:space="0" w:color="000000"/>
              <w:left w:val="single" w:sz="6" w:space="0" w:color="000000"/>
              <w:bottom w:val="single" w:sz="6" w:space="0" w:color="000000"/>
              <w:right w:val="single" w:sz="6" w:space="0" w:color="000000"/>
            </w:tcBorders>
            <w:hideMark/>
          </w:tcPr>
          <w:p w14:paraId="64BD5255" w14:textId="77777777" w:rsidR="00DD5979" w:rsidRDefault="00DD5979" w:rsidP="00854197">
            <w:pPr>
              <w:pStyle w:val="TableParagraph"/>
              <w:ind w:left="236"/>
              <w:rPr>
                <w:lang w:val="da-DK" w:eastAsia="da-DK"/>
              </w:rPr>
            </w:pPr>
            <w:r>
              <w:rPr>
                <w:lang w:val="da-DK" w:eastAsia="da-DK"/>
              </w:rPr>
              <w:t>0,711</w:t>
            </w:r>
          </w:p>
        </w:tc>
      </w:tr>
      <w:tr w:rsidR="00DD5979" w14:paraId="7A16095D" w14:textId="77777777" w:rsidTr="00854197">
        <w:trPr>
          <w:trHeight w:val="486"/>
        </w:trPr>
        <w:tc>
          <w:tcPr>
            <w:tcW w:w="1614" w:type="pct"/>
            <w:tcBorders>
              <w:top w:val="single" w:sz="6" w:space="0" w:color="000000"/>
              <w:left w:val="single" w:sz="6" w:space="0" w:color="000000"/>
              <w:bottom w:val="single" w:sz="6" w:space="0" w:color="000000"/>
              <w:right w:val="single" w:sz="6" w:space="0" w:color="000000"/>
            </w:tcBorders>
            <w:hideMark/>
          </w:tcPr>
          <w:p w14:paraId="4DAA9036" w14:textId="77777777" w:rsidR="00DD5979" w:rsidRDefault="00DD5979" w:rsidP="00854197">
            <w:pPr>
              <w:pStyle w:val="TableParagraph"/>
              <w:ind w:left="321"/>
              <w:rPr>
                <w:lang w:val="da-DK" w:eastAsia="da-DK"/>
              </w:rPr>
            </w:pPr>
            <w:r>
              <w:rPr>
                <w:lang w:val="da-DK" w:eastAsia="da-DK"/>
              </w:rPr>
              <w:t>Alle tilfælde af myokardieinfarkt (letale og ikke-letale)</w:t>
            </w:r>
          </w:p>
        </w:tc>
        <w:tc>
          <w:tcPr>
            <w:tcW w:w="500" w:type="pct"/>
            <w:tcBorders>
              <w:top w:val="single" w:sz="6" w:space="0" w:color="000000"/>
              <w:left w:val="single" w:sz="6" w:space="0" w:color="000000"/>
              <w:bottom w:val="single" w:sz="6" w:space="0" w:color="000000"/>
              <w:right w:val="single" w:sz="6" w:space="0" w:color="000000"/>
            </w:tcBorders>
          </w:tcPr>
          <w:p w14:paraId="236B462E" w14:textId="77777777" w:rsidR="00DD5979" w:rsidRDefault="00DD5979" w:rsidP="00854197">
            <w:pPr>
              <w:pStyle w:val="TableParagraph"/>
              <w:rPr>
                <w:b/>
                <w:lang w:val="da-DK" w:eastAsia="da-DK"/>
              </w:rPr>
            </w:pPr>
          </w:p>
          <w:p w14:paraId="65700F07" w14:textId="77777777" w:rsidR="00DD5979" w:rsidRDefault="00DD5979" w:rsidP="00854197">
            <w:pPr>
              <w:pStyle w:val="TableParagraph"/>
              <w:ind w:left="102" w:right="86"/>
              <w:jc w:val="center"/>
              <w:rPr>
                <w:lang w:val="da-DK" w:eastAsia="da-DK"/>
              </w:rPr>
            </w:pPr>
            <w:r>
              <w:rPr>
                <w:lang w:val="da-DK" w:eastAsia="da-DK"/>
              </w:rPr>
              <w:t>300 (4,1)</w:t>
            </w:r>
          </w:p>
        </w:tc>
        <w:tc>
          <w:tcPr>
            <w:tcW w:w="667" w:type="pct"/>
            <w:tcBorders>
              <w:top w:val="single" w:sz="6" w:space="0" w:color="000000"/>
              <w:left w:val="single" w:sz="6" w:space="0" w:color="000000"/>
              <w:bottom w:val="single" w:sz="6" w:space="0" w:color="000000"/>
              <w:right w:val="single" w:sz="6" w:space="0" w:color="000000"/>
            </w:tcBorders>
          </w:tcPr>
          <w:p w14:paraId="16FD61DA" w14:textId="77777777" w:rsidR="00DD5979" w:rsidRDefault="00DD5979" w:rsidP="00854197">
            <w:pPr>
              <w:pStyle w:val="TableParagraph"/>
              <w:rPr>
                <w:b/>
                <w:lang w:val="da-DK" w:eastAsia="da-DK"/>
              </w:rPr>
            </w:pPr>
          </w:p>
          <w:p w14:paraId="119FA7AA" w14:textId="77777777" w:rsidR="00DD5979" w:rsidRDefault="00DD5979" w:rsidP="00854197">
            <w:pPr>
              <w:pStyle w:val="TableParagraph"/>
              <w:ind w:right="345"/>
              <w:jc w:val="right"/>
              <w:rPr>
                <w:lang w:val="da-DK" w:eastAsia="da-DK"/>
              </w:rPr>
            </w:pPr>
            <w:r>
              <w:rPr>
                <w:lang w:val="da-DK" w:eastAsia="da-DK"/>
              </w:rPr>
              <w:t>1,4</w:t>
            </w:r>
          </w:p>
        </w:tc>
        <w:tc>
          <w:tcPr>
            <w:tcW w:w="462" w:type="pct"/>
            <w:tcBorders>
              <w:top w:val="single" w:sz="6" w:space="0" w:color="000000"/>
              <w:left w:val="single" w:sz="6" w:space="0" w:color="000000"/>
              <w:bottom w:val="single" w:sz="6" w:space="0" w:color="000000"/>
              <w:right w:val="single" w:sz="6" w:space="0" w:color="000000"/>
            </w:tcBorders>
          </w:tcPr>
          <w:p w14:paraId="34EFD277" w14:textId="77777777" w:rsidR="00DD5979" w:rsidRDefault="00DD5979" w:rsidP="00854197">
            <w:pPr>
              <w:pStyle w:val="TableParagraph"/>
              <w:rPr>
                <w:b/>
                <w:lang w:val="da-DK" w:eastAsia="da-DK"/>
              </w:rPr>
            </w:pPr>
          </w:p>
          <w:p w14:paraId="6F69F16D" w14:textId="77777777" w:rsidR="00DD5979" w:rsidRDefault="00DD5979" w:rsidP="00854197">
            <w:pPr>
              <w:pStyle w:val="TableParagraph"/>
              <w:ind w:left="96" w:right="78"/>
              <w:jc w:val="center"/>
              <w:rPr>
                <w:lang w:val="da-DK" w:eastAsia="da-DK"/>
              </w:rPr>
            </w:pPr>
            <w:r>
              <w:rPr>
                <w:lang w:val="da-DK" w:eastAsia="da-DK"/>
              </w:rPr>
              <w:t>316 (4,3)</w:t>
            </w:r>
          </w:p>
        </w:tc>
        <w:tc>
          <w:tcPr>
            <w:tcW w:w="703" w:type="pct"/>
            <w:tcBorders>
              <w:top w:val="single" w:sz="6" w:space="0" w:color="000000"/>
              <w:left w:val="single" w:sz="6" w:space="0" w:color="000000"/>
              <w:bottom w:val="single" w:sz="6" w:space="0" w:color="000000"/>
              <w:right w:val="single" w:sz="6" w:space="0" w:color="000000"/>
            </w:tcBorders>
          </w:tcPr>
          <w:p w14:paraId="4E5FC667" w14:textId="77777777" w:rsidR="00DD5979" w:rsidRDefault="00DD5979" w:rsidP="00854197">
            <w:pPr>
              <w:pStyle w:val="TableParagraph"/>
              <w:rPr>
                <w:b/>
                <w:lang w:val="da-DK" w:eastAsia="da-DK"/>
              </w:rPr>
            </w:pPr>
          </w:p>
          <w:p w14:paraId="4B4B3529" w14:textId="77777777" w:rsidR="00DD5979" w:rsidRDefault="00DD5979" w:rsidP="00854197">
            <w:pPr>
              <w:pStyle w:val="TableParagraph"/>
              <w:ind w:left="92" w:right="78"/>
              <w:jc w:val="center"/>
              <w:rPr>
                <w:lang w:val="da-DK" w:eastAsia="da-DK"/>
              </w:rPr>
            </w:pPr>
            <w:r>
              <w:rPr>
                <w:lang w:val="da-DK" w:eastAsia="da-DK"/>
              </w:rPr>
              <w:t>1,5</w:t>
            </w:r>
          </w:p>
        </w:tc>
        <w:tc>
          <w:tcPr>
            <w:tcW w:w="526" w:type="pct"/>
            <w:tcBorders>
              <w:top w:val="single" w:sz="6" w:space="0" w:color="000000"/>
              <w:left w:val="single" w:sz="6" w:space="0" w:color="000000"/>
              <w:bottom w:val="single" w:sz="6" w:space="0" w:color="000000"/>
              <w:right w:val="single" w:sz="6" w:space="0" w:color="000000"/>
            </w:tcBorders>
          </w:tcPr>
          <w:p w14:paraId="1F433446" w14:textId="77777777" w:rsidR="00DD5979" w:rsidRDefault="00DD5979" w:rsidP="00854197">
            <w:pPr>
              <w:pStyle w:val="TableParagraph"/>
              <w:rPr>
                <w:b/>
                <w:lang w:val="da-DK" w:eastAsia="da-DK"/>
              </w:rPr>
            </w:pPr>
          </w:p>
          <w:p w14:paraId="703914C1" w14:textId="77777777" w:rsidR="00DD5979" w:rsidRDefault="00DD5979" w:rsidP="00854197">
            <w:pPr>
              <w:pStyle w:val="TableParagraph"/>
              <w:ind w:left="140"/>
              <w:jc w:val="center"/>
              <w:rPr>
                <w:lang w:val="da-DK" w:eastAsia="da-DK"/>
              </w:rPr>
            </w:pPr>
            <w:r>
              <w:rPr>
                <w:lang w:val="da-DK" w:eastAsia="da-DK"/>
              </w:rPr>
              <w:t>0,95</w:t>
            </w:r>
          </w:p>
          <w:p w14:paraId="58DE1A36" w14:textId="77777777" w:rsidR="00DD5979" w:rsidRDefault="00DD5979" w:rsidP="00854197">
            <w:pPr>
              <w:pStyle w:val="TableParagraph"/>
              <w:ind w:left="140"/>
              <w:jc w:val="center"/>
              <w:rPr>
                <w:lang w:val="da-DK" w:eastAsia="da-DK"/>
              </w:rPr>
            </w:pPr>
            <w:r>
              <w:rPr>
                <w:lang w:val="da-DK" w:eastAsia="da-DK"/>
              </w:rPr>
              <w:t>(0,81-1,11)</w:t>
            </w:r>
          </w:p>
        </w:tc>
        <w:tc>
          <w:tcPr>
            <w:tcW w:w="528" w:type="pct"/>
            <w:tcBorders>
              <w:top w:val="single" w:sz="6" w:space="0" w:color="000000"/>
              <w:left w:val="single" w:sz="6" w:space="0" w:color="000000"/>
              <w:bottom w:val="single" w:sz="6" w:space="0" w:color="000000"/>
              <w:right w:val="single" w:sz="6" w:space="0" w:color="000000"/>
            </w:tcBorders>
          </w:tcPr>
          <w:p w14:paraId="5BA06B3F" w14:textId="77777777" w:rsidR="00DD5979" w:rsidRDefault="00DD5979" w:rsidP="00854197">
            <w:pPr>
              <w:pStyle w:val="TableParagraph"/>
              <w:rPr>
                <w:b/>
                <w:lang w:val="da-DK" w:eastAsia="da-DK"/>
              </w:rPr>
            </w:pPr>
          </w:p>
          <w:p w14:paraId="343F43BA" w14:textId="77777777" w:rsidR="00DD5979" w:rsidRDefault="00DD5979" w:rsidP="00854197">
            <w:pPr>
              <w:pStyle w:val="TableParagraph"/>
              <w:ind w:left="236"/>
              <w:rPr>
                <w:lang w:val="da-DK" w:eastAsia="da-DK"/>
              </w:rPr>
            </w:pPr>
            <w:r>
              <w:rPr>
                <w:lang w:val="da-DK" w:eastAsia="da-DK"/>
              </w:rPr>
              <w:t>0,487</w:t>
            </w:r>
          </w:p>
        </w:tc>
      </w:tr>
      <w:tr w:rsidR="00DD5979" w14:paraId="199FB798" w14:textId="77777777" w:rsidTr="00854197">
        <w:trPr>
          <w:trHeight w:val="486"/>
        </w:trPr>
        <w:tc>
          <w:tcPr>
            <w:tcW w:w="1614" w:type="pct"/>
            <w:tcBorders>
              <w:top w:val="single" w:sz="6" w:space="0" w:color="000000"/>
              <w:left w:val="single" w:sz="6" w:space="0" w:color="000000"/>
              <w:bottom w:val="single" w:sz="6" w:space="0" w:color="000000"/>
              <w:right w:val="single" w:sz="6" w:space="0" w:color="000000"/>
            </w:tcBorders>
            <w:hideMark/>
          </w:tcPr>
          <w:p w14:paraId="3A7229F9" w14:textId="77777777" w:rsidR="00DD5979" w:rsidRDefault="00DD5979" w:rsidP="00854197">
            <w:pPr>
              <w:pStyle w:val="TableParagraph"/>
              <w:ind w:left="321" w:right="139"/>
              <w:rPr>
                <w:lang w:val="da-DK" w:eastAsia="da-DK"/>
              </w:rPr>
            </w:pPr>
            <w:r>
              <w:rPr>
                <w:lang w:val="da-DK" w:eastAsia="da-DK"/>
              </w:rPr>
              <w:t>Alle tilfælde af apopleksi (letale og ikke-letale)</w:t>
            </w:r>
          </w:p>
        </w:tc>
        <w:tc>
          <w:tcPr>
            <w:tcW w:w="500" w:type="pct"/>
            <w:tcBorders>
              <w:top w:val="single" w:sz="6" w:space="0" w:color="000000"/>
              <w:left w:val="single" w:sz="6" w:space="0" w:color="000000"/>
              <w:bottom w:val="single" w:sz="6" w:space="0" w:color="000000"/>
              <w:right w:val="single" w:sz="6" w:space="0" w:color="000000"/>
            </w:tcBorders>
          </w:tcPr>
          <w:p w14:paraId="48C11298" w14:textId="77777777" w:rsidR="00DD5979" w:rsidRDefault="00DD5979" w:rsidP="00854197">
            <w:pPr>
              <w:pStyle w:val="TableParagraph"/>
              <w:rPr>
                <w:b/>
                <w:lang w:val="da-DK" w:eastAsia="da-DK"/>
              </w:rPr>
            </w:pPr>
          </w:p>
          <w:p w14:paraId="31F32298" w14:textId="77777777" w:rsidR="00DD5979" w:rsidRDefault="00DD5979" w:rsidP="00854197">
            <w:pPr>
              <w:pStyle w:val="TableParagraph"/>
              <w:ind w:left="102" w:right="86"/>
              <w:jc w:val="center"/>
              <w:rPr>
                <w:lang w:val="da-DK" w:eastAsia="da-DK"/>
              </w:rPr>
            </w:pPr>
            <w:r>
              <w:rPr>
                <w:lang w:val="da-DK" w:eastAsia="da-DK"/>
              </w:rPr>
              <w:t>178 (2,4)</w:t>
            </w:r>
          </w:p>
        </w:tc>
        <w:tc>
          <w:tcPr>
            <w:tcW w:w="667" w:type="pct"/>
            <w:tcBorders>
              <w:top w:val="single" w:sz="6" w:space="0" w:color="000000"/>
              <w:left w:val="single" w:sz="6" w:space="0" w:color="000000"/>
              <w:bottom w:val="single" w:sz="6" w:space="0" w:color="000000"/>
              <w:right w:val="single" w:sz="6" w:space="0" w:color="000000"/>
            </w:tcBorders>
          </w:tcPr>
          <w:p w14:paraId="5782DEBC" w14:textId="77777777" w:rsidR="00DD5979" w:rsidRDefault="00DD5979" w:rsidP="00854197">
            <w:pPr>
              <w:pStyle w:val="TableParagraph"/>
              <w:rPr>
                <w:b/>
                <w:lang w:val="da-DK" w:eastAsia="da-DK"/>
              </w:rPr>
            </w:pPr>
          </w:p>
          <w:p w14:paraId="52A7B101" w14:textId="77777777" w:rsidR="00DD5979" w:rsidRDefault="00DD5979" w:rsidP="00854197">
            <w:pPr>
              <w:pStyle w:val="TableParagraph"/>
              <w:ind w:right="345"/>
              <w:jc w:val="right"/>
              <w:rPr>
                <w:lang w:val="da-DK" w:eastAsia="da-DK"/>
              </w:rPr>
            </w:pPr>
            <w:r>
              <w:rPr>
                <w:lang w:val="da-DK" w:eastAsia="da-DK"/>
              </w:rPr>
              <w:t>0,8</w:t>
            </w:r>
          </w:p>
        </w:tc>
        <w:tc>
          <w:tcPr>
            <w:tcW w:w="462" w:type="pct"/>
            <w:tcBorders>
              <w:top w:val="single" w:sz="6" w:space="0" w:color="000000"/>
              <w:left w:val="single" w:sz="6" w:space="0" w:color="000000"/>
              <w:bottom w:val="single" w:sz="6" w:space="0" w:color="000000"/>
              <w:right w:val="single" w:sz="6" w:space="0" w:color="000000"/>
            </w:tcBorders>
          </w:tcPr>
          <w:p w14:paraId="063E63FC" w14:textId="77777777" w:rsidR="00DD5979" w:rsidRDefault="00DD5979" w:rsidP="00854197">
            <w:pPr>
              <w:pStyle w:val="TableParagraph"/>
              <w:rPr>
                <w:b/>
                <w:lang w:val="da-DK" w:eastAsia="da-DK"/>
              </w:rPr>
            </w:pPr>
          </w:p>
          <w:p w14:paraId="228E6E40" w14:textId="77777777" w:rsidR="00DD5979" w:rsidRDefault="00DD5979" w:rsidP="00854197">
            <w:pPr>
              <w:pStyle w:val="TableParagraph"/>
              <w:ind w:left="96" w:right="78"/>
              <w:jc w:val="center"/>
              <w:rPr>
                <w:lang w:val="da-DK" w:eastAsia="da-DK"/>
              </w:rPr>
            </w:pPr>
            <w:r>
              <w:rPr>
                <w:lang w:val="da-DK" w:eastAsia="da-DK"/>
              </w:rPr>
              <w:t>183 (2,5)</w:t>
            </w:r>
          </w:p>
        </w:tc>
        <w:tc>
          <w:tcPr>
            <w:tcW w:w="703" w:type="pct"/>
            <w:tcBorders>
              <w:top w:val="single" w:sz="6" w:space="0" w:color="000000"/>
              <w:left w:val="single" w:sz="6" w:space="0" w:color="000000"/>
              <w:bottom w:val="single" w:sz="6" w:space="0" w:color="000000"/>
              <w:right w:val="single" w:sz="6" w:space="0" w:color="000000"/>
            </w:tcBorders>
          </w:tcPr>
          <w:p w14:paraId="4D284D77" w14:textId="77777777" w:rsidR="00DD5979" w:rsidRDefault="00DD5979" w:rsidP="00854197">
            <w:pPr>
              <w:pStyle w:val="TableParagraph"/>
              <w:rPr>
                <w:b/>
                <w:lang w:val="da-DK" w:eastAsia="da-DK"/>
              </w:rPr>
            </w:pPr>
          </w:p>
          <w:p w14:paraId="1E309B42" w14:textId="77777777" w:rsidR="00DD5979" w:rsidRDefault="00DD5979" w:rsidP="00854197">
            <w:pPr>
              <w:pStyle w:val="TableParagraph"/>
              <w:ind w:left="92" w:right="78"/>
              <w:jc w:val="center"/>
              <w:rPr>
                <w:lang w:val="da-DK" w:eastAsia="da-DK"/>
              </w:rPr>
            </w:pPr>
            <w:r>
              <w:rPr>
                <w:lang w:val="da-DK" w:eastAsia="da-DK"/>
              </w:rPr>
              <w:t>0,9</w:t>
            </w:r>
          </w:p>
        </w:tc>
        <w:tc>
          <w:tcPr>
            <w:tcW w:w="526" w:type="pct"/>
            <w:tcBorders>
              <w:top w:val="single" w:sz="6" w:space="0" w:color="000000"/>
              <w:left w:val="single" w:sz="6" w:space="0" w:color="000000"/>
              <w:bottom w:val="single" w:sz="6" w:space="0" w:color="000000"/>
              <w:right w:val="single" w:sz="6" w:space="0" w:color="000000"/>
            </w:tcBorders>
          </w:tcPr>
          <w:p w14:paraId="49C10253" w14:textId="77777777" w:rsidR="00DD5979" w:rsidRDefault="00DD5979" w:rsidP="00854197">
            <w:pPr>
              <w:pStyle w:val="TableParagraph"/>
              <w:rPr>
                <w:b/>
                <w:lang w:val="da-DK" w:eastAsia="da-DK"/>
              </w:rPr>
            </w:pPr>
          </w:p>
          <w:p w14:paraId="0C8311B5" w14:textId="77777777" w:rsidR="00DD5979" w:rsidRDefault="00DD5979" w:rsidP="00854197">
            <w:pPr>
              <w:pStyle w:val="TableParagraph"/>
              <w:ind w:left="128" w:right="112"/>
              <w:jc w:val="center"/>
              <w:rPr>
                <w:lang w:val="da-DK" w:eastAsia="da-DK"/>
              </w:rPr>
            </w:pPr>
            <w:r>
              <w:rPr>
                <w:lang w:val="da-DK" w:eastAsia="da-DK"/>
              </w:rPr>
              <w:t>0,97</w:t>
            </w:r>
          </w:p>
          <w:p w14:paraId="1B4B0148" w14:textId="77777777" w:rsidR="00DD5979" w:rsidRDefault="00DD5979" w:rsidP="00854197">
            <w:pPr>
              <w:pStyle w:val="TableParagraph"/>
              <w:ind w:left="128" w:right="112"/>
              <w:jc w:val="center"/>
              <w:rPr>
                <w:lang w:val="da-DK" w:eastAsia="da-DK"/>
              </w:rPr>
            </w:pPr>
            <w:r>
              <w:rPr>
                <w:lang w:val="da-DK" w:eastAsia="da-DK"/>
              </w:rPr>
              <w:t>(0,79-1,19)</w:t>
            </w:r>
          </w:p>
        </w:tc>
        <w:tc>
          <w:tcPr>
            <w:tcW w:w="528" w:type="pct"/>
            <w:tcBorders>
              <w:top w:val="single" w:sz="6" w:space="0" w:color="000000"/>
              <w:left w:val="single" w:sz="6" w:space="0" w:color="000000"/>
              <w:bottom w:val="single" w:sz="6" w:space="0" w:color="000000"/>
              <w:right w:val="single" w:sz="6" w:space="0" w:color="000000"/>
            </w:tcBorders>
          </w:tcPr>
          <w:p w14:paraId="277CE74C" w14:textId="77777777" w:rsidR="00DD5979" w:rsidRDefault="00DD5979" w:rsidP="00854197">
            <w:pPr>
              <w:pStyle w:val="TableParagraph"/>
              <w:rPr>
                <w:b/>
                <w:lang w:val="da-DK" w:eastAsia="da-DK"/>
              </w:rPr>
            </w:pPr>
          </w:p>
          <w:p w14:paraId="7DC214AA" w14:textId="77777777" w:rsidR="00DD5979" w:rsidRDefault="00DD5979" w:rsidP="00854197">
            <w:pPr>
              <w:pStyle w:val="TableParagraph"/>
              <w:ind w:left="219" w:right="201"/>
              <w:jc w:val="center"/>
              <w:rPr>
                <w:lang w:val="da-DK" w:eastAsia="da-DK"/>
              </w:rPr>
            </w:pPr>
            <w:r>
              <w:rPr>
                <w:lang w:val="da-DK" w:eastAsia="da-DK"/>
              </w:rPr>
              <w:t>0,760</w:t>
            </w:r>
          </w:p>
        </w:tc>
      </w:tr>
      <w:tr w:rsidR="00DD5979" w14:paraId="55AA4E9F" w14:textId="77777777" w:rsidTr="00854197">
        <w:trPr>
          <w:trHeight w:val="486"/>
        </w:trPr>
        <w:tc>
          <w:tcPr>
            <w:tcW w:w="1614" w:type="pct"/>
            <w:tcBorders>
              <w:top w:val="single" w:sz="6" w:space="0" w:color="000000"/>
              <w:left w:val="single" w:sz="6" w:space="0" w:color="000000"/>
              <w:bottom w:val="single" w:sz="6" w:space="0" w:color="000000"/>
              <w:right w:val="single" w:sz="6" w:space="0" w:color="000000"/>
            </w:tcBorders>
            <w:hideMark/>
          </w:tcPr>
          <w:p w14:paraId="1F53032F" w14:textId="77777777" w:rsidR="00DD5979" w:rsidRDefault="00DD5979" w:rsidP="00854197">
            <w:pPr>
              <w:pStyle w:val="TableParagraph"/>
              <w:ind w:left="321"/>
              <w:rPr>
                <w:lang w:val="da-DK" w:eastAsia="da-DK"/>
              </w:rPr>
            </w:pPr>
            <w:r>
              <w:rPr>
                <w:lang w:val="da-DK" w:eastAsia="da-DK"/>
              </w:rPr>
              <w:t>Hospitalsindlæggelse pga. ustabil angina</w:t>
            </w:r>
          </w:p>
        </w:tc>
        <w:tc>
          <w:tcPr>
            <w:tcW w:w="500" w:type="pct"/>
            <w:tcBorders>
              <w:top w:val="single" w:sz="6" w:space="0" w:color="000000"/>
              <w:left w:val="single" w:sz="6" w:space="0" w:color="000000"/>
              <w:bottom w:val="single" w:sz="6" w:space="0" w:color="000000"/>
              <w:right w:val="single" w:sz="6" w:space="0" w:color="000000"/>
            </w:tcBorders>
          </w:tcPr>
          <w:p w14:paraId="4EADE80F" w14:textId="77777777" w:rsidR="00DD5979" w:rsidRDefault="00DD5979" w:rsidP="00854197">
            <w:pPr>
              <w:pStyle w:val="TableParagraph"/>
              <w:rPr>
                <w:b/>
                <w:lang w:val="da-DK" w:eastAsia="da-DK"/>
              </w:rPr>
            </w:pPr>
          </w:p>
          <w:p w14:paraId="00AC53F5" w14:textId="77777777" w:rsidR="00DD5979" w:rsidRDefault="00DD5979" w:rsidP="00854197">
            <w:pPr>
              <w:pStyle w:val="TableParagraph"/>
              <w:ind w:left="102" w:right="86"/>
              <w:jc w:val="center"/>
              <w:rPr>
                <w:lang w:val="da-DK" w:eastAsia="da-DK"/>
              </w:rPr>
            </w:pPr>
            <w:r>
              <w:rPr>
                <w:lang w:val="da-DK" w:eastAsia="da-DK"/>
              </w:rPr>
              <w:t>116 (1,6)</w:t>
            </w:r>
          </w:p>
        </w:tc>
        <w:tc>
          <w:tcPr>
            <w:tcW w:w="667" w:type="pct"/>
            <w:tcBorders>
              <w:top w:val="single" w:sz="6" w:space="0" w:color="000000"/>
              <w:left w:val="single" w:sz="6" w:space="0" w:color="000000"/>
              <w:bottom w:val="single" w:sz="6" w:space="0" w:color="000000"/>
              <w:right w:val="single" w:sz="6" w:space="0" w:color="000000"/>
            </w:tcBorders>
          </w:tcPr>
          <w:p w14:paraId="6E1D7C92" w14:textId="77777777" w:rsidR="00DD5979" w:rsidRDefault="00DD5979" w:rsidP="00854197">
            <w:pPr>
              <w:pStyle w:val="TableParagraph"/>
              <w:rPr>
                <w:b/>
                <w:lang w:val="da-DK" w:eastAsia="da-DK"/>
              </w:rPr>
            </w:pPr>
          </w:p>
          <w:p w14:paraId="7C40F16F" w14:textId="77777777" w:rsidR="00DD5979" w:rsidRDefault="00DD5979" w:rsidP="00854197">
            <w:pPr>
              <w:pStyle w:val="TableParagraph"/>
              <w:ind w:right="345"/>
              <w:jc w:val="right"/>
              <w:rPr>
                <w:lang w:val="da-DK" w:eastAsia="da-DK"/>
              </w:rPr>
            </w:pPr>
            <w:r>
              <w:rPr>
                <w:lang w:val="da-DK" w:eastAsia="da-DK"/>
              </w:rPr>
              <w:t>0,5</w:t>
            </w:r>
          </w:p>
        </w:tc>
        <w:tc>
          <w:tcPr>
            <w:tcW w:w="462" w:type="pct"/>
            <w:tcBorders>
              <w:top w:val="single" w:sz="6" w:space="0" w:color="000000"/>
              <w:left w:val="single" w:sz="6" w:space="0" w:color="000000"/>
              <w:bottom w:val="single" w:sz="6" w:space="0" w:color="000000"/>
              <w:right w:val="single" w:sz="6" w:space="0" w:color="000000"/>
            </w:tcBorders>
          </w:tcPr>
          <w:p w14:paraId="627B3991" w14:textId="77777777" w:rsidR="00DD5979" w:rsidRDefault="00DD5979" w:rsidP="00854197">
            <w:pPr>
              <w:pStyle w:val="TableParagraph"/>
              <w:rPr>
                <w:b/>
                <w:lang w:val="da-DK" w:eastAsia="da-DK"/>
              </w:rPr>
            </w:pPr>
          </w:p>
          <w:p w14:paraId="2C5C4E76" w14:textId="77777777" w:rsidR="00DD5979" w:rsidRDefault="00DD5979" w:rsidP="00854197">
            <w:pPr>
              <w:pStyle w:val="TableParagraph"/>
              <w:ind w:left="96" w:right="78"/>
              <w:jc w:val="center"/>
              <w:rPr>
                <w:lang w:val="da-DK" w:eastAsia="da-DK"/>
              </w:rPr>
            </w:pPr>
            <w:r>
              <w:rPr>
                <w:lang w:val="da-DK" w:eastAsia="da-DK"/>
              </w:rPr>
              <w:t>129 (1,8)</w:t>
            </w:r>
          </w:p>
        </w:tc>
        <w:tc>
          <w:tcPr>
            <w:tcW w:w="703" w:type="pct"/>
            <w:tcBorders>
              <w:top w:val="single" w:sz="6" w:space="0" w:color="000000"/>
              <w:left w:val="single" w:sz="6" w:space="0" w:color="000000"/>
              <w:bottom w:val="single" w:sz="6" w:space="0" w:color="000000"/>
              <w:right w:val="single" w:sz="6" w:space="0" w:color="000000"/>
            </w:tcBorders>
          </w:tcPr>
          <w:p w14:paraId="6C3AD616" w14:textId="77777777" w:rsidR="00DD5979" w:rsidRDefault="00DD5979" w:rsidP="00854197">
            <w:pPr>
              <w:pStyle w:val="TableParagraph"/>
              <w:rPr>
                <w:b/>
                <w:lang w:val="da-DK" w:eastAsia="da-DK"/>
              </w:rPr>
            </w:pPr>
          </w:p>
          <w:p w14:paraId="2834064D" w14:textId="77777777" w:rsidR="00DD5979" w:rsidRDefault="00DD5979" w:rsidP="00854197">
            <w:pPr>
              <w:pStyle w:val="TableParagraph"/>
              <w:ind w:left="92" w:right="78"/>
              <w:jc w:val="center"/>
              <w:rPr>
                <w:lang w:val="da-DK" w:eastAsia="da-DK"/>
              </w:rPr>
            </w:pPr>
            <w:r>
              <w:rPr>
                <w:lang w:val="da-DK" w:eastAsia="da-DK"/>
              </w:rPr>
              <w:t>0,6</w:t>
            </w:r>
          </w:p>
        </w:tc>
        <w:tc>
          <w:tcPr>
            <w:tcW w:w="526" w:type="pct"/>
            <w:tcBorders>
              <w:top w:val="single" w:sz="6" w:space="0" w:color="000000"/>
              <w:left w:val="single" w:sz="6" w:space="0" w:color="000000"/>
              <w:bottom w:val="single" w:sz="6" w:space="0" w:color="000000"/>
              <w:right w:val="single" w:sz="6" w:space="0" w:color="000000"/>
            </w:tcBorders>
          </w:tcPr>
          <w:p w14:paraId="6EE278A2" w14:textId="77777777" w:rsidR="00DD5979" w:rsidRDefault="00DD5979" w:rsidP="00854197">
            <w:pPr>
              <w:pStyle w:val="TableParagraph"/>
              <w:rPr>
                <w:b/>
                <w:lang w:val="da-DK" w:eastAsia="da-DK"/>
              </w:rPr>
            </w:pPr>
          </w:p>
          <w:p w14:paraId="013AD5B1" w14:textId="77777777" w:rsidR="00DD5979" w:rsidRDefault="00DD5979" w:rsidP="00854197">
            <w:pPr>
              <w:pStyle w:val="TableParagraph"/>
              <w:ind w:left="128" w:right="112"/>
              <w:jc w:val="center"/>
              <w:rPr>
                <w:lang w:val="da-DK" w:eastAsia="da-DK"/>
              </w:rPr>
            </w:pPr>
            <w:r>
              <w:rPr>
                <w:lang w:val="da-DK" w:eastAsia="da-DK"/>
              </w:rPr>
              <w:t>0,90</w:t>
            </w:r>
          </w:p>
          <w:p w14:paraId="49249E13" w14:textId="77777777" w:rsidR="00DD5979" w:rsidRDefault="00DD5979" w:rsidP="00854197">
            <w:pPr>
              <w:pStyle w:val="TableParagraph"/>
              <w:ind w:left="128" w:right="112"/>
              <w:jc w:val="center"/>
              <w:rPr>
                <w:lang w:val="da-DK" w:eastAsia="da-DK"/>
              </w:rPr>
            </w:pPr>
            <w:r>
              <w:rPr>
                <w:lang w:val="da-DK" w:eastAsia="da-DK"/>
              </w:rPr>
              <w:t>(0,70-1,16)</w:t>
            </w:r>
          </w:p>
        </w:tc>
        <w:tc>
          <w:tcPr>
            <w:tcW w:w="528" w:type="pct"/>
            <w:tcBorders>
              <w:top w:val="single" w:sz="6" w:space="0" w:color="000000"/>
              <w:left w:val="single" w:sz="6" w:space="0" w:color="000000"/>
              <w:bottom w:val="single" w:sz="6" w:space="0" w:color="000000"/>
              <w:right w:val="single" w:sz="6" w:space="0" w:color="000000"/>
            </w:tcBorders>
          </w:tcPr>
          <w:p w14:paraId="1CD11047" w14:textId="77777777" w:rsidR="00DD5979" w:rsidRDefault="00DD5979" w:rsidP="00854197">
            <w:pPr>
              <w:pStyle w:val="TableParagraph"/>
              <w:rPr>
                <w:b/>
                <w:lang w:val="da-DK" w:eastAsia="da-DK"/>
              </w:rPr>
            </w:pPr>
          </w:p>
          <w:p w14:paraId="1B6A3CC7" w14:textId="77777777" w:rsidR="00DD5979" w:rsidRDefault="00DD5979" w:rsidP="00854197">
            <w:pPr>
              <w:pStyle w:val="TableParagraph"/>
              <w:ind w:left="219" w:right="201"/>
              <w:jc w:val="center"/>
              <w:rPr>
                <w:lang w:val="da-DK" w:eastAsia="da-DK"/>
              </w:rPr>
            </w:pPr>
            <w:r>
              <w:rPr>
                <w:lang w:val="da-DK" w:eastAsia="da-DK"/>
              </w:rPr>
              <w:t>0,419</w:t>
            </w:r>
          </w:p>
        </w:tc>
      </w:tr>
      <w:tr w:rsidR="00DD5979" w14:paraId="03B76AE1" w14:textId="77777777" w:rsidTr="00854197">
        <w:trPr>
          <w:trHeight w:val="486"/>
        </w:trPr>
        <w:tc>
          <w:tcPr>
            <w:tcW w:w="1614" w:type="pct"/>
            <w:tcBorders>
              <w:top w:val="single" w:sz="6" w:space="0" w:color="000000"/>
              <w:left w:val="single" w:sz="6" w:space="0" w:color="000000"/>
              <w:bottom w:val="single" w:sz="6" w:space="0" w:color="000000"/>
              <w:right w:val="single" w:sz="6" w:space="0" w:color="000000"/>
            </w:tcBorders>
            <w:hideMark/>
          </w:tcPr>
          <w:p w14:paraId="019709AD" w14:textId="77777777" w:rsidR="00DD5979" w:rsidRDefault="00DD5979" w:rsidP="00854197">
            <w:pPr>
              <w:pStyle w:val="TableParagraph"/>
              <w:ind w:left="321"/>
              <w:rPr>
                <w:lang w:val="da-DK" w:eastAsia="da-DK"/>
              </w:rPr>
            </w:pPr>
            <w:r>
              <w:rPr>
                <w:lang w:val="da-DK" w:eastAsia="da-DK"/>
              </w:rPr>
              <w:t>Død uanset årsag</w:t>
            </w:r>
          </w:p>
        </w:tc>
        <w:tc>
          <w:tcPr>
            <w:tcW w:w="500" w:type="pct"/>
            <w:tcBorders>
              <w:top w:val="single" w:sz="6" w:space="0" w:color="000000"/>
              <w:left w:val="single" w:sz="6" w:space="0" w:color="000000"/>
              <w:bottom w:val="single" w:sz="6" w:space="0" w:color="000000"/>
              <w:right w:val="single" w:sz="6" w:space="0" w:color="000000"/>
            </w:tcBorders>
            <w:hideMark/>
          </w:tcPr>
          <w:p w14:paraId="1A5AD225" w14:textId="77777777" w:rsidR="00DD5979" w:rsidRDefault="00DD5979" w:rsidP="00854197">
            <w:pPr>
              <w:pStyle w:val="TableParagraph"/>
              <w:ind w:left="102" w:right="86"/>
              <w:jc w:val="center"/>
              <w:rPr>
                <w:lang w:val="da-DK" w:eastAsia="da-DK"/>
              </w:rPr>
            </w:pPr>
            <w:r>
              <w:rPr>
                <w:lang w:val="da-DK" w:eastAsia="da-DK"/>
              </w:rPr>
              <w:t>547 (7,5)</w:t>
            </w:r>
          </w:p>
        </w:tc>
        <w:tc>
          <w:tcPr>
            <w:tcW w:w="667" w:type="pct"/>
            <w:tcBorders>
              <w:top w:val="single" w:sz="6" w:space="0" w:color="000000"/>
              <w:left w:val="single" w:sz="6" w:space="0" w:color="000000"/>
              <w:bottom w:val="single" w:sz="6" w:space="0" w:color="000000"/>
              <w:right w:val="single" w:sz="6" w:space="0" w:color="000000"/>
            </w:tcBorders>
            <w:hideMark/>
          </w:tcPr>
          <w:p w14:paraId="293C93EF" w14:textId="77777777" w:rsidR="00DD5979" w:rsidRDefault="00DD5979" w:rsidP="00854197">
            <w:pPr>
              <w:pStyle w:val="TableParagraph"/>
              <w:ind w:right="345"/>
              <w:jc w:val="right"/>
              <w:rPr>
                <w:lang w:val="da-DK" w:eastAsia="da-DK"/>
              </w:rPr>
            </w:pPr>
            <w:r>
              <w:rPr>
                <w:lang w:val="da-DK" w:eastAsia="da-DK"/>
              </w:rPr>
              <w:t>2,5</w:t>
            </w:r>
          </w:p>
        </w:tc>
        <w:tc>
          <w:tcPr>
            <w:tcW w:w="462" w:type="pct"/>
            <w:tcBorders>
              <w:top w:val="single" w:sz="6" w:space="0" w:color="000000"/>
              <w:left w:val="single" w:sz="6" w:space="0" w:color="000000"/>
              <w:bottom w:val="single" w:sz="6" w:space="0" w:color="000000"/>
              <w:right w:val="single" w:sz="6" w:space="0" w:color="000000"/>
            </w:tcBorders>
            <w:hideMark/>
          </w:tcPr>
          <w:p w14:paraId="14040989" w14:textId="77777777" w:rsidR="00DD5979" w:rsidRDefault="00DD5979" w:rsidP="00854197">
            <w:pPr>
              <w:pStyle w:val="TableParagraph"/>
              <w:ind w:left="96" w:right="78"/>
              <w:jc w:val="center"/>
              <w:rPr>
                <w:lang w:val="da-DK" w:eastAsia="da-DK"/>
              </w:rPr>
            </w:pPr>
            <w:r>
              <w:rPr>
                <w:lang w:val="da-DK" w:eastAsia="da-DK"/>
              </w:rPr>
              <w:t>537 (7,3)</w:t>
            </w:r>
          </w:p>
        </w:tc>
        <w:tc>
          <w:tcPr>
            <w:tcW w:w="703" w:type="pct"/>
            <w:tcBorders>
              <w:top w:val="single" w:sz="6" w:space="0" w:color="000000"/>
              <w:left w:val="single" w:sz="6" w:space="0" w:color="000000"/>
              <w:bottom w:val="single" w:sz="6" w:space="0" w:color="000000"/>
              <w:right w:val="single" w:sz="6" w:space="0" w:color="000000"/>
            </w:tcBorders>
            <w:hideMark/>
          </w:tcPr>
          <w:p w14:paraId="79EE9675" w14:textId="77777777" w:rsidR="00DD5979" w:rsidRDefault="00DD5979" w:rsidP="00854197">
            <w:pPr>
              <w:pStyle w:val="TableParagraph"/>
              <w:ind w:left="92" w:right="78"/>
              <w:jc w:val="center"/>
              <w:rPr>
                <w:lang w:val="da-DK" w:eastAsia="da-DK"/>
              </w:rPr>
            </w:pPr>
            <w:r>
              <w:rPr>
                <w:lang w:val="da-DK" w:eastAsia="da-DK"/>
              </w:rPr>
              <w:t>2,5</w:t>
            </w:r>
          </w:p>
        </w:tc>
        <w:tc>
          <w:tcPr>
            <w:tcW w:w="526" w:type="pct"/>
            <w:tcBorders>
              <w:top w:val="single" w:sz="6" w:space="0" w:color="000000"/>
              <w:left w:val="single" w:sz="6" w:space="0" w:color="000000"/>
              <w:bottom w:val="single" w:sz="6" w:space="0" w:color="000000"/>
              <w:right w:val="single" w:sz="6" w:space="0" w:color="000000"/>
            </w:tcBorders>
            <w:hideMark/>
          </w:tcPr>
          <w:p w14:paraId="510F0C36" w14:textId="77777777" w:rsidR="00DD5979" w:rsidRDefault="00DD5979" w:rsidP="00854197">
            <w:pPr>
              <w:pStyle w:val="TableParagraph"/>
              <w:ind w:left="128" w:right="112"/>
              <w:jc w:val="center"/>
              <w:rPr>
                <w:lang w:val="da-DK" w:eastAsia="da-DK"/>
              </w:rPr>
            </w:pPr>
            <w:r>
              <w:rPr>
                <w:lang w:val="da-DK" w:eastAsia="da-DK"/>
              </w:rPr>
              <w:t>1,01</w:t>
            </w:r>
          </w:p>
          <w:p w14:paraId="49546608" w14:textId="77777777" w:rsidR="00DD5979" w:rsidRDefault="00DD5979" w:rsidP="00854197">
            <w:pPr>
              <w:pStyle w:val="TableParagraph"/>
              <w:ind w:left="128" w:right="112"/>
              <w:jc w:val="center"/>
              <w:rPr>
                <w:lang w:val="da-DK" w:eastAsia="da-DK"/>
              </w:rPr>
            </w:pPr>
            <w:r>
              <w:rPr>
                <w:lang w:val="da-DK" w:eastAsia="da-DK"/>
              </w:rPr>
              <w:t>(0,90-1,14)</w:t>
            </w:r>
          </w:p>
        </w:tc>
        <w:tc>
          <w:tcPr>
            <w:tcW w:w="528" w:type="pct"/>
            <w:tcBorders>
              <w:top w:val="single" w:sz="6" w:space="0" w:color="000000"/>
              <w:left w:val="single" w:sz="6" w:space="0" w:color="000000"/>
              <w:bottom w:val="single" w:sz="6" w:space="0" w:color="000000"/>
              <w:right w:val="single" w:sz="6" w:space="0" w:color="000000"/>
            </w:tcBorders>
            <w:hideMark/>
          </w:tcPr>
          <w:p w14:paraId="45DB28C2" w14:textId="77777777" w:rsidR="00DD5979" w:rsidRDefault="00DD5979" w:rsidP="00854197">
            <w:pPr>
              <w:pStyle w:val="TableParagraph"/>
              <w:ind w:left="219" w:right="201"/>
              <w:jc w:val="center"/>
              <w:rPr>
                <w:lang w:val="da-DK" w:eastAsia="da-DK"/>
              </w:rPr>
            </w:pPr>
            <w:r>
              <w:rPr>
                <w:lang w:val="da-DK" w:eastAsia="da-DK"/>
              </w:rPr>
              <w:t>0,875</w:t>
            </w:r>
          </w:p>
        </w:tc>
      </w:tr>
      <w:tr w:rsidR="00DD5979" w14:paraId="1AD09C20" w14:textId="77777777" w:rsidTr="00854197">
        <w:trPr>
          <w:trHeight w:val="486"/>
        </w:trPr>
        <w:tc>
          <w:tcPr>
            <w:tcW w:w="1614" w:type="pct"/>
            <w:tcBorders>
              <w:top w:val="single" w:sz="6" w:space="0" w:color="000000"/>
              <w:left w:val="single" w:sz="6" w:space="0" w:color="000000"/>
              <w:bottom w:val="single" w:sz="6" w:space="0" w:color="000000"/>
              <w:right w:val="single" w:sz="6" w:space="0" w:color="000000"/>
            </w:tcBorders>
            <w:hideMark/>
          </w:tcPr>
          <w:p w14:paraId="2E8BE965" w14:textId="77777777" w:rsidR="00DD5979" w:rsidRDefault="00DD5979" w:rsidP="00854197">
            <w:pPr>
              <w:pStyle w:val="TableParagraph"/>
              <w:ind w:left="321" w:right="624"/>
              <w:rPr>
                <w:lang w:val="da-DK" w:eastAsia="da-DK"/>
              </w:rPr>
            </w:pPr>
            <w:r>
              <w:rPr>
                <w:lang w:val="da-DK" w:eastAsia="da-DK"/>
              </w:rPr>
              <w:t>Hospitalsindlæggelse pga. hjertesvigt</w:t>
            </w:r>
            <w:r>
              <w:rPr>
                <w:vertAlign w:val="superscript"/>
                <w:lang w:val="da-DK" w:eastAsia="da-DK"/>
              </w:rPr>
              <w:t>‡</w:t>
            </w:r>
          </w:p>
        </w:tc>
        <w:tc>
          <w:tcPr>
            <w:tcW w:w="500" w:type="pct"/>
            <w:tcBorders>
              <w:top w:val="single" w:sz="6" w:space="0" w:color="000000"/>
              <w:left w:val="single" w:sz="6" w:space="0" w:color="000000"/>
              <w:bottom w:val="single" w:sz="6" w:space="0" w:color="000000"/>
              <w:right w:val="single" w:sz="6" w:space="0" w:color="000000"/>
            </w:tcBorders>
          </w:tcPr>
          <w:p w14:paraId="48858F3F" w14:textId="77777777" w:rsidR="00DD5979" w:rsidRDefault="00DD5979" w:rsidP="00854197">
            <w:pPr>
              <w:pStyle w:val="TableParagraph"/>
              <w:rPr>
                <w:b/>
                <w:lang w:val="da-DK" w:eastAsia="da-DK"/>
              </w:rPr>
            </w:pPr>
          </w:p>
          <w:p w14:paraId="46D54FA2" w14:textId="77777777" w:rsidR="00DD5979" w:rsidRDefault="00DD5979" w:rsidP="00854197">
            <w:pPr>
              <w:pStyle w:val="TableParagraph"/>
              <w:ind w:left="102" w:right="86"/>
              <w:jc w:val="center"/>
              <w:rPr>
                <w:lang w:val="da-DK" w:eastAsia="da-DK"/>
              </w:rPr>
            </w:pPr>
            <w:r>
              <w:rPr>
                <w:lang w:val="da-DK" w:eastAsia="da-DK"/>
              </w:rPr>
              <w:t>228 (3,1)</w:t>
            </w:r>
          </w:p>
        </w:tc>
        <w:tc>
          <w:tcPr>
            <w:tcW w:w="667" w:type="pct"/>
            <w:tcBorders>
              <w:top w:val="single" w:sz="6" w:space="0" w:color="000000"/>
              <w:left w:val="single" w:sz="6" w:space="0" w:color="000000"/>
              <w:bottom w:val="single" w:sz="6" w:space="0" w:color="000000"/>
              <w:right w:val="single" w:sz="6" w:space="0" w:color="000000"/>
            </w:tcBorders>
          </w:tcPr>
          <w:p w14:paraId="005CDB56" w14:textId="77777777" w:rsidR="00DD5979" w:rsidRDefault="00DD5979" w:rsidP="00854197">
            <w:pPr>
              <w:pStyle w:val="TableParagraph"/>
              <w:rPr>
                <w:b/>
                <w:lang w:val="da-DK" w:eastAsia="da-DK"/>
              </w:rPr>
            </w:pPr>
          </w:p>
          <w:p w14:paraId="055731C9" w14:textId="77777777" w:rsidR="00DD5979" w:rsidRDefault="00DD5979" w:rsidP="00854197">
            <w:pPr>
              <w:pStyle w:val="TableParagraph"/>
              <w:ind w:right="345"/>
              <w:jc w:val="right"/>
              <w:rPr>
                <w:lang w:val="da-DK" w:eastAsia="da-DK"/>
              </w:rPr>
            </w:pPr>
            <w:r>
              <w:rPr>
                <w:lang w:val="da-DK" w:eastAsia="da-DK"/>
              </w:rPr>
              <w:t>1,1</w:t>
            </w:r>
          </w:p>
        </w:tc>
        <w:tc>
          <w:tcPr>
            <w:tcW w:w="462" w:type="pct"/>
            <w:tcBorders>
              <w:top w:val="single" w:sz="6" w:space="0" w:color="000000"/>
              <w:left w:val="single" w:sz="6" w:space="0" w:color="000000"/>
              <w:bottom w:val="single" w:sz="6" w:space="0" w:color="000000"/>
              <w:right w:val="single" w:sz="6" w:space="0" w:color="000000"/>
            </w:tcBorders>
          </w:tcPr>
          <w:p w14:paraId="7D1DA0B1" w14:textId="77777777" w:rsidR="00DD5979" w:rsidRDefault="00DD5979" w:rsidP="00854197">
            <w:pPr>
              <w:pStyle w:val="TableParagraph"/>
              <w:rPr>
                <w:b/>
                <w:lang w:val="da-DK" w:eastAsia="da-DK"/>
              </w:rPr>
            </w:pPr>
          </w:p>
          <w:p w14:paraId="74AAA91C" w14:textId="77777777" w:rsidR="00DD5979" w:rsidRDefault="00DD5979" w:rsidP="00854197">
            <w:pPr>
              <w:pStyle w:val="TableParagraph"/>
              <w:ind w:left="96" w:right="78"/>
              <w:jc w:val="center"/>
              <w:rPr>
                <w:lang w:val="da-DK" w:eastAsia="da-DK"/>
              </w:rPr>
            </w:pPr>
            <w:r>
              <w:rPr>
                <w:lang w:val="da-DK" w:eastAsia="da-DK"/>
              </w:rPr>
              <w:t>229 (3,1)</w:t>
            </w:r>
          </w:p>
        </w:tc>
        <w:tc>
          <w:tcPr>
            <w:tcW w:w="703" w:type="pct"/>
            <w:tcBorders>
              <w:top w:val="single" w:sz="6" w:space="0" w:color="000000"/>
              <w:left w:val="single" w:sz="6" w:space="0" w:color="000000"/>
              <w:bottom w:val="single" w:sz="6" w:space="0" w:color="000000"/>
              <w:right w:val="single" w:sz="6" w:space="0" w:color="000000"/>
            </w:tcBorders>
          </w:tcPr>
          <w:p w14:paraId="52268624" w14:textId="77777777" w:rsidR="00DD5979" w:rsidRDefault="00DD5979" w:rsidP="00854197">
            <w:pPr>
              <w:pStyle w:val="TableParagraph"/>
              <w:rPr>
                <w:b/>
                <w:lang w:val="da-DK" w:eastAsia="da-DK"/>
              </w:rPr>
            </w:pPr>
          </w:p>
          <w:p w14:paraId="2AF4ED5E" w14:textId="77777777" w:rsidR="00DD5979" w:rsidRDefault="00DD5979" w:rsidP="00854197">
            <w:pPr>
              <w:pStyle w:val="TableParagraph"/>
              <w:ind w:left="92" w:right="78"/>
              <w:jc w:val="center"/>
              <w:rPr>
                <w:lang w:val="da-DK" w:eastAsia="da-DK"/>
              </w:rPr>
            </w:pPr>
            <w:r>
              <w:rPr>
                <w:lang w:val="da-DK" w:eastAsia="da-DK"/>
              </w:rPr>
              <w:t>1,1</w:t>
            </w:r>
          </w:p>
        </w:tc>
        <w:tc>
          <w:tcPr>
            <w:tcW w:w="526" w:type="pct"/>
            <w:tcBorders>
              <w:top w:val="single" w:sz="6" w:space="0" w:color="000000"/>
              <w:left w:val="single" w:sz="6" w:space="0" w:color="000000"/>
              <w:bottom w:val="single" w:sz="6" w:space="0" w:color="000000"/>
              <w:right w:val="single" w:sz="6" w:space="0" w:color="000000"/>
            </w:tcBorders>
          </w:tcPr>
          <w:p w14:paraId="11430445" w14:textId="77777777" w:rsidR="00DD5979" w:rsidRDefault="00DD5979" w:rsidP="00854197">
            <w:pPr>
              <w:pStyle w:val="TableParagraph"/>
              <w:rPr>
                <w:b/>
                <w:lang w:val="da-DK" w:eastAsia="da-DK"/>
              </w:rPr>
            </w:pPr>
          </w:p>
          <w:p w14:paraId="53078BBB" w14:textId="77777777" w:rsidR="00DD5979" w:rsidRDefault="00DD5979" w:rsidP="00854197">
            <w:pPr>
              <w:pStyle w:val="TableParagraph"/>
              <w:ind w:left="128" w:right="112"/>
              <w:jc w:val="center"/>
              <w:rPr>
                <w:lang w:val="da-DK" w:eastAsia="da-DK"/>
              </w:rPr>
            </w:pPr>
            <w:r>
              <w:rPr>
                <w:lang w:val="da-DK" w:eastAsia="da-DK"/>
              </w:rPr>
              <w:t>1,00</w:t>
            </w:r>
          </w:p>
          <w:p w14:paraId="63885568" w14:textId="77777777" w:rsidR="00DD5979" w:rsidRDefault="00DD5979" w:rsidP="00854197">
            <w:pPr>
              <w:pStyle w:val="TableParagraph"/>
              <w:ind w:left="128" w:right="112"/>
              <w:jc w:val="center"/>
              <w:rPr>
                <w:lang w:val="da-DK" w:eastAsia="da-DK"/>
              </w:rPr>
            </w:pPr>
            <w:r>
              <w:rPr>
                <w:lang w:val="da-DK" w:eastAsia="da-DK"/>
              </w:rPr>
              <w:t>(0,83-1,20)</w:t>
            </w:r>
          </w:p>
        </w:tc>
        <w:tc>
          <w:tcPr>
            <w:tcW w:w="528" w:type="pct"/>
            <w:tcBorders>
              <w:top w:val="single" w:sz="6" w:space="0" w:color="000000"/>
              <w:left w:val="single" w:sz="6" w:space="0" w:color="000000"/>
              <w:bottom w:val="single" w:sz="6" w:space="0" w:color="000000"/>
              <w:right w:val="single" w:sz="6" w:space="0" w:color="000000"/>
            </w:tcBorders>
          </w:tcPr>
          <w:p w14:paraId="004153C5" w14:textId="77777777" w:rsidR="00DD5979" w:rsidRDefault="00DD5979" w:rsidP="00854197">
            <w:pPr>
              <w:pStyle w:val="TableParagraph"/>
              <w:rPr>
                <w:b/>
                <w:lang w:val="da-DK" w:eastAsia="da-DK"/>
              </w:rPr>
            </w:pPr>
          </w:p>
          <w:p w14:paraId="65377000" w14:textId="77777777" w:rsidR="00DD5979" w:rsidRDefault="00DD5979" w:rsidP="00854197">
            <w:pPr>
              <w:pStyle w:val="TableParagraph"/>
              <w:ind w:left="219" w:right="201"/>
              <w:jc w:val="center"/>
              <w:rPr>
                <w:lang w:val="da-DK" w:eastAsia="da-DK"/>
              </w:rPr>
            </w:pPr>
            <w:r>
              <w:rPr>
                <w:lang w:val="da-DK" w:eastAsia="da-DK"/>
              </w:rPr>
              <w:t>0,983</w:t>
            </w:r>
          </w:p>
        </w:tc>
      </w:tr>
    </w:tbl>
    <w:p w14:paraId="50023D9B" w14:textId="77777777" w:rsidR="00DD5979" w:rsidRPr="006F1FB6" w:rsidRDefault="00DD5979" w:rsidP="00DD5979">
      <w:pPr>
        <w:tabs>
          <w:tab w:val="left" w:pos="851"/>
        </w:tabs>
        <w:ind w:left="851"/>
        <w:rPr>
          <w:sz w:val="20"/>
          <w:lang w:eastAsia="da-DK"/>
        </w:rPr>
      </w:pPr>
      <w:r w:rsidRPr="006F1FB6">
        <w:rPr>
          <w:sz w:val="20"/>
          <w:vertAlign w:val="superscript"/>
        </w:rPr>
        <w:t>*</w:t>
      </w:r>
      <w:r w:rsidRPr="006F1FB6">
        <w:rPr>
          <w:sz w:val="20"/>
        </w:rPr>
        <w:t xml:space="preserve"> </w:t>
      </w:r>
      <w:proofErr w:type="spellStart"/>
      <w:r w:rsidRPr="006F1FB6">
        <w:rPr>
          <w:sz w:val="20"/>
        </w:rPr>
        <w:t>Incidensrate</w:t>
      </w:r>
      <w:proofErr w:type="spellEnd"/>
      <w:r w:rsidRPr="006F1FB6">
        <w:rPr>
          <w:sz w:val="20"/>
        </w:rPr>
        <w:t xml:space="preserve"> pr. 100 </w:t>
      </w:r>
      <w:proofErr w:type="spellStart"/>
      <w:r w:rsidRPr="006F1FB6">
        <w:rPr>
          <w:sz w:val="20"/>
        </w:rPr>
        <w:t>patientår</w:t>
      </w:r>
      <w:proofErr w:type="spellEnd"/>
      <w:r w:rsidRPr="006F1FB6">
        <w:rPr>
          <w:sz w:val="20"/>
        </w:rPr>
        <w:t xml:space="preserve"> er beregnet som 100 × (samlet antal patienter med ≥ 1 hændelse i løbet af en egnet eksponeringsperiode pr. samlet antal </w:t>
      </w:r>
      <w:proofErr w:type="spellStart"/>
      <w:r w:rsidRPr="006F1FB6">
        <w:rPr>
          <w:sz w:val="20"/>
        </w:rPr>
        <w:t>patientår</w:t>
      </w:r>
      <w:proofErr w:type="spellEnd"/>
      <w:r w:rsidRPr="006F1FB6">
        <w:rPr>
          <w:sz w:val="20"/>
        </w:rPr>
        <w:t xml:space="preserve"> med opfølgning).</w:t>
      </w:r>
    </w:p>
    <w:p w14:paraId="0102562E" w14:textId="77777777" w:rsidR="00DD5979" w:rsidRPr="006F1FB6" w:rsidRDefault="00DD5979" w:rsidP="00DD5979">
      <w:pPr>
        <w:tabs>
          <w:tab w:val="left" w:pos="851"/>
        </w:tabs>
        <w:ind w:left="851"/>
        <w:rPr>
          <w:sz w:val="20"/>
        </w:rPr>
      </w:pPr>
      <w:r w:rsidRPr="006F1FB6">
        <w:rPr>
          <w:sz w:val="20"/>
          <w:vertAlign w:val="superscript"/>
        </w:rPr>
        <w:t>†</w:t>
      </w:r>
      <w:r w:rsidRPr="006F1FB6">
        <w:rPr>
          <w:sz w:val="20"/>
        </w:rPr>
        <w:t xml:space="preserve"> Baseret på en Cox-model stratificeret ud fra region. For sammensatte endepunkter svarer </w:t>
      </w:r>
      <w:proofErr w:type="spellStart"/>
      <w:r w:rsidRPr="006F1FB6">
        <w:rPr>
          <w:sz w:val="20"/>
        </w:rPr>
        <w:t>p-værdierne</w:t>
      </w:r>
      <w:proofErr w:type="spellEnd"/>
      <w:r w:rsidRPr="006F1FB6">
        <w:rPr>
          <w:sz w:val="20"/>
        </w:rPr>
        <w:t xml:space="preserve"> til en test af noninferioritet, der tilstræber at vise, at </w:t>
      </w:r>
      <w:proofErr w:type="spellStart"/>
      <w:r w:rsidRPr="006F1FB6">
        <w:rPr>
          <w:i/>
          <w:iCs/>
          <w:sz w:val="20"/>
        </w:rPr>
        <w:t>hazard</w:t>
      </w:r>
      <w:proofErr w:type="spellEnd"/>
      <w:r w:rsidRPr="006F1FB6">
        <w:rPr>
          <w:i/>
          <w:iCs/>
          <w:sz w:val="20"/>
        </w:rPr>
        <w:t xml:space="preserve"> ratio</w:t>
      </w:r>
      <w:r w:rsidRPr="006F1FB6">
        <w:rPr>
          <w:sz w:val="20"/>
        </w:rPr>
        <w:t xml:space="preserve"> er mindre end 1,3. For alle andre endepunkter svarer </w:t>
      </w:r>
      <w:proofErr w:type="spellStart"/>
      <w:r w:rsidRPr="006F1FB6">
        <w:rPr>
          <w:sz w:val="20"/>
        </w:rPr>
        <w:t>p-værdierne</w:t>
      </w:r>
      <w:proofErr w:type="spellEnd"/>
      <w:r w:rsidRPr="006F1FB6">
        <w:rPr>
          <w:sz w:val="20"/>
        </w:rPr>
        <w:t xml:space="preserve"> til en test af forskellene i </w:t>
      </w:r>
      <w:proofErr w:type="spellStart"/>
      <w:r w:rsidRPr="006F1FB6">
        <w:rPr>
          <w:i/>
          <w:iCs/>
          <w:sz w:val="20"/>
        </w:rPr>
        <w:t>hazard</w:t>
      </w:r>
      <w:proofErr w:type="spellEnd"/>
      <w:r w:rsidRPr="006F1FB6">
        <w:rPr>
          <w:i/>
          <w:iCs/>
          <w:sz w:val="20"/>
        </w:rPr>
        <w:t xml:space="preserve"> ratio</w:t>
      </w:r>
      <w:r w:rsidRPr="006F1FB6">
        <w:rPr>
          <w:sz w:val="20"/>
        </w:rPr>
        <w:t>.</w:t>
      </w:r>
    </w:p>
    <w:p w14:paraId="51B0C148" w14:textId="77777777" w:rsidR="00DD5979" w:rsidRPr="006F1FB6" w:rsidRDefault="00DD5979" w:rsidP="00DD5979">
      <w:pPr>
        <w:tabs>
          <w:tab w:val="left" w:pos="851"/>
        </w:tabs>
        <w:ind w:left="851"/>
        <w:rPr>
          <w:sz w:val="20"/>
        </w:rPr>
      </w:pPr>
      <w:r w:rsidRPr="006F1FB6">
        <w:rPr>
          <w:sz w:val="20"/>
          <w:vertAlign w:val="superscript"/>
        </w:rPr>
        <w:t>‡</w:t>
      </w:r>
      <w:r w:rsidRPr="006F1FB6">
        <w:rPr>
          <w:sz w:val="20"/>
        </w:rPr>
        <w:t xml:space="preserve"> Analysen af hospitalsindlæggelser pga. hjertesvigt blev justeret for hjertesvigt i anamnesen ved </w:t>
      </w:r>
      <w:r w:rsidRPr="006F1FB6">
        <w:rPr>
          <w:i/>
          <w:iCs/>
          <w:sz w:val="20"/>
        </w:rPr>
        <w:t>baseline</w:t>
      </w:r>
      <w:r w:rsidRPr="006F1FB6">
        <w:rPr>
          <w:sz w:val="20"/>
        </w:rPr>
        <w:t>.</w:t>
      </w:r>
    </w:p>
    <w:p w14:paraId="04F3C532" w14:textId="77777777" w:rsidR="00DD5979" w:rsidRPr="006F1FB6" w:rsidRDefault="00DD5979" w:rsidP="00DD5979">
      <w:pPr>
        <w:tabs>
          <w:tab w:val="left" w:pos="851"/>
        </w:tabs>
        <w:ind w:left="851"/>
        <w:rPr>
          <w:sz w:val="24"/>
          <w:szCs w:val="24"/>
        </w:rPr>
      </w:pPr>
    </w:p>
    <w:p w14:paraId="16E0CC88" w14:textId="77777777" w:rsidR="00DD5979" w:rsidRPr="006F1FB6" w:rsidRDefault="00DD5979" w:rsidP="00DD5979">
      <w:pPr>
        <w:tabs>
          <w:tab w:val="left" w:pos="851"/>
        </w:tabs>
        <w:ind w:left="851"/>
        <w:rPr>
          <w:sz w:val="24"/>
          <w:szCs w:val="24"/>
          <w:u w:val="single"/>
        </w:rPr>
      </w:pPr>
      <w:r w:rsidRPr="006F1FB6">
        <w:rPr>
          <w:sz w:val="24"/>
          <w:szCs w:val="24"/>
          <w:u w:val="single"/>
        </w:rPr>
        <w:t>Pædiatrisk population</w:t>
      </w:r>
    </w:p>
    <w:p w14:paraId="49134E2E" w14:textId="77777777" w:rsidR="00DD5979" w:rsidRPr="006F1FB6" w:rsidRDefault="00DD5979" w:rsidP="00DD5979">
      <w:pPr>
        <w:tabs>
          <w:tab w:val="left" w:pos="851"/>
        </w:tabs>
        <w:ind w:left="851"/>
        <w:rPr>
          <w:sz w:val="24"/>
          <w:szCs w:val="24"/>
        </w:rPr>
      </w:pPr>
      <w:r w:rsidRPr="006F1FB6">
        <w:rPr>
          <w:sz w:val="24"/>
          <w:szCs w:val="24"/>
        </w:rPr>
        <w:t xml:space="preserve">Der blev udført et 54-ugers, dobbeltblindet studie til vurdering af virkningen og sikkerheden af </w:t>
      </w:r>
      <w:proofErr w:type="spellStart"/>
      <w:r w:rsidRPr="006F1FB6">
        <w:rPr>
          <w:sz w:val="24"/>
          <w:szCs w:val="24"/>
        </w:rPr>
        <w:t>sitagliptin</w:t>
      </w:r>
      <w:proofErr w:type="spellEnd"/>
      <w:r w:rsidRPr="006F1FB6">
        <w:rPr>
          <w:sz w:val="24"/>
          <w:szCs w:val="24"/>
        </w:rPr>
        <w:t xml:space="preserve"> 100 mg en gang daglig</w:t>
      </w:r>
      <w:r>
        <w:rPr>
          <w:sz w:val="24"/>
          <w:szCs w:val="24"/>
        </w:rPr>
        <w:t>t</w:t>
      </w:r>
      <w:r w:rsidRPr="006F1FB6">
        <w:rPr>
          <w:sz w:val="24"/>
          <w:szCs w:val="24"/>
        </w:rPr>
        <w:t xml:space="preserve"> hos pædiatriske patienter (i alderen 10 til 17 år) med type 2-diabetes, som ikke var i </w:t>
      </w:r>
      <w:proofErr w:type="spellStart"/>
      <w:r w:rsidRPr="006F1FB6">
        <w:rPr>
          <w:sz w:val="24"/>
          <w:szCs w:val="24"/>
        </w:rPr>
        <w:t>antihyperglykæmisk</w:t>
      </w:r>
      <w:proofErr w:type="spellEnd"/>
      <w:r w:rsidRPr="006F1FB6">
        <w:rPr>
          <w:sz w:val="24"/>
          <w:szCs w:val="24"/>
        </w:rPr>
        <w:t xml:space="preserve"> behandling i mindst 12 uger (med HbA</w:t>
      </w:r>
      <w:r w:rsidRPr="006F1FB6">
        <w:rPr>
          <w:sz w:val="24"/>
          <w:szCs w:val="24"/>
          <w:vertAlign w:val="subscript"/>
        </w:rPr>
        <w:t>1c</w:t>
      </w:r>
      <w:r w:rsidRPr="006F1FB6">
        <w:rPr>
          <w:sz w:val="24"/>
          <w:szCs w:val="24"/>
        </w:rPr>
        <w:t xml:space="preserve"> 6,5</w:t>
      </w:r>
      <w:r>
        <w:rPr>
          <w:sz w:val="24"/>
          <w:szCs w:val="24"/>
        </w:rPr>
        <w:t xml:space="preserve"> %</w:t>
      </w:r>
      <w:r w:rsidRPr="006F1FB6">
        <w:rPr>
          <w:sz w:val="24"/>
          <w:szCs w:val="24"/>
        </w:rPr>
        <w:t xml:space="preserve"> til 10</w:t>
      </w:r>
      <w:r>
        <w:rPr>
          <w:sz w:val="24"/>
          <w:szCs w:val="24"/>
        </w:rPr>
        <w:t xml:space="preserve"> %</w:t>
      </w:r>
      <w:r w:rsidRPr="006F1FB6">
        <w:rPr>
          <w:sz w:val="24"/>
          <w:szCs w:val="24"/>
        </w:rPr>
        <w:t>) eller var på en stabil insulindosis i mindst 12 uger (med HbA</w:t>
      </w:r>
      <w:r w:rsidRPr="006F1FB6">
        <w:rPr>
          <w:sz w:val="24"/>
          <w:szCs w:val="24"/>
          <w:vertAlign w:val="subscript"/>
        </w:rPr>
        <w:t>1c</w:t>
      </w:r>
      <w:r w:rsidRPr="006F1FB6">
        <w:rPr>
          <w:sz w:val="24"/>
          <w:szCs w:val="24"/>
        </w:rPr>
        <w:t xml:space="preserve"> 7</w:t>
      </w:r>
      <w:r>
        <w:rPr>
          <w:sz w:val="24"/>
          <w:szCs w:val="24"/>
        </w:rPr>
        <w:t xml:space="preserve"> %</w:t>
      </w:r>
      <w:r w:rsidRPr="006F1FB6">
        <w:rPr>
          <w:sz w:val="24"/>
          <w:szCs w:val="24"/>
        </w:rPr>
        <w:t xml:space="preserve"> til 10</w:t>
      </w:r>
      <w:r>
        <w:rPr>
          <w:sz w:val="24"/>
          <w:szCs w:val="24"/>
        </w:rPr>
        <w:t xml:space="preserve"> %</w:t>
      </w:r>
      <w:r w:rsidRPr="006F1FB6">
        <w:rPr>
          <w:sz w:val="24"/>
          <w:szCs w:val="24"/>
        </w:rPr>
        <w:t xml:space="preserve">). Patienterne blev randomiseret til </w:t>
      </w:r>
      <w:proofErr w:type="spellStart"/>
      <w:r w:rsidRPr="006F1FB6">
        <w:rPr>
          <w:sz w:val="24"/>
          <w:szCs w:val="24"/>
        </w:rPr>
        <w:t>sitagliptin</w:t>
      </w:r>
      <w:proofErr w:type="spellEnd"/>
      <w:r w:rsidRPr="006F1FB6">
        <w:rPr>
          <w:sz w:val="24"/>
          <w:szCs w:val="24"/>
        </w:rPr>
        <w:t xml:space="preserve"> 100 mg en gang daglig</w:t>
      </w:r>
      <w:r>
        <w:rPr>
          <w:sz w:val="24"/>
          <w:szCs w:val="24"/>
        </w:rPr>
        <w:t>t</w:t>
      </w:r>
      <w:r w:rsidRPr="006F1FB6">
        <w:rPr>
          <w:sz w:val="24"/>
          <w:szCs w:val="24"/>
        </w:rPr>
        <w:t xml:space="preserve"> eller placebo i 20 uger.</w:t>
      </w:r>
    </w:p>
    <w:p w14:paraId="04AB0D36" w14:textId="77777777" w:rsidR="00DD5979" w:rsidRPr="006F1FB6" w:rsidRDefault="00DD5979" w:rsidP="00DD5979">
      <w:pPr>
        <w:tabs>
          <w:tab w:val="left" w:pos="851"/>
        </w:tabs>
        <w:ind w:left="851"/>
        <w:rPr>
          <w:sz w:val="24"/>
          <w:szCs w:val="24"/>
        </w:rPr>
      </w:pPr>
    </w:p>
    <w:p w14:paraId="31268392" w14:textId="77777777" w:rsidR="00DD5979" w:rsidRPr="006F1FB6" w:rsidRDefault="00DD5979" w:rsidP="00DD5979">
      <w:pPr>
        <w:tabs>
          <w:tab w:val="left" w:pos="851"/>
        </w:tabs>
        <w:ind w:left="851"/>
        <w:rPr>
          <w:sz w:val="24"/>
          <w:szCs w:val="24"/>
        </w:rPr>
      </w:pPr>
      <w:r w:rsidRPr="006F1FB6">
        <w:rPr>
          <w:sz w:val="24"/>
          <w:szCs w:val="24"/>
        </w:rPr>
        <w:t>Gennemsnitlig HbA</w:t>
      </w:r>
      <w:r w:rsidRPr="006F1FB6">
        <w:rPr>
          <w:sz w:val="24"/>
          <w:szCs w:val="24"/>
          <w:vertAlign w:val="subscript"/>
        </w:rPr>
        <w:t>1c</w:t>
      </w:r>
      <w:r w:rsidRPr="006F1FB6">
        <w:rPr>
          <w:sz w:val="24"/>
          <w:szCs w:val="24"/>
        </w:rPr>
        <w:t xml:space="preserve"> ved </w:t>
      </w:r>
      <w:r w:rsidRPr="006F1FB6">
        <w:rPr>
          <w:i/>
          <w:iCs/>
          <w:sz w:val="24"/>
          <w:szCs w:val="24"/>
        </w:rPr>
        <w:t>baseline</w:t>
      </w:r>
      <w:r w:rsidRPr="006F1FB6">
        <w:rPr>
          <w:sz w:val="24"/>
          <w:szCs w:val="24"/>
        </w:rPr>
        <w:t xml:space="preserve"> var 7,5</w:t>
      </w:r>
      <w:r>
        <w:rPr>
          <w:sz w:val="24"/>
          <w:szCs w:val="24"/>
        </w:rPr>
        <w:t xml:space="preserve"> %</w:t>
      </w:r>
      <w:r w:rsidRPr="006F1FB6">
        <w:rPr>
          <w:sz w:val="24"/>
          <w:szCs w:val="24"/>
        </w:rPr>
        <w:t xml:space="preserve">. Behandlingen med </w:t>
      </w:r>
      <w:proofErr w:type="spellStart"/>
      <w:r w:rsidRPr="006F1FB6">
        <w:rPr>
          <w:sz w:val="24"/>
          <w:szCs w:val="24"/>
        </w:rPr>
        <w:t>sitagliptin</w:t>
      </w:r>
      <w:proofErr w:type="spellEnd"/>
      <w:r w:rsidRPr="006F1FB6">
        <w:rPr>
          <w:sz w:val="24"/>
          <w:szCs w:val="24"/>
        </w:rPr>
        <w:t xml:space="preserve"> 100 mg gav ikke en signifikant forbedring i HbA</w:t>
      </w:r>
      <w:r w:rsidRPr="006F1FB6">
        <w:rPr>
          <w:sz w:val="24"/>
          <w:szCs w:val="24"/>
          <w:vertAlign w:val="subscript"/>
        </w:rPr>
        <w:t>1c</w:t>
      </w:r>
      <w:r w:rsidRPr="006F1FB6">
        <w:rPr>
          <w:sz w:val="24"/>
          <w:szCs w:val="24"/>
        </w:rPr>
        <w:t xml:space="preserve"> efter 20 uger. Reduktionen i HbA</w:t>
      </w:r>
      <w:r w:rsidRPr="006F1FB6">
        <w:rPr>
          <w:sz w:val="24"/>
          <w:szCs w:val="24"/>
          <w:vertAlign w:val="subscript"/>
        </w:rPr>
        <w:t>1c</w:t>
      </w:r>
      <w:r w:rsidRPr="006F1FB6">
        <w:rPr>
          <w:sz w:val="24"/>
          <w:szCs w:val="24"/>
        </w:rPr>
        <w:t xml:space="preserve"> hos patienter i behandling med </w:t>
      </w:r>
      <w:proofErr w:type="spellStart"/>
      <w:r w:rsidRPr="006F1FB6">
        <w:rPr>
          <w:sz w:val="24"/>
          <w:szCs w:val="24"/>
        </w:rPr>
        <w:t>sitagliptin</w:t>
      </w:r>
      <w:proofErr w:type="spellEnd"/>
      <w:r w:rsidRPr="006F1FB6">
        <w:rPr>
          <w:sz w:val="24"/>
          <w:szCs w:val="24"/>
        </w:rPr>
        <w:t xml:space="preserve"> (N=95) var 0,0</w:t>
      </w:r>
      <w:r>
        <w:rPr>
          <w:sz w:val="24"/>
          <w:szCs w:val="24"/>
        </w:rPr>
        <w:t xml:space="preserve"> %</w:t>
      </w:r>
      <w:r w:rsidRPr="006F1FB6">
        <w:rPr>
          <w:sz w:val="24"/>
          <w:szCs w:val="24"/>
        </w:rPr>
        <w:t xml:space="preserve"> sammenlignet med 0,2</w:t>
      </w:r>
      <w:r>
        <w:rPr>
          <w:sz w:val="24"/>
          <w:szCs w:val="24"/>
        </w:rPr>
        <w:t xml:space="preserve"> %</w:t>
      </w:r>
      <w:r w:rsidRPr="006F1FB6">
        <w:rPr>
          <w:sz w:val="24"/>
          <w:szCs w:val="24"/>
        </w:rPr>
        <w:t xml:space="preserve"> hos patienter i behandling med placebo (N=95), en forskel på -0,2</w:t>
      </w:r>
      <w:r>
        <w:rPr>
          <w:sz w:val="24"/>
          <w:szCs w:val="24"/>
        </w:rPr>
        <w:t xml:space="preserve"> %</w:t>
      </w:r>
      <w:r w:rsidRPr="006F1FB6">
        <w:rPr>
          <w:sz w:val="24"/>
          <w:szCs w:val="24"/>
        </w:rPr>
        <w:t xml:space="preserve"> (95</w:t>
      </w:r>
      <w:r>
        <w:rPr>
          <w:sz w:val="24"/>
          <w:szCs w:val="24"/>
        </w:rPr>
        <w:t xml:space="preserve"> %</w:t>
      </w:r>
      <w:r w:rsidRPr="006F1FB6">
        <w:rPr>
          <w:sz w:val="24"/>
          <w:szCs w:val="24"/>
        </w:rPr>
        <w:t xml:space="preserve"> CI: -0,7; 0,3). Se pkt. 4.2.</w:t>
      </w:r>
    </w:p>
    <w:p w14:paraId="116C6DB9" w14:textId="77777777" w:rsidR="009260DE" w:rsidRPr="00C84483" w:rsidRDefault="009260DE" w:rsidP="009260DE">
      <w:pPr>
        <w:tabs>
          <w:tab w:val="left" w:pos="851"/>
        </w:tabs>
        <w:ind w:left="851"/>
        <w:rPr>
          <w:sz w:val="24"/>
          <w:szCs w:val="24"/>
        </w:rPr>
      </w:pPr>
    </w:p>
    <w:p w14:paraId="07BA18B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D456667" w14:textId="77777777" w:rsidR="009026D6" w:rsidRDefault="009026D6" w:rsidP="009026D6">
      <w:pPr>
        <w:tabs>
          <w:tab w:val="left" w:pos="851"/>
        </w:tabs>
        <w:ind w:left="851"/>
        <w:rPr>
          <w:sz w:val="24"/>
          <w:szCs w:val="24"/>
          <w:u w:val="single"/>
        </w:rPr>
      </w:pPr>
    </w:p>
    <w:p w14:paraId="15A08D7A" w14:textId="19ABC230" w:rsidR="009026D6" w:rsidRPr="00D30677" w:rsidRDefault="009026D6" w:rsidP="009026D6">
      <w:pPr>
        <w:tabs>
          <w:tab w:val="left" w:pos="851"/>
        </w:tabs>
        <w:ind w:left="851"/>
        <w:rPr>
          <w:sz w:val="24"/>
          <w:szCs w:val="24"/>
          <w:u w:val="single"/>
        </w:rPr>
      </w:pPr>
      <w:r w:rsidRPr="00D30677">
        <w:rPr>
          <w:sz w:val="24"/>
          <w:szCs w:val="24"/>
          <w:u w:val="single"/>
        </w:rPr>
        <w:t>Absorption</w:t>
      </w:r>
    </w:p>
    <w:p w14:paraId="4B603D30" w14:textId="77777777" w:rsidR="009026D6" w:rsidRPr="00D30677" w:rsidRDefault="009026D6" w:rsidP="009026D6">
      <w:pPr>
        <w:tabs>
          <w:tab w:val="left" w:pos="851"/>
        </w:tabs>
        <w:ind w:left="851"/>
        <w:rPr>
          <w:sz w:val="24"/>
          <w:szCs w:val="24"/>
        </w:rPr>
      </w:pPr>
      <w:r w:rsidRPr="00D30677">
        <w:rPr>
          <w:sz w:val="24"/>
          <w:szCs w:val="24"/>
        </w:rPr>
        <w:t xml:space="preserve">Efter oral administration af en 100 mg dosis til raske personer absorberedes </w:t>
      </w:r>
      <w:proofErr w:type="spellStart"/>
      <w:r w:rsidRPr="00D30677">
        <w:rPr>
          <w:sz w:val="24"/>
          <w:szCs w:val="24"/>
        </w:rPr>
        <w:t>sitagliptin</w:t>
      </w:r>
      <w:proofErr w:type="spellEnd"/>
      <w:r w:rsidRPr="00D30677">
        <w:rPr>
          <w:sz w:val="24"/>
          <w:szCs w:val="24"/>
        </w:rPr>
        <w:t xml:space="preserve"> hurtigt. Peak-plasmakoncentrationer (median </w:t>
      </w:r>
      <w:proofErr w:type="spellStart"/>
      <w:r w:rsidRPr="00D30677">
        <w:rPr>
          <w:sz w:val="24"/>
          <w:szCs w:val="24"/>
        </w:rPr>
        <w:t>T</w:t>
      </w:r>
      <w:r w:rsidRPr="00D30677">
        <w:rPr>
          <w:sz w:val="24"/>
          <w:szCs w:val="24"/>
          <w:vertAlign w:val="subscript"/>
        </w:rPr>
        <w:t>max</w:t>
      </w:r>
      <w:proofErr w:type="spellEnd"/>
      <w:r w:rsidRPr="00D30677">
        <w:rPr>
          <w:sz w:val="24"/>
          <w:szCs w:val="24"/>
        </w:rPr>
        <w:t xml:space="preserve">) forekom 1-4 timer efter dosering, </w:t>
      </w:r>
      <w:r w:rsidRPr="00D30677">
        <w:rPr>
          <w:sz w:val="24"/>
          <w:szCs w:val="24"/>
        </w:rPr>
        <w:lastRenderedPageBreak/>
        <w:t xml:space="preserve">gennemsnitlig plasma-AUC for </w:t>
      </w:r>
      <w:proofErr w:type="spellStart"/>
      <w:r w:rsidRPr="00D30677">
        <w:rPr>
          <w:sz w:val="24"/>
          <w:szCs w:val="24"/>
        </w:rPr>
        <w:t>sitagliptin</w:t>
      </w:r>
      <w:proofErr w:type="spellEnd"/>
      <w:r w:rsidRPr="00D30677">
        <w:rPr>
          <w:sz w:val="24"/>
          <w:szCs w:val="24"/>
        </w:rPr>
        <w:t xml:space="preserve"> var 8,52 µ</w:t>
      </w:r>
      <w:proofErr w:type="spellStart"/>
      <w:r w:rsidRPr="00D30677">
        <w:rPr>
          <w:sz w:val="24"/>
          <w:szCs w:val="24"/>
        </w:rPr>
        <w:t>M×t</w:t>
      </w:r>
      <w:proofErr w:type="spellEnd"/>
      <w:r w:rsidRPr="00D30677">
        <w:rPr>
          <w:sz w:val="24"/>
          <w:szCs w:val="24"/>
        </w:rPr>
        <w:t xml:space="preserve">, </w:t>
      </w:r>
      <w:proofErr w:type="spellStart"/>
      <w:r w:rsidRPr="00D30677">
        <w:rPr>
          <w:sz w:val="24"/>
          <w:szCs w:val="24"/>
        </w:rPr>
        <w:t>C</w:t>
      </w:r>
      <w:r w:rsidRPr="00D30677">
        <w:rPr>
          <w:sz w:val="24"/>
          <w:szCs w:val="24"/>
          <w:vertAlign w:val="subscript"/>
        </w:rPr>
        <w:t>max</w:t>
      </w:r>
      <w:proofErr w:type="spellEnd"/>
      <w:r w:rsidRPr="00D30677">
        <w:rPr>
          <w:sz w:val="24"/>
          <w:szCs w:val="24"/>
        </w:rPr>
        <w:t xml:space="preserve"> var 950 </w:t>
      </w:r>
      <w:proofErr w:type="spellStart"/>
      <w:r w:rsidRPr="00D30677">
        <w:rPr>
          <w:sz w:val="24"/>
          <w:szCs w:val="24"/>
        </w:rPr>
        <w:t>nM</w:t>
      </w:r>
      <w:proofErr w:type="spellEnd"/>
      <w:r w:rsidRPr="00D30677">
        <w:rPr>
          <w:sz w:val="24"/>
          <w:szCs w:val="24"/>
        </w:rPr>
        <w:t xml:space="preserve">. </w:t>
      </w:r>
      <w:proofErr w:type="spellStart"/>
      <w:r w:rsidRPr="00D30677">
        <w:rPr>
          <w:sz w:val="24"/>
          <w:szCs w:val="24"/>
        </w:rPr>
        <w:t>Sitagliptins</w:t>
      </w:r>
      <w:proofErr w:type="spellEnd"/>
      <w:r w:rsidRPr="00D30677">
        <w:rPr>
          <w:sz w:val="24"/>
          <w:szCs w:val="24"/>
        </w:rPr>
        <w:t xml:space="preserve"> absolutte biotilgængelighed er ca. 87</w:t>
      </w:r>
      <w:r>
        <w:rPr>
          <w:sz w:val="24"/>
          <w:szCs w:val="24"/>
        </w:rPr>
        <w:t xml:space="preserve"> %</w:t>
      </w:r>
      <w:r w:rsidRPr="00D30677">
        <w:rPr>
          <w:sz w:val="24"/>
          <w:szCs w:val="24"/>
        </w:rPr>
        <w:t xml:space="preserve">. Eftersom samtidig administration af et fedtrigt måltid sammen med </w:t>
      </w:r>
      <w:proofErr w:type="spellStart"/>
      <w:r w:rsidRPr="00D30677">
        <w:rPr>
          <w:sz w:val="24"/>
          <w:szCs w:val="24"/>
        </w:rPr>
        <w:t>sitagliptin</w:t>
      </w:r>
      <w:proofErr w:type="spellEnd"/>
      <w:r w:rsidRPr="00D30677">
        <w:rPr>
          <w:sz w:val="24"/>
          <w:szCs w:val="24"/>
        </w:rPr>
        <w:t xml:space="preserve"> ikke havde nogen effekt på farmakokinetikken, kan </w:t>
      </w: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D30677">
        <w:rPr>
          <w:sz w:val="24"/>
          <w:szCs w:val="24"/>
        </w:rPr>
        <w:t xml:space="preserve"> administreres med eller uden mad.</w:t>
      </w:r>
    </w:p>
    <w:p w14:paraId="4618394C" w14:textId="77777777" w:rsidR="009026D6" w:rsidRPr="00D30677" w:rsidRDefault="009026D6" w:rsidP="009026D6">
      <w:pPr>
        <w:tabs>
          <w:tab w:val="left" w:pos="851"/>
        </w:tabs>
        <w:ind w:left="851"/>
        <w:rPr>
          <w:sz w:val="24"/>
          <w:szCs w:val="24"/>
        </w:rPr>
      </w:pPr>
    </w:p>
    <w:p w14:paraId="2A5AF0CD" w14:textId="77777777" w:rsidR="009026D6" w:rsidRPr="00D30677" w:rsidRDefault="009026D6" w:rsidP="009026D6">
      <w:pPr>
        <w:tabs>
          <w:tab w:val="left" w:pos="851"/>
        </w:tabs>
        <w:ind w:left="851"/>
        <w:rPr>
          <w:sz w:val="24"/>
          <w:szCs w:val="24"/>
        </w:rPr>
      </w:pPr>
      <w:r w:rsidRPr="00D30677">
        <w:rPr>
          <w:sz w:val="24"/>
          <w:szCs w:val="24"/>
        </w:rPr>
        <w:t xml:space="preserve">Plasma-AUC for </w:t>
      </w:r>
      <w:proofErr w:type="spellStart"/>
      <w:r w:rsidRPr="00D30677">
        <w:rPr>
          <w:sz w:val="24"/>
          <w:szCs w:val="24"/>
        </w:rPr>
        <w:t>sitagliptin</w:t>
      </w:r>
      <w:proofErr w:type="spellEnd"/>
      <w:r w:rsidRPr="00D30677">
        <w:rPr>
          <w:sz w:val="24"/>
          <w:szCs w:val="24"/>
        </w:rPr>
        <w:t xml:space="preserve"> øgedes proportionalt med dosis. Dosisproportionaliteten blev ikke fastslået for </w:t>
      </w:r>
      <w:proofErr w:type="spellStart"/>
      <w:r w:rsidRPr="00D30677">
        <w:rPr>
          <w:sz w:val="24"/>
          <w:szCs w:val="24"/>
        </w:rPr>
        <w:t>C</w:t>
      </w:r>
      <w:r w:rsidRPr="00D30677">
        <w:rPr>
          <w:sz w:val="24"/>
          <w:szCs w:val="24"/>
          <w:vertAlign w:val="subscript"/>
        </w:rPr>
        <w:t>max</w:t>
      </w:r>
      <w:proofErr w:type="spellEnd"/>
      <w:r w:rsidRPr="00D30677">
        <w:rPr>
          <w:sz w:val="24"/>
          <w:szCs w:val="24"/>
        </w:rPr>
        <w:t xml:space="preserve"> og C</w:t>
      </w:r>
      <w:r w:rsidRPr="00D30677">
        <w:rPr>
          <w:sz w:val="24"/>
          <w:szCs w:val="24"/>
          <w:vertAlign w:val="subscript"/>
        </w:rPr>
        <w:t>24t</w:t>
      </w:r>
      <w:r w:rsidRPr="00D30677">
        <w:rPr>
          <w:sz w:val="24"/>
          <w:szCs w:val="24"/>
        </w:rPr>
        <w:t xml:space="preserve"> (</w:t>
      </w:r>
      <w:proofErr w:type="spellStart"/>
      <w:r w:rsidRPr="00D30677">
        <w:rPr>
          <w:sz w:val="24"/>
          <w:szCs w:val="24"/>
        </w:rPr>
        <w:t>C</w:t>
      </w:r>
      <w:r w:rsidRPr="00D30677">
        <w:rPr>
          <w:sz w:val="24"/>
          <w:szCs w:val="24"/>
          <w:vertAlign w:val="subscript"/>
        </w:rPr>
        <w:t>max</w:t>
      </w:r>
      <w:proofErr w:type="spellEnd"/>
      <w:r w:rsidRPr="00D30677">
        <w:rPr>
          <w:sz w:val="24"/>
          <w:szCs w:val="24"/>
        </w:rPr>
        <w:t xml:space="preserve"> øgedes mere end dosisproportionalt, og C</w:t>
      </w:r>
      <w:r w:rsidRPr="00D30677">
        <w:rPr>
          <w:sz w:val="24"/>
          <w:szCs w:val="24"/>
          <w:vertAlign w:val="subscript"/>
        </w:rPr>
        <w:t>24t</w:t>
      </w:r>
      <w:r w:rsidRPr="00D30677">
        <w:rPr>
          <w:sz w:val="24"/>
          <w:szCs w:val="24"/>
        </w:rPr>
        <w:t xml:space="preserve"> øgedes mindre end dosisproportionalt).</w:t>
      </w:r>
    </w:p>
    <w:p w14:paraId="7DD4BA4A" w14:textId="77777777" w:rsidR="009026D6" w:rsidRPr="00D30677" w:rsidRDefault="009026D6" w:rsidP="009026D6">
      <w:pPr>
        <w:tabs>
          <w:tab w:val="left" w:pos="851"/>
        </w:tabs>
        <w:ind w:left="851"/>
        <w:rPr>
          <w:sz w:val="24"/>
          <w:szCs w:val="24"/>
          <w:u w:val="single"/>
        </w:rPr>
      </w:pPr>
    </w:p>
    <w:p w14:paraId="64FBB692" w14:textId="77777777" w:rsidR="009026D6" w:rsidRPr="00D30677" w:rsidRDefault="009026D6" w:rsidP="009026D6">
      <w:pPr>
        <w:tabs>
          <w:tab w:val="left" w:pos="851"/>
        </w:tabs>
        <w:ind w:left="851"/>
        <w:rPr>
          <w:sz w:val="24"/>
          <w:szCs w:val="24"/>
          <w:u w:val="single"/>
        </w:rPr>
      </w:pPr>
      <w:r w:rsidRPr="00D30677">
        <w:rPr>
          <w:sz w:val="24"/>
          <w:szCs w:val="24"/>
          <w:u w:val="single"/>
        </w:rPr>
        <w:t>Fordeling</w:t>
      </w:r>
    </w:p>
    <w:p w14:paraId="2797EB76" w14:textId="77777777" w:rsidR="009026D6" w:rsidRPr="00D30677" w:rsidRDefault="009026D6" w:rsidP="009026D6">
      <w:pPr>
        <w:tabs>
          <w:tab w:val="left" w:pos="851"/>
        </w:tabs>
        <w:ind w:left="851"/>
        <w:rPr>
          <w:sz w:val="24"/>
          <w:szCs w:val="24"/>
        </w:rPr>
      </w:pPr>
      <w:r w:rsidRPr="00D30677">
        <w:rPr>
          <w:sz w:val="24"/>
          <w:szCs w:val="24"/>
        </w:rPr>
        <w:t xml:space="preserve">Det gennemsnitlige fordelingsvolumen ved </w:t>
      </w:r>
      <w:proofErr w:type="spellStart"/>
      <w:r w:rsidRPr="00D30677">
        <w:rPr>
          <w:i/>
          <w:iCs/>
          <w:sz w:val="24"/>
          <w:szCs w:val="24"/>
        </w:rPr>
        <w:t>steady</w:t>
      </w:r>
      <w:proofErr w:type="spellEnd"/>
      <w:r w:rsidRPr="00D30677">
        <w:rPr>
          <w:i/>
          <w:iCs/>
          <w:sz w:val="24"/>
          <w:szCs w:val="24"/>
        </w:rPr>
        <w:t xml:space="preserve"> </w:t>
      </w:r>
      <w:proofErr w:type="spellStart"/>
      <w:r w:rsidRPr="00D30677">
        <w:rPr>
          <w:i/>
          <w:iCs/>
          <w:sz w:val="24"/>
          <w:szCs w:val="24"/>
        </w:rPr>
        <w:t>state</w:t>
      </w:r>
      <w:proofErr w:type="spellEnd"/>
      <w:r w:rsidRPr="00D30677">
        <w:rPr>
          <w:sz w:val="24"/>
          <w:szCs w:val="24"/>
        </w:rPr>
        <w:t xml:space="preserve"> efter en enkelt intravenøs dosis på 100 mg </w:t>
      </w:r>
      <w:proofErr w:type="spellStart"/>
      <w:r w:rsidRPr="00D30677">
        <w:rPr>
          <w:sz w:val="24"/>
          <w:szCs w:val="24"/>
        </w:rPr>
        <w:t>sitagliptin</w:t>
      </w:r>
      <w:proofErr w:type="spellEnd"/>
      <w:r w:rsidRPr="00D30677">
        <w:rPr>
          <w:sz w:val="24"/>
          <w:szCs w:val="24"/>
        </w:rPr>
        <w:t xml:space="preserve"> til raske personer er ca. 198 l. Den fraktion af </w:t>
      </w:r>
      <w:proofErr w:type="spellStart"/>
      <w:r w:rsidRPr="00D30677">
        <w:rPr>
          <w:sz w:val="24"/>
          <w:szCs w:val="24"/>
        </w:rPr>
        <w:t>sitagliptin</w:t>
      </w:r>
      <w:proofErr w:type="spellEnd"/>
      <w:r w:rsidRPr="00D30677">
        <w:rPr>
          <w:sz w:val="24"/>
          <w:szCs w:val="24"/>
        </w:rPr>
        <w:t>, som er reversibelt bundet til plasmaproteiner er lav (38</w:t>
      </w:r>
      <w:r>
        <w:rPr>
          <w:sz w:val="24"/>
          <w:szCs w:val="24"/>
        </w:rPr>
        <w:t xml:space="preserve"> %</w:t>
      </w:r>
      <w:r w:rsidRPr="00D30677">
        <w:rPr>
          <w:sz w:val="24"/>
          <w:szCs w:val="24"/>
        </w:rPr>
        <w:t>).</w:t>
      </w:r>
    </w:p>
    <w:p w14:paraId="0A30E157" w14:textId="77777777" w:rsidR="009026D6" w:rsidRPr="00D30677" w:rsidRDefault="009026D6" w:rsidP="009026D6">
      <w:pPr>
        <w:tabs>
          <w:tab w:val="left" w:pos="851"/>
        </w:tabs>
        <w:ind w:left="851"/>
        <w:rPr>
          <w:sz w:val="24"/>
          <w:szCs w:val="24"/>
        </w:rPr>
      </w:pPr>
    </w:p>
    <w:p w14:paraId="1041876C" w14:textId="77777777" w:rsidR="009026D6" w:rsidRPr="00D30677" w:rsidRDefault="009026D6" w:rsidP="009026D6">
      <w:pPr>
        <w:tabs>
          <w:tab w:val="left" w:pos="851"/>
        </w:tabs>
        <w:ind w:left="851"/>
        <w:rPr>
          <w:sz w:val="24"/>
          <w:szCs w:val="24"/>
          <w:u w:val="single"/>
        </w:rPr>
      </w:pPr>
      <w:r w:rsidRPr="00D30677">
        <w:rPr>
          <w:sz w:val="24"/>
          <w:szCs w:val="24"/>
          <w:u w:val="single"/>
        </w:rPr>
        <w:t>Biotransformation</w:t>
      </w:r>
    </w:p>
    <w:p w14:paraId="3CF4F248" w14:textId="77777777" w:rsidR="009026D6" w:rsidRPr="00D30677" w:rsidRDefault="009026D6" w:rsidP="009026D6">
      <w:pPr>
        <w:tabs>
          <w:tab w:val="left" w:pos="851"/>
        </w:tabs>
        <w:ind w:left="851"/>
        <w:rPr>
          <w:sz w:val="24"/>
          <w:szCs w:val="24"/>
        </w:rPr>
      </w:pPr>
      <w:proofErr w:type="spellStart"/>
      <w:r w:rsidRPr="00D30677">
        <w:rPr>
          <w:sz w:val="24"/>
          <w:szCs w:val="24"/>
        </w:rPr>
        <w:t>Sitagliptin</w:t>
      </w:r>
      <w:proofErr w:type="spellEnd"/>
      <w:r w:rsidRPr="00D30677">
        <w:rPr>
          <w:sz w:val="24"/>
          <w:szCs w:val="24"/>
        </w:rPr>
        <w:t xml:space="preserve"> </w:t>
      </w:r>
      <w:proofErr w:type="spellStart"/>
      <w:r w:rsidRPr="00D30677">
        <w:rPr>
          <w:sz w:val="24"/>
          <w:szCs w:val="24"/>
        </w:rPr>
        <w:t>metaboliseres</w:t>
      </w:r>
      <w:proofErr w:type="spellEnd"/>
      <w:r w:rsidRPr="00D30677">
        <w:rPr>
          <w:sz w:val="24"/>
          <w:szCs w:val="24"/>
        </w:rPr>
        <w:t xml:space="preserve"> i mindre grad og elimineres primært uændret i urinen. Ca. 79</w:t>
      </w:r>
      <w:r>
        <w:rPr>
          <w:sz w:val="24"/>
          <w:szCs w:val="24"/>
        </w:rPr>
        <w:t xml:space="preserve"> %</w:t>
      </w:r>
      <w:r w:rsidRPr="00D30677">
        <w:rPr>
          <w:sz w:val="24"/>
          <w:szCs w:val="24"/>
        </w:rPr>
        <w:t xml:space="preserve"> af </w:t>
      </w:r>
      <w:proofErr w:type="spellStart"/>
      <w:r w:rsidRPr="00D30677">
        <w:rPr>
          <w:sz w:val="24"/>
          <w:szCs w:val="24"/>
        </w:rPr>
        <w:t>sitagliptin</w:t>
      </w:r>
      <w:proofErr w:type="spellEnd"/>
      <w:r w:rsidRPr="00D30677">
        <w:rPr>
          <w:sz w:val="24"/>
          <w:szCs w:val="24"/>
        </w:rPr>
        <w:t xml:space="preserve"> udskilles uændret i urinen.</w:t>
      </w:r>
    </w:p>
    <w:p w14:paraId="1BFF88E7" w14:textId="77777777" w:rsidR="009026D6" w:rsidRPr="00D30677" w:rsidRDefault="009026D6" w:rsidP="009026D6">
      <w:pPr>
        <w:tabs>
          <w:tab w:val="left" w:pos="851"/>
        </w:tabs>
        <w:ind w:left="851"/>
        <w:rPr>
          <w:sz w:val="24"/>
          <w:szCs w:val="24"/>
        </w:rPr>
      </w:pPr>
    </w:p>
    <w:p w14:paraId="3533CA1B" w14:textId="77777777" w:rsidR="009026D6" w:rsidRPr="00D30677" w:rsidRDefault="009026D6" w:rsidP="009026D6">
      <w:pPr>
        <w:tabs>
          <w:tab w:val="left" w:pos="851"/>
        </w:tabs>
        <w:ind w:left="851"/>
        <w:rPr>
          <w:sz w:val="24"/>
          <w:szCs w:val="24"/>
        </w:rPr>
      </w:pPr>
      <w:r w:rsidRPr="00D30677">
        <w:rPr>
          <w:sz w:val="24"/>
          <w:szCs w:val="24"/>
        </w:rPr>
        <w:t>Efter en [</w:t>
      </w:r>
      <w:r w:rsidRPr="00D30677">
        <w:rPr>
          <w:sz w:val="24"/>
          <w:szCs w:val="24"/>
          <w:vertAlign w:val="superscript"/>
        </w:rPr>
        <w:t>14</w:t>
      </w:r>
      <w:r w:rsidRPr="00D30677">
        <w:rPr>
          <w:sz w:val="24"/>
          <w:szCs w:val="24"/>
        </w:rPr>
        <w:t xml:space="preserve">C] oral </w:t>
      </w:r>
      <w:proofErr w:type="spellStart"/>
      <w:r w:rsidRPr="00D30677">
        <w:rPr>
          <w:sz w:val="24"/>
          <w:szCs w:val="24"/>
        </w:rPr>
        <w:t>sitagliptin</w:t>
      </w:r>
      <w:proofErr w:type="spellEnd"/>
      <w:r w:rsidRPr="00D30677">
        <w:rPr>
          <w:sz w:val="24"/>
          <w:szCs w:val="24"/>
        </w:rPr>
        <w:t>-dosis udskiltes ca. 16</w:t>
      </w:r>
      <w:r>
        <w:rPr>
          <w:sz w:val="24"/>
          <w:szCs w:val="24"/>
        </w:rPr>
        <w:t xml:space="preserve"> %</w:t>
      </w:r>
      <w:r w:rsidRPr="00D30677">
        <w:rPr>
          <w:sz w:val="24"/>
          <w:szCs w:val="24"/>
        </w:rPr>
        <w:t xml:space="preserve"> af radioaktiviteten som </w:t>
      </w:r>
      <w:proofErr w:type="spellStart"/>
      <w:r w:rsidRPr="00D30677">
        <w:rPr>
          <w:sz w:val="24"/>
          <w:szCs w:val="24"/>
        </w:rPr>
        <w:t>sitagliptin</w:t>
      </w:r>
      <w:proofErr w:type="spellEnd"/>
      <w:r w:rsidRPr="00D30677">
        <w:rPr>
          <w:sz w:val="24"/>
          <w:szCs w:val="24"/>
        </w:rPr>
        <w:t xml:space="preserve"> metabolitter. Seks metabolitter blev påvist på sporstofniveau og forventes ikke at bidrage til </w:t>
      </w:r>
      <w:proofErr w:type="spellStart"/>
      <w:r w:rsidRPr="00D30677">
        <w:rPr>
          <w:sz w:val="24"/>
          <w:szCs w:val="24"/>
        </w:rPr>
        <w:t>sitagliptins</w:t>
      </w:r>
      <w:proofErr w:type="spellEnd"/>
      <w:r w:rsidRPr="00D30677">
        <w:rPr>
          <w:sz w:val="24"/>
          <w:szCs w:val="24"/>
        </w:rPr>
        <w:t xml:space="preserve"> DPP-4-hæmmende aktivitet i plasma. </w:t>
      </w:r>
      <w:r w:rsidRPr="00D30677">
        <w:rPr>
          <w:i/>
          <w:iCs/>
          <w:sz w:val="24"/>
          <w:szCs w:val="24"/>
        </w:rPr>
        <w:t xml:space="preserve">In </w:t>
      </w:r>
      <w:proofErr w:type="spellStart"/>
      <w:r w:rsidRPr="00D30677">
        <w:rPr>
          <w:i/>
          <w:iCs/>
          <w:sz w:val="24"/>
          <w:szCs w:val="24"/>
        </w:rPr>
        <w:t>vitro</w:t>
      </w:r>
      <w:proofErr w:type="spellEnd"/>
      <w:r w:rsidRPr="00D30677">
        <w:rPr>
          <w:sz w:val="24"/>
          <w:szCs w:val="24"/>
        </w:rPr>
        <w:t xml:space="preserve">-undersøgelser indikerede, at det enzym, der primært er ansvarlig for </w:t>
      </w:r>
      <w:proofErr w:type="spellStart"/>
      <w:r w:rsidRPr="00D30677">
        <w:rPr>
          <w:sz w:val="24"/>
          <w:szCs w:val="24"/>
        </w:rPr>
        <w:t>sitagliptins</w:t>
      </w:r>
      <w:proofErr w:type="spellEnd"/>
      <w:r w:rsidRPr="00D30677">
        <w:rPr>
          <w:sz w:val="24"/>
          <w:szCs w:val="24"/>
        </w:rPr>
        <w:t xml:space="preserve"> begrænsede </w:t>
      </w:r>
      <w:proofErr w:type="spellStart"/>
      <w:r w:rsidRPr="00D30677">
        <w:rPr>
          <w:sz w:val="24"/>
          <w:szCs w:val="24"/>
        </w:rPr>
        <w:t>metabolisering</w:t>
      </w:r>
      <w:proofErr w:type="spellEnd"/>
      <w:r w:rsidRPr="00D30677">
        <w:rPr>
          <w:sz w:val="24"/>
          <w:szCs w:val="24"/>
        </w:rPr>
        <w:t xml:space="preserve"> er CYP3A4, med medvirken fra CYP2C8.</w:t>
      </w:r>
    </w:p>
    <w:p w14:paraId="1EDD2C87" w14:textId="77777777" w:rsidR="009026D6" w:rsidRPr="00D30677" w:rsidRDefault="009026D6" w:rsidP="009026D6">
      <w:pPr>
        <w:tabs>
          <w:tab w:val="left" w:pos="851"/>
        </w:tabs>
        <w:ind w:left="851"/>
        <w:rPr>
          <w:sz w:val="24"/>
          <w:szCs w:val="24"/>
        </w:rPr>
      </w:pPr>
    </w:p>
    <w:p w14:paraId="2601EBCB" w14:textId="77777777" w:rsidR="009026D6" w:rsidRPr="00D30677" w:rsidRDefault="009026D6" w:rsidP="009026D6">
      <w:pPr>
        <w:tabs>
          <w:tab w:val="left" w:pos="851"/>
        </w:tabs>
        <w:ind w:left="851"/>
        <w:rPr>
          <w:sz w:val="24"/>
          <w:szCs w:val="24"/>
        </w:rPr>
      </w:pPr>
      <w:r w:rsidRPr="00D30677">
        <w:rPr>
          <w:i/>
          <w:iCs/>
          <w:sz w:val="24"/>
          <w:szCs w:val="24"/>
        </w:rPr>
        <w:t xml:space="preserve">In </w:t>
      </w:r>
      <w:proofErr w:type="spellStart"/>
      <w:r w:rsidRPr="00D30677">
        <w:rPr>
          <w:i/>
          <w:iCs/>
          <w:sz w:val="24"/>
          <w:szCs w:val="24"/>
        </w:rPr>
        <w:t>vitro</w:t>
      </w:r>
      <w:proofErr w:type="spellEnd"/>
      <w:r w:rsidRPr="00D30677">
        <w:rPr>
          <w:sz w:val="24"/>
          <w:szCs w:val="24"/>
        </w:rPr>
        <w:t xml:space="preserve">-data viste, at </w:t>
      </w:r>
      <w:proofErr w:type="spellStart"/>
      <w:r w:rsidRPr="00D30677">
        <w:rPr>
          <w:sz w:val="24"/>
          <w:szCs w:val="24"/>
        </w:rPr>
        <w:t>sitagliptin</w:t>
      </w:r>
      <w:proofErr w:type="spellEnd"/>
      <w:r w:rsidRPr="00D30677">
        <w:rPr>
          <w:sz w:val="24"/>
          <w:szCs w:val="24"/>
        </w:rPr>
        <w:t xml:space="preserve"> ikke er en hæmmer af CYP-</w:t>
      </w:r>
      <w:proofErr w:type="spellStart"/>
      <w:r w:rsidRPr="00D30677">
        <w:rPr>
          <w:sz w:val="24"/>
          <w:szCs w:val="24"/>
        </w:rPr>
        <w:t>isozymerne</w:t>
      </w:r>
      <w:proofErr w:type="spellEnd"/>
      <w:r w:rsidRPr="00D30677">
        <w:rPr>
          <w:sz w:val="24"/>
          <w:szCs w:val="24"/>
        </w:rPr>
        <w:t xml:space="preserve"> CYP3A4, 2C8, 2C9, 2D6, 1A2, 2C19 eller 2B6, og det inducerer ikke CYP3A4 og CYP1A2.</w:t>
      </w:r>
    </w:p>
    <w:p w14:paraId="32BF9FCA" w14:textId="77777777" w:rsidR="009026D6" w:rsidRPr="00D30677" w:rsidRDefault="009026D6" w:rsidP="009026D6">
      <w:pPr>
        <w:tabs>
          <w:tab w:val="left" w:pos="851"/>
        </w:tabs>
        <w:ind w:left="851"/>
        <w:rPr>
          <w:sz w:val="24"/>
          <w:szCs w:val="24"/>
          <w:u w:val="single"/>
        </w:rPr>
      </w:pPr>
    </w:p>
    <w:p w14:paraId="7C61E870" w14:textId="77777777" w:rsidR="009026D6" w:rsidRPr="00D30677" w:rsidRDefault="009026D6" w:rsidP="009026D6">
      <w:pPr>
        <w:tabs>
          <w:tab w:val="left" w:pos="851"/>
        </w:tabs>
        <w:ind w:left="851"/>
        <w:rPr>
          <w:sz w:val="24"/>
          <w:szCs w:val="24"/>
          <w:u w:val="single"/>
        </w:rPr>
      </w:pPr>
      <w:r w:rsidRPr="00D30677">
        <w:rPr>
          <w:sz w:val="24"/>
          <w:szCs w:val="24"/>
          <w:u w:val="single"/>
        </w:rPr>
        <w:t>Elimination</w:t>
      </w:r>
    </w:p>
    <w:p w14:paraId="531F0BA5" w14:textId="77777777" w:rsidR="009026D6" w:rsidRPr="00D30677" w:rsidRDefault="009026D6" w:rsidP="009026D6">
      <w:pPr>
        <w:tabs>
          <w:tab w:val="left" w:pos="851"/>
        </w:tabs>
        <w:ind w:left="851"/>
        <w:rPr>
          <w:sz w:val="24"/>
          <w:szCs w:val="24"/>
        </w:rPr>
      </w:pPr>
      <w:r w:rsidRPr="00D30677">
        <w:rPr>
          <w:sz w:val="24"/>
          <w:szCs w:val="24"/>
        </w:rPr>
        <w:t>Efter administration af en oral [</w:t>
      </w:r>
      <w:r w:rsidRPr="00D30677">
        <w:rPr>
          <w:sz w:val="24"/>
          <w:szCs w:val="24"/>
          <w:vertAlign w:val="superscript"/>
        </w:rPr>
        <w:t>14</w:t>
      </w:r>
      <w:r w:rsidRPr="00D30677">
        <w:rPr>
          <w:sz w:val="24"/>
          <w:szCs w:val="24"/>
        </w:rPr>
        <w:t>C] </w:t>
      </w:r>
      <w:proofErr w:type="spellStart"/>
      <w:r w:rsidRPr="00D30677">
        <w:rPr>
          <w:sz w:val="24"/>
          <w:szCs w:val="24"/>
        </w:rPr>
        <w:t>sitagliptin</w:t>
      </w:r>
      <w:proofErr w:type="spellEnd"/>
      <w:r w:rsidRPr="00D30677">
        <w:rPr>
          <w:sz w:val="24"/>
          <w:szCs w:val="24"/>
        </w:rPr>
        <w:t>-dosis til raske personer elimineredes ca. 100</w:t>
      </w:r>
      <w:r>
        <w:rPr>
          <w:sz w:val="24"/>
          <w:szCs w:val="24"/>
        </w:rPr>
        <w:t xml:space="preserve"> %</w:t>
      </w:r>
      <w:r w:rsidRPr="00D30677">
        <w:rPr>
          <w:sz w:val="24"/>
          <w:szCs w:val="24"/>
        </w:rPr>
        <w:t xml:space="preserve"> af den administrerede radioaktivitet i fæces (13</w:t>
      </w:r>
      <w:r>
        <w:rPr>
          <w:sz w:val="24"/>
          <w:szCs w:val="24"/>
        </w:rPr>
        <w:t xml:space="preserve"> %</w:t>
      </w:r>
      <w:r w:rsidRPr="00D30677">
        <w:rPr>
          <w:sz w:val="24"/>
          <w:szCs w:val="24"/>
        </w:rPr>
        <w:t>) eller urin (87</w:t>
      </w:r>
      <w:r>
        <w:rPr>
          <w:sz w:val="24"/>
          <w:szCs w:val="24"/>
        </w:rPr>
        <w:t xml:space="preserve"> %</w:t>
      </w:r>
      <w:r w:rsidRPr="00D30677">
        <w:rPr>
          <w:sz w:val="24"/>
          <w:szCs w:val="24"/>
        </w:rPr>
        <w:t>) inden for en uge efter dosering. Den tilsyneladende terminale halveringstid (t</w:t>
      </w:r>
      <w:r w:rsidRPr="00D30677">
        <w:rPr>
          <w:sz w:val="24"/>
          <w:szCs w:val="24"/>
          <w:vertAlign w:val="subscript"/>
        </w:rPr>
        <w:t>½</w:t>
      </w:r>
      <w:r w:rsidRPr="00D30677">
        <w:rPr>
          <w:sz w:val="24"/>
          <w:szCs w:val="24"/>
        </w:rPr>
        <w:t xml:space="preserve">) efter indgift af en 100 mg oral dosis </w:t>
      </w:r>
      <w:proofErr w:type="spellStart"/>
      <w:r w:rsidRPr="00D30677">
        <w:rPr>
          <w:sz w:val="24"/>
          <w:szCs w:val="24"/>
        </w:rPr>
        <w:t>sitagliptin</w:t>
      </w:r>
      <w:proofErr w:type="spellEnd"/>
      <w:r w:rsidRPr="00D30677">
        <w:rPr>
          <w:sz w:val="24"/>
          <w:szCs w:val="24"/>
        </w:rPr>
        <w:t xml:space="preserve"> var ca. 12,4 timer. </w:t>
      </w:r>
      <w:proofErr w:type="spellStart"/>
      <w:r w:rsidRPr="00D30677">
        <w:rPr>
          <w:sz w:val="24"/>
          <w:szCs w:val="24"/>
        </w:rPr>
        <w:t>Sitagliptin</w:t>
      </w:r>
      <w:proofErr w:type="spellEnd"/>
      <w:r w:rsidRPr="00D30677">
        <w:rPr>
          <w:sz w:val="24"/>
          <w:szCs w:val="24"/>
        </w:rPr>
        <w:t xml:space="preserve"> akkumuleres kun minimalt efter flere doser. Den </w:t>
      </w:r>
      <w:proofErr w:type="spellStart"/>
      <w:r w:rsidRPr="00D30677">
        <w:rPr>
          <w:sz w:val="24"/>
          <w:szCs w:val="24"/>
        </w:rPr>
        <w:t>renale</w:t>
      </w:r>
      <w:proofErr w:type="spellEnd"/>
      <w:r w:rsidRPr="00D30677">
        <w:rPr>
          <w:sz w:val="24"/>
          <w:szCs w:val="24"/>
        </w:rPr>
        <w:t xml:space="preserve"> </w:t>
      </w:r>
      <w:proofErr w:type="spellStart"/>
      <w:r w:rsidRPr="00D30677">
        <w:rPr>
          <w:sz w:val="24"/>
          <w:szCs w:val="24"/>
        </w:rPr>
        <w:t>clearance</w:t>
      </w:r>
      <w:proofErr w:type="spellEnd"/>
      <w:r w:rsidRPr="00D30677">
        <w:rPr>
          <w:sz w:val="24"/>
          <w:szCs w:val="24"/>
        </w:rPr>
        <w:t xml:space="preserve"> var ca. 350 ml/min.</w:t>
      </w:r>
    </w:p>
    <w:p w14:paraId="690E95A0" w14:textId="77777777" w:rsidR="009026D6" w:rsidRPr="00D30677" w:rsidRDefault="009026D6" w:rsidP="009026D6">
      <w:pPr>
        <w:tabs>
          <w:tab w:val="left" w:pos="851"/>
        </w:tabs>
        <w:ind w:left="851"/>
        <w:rPr>
          <w:sz w:val="24"/>
          <w:szCs w:val="24"/>
        </w:rPr>
      </w:pPr>
    </w:p>
    <w:p w14:paraId="6F8F0F69" w14:textId="77777777" w:rsidR="009026D6" w:rsidRPr="00D30677" w:rsidRDefault="009026D6" w:rsidP="009026D6">
      <w:pPr>
        <w:tabs>
          <w:tab w:val="left" w:pos="851"/>
        </w:tabs>
        <w:ind w:left="851"/>
        <w:rPr>
          <w:sz w:val="24"/>
          <w:szCs w:val="24"/>
        </w:rPr>
      </w:pPr>
      <w:r w:rsidRPr="00D30677">
        <w:rPr>
          <w:sz w:val="24"/>
          <w:szCs w:val="24"/>
        </w:rPr>
        <w:t xml:space="preserve">Elimination af </w:t>
      </w:r>
      <w:proofErr w:type="spellStart"/>
      <w:r w:rsidRPr="00D30677">
        <w:rPr>
          <w:sz w:val="24"/>
          <w:szCs w:val="24"/>
        </w:rPr>
        <w:t>sitagliptin</w:t>
      </w:r>
      <w:proofErr w:type="spellEnd"/>
      <w:r w:rsidRPr="00D30677">
        <w:rPr>
          <w:sz w:val="24"/>
          <w:szCs w:val="24"/>
        </w:rPr>
        <w:t xml:space="preserve"> foregår primært via </w:t>
      </w:r>
      <w:proofErr w:type="spellStart"/>
      <w:r w:rsidRPr="00D30677">
        <w:rPr>
          <w:sz w:val="24"/>
          <w:szCs w:val="24"/>
        </w:rPr>
        <w:t>renal</w:t>
      </w:r>
      <w:proofErr w:type="spellEnd"/>
      <w:r w:rsidRPr="00D30677">
        <w:rPr>
          <w:sz w:val="24"/>
          <w:szCs w:val="24"/>
        </w:rPr>
        <w:t xml:space="preserve"> udskillelse og omfatter aktiv </w:t>
      </w:r>
      <w:proofErr w:type="spellStart"/>
      <w:r w:rsidRPr="00D30677">
        <w:rPr>
          <w:sz w:val="24"/>
          <w:szCs w:val="24"/>
        </w:rPr>
        <w:t>tubulær</w:t>
      </w:r>
      <w:proofErr w:type="spellEnd"/>
      <w:r w:rsidRPr="00D30677">
        <w:rPr>
          <w:sz w:val="24"/>
          <w:szCs w:val="24"/>
        </w:rPr>
        <w:t xml:space="preserve"> sekretion. </w:t>
      </w:r>
      <w:proofErr w:type="spellStart"/>
      <w:r w:rsidRPr="00D30677">
        <w:rPr>
          <w:sz w:val="24"/>
          <w:szCs w:val="24"/>
        </w:rPr>
        <w:t>Sitagliptin</w:t>
      </w:r>
      <w:proofErr w:type="spellEnd"/>
      <w:r w:rsidRPr="00D30677">
        <w:rPr>
          <w:sz w:val="24"/>
          <w:szCs w:val="24"/>
        </w:rPr>
        <w:t xml:space="preserve"> er et substrat for humant organisk aniontransporter-3 (hOAT-3), som kan være involveret i den </w:t>
      </w:r>
      <w:proofErr w:type="spellStart"/>
      <w:r w:rsidRPr="00D30677">
        <w:rPr>
          <w:sz w:val="24"/>
          <w:szCs w:val="24"/>
        </w:rPr>
        <w:t>renale</w:t>
      </w:r>
      <w:proofErr w:type="spellEnd"/>
      <w:r w:rsidRPr="00D30677">
        <w:rPr>
          <w:sz w:val="24"/>
          <w:szCs w:val="24"/>
        </w:rPr>
        <w:t xml:space="preserve"> elimination af </w:t>
      </w:r>
      <w:proofErr w:type="spellStart"/>
      <w:r w:rsidRPr="00D30677">
        <w:rPr>
          <w:sz w:val="24"/>
          <w:szCs w:val="24"/>
        </w:rPr>
        <w:t>sitagliptin</w:t>
      </w:r>
      <w:proofErr w:type="spellEnd"/>
      <w:r w:rsidRPr="00D30677">
        <w:rPr>
          <w:sz w:val="24"/>
          <w:szCs w:val="24"/>
        </w:rPr>
        <w:t>. Den kliniske relevans af hOAT</w:t>
      </w:r>
      <w:r w:rsidRPr="00D30677">
        <w:rPr>
          <w:sz w:val="24"/>
          <w:szCs w:val="24"/>
        </w:rPr>
        <w:noBreakHyphen/>
        <w:t xml:space="preserve">3 i </w:t>
      </w:r>
      <w:proofErr w:type="spellStart"/>
      <w:r w:rsidRPr="00D30677">
        <w:rPr>
          <w:sz w:val="24"/>
          <w:szCs w:val="24"/>
        </w:rPr>
        <w:t>sitagliptin</w:t>
      </w:r>
      <w:proofErr w:type="spellEnd"/>
      <w:r w:rsidRPr="00D30677">
        <w:rPr>
          <w:sz w:val="24"/>
          <w:szCs w:val="24"/>
        </w:rPr>
        <w:t xml:space="preserve">-transport er ikke fastslået. </w:t>
      </w:r>
      <w:proofErr w:type="spellStart"/>
      <w:r w:rsidRPr="00D30677">
        <w:rPr>
          <w:sz w:val="24"/>
          <w:szCs w:val="24"/>
        </w:rPr>
        <w:t>Sitagliptin</w:t>
      </w:r>
      <w:proofErr w:type="spellEnd"/>
      <w:r w:rsidRPr="00D30677">
        <w:rPr>
          <w:sz w:val="24"/>
          <w:szCs w:val="24"/>
        </w:rPr>
        <w:t xml:space="preserve"> er også et substrat for P</w:t>
      </w:r>
      <w:r w:rsidRPr="00D30677">
        <w:rPr>
          <w:sz w:val="24"/>
          <w:szCs w:val="24"/>
        </w:rPr>
        <w:noBreakHyphen/>
      </w:r>
      <w:proofErr w:type="spellStart"/>
      <w:r w:rsidRPr="00D30677">
        <w:rPr>
          <w:sz w:val="24"/>
          <w:szCs w:val="24"/>
        </w:rPr>
        <w:t>glykoprotein</w:t>
      </w:r>
      <w:proofErr w:type="spellEnd"/>
      <w:r w:rsidRPr="00D30677">
        <w:rPr>
          <w:sz w:val="24"/>
          <w:szCs w:val="24"/>
        </w:rPr>
        <w:t xml:space="preserve">, som også kan være involveret i </w:t>
      </w:r>
      <w:proofErr w:type="spellStart"/>
      <w:r w:rsidRPr="00D30677">
        <w:rPr>
          <w:sz w:val="24"/>
          <w:szCs w:val="24"/>
        </w:rPr>
        <w:t>sitagliptins</w:t>
      </w:r>
      <w:proofErr w:type="spellEnd"/>
      <w:r w:rsidRPr="00D30677">
        <w:rPr>
          <w:sz w:val="24"/>
          <w:szCs w:val="24"/>
        </w:rPr>
        <w:t xml:space="preserve"> </w:t>
      </w:r>
      <w:proofErr w:type="spellStart"/>
      <w:r w:rsidRPr="00D30677">
        <w:rPr>
          <w:sz w:val="24"/>
          <w:szCs w:val="24"/>
        </w:rPr>
        <w:t>renale</w:t>
      </w:r>
      <w:proofErr w:type="spellEnd"/>
      <w:r w:rsidRPr="00D30677">
        <w:rPr>
          <w:sz w:val="24"/>
          <w:szCs w:val="24"/>
        </w:rPr>
        <w:t xml:space="preserve"> elimination. </w:t>
      </w:r>
      <w:proofErr w:type="spellStart"/>
      <w:r w:rsidRPr="00D30677">
        <w:rPr>
          <w:sz w:val="24"/>
          <w:szCs w:val="24"/>
        </w:rPr>
        <w:t>Ciclosporin</w:t>
      </w:r>
      <w:proofErr w:type="spellEnd"/>
      <w:r w:rsidRPr="00D30677">
        <w:rPr>
          <w:sz w:val="24"/>
          <w:szCs w:val="24"/>
        </w:rPr>
        <w:t>, en P-</w:t>
      </w:r>
      <w:proofErr w:type="spellStart"/>
      <w:r w:rsidRPr="00D30677">
        <w:rPr>
          <w:sz w:val="24"/>
          <w:szCs w:val="24"/>
        </w:rPr>
        <w:t>glykoproteinhæmmer</w:t>
      </w:r>
      <w:proofErr w:type="spellEnd"/>
      <w:r w:rsidRPr="00D30677">
        <w:rPr>
          <w:sz w:val="24"/>
          <w:szCs w:val="24"/>
        </w:rPr>
        <w:t xml:space="preserve">, reducerede dog ikke </w:t>
      </w:r>
      <w:proofErr w:type="spellStart"/>
      <w:r w:rsidRPr="00D30677">
        <w:rPr>
          <w:sz w:val="24"/>
          <w:szCs w:val="24"/>
        </w:rPr>
        <w:t>sitagliptins</w:t>
      </w:r>
      <w:proofErr w:type="spellEnd"/>
      <w:r w:rsidRPr="00D30677">
        <w:rPr>
          <w:sz w:val="24"/>
          <w:szCs w:val="24"/>
        </w:rPr>
        <w:t xml:space="preserve"> </w:t>
      </w:r>
      <w:proofErr w:type="spellStart"/>
      <w:r w:rsidRPr="00D30677">
        <w:rPr>
          <w:sz w:val="24"/>
          <w:szCs w:val="24"/>
        </w:rPr>
        <w:t>renale</w:t>
      </w:r>
      <w:proofErr w:type="spellEnd"/>
      <w:r w:rsidRPr="00D30677">
        <w:rPr>
          <w:sz w:val="24"/>
          <w:szCs w:val="24"/>
        </w:rPr>
        <w:t xml:space="preserve"> </w:t>
      </w:r>
      <w:proofErr w:type="spellStart"/>
      <w:r w:rsidRPr="00D30677">
        <w:rPr>
          <w:sz w:val="24"/>
          <w:szCs w:val="24"/>
        </w:rPr>
        <w:t>clearance</w:t>
      </w:r>
      <w:proofErr w:type="spellEnd"/>
      <w:r w:rsidRPr="00D30677">
        <w:rPr>
          <w:sz w:val="24"/>
          <w:szCs w:val="24"/>
        </w:rPr>
        <w:t xml:space="preserve">. </w:t>
      </w:r>
      <w:proofErr w:type="spellStart"/>
      <w:r w:rsidRPr="00D30677">
        <w:rPr>
          <w:sz w:val="24"/>
          <w:szCs w:val="24"/>
        </w:rPr>
        <w:t>Sitagliptin</w:t>
      </w:r>
      <w:proofErr w:type="spellEnd"/>
      <w:r w:rsidRPr="00D30677">
        <w:rPr>
          <w:sz w:val="24"/>
          <w:szCs w:val="24"/>
        </w:rPr>
        <w:t xml:space="preserve"> er ikke et substrat for OCT2, OAT1 eller PEPT1/2 transportere. </w:t>
      </w:r>
      <w:r w:rsidRPr="00D30677">
        <w:rPr>
          <w:i/>
          <w:iCs/>
          <w:sz w:val="24"/>
          <w:szCs w:val="24"/>
        </w:rPr>
        <w:t xml:space="preserve">In </w:t>
      </w:r>
      <w:proofErr w:type="spellStart"/>
      <w:r w:rsidRPr="00D30677">
        <w:rPr>
          <w:i/>
          <w:iCs/>
          <w:sz w:val="24"/>
          <w:szCs w:val="24"/>
        </w:rPr>
        <w:t>vitro</w:t>
      </w:r>
      <w:proofErr w:type="spellEnd"/>
      <w:r w:rsidRPr="00D30677">
        <w:rPr>
          <w:sz w:val="24"/>
          <w:szCs w:val="24"/>
        </w:rPr>
        <w:t xml:space="preserve"> hæmmede </w:t>
      </w:r>
      <w:proofErr w:type="spellStart"/>
      <w:r w:rsidRPr="00D30677">
        <w:rPr>
          <w:sz w:val="24"/>
          <w:szCs w:val="24"/>
        </w:rPr>
        <w:t>sitagliptin</w:t>
      </w:r>
      <w:proofErr w:type="spellEnd"/>
      <w:r w:rsidRPr="00D30677">
        <w:rPr>
          <w:sz w:val="24"/>
          <w:szCs w:val="24"/>
        </w:rPr>
        <w:t xml:space="preserve"> ikke OAT3 (IC50 = 160 µM) eller P-</w:t>
      </w:r>
      <w:proofErr w:type="spellStart"/>
      <w:r w:rsidRPr="00D30677">
        <w:rPr>
          <w:sz w:val="24"/>
          <w:szCs w:val="24"/>
        </w:rPr>
        <w:t>glykoprotein</w:t>
      </w:r>
      <w:proofErr w:type="spellEnd"/>
      <w:r w:rsidRPr="00D30677">
        <w:rPr>
          <w:sz w:val="24"/>
          <w:szCs w:val="24"/>
        </w:rPr>
        <w:t xml:space="preserve"> (op til 250 µM) medieret transport ved terapeutisk relevante plasmakoncentrationer. I en klinisk undersøgelse havde </w:t>
      </w:r>
      <w:proofErr w:type="spellStart"/>
      <w:r w:rsidRPr="00D30677">
        <w:rPr>
          <w:sz w:val="24"/>
          <w:szCs w:val="24"/>
        </w:rPr>
        <w:t>sitagliptin</w:t>
      </w:r>
      <w:proofErr w:type="spellEnd"/>
      <w:r w:rsidRPr="00D30677">
        <w:rPr>
          <w:sz w:val="24"/>
          <w:szCs w:val="24"/>
        </w:rPr>
        <w:t xml:space="preserve"> en lille effekt på </w:t>
      </w:r>
      <w:proofErr w:type="spellStart"/>
      <w:r w:rsidRPr="00D30677">
        <w:rPr>
          <w:sz w:val="24"/>
          <w:szCs w:val="24"/>
        </w:rPr>
        <w:t>digoxinkoncentrationerne</w:t>
      </w:r>
      <w:proofErr w:type="spellEnd"/>
      <w:r w:rsidRPr="00D30677">
        <w:rPr>
          <w:sz w:val="24"/>
          <w:szCs w:val="24"/>
        </w:rPr>
        <w:t xml:space="preserve"> i plasma, som tyder på, at </w:t>
      </w:r>
      <w:proofErr w:type="spellStart"/>
      <w:r w:rsidRPr="00D30677">
        <w:rPr>
          <w:sz w:val="24"/>
          <w:szCs w:val="24"/>
        </w:rPr>
        <w:t>sitagliptin</w:t>
      </w:r>
      <w:proofErr w:type="spellEnd"/>
      <w:r w:rsidRPr="00D30677">
        <w:rPr>
          <w:sz w:val="24"/>
          <w:szCs w:val="24"/>
        </w:rPr>
        <w:t xml:space="preserve"> kan være en svag hæmmer af P-</w:t>
      </w:r>
      <w:proofErr w:type="spellStart"/>
      <w:r w:rsidRPr="00D30677">
        <w:rPr>
          <w:sz w:val="24"/>
          <w:szCs w:val="24"/>
        </w:rPr>
        <w:t>glykoprotein</w:t>
      </w:r>
      <w:proofErr w:type="spellEnd"/>
      <w:r w:rsidRPr="00D30677">
        <w:rPr>
          <w:sz w:val="24"/>
          <w:szCs w:val="24"/>
        </w:rPr>
        <w:t>.</w:t>
      </w:r>
    </w:p>
    <w:p w14:paraId="5E4F2BC0" w14:textId="77777777" w:rsidR="009026D6" w:rsidRPr="00D30677" w:rsidRDefault="009026D6" w:rsidP="009026D6">
      <w:pPr>
        <w:tabs>
          <w:tab w:val="left" w:pos="851"/>
        </w:tabs>
        <w:ind w:left="851"/>
        <w:rPr>
          <w:sz w:val="24"/>
          <w:szCs w:val="24"/>
        </w:rPr>
      </w:pPr>
    </w:p>
    <w:p w14:paraId="1E4E414A" w14:textId="77777777" w:rsidR="009026D6" w:rsidRPr="00D30677" w:rsidRDefault="009026D6" w:rsidP="009026D6">
      <w:pPr>
        <w:tabs>
          <w:tab w:val="left" w:pos="851"/>
        </w:tabs>
        <w:ind w:left="851"/>
        <w:rPr>
          <w:sz w:val="24"/>
          <w:szCs w:val="24"/>
          <w:u w:val="single"/>
        </w:rPr>
      </w:pPr>
      <w:r w:rsidRPr="00D30677">
        <w:rPr>
          <w:sz w:val="24"/>
          <w:szCs w:val="24"/>
          <w:u w:val="single"/>
        </w:rPr>
        <w:t>Patientkarakteristika</w:t>
      </w:r>
    </w:p>
    <w:p w14:paraId="3B2B73DF" w14:textId="77777777" w:rsidR="009026D6" w:rsidRPr="00D30677" w:rsidRDefault="009026D6" w:rsidP="009026D6">
      <w:pPr>
        <w:tabs>
          <w:tab w:val="left" w:pos="851"/>
        </w:tabs>
        <w:ind w:left="851"/>
        <w:rPr>
          <w:sz w:val="24"/>
          <w:szCs w:val="24"/>
        </w:rPr>
      </w:pPr>
      <w:proofErr w:type="spellStart"/>
      <w:r w:rsidRPr="00D30677">
        <w:rPr>
          <w:sz w:val="24"/>
          <w:szCs w:val="24"/>
        </w:rPr>
        <w:t>Sitagliptins</w:t>
      </w:r>
      <w:proofErr w:type="spellEnd"/>
      <w:r w:rsidRPr="00D30677">
        <w:rPr>
          <w:sz w:val="24"/>
          <w:szCs w:val="24"/>
        </w:rPr>
        <w:t xml:space="preserve"> farmakokinetik var generelt den samme hos raske personer og hos patienter med type 2-diabetes.</w:t>
      </w:r>
    </w:p>
    <w:p w14:paraId="0D091080" w14:textId="146195E2" w:rsidR="0030235A" w:rsidRDefault="0030235A">
      <w:pPr>
        <w:rPr>
          <w:sz w:val="24"/>
          <w:szCs w:val="24"/>
        </w:rPr>
      </w:pPr>
      <w:r>
        <w:rPr>
          <w:sz w:val="24"/>
          <w:szCs w:val="24"/>
        </w:rPr>
        <w:br w:type="page"/>
      </w:r>
    </w:p>
    <w:p w14:paraId="7EBFA8E8" w14:textId="77777777" w:rsidR="009026D6" w:rsidRPr="00D30677" w:rsidRDefault="009026D6" w:rsidP="009026D6">
      <w:pPr>
        <w:rPr>
          <w:sz w:val="24"/>
          <w:szCs w:val="24"/>
        </w:rPr>
      </w:pPr>
    </w:p>
    <w:p w14:paraId="2FCAB3DA" w14:textId="77777777" w:rsidR="009026D6" w:rsidRPr="00D30677" w:rsidRDefault="009026D6" w:rsidP="009026D6">
      <w:pPr>
        <w:tabs>
          <w:tab w:val="left" w:pos="851"/>
        </w:tabs>
        <w:ind w:left="851"/>
        <w:rPr>
          <w:i/>
          <w:iCs/>
          <w:sz w:val="24"/>
          <w:szCs w:val="24"/>
        </w:rPr>
      </w:pPr>
      <w:r w:rsidRPr="00D30677">
        <w:rPr>
          <w:i/>
          <w:iCs/>
          <w:sz w:val="24"/>
          <w:szCs w:val="24"/>
        </w:rPr>
        <w:t>Nyreinsufficiens</w:t>
      </w:r>
    </w:p>
    <w:p w14:paraId="0E627243" w14:textId="77777777" w:rsidR="009026D6" w:rsidRPr="00D30677" w:rsidRDefault="009026D6" w:rsidP="009026D6">
      <w:pPr>
        <w:tabs>
          <w:tab w:val="left" w:pos="851"/>
        </w:tabs>
        <w:ind w:left="851"/>
        <w:rPr>
          <w:sz w:val="24"/>
          <w:szCs w:val="24"/>
        </w:rPr>
      </w:pPr>
      <w:r w:rsidRPr="00D30677">
        <w:rPr>
          <w:sz w:val="24"/>
          <w:szCs w:val="24"/>
        </w:rPr>
        <w:t xml:space="preserve">I en åben undersøgelse med enkeltdosis blev farmakokinetikken for en reduceret dosis </w:t>
      </w:r>
      <w:proofErr w:type="spellStart"/>
      <w:r w:rsidRPr="00D30677">
        <w:rPr>
          <w:sz w:val="24"/>
          <w:szCs w:val="24"/>
        </w:rPr>
        <w:t>sitagliptin</w:t>
      </w:r>
      <w:proofErr w:type="spellEnd"/>
      <w:r w:rsidRPr="00D30677">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D30677">
        <w:rPr>
          <w:sz w:val="24"/>
          <w:szCs w:val="24"/>
        </w:rPr>
        <w:t>sitagliptins</w:t>
      </w:r>
      <w:proofErr w:type="spellEnd"/>
      <w:r w:rsidRPr="00D30677">
        <w:rPr>
          <w:sz w:val="24"/>
          <w:szCs w:val="24"/>
        </w:rPr>
        <w:t xml:space="preserve"> farmakokinetik vurderet hos patienter med type 2-diabetes og let, moderat eller svær nyreinsufficiens (inklusive ESRD) ved hjælp af </w:t>
      </w:r>
      <w:proofErr w:type="spellStart"/>
      <w:r w:rsidRPr="00D30677">
        <w:rPr>
          <w:sz w:val="24"/>
          <w:szCs w:val="24"/>
        </w:rPr>
        <w:t>farmakokinetiske</w:t>
      </w:r>
      <w:proofErr w:type="spellEnd"/>
      <w:r w:rsidRPr="00D30677">
        <w:rPr>
          <w:sz w:val="24"/>
          <w:szCs w:val="24"/>
        </w:rPr>
        <w:t xml:space="preserve"> populationsanalyser.</w:t>
      </w:r>
    </w:p>
    <w:p w14:paraId="71C6336D" w14:textId="77777777" w:rsidR="009026D6" w:rsidRPr="00D30677" w:rsidRDefault="009026D6" w:rsidP="009026D6">
      <w:pPr>
        <w:tabs>
          <w:tab w:val="left" w:pos="851"/>
        </w:tabs>
        <w:ind w:left="851"/>
        <w:rPr>
          <w:sz w:val="24"/>
          <w:szCs w:val="24"/>
        </w:rPr>
      </w:pPr>
    </w:p>
    <w:p w14:paraId="5BAFDA8D" w14:textId="77777777" w:rsidR="009026D6" w:rsidRPr="00D30677" w:rsidRDefault="009026D6" w:rsidP="009026D6">
      <w:pPr>
        <w:tabs>
          <w:tab w:val="left" w:pos="851"/>
        </w:tabs>
        <w:ind w:left="851"/>
        <w:rPr>
          <w:sz w:val="24"/>
          <w:szCs w:val="24"/>
        </w:rPr>
      </w:pPr>
      <w:r w:rsidRPr="00D30677">
        <w:rPr>
          <w:sz w:val="24"/>
          <w:szCs w:val="24"/>
        </w:rPr>
        <w:t xml:space="preserve">Sammenlignet med normale raske kontrolpersoner steg </w:t>
      </w:r>
      <w:proofErr w:type="spellStart"/>
      <w:r w:rsidRPr="00D30677">
        <w:rPr>
          <w:sz w:val="24"/>
          <w:szCs w:val="24"/>
        </w:rPr>
        <w:t>sitagliptins</w:t>
      </w:r>
      <w:proofErr w:type="spellEnd"/>
      <w:r w:rsidRPr="00D30677">
        <w:rPr>
          <w:sz w:val="24"/>
          <w:szCs w:val="24"/>
        </w:rPr>
        <w:t xml:space="preserve">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04603A1A" w14:textId="77777777" w:rsidR="009026D6" w:rsidRPr="00D30677" w:rsidRDefault="009026D6" w:rsidP="009026D6">
      <w:pPr>
        <w:tabs>
          <w:tab w:val="left" w:pos="851"/>
        </w:tabs>
        <w:ind w:left="851"/>
        <w:rPr>
          <w:sz w:val="24"/>
          <w:szCs w:val="24"/>
        </w:rPr>
      </w:pPr>
    </w:p>
    <w:p w14:paraId="7AA1B9FA" w14:textId="77777777" w:rsidR="009026D6" w:rsidRPr="00D30677" w:rsidRDefault="009026D6" w:rsidP="009026D6">
      <w:pPr>
        <w:tabs>
          <w:tab w:val="left" w:pos="851"/>
        </w:tabs>
        <w:ind w:left="851"/>
        <w:rPr>
          <w:sz w:val="24"/>
          <w:szCs w:val="24"/>
        </w:rPr>
      </w:pPr>
      <w:proofErr w:type="spellStart"/>
      <w:r w:rsidRPr="00D30677">
        <w:rPr>
          <w:sz w:val="24"/>
          <w:szCs w:val="24"/>
        </w:rPr>
        <w:t>Sitagliptins</w:t>
      </w:r>
      <w:proofErr w:type="spellEnd"/>
      <w:r w:rsidRPr="00D30677">
        <w:rPr>
          <w:sz w:val="24"/>
          <w:szCs w:val="24"/>
        </w:rPr>
        <w:t xml:space="preserve"> plasma-AUC steg med ca. det dobbelte hos patienter med moderat nyreinsufficiens (GFR ≥ 30 til &lt; 45 ml/min) og med ca. det firdobbelte hos patienter med svær nyreinsufficiens (GFR &lt; 30 ml/min), inklusive patienter med ESRD i hæmodialyse. </w:t>
      </w:r>
      <w:proofErr w:type="spellStart"/>
      <w:r w:rsidRPr="00D30677">
        <w:rPr>
          <w:sz w:val="24"/>
          <w:szCs w:val="24"/>
        </w:rPr>
        <w:t>Sitagliptin</w:t>
      </w:r>
      <w:proofErr w:type="spellEnd"/>
      <w:r w:rsidRPr="00D30677">
        <w:rPr>
          <w:sz w:val="24"/>
          <w:szCs w:val="24"/>
        </w:rPr>
        <w:t xml:space="preserve"> elimineredes moderat ved hæmodialyse (13,5</w:t>
      </w:r>
      <w:r>
        <w:rPr>
          <w:sz w:val="24"/>
          <w:szCs w:val="24"/>
        </w:rPr>
        <w:t xml:space="preserve"> %</w:t>
      </w:r>
      <w:r w:rsidRPr="00D30677">
        <w:rPr>
          <w:sz w:val="24"/>
          <w:szCs w:val="24"/>
        </w:rPr>
        <w:t xml:space="preserve"> over en 3 – 4 timers hæmodialysesession med start 4 timer efter dosering). For at opnå den samme plasmakoncentration for </w:t>
      </w:r>
      <w:proofErr w:type="spellStart"/>
      <w:r w:rsidRPr="00D30677">
        <w:rPr>
          <w:sz w:val="24"/>
          <w:szCs w:val="24"/>
        </w:rPr>
        <w:t>sitagliptin</w:t>
      </w:r>
      <w:proofErr w:type="spellEnd"/>
      <w:r w:rsidRPr="00D30677">
        <w:rPr>
          <w:sz w:val="24"/>
          <w:szCs w:val="24"/>
        </w:rPr>
        <w:t xml:space="preserve"> som hos patienter med normal nyrefunktion bør patienter med GFR &lt; 45 ml/min have lavere doser (se pkt. 4.2).</w:t>
      </w:r>
    </w:p>
    <w:p w14:paraId="2968B76A" w14:textId="77777777" w:rsidR="009026D6" w:rsidRPr="00D30677" w:rsidRDefault="009026D6" w:rsidP="009026D6">
      <w:pPr>
        <w:tabs>
          <w:tab w:val="left" w:pos="851"/>
        </w:tabs>
        <w:ind w:left="851"/>
        <w:rPr>
          <w:sz w:val="24"/>
          <w:szCs w:val="24"/>
        </w:rPr>
      </w:pPr>
    </w:p>
    <w:p w14:paraId="31512045" w14:textId="77777777" w:rsidR="009026D6" w:rsidRPr="00D30677" w:rsidRDefault="009026D6" w:rsidP="009026D6">
      <w:pPr>
        <w:tabs>
          <w:tab w:val="left" w:pos="851"/>
        </w:tabs>
        <w:ind w:left="851"/>
        <w:rPr>
          <w:i/>
          <w:iCs/>
          <w:sz w:val="24"/>
          <w:szCs w:val="24"/>
        </w:rPr>
      </w:pPr>
      <w:r w:rsidRPr="00D30677">
        <w:rPr>
          <w:i/>
          <w:iCs/>
          <w:sz w:val="24"/>
          <w:szCs w:val="24"/>
        </w:rPr>
        <w:t>Leverinsufficiens</w:t>
      </w:r>
    </w:p>
    <w:p w14:paraId="104FCAD7" w14:textId="77777777" w:rsidR="009026D6" w:rsidRPr="00D30677" w:rsidRDefault="009026D6" w:rsidP="009026D6">
      <w:pPr>
        <w:tabs>
          <w:tab w:val="left" w:pos="851"/>
        </w:tabs>
        <w:ind w:left="851"/>
        <w:rPr>
          <w:sz w:val="24"/>
          <w:szCs w:val="24"/>
        </w:rPr>
      </w:pPr>
      <w:r w:rsidRPr="00D30677">
        <w:rPr>
          <w:sz w:val="24"/>
          <w:szCs w:val="24"/>
        </w:rPr>
        <w:t xml:space="preserve">Dosisjustering af </w:t>
      </w:r>
      <w:proofErr w:type="spellStart"/>
      <w:r>
        <w:rPr>
          <w:sz w:val="24"/>
          <w:szCs w:val="24"/>
        </w:rPr>
        <w:t>Sitagliptin</w:t>
      </w:r>
      <w:proofErr w:type="spellEnd"/>
      <w:r>
        <w:rPr>
          <w:sz w:val="24"/>
          <w:szCs w:val="24"/>
        </w:rPr>
        <w:t xml:space="preserve"> "</w:t>
      </w:r>
      <w:proofErr w:type="spellStart"/>
      <w:r>
        <w:rPr>
          <w:sz w:val="24"/>
          <w:szCs w:val="24"/>
        </w:rPr>
        <w:t>Zentiva</w:t>
      </w:r>
      <w:proofErr w:type="spellEnd"/>
      <w:r>
        <w:rPr>
          <w:sz w:val="24"/>
          <w:szCs w:val="24"/>
        </w:rPr>
        <w:t xml:space="preserve"> ApS"</w:t>
      </w:r>
      <w:r w:rsidRPr="00D30677">
        <w:rPr>
          <w:sz w:val="24"/>
          <w:szCs w:val="24"/>
        </w:rPr>
        <w:t xml:space="preserve"> er ikke nødvendig hos patienter med let eller moderat leverinsufficiens (Child-</w:t>
      </w:r>
      <w:proofErr w:type="spellStart"/>
      <w:r w:rsidRPr="00D30677">
        <w:rPr>
          <w:sz w:val="24"/>
          <w:szCs w:val="24"/>
        </w:rPr>
        <w:t>Pugh</w:t>
      </w:r>
      <w:proofErr w:type="spellEnd"/>
      <w:r w:rsidRPr="00D30677">
        <w:rPr>
          <w:sz w:val="24"/>
          <w:szCs w:val="24"/>
        </w:rPr>
        <w:t xml:space="preserve"> score ≤ 9). Der er ingen klinisk erfaring for patienter med svær leverinsufficiens (Child- </w:t>
      </w:r>
      <w:proofErr w:type="spellStart"/>
      <w:r w:rsidRPr="00D30677">
        <w:rPr>
          <w:sz w:val="24"/>
          <w:szCs w:val="24"/>
        </w:rPr>
        <w:t>Pugh</w:t>
      </w:r>
      <w:proofErr w:type="spellEnd"/>
      <w:r w:rsidRPr="00D30677">
        <w:rPr>
          <w:sz w:val="24"/>
          <w:szCs w:val="24"/>
        </w:rPr>
        <w:t xml:space="preserve"> score &gt; 9), men da </w:t>
      </w:r>
      <w:proofErr w:type="spellStart"/>
      <w:r w:rsidRPr="00D30677">
        <w:rPr>
          <w:sz w:val="24"/>
          <w:szCs w:val="24"/>
        </w:rPr>
        <w:t>sitagliptin</w:t>
      </w:r>
      <w:proofErr w:type="spellEnd"/>
      <w:r w:rsidRPr="00D30677">
        <w:rPr>
          <w:sz w:val="24"/>
          <w:szCs w:val="24"/>
        </w:rPr>
        <w:t xml:space="preserve"> primært elimineres </w:t>
      </w:r>
      <w:proofErr w:type="spellStart"/>
      <w:r w:rsidRPr="00D30677">
        <w:rPr>
          <w:sz w:val="24"/>
          <w:szCs w:val="24"/>
        </w:rPr>
        <w:t>renalt</w:t>
      </w:r>
      <w:proofErr w:type="spellEnd"/>
      <w:r w:rsidRPr="00D30677">
        <w:rPr>
          <w:sz w:val="24"/>
          <w:szCs w:val="24"/>
        </w:rPr>
        <w:t xml:space="preserve">, forventes svær leverinsufficiens ikke at påvirke </w:t>
      </w:r>
      <w:proofErr w:type="spellStart"/>
      <w:r w:rsidRPr="00D30677">
        <w:rPr>
          <w:sz w:val="24"/>
          <w:szCs w:val="24"/>
        </w:rPr>
        <w:t>sitagliptins</w:t>
      </w:r>
      <w:proofErr w:type="spellEnd"/>
      <w:r w:rsidRPr="00D30677">
        <w:rPr>
          <w:sz w:val="24"/>
          <w:szCs w:val="24"/>
        </w:rPr>
        <w:t xml:space="preserve"> farmakokinetik.</w:t>
      </w:r>
    </w:p>
    <w:p w14:paraId="6025506D" w14:textId="77777777" w:rsidR="009026D6" w:rsidRPr="00D30677" w:rsidRDefault="009026D6" w:rsidP="009026D6">
      <w:pPr>
        <w:tabs>
          <w:tab w:val="left" w:pos="851"/>
        </w:tabs>
        <w:ind w:left="851"/>
        <w:rPr>
          <w:sz w:val="24"/>
          <w:szCs w:val="24"/>
        </w:rPr>
      </w:pPr>
    </w:p>
    <w:p w14:paraId="128B59E4" w14:textId="77777777" w:rsidR="009026D6" w:rsidRPr="00D30677" w:rsidRDefault="009026D6" w:rsidP="009026D6">
      <w:pPr>
        <w:tabs>
          <w:tab w:val="left" w:pos="851"/>
        </w:tabs>
        <w:ind w:left="851"/>
        <w:rPr>
          <w:i/>
          <w:iCs/>
          <w:sz w:val="24"/>
          <w:szCs w:val="24"/>
        </w:rPr>
      </w:pPr>
      <w:r w:rsidRPr="00D30677">
        <w:rPr>
          <w:i/>
          <w:iCs/>
          <w:sz w:val="24"/>
          <w:szCs w:val="24"/>
        </w:rPr>
        <w:t>Ældre</w:t>
      </w:r>
    </w:p>
    <w:p w14:paraId="07042FB6" w14:textId="77777777" w:rsidR="009026D6" w:rsidRPr="00D30677" w:rsidRDefault="009026D6" w:rsidP="009026D6">
      <w:pPr>
        <w:tabs>
          <w:tab w:val="left" w:pos="851"/>
        </w:tabs>
        <w:ind w:left="851"/>
        <w:rPr>
          <w:sz w:val="24"/>
          <w:szCs w:val="24"/>
        </w:rPr>
      </w:pPr>
      <w:r w:rsidRPr="00D30677">
        <w:rPr>
          <w:sz w:val="24"/>
          <w:szCs w:val="24"/>
        </w:rPr>
        <w:t xml:space="preserve">Dosisjustering er ikke nødvendig på basis af alder. Alder havde ingen klinisk relevant indflydelse på </w:t>
      </w:r>
      <w:proofErr w:type="spellStart"/>
      <w:r w:rsidRPr="00D30677">
        <w:rPr>
          <w:sz w:val="24"/>
          <w:szCs w:val="24"/>
        </w:rPr>
        <w:t>sitagliptins</w:t>
      </w:r>
      <w:proofErr w:type="spellEnd"/>
      <w:r w:rsidRPr="00D30677">
        <w:rPr>
          <w:sz w:val="24"/>
          <w:szCs w:val="24"/>
        </w:rPr>
        <w:t xml:space="preserve"> farmakokinetik baseret på en </w:t>
      </w:r>
      <w:proofErr w:type="spellStart"/>
      <w:r w:rsidRPr="00D30677">
        <w:rPr>
          <w:sz w:val="24"/>
          <w:szCs w:val="24"/>
        </w:rPr>
        <w:t>farmakokinetisk</w:t>
      </w:r>
      <w:proofErr w:type="spellEnd"/>
      <w:r w:rsidRPr="00D30677">
        <w:rPr>
          <w:sz w:val="24"/>
          <w:szCs w:val="24"/>
        </w:rPr>
        <w:t xml:space="preserve"> populationsanalyse af fase I- og fase II-data. Ældre patienter (65 – 80 år) havde ca. 19</w:t>
      </w:r>
      <w:r>
        <w:rPr>
          <w:sz w:val="24"/>
          <w:szCs w:val="24"/>
        </w:rPr>
        <w:t xml:space="preserve"> %</w:t>
      </w:r>
      <w:r w:rsidRPr="00D30677">
        <w:rPr>
          <w:sz w:val="24"/>
          <w:szCs w:val="24"/>
        </w:rPr>
        <w:t xml:space="preserve"> højere </w:t>
      </w:r>
      <w:proofErr w:type="spellStart"/>
      <w:r w:rsidRPr="00D30677">
        <w:rPr>
          <w:sz w:val="24"/>
          <w:szCs w:val="24"/>
        </w:rPr>
        <w:t>sitagliptin</w:t>
      </w:r>
      <w:proofErr w:type="spellEnd"/>
      <w:r w:rsidRPr="00D30677">
        <w:rPr>
          <w:sz w:val="24"/>
          <w:szCs w:val="24"/>
        </w:rPr>
        <w:t>-plasmakoncentrationer sammenlignet med yngre patienter.</w:t>
      </w:r>
    </w:p>
    <w:p w14:paraId="46A70F37" w14:textId="77777777" w:rsidR="009026D6" w:rsidRPr="00D30677" w:rsidRDefault="009026D6" w:rsidP="009026D6">
      <w:pPr>
        <w:tabs>
          <w:tab w:val="left" w:pos="851"/>
        </w:tabs>
        <w:ind w:left="851"/>
        <w:rPr>
          <w:sz w:val="24"/>
          <w:szCs w:val="24"/>
        </w:rPr>
      </w:pPr>
      <w:r w:rsidRPr="00D30677">
        <w:rPr>
          <w:sz w:val="24"/>
          <w:szCs w:val="24"/>
        </w:rPr>
        <w:t xml:space="preserve"> </w:t>
      </w:r>
    </w:p>
    <w:p w14:paraId="11FF905E" w14:textId="77777777" w:rsidR="009026D6" w:rsidRPr="00D30677" w:rsidRDefault="009026D6" w:rsidP="009026D6">
      <w:pPr>
        <w:tabs>
          <w:tab w:val="left" w:pos="851"/>
        </w:tabs>
        <w:ind w:left="851"/>
        <w:rPr>
          <w:i/>
          <w:iCs/>
          <w:sz w:val="24"/>
          <w:szCs w:val="24"/>
        </w:rPr>
      </w:pPr>
      <w:r w:rsidRPr="00D30677">
        <w:rPr>
          <w:i/>
          <w:iCs/>
          <w:sz w:val="24"/>
          <w:szCs w:val="24"/>
        </w:rPr>
        <w:t>Pædiatrisk population</w:t>
      </w:r>
    </w:p>
    <w:p w14:paraId="14522265" w14:textId="77777777" w:rsidR="009026D6" w:rsidRPr="00D30677" w:rsidRDefault="009026D6" w:rsidP="009026D6">
      <w:pPr>
        <w:tabs>
          <w:tab w:val="left" w:pos="851"/>
        </w:tabs>
        <w:ind w:left="851"/>
        <w:rPr>
          <w:sz w:val="24"/>
          <w:szCs w:val="24"/>
        </w:rPr>
      </w:pPr>
      <w:proofErr w:type="spellStart"/>
      <w:r w:rsidRPr="00D30677">
        <w:rPr>
          <w:sz w:val="24"/>
          <w:szCs w:val="24"/>
        </w:rPr>
        <w:t>Sitagliptins</w:t>
      </w:r>
      <w:proofErr w:type="spellEnd"/>
      <w:r w:rsidRPr="00D30677">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D30677">
        <w:rPr>
          <w:sz w:val="24"/>
          <w:szCs w:val="24"/>
        </w:rPr>
        <w:t>sitagliptin</w:t>
      </w:r>
      <w:proofErr w:type="spellEnd"/>
      <w:r w:rsidRPr="00D30677">
        <w:rPr>
          <w:sz w:val="24"/>
          <w:szCs w:val="24"/>
        </w:rPr>
        <w:t xml:space="preserve"> i plasma ca. 18</w:t>
      </w:r>
      <w:r>
        <w:rPr>
          <w:sz w:val="24"/>
          <w:szCs w:val="24"/>
        </w:rPr>
        <w:t xml:space="preserve"> %</w:t>
      </w:r>
      <w:r w:rsidRPr="00D30677">
        <w:rPr>
          <w:sz w:val="24"/>
          <w:szCs w:val="24"/>
        </w:rPr>
        <w:t xml:space="preserve"> lavere sammenlignet med voksne patienter med type 2-diabetes for en dosis på 100 mg. Dette anses ikke for at være en klinisk betydningsfuld forskel sammenlignet med voksne patienter baseret på det flade </w:t>
      </w:r>
      <w:proofErr w:type="spellStart"/>
      <w:r w:rsidRPr="00D30677">
        <w:rPr>
          <w:sz w:val="24"/>
          <w:szCs w:val="24"/>
        </w:rPr>
        <w:t>farmakokinetiske</w:t>
      </w:r>
      <w:proofErr w:type="spellEnd"/>
      <w:r w:rsidRPr="00D30677">
        <w:rPr>
          <w:sz w:val="24"/>
          <w:szCs w:val="24"/>
        </w:rPr>
        <w:t>/</w:t>
      </w:r>
      <w:proofErr w:type="spellStart"/>
      <w:r w:rsidRPr="00D30677">
        <w:rPr>
          <w:sz w:val="24"/>
          <w:szCs w:val="24"/>
        </w:rPr>
        <w:t>farmakodynamiske</w:t>
      </w:r>
      <w:proofErr w:type="spellEnd"/>
      <w:r w:rsidRPr="00D30677">
        <w:rPr>
          <w:sz w:val="24"/>
          <w:szCs w:val="24"/>
        </w:rPr>
        <w:t xml:space="preserve"> forhold mellem dosis på 50 mg og 100 mg. Der er ikke udført studier med </w:t>
      </w:r>
      <w:proofErr w:type="spellStart"/>
      <w:r w:rsidRPr="00D30677">
        <w:rPr>
          <w:sz w:val="24"/>
          <w:szCs w:val="24"/>
        </w:rPr>
        <w:t>sitagliptin</w:t>
      </w:r>
      <w:proofErr w:type="spellEnd"/>
      <w:r w:rsidRPr="00D30677">
        <w:rPr>
          <w:sz w:val="24"/>
          <w:szCs w:val="24"/>
        </w:rPr>
        <w:t xml:space="preserve"> hos pædiatriske patienter i alderen &lt; 10 år.</w:t>
      </w:r>
    </w:p>
    <w:p w14:paraId="2DFE31AB" w14:textId="77777777" w:rsidR="009026D6" w:rsidRPr="00D30677" w:rsidRDefault="009026D6" w:rsidP="009026D6">
      <w:pPr>
        <w:tabs>
          <w:tab w:val="left" w:pos="851"/>
        </w:tabs>
        <w:ind w:left="851"/>
        <w:rPr>
          <w:sz w:val="24"/>
          <w:szCs w:val="24"/>
        </w:rPr>
      </w:pPr>
    </w:p>
    <w:p w14:paraId="0BC430B6" w14:textId="77777777" w:rsidR="009026D6" w:rsidRPr="00D30677" w:rsidRDefault="009026D6" w:rsidP="009026D6">
      <w:pPr>
        <w:tabs>
          <w:tab w:val="left" w:pos="851"/>
        </w:tabs>
        <w:ind w:left="851"/>
        <w:rPr>
          <w:i/>
          <w:iCs/>
          <w:sz w:val="24"/>
          <w:szCs w:val="24"/>
        </w:rPr>
      </w:pPr>
      <w:r w:rsidRPr="00D30677">
        <w:rPr>
          <w:i/>
          <w:iCs/>
          <w:sz w:val="24"/>
          <w:szCs w:val="24"/>
        </w:rPr>
        <w:t>Andre patientkarakteristika</w:t>
      </w:r>
    </w:p>
    <w:p w14:paraId="008D6374" w14:textId="77777777" w:rsidR="009026D6" w:rsidRPr="00D30677" w:rsidRDefault="009026D6" w:rsidP="009026D6">
      <w:pPr>
        <w:tabs>
          <w:tab w:val="left" w:pos="851"/>
        </w:tabs>
        <w:ind w:left="851"/>
        <w:rPr>
          <w:sz w:val="24"/>
          <w:szCs w:val="24"/>
        </w:rPr>
      </w:pPr>
      <w:r w:rsidRPr="00D30677">
        <w:rPr>
          <w:sz w:val="24"/>
          <w:szCs w:val="24"/>
        </w:rPr>
        <w:t xml:space="preserve">Dosisjustering er ikke nødvendig på basis af køn, race eller </w:t>
      </w:r>
      <w:r w:rsidRPr="00D30677">
        <w:rPr>
          <w:i/>
          <w:iCs/>
          <w:sz w:val="24"/>
          <w:szCs w:val="24"/>
        </w:rPr>
        <w:t xml:space="preserve">body </w:t>
      </w:r>
      <w:proofErr w:type="spellStart"/>
      <w:r w:rsidRPr="00D30677">
        <w:rPr>
          <w:i/>
          <w:iCs/>
          <w:sz w:val="24"/>
          <w:szCs w:val="24"/>
        </w:rPr>
        <w:t>mass</w:t>
      </w:r>
      <w:proofErr w:type="spellEnd"/>
      <w:r w:rsidRPr="00D30677">
        <w:rPr>
          <w:i/>
          <w:iCs/>
          <w:sz w:val="24"/>
          <w:szCs w:val="24"/>
        </w:rPr>
        <w:t xml:space="preserve"> </w:t>
      </w:r>
      <w:proofErr w:type="spellStart"/>
      <w:r w:rsidRPr="00D30677">
        <w:rPr>
          <w:i/>
          <w:iCs/>
          <w:sz w:val="24"/>
          <w:szCs w:val="24"/>
        </w:rPr>
        <w:t>index</w:t>
      </w:r>
      <w:proofErr w:type="spellEnd"/>
      <w:r w:rsidRPr="00D30677">
        <w:rPr>
          <w:sz w:val="24"/>
          <w:szCs w:val="24"/>
        </w:rPr>
        <w:t xml:space="preserve"> (BMI). Disse karakteristika havde ingen klinisk relevant virkning på </w:t>
      </w:r>
      <w:proofErr w:type="spellStart"/>
      <w:r w:rsidRPr="00D30677">
        <w:rPr>
          <w:sz w:val="24"/>
          <w:szCs w:val="24"/>
        </w:rPr>
        <w:t>sitagliptins</w:t>
      </w:r>
      <w:proofErr w:type="spellEnd"/>
      <w:r w:rsidRPr="00D30677">
        <w:rPr>
          <w:sz w:val="24"/>
          <w:szCs w:val="24"/>
        </w:rPr>
        <w:t xml:space="preserve"> farmakokinetik på basis af en sammensat analyse af fase I </w:t>
      </w:r>
      <w:proofErr w:type="spellStart"/>
      <w:r w:rsidRPr="00D30677">
        <w:rPr>
          <w:sz w:val="24"/>
          <w:szCs w:val="24"/>
        </w:rPr>
        <w:t>farmakokinetiske</w:t>
      </w:r>
      <w:proofErr w:type="spellEnd"/>
      <w:r w:rsidRPr="00D30677">
        <w:rPr>
          <w:sz w:val="24"/>
          <w:szCs w:val="24"/>
        </w:rPr>
        <w:t xml:space="preserve"> data og en </w:t>
      </w:r>
      <w:proofErr w:type="spellStart"/>
      <w:r w:rsidRPr="00D30677">
        <w:rPr>
          <w:sz w:val="24"/>
          <w:szCs w:val="24"/>
        </w:rPr>
        <w:t>farmakokinetisk</w:t>
      </w:r>
      <w:proofErr w:type="spellEnd"/>
      <w:r w:rsidRPr="00D30677">
        <w:rPr>
          <w:sz w:val="24"/>
          <w:szCs w:val="24"/>
        </w:rPr>
        <w:t xml:space="preserve"> populationsanalyse af fase I- og fase II-data.</w:t>
      </w:r>
    </w:p>
    <w:p w14:paraId="4F834681" w14:textId="77777777" w:rsidR="009260DE" w:rsidRPr="00C84483" w:rsidRDefault="009260DE" w:rsidP="009260DE">
      <w:pPr>
        <w:tabs>
          <w:tab w:val="left" w:pos="851"/>
        </w:tabs>
        <w:ind w:left="851"/>
        <w:rPr>
          <w:sz w:val="24"/>
          <w:szCs w:val="24"/>
        </w:rPr>
      </w:pPr>
    </w:p>
    <w:p w14:paraId="7A34A38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B47DCB5" w14:textId="77777777" w:rsidR="006174C6" w:rsidRPr="00FF2B18" w:rsidRDefault="006174C6" w:rsidP="006174C6">
      <w:pPr>
        <w:tabs>
          <w:tab w:val="left" w:pos="851"/>
        </w:tabs>
        <w:ind w:left="851"/>
        <w:rPr>
          <w:sz w:val="24"/>
          <w:szCs w:val="24"/>
        </w:rPr>
      </w:pPr>
      <w:r w:rsidRPr="00FF2B18">
        <w:rPr>
          <w:sz w:val="24"/>
          <w:szCs w:val="24"/>
        </w:rPr>
        <w:t xml:space="preserve">Der blev observeret nyre- og levertoksicitet hos gnavere ved systemiske eksponeringsniveauer, der var 58 gange højere end eksponeringsniveauet for mennesker, mens </w:t>
      </w:r>
      <w:r w:rsidRPr="00FF2B18">
        <w:rPr>
          <w:i/>
          <w:iCs/>
          <w:sz w:val="24"/>
          <w:szCs w:val="24"/>
        </w:rPr>
        <w:t>no-</w:t>
      </w:r>
      <w:proofErr w:type="spellStart"/>
      <w:r w:rsidRPr="00FF2B18">
        <w:rPr>
          <w:i/>
          <w:iCs/>
          <w:sz w:val="24"/>
          <w:szCs w:val="24"/>
        </w:rPr>
        <w:t>effect</w:t>
      </w:r>
      <w:proofErr w:type="spellEnd"/>
      <w:r w:rsidRPr="00FF2B18">
        <w:rPr>
          <w:sz w:val="24"/>
          <w:szCs w:val="24"/>
        </w:rPr>
        <w:t xml:space="preserve">-niveauet fandtes ved niveauet 19 gange højere end eksponeringsniveauet for mennesker. Abnormiteter af fortænderne observeredes hos rotter ved en eksponering, der var 67 gange højere end det kliniske eksponeringsniveau. </w:t>
      </w:r>
      <w:r w:rsidRPr="00FF2B18">
        <w:rPr>
          <w:i/>
          <w:iCs/>
          <w:sz w:val="24"/>
          <w:szCs w:val="24"/>
        </w:rPr>
        <w:t>No-</w:t>
      </w:r>
      <w:proofErr w:type="spellStart"/>
      <w:r w:rsidRPr="00FF2B18">
        <w:rPr>
          <w:i/>
          <w:iCs/>
          <w:sz w:val="24"/>
          <w:szCs w:val="24"/>
        </w:rPr>
        <w:t>effect</w:t>
      </w:r>
      <w:proofErr w:type="spellEnd"/>
      <w:r w:rsidRPr="00FF2B18">
        <w:rPr>
          <w:sz w:val="24"/>
          <w:szCs w:val="24"/>
        </w:rPr>
        <w:t xml:space="preserve">-niveauet for dette fund var 58 gange højere på basis af 14-ugers-rotteundersøgelsen.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FF2B18">
        <w:rPr>
          <w:sz w:val="24"/>
          <w:szCs w:val="24"/>
        </w:rPr>
        <w:t>ataksi</w:t>
      </w:r>
      <w:proofErr w:type="spellEnd"/>
      <w:r w:rsidRPr="00FF2B18">
        <w:rPr>
          <w:sz w:val="24"/>
          <w:szCs w:val="24"/>
        </w:rPr>
        <w:t xml:space="preserve">, </w:t>
      </w:r>
      <w:proofErr w:type="spellStart"/>
      <w:r w:rsidRPr="00FF2B18">
        <w:rPr>
          <w:sz w:val="24"/>
          <w:szCs w:val="24"/>
        </w:rPr>
        <w:t>skælven</w:t>
      </w:r>
      <w:proofErr w:type="spellEnd"/>
      <w:r w:rsidRPr="00FF2B18">
        <w:rPr>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1EEAE452" w14:textId="77777777" w:rsidR="006174C6" w:rsidRPr="00FF2B18" w:rsidRDefault="006174C6" w:rsidP="006174C6">
      <w:pPr>
        <w:tabs>
          <w:tab w:val="left" w:pos="851"/>
        </w:tabs>
        <w:ind w:left="851"/>
        <w:rPr>
          <w:sz w:val="24"/>
          <w:szCs w:val="24"/>
        </w:rPr>
      </w:pPr>
    </w:p>
    <w:p w14:paraId="3445EC17" w14:textId="77777777" w:rsidR="006174C6" w:rsidRPr="00FF2B18" w:rsidRDefault="006174C6" w:rsidP="006174C6">
      <w:pPr>
        <w:tabs>
          <w:tab w:val="left" w:pos="851"/>
        </w:tabs>
        <w:ind w:left="851"/>
        <w:rPr>
          <w:sz w:val="24"/>
          <w:szCs w:val="24"/>
        </w:rPr>
      </w:pPr>
      <w:r w:rsidRPr="00FF2B18">
        <w:rPr>
          <w:sz w:val="24"/>
          <w:szCs w:val="24"/>
        </w:rPr>
        <w:t xml:space="preserve">Non-kliniske undersøgelser har ikke vist, at </w:t>
      </w:r>
      <w:proofErr w:type="spellStart"/>
      <w:r w:rsidRPr="00FF2B18">
        <w:rPr>
          <w:sz w:val="24"/>
          <w:szCs w:val="24"/>
        </w:rPr>
        <w:t>sitagliptin</w:t>
      </w:r>
      <w:proofErr w:type="spellEnd"/>
      <w:r w:rsidRPr="00FF2B18">
        <w:rPr>
          <w:sz w:val="24"/>
          <w:szCs w:val="24"/>
        </w:rPr>
        <w:t xml:space="preserve"> er genotoksisk. </w:t>
      </w:r>
      <w:proofErr w:type="spellStart"/>
      <w:r w:rsidRPr="00FF2B18">
        <w:rPr>
          <w:sz w:val="24"/>
          <w:szCs w:val="24"/>
        </w:rPr>
        <w:t>Sitagliptin</w:t>
      </w:r>
      <w:proofErr w:type="spellEnd"/>
      <w:r w:rsidRPr="00FF2B18">
        <w:rPr>
          <w:sz w:val="24"/>
          <w:szCs w:val="24"/>
        </w:rPr>
        <w:t xml:space="preserve"> var ikke </w:t>
      </w:r>
      <w:proofErr w:type="spellStart"/>
      <w:r w:rsidRPr="00FF2B18">
        <w:rPr>
          <w:sz w:val="24"/>
          <w:szCs w:val="24"/>
        </w:rPr>
        <w:t>karcinogent</w:t>
      </w:r>
      <w:proofErr w:type="spellEnd"/>
      <w:r w:rsidRPr="00FF2B18">
        <w:rPr>
          <w:sz w:val="24"/>
          <w:szCs w:val="24"/>
        </w:rPr>
        <w:t xml:space="preserve"> hos mus. Hos rotter var der en øget forekomst af </w:t>
      </w:r>
      <w:proofErr w:type="spellStart"/>
      <w:r w:rsidRPr="00FF2B18">
        <w:rPr>
          <w:sz w:val="24"/>
          <w:szCs w:val="24"/>
        </w:rPr>
        <w:t>hepatiske</w:t>
      </w:r>
      <w:proofErr w:type="spellEnd"/>
      <w:r w:rsidRPr="00FF2B18">
        <w:rPr>
          <w:sz w:val="24"/>
          <w:szCs w:val="24"/>
        </w:rPr>
        <w:t xml:space="preserve"> </w:t>
      </w:r>
      <w:proofErr w:type="spellStart"/>
      <w:r w:rsidRPr="00FF2B18">
        <w:rPr>
          <w:sz w:val="24"/>
          <w:szCs w:val="24"/>
        </w:rPr>
        <w:t>adenomer</w:t>
      </w:r>
      <w:proofErr w:type="spellEnd"/>
      <w:r w:rsidRPr="00FF2B18">
        <w:rPr>
          <w:sz w:val="24"/>
          <w:szCs w:val="24"/>
        </w:rPr>
        <w:t xml:space="preserve"> og </w:t>
      </w:r>
      <w:proofErr w:type="spellStart"/>
      <w:r w:rsidRPr="00FF2B18">
        <w:rPr>
          <w:sz w:val="24"/>
          <w:szCs w:val="24"/>
        </w:rPr>
        <w:t>carcinomer</w:t>
      </w:r>
      <w:proofErr w:type="spellEnd"/>
      <w:r w:rsidRPr="00FF2B18">
        <w:rPr>
          <w:sz w:val="24"/>
          <w:szCs w:val="24"/>
        </w:rPr>
        <w:t xml:space="preserve"> ved en systemisk eksponering, der var 58 gange højere end eksponeringen for mennesker. Eftersom </w:t>
      </w:r>
      <w:proofErr w:type="spellStart"/>
      <w:r w:rsidRPr="00FF2B18">
        <w:rPr>
          <w:sz w:val="24"/>
          <w:szCs w:val="24"/>
        </w:rPr>
        <w:t>hepatotoksicitet</w:t>
      </w:r>
      <w:proofErr w:type="spellEnd"/>
      <w:r w:rsidRPr="00FF2B18">
        <w:rPr>
          <w:sz w:val="24"/>
          <w:szCs w:val="24"/>
        </w:rPr>
        <w:t xml:space="preserve"> har vist sig at korrelere med induktion af </w:t>
      </w:r>
      <w:proofErr w:type="spellStart"/>
      <w:r w:rsidRPr="00FF2B18">
        <w:rPr>
          <w:sz w:val="24"/>
          <w:szCs w:val="24"/>
        </w:rPr>
        <w:t>hepatisk</w:t>
      </w:r>
      <w:proofErr w:type="spellEnd"/>
      <w:r w:rsidRPr="00FF2B18">
        <w:rPr>
          <w:sz w:val="24"/>
          <w:szCs w:val="24"/>
        </w:rPr>
        <w:t xml:space="preserve"> </w:t>
      </w:r>
      <w:proofErr w:type="spellStart"/>
      <w:r w:rsidRPr="00FF2B18">
        <w:rPr>
          <w:sz w:val="24"/>
          <w:szCs w:val="24"/>
        </w:rPr>
        <w:t>neoplasi</w:t>
      </w:r>
      <w:proofErr w:type="spellEnd"/>
      <w:r w:rsidRPr="00FF2B18">
        <w:rPr>
          <w:sz w:val="24"/>
          <w:szCs w:val="24"/>
        </w:rPr>
        <w:t xml:space="preserve"> hos rotter, var denne øgede forekomst af </w:t>
      </w:r>
      <w:proofErr w:type="spellStart"/>
      <w:r w:rsidRPr="00FF2B18">
        <w:rPr>
          <w:sz w:val="24"/>
          <w:szCs w:val="24"/>
        </w:rPr>
        <w:t>hepatiske</w:t>
      </w:r>
      <w:proofErr w:type="spellEnd"/>
      <w:r w:rsidRPr="00FF2B18">
        <w:rPr>
          <w:sz w:val="24"/>
          <w:szCs w:val="24"/>
        </w:rPr>
        <w:t xml:space="preserve"> tumorer sandsynligvis sekundær til kronisk </w:t>
      </w:r>
      <w:proofErr w:type="spellStart"/>
      <w:r w:rsidRPr="00FF2B18">
        <w:rPr>
          <w:sz w:val="24"/>
          <w:szCs w:val="24"/>
        </w:rPr>
        <w:t>hepatisk</w:t>
      </w:r>
      <w:proofErr w:type="spellEnd"/>
      <w:r w:rsidRPr="00FF2B18">
        <w:rPr>
          <w:sz w:val="24"/>
          <w:szCs w:val="24"/>
        </w:rPr>
        <w:t xml:space="preserve"> toksicitet ved denne høje dosis. På grund af den høje sikkerhedsmargin (19 gange på dette </w:t>
      </w:r>
      <w:r w:rsidRPr="00FF2B18">
        <w:rPr>
          <w:i/>
          <w:iCs/>
          <w:sz w:val="24"/>
          <w:szCs w:val="24"/>
        </w:rPr>
        <w:t>no-</w:t>
      </w:r>
      <w:proofErr w:type="spellStart"/>
      <w:r w:rsidRPr="00FF2B18">
        <w:rPr>
          <w:i/>
          <w:iCs/>
          <w:sz w:val="24"/>
          <w:szCs w:val="24"/>
        </w:rPr>
        <w:t>effect</w:t>
      </w:r>
      <w:proofErr w:type="spellEnd"/>
      <w:r w:rsidRPr="00FF2B18">
        <w:rPr>
          <w:sz w:val="24"/>
          <w:szCs w:val="24"/>
        </w:rPr>
        <w:t xml:space="preserve"> niveau), anses disse neoplastiske ændringer ikke relevante for situationen hos mennesker.</w:t>
      </w:r>
    </w:p>
    <w:p w14:paraId="797F0113" w14:textId="77777777" w:rsidR="006174C6" w:rsidRPr="00FF2B18" w:rsidRDefault="006174C6" w:rsidP="006174C6">
      <w:pPr>
        <w:tabs>
          <w:tab w:val="left" w:pos="851"/>
        </w:tabs>
        <w:ind w:left="851"/>
        <w:rPr>
          <w:sz w:val="24"/>
          <w:szCs w:val="24"/>
        </w:rPr>
      </w:pPr>
    </w:p>
    <w:p w14:paraId="18592420" w14:textId="77777777" w:rsidR="006174C6" w:rsidRPr="00FF2B18" w:rsidRDefault="006174C6" w:rsidP="006174C6">
      <w:pPr>
        <w:tabs>
          <w:tab w:val="left" w:pos="851"/>
        </w:tabs>
        <w:ind w:left="851"/>
        <w:rPr>
          <w:sz w:val="24"/>
          <w:szCs w:val="24"/>
        </w:rPr>
      </w:pPr>
      <w:r w:rsidRPr="00FF2B18">
        <w:rPr>
          <w:sz w:val="24"/>
          <w:szCs w:val="24"/>
        </w:rPr>
        <w:t xml:space="preserve">Der blev ikke observeret bivirkninger i fertiliteten hos han- og hunrotter, der blev behandlet med </w:t>
      </w:r>
      <w:proofErr w:type="spellStart"/>
      <w:r w:rsidRPr="00FF2B18">
        <w:rPr>
          <w:sz w:val="24"/>
          <w:szCs w:val="24"/>
        </w:rPr>
        <w:t>sitagliptin</w:t>
      </w:r>
      <w:proofErr w:type="spellEnd"/>
      <w:r w:rsidRPr="00FF2B18">
        <w:rPr>
          <w:sz w:val="24"/>
          <w:szCs w:val="24"/>
        </w:rPr>
        <w:t xml:space="preserve"> før og under parringsperioden.</w:t>
      </w:r>
    </w:p>
    <w:p w14:paraId="2ECB9A98" w14:textId="77777777" w:rsidR="006174C6" w:rsidRPr="00FF2B18" w:rsidRDefault="006174C6" w:rsidP="006174C6">
      <w:pPr>
        <w:tabs>
          <w:tab w:val="left" w:pos="851"/>
        </w:tabs>
        <w:ind w:left="851"/>
        <w:rPr>
          <w:sz w:val="24"/>
          <w:szCs w:val="24"/>
        </w:rPr>
      </w:pPr>
    </w:p>
    <w:p w14:paraId="53F6912F" w14:textId="77777777" w:rsidR="006174C6" w:rsidRPr="00FF2B18" w:rsidRDefault="006174C6" w:rsidP="006174C6">
      <w:pPr>
        <w:tabs>
          <w:tab w:val="left" w:pos="851"/>
        </w:tabs>
        <w:ind w:left="851"/>
        <w:rPr>
          <w:sz w:val="24"/>
          <w:szCs w:val="24"/>
        </w:rPr>
      </w:pPr>
      <w:proofErr w:type="spellStart"/>
      <w:r w:rsidRPr="00FF2B18">
        <w:rPr>
          <w:sz w:val="24"/>
          <w:szCs w:val="24"/>
        </w:rPr>
        <w:t>Sitagliptin</w:t>
      </w:r>
      <w:proofErr w:type="spellEnd"/>
      <w:r w:rsidRPr="00FF2B18">
        <w:rPr>
          <w:sz w:val="24"/>
          <w:szCs w:val="24"/>
        </w:rPr>
        <w:t xml:space="preserve"> viste ingen bivirkninger i en præ- og </w:t>
      </w:r>
      <w:proofErr w:type="spellStart"/>
      <w:r w:rsidRPr="00FF2B18">
        <w:rPr>
          <w:sz w:val="24"/>
          <w:szCs w:val="24"/>
        </w:rPr>
        <w:t>postnatal</w:t>
      </w:r>
      <w:proofErr w:type="spellEnd"/>
      <w:r w:rsidRPr="00FF2B18">
        <w:rPr>
          <w:sz w:val="24"/>
          <w:szCs w:val="24"/>
        </w:rPr>
        <w:t xml:space="preserve"> udviklingsundersøgelse udført med rotter.</w:t>
      </w:r>
    </w:p>
    <w:p w14:paraId="352C9B5B" w14:textId="77777777" w:rsidR="006174C6" w:rsidRPr="00FF2B18" w:rsidRDefault="006174C6" w:rsidP="006174C6">
      <w:pPr>
        <w:tabs>
          <w:tab w:val="left" w:pos="851"/>
        </w:tabs>
        <w:ind w:left="851"/>
        <w:rPr>
          <w:sz w:val="24"/>
          <w:szCs w:val="24"/>
        </w:rPr>
      </w:pPr>
    </w:p>
    <w:p w14:paraId="0B50BF63" w14:textId="77777777" w:rsidR="006174C6" w:rsidRPr="00FF2B18" w:rsidRDefault="006174C6" w:rsidP="006174C6">
      <w:pPr>
        <w:tabs>
          <w:tab w:val="left" w:pos="851"/>
        </w:tabs>
        <w:ind w:left="851"/>
        <w:rPr>
          <w:sz w:val="24"/>
          <w:szCs w:val="24"/>
        </w:rPr>
      </w:pPr>
      <w:r w:rsidRPr="00FF2B18">
        <w:rPr>
          <w:sz w:val="24"/>
          <w:szCs w:val="24"/>
        </w:rPr>
        <w:t xml:space="preserve">Reproduktive toksicitetsundersøgelser viste en let behandlingsrelateret øget forekomst af </w:t>
      </w:r>
      <w:proofErr w:type="spellStart"/>
      <w:r w:rsidRPr="00FF2B18">
        <w:rPr>
          <w:sz w:val="24"/>
          <w:szCs w:val="24"/>
        </w:rPr>
        <w:t>føtale</w:t>
      </w:r>
      <w:proofErr w:type="spellEnd"/>
      <w:r w:rsidRPr="00FF2B18">
        <w:rPr>
          <w:sz w:val="24"/>
          <w:szCs w:val="24"/>
        </w:rPr>
        <w:t xml:space="preserve"> ribbensdefekter (manglende, </w:t>
      </w:r>
      <w:proofErr w:type="spellStart"/>
      <w:r w:rsidRPr="00FF2B18">
        <w:rPr>
          <w:sz w:val="24"/>
          <w:szCs w:val="24"/>
        </w:rPr>
        <w:t>hypoplastiske</w:t>
      </w:r>
      <w:proofErr w:type="spellEnd"/>
      <w:r w:rsidRPr="00FF2B18">
        <w:rPr>
          <w:sz w:val="24"/>
          <w:szCs w:val="24"/>
        </w:rPr>
        <w:t xml:space="preserve"> og takkede ribben) hos rotteafkom ved en systemisk eksponering på mere end 29 gange eksponeringen for mennesker. </w:t>
      </w:r>
      <w:proofErr w:type="spellStart"/>
      <w:r w:rsidRPr="00FF2B18">
        <w:rPr>
          <w:sz w:val="24"/>
          <w:szCs w:val="24"/>
        </w:rPr>
        <w:t>Maternel</w:t>
      </w:r>
      <w:proofErr w:type="spellEnd"/>
      <w:r w:rsidRPr="00FF2B18">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FF2B18">
        <w:rPr>
          <w:sz w:val="24"/>
          <w:szCs w:val="24"/>
        </w:rPr>
        <w:t>Sitagliptin</w:t>
      </w:r>
      <w:proofErr w:type="spellEnd"/>
      <w:r w:rsidRPr="00FF2B18">
        <w:rPr>
          <w:sz w:val="24"/>
          <w:szCs w:val="24"/>
        </w:rPr>
        <w:t xml:space="preserve"> udskilles i betydelige mængder i modermælken hos diegivende rotter (mælk/plasma-ratio: 4:1).</w:t>
      </w:r>
    </w:p>
    <w:p w14:paraId="42281E54" w14:textId="77777777" w:rsidR="009260DE" w:rsidRPr="00C84483" w:rsidRDefault="009260DE" w:rsidP="009260DE">
      <w:pPr>
        <w:tabs>
          <w:tab w:val="left" w:pos="851"/>
        </w:tabs>
        <w:ind w:left="851"/>
        <w:rPr>
          <w:sz w:val="24"/>
          <w:szCs w:val="24"/>
        </w:rPr>
      </w:pPr>
    </w:p>
    <w:p w14:paraId="18204D71" w14:textId="77777777" w:rsidR="009260DE" w:rsidRPr="00C84483" w:rsidRDefault="009260DE" w:rsidP="009260DE">
      <w:pPr>
        <w:tabs>
          <w:tab w:val="left" w:pos="851"/>
        </w:tabs>
        <w:ind w:left="851"/>
        <w:rPr>
          <w:sz w:val="24"/>
          <w:szCs w:val="24"/>
        </w:rPr>
      </w:pPr>
    </w:p>
    <w:p w14:paraId="2A47A21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9235056" w14:textId="77777777" w:rsidR="009260DE" w:rsidRPr="00BA09F1" w:rsidRDefault="009260DE" w:rsidP="009260DE">
      <w:pPr>
        <w:tabs>
          <w:tab w:val="left" w:pos="851"/>
        </w:tabs>
        <w:ind w:left="851"/>
        <w:rPr>
          <w:sz w:val="24"/>
          <w:szCs w:val="24"/>
        </w:rPr>
      </w:pPr>
    </w:p>
    <w:p w14:paraId="7ACDBB3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6E73D90" w14:textId="77777777" w:rsidR="006174C6" w:rsidRPr="00567B15" w:rsidRDefault="006174C6" w:rsidP="006174C6">
      <w:pPr>
        <w:tabs>
          <w:tab w:val="left" w:pos="851"/>
        </w:tabs>
        <w:ind w:left="851"/>
        <w:rPr>
          <w:sz w:val="24"/>
          <w:szCs w:val="24"/>
          <w:u w:val="single"/>
        </w:rPr>
      </w:pPr>
    </w:p>
    <w:p w14:paraId="5031A3F7" w14:textId="77777777" w:rsidR="006174C6" w:rsidRPr="0030235A" w:rsidRDefault="006174C6" w:rsidP="006174C6">
      <w:pPr>
        <w:tabs>
          <w:tab w:val="left" w:pos="851"/>
        </w:tabs>
        <w:ind w:left="851"/>
        <w:rPr>
          <w:sz w:val="24"/>
          <w:szCs w:val="24"/>
          <w:u w:val="single"/>
        </w:rPr>
      </w:pPr>
      <w:r w:rsidRPr="0030235A">
        <w:rPr>
          <w:sz w:val="24"/>
          <w:szCs w:val="24"/>
          <w:u w:val="single"/>
        </w:rPr>
        <w:t>Tabletkerne</w:t>
      </w:r>
    </w:p>
    <w:p w14:paraId="1B6C0EBA" w14:textId="77777777" w:rsidR="006174C6" w:rsidRPr="0030235A" w:rsidRDefault="006174C6" w:rsidP="006174C6">
      <w:pPr>
        <w:tabs>
          <w:tab w:val="left" w:pos="851"/>
        </w:tabs>
        <w:ind w:left="851"/>
        <w:rPr>
          <w:sz w:val="24"/>
          <w:szCs w:val="24"/>
        </w:rPr>
      </w:pPr>
      <w:r w:rsidRPr="0030235A">
        <w:rPr>
          <w:sz w:val="24"/>
          <w:szCs w:val="24"/>
        </w:rPr>
        <w:t>Cellulose, mikrokrystallinsk (E460)</w:t>
      </w:r>
    </w:p>
    <w:p w14:paraId="1B7DC0CD" w14:textId="77777777" w:rsidR="006174C6" w:rsidRPr="00CF24A8" w:rsidRDefault="006174C6" w:rsidP="006174C6">
      <w:pPr>
        <w:tabs>
          <w:tab w:val="left" w:pos="851"/>
        </w:tabs>
        <w:ind w:left="851"/>
        <w:rPr>
          <w:sz w:val="24"/>
          <w:szCs w:val="24"/>
          <w:lang w:val="en-US"/>
        </w:rPr>
      </w:pPr>
      <w:proofErr w:type="spellStart"/>
      <w:r w:rsidRPr="00CF24A8">
        <w:rPr>
          <w:sz w:val="24"/>
          <w:szCs w:val="24"/>
          <w:lang w:val="en-US"/>
        </w:rPr>
        <w:t>Calciumhydrogenphosphat</w:t>
      </w:r>
      <w:proofErr w:type="spellEnd"/>
    </w:p>
    <w:p w14:paraId="425A3A09" w14:textId="77777777" w:rsidR="006174C6" w:rsidRPr="00CF24A8" w:rsidRDefault="006174C6" w:rsidP="006174C6">
      <w:pPr>
        <w:tabs>
          <w:tab w:val="left" w:pos="851"/>
        </w:tabs>
        <w:ind w:left="851"/>
        <w:rPr>
          <w:sz w:val="24"/>
          <w:szCs w:val="24"/>
          <w:lang w:val="en-US"/>
        </w:rPr>
      </w:pPr>
      <w:proofErr w:type="spellStart"/>
      <w:r w:rsidRPr="00CF24A8">
        <w:rPr>
          <w:sz w:val="24"/>
          <w:szCs w:val="24"/>
          <w:lang w:val="en-US"/>
        </w:rPr>
        <w:t>Croscarmellosenatrium</w:t>
      </w:r>
      <w:proofErr w:type="spellEnd"/>
      <w:r w:rsidRPr="00CF24A8">
        <w:rPr>
          <w:sz w:val="24"/>
          <w:szCs w:val="24"/>
          <w:lang w:val="en-US"/>
        </w:rPr>
        <w:t xml:space="preserve"> </w:t>
      </w:r>
    </w:p>
    <w:p w14:paraId="1A7142A3" w14:textId="77777777" w:rsidR="006174C6" w:rsidRPr="0030235A" w:rsidRDefault="006174C6" w:rsidP="006174C6">
      <w:pPr>
        <w:tabs>
          <w:tab w:val="left" w:pos="851"/>
        </w:tabs>
        <w:ind w:left="851"/>
        <w:rPr>
          <w:sz w:val="24"/>
          <w:szCs w:val="24"/>
          <w:lang w:val="en-US"/>
        </w:rPr>
      </w:pPr>
      <w:r w:rsidRPr="0030235A">
        <w:rPr>
          <w:noProof/>
          <w:lang w:val="en-US"/>
        </w:rPr>
        <w:t>Kolloid vandfri silica</w:t>
      </w:r>
    </w:p>
    <w:p w14:paraId="0616391E" w14:textId="77777777" w:rsidR="006174C6" w:rsidRPr="0030235A" w:rsidRDefault="006174C6" w:rsidP="006174C6">
      <w:pPr>
        <w:tabs>
          <w:tab w:val="left" w:pos="851"/>
        </w:tabs>
        <w:ind w:left="851"/>
        <w:rPr>
          <w:sz w:val="24"/>
          <w:szCs w:val="24"/>
          <w:lang w:val="en-US"/>
        </w:rPr>
      </w:pPr>
      <w:proofErr w:type="spellStart"/>
      <w:r w:rsidRPr="0030235A">
        <w:rPr>
          <w:sz w:val="24"/>
          <w:szCs w:val="24"/>
          <w:lang w:val="en-US"/>
        </w:rPr>
        <w:t>Natriumstearylfumarat</w:t>
      </w:r>
      <w:proofErr w:type="spellEnd"/>
      <w:r w:rsidRPr="0030235A">
        <w:rPr>
          <w:sz w:val="24"/>
          <w:szCs w:val="24"/>
          <w:lang w:val="en-US"/>
        </w:rPr>
        <w:t xml:space="preserve"> (E485)</w:t>
      </w:r>
    </w:p>
    <w:p w14:paraId="1D99D578" w14:textId="77777777" w:rsidR="006174C6" w:rsidRPr="00E94679" w:rsidRDefault="006174C6" w:rsidP="006174C6">
      <w:pPr>
        <w:tabs>
          <w:tab w:val="left" w:pos="851"/>
        </w:tabs>
        <w:ind w:left="851"/>
        <w:rPr>
          <w:sz w:val="24"/>
          <w:szCs w:val="24"/>
        </w:rPr>
      </w:pPr>
      <w:proofErr w:type="spellStart"/>
      <w:r w:rsidRPr="00E94679">
        <w:rPr>
          <w:sz w:val="24"/>
          <w:szCs w:val="24"/>
        </w:rPr>
        <w:lastRenderedPageBreak/>
        <w:t>Magnesiumstearat</w:t>
      </w:r>
      <w:proofErr w:type="spellEnd"/>
      <w:r>
        <w:rPr>
          <w:sz w:val="24"/>
          <w:szCs w:val="24"/>
        </w:rPr>
        <w:t xml:space="preserve"> (E470b)</w:t>
      </w:r>
    </w:p>
    <w:p w14:paraId="319F1E75" w14:textId="77777777" w:rsidR="006174C6" w:rsidRPr="00E94679" w:rsidRDefault="006174C6" w:rsidP="006174C6">
      <w:pPr>
        <w:tabs>
          <w:tab w:val="left" w:pos="851"/>
        </w:tabs>
        <w:ind w:left="851"/>
        <w:rPr>
          <w:sz w:val="24"/>
          <w:szCs w:val="24"/>
        </w:rPr>
      </w:pPr>
    </w:p>
    <w:p w14:paraId="40603B61" w14:textId="77777777" w:rsidR="006174C6" w:rsidRDefault="006174C6" w:rsidP="006174C6">
      <w:pPr>
        <w:tabs>
          <w:tab w:val="left" w:pos="851"/>
        </w:tabs>
        <w:ind w:left="851"/>
        <w:rPr>
          <w:sz w:val="24"/>
          <w:szCs w:val="24"/>
        </w:rPr>
      </w:pPr>
      <w:r>
        <w:rPr>
          <w:sz w:val="24"/>
          <w:szCs w:val="24"/>
          <w:u w:val="single"/>
        </w:rPr>
        <w:t>F</w:t>
      </w:r>
      <w:r w:rsidRPr="00E94679">
        <w:rPr>
          <w:sz w:val="24"/>
          <w:szCs w:val="24"/>
          <w:u w:val="single"/>
        </w:rPr>
        <w:t>ilmovertræk</w:t>
      </w:r>
    </w:p>
    <w:p w14:paraId="46D2E004" w14:textId="77777777" w:rsidR="006174C6" w:rsidRPr="00567B15" w:rsidRDefault="006174C6" w:rsidP="006174C6">
      <w:pPr>
        <w:tabs>
          <w:tab w:val="left" w:pos="851"/>
        </w:tabs>
        <w:ind w:left="851"/>
        <w:rPr>
          <w:sz w:val="24"/>
          <w:szCs w:val="24"/>
        </w:rPr>
      </w:pPr>
      <w:r w:rsidRPr="00567B15">
        <w:rPr>
          <w:sz w:val="24"/>
          <w:szCs w:val="24"/>
        </w:rPr>
        <w:t>Polyvinylalkohol (E1203)</w:t>
      </w:r>
    </w:p>
    <w:p w14:paraId="22E8C2E3" w14:textId="77777777" w:rsidR="006174C6" w:rsidRPr="00CF24A8" w:rsidRDefault="006174C6" w:rsidP="006174C6">
      <w:pPr>
        <w:tabs>
          <w:tab w:val="left" w:pos="851"/>
        </w:tabs>
        <w:ind w:left="851"/>
        <w:rPr>
          <w:sz w:val="24"/>
          <w:szCs w:val="24"/>
          <w:lang w:val="en-US"/>
        </w:rPr>
      </w:pPr>
      <w:proofErr w:type="spellStart"/>
      <w:r w:rsidRPr="00CF24A8">
        <w:rPr>
          <w:sz w:val="24"/>
          <w:szCs w:val="24"/>
          <w:lang w:val="en-US"/>
        </w:rPr>
        <w:t>Titandioxid</w:t>
      </w:r>
      <w:proofErr w:type="spellEnd"/>
      <w:r w:rsidRPr="00CF24A8">
        <w:rPr>
          <w:sz w:val="24"/>
          <w:szCs w:val="24"/>
          <w:lang w:val="en-US"/>
        </w:rPr>
        <w:t xml:space="preserve"> (E171)</w:t>
      </w:r>
    </w:p>
    <w:p w14:paraId="5689323D" w14:textId="77777777" w:rsidR="006174C6" w:rsidRPr="00CF24A8" w:rsidRDefault="006174C6" w:rsidP="006174C6">
      <w:pPr>
        <w:tabs>
          <w:tab w:val="left" w:pos="851"/>
        </w:tabs>
        <w:ind w:left="851"/>
        <w:rPr>
          <w:sz w:val="24"/>
          <w:szCs w:val="24"/>
          <w:lang w:val="en-US"/>
        </w:rPr>
      </w:pPr>
      <w:r w:rsidRPr="00CF24A8">
        <w:rPr>
          <w:sz w:val="24"/>
          <w:szCs w:val="24"/>
          <w:lang w:val="en-US"/>
        </w:rPr>
        <w:t xml:space="preserve">Macrogol </w:t>
      </w:r>
    </w:p>
    <w:p w14:paraId="68593BB4" w14:textId="77777777" w:rsidR="006174C6" w:rsidRPr="00CF24A8" w:rsidRDefault="006174C6" w:rsidP="006174C6">
      <w:pPr>
        <w:tabs>
          <w:tab w:val="left" w:pos="851"/>
        </w:tabs>
        <w:ind w:left="851"/>
        <w:rPr>
          <w:sz w:val="24"/>
          <w:szCs w:val="24"/>
          <w:lang w:val="en-US"/>
        </w:rPr>
      </w:pPr>
      <w:r w:rsidRPr="00CF24A8">
        <w:rPr>
          <w:sz w:val="24"/>
          <w:szCs w:val="24"/>
          <w:lang w:val="en-US"/>
        </w:rPr>
        <w:t>Talcum (E553b)</w:t>
      </w:r>
    </w:p>
    <w:p w14:paraId="425457A9" w14:textId="77777777" w:rsidR="006174C6" w:rsidRPr="00567B15" w:rsidRDefault="006174C6" w:rsidP="006174C6">
      <w:pPr>
        <w:tabs>
          <w:tab w:val="left" w:pos="851"/>
        </w:tabs>
        <w:ind w:left="851"/>
        <w:rPr>
          <w:sz w:val="24"/>
          <w:szCs w:val="24"/>
        </w:rPr>
      </w:pPr>
      <w:r w:rsidRPr="00567B15">
        <w:rPr>
          <w:sz w:val="24"/>
          <w:szCs w:val="24"/>
        </w:rPr>
        <w:t>Gul jernoxid (E172)</w:t>
      </w:r>
    </w:p>
    <w:p w14:paraId="38B3BE1E" w14:textId="77777777" w:rsidR="006174C6" w:rsidRPr="00567B15" w:rsidRDefault="006174C6" w:rsidP="006174C6">
      <w:pPr>
        <w:tabs>
          <w:tab w:val="left" w:pos="851"/>
        </w:tabs>
        <w:ind w:left="851"/>
        <w:rPr>
          <w:sz w:val="24"/>
          <w:szCs w:val="24"/>
        </w:rPr>
      </w:pPr>
      <w:r w:rsidRPr="00567B15">
        <w:rPr>
          <w:sz w:val="24"/>
          <w:szCs w:val="24"/>
        </w:rPr>
        <w:t>Rød jernoxid (E172)</w:t>
      </w:r>
    </w:p>
    <w:p w14:paraId="1807A163" w14:textId="77777777" w:rsidR="009260DE" w:rsidRPr="00C84483" w:rsidRDefault="009260DE" w:rsidP="009260DE">
      <w:pPr>
        <w:tabs>
          <w:tab w:val="left" w:pos="851"/>
        </w:tabs>
        <w:ind w:left="851"/>
        <w:rPr>
          <w:sz w:val="24"/>
          <w:szCs w:val="24"/>
        </w:rPr>
      </w:pPr>
    </w:p>
    <w:p w14:paraId="77C714C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F7338BD" w14:textId="77777777" w:rsidR="006174C6" w:rsidRPr="005A0B1D" w:rsidRDefault="006174C6" w:rsidP="006174C6">
      <w:pPr>
        <w:tabs>
          <w:tab w:val="left" w:pos="851"/>
        </w:tabs>
        <w:ind w:left="851"/>
        <w:rPr>
          <w:sz w:val="24"/>
          <w:szCs w:val="24"/>
        </w:rPr>
      </w:pPr>
      <w:r w:rsidRPr="005A0B1D">
        <w:rPr>
          <w:sz w:val="24"/>
          <w:szCs w:val="24"/>
        </w:rPr>
        <w:t>Ikke relevant.</w:t>
      </w:r>
    </w:p>
    <w:p w14:paraId="1AB209CA" w14:textId="77777777" w:rsidR="009260DE" w:rsidRPr="00C84483" w:rsidRDefault="009260DE" w:rsidP="009260DE">
      <w:pPr>
        <w:tabs>
          <w:tab w:val="left" w:pos="851"/>
        </w:tabs>
        <w:ind w:left="851"/>
        <w:rPr>
          <w:sz w:val="24"/>
          <w:szCs w:val="24"/>
        </w:rPr>
      </w:pPr>
    </w:p>
    <w:p w14:paraId="3B2E5A6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C4F2151" w14:textId="0FA63621" w:rsidR="009260DE" w:rsidRPr="0089346F" w:rsidRDefault="00DE120A" w:rsidP="0089346F">
      <w:pPr>
        <w:tabs>
          <w:tab w:val="left" w:pos="851"/>
        </w:tabs>
        <w:ind w:left="851"/>
        <w:rPr>
          <w:rFonts w:eastAsia="MS Mincho" w:hAnsi="MS Mincho"/>
          <w:noProof/>
          <w:sz w:val="24"/>
          <w:szCs w:val="24"/>
        </w:rPr>
      </w:pPr>
      <w:r>
        <w:rPr>
          <w:sz w:val="24"/>
          <w:szCs w:val="24"/>
        </w:rPr>
        <w:t>2</w:t>
      </w:r>
      <w:r w:rsidR="006174C6">
        <w:rPr>
          <w:sz w:val="24"/>
          <w:szCs w:val="24"/>
        </w:rPr>
        <w:t xml:space="preserve"> år.</w:t>
      </w:r>
    </w:p>
    <w:p w14:paraId="656211AC" w14:textId="77777777" w:rsidR="009260DE" w:rsidRPr="00C84483" w:rsidRDefault="009260DE" w:rsidP="009260DE">
      <w:pPr>
        <w:tabs>
          <w:tab w:val="left" w:pos="851"/>
        </w:tabs>
        <w:ind w:left="851"/>
        <w:rPr>
          <w:sz w:val="24"/>
          <w:szCs w:val="24"/>
        </w:rPr>
      </w:pPr>
    </w:p>
    <w:p w14:paraId="534FAE4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3F7EF74" w14:textId="77777777" w:rsidR="006174C6" w:rsidRDefault="006174C6" w:rsidP="006174C6">
      <w:pPr>
        <w:tabs>
          <w:tab w:val="left" w:pos="851"/>
        </w:tabs>
        <w:ind w:left="851"/>
        <w:rPr>
          <w:sz w:val="24"/>
          <w:szCs w:val="24"/>
        </w:rPr>
      </w:pPr>
    </w:p>
    <w:p w14:paraId="0DCDA780" w14:textId="6802860F" w:rsidR="006174C6" w:rsidRPr="006174C6" w:rsidRDefault="006174C6" w:rsidP="006174C6">
      <w:pPr>
        <w:tabs>
          <w:tab w:val="left" w:pos="851"/>
        </w:tabs>
        <w:ind w:left="851"/>
        <w:rPr>
          <w:sz w:val="24"/>
          <w:szCs w:val="24"/>
          <w:u w:val="single"/>
        </w:rPr>
      </w:pPr>
      <w:r w:rsidRPr="006174C6">
        <w:rPr>
          <w:sz w:val="24"/>
          <w:szCs w:val="24"/>
          <w:u w:val="single"/>
        </w:rPr>
        <w:t>PVC/PVDC/Aluminium blister</w:t>
      </w:r>
    </w:p>
    <w:p w14:paraId="3C3C4114" w14:textId="77777777" w:rsidR="006174C6" w:rsidRDefault="006174C6" w:rsidP="006174C6">
      <w:pPr>
        <w:tabs>
          <w:tab w:val="left" w:pos="851"/>
        </w:tabs>
        <w:ind w:left="851"/>
        <w:rPr>
          <w:sz w:val="24"/>
          <w:szCs w:val="24"/>
        </w:rPr>
      </w:pPr>
      <w:r w:rsidRPr="006174C6">
        <w:rPr>
          <w:sz w:val="24"/>
          <w:szCs w:val="24"/>
        </w:rPr>
        <w:t>Opbevares under 30</w:t>
      </w:r>
      <w:r>
        <w:rPr>
          <w:sz w:val="24"/>
          <w:szCs w:val="24"/>
        </w:rPr>
        <w:t xml:space="preserve"> </w:t>
      </w:r>
      <w:r w:rsidRPr="006174C6">
        <w:rPr>
          <w:sz w:val="24"/>
          <w:szCs w:val="24"/>
        </w:rPr>
        <w:t>°C.</w:t>
      </w:r>
    </w:p>
    <w:p w14:paraId="259F7FA5" w14:textId="2C6866CB" w:rsidR="006174C6" w:rsidRPr="006174C6" w:rsidRDefault="006174C6" w:rsidP="006174C6">
      <w:pPr>
        <w:tabs>
          <w:tab w:val="left" w:pos="851"/>
        </w:tabs>
        <w:ind w:left="851"/>
        <w:rPr>
          <w:sz w:val="24"/>
          <w:szCs w:val="24"/>
        </w:rPr>
      </w:pPr>
      <w:r w:rsidRPr="006174C6">
        <w:rPr>
          <w:sz w:val="24"/>
          <w:szCs w:val="24"/>
        </w:rPr>
        <w:t>Opbevares i den originale emballage for at beskytte mod fugt.</w:t>
      </w:r>
    </w:p>
    <w:p w14:paraId="72F09283" w14:textId="77777777" w:rsidR="006174C6" w:rsidRPr="006174C6" w:rsidRDefault="006174C6" w:rsidP="006174C6">
      <w:pPr>
        <w:tabs>
          <w:tab w:val="left" w:pos="851"/>
        </w:tabs>
        <w:ind w:left="851"/>
        <w:rPr>
          <w:sz w:val="24"/>
          <w:szCs w:val="24"/>
        </w:rPr>
      </w:pPr>
    </w:p>
    <w:p w14:paraId="1231A6ED" w14:textId="7E4CEBE4" w:rsidR="006174C6" w:rsidRPr="006174C6" w:rsidRDefault="006174C6" w:rsidP="006174C6">
      <w:pPr>
        <w:tabs>
          <w:tab w:val="left" w:pos="851"/>
        </w:tabs>
        <w:ind w:left="851"/>
        <w:rPr>
          <w:sz w:val="24"/>
          <w:szCs w:val="24"/>
          <w:u w:val="single"/>
        </w:rPr>
      </w:pPr>
      <w:r w:rsidRPr="006174C6">
        <w:rPr>
          <w:sz w:val="24"/>
          <w:szCs w:val="24"/>
          <w:u w:val="single"/>
        </w:rPr>
        <w:t>PVC/PE/PVDC/Aluminium blister</w:t>
      </w:r>
    </w:p>
    <w:p w14:paraId="15DD84FA" w14:textId="77777777" w:rsidR="006174C6" w:rsidRPr="006174C6" w:rsidRDefault="006174C6" w:rsidP="006174C6">
      <w:pPr>
        <w:tabs>
          <w:tab w:val="left" w:pos="851"/>
        </w:tabs>
        <w:ind w:left="851"/>
        <w:rPr>
          <w:sz w:val="24"/>
          <w:szCs w:val="24"/>
        </w:rPr>
      </w:pPr>
      <w:r w:rsidRPr="006174C6">
        <w:rPr>
          <w:sz w:val="24"/>
          <w:szCs w:val="24"/>
        </w:rPr>
        <w:t xml:space="preserve">Dette lægemiddel kræver ingen særlige forholdsregler vedrørende opbevaringstemperatur. Opbevares i den originale emballage for at beskytte mod fugt. </w:t>
      </w:r>
    </w:p>
    <w:p w14:paraId="20DF47D1" w14:textId="77777777" w:rsidR="009260DE" w:rsidRPr="00C84483" w:rsidRDefault="009260DE" w:rsidP="009260DE">
      <w:pPr>
        <w:tabs>
          <w:tab w:val="left" w:pos="851"/>
        </w:tabs>
        <w:ind w:left="851"/>
        <w:rPr>
          <w:sz w:val="24"/>
          <w:szCs w:val="24"/>
        </w:rPr>
      </w:pPr>
    </w:p>
    <w:p w14:paraId="30D2E64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AD30950" w14:textId="770EF033" w:rsidR="006174C6" w:rsidRPr="00D25447" w:rsidRDefault="006174C6" w:rsidP="006174C6">
      <w:pPr>
        <w:tabs>
          <w:tab w:val="left" w:pos="851"/>
        </w:tabs>
        <w:ind w:left="851"/>
        <w:rPr>
          <w:sz w:val="24"/>
          <w:szCs w:val="24"/>
        </w:rPr>
      </w:pPr>
      <w:r w:rsidRPr="00D25447">
        <w:rPr>
          <w:sz w:val="24"/>
          <w:szCs w:val="24"/>
        </w:rPr>
        <w:t>PVC/PVDC-aluminium blisterpakning</w:t>
      </w:r>
      <w:r>
        <w:rPr>
          <w:sz w:val="24"/>
          <w:szCs w:val="24"/>
        </w:rPr>
        <w:t>.</w:t>
      </w:r>
    </w:p>
    <w:p w14:paraId="6D191D66" w14:textId="1321C73F" w:rsidR="006174C6" w:rsidRPr="00D25447" w:rsidRDefault="006174C6" w:rsidP="006174C6">
      <w:pPr>
        <w:tabs>
          <w:tab w:val="left" w:pos="851"/>
        </w:tabs>
        <w:ind w:left="851"/>
        <w:rPr>
          <w:sz w:val="24"/>
          <w:szCs w:val="24"/>
        </w:rPr>
      </w:pPr>
      <w:r w:rsidRPr="00D25447">
        <w:t>PVC/PE/PVDC-aluminium blisterpakning</w:t>
      </w:r>
      <w:r>
        <w:t>.</w:t>
      </w:r>
    </w:p>
    <w:p w14:paraId="7789BC00" w14:textId="77777777" w:rsidR="006174C6" w:rsidRPr="00D25447" w:rsidRDefault="006174C6" w:rsidP="006174C6">
      <w:pPr>
        <w:tabs>
          <w:tab w:val="left" w:pos="851"/>
        </w:tabs>
        <w:ind w:left="851"/>
        <w:rPr>
          <w:sz w:val="24"/>
          <w:szCs w:val="24"/>
        </w:rPr>
      </w:pPr>
    </w:p>
    <w:p w14:paraId="79FE4634" w14:textId="77777777" w:rsidR="006174C6" w:rsidRPr="00D25447" w:rsidRDefault="006174C6" w:rsidP="006174C6">
      <w:pPr>
        <w:tabs>
          <w:tab w:val="left" w:pos="851"/>
        </w:tabs>
        <w:ind w:left="851"/>
        <w:rPr>
          <w:sz w:val="24"/>
          <w:szCs w:val="24"/>
        </w:rPr>
      </w:pPr>
      <w:r w:rsidRPr="00D25447">
        <w:rPr>
          <w:sz w:val="24"/>
          <w:szCs w:val="24"/>
        </w:rPr>
        <w:t>Pakningsstørrelser: 14, 28, 30, 56, 60, 90, 98 og 100 filmovertrukne tabletter.</w:t>
      </w:r>
    </w:p>
    <w:p w14:paraId="2AD842FC" w14:textId="77777777" w:rsidR="006174C6" w:rsidRPr="00D25447" w:rsidRDefault="006174C6" w:rsidP="006174C6">
      <w:pPr>
        <w:tabs>
          <w:tab w:val="left" w:pos="851"/>
        </w:tabs>
        <w:ind w:left="851"/>
        <w:rPr>
          <w:sz w:val="24"/>
          <w:szCs w:val="24"/>
        </w:rPr>
      </w:pPr>
    </w:p>
    <w:p w14:paraId="458E8E65" w14:textId="77777777" w:rsidR="006174C6" w:rsidRPr="00D25447" w:rsidRDefault="006174C6" w:rsidP="006174C6">
      <w:pPr>
        <w:tabs>
          <w:tab w:val="left" w:pos="851"/>
        </w:tabs>
        <w:ind w:left="851"/>
        <w:rPr>
          <w:sz w:val="24"/>
          <w:szCs w:val="24"/>
        </w:rPr>
      </w:pPr>
      <w:r w:rsidRPr="00D25447">
        <w:rPr>
          <w:sz w:val="24"/>
          <w:szCs w:val="24"/>
        </w:rPr>
        <w:t>Ikke alle pakningsstørrelser er nødvendigvis markedsført.</w:t>
      </w:r>
    </w:p>
    <w:p w14:paraId="176000D2" w14:textId="77777777" w:rsidR="009260DE" w:rsidRPr="00C84483" w:rsidRDefault="009260DE" w:rsidP="009260DE">
      <w:pPr>
        <w:tabs>
          <w:tab w:val="left" w:pos="851"/>
        </w:tabs>
        <w:ind w:left="851"/>
        <w:rPr>
          <w:sz w:val="24"/>
          <w:szCs w:val="24"/>
        </w:rPr>
      </w:pPr>
    </w:p>
    <w:p w14:paraId="590C40D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258EF8E" w14:textId="77777777" w:rsidR="006174C6" w:rsidRPr="006174C6" w:rsidRDefault="006174C6" w:rsidP="006174C6">
      <w:pPr>
        <w:tabs>
          <w:tab w:val="left" w:pos="851"/>
        </w:tabs>
        <w:ind w:left="851"/>
        <w:rPr>
          <w:sz w:val="24"/>
          <w:szCs w:val="24"/>
        </w:rPr>
      </w:pPr>
      <w:r w:rsidRPr="006174C6">
        <w:rPr>
          <w:sz w:val="24"/>
          <w:szCs w:val="24"/>
        </w:rPr>
        <w:t>Ikke anvendt lægemiddel samt affald heraf skal bortskaffes i henhold til lokale retningslinjer.</w:t>
      </w:r>
    </w:p>
    <w:p w14:paraId="4338D90A" w14:textId="77777777" w:rsidR="009260DE" w:rsidRPr="00C84483" w:rsidRDefault="009260DE" w:rsidP="000730CA">
      <w:pPr>
        <w:tabs>
          <w:tab w:val="left" w:pos="851"/>
        </w:tabs>
        <w:ind w:left="851"/>
        <w:rPr>
          <w:sz w:val="24"/>
          <w:szCs w:val="24"/>
        </w:rPr>
      </w:pPr>
    </w:p>
    <w:p w14:paraId="76EB3F6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8D25AD" w14:textId="77777777" w:rsidR="006174C6" w:rsidRPr="000C761A" w:rsidRDefault="006174C6" w:rsidP="006174C6">
      <w:pPr>
        <w:tabs>
          <w:tab w:val="left" w:pos="851"/>
        </w:tabs>
        <w:ind w:left="851"/>
        <w:rPr>
          <w:sz w:val="24"/>
          <w:szCs w:val="24"/>
        </w:rPr>
      </w:pPr>
      <w:proofErr w:type="spellStart"/>
      <w:r w:rsidRPr="000C761A">
        <w:rPr>
          <w:sz w:val="24"/>
          <w:szCs w:val="24"/>
        </w:rPr>
        <w:t>Zentiva</w:t>
      </w:r>
      <w:proofErr w:type="spellEnd"/>
      <w:r w:rsidRPr="000C761A">
        <w:rPr>
          <w:sz w:val="24"/>
          <w:szCs w:val="24"/>
        </w:rPr>
        <w:t xml:space="preserve">, </w:t>
      </w:r>
      <w:proofErr w:type="spellStart"/>
      <w:r w:rsidRPr="000C761A">
        <w:rPr>
          <w:sz w:val="24"/>
          <w:szCs w:val="24"/>
        </w:rPr>
        <w:t>k.s</w:t>
      </w:r>
      <w:proofErr w:type="spellEnd"/>
      <w:r w:rsidRPr="000C761A">
        <w:rPr>
          <w:sz w:val="24"/>
          <w:szCs w:val="24"/>
        </w:rPr>
        <w:t>.</w:t>
      </w:r>
    </w:p>
    <w:p w14:paraId="6AEB39A2" w14:textId="77777777" w:rsidR="006174C6" w:rsidRPr="00E246A1" w:rsidRDefault="006174C6" w:rsidP="006174C6">
      <w:pPr>
        <w:tabs>
          <w:tab w:val="left" w:pos="851"/>
        </w:tabs>
        <w:ind w:left="851"/>
        <w:rPr>
          <w:sz w:val="24"/>
          <w:szCs w:val="24"/>
          <w:lang w:val="pl-PL"/>
        </w:rPr>
      </w:pPr>
      <w:r w:rsidRPr="00E246A1">
        <w:rPr>
          <w:sz w:val="24"/>
          <w:szCs w:val="24"/>
          <w:lang w:val="pl-PL"/>
        </w:rPr>
        <w:t>U kabelovny 130</w:t>
      </w:r>
    </w:p>
    <w:p w14:paraId="5D0EE93F" w14:textId="77777777" w:rsidR="006174C6" w:rsidRPr="00E246A1" w:rsidRDefault="006174C6" w:rsidP="006174C6">
      <w:pPr>
        <w:tabs>
          <w:tab w:val="left" w:pos="851"/>
        </w:tabs>
        <w:ind w:left="851"/>
        <w:rPr>
          <w:sz w:val="24"/>
          <w:szCs w:val="24"/>
          <w:lang w:val="pl-PL"/>
        </w:rPr>
      </w:pPr>
      <w:r w:rsidRPr="00E246A1">
        <w:rPr>
          <w:sz w:val="24"/>
          <w:szCs w:val="24"/>
          <w:lang w:val="pl-PL"/>
        </w:rPr>
        <w:t>Dolní Měcholupy</w:t>
      </w:r>
    </w:p>
    <w:p w14:paraId="2016F739" w14:textId="77777777" w:rsidR="006174C6" w:rsidRPr="00E246A1" w:rsidRDefault="006174C6" w:rsidP="006174C6">
      <w:pPr>
        <w:tabs>
          <w:tab w:val="left" w:pos="851"/>
        </w:tabs>
        <w:ind w:left="851"/>
        <w:rPr>
          <w:sz w:val="24"/>
          <w:szCs w:val="24"/>
          <w:lang w:val="pl-PL"/>
        </w:rPr>
      </w:pPr>
      <w:r w:rsidRPr="00E246A1">
        <w:rPr>
          <w:sz w:val="24"/>
          <w:szCs w:val="24"/>
          <w:lang w:val="pl-PL"/>
        </w:rPr>
        <w:t>102 37 Prag 10</w:t>
      </w:r>
    </w:p>
    <w:p w14:paraId="2C16F750" w14:textId="77777777" w:rsidR="006174C6" w:rsidRPr="00BA7500" w:rsidRDefault="006174C6" w:rsidP="006174C6">
      <w:pPr>
        <w:tabs>
          <w:tab w:val="left" w:pos="851"/>
        </w:tabs>
        <w:ind w:left="851"/>
        <w:rPr>
          <w:sz w:val="24"/>
          <w:szCs w:val="24"/>
        </w:rPr>
      </w:pPr>
      <w:r w:rsidRPr="00BA7500">
        <w:rPr>
          <w:sz w:val="24"/>
          <w:szCs w:val="24"/>
        </w:rPr>
        <w:t>Tjekkiet</w:t>
      </w:r>
    </w:p>
    <w:p w14:paraId="081A74FC" w14:textId="77777777" w:rsidR="006174C6" w:rsidRPr="00BA7500" w:rsidRDefault="006174C6" w:rsidP="006174C6">
      <w:pPr>
        <w:tabs>
          <w:tab w:val="left" w:pos="851"/>
        </w:tabs>
        <w:ind w:left="851"/>
        <w:rPr>
          <w:sz w:val="24"/>
          <w:szCs w:val="24"/>
        </w:rPr>
      </w:pPr>
    </w:p>
    <w:p w14:paraId="7A068E82" w14:textId="77777777" w:rsidR="006174C6" w:rsidRPr="00BA7500" w:rsidRDefault="006174C6" w:rsidP="006174C6">
      <w:pPr>
        <w:tabs>
          <w:tab w:val="left" w:pos="851"/>
        </w:tabs>
        <w:ind w:left="851"/>
        <w:rPr>
          <w:b/>
          <w:sz w:val="24"/>
          <w:szCs w:val="24"/>
        </w:rPr>
      </w:pPr>
      <w:r w:rsidRPr="00BA7500">
        <w:rPr>
          <w:b/>
          <w:sz w:val="24"/>
          <w:szCs w:val="24"/>
        </w:rPr>
        <w:t>Repræsentant</w:t>
      </w:r>
    </w:p>
    <w:p w14:paraId="6895FC72" w14:textId="77777777" w:rsidR="006174C6" w:rsidRPr="00BA7500" w:rsidRDefault="006174C6" w:rsidP="006174C6">
      <w:pPr>
        <w:tabs>
          <w:tab w:val="left" w:pos="851"/>
        </w:tabs>
        <w:ind w:left="851"/>
        <w:rPr>
          <w:sz w:val="24"/>
          <w:szCs w:val="24"/>
        </w:rPr>
      </w:pPr>
      <w:proofErr w:type="spellStart"/>
      <w:r w:rsidRPr="00BA7500">
        <w:rPr>
          <w:sz w:val="24"/>
          <w:szCs w:val="24"/>
        </w:rPr>
        <w:t>Zentiva</w:t>
      </w:r>
      <w:proofErr w:type="spellEnd"/>
      <w:r w:rsidRPr="00BA7500">
        <w:rPr>
          <w:sz w:val="24"/>
          <w:szCs w:val="24"/>
        </w:rPr>
        <w:t xml:space="preserve"> Denmark ApS</w:t>
      </w:r>
    </w:p>
    <w:p w14:paraId="5D029EEB" w14:textId="77777777" w:rsidR="006174C6" w:rsidRPr="00567B15" w:rsidRDefault="006174C6" w:rsidP="006174C6">
      <w:pPr>
        <w:tabs>
          <w:tab w:val="left" w:pos="851"/>
        </w:tabs>
        <w:ind w:left="851"/>
        <w:rPr>
          <w:sz w:val="24"/>
          <w:szCs w:val="24"/>
          <w:lang w:val="pl-PL"/>
        </w:rPr>
      </w:pPr>
      <w:r w:rsidRPr="00567B15">
        <w:rPr>
          <w:sz w:val="24"/>
          <w:szCs w:val="24"/>
          <w:lang w:val="pl-PL"/>
        </w:rPr>
        <w:t>Høffdingsvej 34</w:t>
      </w:r>
    </w:p>
    <w:p w14:paraId="489780BA" w14:textId="77777777" w:rsidR="006174C6" w:rsidRPr="000C761A" w:rsidRDefault="006174C6" w:rsidP="006174C6">
      <w:pPr>
        <w:tabs>
          <w:tab w:val="left" w:pos="851"/>
        </w:tabs>
        <w:ind w:left="851"/>
        <w:rPr>
          <w:sz w:val="24"/>
          <w:szCs w:val="24"/>
          <w:lang w:val="pl-PL"/>
        </w:rPr>
      </w:pPr>
      <w:r w:rsidRPr="000C761A">
        <w:rPr>
          <w:sz w:val="24"/>
          <w:szCs w:val="24"/>
          <w:lang w:val="pl-PL"/>
        </w:rPr>
        <w:t>2500 Valby</w:t>
      </w:r>
    </w:p>
    <w:p w14:paraId="64BBE7E1" w14:textId="701FAB41" w:rsidR="0030235A" w:rsidRDefault="0030235A">
      <w:pPr>
        <w:rPr>
          <w:sz w:val="24"/>
          <w:szCs w:val="24"/>
        </w:rPr>
      </w:pPr>
      <w:bookmarkStart w:id="0" w:name="_GoBack"/>
      <w:r>
        <w:rPr>
          <w:sz w:val="24"/>
          <w:szCs w:val="24"/>
        </w:rPr>
        <w:br w:type="page"/>
      </w:r>
    </w:p>
    <w:bookmarkEnd w:id="0"/>
    <w:p w14:paraId="09F9CE35" w14:textId="77777777" w:rsidR="00641C65" w:rsidRPr="00641C65" w:rsidRDefault="00641C65" w:rsidP="009260DE">
      <w:pPr>
        <w:tabs>
          <w:tab w:val="left" w:pos="851"/>
        </w:tabs>
        <w:ind w:left="851"/>
        <w:rPr>
          <w:sz w:val="24"/>
          <w:szCs w:val="24"/>
        </w:rPr>
      </w:pPr>
    </w:p>
    <w:p w14:paraId="17BB84F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FE8FCF5" w14:textId="0C4D0382" w:rsidR="009260DE" w:rsidRDefault="006174C6" w:rsidP="006174C6">
      <w:pPr>
        <w:tabs>
          <w:tab w:val="left" w:pos="851"/>
          <w:tab w:val="left" w:pos="1701"/>
        </w:tabs>
        <w:ind w:left="851"/>
        <w:rPr>
          <w:sz w:val="24"/>
          <w:szCs w:val="24"/>
        </w:rPr>
      </w:pPr>
      <w:r>
        <w:rPr>
          <w:sz w:val="24"/>
          <w:szCs w:val="24"/>
        </w:rPr>
        <w:t>25 mg:</w:t>
      </w:r>
      <w:r>
        <w:rPr>
          <w:sz w:val="24"/>
          <w:szCs w:val="24"/>
        </w:rPr>
        <w:tab/>
        <w:t>67507</w:t>
      </w:r>
    </w:p>
    <w:p w14:paraId="33A33040" w14:textId="161D1270" w:rsidR="006174C6" w:rsidRDefault="006174C6" w:rsidP="006174C6">
      <w:pPr>
        <w:tabs>
          <w:tab w:val="left" w:pos="851"/>
          <w:tab w:val="left" w:pos="1701"/>
        </w:tabs>
        <w:ind w:left="851"/>
        <w:rPr>
          <w:sz w:val="24"/>
          <w:szCs w:val="24"/>
        </w:rPr>
      </w:pPr>
      <w:r>
        <w:rPr>
          <w:sz w:val="24"/>
          <w:szCs w:val="24"/>
        </w:rPr>
        <w:t>50 mg:</w:t>
      </w:r>
      <w:r>
        <w:rPr>
          <w:sz w:val="24"/>
          <w:szCs w:val="24"/>
        </w:rPr>
        <w:tab/>
        <w:t>67509</w:t>
      </w:r>
    </w:p>
    <w:p w14:paraId="2558E4B0" w14:textId="42F252B8" w:rsidR="006174C6" w:rsidRPr="00C84483" w:rsidRDefault="006174C6" w:rsidP="006174C6">
      <w:pPr>
        <w:tabs>
          <w:tab w:val="left" w:pos="851"/>
          <w:tab w:val="left" w:pos="1701"/>
        </w:tabs>
        <w:ind w:left="851"/>
        <w:rPr>
          <w:sz w:val="24"/>
          <w:szCs w:val="24"/>
        </w:rPr>
      </w:pPr>
      <w:r>
        <w:rPr>
          <w:sz w:val="24"/>
          <w:szCs w:val="24"/>
        </w:rPr>
        <w:t>100 mg:</w:t>
      </w:r>
      <w:r>
        <w:rPr>
          <w:sz w:val="24"/>
          <w:szCs w:val="24"/>
        </w:rPr>
        <w:tab/>
        <w:t>67510</w:t>
      </w:r>
    </w:p>
    <w:p w14:paraId="783CF4D4" w14:textId="77777777" w:rsidR="009260DE" w:rsidRPr="00C84483" w:rsidRDefault="009260DE" w:rsidP="009260DE">
      <w:pPr>
        <w:tabs>
          <w:tab w:val="left" w:pos="851"/>
        </w:tabs>
        <w:ind w:left="851"/>
        <w:jc w:val="both"/>
        <w:rPr>
          <w:sz w:val="24"/>
          <w:szCs w:val="24"/>
        </w:rPr>
      </w:pPr>
    </w:p>
    <w:p w14:paraId="5589613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262C8DB" w14:textId="1794C7EA" w:rsidR="009260DE" w:rsidRPr="00C84483" w:rsidRDefault="0030235A" w:rsidP="009260DE">
      <w:pPr>
        <w:tabs>
          <w:tab w:val="left" w:pos="851"/>
        </w:tabs>
        <w:ind w:left="851"/>
        <w:rPr>
          <w:sz w:val="24"/>
          <w:szCs w:val="24"/>
        </w:rPr>
      </w:pPr>
      <w:r>
        <w:rPr>
          <w:sz w:val="24"/>
          <w:szCs w:val="24"/>
        </w:rPr>
        <w:t>19. februar 2025</w:t>
      </w:r>
    </w:p>
    <w:p w14:paraId="72C03F8A" w14:textId="77777777" w:rsidR="009260DE" w:rsidRPr="00C84483" w:rsidRDefault="009260DE" w:rsidP="009260DE">
      <w:pPr>
        <w:tabs>
          <w:tab w:val="left" w:pos="851"/>
        </w:tabs>
        <w:ind w:left="851"/>
        <w:rPr>
          <w:sz w:val="24"/>
          <w:szCs w:val="24"/>
        </w:rPr>
      </w:pPr>
    </w:p>
    <w:p w14:paraId="545283F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C9EB901" w14:textId="13E56500" w:rsidR="009260DE" w:rsidRPr="00C84483" w:rsidRDefault="00DE120A" w:rsidP="009260DE">
      <w:pPr>
        <w:tabs>
          <w:tab w:val="left" w:pos="851"/>
        </w:tabs>
        <w:ind w:left="851"/>
        <w:rPr>
          <w:sz w:val="24"/>
          <w:szCs w:val="24"/>
        </w:rPr>
      </w:pPr>
      <w:r>
        <w:rPr>
          <w:sz w:val="24"/>
          <w:szCs w:val="24"/>
        </w:rPr>
        <w:t>4. marts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1485B" w14:textId="77777777" w:rsidR="006E5873" w:rsidRDefault="006E5873">
      <w:r>
        <w:separator/>
      </w:r>
    </w:p>
  </w:endnote>
  <w:endnote w:type="continuationSeparator" w:id="0">
    <w:p w14:paraId="59404AF3" w14:textId="77777777" w:rsidR="006E5873" w:rsidRDefault="006E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BA1B" w14:textId="77777777" w:rsidR="000259B9" w:rsidRDefault="000259B9">
    <w:pPr>
      <w:pStyle w:val="Sidefod"/>
      <w:pBdr>
        <w:bottom w:val="single" w:sz="6" w:space="1" w:color="auto"/>
      </w:pBdr>
    </w:pPr>
  </w:p>
  <w:p w14:paraId="66D14598" w14:textId="77777777" w:rsidR="000259B9" w:rsidRDefault="000259B9" w:rsidP="00C42586">
    <w:pPr>
      <w:pStyle w:val="Sidefod"/>
      <w:tabs>
        <w:tab w:val="clear" w:pos="4819"/>
        <w:tab w:val="left" w:pos="8505"/>
      </w:tabs>
      <w:rPr>
        <w:i/>
        <w:sz w:val="18"/>
        <w:szCs w:val="18"/>
      </w:rPr>
    </w:pPr>
  </w:p>
  <w:p w14:paraId="0567C35F" w14:textId="21E005A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5472">
      <w:rPr>
        <w:i/>
        <w:noProof/>
        <w:sz w:val="18"/>
        <w:szCs w:val="18"/>
      </w:rPr>
      <w:t>Sitagliptin Zentiva ApS, filmovertrukne tabletter 25 mg,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3F31" w14:textId="77777777" w:rsidR="006E5873" w:rsidRDefault="006E5873">
      <w:r>
        <w:separator/>
      </w:r>
    </w:p>
  </w:footnote>
  <w:footnote w:type="continuationSeparator" w:id="0">
    <w:p w14:paraId="46A78D25" w14:textId="77777777" w:rsidR="006E5873" w:rsidRDefault="006E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24282A"/>
    <w:multiLevelType w:val="hybridMultilevel"/>
    <w:tmpl w:val="539C0AAE"/>
    <w:lvl w:ilvl="0" w:tplc="04090001">
      <w:start w:val="1"/>
      <w:numFmt w:val="bullet"/>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73"/>
    <w:rsid w:val="000259B9"/>
    <w:rsid w:val="00041491"/>
    <w:rsid w:val="00050D16"/>
    <w:rsid w:val="000730CA"/>
    <w:rsid w:val="00074F2A"/>
    <w:rsid w:val="000A1CA8"/>
    <w:rsid w:val="000A466B"/>
    <w:rsid w:val="000B058C"/>
    <w:rsid w:val="000D68B0"/>
    <w:rsid w:val="000E4EE6"/>
    <w:rsid w:val="000F4998"/>
    <w:rsid w:val="000F5472"/>
    <w:rsid w:val="001454E2"/>
    <w:rsid w:val="00195257"/>
    <w:rsid w:val="00206CE8"/>
    <w:rsid w:val="0021526C"/>
    <w:rsid w:val="00283A2B"/>
    <w:rsid w:val="002B30AD"/>
    <w:rsid w:val="002C1EC0"/>
    <w:rsid w:val="002C2C01"/>
    <w:rsid w:val="0030235A"/>
    <w:rsid w:val="003A29AE"/>
    <w:rsid w:val="003A32D7"/>
    <w:rsid w:val="003B4074"/>
    <w:rsid w:val="003C769A"/>
    <w:rsid w:val="003D3A90"/>
    <w:rsid w:val="003F1838"/>
    <w:rsid w:val="004226CA"/>
    <w:rsid w:val="004251C1"/>
    <w:rsid w:val="0045746C"/>
    <w:rsid w:val="0049104B"/>
    <w:rsid w:val="004E3B12"/>
    <w:rsid w:val="00532310"/>
    <w:rsid w:val="00565F0F"/>
    <w:rsid w:val="00594A86"/>
    <w:rsid w:val="00596D86"/>
    <w:rsid w:val="006174C6"/>
    <w:rsid w:val="00637F5A"/>
    <w:rsid w:val="00641C65"/>
    <w:rsid w:val="006519F2"/>
    <w:rsid w:val="006560B1"/>
    <w:rsid w:val="006756DD"/>
    <w:rsid w:val="006E5873"/>
    <w:rsid w:val="0071241E"/>
    <w:rsid w:val="0071403C"/>
    <w:rsid w:val="00737275"/>
    <w:rsid w:val="00740EEC"/>
    <w:rsid w:val="0078011A"/>
    <w:rsid w:val="00782AF4"/>
    <w:rsid w:val="00790EE7"/>
    <w:rsid w:val="007B6649"/>
    <w:rsid w:val="0082576E"/>
    <w:rsid w:val="00827ACC"/>
    <w:rsid w:val="0089346F"/>
    <w:rsid w:val="009026D6"/>
    <w:rsid w:val="00907F75"/>
    <w:rsid w:val="00913428"/>
    <w:rsid w:val="009260DE"/>
    <w:rsid w:val="0093258A"/>
    <w:rsid w:val="009C7BA3"/>
    <w:rsid w:val="009D1F5A"/>
    <w:rsid w:val="00A10294"/>
    <w:rsid w:val="00B003BF"/>
    <w:rsid w:val="00B373D7"/>
    <w:rsid w:val="00B55271"/>
    <w:rsid w:val="00B60ACD"/>
    <w:rsid w:val="00BD7931"/>
    <w:rsid w:val="00BF6243"/>
    <w:rsid w:val="00C36276"/>
    <w:rsid w:val="00C42586"/>
    <w:rsid w:val="00C45F6B"/>
    <w:rsid w:val="00C60CCD"/>
    <w:rsid w:val="00C84483"/>
    <w:rsid w:val="00C95551"/>
    <w:rsid w:val="00CB20D7"/>
    <w:rsid w:val="00D020B0"/>
    <w:rsid w:val="00D039B9"/>
    <w:rsid w:val="00D11748"/>
    <w:rsid w:val="00D237F6"/>
    <w:rsid w:val="00D34D98"/>
    <w:rsid w:val="00D366CF"/>
    <w:rsid w:val="00D93992"/>
    <w:rsid w:val="00DD5979"/>
    <w:rsid w:val="00DE120A"/>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52BE"/>
  <w15:chartTrackingRefBased/>
  <w15:docId w15:val="{8B892B97-C96A-4F28-9F57-77407DEB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1403C"/>
    <w:rPr>
      <w:color w:val="0563C1"/>
      <w:u w:val="single"/>
    </w:rPr>
  </w:style>
  <w:style w:type="paragraph" w:styleId="Brdtekst">
    <w:name w:val="Body Text"/>
    <w:basedOn w:val="Normal"/>
    <w:link w:val="BrdtekstTegn"/>
    <w:uiPriority w:val="99"/>
    <w:semiHidden/>
    <w:unhideWhenUsed/>
    <w:rsid w:val="0071403C"/>
    <w:pPr>
      <w:widowControl w:val="0"/>
      <w:spacing w:after="120" w:line="276" w:lineRule="auto"/>
    </w:pPr>
    <w:rPr>
      <w:rFonts w:ascii="Calibri" w:eastAsia="Calibri" w:hAnsi="Calibri"/>
      <w:sz w:val="22"/>
      <w:szCs w:val="22"/>
      <w:lang w:val="en-US"/>
    </w:rPr>
  </w:style>
  <w:style w:type="character" w:customStyle="1" w:styleId="BrdtekstTegn">
    <w:name w:val="Brødtekst Tegn"/>
    <w:basedOn w:val="Standardskrifttypeiafsnit"/>
    <w:link w:val="Brdtekst"/>
    <w:uiPriority w:val="99"/>
    <w:semiHidden/>
    <w:rsid w:val="0071403C"/>
    <w:rPr>
      <w:rFonts w:ascii="Calibri" w:eastAsia="Calibri" w:hAnsi="Calibri"/>
      <w:sz w:val="22"/>
      <w:szCs w:val="22"/>
      <w:lang w:val="en-US" w:eastAsia="en-US"/>
    </w:rPr>
  </w:style>
  <w:style w:type="paragraph" w:customStyle="1" w:styleId="TableParagraph">
    <w:name w:val="Table Paragraph"/>
    <w:basedOn w:val="Normal"/>
    <w:uiPriority w:val="1"/>
    <w:qFormat/>
    <w:rsid w:val="00DD5979"/>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164749">
      <w:bodyDiv w:val="1"/>
      <w:marLeft w:val="0"/>
      <w:marRight w:val="0"/>
      <w:marTop w:val="0"/>
      <w:marBottom w:val="0"/>
      <w:divBdr>
        <w:top w:val="none" w:sz="0" w:space="0" w:color="auto"/>
        <w:left w:val="none" w:sz="0" w:space="0" w:color="auto"/>
        <w:bottom w:val="none" w:sz="0" w:space="0" w:color="auto"/>
        <w:right w:val="none" w:sz="0" w:space="0" w:color="auto"/>
      </w:divBdr>
    </w:div>
    <w:div w:id="12678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20</Pages>
  <Words>6656</Words>
  <Characters>42010</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2024084279 pkt. 6.3 fra 18 måneder til 2 år.</dc:description>
  <cp:lastModifiedBy>Helle Søndersted</cp:lastModifiedBy>
  <cp:revision>2</cp:revision>
  <cp:lastPrinted>2012-08-22T08:53:00Z</cp:lastPrinted>
  <dcterms:created xsi:type="dcterms:W3CDTF">2025-03-04T08:09:00Z</dcterms:created>
  <dcterms:modified xsi:type="dcterms:W3CDTF">2025-03-04T08:09:00Z</dcterms:modified>
</cp:coreProperties>
</file>